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44BD4" w:rsidP="00044BD4">
      <w:pPr>
        <w:pStyle w:val="OrderHeading"/>
      </w:pPr>
      <w:r>
        <w:t>BEFORE THE FLORIDA PUBLIC SERVICE COMMISSION</w:t>
      </w:r>
    </w:p>
    <w:p w:rsidR="00044BD4" w:rsidRDefault="00044BD4" w:rsidP="00044BD4">
      <w:pPr>
        <w:pStyle w:val="OrderBody"/>
      </w:pPr>
    </w:p>
    <w:p w:rsidR="00044BD4" w:rsidRDefault="00044BD4" w:rsidP="00044BD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44BD4" w:rsidRPr="00C63FCF" w:rsidTr="00C63FCF">
        <w:trPr>
          <w:trHeight w:val="828"/>
        </w:trPr>
        <w:tc>
          <w:tcPr>
            <w:tcW w:w="4788" w:type="dxa"/>
            <w:tcBorders>
              <w:bottom w:val="single" w:sz="8" w:space="0" w:color="auto"/>
              <w:right w:val="double" w:sz="6" w:space="0" w:color="auto"/>
            </w:tcBorders>
            <w:shd w:val="clear" w:color="auto" w:fill="auto"/>
          </w:tcPr>
          <w:p w:rsidR="00044BD4" w:rsidRDefault="00044BD4" w:rsidP="00C63FCF">
            <w:pPr>
              <w:pStyle w:val="OrderBody"/>
              <w:tabs>
                <w:tab w:val="center" w:pos="4320"/>
                <w:tab w:val="right" w:pos="8640"/>
              </w:tabs>
              <w:jc w:val="left"/>
            </w:pPr>
            <w:r>
              <w:t xml:space="preserve">In re: </w:t>
            </w:r>
            <w:bookmarkStart w:id="0" w:name="SSInRe"/>
            <w:bookmarkEnd w:id="0"/>
            <w:r>
              <w:t>Petition for approval of new environmental program for cost recovery through Environmental Cost Recovery Clause, by Tampa Electric Company.</w:t>
            </w:r>
          </w:p>
        </w:tc>
        <w:tc>
          <w:tcPr>
            <w:tcW w:w="4788" w:type="dxa"/>
            <w:tcBorders>
              <w:left w:val="double" w:sz="6" w:space="0" w:color="auto"/>
            </w:tcBorders>
            <w:shd w:val="clear" w:color="auto" w:fill="auto"/>
          </w:tcPr>
          <w:p w:rsidR="00044BD4" w:rsidRDefault="00044BD4" w:rsidP="00044BD4">
            <w:pPr>
              <w:pStyle w:val="OrderBody"/>
            </w:pPr>
            <w:r>
              <w:t xml:space="preserve">DOCKET NO. </w:t>
            </w:r>
            <w:bookmarkStart w:id="1" w:name="SSDocketNo"/>
            <w:bookmarkEnd w:id="1"/>
            <w:r>
              <w:t>20210087-EI</w:t>
            </w:r>
          </w:p>
          <w:p w:rsidR="00044BD4" w:rsidRDefault="00044BD4" w:rsidP="00C63FCF">
            <w:pPr>
              <w:pStyle w:val="OrderBody"/>
              <w:tabs>
                <w:tab w:val="center" w:pos="4320"/>
                <w:tab w:val="right" w:pos="8640"/>
              </w:tabs>
              <w:jc w:val="left"/>
            </w:pPr>
            <w:r>
              <w:t xml:space="preserve">ORDER NO. </w:t>
            </w:r>
            <w:bookmarkStart w:id="2" w:name="OrderNo0356"/>
            <w:r w:rsidR="00420D0F">
              <w:t>PSC-2021-0356-PAA-EI</w:t>
            </w:r>
            <w:bookmarkEnd w:id="2"/>
          </w:p>
          <w:p w:rsidR="00044BD4" w:rsidRDefault="00044BD4" w:rsidP="00C63FCF">
            <w:pPr>
              <w:pStyle w:val="OrderBody"/>
              <w:tabs>
                <w:tab w:val="center" w:pos="4320"/>
                <w:tab w:val="right" w:pos="8640"/>
              </w:tabs>
              <w:jc w:val="left"/>
            </w:pPr>
            <w:r>
              <w:t xml:space="preserve">ISSUED: </w:t>
            </w:r>
            <w:r w:rsidR="00420D0F">
              <w:t>September 15, 2021</w:t>
            </w:r>
          </w:p>
        </w:tc>
      </w:tr>
    </w:tbl>
    <w:p w:rsidR="00044BD4" w:rsidRDefault="00044BD4" w:rsidP="00044BD4"/>
    <w:p w:rsidR="00044BD4" w:rsidRDefault="00044BD4" w:rsidP="00044BD4"/>
    <w:p w:rsidR="00044BD4" w:rsidRDefault="00044BD4" w:rsidP="00B67A43">
      <w:pPr>
        <w:ind w:firstLine="720"/>
        <w:jc w:val="both"/>
      </w:pPr>
      <w:bookmarkStart w:id="3" w:name="Commissioners"/>
      <w:bookmarkEnd w:id="3"/>
      <w:r>
        <w:t>The following Commissioners participated in the disposition of this matter:</w:t>
      </w:r>
    </w:p>
    <w:p w:rsidR="00044BD4" w:rsidRDefault="00044BD4" w:rsidP="00B67A43"/>
    <w:p w:rsidR="00044BD4" w:rsidRDefault="00044BD4" w:rsidP="00B67A43">
      <w:pPr>
        <w:jc w:val="center"/>
      </w:pPr>
      <w:r>
        <w:t>GARY F. CLARK, Chairman</w:t>
      </w:r>
    </w:p>
    <w:p w:rsidR="00044BD4" w:rsidRDefault="00044BD4" w:rsidP="00B67A43">
      <w:pPr>
        <w:jc w:val="center"/>
      </w:pPr>
      <w:r>
        <w:t>ART GRAHAM</w:t>
      </w:r>
    </w:p>
    <w:p w:rsidR="00044BD4" w:rsidRDefault="00044BD4" w:rsidP="00B67A43">
      <w:pPr>
        <w:jc w:val="center"/>
      </w:pPr>
      <w:r>
        <w:t>ANDREW GILES FAY</w:t>
      </w:r>
    </w:p>
    <w:p w:rsidR="00044BD4" w:rsidRDefault="00044BD4" w:rsidP="00B67A43">
      <w:pPr>
        <w:jc w:val="center"/>
      </w:pPr>
      <w:r>
        <w:t>MIKE LA ROSA</w:t>
      </w:r>
    </w:p>
    <w:p w:rsidR="00044BD4" w:rsidRDefault="00044BD4" w:rsidP="00BC1897">
      <w:pPr>
        <w:jc w:val="center"/>
        <w:rPr>
          <w:lang w:val="en"/>
        </w:rPr>
      </w:pPr>
      <w:r w:rsidRPr="005F2751">
        <w:rPr>
          <w:lang w:val="en"/>
        </w:rPr>
        <w:t>GABRIELLA PASSIDOMO</w:t>
      </w:r>
    </w:p>
    <w:p w:rsidR="00BC1897" w:rsidRDefault="00BC1897" w:rsidP="00BC1897">
      <w:pPr>
        <w:jc w:val="center"/>
      </w:pPr>
    </w:p>
    <w:p w:rsidR="00044BD4" w:rsidRDefault="00044BD4" w:rsidP="00044BD4">
      <w:pPr>
        <w:pStyle w:val="OrderBody"/>
      </w:pPr>
    </w:p>
    <w:bookmarkStart w:id="4" w:name="OrderText"/>
    <w:bookmarkEnd w:id="4"/>
    <w:p w:rsidR="00044BD4" w:rsidRPr="003E4B2D" w:rsidRDefault="00044BD4">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BC1897" w:rsidRDefault="00044BD4" w:rsidP="00BC1897">
      <w:pPr>
        <w:pStyle w:val="OrderBody"/>
        <w:jc w:val="center"/>
        <w:rPr>
          <w:u w:val="single"/>
        </w:rPr>
      </w:pPr>
      <w:r w:rsidRPr="003E4B2D">
        <w:rPr>
          <w:u w:val="single"/>
        </w:rPr>
        <w:t>ORDER</w:t>
      </w:r>
      <w:bookmarkStart w:id="5" w:name="OrderTitle"/>
      <w:r w:rsidR="00BC1897">
        <w:rPr>
          <w:u w:val="single"/>
        </w:rPr>
        <w:t xml:space="preserve"> APPROVING NEW ENVIORNMENTAL PROGRAM FOR COST RECOVERY</w:t>
      </w:r>
    </w:p>
    <w:p w:rsidR="00044BD4" w:rsidRPr="003E4B2D" w:rsidRDefault="00BC1897" w:rsidP="00BC1897">
      <w:pPr>
        <w:pStyle w:val="OrderBody"/>
        <w:jc w:val="center"/>
        <w:rPr>
          <w:u w:val="single"/>
        </w:rPr>
      </w:pPr>
      <w:r>
        <w:rPr>
          <w:u w:val="single"/>
        </w:rPr>
        <w:t>THROUGH ENVIRONMENTAL COST RECOVERY CLAUSE</w:t>
      </w:r>
      <w:r w:rsidR="00044BD4">
        <w:rPr>
          <w:u w:val="single"/>
        </w:rPr>
        <w:t xml:space="preserve"> </w:t>
      </w:r>
      <w:bookmarkEnd w:id="5"/>
    </w:p>
    <w:p w:rsidR="00044BD4" w:rsidRPr="003E4B2D" w:rsidRDefault="00044BD4">
      <w:pPr>
        <w:pStyle w:val="OrderBody"/>
      </w:pPr>
    </w:p>
    <w:p w:rsidR="00044BD4" w:rsidRPr="003E4B2D" w:rsidRDefault="00044BD4">
      <w:pPr>
        <w:pStyle w:val="OrderBody"/>
      </w:pPr>
    </w:p>
    <w:p w:rsidR="00044BD4" w:rsidRPr="003E4B2D" w:rsidRDefault="00044BD4">
      <w:pPr>
        <w:pStyle w:val="OrderBody"/>
      </w:pPr>
      <w:r w:rsidRPr="003E4B2D">
        <w:t>BY THE COMMISSION:</w:t>
      </w:r>
    </w:p>
    <w:p w:rsidR="00044BD4" w:rsidRPr="003E4B2D" w:rsidRDefault="00044BD4">
      <w:pPr>
        <w:pStyle w:val="OrderBody"/>
      </w:pPr>
    </w:p>
    <w:p w:rsidR="00044BD4" w:rsidRDefault="00044BD4">
      <w:pPr>
        <w:pStyle w:val="OrderBody"/>
      </w:pPr>
      <w:r w:rsidRPr="003E4B2D">
        <w:tab/>
        <w:t xml:space="preserve">NOTICE is hereby given by the Florida Public Service Commission </w:t>
      </w:r>
      <w:r w:rsidR="00434548">
        <w:t xml:space="preserve">(Commission) </w:t>
      </w:r>
      <w:r w:rsidRPr="003E4B2D">
        <w:t>that the action discussed herein is preliminary in nature and will become final unless a person whose interests are substantially affected files a petition for a formal proceeding, pursuant to Rule 25-22.029, Florida Administrative Code.</w:t>
      </w:r>
    </w:p>
    <w:p w:rsidR="00CB5276" w:rsidRDefault="00CB5276" w:rsidP="00044BD4"/>
    <w:p w:rsidR="007131C6" w:rsidRPr="00BC1897" w:rsidRDefault="007131C6" w:rsidP="007131C6">
      <w:pPr>
        <w:pStyle w:val="RecommendationMajorSectionHeading"/>
        <w:rPr>
          <w:rFonts w:ascii="Times New Roman" w:hAnsi="Times New Roman" w:cs="Times New Roman"/>
        </w:rPr>
      </w:pPr>
      <w:r w:rsidRPr="00BC1897">
        <w:rPr>
          <w:rFonts w:ascii="Times New Roman" w:hAnsi="Times New Roman" w:cs="Times New Roman"/>
        </w:rPr>
        <w:t>Case Background</w:t>
      </w:r>
    </w:p>
    <w:p w:rsidR="007131C6" w:rsidRPr="00CA6F7A" w:rsidRDefault="007131C6" w:rsidP="00177A7C">
      <w:pPr>
        <w:ind w:firstLine="720"/>
        <w:jc w:val="both"/>
      </w:pPr>
      <w:r w:rsidRPr="00CA6F7A">
        <w:t>On April 21, 2021, Tampa Electric Company (TECO or Company)</w:t>
      </w:r>
      <w:r w:rsidR="00BC1897">
        <w:t xml:space="preserve"> filed a petition with</w:t>
      </w:r>
      <w:r w:rsidRPr="00CA6F7A">
        <w:t xml:space="preserve"> </w:t>
      </w:r>
      <w:r w:rsidR="00BC1897">
        <w:t xml:space="preserve">this </w:t>
      </w:r>
      <w:r w:rsidRPr="00CA6F7A">
        <w:t xml:space="preserve">Commission </w:t>
      </w:r>
      <w:r w:rsidR="00BC1897">
        <w:t>to</w:t>
      </w:r>
      <w:r w:rsidRPr="00CA6F7A">
        <w:t xml:space="preserve"> approve the Bayside Station Section 316(b) Compliance Project (Project) for cost recovery through the Environmental Cost Reco</w:t>
      </w:r>
      <w:r w:rsidR="00434548">
        <w:t xml:space="preserve">very Clause (ECRC). In its petition, TECO states </w:t>
      </w:r>
      <w:r w:rsidRPr="00CA6F7A">
        <w:t xml:space="preserve">that the project is required to comply with the Environmental Protection Agency’s (EPA) final </w:t>
      </w:r>
      <w:r>
        <w:t>r</w:t>
      </w:r>
      <w:r w:rsidRPr="00CA6F7A">
        <w:t xml:space="preserve">ule regarding Section 316(b) of the Clean Water Act. </w:t>
      </w:r>
    </w:p>
    <w:p w:rsidR="007131C6" w:rsidRPr="00CA6F7A" w:rsidRDefault="007131C6" w:rsidP="007131C6">
      <w:pPr>
        <w:jc w:val="both"/>
      </w:pPr>
    </w:p>
    <w:p w:rsidR="007131C6" w:rsidRPr="00CA6F7A" w:rsidRDefault="007131C6" w:rsidP="00177A7C">
      <w:pPr>
        <w:ind w:firstLine="720"/>
        <w:jc w:val="both"/>
      </w:pPr>
      <w:r w:rsidRPr="00CA6F7A">
        <w:t xml:space="preserve">The EPA adopted a </w:t>
      </w:r>
      <w:r>
        <w:t>r</w:t>
      </w:r>
      <w:r w:rsidRPr="00CA6F7A">
        <w:t xml:space="preserve">ule pursuant to Section 316(b) of the Clean Water Act on </w:t>
      </w:r>
      <w:r>
        <w:t>September 7, 2004. This r</w:t>
      </w:r>
      <w:r w:rsidRPr="00CA6F7A">
        <w:t xml:space="preserve">ule established requirements for reducing mortality of aquatic organisms as a result of cooling water intake structures (CWIS) at existing power plants. In 2004, TECO requested </w:t>
      </w:r>
      <w:r w:rsidR="00BC1897">
        <w:t>our</w:t>
      </w:r>
      <w:r>
        <w:t xml:space="preserve"> approval for </w:t>
      </w:r>
      <w:r w:rsidRPr="00CA6F7A">
        <w:t>cost recovery through the ECRC for a Comprehensive Demonstration</w:t>
      </w:r>
      <w:r w:rsidR="00C57632">
        <w:t xml:space="preserve"> </w:t>
      </w:r>
      <w:r w:rsidRPr="00CA6F7A">
        <w:lastRenderedPageBreak/>
        <w:t xml:space="preserve">Study, which was needed to comply with the new Section 316(b) </w:t>
      </w:r>
      <w:r>
        <w:t>r</w:t>
      </w:r>
      <w:r w:rsidRPr="00CA6F7A">
        <w:t xml:space="preserve">ule. </w:t>
      </w:r>
      <w:r>
        <w:t>Cost recovery for t</w:t>
      </w:r>
      <w:r w:rsidRPr="00CA6F7A">
        <w:t xml:space="preserve">he study was approved by </w:t>
      </w:r>
      <w:r w:rsidR="00D50B6E">
        <w:t>us</w:t>
      </w:r>
      <w:r w:rsidRPr="00CA6F7A">
        <w:t xml:space="preserve"> in Docket No. 20041300-EI.</w:t>
      </w:r>
      <w:r w:rsidRPr="00CA6F7A">
        <w:rPr>
          <w:rStyle w:val="FootnoteReference"/>
        </w:rPr>
        <w:footnoteReference w:id="1"/>
      </w:r>
      <w:r w:rsidRPr="00CA6F7A">
        <w:t xml:space="preserve"> </w:t>
      </w:r>
    </w:p>
    <w:p w:rsidR="007131C6" w:rsidRPr="00CA6F7A" w:rsidRDefault="007131C6" w:rsidP="007131C6">
      <w:pPr>
        <w:jc w:val="both"/>
      </w:pPr>
    </w:p>
    <w:p w:rsidR="007131C6" w:rsidRPr="00CA6F7A" w:rsidRDefault="007131C6" w:rsidP="00177A7C">
      <w:pPr>
        <w:ind w:firstLine="720"/>
        <w:jc w:val="both"/>
      </w:pPr>
      <w:r w:rsidRPr="00CA6F7A">
        <w:t xml:space="preserve">The 2004 Section 316(b) </w:t>
      </w:r>
      <w:r>
        <w:t>r</w:t>
      </w:r>
      <w:r w:rsidRPr="00CA6F7A">
        <w:t xml:space="preserve">ule changes were challenged and the EPA published a final </w:t>
      </w:r>
      <w:r>
        <w:t>r</w:t>
      </w:r>
      <w:r w:rsidRPr="00CA6F7A">
        <w:t xml:space="preserve">ule regarding Section 316(b) </w:t>
      </w:r>
      <w:r>
        <w:t xml:space="preserve">(EPA Rule or Rule) </w:t>
      </w:r>
      <w:r w:rsidRPr="00CA6F7A">
        <w:t>on August 15, 2014, which outlined the requirements for CWIS at existing facilities.</w:t>
      </w:r>
      <w:r w:rsidRPr="00CA6F7A">
        <w:rPr>
          <w:rStyle w:val="FootnoteReference"/>
        </w:rPr>
        <w:footnoteReference w:id="2"/>
      </w:r>
      <w:r w:rsidRPr="00CA6F7A">
        <w:t xml:space="preserve"> The </w:t>
      </w:r>
      <w:r>
        <w:t xml:space="preserve">EPA </w:t>
      </w:r>
      <w:r w:rsidRPr="00CA6F7A">
        <w:t xml:space="preserve">Rule requires that the best technology available be applied to the design and operation of CWIS to minimize adverse impacts to aquatic life. In 2018, TECO petitioned </w:t>
      </w:r>
      <w:r w:rsidR="00BC1897">
        <w:t xml:space="preserve">us </w:t>
      </w:r>
      <w:r w:rsidRPr="00CA6F7A">
        <w:t xml:space="preserve">for cost recovery through the ECRC for its Big Bend Unit 1 Section 316(b) Impingement Mortality project in order to comply with the </w:t>
      </w:r>
      <w:r>
        <w:t>EPA Rule</w:t>
      </w:r>
      <w:r w:rsidRPr="00CA6F7A">
        <w:t xml:space="preserve">. </w:t>
      </w:r>
      <w:r w:rsidR="00BC1897">
        <w:t>We</w:t>
      </w:r>
      <w:r w:rsidRPr="00CA6F7A">
        <w:t xml:space="preserve"> approved </w:t>
      </w:r>
      <w:r>
        <w:t xml:space="preserve">ECRC cost recovery for </w:t>
      </w:r>
      <w:r w:rsidRPr="00CA6F7A">
        <w:t xml:space="preserve">the </w:t>
      </w:r>
      <w:r>
        <w:t xml:space="preserve">Big Bend </w:t>
      </w:r>
      <w:r w:rsidRPr="00CA6F7A">
        <w:t>project by Order No. PSC-2018-0594-FOF-EI, issued December 20, 2018.</w:t>
      </w:r>
      <w:r w:rsidRPr="00CA6F7A">
        <w:rPr>
          <w:rStyle w:val="FootnoteReference"/>
        </w:rPr>
        <w:footnoteReference w:id="3"/>
      </w:r>
      <w:r w:rsidRPr="00CA6F7A">
        <w:t xml:space="preserve"> The proposed Bayside Station Section 316(b) Compliance Project is substantially similar to the </w:t>
      </w:r>
      <w:r>
        <w:t xml:space="preserve">previously </w:t>
      </w:r>
      <w:r w:rsidRPr="00CA6F7A">
        <w:t>approved Big Bend Unit 1 Section 316(b) Impingement Mortality project.</w:t>
      </w:r>
    </w:p>
    <w:p w:rsidR="007131C6" w:rsidRPr="00CA6F7A" w:rsidRDefault="007131C6" w:rsidP="007131C6">
      <w:pPr>
        <w:jc w:val="both"/>
      </w:pPr>
    </w:p>
    <w:p w:rsidR="005F2751" w:rsidRDefault="007131C6" w:rsidP="00BC1897">
      <w:pPr>
        <w:ind w:firstLine="720"/>
        <w:jc w:val="both"/>
      </w:pPr>
      <w:r w:rsidRPr="00CA6F7A">
        <w:t xml:space="preserve">Pursuant to Section 366.8255, Florida Statutes (F.S.), the Florida Legislature authorized the recovery of prudently incurred </w:t>
      </w:r>
      <w:r>
        <w:t xml:space="preserve">investor-owned electric utility </w:t>
      </w:r>
      <w:r w:rsidRPr="00CA6F7A">
        <w:t>environmental compliance costs through the ECRC. The method for cost recovery for such costs was first established by Order No. PSC-94-0044-FOF-EI, issued on January 12, 1994.</w:t>
      </w:r>
      <w:r w:rsidRPr="00CA6F7A">
        <w:rPr>
          <w:rStyle w:val="FootnoteReference"/>
        </w:rPr>
        <w:footnoteReference w:id="4"/>
      </w:r>
      <w:r w:rsidRPr="00CA6F7A">
        <w:t xml:space="preserve"> </w:t>
      </w:r>
      <w:r w:rsidR="00BC1897">
        <w:t>We have</w:t>
      </w:r>
      <w:r w:rsidRPr="00CA6F7A">
        <w:t xml:space="preserve"> jurisdiction over this matter pursuant to Section 366.8255, F.S.</w:t>
      </w:r>
    </w:p>
    <w:p w:rsidR="007131C6" w:rsidRDefault="007131C6" w:rsidP="007131C6"/>
    <w:p w:rsidR="007131C6" w:rsidRPr="00BC1897" w:rsidRDefault="00BC1897" w:rsidP="00BC1897">
      <w:pPr>
        <w:pStyle w:val="RecommendationMajorSectionHeading"/>
        <w:rPr>
          <w:rFonts w:ascii="Times New Roman" w:hAnsi="Times New Roman" w:cs="Times New Roman"/>
        </w:rPr>
      </w:pPr>
      <w:bookmarkStart w:id="6" w:name="DiscussionOfIssues"/>
      <w:r w:rsidRPr="00BC1897">
        <w:rPr>
          <w:rFonts w:ascii="Times New Roman" w:hAnsi="Times New Roman" w:cs="Times New Roman"/>
        </w:rPr>
        <w:t>Review and Decision</w:t>
      </w:r>
      <w:bookmarkEnd w:id="6"/>
    </w:p>
    <w:p w:rsidR="007131C6" w:rsidRDefault="007131C6" w:rsidP="00BC1897">
      <w:pPr>
        <w:ind w:firstLine="720"/>
        <w:jc w:val="both"/>
      </w:pPr>
      <w:r w:rsidRPr="00CA6F7A">
        <w:t xml:space="preserve">The </w:t>
      </w:r>
      <w:r>
        <w:t xml:space="preserve">EPA </w:t>
      </w:r>
      <w:r w:rsidRPr="00CA6F7A">
        <w:t>Rule establishes requirements for CWIS at existing facilities. The Rule requires that the best technology available be applied to the design and operation of CWIS to minimize impingement mortality</w:t>
      </w:r>
      <w:r w:rsidRPr="00CA6F7A">
        <w:rPr>
          <w:rStyle w:val="FootnoteReference"/>
        </w:rPr>
        <w:footnoteReference w:id="5"/>
      </w:r>
      <w:r w:rsidRPr="00CA6F7A">
        <w:t xml:space="preserve"> and entrainment</w:t>
      </w:r>
      <w:r w:rsidRPr="00CA6F7A">
        <w:rPr>
          <w:rStyle w:val="FootnoteReference"/>
        </w:rPr>
        <w:footnoteReference w:id="6"/>
      </w:r>
      <w:r w:rsidRPr="00CA6F7A">
        <w:t xml:space="preserve"> of aquatic life. The Rule allows for seven different approaches for impingement mortality compliance. For entrainment compliance, the Rule requires the evaluation of closed-cycle cooling, alternative water supplies, and fine mesh screens for a site-specific determination by the </w:t>
      </w:r>
      <w:r>
        <w:t xml:space="preserve">Florida </w:t>
      </w:r>
      <w:r w:rsidRPr="00CA6F7A">
        <w:t xml:space="preserve">Department of Environmental Protection (DEP) Director. In addition, the Rule requires that a Compliance Optimization Study be performed once the </w:t>
      </w:r>
      <w:r>
        <w:t>Project</w:t>
      </w:r>
      <w:r w:rsidRPr="00CA6F7A">
        <w:t xml:space="preserve"> is in-service to validate the effectiveness of the Project. </w:t>
      </w:r>
    </w:p>
    <w:p w:rsidR="00BC1897" w:rsidRPr="00CA6F7A" w:rsidRDefault="00BC1897" w:rsidP="00BC1897">
      <w:pPr>
        <w:ind w:firstLine="720"/>
        <w:jc w:val="both"/>
      </w:pPr>
    </w:p>
    <w:p w:rsidR="00D50B6E" w:rsidRDefault="007131C6" w:rsidP="00D50B6E">
      <w:pPr>
        <w:ind w:firstLine="720"/>
        <w:jc w:val="both"/>
      </w:pPr>
      <w:r>
        <w:t xml:space="preserve">In its petition, </w:t>
      </w:r>
      <w:r w:rsidRPr="00CA6F7A">
        <w:t xml:space="preserve">TECO </w:t>
      </w:r>
      <w:r>
        <w:t xml:space="preserve">states that it </w:t>
      </w:r>
      <w:r w:rsidRPr="00CA6F7A">
        <w:t xml:space="preserve">evaluated its compliance options </w:t>
      </w:r>
      <w:r>
        <w:t>and identified m</w:t>
      </w:r>
      <w:r w:rsidRPr="00CA6F7A">
        <w:t xml:space="preserve">odified traveling screens with a fish return as the most cost-effective solution to comply with the </w:t>
      </w:r>
      <w:r>
        <w:t xml:space="preserve">EPA </w:t>
      </w:r>
      <w:r w:rsidRPr="00CA6F7A">
        <w:t xml:space="preserve">Rule. TECO </w:t>
      </w:r>
      <w:r>
        <w:t xml:space="preserve">also </w:t>
      </w:r>
      <w:r w:rsidR="00BC1897">
        <w:t>states</w:t>
      </w:r>
      <w:r w:rsidRPr="00CA6F7A">
        <w:t xml:space="preserve"> </w:t>
      </w:r>
      <w:r>
        <w:t xml:space="preserve">that </w:t>
      </w:r>
      <w:r w:rsidRPr="00CA6F7A">
        <w:t xml:space="preserve">its Project is </w:t>
      </w:r>
      <w:r>
        <w:t xml:space="preserve">required </w:t>
      </w:r>
      <w:r w:rsidRPr="00CA6F7A">
        <w:t xml:space="preserve">to comply with the impingement mortality requirements of the Rule. </w:t>
      </w:r>
      <w:r>
        <w:t xml:space="preserve">While the Project may also reduce the entrainment of aquatic </w:t>
      </w:r>
      <w:r>
        <w:lastRenderedPageBreak/>
        <w:t>life, e</w:t>
      </w:r>
      <w:r w:rsidRPr="00CA6F7A">
        <w:t xml:space="preserve">ntrainment compliance </w:t>
      </w:r>
      <w:r>
        <w:t xml:space="preserve">must </w:t>
      </w:r>
      <w:r w:rsidRPr="00CA6F7A">
        <w:t xml:space="preserve">be determined </w:t>
      </w:r>
      <w:r>
        <w:t xml:space="preserve">after the Project is in-service, </w:t>
      </w:r>
      <w:r w:rsidRPr="00CA6F7A">
        <w:t>based on the DEP Director’s review of the Project’s performance. If the DEP Director determines that additional improvements are needed to meet entrainment requirements, TECO intends to address them through a subsequent petition.</w:t>
      </w:r>
    </w:p>
    <w:p w:rsidR="00D50B6E" w:rsidRDefault="00D50B6E" w:rsidP="00D50B6E">
      <w:pPr>
        <w:jc w:val="both"/>
      </w:pPr>
    </w:p>
    <w:p w:rsidR="007131C6" w:rsidRDefault="007131C6" w:rsidP="00D50B6E">
      <w:pPr>
        <w:ind w:firstLine="720"/>
        <w:jc w:val="both"/>
      </w:pPr>
      <w:r w:rsidRPr="00CA6F7A">
        <w:t xml:space="preserve">The work to be completed includes retrofitting existing coarse mesh screens with modified traveling screens and the installation of two return pipes to </w:t>
      </w:r>
      <w:r>
        <w:t>release</w:t>
      </w:r>
      <w:r w:rsidRPr="00CA6F7A">
        <w:t xml:space="preserve"> fish away from the influence of the CWIS. </w:t>
      </w:r>
      <w:r w:rsidR="00BC1897">
        <w:t>We note</w:t>
      </w:r>
      <w:r w:rsidRPr="00CA6F7A">
        <w:t xml:space="preserve"> that this project is substantially similar to TECO’s </w:t>
      </w:r>
      <w:r>
        <w:t>Commission-</w:t>
      </w:r>
      <w:r w:rsidRPr="00CA6F7A">
        <w:t>approved Big Bend Unit 1 Section 316(b) Impingement Mortality Project.</w:t>
      </w:r>
      <w:r w:rsidRPr="00CA6F7A">
        <w:rPr>
          <w:rStyle w:val="FootnoteReference"/>
        </w:rPr>
        <w:footnoteReference w:id="7"/>
      </w:r>
      <w:r w:rsidRPr="00CA6F7A">
        <w:t xml:space="preserve"> Engineering work for the </w:t>
      </w:r>
      <w:r>
        <w:t xml:space="preserve">Bayside Station Section 316(b) Compliance </w:t>
      </w:r>
      <w:r w:rsidRPr="00CA6F7A">
        <w:t xml:space="preserve">Project will begin near the end of 2021, construction in the third quarter of 2022, and is expected to be </w:t>
      </w:r>
      <w:r>
        <w:t xml:space="preserve">placed </w:t>
      </w:r>
      <w:r w:rsidRPr="00CA6F7A">
        <w:t>in-service in the fourth quarter of 2023</w:t>
      </w:r>
      <w:r>
        <w:t>.</w:t>
      </w:r>
    </w:p>
    <w:p w:rsidR="00AC0E0B" w:rsidRDefault="00AC0E0B" w:rsidP="00D50B6E">
      <w:pPr>
        <w:jc w:val="both"/>
      </w:pPr>
    </w:p>
    <w:p w:rsidR="00D2193A" w:rsidRDefault="00AC0E0B" w:rsidP="00D50B6E">
      <w:pPr>
        <w:ind w:firstLine="720"/>
        <w:jc w:val="both"/>
      </w:pPr>
      <w:r w:rsidRPr="00CA6F7A">
        <w:t>The estimated cost for the Project is $10.1 million, including the compliance optimiza</w:t>
      </w:r>
      <w:r w:rsidR="00434548">
        <w:t>tion study, as seen in Table 1</w:t>
      </w:r>
      <w:r w:rsidRPr="00CA6F7A">
        <w:t>. The Project has an expected service life of 20 years, with annual in-service</w:t>
      </w:r>
      <w:r w:rsidR="00C57632">
        <w:t xml:space="preserve"> operation and maintenance</w:t>
      </w:r>
      <w:r w:rsidRPr="00CA6F7A">
        <w:t xml:space="preserve"> </w:t>
      </w:r>
      <w:r w:rsidR="00C57632">
        <w:t>(</w:t>
      </w:r>
      <w:r w:rsidRPr="00CA6F7A">
        <w:t>O&amp;M</w:t>
      </w:r>
      <w:r w:rsidR="00C57632">
        <w:t>)</w:t>
      </w:r>
      <w:r w:rsidRPr="00CA6F7A">
        <w:t xml:space="preserve"> costs of $512,000 beginning i</w:t>
      </w:r>
      <w:r w:rsidR="00434548">
        <w:t>n 2024. The costs in Table 1</w:t>
      </w:r>
      <w:r w:rsidRPr="00CA6F7A">
        <w:t xml:space="preserve"> were developed by TECO based on actual costs from TECO’s Big Bend Unit 1 Section 316(b) Impingement Mortality Project. Labor costs from central Florida were used </w:t>
      </w:r>
      <w:r>
        <w:t xml:space="preserve">along </w:t>
      </w:r>
      <w:r w:rsidRPr="00CA6F7A">
        <w:t xml:space="preserve">with </w:t>
      </w:r>
      <w:r>
        <w:t xml:space="preserve">estimates </w:t>
      </w:r>
      <w:r w:rsidRPr="00CA6F7A">
        <w:t>on the major equipment such as the traveling screens. A draft layout of the fish return system was created, and material requirements wer</w:t>
      </w:r>
      <w:r w:rsidR="00BC1897">
        <w:t xml:space="preserve">e estimated. Further, Table 2 </w:t>
      </w:r>
      <w:r w:rsidRPr="00CA6F7A">
        <w:t xml:space="preserve">shows the estimated </w:t>
      </w:r>
      <w:r>
        <w:t xml:space="preserve">annual impact of the Project on </w:t>
      </w:r>
      <w:r w:rsidRPr="00CA6F7A">
        <w:t>residential customer bills.</w:t>
      </w:r>
    </w:p>
    <w:p w:rsidR="00C57632" w:rsidRDefault="00C57632" w:rsidP="00D50B6E">
      <w:pPr>
        <w:ind w:firstLine="720"/>
        <w:jc w:val="both"/>
      </w:pPr>
    </w:p>
    <w:p w:rsidR="00C57632" w:rsidRDefault="00C57632" w:rsidP="00D50B6E">
      <w:pPr>
        <w:ind w:firstLine="720"/>
        <w:jc w:val="both"/>
      </w:pPr>
    </w:p>
    <w:p w:rsidR="00C57632" w:rsidRDefault="00C57632" w:rsidP="00D50B6E">
      <w:pPr>
        <w:ind w:firstLine="720"/>
        <w:jc w:val="both"/>
      </w:pPr>
    </w:p>
    <w:p w:rsidR="00C57632" w:rsidRDefault="00C57632" w:rsidP="00D50B6E">
      <w:pPr>
        <w:ind w:firstLine="720"/>
        <w:jc w:val="both"/>
      </w:pPr>
    </w:p>
    <w:p w:rsidR="00C57632" w:rsidRDefault="00C57632" w:rsidP="00D50B6E">
      <w:pPr>
        <w:ind w:firstLine="720"/>
        <w:jc w:val="both"/>
      </w:pPr>
    </w:p>
    <w:p w:rsidR="00C57632" w:rsidRDefault="00C57632" w:rsidP="00D50B6E">
      <w:pPr>
        <w:ind w:firstLine="720"/>
        <w:jc w:val="both"/>
      </w:pPr>
    </w:p>
    <w:p w:rsidR="00C57632" w:rsidRDefault="00C57632" w:rsidP="00D50B6E">
      <w:pPr>
        <w:ind w:firstLine="720"/>
        <w:jc w:val="both"/>
      </w:pPr>
    </w:p>
    <w:p w:rsidR="00C57632" w:rsidRDefault="00C57632" w:rsidP="00D50B6E">
      <w:pPr>
        <w:ind w:firstLine="720"/>
        <w:jc w:val="both"/>
      </w:pPr>
    </w:p>
    <w:p w:rsidR="00C57632" w:rsidRDefault="00C57632" w:rsidP="00D50B6E">
      <w:pPr>
        <w:ind w:firstLine="720"/>
        <w:jc w:val="both"/>
      </w:pPr>
    </w:p>
    <w:p w:rsidR="00C57632" w:rsidRDefault="00C57632" w:rsidP="00D50B6E">
      <w:pPr>
        <w:ind w:firstLine="720"/>
        <w:jc w:val="both"/>
      </w:pPr>
    </w:p>
    <w:p w:rsidR="00C57632" w:rsidRDefault="00C57632" w:rsidP="00D50B6E">
      <w:pPr>
        <w:ind w:firstLine="720"/>
        <w:jc w:val="both"/>
      </w:pPr>
    </w:p>
    <w:p w:rsidR="00C57632" w:rsidRDefault="00C57632" w:rsidP="00D50B6E">
      <w:pPr>
        <w:ind w:firstLine="720"/>
        <w:jc w:val="both"/>
      </w:pPr>
    </w:p>
    <w:p w:rsidR="00C57632" w:rsidRDefault="00C57632" w:rsidP="00D50B6E">
      <w:pPr>
        <w:ind w:firstLine="720"/>
        <w:jc w:val="both"/>
      </w:pPr>
    </w:p>
    <w:p w:rsidR="00C57632" w:rsidRDefault="00C57632" w:rsidP="00D50B6E">
      <w:pPr>
        <w:ind w:firstLine="720"/>
        <w:jc w:val="both"/>
      </w:pPr>
    </w:p>
    <w:p w:rsidR="00C57632" w:rsidRDefault="00C57632" w:rsidP="00D50B6E">
      <w:pPr>
        <w:ind w:firstLine="720"/>
        <w:jc w:val="both"/>
      </w:pPr>
    </w:p>
    <w:p w:rsidR="00C57632" w:rsidRDefault="00C57632" w:rsidP="00D50B6E">
      <w:pPr>
        <w:ind w:firstLine="720"/>
        <w:jc w:val="both"/>
      </w:pPr>
    </w:p>
    <w:p w:rsidR="00C57632" w:rsidRDefault="00C57632" w:rsidP="00D50B6E">
      <w:pPr>
        <w:ind w:firstLine="720"/>
        <w:jc w:val="both"/>
      </w:pPr>
    </w:p>
    <w:p w:rsidR="00C57632" w:rsidRDefault="00C57632" w:rsidP="00D50B6E">
      <w:pPr>
        <w:ind w:firstLine="720"/>
        <w:jc w:val="both"/>
      </w:pPr>
    </w:p>
    <w:p w:rsidR="00C57632" w:rsidRDefault="00C57632" w:rsidP="00D50B6E">
      <w:pPr>
        <w:ind w:firstLine="720"/>
        <w:jc w:val="both"/>
      </w:pPr>
    </w:p>
    <w:p w:rsidR="00C57632" w:rsidRDefault="00C57632" w:rsidP="00D50B6E">
      <w:pPr>
        <w:ind w:firstLine="720"/>
        <w:jc w:val="both"/>
      </w:pPr>
    </w:p>
    <w:p w:rsidR="00C57632" w:rsidRPr="00CA6F7A" w:rsidRDefault="00C57632" w:rsidP="00D50B6E">
      <w:pPr>
        <w:ind w:firstLine="720"/>
        <w:jc w:val="both"/>
      </w:pPr>
    </w:p>
    <w:p w:rsidR="00AC0E0B" w:rsidRPr="00CA6F7A" w:rsidRDefault="00434548" w:rsidP="00AC0E0B">
      <w:pPr>
        <w:pStyle w:val="TableTitle"/>
        <w:keepNext/>
      </w:pPr>
      <w:r>
        <w:lastRenderedPageBreak/>
        <w:t>Table 1</w:t>
      </w:r>
    </w:p>
    <w:p w:rsidR="00AC0E0B" w:rsidRPr="00CA6F7A" w:rsidRDefault="00AC0E0B" w:rsidP="00AC0E0B">
      <w:pPr>
        <w:pStyle w:val="TableTitle"/>
        <w:keepNext/>
      </w:pPr>
      <w:r w:rsidRPr="00CA6F7A">
        <w:t>Estimated Capital and O&amp;M Costs</w:t>
      </w:r>
    </w:p>
    <w:tbl>
      <w:tblPr>
        <w:tblStyle w:val="TableGrid"/>
        <w:tblW w:w="0" w:type="auto"/>
        <w:jc w:val="center"/>
        <w:tblLook w:val="04A0" w:firstRow="1" w:lastRow="0" w:firstColumn="1" w:lastColumn="0" w:noHBand="0" w:noVBand="1"/>
      </w:tblPr>
      <w:tblGrid>
        <w:gridCol w:w="3873"/>
        <w:gridCol w:w="856"/>
        <w:gridCol w:w="856"/>
        <w:gridCol w:w="856"/>
        <w:gridCol w:w="856"/>
        <w:gridCol w:w="856"/>
        <w:gridCol w:w="856"/>
      </w:tblGrid>
      <w:tr w:rsidR="00AC0E0B" w:rsidRPr="00CA6F7A" w:rsidTr="00C57632">
        <w:trPr>
          <w:jc w:val="center"/>
        </w:trPr>
        <w:tc>
          <w:tcPr>
            <w:tcW w:w="3873" w:type="dxa"/>
          </w:tcPr>
          <w:p w:rsidR="00AC0E0B" w:rsidRPr="00CA6F7A" w:rsidRDefault="00AC0E0B" w:rsidP="00EA0C17"/>
        </w:tc>
        <w:tc>
          <w:tcPr>
            <w:tcW w:w="856" w:type="dxa"/>
            <w:tcBorders>
              <w:bottom w:val="single" w:sz="4" w:space="0" w:color="auto"/>
            </w:tcBorders>
          </w:tcPr>
          <w:p w:rsidR="00AC0E0B" w:rsidRPr="00CA6F7A" w:rsidRDefault="00AC0E0B" w:rsidP="00EA0C17">
            <w:pPr>
              <w:jc w:val="center"/>
            </w:pPr>
            <w:r w:rsidRPr="00CA6F7A">
              <w:t>2021</w:t>
            </w:r>
          </w:p>
          <w:p w:rsidR="00AC0E0B" w:rsidRPr="00CA6F7A" w:rsidRDefault="00AC0E0B" w:rsidP="00EA0C17">
            <w:pPr>
              <w:jc w:val="center"/>
            </w:pPr>
            <w:r w:rsidRPr="00CA6F7A">
              <w:t>($000)</w:t>
            </w:r>
          </w:p>
        </w:tc>
        <w:tc>
          <w:tcPr>
            <w:tcW w:w="856" w:type="dxa"/>
            <w:tcBorders>
              <w:bottom w:val="single" w:sz="4" w:space="0" w:color="auto"/>
            </w:tcBorders>
          </w:tcPr>
          <w:p w:rsidR="00AC0E0B" w:rsidRPr="00CA6F7A" w:rsidRDefault="00AC0E0B" w:rsidP="00EA0C17">
            <w:pPr>
              <w:jc w:val="center"/>
            </w:pPr>
            <w:r w:rsidRPr="00CA6F7A">
              <w:t>2022</w:t>
            </w:r>
          </w:p>
          <w:p w:rsidR="00AC0E0B" w:rsidRPr="00CA6F7A" w:rsidRDefault="00AC0E0B" w:rsidP="00EA0C17">
            <w:pPr>
              <w:jc w:val="center"/>
            </w:pPr>
            <w:r w:rsidRPr="00CA6F7A">
              <w:t>($000)</w:t>
            </w:r>
          </w:p>
        </w:tc>
        <w:tc>
          <w:tcPr>
            <w:tcW w:w="856" w:type="dxa"/>
            <w:tcBorders>
              <w:bottom w:val="single" w:sz="4" w:space="0" w:color="auto"/>
            </w:tcBorders>
          </w:tcPr>
          <w:p w:rsidR="00AC0E0B" w:rsidRPr="00CA6F7A" w:rsidRDefault="00AC0E0B" w:rsidP="00EA0C17">
            <w:pPr>
              <w:jc w:val="center"/>
            </w:pPr>
            <w:r w:rsidRPr="00CA6F7A">
              <w:t>2023</w:t>
            </w:r>
          </w:p>
          <w:p w:rsidR="00AC0E0B" w:rsidRPr="00CA6F7A" w:rsidRDefault="00AC0E0B" w:rsidP="00EA0C17">
            <w:pPr>
              <w:jc w:val="center"/>
            </w:pPr>
            <w:r w:rsidRPr="00CA6F7A">
              <w:t>($000)</w:t>
            </w:r>
          </w:p>
        </w:tc>
        <w:tc>
          <w:tcPr>
            <w:tcW w:w="856" w:type="dxa"/>
            <w:tcBorders>
              <w:bottom w:val="single" w:sz="4" w:space="0" w:color="auto"/>
            </w:tcBorders>
          </w:tcPr>
          <w:p w:rsidR="00AC0E0B" w:rsidRPr="00CA6F7A" w:rsidRDefault="00AC0E0B" w:rsidP="00EA0C17">
            <w:pPr>
              <w:jc w:val="center"/>
            </w:pPr>
            <w:r w:rsidRPr="00CA6F7A">
              <w:t>2024</w:t>
            </w:r>
          </w:p>
          <w:p w:rsidR="00AC0E0B" w:rsidRPr="00CA6F7A" w:rsidRDefault="00AC0E0B" w:rsidP="00EA0C17">
            <w:pPr>
              <w:jc w:val="center"/>
            </w:pPr>
            <w:r w:rsidRPr="00CA6F7A">
              <w:t>($000)</w:t>
            </w:r>
          </w:p>
        </w:tc>
        <w:tc>
          <w:tcPr>
            <w:tcW w:w="856" w:type="dxa"/>
            <w:tcBorders>
              <w:bottom w:val="single" w:sz="4" w:space="0" w:color="auto"/>
            </w:tcBorders>
          </w:tcPr>
          <w:p w:rsidR="00AC0E0B" w:rsidRPr="00CA6F7A" w:rsidRDefault="00AC0E0B" w:rsidP="00EA0C17">
            <w:pPr>
              <w:jc w:val="center"/>
            </w:pPr>
            <w:r w:rsidRPr="00CA6F7A">
              <w:t>2025</w:t>
            </w:r>
          </w:p>
          <w:p w:rsidR="00AC0E0B" w:rsidRPr="00CA6F7A" w:rsidRDefault="00AC0E0B" w:rsidP="00EA0C17">
            <w:pPr>
              <w:jc w:val="center"/>
            </w:pPr>
            <w:r w:rsidRPr="00CA6F7A">
              <w:t>($000)</w:t>
            </w:r>
          </w:p>
        </w:tc>
        <w:tc>
          <w:tcPr>
            <w:tcW w:w="856" w:type="dxa"/>
            <w:tcBorders>
              <w:bottom w:val="single" w:sz="4" w:space="0" w:color="auto"/>
            </w:tcBorders>
          </w:tcPr>
          <w:p w:rsidR="00AC0E0B" w:rsidRPr="00CA6F7A" w:rsidRDefault="00AC0E0B" w:rsidP="00EA0C17">
            <w:pPr>
              <w:jc w:val="center"/>
            </w:pPr>
            <w:r w:rsidRPr="00CA6F7A">
              <w:t>Total</w:t>
            </w:r>
          </w:p>
          <w:p w:rsidR="00AC0E0B" w:rsidRPr="00CA6F7A" w:rsidRDefault="00AC0E0B" w:rsidP="00EA0C17">
            <w:pPr>
              <w:jc w:val="center"/>
            </w:pPr>
            <w:r w:rsidRPr="00CA6F7A">
              <w:t>($000)</w:t>
            </w:r>
          </w:p>
        </w:tc>
      </w:tr>
      <w:tr w:rsidR="00AC0E0B" w:rsidRPr="00CA6F7A" w:rsidTr="00C57632">
        <w:trPr>
          <w:jc w:val="center"/>
        </w:trPr>
        <w:tc>
          <w:tcPr>
            <w:tcW w:w="3873" w:type="dxa"/>
            <w:tcBorders>
              <w:right w:val="single" w:sz="4" w:space="0" w:color="auto"/>
            </w:tcBorders>
          </w:tcPr>
          <w:p w:rsidR="00AC0E0B" w:rsidRPr="00CA6F7A" w:rsidRDefault="00AC0E0B" w:rsidP="00EA0C17">
            <w:pPr>
              <w:rPr>
                <w:b/>
              </w:rPr>
            </w:pPr>
            <w:r w:rsidRPr="00CA6F7A">
              <w:rPr>
                <w:b/>
              </w:rPr>
              <w:t>Capital</w:t>
            </w:r>
          </w:p>
        </w:tc>
        <w:tc>
          <w:tcPr>
            <w:tcW w:w="856" w:type="dxa"/>
            <w:tcBorders>
              <w:top w:val="single" w:sz="4" w:space="0" w:color="auto"/>
              <w:left w:val="single" w:sz="4" w:space="0" w:color="auto"/>
              <w:bottom w:val="single" w:sz="4" w:space="0" w:color="auto"/>
              <w:right w:val="nil"/>
            </w:tcBorders>
          </w:tcPr>
          <w:p w:rsidR="00AC0E0B" w:rsidRPr="00CA6F7A" w:rsidRDefault="00AC0E0B" w:rsidP="00EA0C17">
            <w:pPr>
              <w:jc w:val="right"/>
            </w:pPr>
          </w:p>
        </w:tc>
        <w:tc>
          <w:tcPr>
            <w:tcW w:w="856" w:type="dxa"/>
            <w:tcBorders>
              <w:top w:val="single" w:sz="4" w:space="0" w:color="auto"/>
              <w:left w:val="nil"/>
              <w:bottom w:val="single" w:sz="4" w:space="0" w:color="auto"/>
              <w:right w:val="nil"/>
            </w:tcBorders>
          </w:tcPr>
          <w:p w:rsidR="00AC0E0B" w:rsidRPr="00CA6F7A" w:rsidRDefault="00AC0E0B" w:rsidP="00EA0C17">
            <w:pPr>
              <w:jc w:val="right"/>
            </w:pPr>
          </w:p>
        </w:tc>
        <w:tc>
          <w:tcPr>
            <w:tcW w:w="856" w:type="dxa"/>
            <w:tcBorders>
              <w:top w:val="single" w:sz="4" w:space="0" w:color="auto"/>
              <w:left w:val="nil"/>
              <w:bottom w:val="single" w:sz="4" w:space="0" w:color="auto"/>
              <w:right w:val="nil"/>
            </w:tcBorders>
          </w:tcPr>
          <w:p w:rsidR="00AC0E0B" w:rsidRPr="00CA6F7A" w:rsidRDefault="00AC0E0B" w:rsidP="00EA0C17">
            <w:pPr>
              <w:jc w:val="right"/>
            </w:pPr>
          </w:p>
        </w:tc>
        <w:tc>
          <w:tcPr>
            <w:tcW w:w="856" w:type="dxa"/>
            <w:tcBorders>
              <w:top w:val="single" w:sz="4" w:space="0" w:color="auto"/>
              <w:left w:val="nil"/>
              <w:bottom w:val="single" w:sz="4" w:space="0" w:color="auto"/>
              <w:right w:val="nil"/>
            </w:tcBorders>
          </w:tcPr>
          <w:p w:rsidR="00AC0E0B" w:rsidRPr="00CA6F7A" w:rsidRDefault="00AC0E0B" w:rsidP="00EA0C17">
            <w:pPr>
              <w:jc w:val="right"/>
            </w:pPr>
          </w:p>
        </w:tc>
        <w:tc>
          <w:tcPr>
            <w:tcW w:w="856" w:type="dxa"/>
            <w:tcBorders>
              <w:top w:val="single" w:sz="4" w:space="0" w:color="auto"/>
              <w:left w:val="nil"/>
              <w:bottom w:val="single" w:sz="4" w:space="0" w:color="auto"/>
              <w:right w:val="nil"/>
            </w:tcBorders>
          </w:tcPr>
          <w:p w:rsidR="00AC0E0B" w:rsidRPr="00CA6F7A" w:rsidRDefault="00AC0E0B" w:rsidP="00EA0C17">
            <w:pPr>
              <w:jc w:val="right"/>
            </w:pPr>
          </w:p>
        </w:tc>
        <w:tc>
          <w:tcPr>
            <w:tcW w:w="856" w:type="dxa"/>
            <w:tcBorders>
              <w:top w:val="single" w:sz="4" w:space="0" w:color="auto"/>
              <w:left w:val="nil"/>
              <w:bottom w:val="single" w:sz="4" w:space="0" w:color="auto"/>
              <w:right w:val="single" w:sz="4" w:space="0" w:color="auto"/>
            </w:tcBorders>
          </w:tcPr>
          <w:p w:rsidR="00AC0E0B" w:rsidRPr="00CA6F7A" w:rsidRDefault="00AC0E0B" w:rsidP="00EA0C17">
            <w:pPr>
              <w:jc w:val="right"/>
            </w:pPr>
          </w:p>
        </w:tc>
      </w:tr>
      <w:tr w:rsidR="00AC0E0B" w:rsidRPr="00CA6F7A" w:rsidTr="00C57632">
        <w:trPr>
          <w:jc w:val="center"/>
        </w:trPr>
        <w:tc>
          <w:tcPr>
            <w:tcW w:w="3873" w:type="dxa"/>
          </w:tcPr>
          <w:p w:rsidR="00AC0E0B" w:rsidRPr="00CA6F7A" w:rsidRDefault="00AC0E0B" w:rsidP="00EA0C17">
            <w:r w:rsidRPr="00CA6F7A">
              <w:t>Engineering</w:t>
            </w:r>
          </w:p>
        </w:tc>
        <w:tc>
          <w:tcPr>
            <w:tcW w:w="856" w:type="dxa"/>
            <w:tcBorders>
              <w:top w:val="single" w:sz="4" w:space="0" w:color="auto"/>
            </w:tcBorders>
          </w:tcPr>
          <w:p w:rsidR="00AC0E0B" w:rsidRPr="00CA6F7A" w:rsidRDefault="00AC0E0B" w:rsidP="00EA0C17">
            <w:pPr>
              <w:jc w:val="right"/>
            </w:pPr>
            <w:r w:rsidRPr="00CA6F7A">
              <w:t xml:space="preserve"> 375 </w:t>
            </w:r>
          </w:p>
        </w:tc>
        <w:tc>
          <w:tcPr>
            <w:tcW w:w="856" w:type="dxa"/>
            <w:tcBorders>
              <w:top w:val="single" w:sz="4" w:space="0" w:color="auto"/>
            </w:tcBorders>
          </w:tcPr>
          <w:p w:rsidR="00AC0E0B" w:rsidRPr="00CA6F7A" w:rsidRDefault="00AC0E0B" w:rsidP="00EA0C17">
            <w:pPr>
              <w:jc w:val="right"/>
            </w:pPr>
            <w:r w:rsidRPr="00CA6F7A">
              <w:t xml:space="preserve"> 75 </w:t>
            </w:r>
          </w:p>
        </w:tc>
        <w:tc>
          <w:tcPr>
            <w:tcW w:w="856" w:type="dxa"/>
            <w:tcBorders>
              <w:top w:val="single" w:sz="4" w:space="0" w:color="auto"/>
            </w:tcBorders>
          </w:tcPr>
          <w:p w:rsidR="00AC0E0B" w:rsidRPr="00CA6F7A" w:rsidRDefault="00AC0E0B" w:rsidP="00EA0C17">
            <w:pPr>
              <w:jc w:val="right"/>
            </w:pPr>
            <w:r w:rsidRPr="00CA6F7A">
              <w:t xml:space="preserve"> 75 </w:t>
            </w:r>
          </w:p>
        </w:tc>
        <w:tc>
          <w:tcPr>
            <w:tcW w:w="856" w:type="dxa"/>
            <w:tcBorders>
              <w:top w:val="single" w:sz="4" w:space="0" w:color="auto"/>
            </w:tcBorders>
          </w:tcPr>
          <w:p w:rsidR="00AC0E0B" w:rsidRPr="00CA6F7A" w:rsidRDefault="00AC0E0B" w:rsidP="00EA0C17">
            <w:pPr>
              <w:jc w:val="right"/>
            </w:pPr>
            <w:r w:rsidRPr="00CA6F7A">
              <w:t xml:space="preserve"> -   </w:t>
            </w:r>
          </w:p>
        </w:tc>
        <w:tc>
          <w:tcPr>
            <w:tcW w:w="856" w:type="dxa"/>
            <w:tcBorders>
              <w:top w:val="single" w:sz="4" w:space="0" w:color="auto"/>
            </w:tcBorders>
          </w:tcPr>
          <w:p w:rsidR="00AC0E0B" w:rsidRPr="00CA6F7A" w:rsidRDefault="00AC0E0B" w:rsidP="00EA0C17">
            <w:pPr>
              <w:jc w:val="right"/>
            </w:pPr>
            <w:r w:rsidRPr="00CA6F7A">
              <w:t xml:space="preserve"> -   </w:t>
            </w:r>
          </w:p>
        </w:tc>
        <w:tc>
          <w:tcPr>
            <w:tcW w:w="856" w:type="dxa"/>
            <w:tcBorders>
              <w:top w:val="single" w:sz="4" w:space="0" w:color="auto"/>
            </w:tcBorders>
          </w:tcPr>
          <w:p w:rsidR="00AC0E0B" w:rsidRPr="00CA6F7A" w:rsidRDefault="00AC0E0B" w:rsidP="00EA0C17">
            <w:pPr>
              <w:jc w:val="right"/>
            </w:pPr>
            <w:r w:rsidRPr="00CA6F7A">
              <w:t xml:space="preserve"> 525 </w:t>
            </w:r>
          </w:p>
        </w:tc>
      </w:tr>
      <w:tr w:rsidR="00AC0E0B" w:rsidRPr="00CA6F7A" w:rsidTr="00C57632">
        <w:trPr>
          <w:jc w:val="center"/>
        </w:trPr>
        <w:tc>
          <w:tcPr>
            <w:tcW w:w="3873" w:type="dxa"/>
          </w:tcPr>
          <w:p w:rsidR="00AC0E0B" w:rsidRPr="00CA6F7A" w:rsidRDefault="00AC0E0B" w:rsidP="00EA0C17">
            <w:r w:rsidRPr="00CA6F7A">
              <w:t>Equipment</w:t>
            </w:r>
          </w:p>
        </w:tc>
        <w:tc>
          <w:tcPr>
            <w:tcW w:w="856" w:type="dxa"/>
          </w:tcPr>
          <w:p w:rsidR="00AC0E0B" w:rsidRPr="00CA6F7A" w:rsidRDefault="00AC0E0B" w:rsidP="00EA0C17">
            <w:pPr>
              <w:jc w:val="right"/>
            </w:pPr>
            <w:r w:rsidRPr="00CA6F7A">
              <w:t xml:space="preserve"> 450 </w:t>
            </w:r>
          </w:p>
        </w:tc>
        <w:tc>
          <w:tcPr>
            <w:tcW w:w="856" w:type="dxa"/>
          </w:tcPr>
          <w:p w:rsidR="00AC0E0B" w:rsidRPr="00CA6F7A" w:rsidRDefault="00AC0E0B" w:rsidP="00EA0C17">
            <w:pPr>
              <w:jc w:val="right"/>
            </w:pPr>
            <w:r w:rsidRPr="00CA6F7A">
              <w:t xml:space="preserve"> 4,425 </w:t>
            </w:r>
          </w:p>
        </w:tc>
        <w:tc>
          <w:tcPr>
            <w:tcW w:w="856" w:type="dxa"/>
          </w:tcPr>
          <w:p w:rsidR="00AC0E0B" w:rsidRPr="00CA6F7A" w:rsidRDefault="00AC0E0B" w:rsidP="00EA0C17">
            <w:pPr>
              <w:jc w:val="right"/>
            </w:pPr>
            <w:r w:rsidRPr="00CA6F7A">
              <w:t xml:space="preserve"> 1,125 </w:t>
            </w:r>
          </w:p>
        </w:tc>
        <w:tc>
          <w:tcPr>
            <w:tcW w:w="856" w:type="dxa"/>
          </w:tcPr>
          <w:p w:rsidR="00AC0E0B" w:rsidRPr="00CA6F7A" w:rsidRDefault="00AC0E0B" w:rsidP="00EA0C17">
            <w:pPr>
              <w:jc w:val="right"/>
            </w:pPr>
            <w:r w:rsidRPr="00CA6F7A">
              <w:t xml:space="preserve"> -   </w:t>
            </w:r>
          </w:p>
        </w:tc>
        <w:tc>
          <w:tcPr>
            <w:tcW w:w="856" w:type="dxa"/>
          </w:tcPr>
          <w:p w:rsidR="00AC0E0B" w:rsidRPr="00CA6F7A" w:rsidRDefault="00AC0E0B" w:rsidP="00EA0C17">
            <w:pPr>
              <w:jc w:val="right"/>
            </w:pPr>
            <w:r w:rsidRPr="00CA6F7A">
              <w:t xml:space="preserve"> -   </w:t>
            </w:r>
          </w:p>
        </w:tc>
        <w:tc>
          <w:tcPr>
            <w:tcW w:w="856" w:type="dxa"/>
          </w:tcPr>
          <w:p w:rsidR="00AC0E0B" w:rsidRPr="00CA6F7A" w:rsidRDefault="00AC0E0B" w:rsidP="00EA0C17">
            <w:pPr>
              <w:jc w:val="right"/>
            </w:pPr>
            <w:r w:rsidRPr="00CA6F7A">
              <w:t xml:space="preserve"> 6,000 </w:t>
            </w:r>
          </w:p>
        </w:tc>
      </w:tr>
      <w:tr w:rsidR="00AC0E0B" w:rsidRPr="00CA6F7A" w:rsidTr="00C57632">
        <w:trPr>
          <w:jc w:val="center"/>
        </w:trPr>
        <w:tc>
          <w:tcPr>
            <w:tcW w:w="3873" w:type="dxa"/>
          </w:tcPr>
          <w:p w:rsidR="00AC0E0B" w:rsidRPr="00CA6F7A" w:rsidRDefault="00AC0E0B" w:rsidP="00EA0C17">
            <w:r w:rsidRPr="00CA6F7A">
              <w:t>Construction</w:t>
            </w:r>
          </w:p>
        </w:tc>
        <w:tc>
          <w:tcPr>
            <w:tcW w:w="856" w:type="dxa"/>
          </w:tcPr>
          <w:p w:rsidR="00AC0E0B" w:rsidRPr="00CA6F7A" w:rsidRDefault="00AC0E0B" w:rsidP="00EA0C17">
            <w:pPr>
              <w:jc w:val="right"/>
            </w:pPr>
            <w:r w:rsidRPr="00CA6F7A">
              <w:t xml:space="preserve"> -   </w:t>
            </w:r>
          </w:p>
        </w:tc>
        <w:tc>
          <w:tcPr>
            <w:tcW w:w="856" w:type="dxa"/>
          </w:tcPr>
          <w:p w:rsidR="00AC0E0B" w:rsidRPr="00CA6F7A" w:rsidRDefault="00AC0E0B" w:rsidP="00EA0C17">
            <w:pPr>
              <w:jc w:val="right"/>
            </w:pPr>
            <w:r w:rsidRPr="00CA6F7A">
              <w:t xml:space="preserve"> 1,850 </w:t>
            </w:r>
          </w:p>
        </w:tc>
        <w:tc>
          <w:tcPr>
            <w:tcW w:w="856" w:type="dxa"/>
          </w:tcPr>
          <w:p w:rsidR="00AC0E0B" w:rsidRPr="00CA6F7A" w:rsidRDefault="00AC0E0B" w:rsidP="00EA0C17">
            <w:pPr>
              <w:jc w:val="right"/>
            </w:pPr>
            <w:r w:rsidRPr="00CA6F7A">
              <w:t xml:space="preserve"> 750 </w:t>
            </w:r>
          </w:p>
        </w:tc>
        <w:tc>
          <w:tcPr>
            <w:tcW w:w="856" w:type="dxa"/>
          </w:tcPr>
          <w:p w:rsidR="00AC0E0B" w:rsidRPr="00CA6F7A" w:rsidRDefault="00AC0E0B" w:rsidP="00EA0C17">
            <w:pPr>
              <w:jc w:val="right"/>
            </w:pPr>
            <w:r w:rsidRPr="00CA6F7A">
              <w:t xml:space="preserve"> -   </w:t>
            </w:r>
          </w:p>
        </w:tc>
        <w:tc>
          <w:tcPr>
            <w:tcW w:w="856" w:type="dxa"/>
          </w:tcPr>
          <w:p w:rsidR="00AC0E0B" w:rsidRPr="00CA6F7A" w:rsidRDefault="00AC0E0B" w:rsidP="00EA0C17">
            <w:pPr>
              <w:jc w:val="right"/>
            </w:pPr>
            <w:r w:rsidRPr="00CA6F7A">
              <w:t xml:space="preserve"> -   </w:t>
            </w:r>
          </w:p>
        </w:tc>
        <w:tc>
          <w:tcPr>
            <w:tcW w:w="856" w:type="dxa"/>
          </w:tcPr>
          <w:p w:rsidR="00AC0E0B" w:rsidRPr="00CA6F7A" w:rsidRDefault="00AC0E0B" w:rsidP="00EA0C17">
            <w:pPr>
              <w:jc w:val="right"/>
            </w:pPr>
            <w:r w:rsidRPr="00CA6F7A">
              <w:t xml:space="preserve"> 2,600 </w:t>
            </w:r>
          </w:p>
        </w:tc>
      </w:tr>
      <w:tr w:rsidR="00AC0E0B" w:rsidRPr="00CA6F7A" w:rsidTr="00C57632">
        <w:trPr>
          <w:jc w:val="center"/>
        </w:trPr>
        <w:tc>
          <w:tcPr>
            <w:tcW w:w="3873" w:type="dxa"/>
          </w:tcPr>
          <w:p w:rsidR="00AC0E0B" w:rsidRPr="00CA6F7A" w:rsidRDefault="00AC0E0B" w:rsidP="00EA0C17">
            <w:r w:rsidRPr="00CA6F7A">
              <w:t>Owners Costs</w:t>
            </w:r>
          </w:p>
        </w:tc>
        <w:tc>
          <w:tcPr>
            <w:tcW w:w="856" w:type="dxa"/>
          </w:tcPr>
          <w:p w:rsidR="00AC0E0B" w:rsidRPr="00CA6F7A" w:rsidRDefault="00AC0E0B" w:rsidP="00EA0C17">
            <w:pPr>
              <w:jc w:val="right"/>
            </w:pPr>
            <w:r w:rsidRPr="00CA6F7A">
              <w:t xml:space="preserve"> 125 </w:t>
            </w:r>
          </w:p>
        </w:tc>
        <w:tc>
          <w:tcPr>
            <w:tcW w:w="856" w:type="dxa"/>
          </w:tcPr>
          <w:p w:rsidR="00AC0E0B" w:rsidRPr="00CA6F7A" w:rsidRDefault="00AC0E0B" w:rsidP="00EA0C17">
            <w:pPr>
              <w:jc w:val="right"/>
            </w:pPr>
            <w:r w:rsidRPr="00CA6F7A">
              <w:t xml:space="preserve"> 125 </w:t>
            </w:r>
          </w:p>
        </w:tc>
        <w:tc>
          <w:tcPr>
            <w:tcW w:w="856" w:type="dxa"/>
          </w:tcPr>
          <w:p w:rsidR="00AC0E0B" w:rsidRPr="00CA6F7A" w:rsidRDefault="00AC0E0B" w:rsidP="00EA0C17">
            <w:pPr>
              <w:jc w:val="right"/>
            </w:pPr>
            <w:r w:rsidRPr="00CA6F7A">
              <w:t xml:space="preserve"> 125 </w:t>
            </w:r>
          </w:p>
        </w:tc>
        <w:tc>
          <w:tcPr>
            <w:tcW w:w="856" w:type="dxa"/>
          </w:tcPr>
          <w:p w:rsidR="00AC0E0B" w:rsidRPr="00CA6F7A" w:rsidRDefault="00AC0E0B" w:rsidP="00EA0C17">
            <w:pPr>
              <w:jc w:val="right"/>
            </w:pPr>
            <w:r w:rsidRPr="00CA6F7A">
              <w:t xml:space="preserve"> -   </w:t>
            </w:r>
          </w:p>
        </w:tc>
        <w:tc>
          <w:tcPr>
            <w:tcW w:w="856" w:type="dxa"/>
          </w:tcPr>
          <w:p w:rsidR="00AC0E0B" w:rsidRPr="00CA6F7A" w:rsidRDefault="00AC0E0B" w:rsidP="00EA0C17">
            <w:pPr>
              <w:jc w:val="right"/>
            </w:pPr>
            <w:r w:rsidRPr="00CA6F7A">
              <w:t xml:space="preserve"> -   </w:t>
            </w:r>
          </w:p>
        </w:tc>
        <w:tc>
          <w:tcPr>
            <w:tcW w:w="856" w:type="dxa"/>
          </w:tcPr>
          <w:p w:rsidR="00AC0E0B" w:rsidRPr="00CA6F7A" w:rsidRDefault="00AC0E0B" w:rsidP="00EA0C17">
            <w:pPr>
              <w:jc w:val="right"/>
            </w:pPr>
            <w:r w:rsidRPr="00CA6F7A">
              <w:t xml:space="preserve"> 375 </w:t>
            </w:r>
          </w:p>
        </w:tc>
      </w:tr>
      <w:tr w:rsidR="00AC0E0B" w:rsidRPr="00CA6F7A" w:rsidTr="00C57632">
        <w:trPr>
          <w:jc w:val="center"/>
        </w:trPr>
        <w:tc>
          <w:tcPr>
            <w:tcW w:w="3873" w:type="dxa"/>
          </w:tcPr>
          <w:p w:rsidR="00AC0E0B" w:rsidRPr="00CA6F7A" w:rsidRDefault="00AC0E0B" w:rsidP="00EA0C17">
            <w:r w:rsidRPr="00CA6F7A">
              <w:t>Demolition / Retirement</w:t>
            </w:r>
          </w:p>
        </w:tc>
        <w:tc>
          <w:tcPr>
            <w:tcW w:w="856" w:type="dxa"/>
          </w:tcPr>
          <w:p w:rsidR="00AC0E0B" w:rsidRPr="00CA6F7A" w:rsidRDefault="00AC0E0B" w:rsidP="00EA0C17">
            <w:pPr>
              <w:jc w:val="right"/>
            </w:pPr>
            <w:r w:rsidRPr="00CA6F7A">
              <w:t xml:space="preserve"> -   </w:t>
            </w:r>
          </w:p>
        </w:tc>
        <w:tc>
          <w:tcPr>
            <w:tcW w:w="856" w:type="dxa"/>
          </w:tcPr>
          <w:p w:rsidR="00AC0E0B" w:rsidRPr="00CA6F7A" w:rsidRDefault="00AC0E0B" w:rsidP="00EA0C17">
            <w:pPr>
              <w:jc w:val="right"/>
            </w:pPr>
            <w:r w:rsidRPr="00CA6F7A">
              <w:t xml:space="preserve"> 30 </w:t>
            </w:r>
          </w:p>
        </w:tc>
        <w:tc>
          <w:tcPr>
            <w:tcW w:w="856" w:type="dxa"/>
          </w:tcPr>
          <w:p w:rsidR="00AC0E0B" w:rsidRPr="00CA6F7A" w:rsidRDefault="00AC0E0B" w:rsidP="00EA0C17">
            <w:pPr>
              <w:jc w:val="right"/>
            </w:pPr>
            <w:r w:rsidRPr="00CA6F7A">
              <w:t xml:space="preserve"> 30 </w:t>
            </w:r>
          </w:p>
        </w:tc>
        <w:tc>
          <w:tcPr>
            <w:tcW w:w="856" w:type="dxa"/>
          </w:tcPr>
          <w:p w:rsidR="00AC0E0B" w:rsidRPr="00CA6F7A" w:rsidRDefault="00AC0E0B" w:rsidP="00EA0C17">
            <w:pPr>
              <w:jc w:val="right"/>
            </w:pPr>
            <w:r w:rsidRPr="00CA6F7A">
              <w:t xml:space="preserve"> -   </w:t>
            </w:r>
          </w:p>
        </w:tc>
        <w:tc>
          <w:tcPr>
            <w:tcW w:w="856" w:type="dxa"/>
          </w:tcPr>
          <w:p w:rsidR="00AC0E0B" w:rsidRPr="00CA6F7A" w:rsidRDefault="00AC0E0B" w:rsidP="00EA0C17">
            <w:pPr>
              <w:jc w:val="right"/>
            </w:pPr>
            <w:r w:rsidRPr="00CA6F7A">
              <w:t xml:space="preserve"> -   </w:t>
            </w:r>
          </w:p>
        </w:tc>
        <w:tc>
          <w:tcPr>
            <w:tcW w:w="856" w:type="dxa"/>
          </w:tcPr>
          <w:p w:rsidR="00AC0E0B" w:rsidRPr="00CA6F7A" w:rsidRDefault="00AC0E0B" w:rsidP="00EA0C17">
            <w:pPr>
              <w:jc w:val="right"/>
            </w:pPr>
            <w:r w:rsidRPr="00CA6F7A">
              <w:t xml:space="preserve"> 60 </w:t>
            </w:r>
          </w:p>
        </w:tc>
      </w:tr>
      <w:tr w:rsidR="00AC0E0B" w:rsidRPr="00CA6F7A" w:rsidTr="00C57632">
        <w:trPr>
          <w:jc w:val="center"/>
        </w:trPr>
        <w:tc>
          <w:tcPr>
            <w:tcW w:w="3873" w:type="dxa"/>
            <w:tcBorders>
              <w:bottom w:val="single" w:sz="4" w:space="0" w:color="auto"/>
            </w:tcBorders>
          </w:tcPr>
          <w:p w:rsidR="00AC0E0B" w:rsidRPr="00CA6F7A" w:rsidRDefault="00AC0E0B" w:rsidP="00EA0C17">
            <w:pPr>
              <w:jc w:val="right"/>
            </w:pPr>
            <w:r w:rsidRPr="00CA6F7A">
              <w:t>Total Capital</w:t>
            </w:r>
          </w:p>
        </w:tc>
        <w:tc>
          <w:tcPr>
            <w:tcW w:w="856" w:type="dxa"/>
            <w:tcBorders>
              <w:bottom w:val="single" w:sz="4" w:space="0" w:color="auto"/>
            </w:tcBorders>
          </w:tcPr>
          <w:p w:rsidR="00AC0E0B" w:rsidRPr="00CA6F7A" w:rsidRDefault="00AC0E0B" w:rsidP="00EA0C17">
            <w:pPr>
              <w:jc w:val="right"/>
            </w:pPr>
            <w:r w:rsidRPr="00CA6F7A">
              <w:t xml:space="preserve"> 950 </w:t>
            </w:r>
          </w:p>
        </w:tc>
        <w:tc>
          <w:tcPr>
            <w:tcW w:w="856" w:type="dxa"/>
            <w:tcBorders>
              <w:bottom w:val="single" w:sz="4" w:space="0" w:color="auto"/>
            </w:tcBorders>
          </w:tcPr>
          <w:p w:rsidR="00AC0E0B" w:rsidRPr="00CA6F7A" w:rsidRDefault="00AC0E0B" w:rsidP="00EA0C17">
            <w:pPr>
              <w:jc w:val="right"/>
            </w:pPr>
            <w:r w:rsidRPr="00CA6F7A">
              <w:t xml:space="preserve"> 6,505 </w:t>
            </w:r>
          </w:p>
        </w:tc>
        <w:tc>
          <w:tcPr>
            <w:tcW w:w="856" w:type="dxa"/>
            <w:tcBorders>
              <w:bottom w:val="single" w:sz="4" w:space="0" w:color="auto"/>
            </w:tcBorders>
          </w:tcPr>
          <w:p w:rsidR="00AC0E0B" w:rsidRPr="00CA6F7A" w:rsidRDefault="00AC0E0B" w:rsidP="00EA0C17">
            <w:pPr>
              <w:jc w:val="right"/>
            </w:pPr>
            <w:r w:rsidRPr="00CA6F7A">
              <w:t xml:space="preserve"> 2,105 </w:t>
            </w:r>
          </w:p>
        </w:tc>
        <w:tc>
          <w:tcPr>
            <w:tcW w:w="856" w:type="dxa"/>
            <w:tcBorders>
              <w:bottom w:val="single" w:sz="4" w:space="0" w:color="auto"/>
            </w:tcBorders>
          </w:tcPr>
          <w:p w:rsidR="00AC0E0B" w:rsidRPr="00CA6F7A" w:rsidRDefault="00AC0E0B" w:rsidP="00EA0C17">
            <w:pPr>
              <w:jc w:val="right"/>
            </w:pPr>
            <w:r w:rsidRPr="00CA6F7A">
              <w:t xml:space="preserve"> -   </w:t>
            </w:r>
          </w:p>
        </w:tc>
        <w:tc>
          <w:tcPr>
            <w:tcW w:w="856" w:type="dxa"/>
            <w:tcBorders>
              <w:bottom w:val="single" w:sz="4" w:space="0" w:color="auto"/>
            </w:tcBorders>
          </w:tcPr>
          <w:p w:rsidR="00AC0E0B" w:rsidRPr="00CA6F7A" w:rsidRDefault="00AC0E0B" w:rsidP="00EA0C17">
            <w:pPr>
              <w:jc w:val="right"/>
            </w:pPr>
            <w:r w:rsidRPr="00CA6F7A">
              <w:t xml:space="preserve"> -   </w:t>
            </w:r>
          </w:p>
        </w:tc>
        <w:tc>
          <w:tcPr>
            <w:tcW w:w="856" w:type="dxa"/>
            <w:tcBorders>
              <w:bottom w:val="single" w:sz="4" w:space="0" w:color="auto"/>
            </w:tcBorders>
          </w:tcPr>
          <w:p w:rsidR="00AC0E0B" w:rsidRPr="00CA6F7A" w:rsidRDefault="00AC0E0B" w:rsidP="00EA0C17">
            <w:pPr>
              <w:jc w:val="right"/>
            </w:pPr>
            <w:r w:rsidRPr="00CA6F7A">
              <w:t xml:space="preserve"> 9,560 </w:t>
            </w:r>
          </w:p>
        </w:tc>
      </w:tr>
      <w:tr w:rsidR="00AC0E0B" w:rsidRPr="00CA6F7A" w:rsidTr="00C57632">
        <w:trPr>
          <w:jc w:val="center"/>
        </w:trPr>
        <w:tc>
          <w:tcPr>
            <w:tcW w:w="3873" w:type="dxa"/>
            <w:tcBorders>
              <w:top w:val="single" w:sz="4" w:space="0" w:color="auto"/>
              <w:left w:val="single" w:sz="4" w:space="0" w:color="auto"/>
              <w:bottom w:val="single" w:sz="4" w:space="0" w:color="auto"/>
              <w:right w:val="nil"/>
            </w:tcBorders>
          </w:tcPr>
          <w:p w:rsidR="00AC0E0B" w:rsidRPr="00CA6F7A" w:rsidRDefault="00AC0E0B" w:rsidP="00EA0C17"/>
        </w:tc>
        <w:tc>
          <w:tcPr>
            <w:tcW w:w="856" w:type="dxa"/>
            <w:tcBorders>
              <w:top w:val="single" w:sz="4" w:space="0" w:color="auto"/>
              <w:left w:val="nil"/>
              <w:bottom w:val="single" w:sz="4" w:space="0" w:color="auto"/>
              <w:right w:val="nil"/>
            </w:tcBorders>
          </w:tcPr>
          <w:p w:rsidR="00AC0E0B" w:rsidRPr="00CA6F7A" w:rsidRDefault="00AC0E0B" w:rsidP="00EA0C17">
            <w:pPr>
              <w:jc w:val="right"/>
            </w:pPr>
          </w:p>
        </w:tc>
        <w:tc>
          <w:tcPr>
            <w:tcW w:w="856" w:type="dxa"/>
            <w:tcBorders>
              <w:top w:val="single" w:sz="4" w:space="0" w:color="auto"/>
              <w:left w:val="nil"/>
              <w:bottom w:val="single" w:sz="4" w:space="0" w:color="auto"/>
              <w:right w:val="nil"/>
            </w:tcBorders>
          </w:tcPr>
          <w:p w:rsidR="00AC0E0B" w:rsidRPr="00CA6F7A" w:rsidRDefault="00AC0E0B" w:rsidP="00EA0C17">
            <w:pPr>
              <w:jc w:val="right"/>
            </w:pPr>
          </w:p>
        </w:tc>
        <w:tc>
          <w:tcPr>
            <w:tcW w:w="856" w:type="dxa"/>
            <w:tcBorders>
              <w:top w:val="single" w:sz="4" w:space="0" w:color="auto"/>
              <w:left w:val="nil"/>
              <w:bottom w:val="single" w:sz="4" w:space="0" w:color="auto"/>
              <w:right w:val="nil"/>
            </w:tcBorders>
          </w:tcPr>
          <w:p w:rsidR="00AC0E0B" w:rsidRPr="00CA6F7A" w:rsidRDefault="00AC0E0B" w:rsidP="00EA0C17">
            <w:pPr>
              <w:jc w:val="right"/>
            </w:pPr>
          </w:p>
        </w:tc>
        <w:tc>
          <w:tcPr>
            <w:tcW w:w="856" w:type="dxa"/>
            <w:tcBorders>
              <w:top w:val="single" w:sz="4" w:space="0" w:color="auto"/>
              <w:left w:val="nil"/>
              <w:bottom w:val="single" w:sz="4" w:space="0" w:color="auto"/>
              <w:right w:val="nil"/>
            </w:tcBorders>
          </w:tcPr>
          <w:p w:rsidR="00AC0E0B" w:rsidRPr="00CA6F7A" w:rsidRDefault="00AC0E0B" w:rsidP="00EA0C17">
            <w:pPr>
              <w:jc w:val="right"/>
            </w:pPr>
          </w:p>
        </w:tc>
        <w:tc>
          <w:tcPr>
            <w:tcW w:w="856" w:type="dxa"/>
            <w:tcBorders>
              <w:top w:val="single" w:sz="4" w:space="0" w:color="auto"/>
              <w:left w:val="nil"/>
              <w:bottom w:val="single" w:sz="4" w:space="0" w:color="auto"/>
              <w:right w:val="nil"/>
            </w:tcBorders>
          </w:tcPr>
          <w:p w:rsidR="00AC0E0B" w:rsidRPr="00CA6F7A" w:rsidRDefault="00AC0E0B" w:rsidP="00EA0C17">
            <w:pPr>
              <w:jc w:val="right"/>
            </w:pPr>
          </w:p>
        </w:tc>
        <w:tc>
          <w:tcPr>
            <w:tcW w:w="856" w:type="dxa"/>
            <w:tcBorders>
              <w:top w:val="single" w:sz="4" w:space="0" w:color="auto"/>
              <w:left w:val="nil"/>
              <w:bottom w:val="single" w:sz="4" w:space="0" w:color="auto"/>
              <w:right w:val="single" w:sz="4" w:space="0" w:color="auto"/>
            </w:tcBorders>
          </w:tcPr>
          <w:p w:rsidR="00AC0E0B" w:rsidRPr="00CA6F7A" w:rsidRDefault="00AC0E0B" w:rsidP="00EA0C17">
            <w:pPr>
              <w:jc w:val="right"/>
            </w:pPr>
          </w:p>
        </w:tc>
      </w:tr>
      <w:tr w:rsidR="00AC0E0B" w:rsidRPr="00CA6F7A" w:rsidTr="00C57632">
        <w:trPr>
          <w:jc w:val="center"/>
        </w:trPr>
        <w:tc>
          <w:tcPr>
            <w:tcW w:w="3873" w:type="dxa"/>
            <w:tcBorders>
              <w:top w:val="single" w:sz="4" w:space="0" w:color="auto"/>
              <w:bottom w:val="single" w:sz="4" w:space="0" w:color="auto"/>
            </w:tcBorders>
          </w:tcPr>
          <w:p w:rsidR="00AC0E0B" w:rsidRPr="00CA6F7A" w:rsidRDefault="00AC0E0B" w:rsidP="00EA0C17">
            <w:pPr>
              <w:rPr>
                <w:b/>
              </w:rPr>
            </w:pPr>
            <w:r w:rsidRPr="00CA6F7A">
              <w:rPr>
                <w:b/>
              </w:rPr>
              <w:t>Compliance Optimization Study</w:t>
            </w:r>
          </w:p>
        </w:tc>
        <w:tc>
          <w:tcPr>
            <w:tcW w:w="856" w:type="dxa"/>
            <w:tcBorders>
              <w:top w:val="single" w:sz="4" w:space="0" w:color="auto"/>
              <w:bottom w:val="single" w:sz="4" w:space="0" w:color="auto"/>
            </w:tcBorders>
          </w:tcPr>
          <w:p w:rsidR="00AC0E0B" w:rsidRPr="00CA6F7A" w:rsidRDefault="00AC0E0B" w:rsidP="00EA0C17">
            <w:pPr>
              <w:jc w:val="right"/>
            </w:pPr>
            <w:r w:rsidRPr="00CA6F7A">
              <w:t xml:space="preserve"> -   </w:t>
            </w:r>
          </w:p>
        </w:tc>
        <w:tc>
          <w:tcPr>
            <w:tcW w:w="856" w:type="dxa"/>
            <w:tcBorders>
              <w:top w:val="single" w:sz="4" w:space="0" w:color="auto"/>
              <w:bottom w:val="single" w:sz="4" w:space="0" w:color="auto"/>
            </w:tcBorders>
          </w:tcPr>
          <w:p w:rsidR="00AC0E0B" w:rsidRPr="00CA6F7A" w:rsidRDefault="00AC0E0B" w:rsidP="00EA0C17">
            <w:pPr>
              <w:jc w:val="right"/>
            </w:pPr>
            <w:r w:rsidRPr="00CA6F7A">
              <w:t xml:space="preserve"> -   </w:t>
            </w:r>
          </w:p>
        </w:tc>
        <w:tc>
          <w:tcPr>
            <w:tcW w:w="856" w:type="dxa"/>
            <w:tcBorders>
              <w:top w:val="single" w:sz="4" w:space="0" w:color="auto"/>
              <w:bottom w:val="single" w:sz="4" w:space="0" w:color="auto"/>
            </w:tcBorders>
          </w:tcPr>
          <w:p w:rsidR="00AC0E0B" w:rsidRPr="00CA6F7A" w:rsidRDefault="00AC0E0B" w:rsidP="00EA0C17">
            <w:pPr>
              <w:jc w:val="right"/>
            </w:pPr>
            <w:r w:rsidRPr="00CA6F7A">
              <w:t xml:space="preserve"> -   </w:t>
            </w:r>
          </w:p>
        </w:tc>
        <w:tc>
          <w:tcPr>
            <w:tcW w:w="856" w:type="dxa"/>
            <w:tcBorders>
              <w:top w:val="single" w:sz="4" w:space="0" w:color="auto"/>
              <w:bottom w:val="single" w:sz="4" w:space="0" w:color="auto"/>
            </w:tcBorders>
          </w:tcPr>
          <w:p w:rsidR="00AC0E0B" w:rsidRPr="00CA6F7A" w:rsidRDefault="00AC0E0B" w:rsidP="00EA0C17">
            <w:pPr>
              <w:jc w:val="right"/>
            </w:pPr>
            <w:r w:rsidRPr="00CA6F7A">
              <w:t xml:space="preserve"> 270 </w:t>
            </w:r>
          </w:p>
        </w:tc>
        <w:tc>
          <w:tcPr>
            <w:tcW w:w="856" w:type="dxa"/>
            <w:tcBorders>
              <w:top w:val="single" w:sz="4" w:space="0" w:color="auto"/>
              <w:bottom w:val="single" w:sz="4" w:space="0" w:color="auto"/>
            </w:tcBorders>
          </w:tcPr>
          <w:p w:rsidR="00AC0E0B" w:rsidRPr="00CA6F7A" w:rsidRDefault="00AC0E0B" w:rsidP="00EA0C17">
            <w:pPr>
              <w:jc w:val="right"/>
            </w:pPr>
            <w:r w:rsidRPr="00CA6F7A">
              <w:t xml:space="preserve"> 270 </w:t>
            </w:r>
          </w:p>
        </w:tc>
        <w:tc>
          <w:tcPr>
            <w:tcW w:w="856" w:type="dxa"/>
            <w:tcBorders>
              <w:top w:val="single" w:sz="4" w:space="0" w:color="auto"/>
              <w:bottom w:val="single" w:sz="4" w:space="0" w:color="auto"/>
            </w:tcBorders>
          </w:tcPr>
          <w:p w:rsidR="00AC0E0B" w:rsidRPr="00CA6F7A" w:rsidRDefault="00AC0E0B" w:rsidP="00EA0C17">
            <w:pPr>
              <w:jc w:val="right"/>
            </w:pPr>
            <w:r w:rsidRPr="00CA6F7A">
              <w:t xml:space="preserve"> 540 </w:t>
            </w:r>
          </w:p>
        </w:tc>
      </w:tr>
      <w:tr w:rsidR="00AC0E0B" w:rsidRPr="00CA6F7A" w:rsidTr="00C57632">
        <w:trPr>
          <w:jc w:val="center"/>
        </w:trPr>
        <w:tc>
          <w:tcPr>
            <w:tcW w:w="3873" w:type="dxa"/>
            <w:tcBorders>
              <w:top w:val="single" w:sz="4" w:space="0" w:color="auto"/>
              <w:left w:val="single" w:sz="4" w:space="0" w:color="auto"/>
              <w:bottom w:val="single" w:sz="4" w:space="0" w:color="auto"/>
              <w:right w:val="nil"/>
            </w:tcBorders>
          </w:tcPr>
          <w:p w:rsidR="00AC0E0B" w:rsidRPr="00CA6F7A" w:rsidRDefault="00AC0E0B" w:rsidP="00EA0C17"/>
        </w:tc>
        <w:tc>
          <w:tcPr>
            <w:tcW w:w="856" w:type="dxa"/>
            <w:tcBorders>
              <w:top w:val="single" w:sz="4" w:space="0" w:color="auto"/>
              <w:left w:val="nil"/>
              <w:bottom w:val="single" w:sz="4" w:space="0" w:color="auto"/>
              <w:right w:val="nil"/>
            </w:tcBorders>
          </w:tcPr>
          <w:p w:rsidR="00AC0E0B" w:rsidRPr="00CA6F7A" w:rsidRDefault="00AC0E0B" w:rsidP="00EA0C17">
            <w:pPr>
              <w:jc w:val="right"/>
            </w:pPr>
          </w:p>
        </w:tc>
        <w:tc>
          <w:tcPr>
            <w:tcW w:w="856" w:type="dxa"/>
            <w:tcBorders>
              <w:top w:val="single" w:sz="4" w:space="0" w:color="auto"/>
              <w:left w:val="nil"/>
              <w:bottom w:val="single" w:sz="4" w:space="0" w:color="auto"/>
              <w:right w:val="nil"/>
            </w:tcBorders>
          </w:tcPr>
          <w:p w:rsidR="00AC0E0B" w:rsidRPr="00CA6F7A" w:rsidRDefault="00AC0E0B" w:rsidP="00EA0C17">
            <w:pPr>
              <w:jc w:val="right"/>
            </w:pPr>
          </w:p>
        </w:tc>
        <w:tc>
          <w:tcPr>
            <w:tcW w:w="856" w:type="dxa"/>
            <w:tcBorders>
              <w:top w:val="single" w:sz="4" w:space="0" w:color="auto"/>
              <w:left w:val="nil"/>
              <w:bottom w:val="single" w:sz="4" w:space="0" w:color="auto"/>
              <w:right w:val="nil"/>
            </w:tcBorders>
          </w:tcPr>
          <w:p w:rsidR="00AC0E0B" w:rsidRPr="00CA6F7A" w:rsidRDefault="00AC0E0B" w:rsidP="00EA0C17">
            <w:pPr>
              <w:jc w:val="right"/>
            </w:pPr>
          </w:p>
        </w:tc>
        <w:tc>
          <w:tcPr>
            <w:tcW w:w="856" w:type="dxa"/>
            <w:tcBorders>
              <w:top w:val="single" w:sz="4" w:space="0" w:color="auto"/>
              <w:left w:val="nil"/>
              <w:bottom w:val="single" w:sz="4" w:space="0" w:color="auto"/>
              <w:right w:val="nil"/>
            </w:tcBorders>
          </w:tcPr>
          <w:p w:rsidR="00AC0E0B" w:rsidRPr="00CA6F7A" w:rsidRDefault="00AC0E0B" w:rsidP="00EA0C17">
            <w:pPr>
              <w:jc w:val="right"/>
            </w:pPr>
          </w:p>
        </w:tc>
        <w:tc>
          <w:tcPr>
            <w:tcW w:w="856" w:type="dxa"/>
            <w:tcBorders>
              <w:top w:val="single" w:sz="4" w:space="0" w:color="auto"/>
              <w:left w:val="nil"/>
              <w:bottom w:val="single" w:sz="4" w:space="0" w:color="auto"/>
              <w:right w:val="nil"/>
            </w:tcBorders>
          </w:tcPr>
          <w:p w:rsidR="00AC0E0B" w:rsidRPr="00CA6F7A" w:rsidRDefault="00AC0E0B" w:rsidP="00EA0C17">
            <w:pPr>
              <w:jc w:val="right"/>
            </w:pPr>
          </w:p>
        </w:tc>
        <w:tc>
          <w:tcPr>
            <w:tcW w:w="856" w:type="dxa"/>
            <w:tcBorders>
              <w:top w:val="single" w:sz="4" w:space="0" w:color="auto"/>
              <w:left w:val="nil"/>
              <w:bottom w:val="single" w:sz="4" w:space="0" w:color="auto"/>
              <w:right w:val="single" w:sz="4" w:space="0" w:color="auto"/>
            </w:tcBorders>
          </w:tcPr>
          <w:p w:rsidR="00AC0E0B" w:rsidRPr="00CA6F7A" w:rsidRDefault="00AC0E0B" w:rsidP="00EA0C17">
            <w:pPr>
              <w:jc w:val="right"/>
            </w:pPr>
          </w:p>
        </w:tc>
      </w:tr>
      <w:tr w:rsidR="00AC0E0B" w:rsidRPr="00CA6F7A" w:rsidTr="00C57632">
        <w:trPr>
          <w:jc w:val="center"/>
        </w:trPr>
        <w:tc>
          <w:tcPr>
            <w:tcW w:w="3873" w:type="dxa"/>
            <w:tcBorders>
              <w:top w:val="single" w:sz="4" w:space="0" w:color="auto"/>
              <w:right w:val="single" w:sz="4" w:space="0" w:color="auto"/>
            </w:tcBorders>
          </w:tcPr>
          <w:p w:rsidR="00AC0E0B" w:rsidRPr="00CA6F7A" w:rsidRDefault="00AC0E0B" w:rsidP="00EA0C17">
            <w:pPr>
              <w:rPr>
                <w:b/>
              </w:rPr>
            </w:pPr>
            <w:r w:rsidRPr="00CA6F7A">
              <w:rPr>
                <w:b/>
              </w:rPr>
              <w:t>In-Service Annual O&amp;M</w:t>
            </w:r>
          </w:p>
        </w:tc>
        <w:tc>
          <w:tcPr>
            <w:tcW w:w="856" w:type="dxa"/>
            <w:tcBorders>
              <w:top w:val="single" w:sz="4" w:space="0" w:color="auto"/>
              <w:left w:val="single" w:sz="4" w:space="0" w:color="auto"/>
              <w:bottom w:val="single" w:sz="4" w:space="0" w:color="auto"/>
              <w:right w:val="nil"/>
            </w:tcBorders>
          </w:tcPr>
          <w:p w:rsidR="00AC0E0B" w:rsidRPr="00CA6F7A" w:rsidRDefault="00AC0E0B" w:rsidP="00EA0C17">
            <w:pPr>
              <w:jc w:val="right"/>
            </w:pPr>
          </w:p>
        </w:tc>
        <w:tc>
          <w:tcPr>
            <w:tcW w:w="856" w:type="dxa"/>
            <w:tcBorders>
              <w:top w:val="single" w:sz="4" w:space="0" w:color="auto"/>
              <w:left w:val="nil"/>
              <w:bottom w:val="single" w:sz="4" w:space="0" w:color="auto"/>
              <w:right w:val="nil"/>
            </w:tcBorders>
          </w:tcPr>
          <w:p w:rsidR="00AC0E0B" w:rsidRPr="00CA6F7A" w:rsidRDefault="00AC0E0B" w:rsidP="00EA0C17">
            <w:pPr>
              <w:jc w:val="right"/>
            </w:pPr>
          </w:p>
        </w:tc>
        <w:tc>
          <w:tcPr>
            <w:tcW w:w="856" w:type="dxa"/>
            <w:tcBorders>
              <w:top w:val="single" w:sz="4" w:space="0" w:color="auto"/>
              <w:left w:val="nil"/>
              <w:bottom w:val="single" w:sz="4" w:space="0" w:color="auto"/>
              <w:right w:val="nil"/>
            </w:tcBorders>
          </w:tcPr>
          <w:p w:rsidR="00AC0E0B" w:rsidRPr="00CA6F7A" w:rsidRDefault="00AC0E0B" w:rsidP="00EA0C17">
            <w:pPr>
              <w:jc w:val="right"/>
            </w:pPr>
          </w:p>
        </w:tc>
        <w:tc>
          <w:tcPr>
            <w:tcW w:w="856" w:type="dxa"/>
            <w:tcBorders>
              <w:top w:val="single" w:sz="4" w:space="0" w:color="auto"/>
              <w:left w:val="nil"/>
              <w:bottom w:val="single" w:sz="4" w:space="0" w:color="auto"/>
              <w:right w:val="nil"/>
            </w:tcBorders>
          </w:tcPr>
          <w:p w:rsidR="00AC0E0B" w:rsidRPr="00CA6F7A" w:rsidRDefault="00AC0E0B" w:rsidP="00EA0C17">
            <w:pPr>
              <w:jc w:val="right"/>
            </w:pPr>
          </w:p>
        </w:tc>
        <w:tc>
          <w:tcPr>
            <w:tcW w:w="856" w:type="dxa"/>
            <w:tcBorders>
              <w:top w:val="single" w:sz="4" w:space="0" w:color="auto"/>
              <w:left w:val="nil"/>
              <w:bottom w:val="single" w:sz="4" w:space="0" w:color="auto"/>
              <w:right w:val="nil"/>
            </w:tcBorders>
          </w:tcPr>
          <w:p w:rsidR="00AC0E0B" w:rsidRPr="00CA6F7A" w:rsidRDefault="00AC0E0B" w:rsidP="00EA0C17">
            <w:pPr>
              <w:jc w:val="right"/>
            </w:pPr>
          </w:p>
        </w:tc>
        <w:tc>
          <w:tcPr>
            <w:tcW w:w="856" w:type="dxa"/>
            <w:tcBorders>
              <w:top w:val="single" w:sz="4" w:space="0" w:color="auto"/>
              <w:left w:val="nil"/>
              <w:bottom w:val="single" w:sz="4" w:space="0" w:color="auto"/>
              <w:right w:val="single" w:sz="4" w:space="0" w:color="auto"/>
            </w:tcBorders>
          </w:tcPr>
          <w:p w:rsidR="00AC0E0B" w:rsidRPr="00CA6F7A" w:rsidRDefault="00AC0E0B" w:rsidP="00EA0C17">
            <w:pPr>
              <w:jc w:val="right"/>
            </w:pPr>
          </w:p>
        </w:tc>
      </w:tr>
      <w:tr w:rsidR="00AC0E0B" w:rsidRPr="00CA6F7A" w:rsidTr="00C57632">
        <w:trPr>
          <w:jc w:val="center"/>
        </w:trPr>
        <w:tc>
          <w:tcPr>
            <w:tcW w:w="3873" w:type="dxa"/>
          </w:tcPr>
          <w:p w:rsidR="00AC0E0B" w:rsidRPr="00CA6F7A" w:rsidRDefault="00AC0E0B" w:rsidP="00EA0C17">
            <w:r w:rsidRPr="00CA6F7A">
              <w:t>Variable O&amp;M</w:t>
            </w:r>
          </w:p>
        </w:tc>
        <w:tc>
          <w:tcPr>
            <w:tcW w:w="856" w:type="dxa"/>
            <w:tcBorders>
              <w:top w:val="single" w:sz="4" w:space="0" w:color="auto"/>
            </w:tcBorders>
          </w:tcPr>
          <w:p w:rsidR="00AC0E0B" w:rsidRPr="00CA6F7A" w:rsidRDefault="00AC0E0B" w:rsidP="00EA0C17">
            <w:pPr>
              <w:jc w:val="right"/>
            </w:pPr>
            <w:r w:rsidRPr="00CA6F7A">
              <w:t xml:space="preserve"> -   </w:t>
            </w:r>
          </w:p>
        </w:tc>
        <w:tc>
          <w:tcPr>
            <w:tcW w:w="856" w:type="dxa"/>
            <w:tcBorders>
              <w:top w:val="single" w:sz="4" w:space="0" w:color="auto"/>
            </w:tcBorders>
          </w:tcPr>
          <w:p w:rsidR="00AC0E0B" w:rsidRPr="00CA6F7A" w:rsidRDefault="00AC0E0B" w:rsidP="00EA0C17">
            <w:pPr>
              <w:jc w:val="right"/>
            </w:pPr>
            <w:r w:rsidRPr="00CA6F7A">
              <w:t xml:space="preserve"> -   </w:t>
            </w:r>
          </w:p>
        </w:tc>
        <w:tc>
          <w:tcPr>
            <w:tcW w:w="856" w:type="dxa"/>
            <w:tcBorders>
              <w:top w:val="single" w:sz="4" w:space="0" w:color="auto"/>
            </w:tcBorders>
          </w:tcPr>
          <w:p w:rsidR="00AC0E0B" w:rsidRPr="00CA6F7A" w:rsidRDefault="00AC0E0B" w:rsidP="00EA0C17">
            <w:pPr>
              <w:jc w:val="right"/>
            </w:pPr>
            <w:r w:rsidRPr="00CA6F7A">
              <w:t xml:space="preserve"> -   </w:t>
            </w:r>
          </w:p>
        </w:tc>
        <w:tc>
          <w:tcPr>
            <w:tcW w:w="856" w:type="dxa"/>
            <w:tcBorders>
              <w:top w:val="single" w:sz="4" w:space="0" w:color="auto"/>
            </w:tcBorders>
          </w:tcPr>
          <w:p w:rsidR="00AC0E0B" w:rsidRPr="00CA6F7A" w:rsidRDefault="00AC0E0B" w:rsidP="00EA0C17">
            <w:pPr>
              <w:jc w:val="right"/>
            </w:pPr>
            <w:r w:rsidRPr="00CA6F7A">
              <w:t xml:space="preserve"> 134 </w:t>
            </w:r>
          </w:p>
        </w:tc>
        <w:tc>
          <w:tcPr>
            <w:tcW w:w="856" w:type="dxa"/>
            <w:tcBorders>
              <w:top w:val="single" w:sz="4" w:space="0" w:color="auto"/>
            </w:tcBorders>
          </w:tcPr>
          <w:p w:rsidR="00AC0E0B" w:rsidRPr="00CA6F7A" w:rsidRDefault="00AC0E0B" w:rsidP="00EA0C17">
            <w:pPr>
              <w:jc w:val="right"/>
            </w:pPr>
            <w:r w:rsidRPr="00CA6F7A">
              <w:t xml:space="preserve"> 134 </w:t>
            </w:r>
          </w:p>
        </w:tc>
        <w:tc>
          <w:tcPr>
            <w:tcW w:w="856" w:type="dxa"/>
            <w:tcBorders>
              <w:top w:val="single" w:sz="4" w:space="0" w:color="auto"/>
            </w:tcBorders>
          </w:tcPr>
          <w:p w:rsidR="00AC0E0B" w:rsidRPr="00CA6F7A" w:rsidRDefault="00AC0E0B" w:rsidP="00EA0C17">
            <w:pPr>
              <w:jc w:val="right"/>
            </w:pPr>
            <w:r w:rsidRPr="00CA6F7A">
              <w:t xml:space="preserve"> N/A </w:t>
            </w:r>
          </w:p>
        </w:tc>
      </w:tr>
      <w:tr w:rsidR="00AC0E0B" w:rsidRPr="00CA6F7A" w:rsidTr="00C57632">
        <w:trPr>
          <w:jc w:val="center"/>
        </w:trPr>
        <w:tc>
          <w:tcPr>
            <w:tcW w:w="3873" w:type="dxa"/>
          </w:tcPr>
          <w:p w:rsidR="00AC0E0B" w:rsidRPr="00CA6F7A" w:rsidRDefault="00AC0E0B" w:rsidP="00EA0C17">
            <w:r w:rsidRPr="00CA6F7A">
              <w:t>Operating Labor</w:t>
            </w:r>
          </w:p>
        </w:tc>
        <w:tc>
          <w:tcPr>
            <w:tcW w:w="856" w:type="dxa"/>
          </w:tcPr>
          <w:p w:rsidR="00AC0E0B" w:rsidRPr="00CA6F7A" w:rsidRDefault="00AC0E0B" w:rsidP="00EA0C17">
            <w:pPr>
              <w:jc w:val="right"/>
            </w:pPr>
            <w:r w:rsidRPr="00CA6F7A">
              <w:t xml:space="preserve"> -   </w:t>
            </w:r>
          </w:p>
        </w:tc>
        <w:tc>
          <w:tcPr>
            <w:tcW w:w="856" w:type="dxa"/>
          </w:tcPr>
          <w:p w:rsidR="00AC0E0B" w:rsidRPr="00CA6F7A" w:rsidRDefault="00AC0E0B" w:rsidP="00EA0C17">
            <w:pPr>
              <w:jc w:val="right"/>
            </w:pPr>
            <w:r w:rsidRPr="00CA6F7A">
              <w:t xml:space="preserve"> -   </w:t>
            </w:r>
          </w:p>
        </w:tc>
        <w:tc>
          <w:tcPr>
            <w:tcW w:w="856" w:type="dxa"/>
          </w:tcPr>
          <w:p w:rsidR="00AC0E0B" w:rsidRPr="00CA6F7A" w:rsidRDefault="00AC0E0B" w:rsidP="00EA0C17">
            <w:pPr>
              <w:jc w:val="right"/>
            </w:pPr>
            <w:r w:rsidRPr="00CA6F7A">
              <w:t xml:space="preserve"> -   </w:t>
            </w:r>
          </w:p>
        </w:tc>
        <w:tc>
          <w:tcPr>
            <w:tcW w:w="856" w:type="dxa"/>
          </w:tcPr>
          <w:p w:rsidR="00AC0E0B" w:rsidRPr="00CA6F7A" w:rsidRDefault="00AC0E0B" w:rsidP="00EA0C17">
            <w:pPr>
              <w:jc w:val="right"/>
            </w:pPr>
            <w:r w:rsidRPr="00CA6F7A">
              <w:t xml:space="preserve"> 50 </w:t>
            </w:r>
          </w:p>
        </w:tc>
        <w:tc>
          <w:tcPr>
            <w:tcW w:w="856" w:type="dxa"/>
          </w:tcPr>
          <w:p w:rsidR="00AC0E0B" w:rsidRPr="00CA6F7A" w:rsidRDefault="00AC0E0B" w:rsidP="00EA0C17">
            <w:pPr>
              <w:jc w:val="right"/>
            </w:pPr>
            <w:r w:rsidRPr="00CA6F7A">
              <w:t xml:space="preserve"> 50 </w:t>
            </w:r>
          </w:p>
        </w:tc>
        <w:tc>
          <w:tcPr>
            <w:tcW w:w="856" w:type="dxa"/>
          </w:tcPr>
          <w:p w:rsidR="00AC0E0B" w:rsidRPr="00CA6F7A" w:rsidRDefault="00AC0E0B" w:rsidP="00EA0C17">
            <w:pPr>
              <w:jc w:val="right"/>
            </w:pPr>
            <w:r w:rsidRPr="00CA6F7A">
              <w:t xml:space="preserve"> N/A </w:t>
            </w:r>
          </w:p>
        </w:tc>
      </w:tr>
      <w:tr w:rsidR="00AC0E0B" w:rsidRPr="00CA6F7A" w:rsidTr="00C57632">
        <w:trPr>
          <w:jc w:val="center"/>
        </w:trPr>
        <w:tc>
          <w:tcPr>
            <w:tcW w:w="3873" w:type="dxa"/>
          </w:tcPr>
          <w:p w:rsidR="00AC0E0B" w:rsidRPr="00CA6F7A" w:rsidRDefault="00AC0E0B" w:rsidP="00EA0C17">
            <w:r w:rsidRPr="00CA6F7A">
              <w:t>Maintenance Material</w:t>
            </w:r>
          </w:p>
        </w:tc>
        <w:tc>
          <w:tcPr>
            <w:tcW w:w="856" w:type="dxa"/>
          </w:tcPr>
          <w:p w:rsidR="00AC0E0B" w:rsidRPr="00CA6F7A" w:rsidRDefault="00AC0E0B" w:rsidP="00EA0C17">
            <w:pPr>
              <w:jc w:val="right"/>
            </w:pPr>
            <w:r w:rsidRPr="00CA6F7A">
              <w:t xml:space="preserve"> -   </w:t>
            </w:r>
          </w:p>
        </w:tc>
        <w:tc>
          <w:tcPr>
            <w:tcW w:w="856" w:type="dxa"/>
          </w:tcPr>
          <w:p w:rsidR="00AC0E0B" w:rsidRPr="00CA6F7A" w:rsidRDefault="00AC0E0B" w:rsidP="00EA0C17">
            <w:pPr>
              <w:jc w:val="right"/>
            </w:pPr>
            <w:r w:rsidRPr="00CA6F7A">
              <w:t xml:space="preserve"> -   </w:t>
            </w:r>
          </w:p>
        </w:tc>
        <w:tc>
          <w:tcPr>
            <w:tcW w:w="856" w:type="dxa"/>
          </w:tcPr>
          <w:p w:rsidR="00AC0E0B" w:rsidRPr="00CA6F7A" w:rsidRDefault="00AC0E0B" w:rsidP="00EA0C17">
            <w:pPr>
              <w:jc w:val="right"/>
            </w:pPr>
            <w:r w:rsidRPr="00CA6F7A">
              <w:t xml:space="preserve"> -   </w:t>
            </w:r>
          </w:p>
        </w:tc>
        <w:tc>
          <w:tcPr>
            <w:tcW w:w="856" w:type="dxa"/>
          </w:tcPr>
          <w:p w:rsidR="00AC0E0B" w:rsidRPr="00CA6F7A" w:rsidRDefault="00AC0E0B" w:rsidP="00EA0C17">
            <w:pPr>
              <w:jc w:val="right"/>
            </w:pPr>
            <w:r w:rsidRPr="00CA6F7A">
              <w:t xml:space="preserve"> 198 </w:t>
            </w:r>
          </w:p>
        </w:tc>
        <w:tc>
          <w:tcPr>
            <w:tcW w:w="856" w:type="dxa"/>
          </w:tcPr>
          <w:p w:rsidR="00AC0E0B" w:rsidRPr="00CA6F7A" w:rsidRDefault="00AC0E0B" w:rsidP="00EA0C17">
            <w:pPr>
              <w:jc w:val="right"/>
            </w:pPr>
            <w:r w:rsidRPr="00CA6F7A">
              <w:t xml:space="preserve"> 198 </w:t>
            </w:r>
          </w:p>
        </w:tc>
        <w:tc>
          <w:tcPr>
            <w:tcW w:w="856" w:type="dxa"/>
          </w:tcPr>
          <w:p w:rsidR="00AC0E0B" w:rsidRPr="00CA6F7A" w:rsidRDefault="00AC0E0B" w:rsidP="00EA0C17">
            <w:pPr>
              <w:jc w:val="right"/>
            </w:pPr>
            <w:r w:rsidRPr="00CA6F7A">
              <w:t xml:space="preserve"> N/A </w:t>
            </w:r>
          </w:p>
        </w:tc>
      </w:tr>
      <w:tr w:rsidR="00AC0E0B" w:rsidRPr="00CA6F7A" w:rsidTr="00C57632">
        <w:trPr>
          <w:jc w:val="center"/>
        </w:trPr>
        <w:tc>
          <w:tcPr>
            <w:tcW w:w="3873" w:type="dxa"/>
          </w:tcPr>
          <w:p w:rsidR="00AC0E0B" w:rsidRPr="00CA6F7A" w:rsidRDefault="00AC0E0B" w:rsidP="00EA0C17">
            <w:r w:rsidRPr="00CA6F7A">
              <w:t>Maintenance Labor</w:t>
            </w:r>
          </w:p>
        </w:tc>
        <w:tc>
          <w:tcPr>
            <w:tcW w:w="856" w:type="dxa"/>
          </w:tcPr>
          <w:p w:rsidR="00AC0E0B" w:rsidRPr="00CA6F7A" w:rsidRDefault="00AC0E0B" w:rsidP="00EA0C17">
            <w:pPr>
              <w:jc w:val="right"/>
            </w:pPr>
            <w:r w:rsidRPr="00CA6F7A">
              <w:t xml:space="preserve"> -   </w:t>
            </w:r>
          </w:p>
        </w:tc>
        <w:tc>
          <w:tcPr>
            <w:tcW w:w="856" w:type="dxa"/>
          </w:tcPr>
          <w:p w:rsidR="00AC0E0B" w:rsidRPr="00CA6F7A" w:rsidRDefault="00AC0E0B" w:rsidP="00EA0C17">
            <w:pPr>
              <w:jc w:val="right"/>
            </w:pPr>
            <w:r w:rsidRPr="00CA6F7A">
              <w:t xml:space="preserve"> -   </w:t>
            </w:r>
          </w:p>
        </w:tc>
        <w:tc>
          <w:tcPr>
            <w:tcW w:w="856" w:type="dxa"/>
          </w:tcPr>
          <w:p w:rsidR="00AC0E0B" w:rsidRPr="00CA6F7A" w:rsidRDefault="00AC0E0B" w:rsidP="00EA0C17">
            <w:pPr>
              <w:jc w:val="right"/>
            </w:pPr>
            <w:r w:rsidRPr="00CA6F7A">
              <w:t xml:space="preserve"> -   </w:t>
            </w:r>
          </w:p>
        </w:tc>
        <w:tc>
          <w:tcPr>
            <w:tcW w:w="856" w:type="dxa"/>
          </w:tcPr>
          <w:p w:rsidR="00AC0E0B" w:rsidRPr="00CA6F7A" w:rsidRDefault="00AC0E0B" w:rsidP="00EA0C17">
            <w:pPr>
              <w:jc w:val="right"/>
            </w:pPr>
            <w:r w:rsidRPr="00CA6F7A">
              <w:t xml:space="preserve"> 130 </w:t>
            </w:r>
          </w:p>
        </w:tc>
        <w:tc>
          <w:tcPr>
            <w:tcW w:w="856" w:type="dxa"/>
          </w:tcPr>
          <w:p w:rsidR="00AC0E0B" w:rsidRPr="00CA6F7A" w:rsidRDefault="00AC0E0B" w:rsidP="00EA0C17">
            <w:pPr>
              <w:jc w:val="right"/>
            </w:pPr>
            <w:r w:rsidRPr="00CA6F7A">
              <w:t xml:space="preserve"> 130 </w:t>
            </w:r>
          </w:p>
        </w:tc>
        <w:tc>
          <w:tcPr>
            <w:tcW w:w="856" w:type="dxa"/>
          </w:tcPr>
          <w:p w:rsidR="00AC0E0B" w:rsidRPr="00CA6F7A" w:rsidRDefault="00AC0E0B" w:rsidP="00EA0C17">
            <w:pPr>
              <w:jc w:val="right"/>
            </w:pPr>
            <w:r w:rsidRPr="00CA6F7A">
              <w:t xml:space="preserve"> N/A </w:t>
            </w:r>
          </w:p>
        </w:tc>
      </w:tr>
      <w:tr w:rsidR="00AC0E0B" w:rsidRPr="00CA6F7A" w:rsidTr="00C57632">
        <w:trPr>
          <w:jc w:val="center"/>
        </w:trPr>
        <w:tc>
          <w:tcPr>
            <w:tcW w:w="3873" w:type="dxa"/>
          </w:tcPr>
          <w:p w:rsidR="00AC0E0B" w:rsidRPr="00CA6F7A" w:rsidRDefault="00AC0E0B" w:rsidP="00EA0C17">
            <w:pPr>
              <w:jc w:val="right"/>
            </w:pPr>
            <w:r w:rsidRPr="00CA6F7A">
              <w:t>Total O&amp;M</w:t>
            </w:r>
          </w:p>
        </w:tc>
        <w:tc>
          <w:tcPr>
            <w:tcW w:w="856" w:type="dxa"/>
          </w:tcPr>
          <w:p w:rsidR="00AC0E0B" w:rsidRPr="00CA6F7A" w:rsidRDefault="00AC0E0B" w:rsidP="00EA0C17">
            <w:pPr>
              <w:jc w:val="right"/>
            </w:pPr>
            <w:r w:rsidRPr="00CA6F7A">
              <w:t xml:space="preserve"> -   </w:t>
            </w:r>
          </w:p>
        </w:tc>
        <w:tc>
          <w:tcPr>
            <w:tcW w:w="856" w:type="dxa"/>
          </w:tcPr>
          <w:p w:rsidR="00AC0E0B" w:rsidRPr="00CA6F7A" w:rsidRDefault="00AC0E0B" w:rsidP="00EA0C17">
            <w:pPr>
              <w:jc w:val="right"/>
            </w:pPr>
            <w:r w:rsidRPr="00CA6F7A">
              <w:t xml:space="preserve"> -   </w:t>
            </w:r>
          </w:p>
        </w:tc>
        <w:tc>
          <w:tcPr>
            <w:tcW w:w="856" w:type="dxa"/>
          </w:tcPr>
          <w:p w:rsidR="00AC0E0B" w:rsidRPr="00CA6F7A" w:rsidRDefault="00AC0E0B" w:rsidP="00EA0C17">
            <w:pPr>
              <w:jc w:val="right"/>
            </w:pPr>
            <w:r w:rsidRPr="00CA6F7A">
              <w:t xml:space="preserve"> -   </w:t>
            </w:r>
          </w:p>
        </w:tc>
        <w:tc>
          <w:tcPr>
            <w:tcW w:w="856" w:type="dxa"/>
          </w:tcPr>
          <w:p w:rsidR="00AC0E0B" w:rsidRPr="00CA6F7A" w:rsidRDefault="00AC0E0B" w:rsidP="00EA0C17">
            <w:pPr>
              <w:jc w:val="right"/>
            </w:pPr>
            <w:r w:rsidRPr="00CA6F7A">
              <w:t xml:space="preserve"> 512 </w:t>
            </w:r>
          </w:p>
        </w:tc>
        <w:tc>
          <w:tcPr>
            <w:tcW w:w="856" w:type="dxa"/>
          </w:tcPr>
          <w:p w:rsidR="00AC0E0B" w:rsidRPr="00CA6F7A" w:rsidRDefault="00AC0E0B" w:rsidP="00EA0C17">
            <w:pPr>
              <w:jc w:val="right"/>
            </w:pPr>
            <w:r w:rsidRPr="00CA6F7A">
              <w:t xml:space="preserve"> 512 </w:t>
            </w:r>
          </w:p>
        </w:tc>
        <w:tc>
          <w:tcPr>
            <w:tcW w:w="856" w:type="dxa"/>
          </w:tcPr>
          <w:p w:rsidR="00AC0E0B" w:rsidRPr="00CA6F7A" w:rsidRDefault="00AC0E0B" w:rsidP="00EA0C17">
            <w:pPr>
              <w:jc w:val="right"/>
            </w:pPr>
            <w:r w:rsidRPr="00CA6F7A">
              <w:t xml:space="preserve"> N/A </w:t>
            </w:r>
          </w:p>
        </w:tc>
      </w:tr>
    </w:tbl>
    <w:p w:rsidR="00AC0E0B" w:rsidRPr="00BC1897" w:rsidRDefault="00AC0E0B" w:rsidP="00BC1897">
      <w:pPr>
        <w:pStyle w:val="TableSource"/>
        <w:spacing w:after="0"/>
        <w:ind w:left="360"/>
        <w:contextualSpacing/>
        <w:rPr>
          <w:sz w:val="20"/>
        </w:rPr>
      </w:pPr>
      <w:r w:rsidRPr="00C93F1B">
        <w:rPr>
          <w:sz w:val="20"/>
        </w:rPr>
        <w:t xml:space="preserve">Source: TECO’s petition </w:t>
      </w:r>
    </w:p>
    <w:p w:rsidR="00AC0E0B" w:rsidRPr="00CA6F7A" w:rsidRDefault="00AC0E0B" w:rsidP="00AC0E0B">
      <w:pPr>
        <w:pStyle w:val="TableNumber"/>
        <w:keepNext/>
        <w:spacing w:before="0"/>
        <w:contextualSpacing/>
      </w:pPr>
      <w:r w:rsidRPr="00CA6F7A">
        <w:t xml:space="preserve">Table </w:t>
      </w:r>
      <w:r w:rsidR="00BC1897">
        <w:t>2</w:t>
      </w:r>
    </w:p>
    <w:p w:rsidR="00AC0E0B" w:rsidRPr="00CA6F7A" w:rsidRDefault="00AC0E0B" w:rsidP="00AC0E0B">
      <w:pPr>
        <w:pStyle w:val="TableTitle"/>
        <w:keepNext/>
      </w:pPr>
      <w:r>
        <w:t xml:space="preserve">Residential </w:t>
      </w:r>
      <w:r w:rsidRPr="00CA6F7A">
        <w:t xml:space="preserve">Bill Impact </w:t>
      </w:r>
    </w:p>
    <w:p w:rsidR="00AC0E0B" w:rsidRPr="008D3DE9" w:rsidRDefault="00AC0E0B" w:rsidP="00AC0E0B">
      <w:pPr>
        <w:pStyle w:val="BodyText"/>
        <w:spacing w:after="0"/>
        <w:jc w:val="center"/>
        <w:rPr>
          <w:b/>
          <w:sz w:val="20"/>
        </w:rPr>
      </w:pPr>
      <w:r w:rsidRPr="008D3DE9">
        <w:rPr>
          <w:b/>
          <w:sz w:val="20"/>
        </w:rPr>
        <w:t xml:space="preserve">(1,000 kWh Monthly Usage) </w:t>
      </w:r>
    </w:p>
    <w:tbl>
      <w:tblPr>
        <w:tblStyle w:val="TableGrid"/>
        <w:tblW w:w="0" w:type="auto"/>
        <w:jc w:val="center"/>
        <w:tblLook w:val="04A0" w:firstRow="1" w:lastRow="0" w:firstColumn="1" w:lastColumn="0" w:noHBand="0" w:noVBand="1"/>
      </w:tblPr>
      <w:tblGrid>
        <w:gridCol w:w="1756"/>
        <w:gridCol w:w="1862"/>
        <w:gridCol w:w="1710"/>
      </w:tblGrid>
      <w:tr w:rsidR="00AC0E0B" w:rsidRPr="00CA6F7A" w:rsidTr="00673771">
        <w:trPr>
          <w:jc w:val="center"/>
        </w:trPr>
        <w:tc>
          <w:tcPr>
            <w:tcW w:w="1756" w:type="dxa"/>
            <w:vAlign w:val="bottom"/>
          </w:tcPr>
          <w:p w:rsidR="00AC0E0B" w:rsidRPr="00CA6F7A" w:rsidRDefault="00AC0E0B" w:rsidP="00EA0C17">
            <w:pPr>
              <w:jc w:val="center"/>
            </w:pPr>
            <w:r w:rsidRPr="00CA6F7A">
              <w:t>Year</w:t>
            </w:r>
          </w:p>
        </w:tc>
        <w:tc>
          <w:tcPr>
            <w:tcW w:w="3572" w:type="dxa"/>
            <w:gridSpan w:val="2"/>
            <w:tcBorders>
              <w:right w:val="single" w:sz="4" w:space="0" w:color="auto"/>
            </w:tcBorders>
            <w:vAlign w:val="bottom"/>
          </w:tcPr>
          <w:p w:rsidR="00AC0E0B" w:rsidRPr="00CA6F7A" w:rsidRDefault="00AC0E0B" w:rsidP="00EA0C17">
            <w:pPr>
              <w:jc w:val="center"/>
            </w:pPr>
            <w:r>
              <w:t xml:space="preserve">Estimated </w:t>
            </w:r>
            <w:r w:rsidRPr="00CA6F7A">
              <w:t>Annual</w:t>
            </w:r>
            <w:r>
              <w:t xml:space="preserve"> Impact</w:t>
            </w:r>
          </w:p>
        </w:tc>
      </w:tr>
      <w:tr w:rsidR="00AC0E0B" w:rsidRPr="00CA6F7A" w:rsidTr="00673771">
        <w:trPr>
          <w:jc w:val="center"/>
        </w:trPr>
        <w:tc>
          <w:tcPr>
            <w:tcW w:w="1756" w:type="dxa"/>
          </w:tcPr>
          <w:p w:rsidR="00AC0E0B" w:rsidRPr="00CA6F7A" w:rsidRDefault="00AC0E0B" w:rsidP="00EA0C17">
            <w:pPr>
              <w:jc w:val="center"/>
            </w:pPr>
            <w:r w:rsidRPr="00CA6F7A">
              <w:t>2022</w:t>
            </w:r>
          </w:p>
        </w:tc>
        <w:tc>
          <w:tcPr>
            <w:tcW w:w="1862" w:type="dxa"/>
            <w:tcBorders>
              <w:right w:val="nil"/>
            </w:tcBorders>
            <w:vAlign w:val="center"/>
          </w:tcPr>
          <w:p w:rsidR="00AC0E0B" w:rsidRPr="00CA6F7A" w:rsidRDefault="00AC0E0B" w:rsidP="00EA0C17">
            <w:pPr>
              <w:jc w:val="right"/>
              <w:rPr>
                <w:color w:val="000000"/>
              </w:rPr>
            </w:pPr>
          </w:p>
        </w:tc>
        <w:tc>
          <w:tcPr>
            <w:tcW w:w="1710" w:type="dxa"/>
            <w:tcBorders>
              <w:left w:val="nil"/>
              <w:right w:val="single" w:sz="4" w:space="0" w:color="auto"/>
            </w:tcBorders>
            <w:vAlign w:val="center"/>
          </w:tcPr>
          <w:p w:rsidR="00AC0E0B" w:rsidRPr="00CA6F7A" w:rsidRDefault="00AC0E0B" w:rsidP="00EA0C17">
            <w:pPr>
              <w:jc w:val="right"/>
              <w:rPr>
                <w:color w:val="000000"/>
              </w:rPr>
            </w:pPr>
            <w:r w:rsidRPr="00CA6F7A">
              <w:rPr>
                <w:color w:val="000000"/>
              </w:rPr>
              <w:t xml:space="preserve"> $ 0.162 </w:t>
            </w:r>
          </w:p>
        </w:tc>
      </w:tr>
      <w:tr w:rsidR="00AC0E0B" w:rsidRPr="00CA6F7A" w:rsidTr="00673771">
        <w:trPr>
          <w:jc w:val="center"/>
        </w:trPr>
        <w:tc>
          <w:tcPr>
            <w:tcW w:w="1756" w:type="dxa"/>
          </w:tcPr>
          <w:p w:rsidR="00AC0E0B" w:rsidRPr="00CA6F7A" w:rsidRDefault="00AC0E0B" w:rsidP="00EA0C17">
            <w:pPr>
              <w:jc w:val="center"/>
            </w:pPr>
            <w:r w:rsidRPr="00CA6F7A">
              <w:t>2023</w:t>
            </w:r>
          </w:p>
        </w:tc>
        <w:tc>
          <w:tcPr>
            <w:tcW w:w="1862" w:type="dxa"/>
            <w:tcBorders>
              <w:right w:val="nil"/>
            </w:tcBorders>
            <w:vAlign w:val="center"/>
          </w:tcPr>
          <w:p w:rsidR="00AC0E0B" w:rsidRPr="00CA6F7A" w:rsidRDefault="00AC0E0B" w:rsidP="00EA0C17">
            <w:pPr>
              <w:jc w:val="right"/>
              <w:rPr>
                <w:color w:val="000000"/>
              </w:rPr>
            </w:pPr>
          </w:p>
        </w:tc>
        <w:tc>
          <w:tcPr>
            <w:tcW w:w="1710" w:type="dxa"/>
            <w:tcBorders>
              <w:left w:val="nil"/>
              <w:right w:val="single" w:sz="4" w:space="0" w:color="auto"/>
            </w:tcBorders>
            <w:vAlign w:val="center"/>
          </w:tcPr>
          <w:p w:rsidR="00AC0E0B" w:rsidRPr="00CA6F7A" w:rsidRDefault="00AC0E0B" w:rsidP="00EA0C17">
            <w:pPr>
              <w:jc w:val="right"/>
              <w:rPr>
                <w:color w:val="000000"/>
              </w:rPr>
            </w:pPr>
            <w:r w:rsidRPr="00CA6F7A">
              <w:rPr>
                <w:color w:val="000000"/>
              </w:rPr>
              <w:t xml:space="preserve"> $ 0.050 </w:t>
            </w:r>
          </w:p>
        </w:tc>
      </w:tr>
      <w:tr w:rsidR="00AC0E0B" w:rsidRPr="00CA6F7A" w:rsidTr="00673771">
        <w:trPr>
          <w:jc w:val="center"/>
        </w:trPr>
        <w:tc>
          <w:tcPr>
            <w:tcW w:w="1756" w:type="dxa"/>
          </w:tcPr>
          <w:p w:rsidR="00AC0E0B" w:rsidRPr="00CA6F7A" w:rsidRDefault="00AC0E0B" w:rsidP="00EA0C17">
            <w:pPr>
              <w:jc w:val="center"/>
            </w:pPr>
            <w:r w:rsidRPr="00CA6F7A">
              <w:t>2024</w:t>
            </w:r>
          </w:p>
        </w:tc>
        <w:tc>
          <w:tcPr>
            <w:tcW w:w="1862" w:type="dxa"/>
            <w:tcBorders>
              <w:right w:val="nil"/>
            </w:tcBorders>
            <w:vAlign w:val="center"/>
          </w:tcPr>
          <w:p w:rsidR="00AC0E0B" w:rsidRPr="00CA6F7A" w:rsidRDefault="00AC0E0B" w:rsidP="00EA0C17">
            <w:pPr>
              <w:jc w:val="right"/>
              <w:rPr>
                <w:color w:val="000000"/>
              </w:rPr>
            </w:pPr>
          </w:p>
        </w:tc>
        <w:tc>
          <w:tcPr>
            <w:tcW w:w="1710" w:type="dxa"/>
            <w:tcBorders>
              <w:left w:val="nil"/>
              <w:right w:val="single" w:sz="4" w:space="0" w:color="auto"/>
            </w:tcBorders>
            <w:vAlign w:val="center"/>
          </w:tcPr>
          <w:p w:rsidR="00AC0E0B" w:rsidRPr="00CA6F7A" w:rsidRDefault="00AC0E0B" w:rsidP="00EA0C17">
            <w:pPr>
              <w:jc w:val="right"/>
              <w:rPr>
                <w:color w:val="000000"/>
              </w:rPr>
            </w:pPr>
            <w:r w:rsidRPr="00CA6F7A">
              <w:rPr>
                <w:color w:val="000000"/>
              </w:rPr>
              <w:t xml:space="preserve"> $ 0.320 </w:t>
            </w:r>
          </w:p>
        </w:tc>
      </w:tr>
      <w:tr w:rsidR="00AC0E0B" w:rsidRPr="00CA6F7A" w:rsidTr="00673771">
        <w:trPr>
          <w:jc w:val="center"/>
        </w:trPr>
        <w:tc>
          <w:tcPr>
            <w:tcW w:w="1756" w:type="dxa"/>
            <w:tcBorders>
              <w:bottom w:val="single" w:sz="4" w:space="0" w:color="auto"/>
            </w:tcBorders>
          </w:tcPr>
          <w:p w:rsidR="00AC0E0B" w:rsidRPr="00CA6F7A" w:rsidRDefault="00AC0E0B" w:rsidP="00EA0C17">
            <w:pPr>
              <w:jc w:val="center"/>
            </w:pPr>
            <w:r>
              <w:t>2025</w:t>
            </w:r>
          </w:p>
        </w:tc>
        <w:tc>
          <w:tcPr>
            <w:tcW w:w="1862" w:type="dxa"/>
            <w:tcBorders>
              <w:bottom w:val="single" w:sz="4" w:space="0" w:color="auto"/>
              <w:right w:val="nil"/>
            </w:tcBorders>
            <w:vAlign w:val="center"/>
          </w:tcPr>
          <w:p w:rsidR="00AC0E0B" w:rsidRPr="00CA6F7A" w:rsidRDefault="00AC0E0B" w:rsidP="00EA0C17">
            <w:pPr>
              <w:jc w:val="right"/>
              <w:rPr>
                <w:color w:val="000000"/>
              </w:rPr>
            </w:pPr>
          </w:p>
        </w:tc>
        <w:tc>
          <w:tcPr>
            <w:tcW w:w="1710" w:type="dxa"/>
            <w:tcBorders>
              <w:left w:val="nil"/>
              <w:bottom w:val="single" w:sz="4" w:space="0" w:color="auto"/>
              <w:right w:val="single" w:sz="4" w:space="0" w:color="auto"/>
            </w:tcBorders>
            <w:vAlign w:val="center"/>
          </w:tcPr>
          <w:p w:rsidR="00AC0E0B" w:rsidRPr="00CA6F7A" w:rsidRDefault="00AC0E0B" w:rsidP="00EA0C17">
            <w:pPr>
              <w:jc w:val="right"/>
              <w:rPr>
                <w:color w:val="000000"/>
              </w:rPr>
            </w:pPr>
            <w:r w:rsidRPr="00CA6F7A">
              <w:rPr>
                <w:color w:val="000000"/>
              </w:rPr>
              <w:t xml:space="preserve"> $ 0.004 </w:t>
            </w:r>
          </w:p>
        </w:tc>
      </w:tr>
    </w:tbl>
    <w:p w:rsidR="00AC0E0B" w:rsidRPr="00C93F1B" w:rsidRDefault="00673771" w:rsidP="00673771">
      <w:pPr>
        <w:pStyle w:val="TableSource"/>
        <w:tabs>
          <w:tab w:val="left" w:pos="2070"/>
        </w:tabs>
        <w:spacing w:after="0"/>
        <w:rPr>
          <w:sz w:val="20"/>
        </w:rPr>
      </w:pPr>
      <w:r>
        <w:rPr>
          <w:sz w:val="20"/>
        </w:rPr>
        <w:tab/>
      </w:r>
      <w:r w:rsidR="00AC0E0B" w:rsidRPr="00C93F1B">
        <w:rPr>
          <w:sz w:val="20"/>
        </w:rPr>
        <w:t xml:space="preserve">Source: TECO’s response to </w:t>
      </w:r>
      <w:r>
        <w:rPr>
          <w:sz w:val="20"/>
        </w:rPr>
        <w:t>our staff’s third data r</w:t>
      </w:r>
      <w:r w:rsidR="00AC0E0B" w:rsidRPr="00C93F1B">
        <w:rPr>
          <w:sz w:val="20"/>
        </w:rPr>
        <w:t>equest</w:t>
      </w:r>
      <w:r>
        <w:rPr>
          <w:sz w:val="20"/>
        </w:rPr>
        <w:t>, no. 2</w:t>
      </w:r>
    </w:p>
    <w:p w:rsidR="00AC0E0B" w:rsidRPr="00CA6F7A" w:rsidRDefault="00AC0E0B" w:rsidP="00AC0E0B">
      <w:pPr>
        <w:pStyle w:val="BodyText"/>
        <w:spacing w:after="0"/>
      </w:pPr>
    </w:p>
    <w:p w:rsidR="00AC0E0B" w:rsidRPr="00CA6F7A" w:rsidRDefault="00AC0E0B" w:rsidP="00BC1897">
      <w:pPr>
        <w:pStyle w:val="BodyText"/>
        <w:spacing w:after="0"/>
        <w:jc w:val="both"/>
      </w:pPr>
      <w:r w:rsidRPr="00CA6F7A">
        <w:t xml:space="preserve">Based on </w:t>
      </w:r>
      <w:r>
        <w:t xml:space="preserve">TECO’s </w:t>
      </w:r>
      <w:r w:rsidRPr="00CA6F7A">
        <w:t xml:space="preserve">petition and </w:t>
      </w:r>
      <w:r>
        <w:t>the Company’s</w:t>
      </w:r>
      <w:r w:rsidRPr="00CA6F7A">
        <w:t xml:space="preserve"> responses to </w:t>
      </w:r>
      <w:r w:rsidR="00BC1897">
        <w:t xml:space="preserve">our </w:t>
      </w:r>
      <w:r w:rsidRPr="00CA6F7A">
        <w:t>staff’s data requests,</w:t>
      </w:r>
      <w:r w:rsidRPr="00CA6F7A">
        <w:rPr>
          <w:rStyle w:val="FootnoteReference"/>
        </w:rPr>
        <w:footnoteReference w:id="8"/>
      </w:r>
      <w:r w:rsidRPr="00CA6F7A">
        <w:t xml:space="preserve"> </w:t>
      </w:r>
      <w:r w:rsidR="00BC1897">
        <w:t>we find that</w:t>
      </w:r>
      <w:r w:rsidRPr="00CA6F7A">
        <w:t xml:space="preserve"> TECO’s ECRC Project is necessary for compliance with the </w:t>
      </w:r>
      <w:r>
        <w:t xml:space="preserve">EPA </w:t>
      </w:r>
      <w:r w:rsidRPr="00CA6F7A">
        <w:t xml:space="preserve">Rule. </w:t>
      </w:r>
      <w:r w:rsidR="00BC1897">
        <w:t>Our</w:t>
      </w:r>
      <w:r w:rsidRPr="00CA6F7A">
        <w:t xml:space="preserve"> criteria for ECRC recovery relevant to this docket, established by Order No. PSC-94-0044-FOF-EI, are: </w:t>
      </w:r>
    </w:p>
    <w:p w:rsidR="00AC0E0B" w:rsidRPr="00CA6F7A" w:rsidRDefault="00AC0E0B" w:rsidP="00AC0E0B">
      <w:pPr>
        <w:pStyle w:val="BodyText"/>
        <w:spacing w:after="0"/>
      </w:pPr>
    </w:p>
    <w:p w:rsidR="00AC0E0B" w:rsidRPr="00CA6F7A" w:rsidRDefault="00AC0E0B" w:rsidP="00AC0E0B">
      <w:pPr>
        <w:pStyle w:val="BodyText"/>
        <w:numPr>
          <w:ilvl w:val="0"/>
          <w:numId w:val="1"/>
        </w:numPr>
        <w:spacing w:after="240"/>
        <w:ind w:right="720"/>
        <w:jc w:val="both"/>
      </w:pPr>
      <w:r w:rsidRPr="00CA6F7A">
        <w:t xml:space="preserve">The activities are legally required to comply with governmentally imposed environmental regulation enacted, became effective, or whose effect was triggered after the Company’s last test year upon which rates are based; and </w:t>
      </w:r>
    </w:p>
    <w:p w:rsidR="00AC0E0B" w:rsidRPr="00CA6F7A" w:rsidRDefault="00AC0E0B" w:rsidP="00AC0E0B">
      <w:pPr>
        <w:pStyle w:val="BodyText"/>
        <w:numPr>
          <w:ilvl w:val="0"/>
          <w:numId w:val="1"/>
        </w:numPr>
        <w:spacing w:after="240"/>
        <w:ind w:right="720"/>
        <w:jc w:val="both"/>
      </w:pPr>
      <w:r w:rsidRPr="00CA6F7A">
        <w:t xml:space="preserve">None of the expenditures are being recovered through some other cost recovery mechanism or through base rates. </w:t>
      </w:r>
    </w:p>
    <w:p w:rsidR="00AC0E0B" w:rsidRPr="00CA6F7A" w:rsidRDefault="00BC1897" w:rsidP="009C37AE">
      <w:pPr>
        <w:pStyle w:val="BodyText"/>
        <w:ind w:firstLine="720"/>
        <w:jc w:val="both"/>
      </w:pPr>
      <w:r>
        <w:lastRenderedPageBreak/>
        <w:t>We find</w:t>
      </w:r>
      <w:r w:rsidR="00AC0E0B" w:rsidRPr="00CA6F7A">
        <w:t xml:space="preserve"> that the activities proposed in TECO’s petition meet these criteria. These activities are necessary for TECO to comply with government</w:t>
      </w:r>
      <w:r w:rsidR="00AC0E0B">
        <w:t>ally</w:t>
      </w:r>
      <w:r w:rsidR="00AC0E0B" w:rsidRPr="00CA6F7A">
        <w:t xml:space="preserve"> imposed environmental regulation. The need for the</w:t>
      </w:r>
      <w:r w:rsidR="00AC0E0B">
        <w:t xml:space="preserve"> above-referenced </w:t>
      </w:r>
      <w:r w:rsidR="00AC0E0B" w:rsidRPr="00CA6F7A">
        <w:t>compliance activities were triggered after TECO’s last test year upon which rates are currently based.</w:t>
      </w:r>
      <w:r w:rsidR="00AC0E0B" w:rsidRPr="00CA6F7A">
        <w:rPr>
          <w:rStyle w:val="FootnoteReference"/>
        </w:rPr>
        <w:footnoteReference w:id="9"/>
      </w:r>
      <w:r w:rsidR="00AC0E0B" w:rsidRPr="00CA6F7A">
        <w:t xml:space="preserve"> </w:t>
      </w:r>
      <w:r w:rsidR="00AC0E0B">
        <w:t xml:space="preserve">Specifically, the need for these activities was triggered by the renewal of the facility’s National Pollutant Discharge Elimination System Permit, which requires compliance with the EPA Rule. </w:t>
      </w:r>
      <w:r w:rsidR="00AC0E0B" w:rsidRPr="00CA6F7A">
        <w:t xml:space="preserve">Finally, the costs of the proposed compliance activities are not currently being recovered through some other cost recovery mechanism or through base rates. </w:t>
      </w:r>
      <w:r>
        <w:t>We note</w:t>
      </w:r>
      <w:r w:rsidR="00AC0E0B" w:rsidRPr="00CA6F7A">
        <w:t xml:space="preserve"> that the reasonableness and prudence of individual expenditures related to the Project wil</w:t>
      </w:r>
      <w:r>
        <w:t xml:space="preserve">l continue to be subject to our </w:t>
      </w:r>
      <w:r w:rsidR="00AC0E0B" w:rsidRPr="00CA6F7A">
        <w:t xml:space="preserve">review in future ECRC proceedings. </w:t>
      </w:r>
    </w:p>
    <w:p w:rsidR="00AC0E0B" w:rsidRDefault="00BC1897" w:rsidP="009C37AE">
      <w:pPr>
        <w:ind w:firstLine="720"/>
        <w:jc w:val="both"/>
      </w:pPr>
      <w:r>
        <w:t>In conclusion, we hereby find t</w:t>
      </w:r>
      <w:r w:rsidR="00AC0E0B" w:rsidRPr="00CA6F7A">
        <w:t xml:space="preserve">hat TECO’s Bayside Station Section 316(b) Compliance Project </w:t>
      </w:r>
      <w:r w:rsidR="00AC0E0B">
        <w:t xml:space="preserve">is necessary </w:t>
      </w:r>
      <w:r w:rsidR="00AC0E0B" w:rsidRPr="00CA6F7A">
        <w:t xml:space="preserve">to comply with the EPA’s Section 316(b) Rule. </w:t>
      </w:r>
      <w:r w:rsidR="00AC0E0B">
        <w:t xml:space="preserve">Consistent with prior ECRC orders, </w:t>
      </w:r>
      <w:r w:rsidR="00AC0E0B" w:rsidRPr="00CA6F7A">
        <w:t xml:space="preserve">O&amp;M costs associated with the Project </w:t>
      </w:r>
      <w:r w:rsidR="00861921">
        <w:t>shall</w:t>
      </w:r>
      <w:r w:rsidR="00AC0E0B" w:rsidRPr="00CA6F7A">
        <w:t xml:space="preserve"> be allocated to appropriate rate classes on an energy basis and capital costs </w:t>
      </w:r>
      <w:r w:rsidR="003F3638">
        <w:t>shall</w:t>
      </w:r>
      <w:r w:rsidR="00AC0E0B" w:rsidRPr="00CA6F7A">
        <w:t xml:space="preserve"> be allocated on a demand basis.</w:t>
      </w:r>
      <w:r w:rsidR="00AC0E0B" w:rsidRPr="00CA6F7A">
        <w:rPr>
          <w:rStyle w:val="FootnoteReference"/>
        </w:rPr>
        <w:footnoteReference w:id="10"/>
      </w:r>
    </w:p>
    <w:p w:rsidR="00D2193A" w:rsidRDefault="00D2193A" w:rsidP="00AC0E0B"/>
    <w:p w:rsidR="00D2193A" w:rsidRDefault="00D2193A" w:rsidP="00D2193A">
      <w:pPr>
        <w:pStyle w:val="OrderBody"/>
      </w:pPr>
      <w:r>
        <w:tab/>
        <w:t>Based on the foregoing, it is</w:t>
      </w:r>
    </w:p>
    <w:p w:rsidR="00D2193A" w:rsidRDefault="00D2193A" w:rsidP="00D2193A">
      <w:pPr>
        <w:pStyle w:val="OrderBody"/>
      </w:pPr>
    </w:p>
    <w:p w:rsidR="00D2193A" w:rsidRDefault="00D2193A" w:rsidP="00D2193A">
      <w:pPr>
        <w:pStyle w:val="OrderBody"/>
      </w:pPr>
      <w:r>
        <w:tab/>
        <w:t>ORDERED by the Florida Public Service Commission that</w:t>
      </w:r>
      <w:r w:rsidR="009C37AE">
        <w:t xml:space="preserve"> Tampa Electric Company’s petition for approval of </w:t>
      </w:r>
      <w:r w:rsidR="009C37AE" w:rsidRPr="00CA6F7A">
        <w:t>the Bayside Station Section 316(</w:t>
      </w:r>
      <w:r w:rsidR="009C37AE">
        <w:t xml:space="preserve">b) Compliance Project </w:t>
      </w:r>
      <w:r w:rsidR="009C37AE" w:rsidRPr="00CA6F7A">
        <w:t>for cost recovery through the Environme</w:t>
      </w:r>
      <w:r w:rsidR="009C37AE">
        <w:t>ntal Cost Recovery Clause is approved. It is further</w:t>
      </w:r>
    </w:p>
    <w:p w:rsidR="00D2193A" w:rsidRDefault="00D2193A" w:rsidP="00D2193A">
      <w:pPr>
        <w:pStyle w:val="OrderBody"/>
      </w:pPr>
    </w:p>
    <w:p w:rsidR="00D2193A" w:rsidRDefault="00D2193A" w:rsidP="00D2193A">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D2193A" w:rsidRDefault="00D2193A" w:rsidP="00D2193A">
      <w:pPr>
        <w:pStyle w:val="OrderBody"/>
      </w:pPr>
    </w:p>
    <w:p w:rsidR="00D2193A" w:rsidRDefault="00D2193A" w:rsidP="00D2193A">
      <w:pPr>
        <w:pStyle w:val="OrderBody"/>
      </w:pPr>
      <w:r>
        <w:tab/>
        <w:t>ORDERED that in the event this Order becomes final, this docket shall be closed.</w:t>
      </w:r>
    </w:p>
    <w:p w:rsidR="00D2193A" w:rsidRDefault="00D2193A" w:rsidP="00D2193A">
      <w:pPr>
        <w:pStyle w:val="OrderBody"/>
      </w:pPr>
    </w:p>
    <w:p w:rsidR="00D2193A" w:rsidRDefault="00D2193A" w:rsidP="00D2193A">
      <w:pPr>
        <w:pStyle w:val="OrderBody"/>
        <w:keepNext/>
        <w:keepLines/>
      </w:pPr>
      <w:r>
        <w:lastRenderedPageBreak/>
        <w:tab/>
        <w:t xml:space="preserve">By ORDER of the Florida Public Service Commission this </w:t>
      </w:r>
      <w:bookmarkStart w:id="7" w:name="replaceDate"/>
      <w:bookmarkEnd w:id="7"/>
      <w:r w:rsidR="0053576D">
        <w:rPr>
          <w:u w:val="single"/>
        </w:rPr>
        <w:t>15th</w:t>
      </w:r>
      <w:r w:rsidR="0053576D">
        <w:t xml:space="preserve"> day of </w:t>
      </w:r>
      <w:r w:rsidR="0053576D">
        <w:rPr>
          <w:u w:val="single"/>
        </w:rPr>
        <w:t>September</w:t>
      </w:r>
      <w:r w:rsidR="0053576D">
        <w:t xml:space="preserve">, </w:t>
      </w:r>
      <w:r w:rsidR="0053576D">
        <w:rPr>
          <w:u w:val="single"/>
        </w:rPr>
        <w:t>2021</w:t>
      </w:r>
      <w:r w:rsidR="0053576D">
        <w:t>.</w:t>
      </w:r>
    </w:p>
    <w:p w:rsidR="0053576D" w:rsidRPr="0053576D" w:rsidRDefault="0053576D" w:rsidP="00D2193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2193A" w:rsidTr="00D2193A">
        <w:tc>
          <w:tcPr>
            <w:tcW w:w="720" w:type="dxa"/>
            <w:shd w:val="clear" w:color="auto" w:fill="auto"/>
          </w:tcPr>
          <w:p w:rsidR="00D2193A" w:rsidRDefault="00D2193A" w:rsidP="00D2193A">
            <w:pPr>
              <w:pStyle w:val="OrderBody"/>
              <w:keepNext/>
              <w:keepLines/>
            </w:pPr>
            <w:bookmarkStart w:id="8" w:name="bkmrkSignature" w:colFirst="0" w:colLast="0"/>
          </w:p>
        </w:tc>
        <w:tc>
          <w:tcPr>
            <w:tcW w:w="4320" w:type="dxa"/>
            <w:tcBorders>
              <w:bottom w:val="single" w:sz="4" w:space="0" w:color="auto"/>
            </w:tcBorders>
            <w:shd w:val="clear" w:color="auto" w:fill="auto"/>
          </w:tcPr>
          <w:p w:rsidR="00D2193A" w:rsidRDefault="0053576D" w:rsidP="00D2193A">
            <w:pPr>
              <w:pStyle w:val="OrderBody"/>
              <w:keepNext/>
              <w:keepLines/>
            </w:pPr>
            <w:r>
              <w:t>/s/ Adam J. Teitzman</w:t>
            </w:r>
            <w:bookmarkStart w:id="9" w:name="_GoBack"/>
            <w:bookmarkEnd w:id="9"/>
          </w:p>
        </w:tc>
      </w:tr>
      <w:bookmarkEnd w:id="8"/>
      <w:tr w:rsidR="00D2193A" w:rsidTr="00D2193A">
        <w:tc>
          <w:tcPr>
            <w:tcW w:w="720" w:type="dxa"/>
            <w:shd w:val="clear" w:color="auto" w:fill="auto"/>
          </w:tcPr>
          <w:p w:rsidR="00D2193A" w:rsidRDefault="00D2193A" w:rsidP="00D2193A">
            <w:pPr>
              <w:pStyle w:val="OrderBody"/>
              <w:keepNext/>
              <w:keepLines/>
            </w:pPr>
          </w:p>
        </w:tc>
        <w:tc>
          <w:tcPr>
            <w:tcW w:w="4320" w:type="dxa"/>
            <w:tcBorders>
              <w:top w:val="single" w:sz="4" w:space="0" w:color="auto"/>
            </w:tcBorders>
            <w:shd w:val="clear" w:color="auto" w:fill="auto"/>
          </w:tcPr>
          <w:p w:rsidR="00D2193A" w:rsidRDefault="00D2193A" w:rsidP="00D2193A">
            <w:pPr>
              <w:pStyle w:val="OrderBody"/>
              <w:keepNext/>
              <w:keepLines/>
            </w:pPr>
            <w:r>
              <w:t>ADAM J. TEITZMAN</w:t>
            </w:r>
          </w:p>
          <w:p w:rsidR="00D2193A" w:rsidRDefault="00D2193A" w:rsidP="00D2193A">
            <w:pPr>
              <w:pStyle w:val="OrderBody"/>
              <w:keepNext/>
              <w:keepLines/>
            </w:pPr>
            <w:r>
              <w:t>Commission Clerk</w:t>
            </w:r>
          </w:p>
        </w:tc>
      </w:tr>
    </w:tbl>
    <w:p w:rsidR="00D2193A" w:rsidRDefault="00D2193A" w:rsidP="00D2193A">
      <w:pPr>
        <w:pStyle w:val="OrderSigInfo"/>
        <w:keepNext/>
        <w:keepLines/>
      </w:pPr>
      <w:r>
        <w:t>Florida Public Service Commission</w:t>
      </w:r>
    </w:p>
    <w:p w:rsidR="00D2193A" w:rsidRDefault="00D2193A" w:rsidP="00D2193A">
      <w:pPr>
        <w:pStyle w:val="OrderSigInfo"/>
        <w:keepNext/>
        <w:keepLines/>
      </w:pPr>
      <w:r>
        <w:t>2540 Shumard Oak Boulevard</w:t>
      </w:r>
    </w:p>
    <w:p w:rsidR="00D2193A" w:rsidRDefault="00D2193A" w:rsidP="00D2193A">
      <w:pPr>
        <w:pStyle w:val="OrderSigInfo"/>
        <w:keepNext/>
        <w:keepLines/>
      </w:pPr>
      <w:r>
        <w:t>Tallahassee, Florida 32399</w:t>
      </w:r>
    </w:p>
    <w:p w:rsidR="00D2193A" w:rsidRDefault="00D2193A" w:rsidP="00D2193A">
      <w:pPr>
        <w:pStyle w:val="OrderSigInfo"/>
        <w:keepNext/>
        <w:keepLines/>
      </w:pPr>
      <w:r>
        <w:t>(850) 413</w:t>
      </w:r>
      <w:r>
        <w:noBreakHyphen/>
        <w:t>6770</w:t>
      </w:r>
    </w:p>
    <w:p w:rsidR="00D2193A" w:rsidRDefault="00D2193A" w:rsidP="00D2193A">
      <w:pPr>
        <w:pStyle w:val="OrderSigInfo"/>
        <w:keepNext/>
        <w:keepLines/>
      </w:pPr>
      <w:r>
        <w:t>www.floridapsc.com</w:t>
      </w:r>
    </w:p>
    <w:p w:rsidR="00D2193A" w:rsidRDefault="00D2193A" w:rsidP="00D2193A">
      <w:pPr>
        <w:pStyle w:val="OrderSigInfo"/>
        <w:keepNext/>
        <w:keepLines/>
      </w:pPr>
    </w:p>
    <w:p w:rsidR="00D2193A" w:rsidRDefault="00D2193A" w:rsidP="00D2193A">
      <w:pPr>
        <w:pStyle w:val="OrderSigInfo"/>
        <w:keepNext/>
        <w:keepLines/>
      </w:pPr>
      <w:r>
        <w:t>Copies furnished:  A copy of this document is provided to the parties of record at the time of issuance and, if applicable, interested persons.</w:t>
      </w:r>
    </w:p>
    <w:p w:rsidR="00D2193A" w:rsidRDefault="00D2193A" w:rsidP="00D2193A">
      <w:pPr>
        <w:pStyle w:val="OrderBody"/>
        <w:keepNext/>
        <w:keepLines/>
      </w:pPr>
    </w:p>
    <w:p w:rsidR="00D2193A" w:rsidRDefault="00D2193A" w:rsidP="00D2193A">
      <w:pPr>
        <w:pStyle w:val="OrderBody"/>
        <w:keepNext/>
        <w:keepLines/>
      </w:pPr>
    </w:p>
    <w:p w:rsidR="00FF14D6" w:rsidRPr="00FF14D6" w:rsidRDefault="00D2193A" w:rsidP="00FF14D6">
      <w:pPr>
        <w:pStyle w:val="CenterUnderline"/>
        <w:jc w:val="left"/>
        <w:rPr>
          <w:u w:val="none"/>
        </w:rPr>
      </w:pPr>
      <w:r w:rsidRPr="00FF14D6">
        <w:rPr>
          <w:u w:val="none"/>
        </w:rPr>
        <w:t>AJW</w:t>
      </w:r>
    </w:p>
    <w:p w:rsidR="00FF14D6" w:rsidRDefault="00FF14D6" w:rsidP="00D2193A">
      <w:pPr>
        <w:pStyle w:val="CenterUnderline"/>
      </w:pPr>
    </w:p>
    <w:p w:rsidR="00D2193A" w:rsidRDefault="00D2193A" w:rsidP="00D2193A">
      <w:pPr>
        <w:pStyle w:val="CenterUnderline"/>
      </w:pPr>
      <w:r>
        <w:t>NOTICE OF FURTHER PROCEEDINGS OR JUDICIAL REVIEW</w:t>
      </w:r>
    </w:p>
    <w:p w:rsidR="00D2193A" w:rsidRDefault="00D2193A" w:rsidP="00D2193A">
      <w:pPr>
        <w:pStyle w:val="CenterUnderline"/>
      </w:pPr>
    </w:p>
    <w:p w:rsidR="00D2193A" w:rsidRDefault="00D2193A" w:rsidP="00D2193A">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D2193A" w:rsidRDefault="00D2193A" w:rsidP="00D2193A">
      <w:pPr>
        <w:pStyle w:val="OrderBody"/>
      </w:pPr>
    </w:p>
    <w:p w:rsidR="00D2193A" w:rsidRDefault="00D2193A" w:rsidP="00D2193A">
      <w:pPr>
        <w:pStyle w:val="OrderBody"/>
      </w:pPr>
      <w:r>
        <w:tab/>
        <w:t>Mediation may be available on a case-by-case basis.  If mediation is conducted, it does not affect a substantially interested person's right to a hearing.</w:t>
      </w:r>
    </w:p>
    <w:p w:rsidR="00D2193A" w:rsidRDefault="00D2193A" w:rsidP="00D2193A">
      <w:pPr>
        <w:pStyle w:val="OrderBody"/>
      </w:pPr>
    </w:p>
    <w:p w:rsidR="00D2193A" w:rsidRDefault="00D2193A" w:rsidP="00D2193A">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420D0F">
        <w:rPr>
          <w:u w:val="single"/>
        </w:rPr>
        <w:t>October 6, 2021</w:t>
      </w:r>
      <w:r>
        <w:t>.</w:t>
      </w:r>
    </w:p>
    <w:p w:rsidR="00D2193A" w:rsidRDefault="00D2193A" w:rsidP="00D2193A">
      <w:pPr>
        <w:pStyle w:val="OrderBody"/>
      </w:pPr>
    </w:p>
    <w:p w:rsidR="00D2193A" w:rsidRDefault="00D2193A" w:rsidP="00D2193A">
      <w:pPr>
        <w:pStyle w:val="OrderBody"/>
      </w:pPr>
      <w:r>
        <w:tab/>
        <w:t>In the absence of such a petition, this order shall become final and effective upon the issuance of a Consummating Order.</w:t>
      </w:r>
    </w:p>
    <w:p w:rsidR="00D2193A" w:rsidRDefault="00D2193A" w:rsidP="00D2193A">
      <w:pPr>
        <w:pStyle w:val="OrderBody"/>
      </w:pPr>
    </w:p>
    <w:p w:rsidR="00D2193A" w:rsidRDefault="00D2193A" w:rsidP="00D2193A">
      <w:pPr>
        <w:pStyle w:val="OrderBody"/>
      </w:pPr>
      <w:r>
        <w:tab/>
        <w:t>Any objection or protest filed in this/these docket(s) before the issuance date of this order is considered abandoned unless it satisfies the foregoing conditions and is renewed within the specified protest period.</w:t>
      </w:r>
    </w:p>
    <w:sectPr w:rsidR="00D2193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BD4" w:rsidRDefault="00044BD4">
      <w:r>
        <w:separator/>
      </w:r>
    </w:p>
  </w:endnote>
  <w:endnote w:type="continuationSeparator" w:id="0">
    <w:p w:rsidR="00044BD4" w:rsidRDefault="00044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BD4" w:rsidRDefault="00044BD4">
      <w:r>
        <w:separator/>
      </w:r>
    </w:p>
  </w:footnote>
  <w:footnote w:type="continuationSeparator" w:id="0">
    <w:p w:rsidR="00044BD4" w:rsidRDefault="00044BD4">
      <w:r>
        <w:continuationSeparator/>
      </w:r>
    </w:p>
  </w:footnote>
  <w:footnote w:id="1">
    <w:p w:rsidR="007131C6" w:rsidRDefault="007131C6" w:rsidP="007131C6">
      <w:pPr>
        <w:pStyle w:val="FootnoteText"/>
      </w:pPr>
      <w:r>
        <w:rPr>
          <w:rStyle w:val="FootnoteReference"/>
        </w:rPr>
        <w:footnoteRef/>
      </w:r>
      <w:r>
        <w:t xml:space="preserve"> Order No. PSC-05-0164-PAA-EI, issued February 10, 2005, in Docket No. 20041300-EI, </w:t>
      </w:r>
      <w:r w:rsidRPr="00356B85">
        <w:rPr>
          <w:i/>
        </w:rPr>
        <w:t xml:space="preserve">In re: Petition for approval of new environmental program for cost recovery through Environmental Cost Recovery Clause by Tampa Electric Company.  </w:t>
      </w:r>
    </w:p>
  </w:footnote>
  <w:footnote w:id="2">
    <w:p w:rsidR="007131C6" w:rsidRDefault="007131C6" w:rsidP="007131C6">
      <w:pPr>
        <w:pStyle w:val="FootnoteText"/>
      </w:pPr>
      <w:r>
        <w:rPr>
          <w:rStyle w:val="FootnoteReference"/>
        </w:rPr>
        <w:footnoteRef/>
      </w:r>
      <w:r>
        <w:t xml:space="preserve"> Federal Register, Volume 79, No. 158, pp. 48300-48439, codified at Title 40, Part 125, Subpart J, Code of Federal Regulations</w:t>
      </w:r>
      <w:r w:rsidRPr="00356B85">
        <w:rPr>
          <w:i/>
        </w:rPr>
        <w:t xml:space="preserve">.  </w:t>
      </w:r>
    </w:p>
  </w:footnote>
  <w:footnote w:id="3">
    <w:p w:rsidR="007131C6" w:rsidRDefault="007131C6" w:rsidP="007131C6">
      <w:pPr>
        <w:pStyle w:val="FootnoteText"/>
      </w:pPr>
      <w:r>
        <w:rPr>
          <w:rStyle w:val="FootnoteReference"/>
        </w:rPr>
        <w:footnoteRef/>
      </w:r>
      <w:r>
        <w:t xml:space="preserve"> Order No. </w:t>
      </w:r>
      <w:r w:rsidRPr="00325798">
        <w:t>PSC- 2018-0594-FOF-EI</w:t>
      </w:r>
      <w:r>
        <w:t>, issued December 20, 2018, in Docket No. 20180007-EI,</w:t>
      </w:r>
      <w:r w:rsidRPr="00325798">
        <w:rPr>
          <w:i/>
        </w:rPr>
        <w:t xml:space="preserve"> In re: Environmental cost recovery clause.</w:t>
      </w:r>
    </w:p>
  </w:footnote>
  <w:footnote w:id="4">
    <w:p w:rsidR="007131C6" w:rsidRDefault="007131C6" w:rsidP="007131C6">
      <w:pPr>
        <w:pStyle w:val="FootnoteText"/>
      </w:pPr>
      <w:r>
        <w:rPr>
          <w:rStyle w:val="FootnoteReference"/>
        </w:rPr>
        <w:footnoteRef/>
      </w:r>
      <w:r>
        <w:t xml:space="preserve"> Order No. PSC-94-0044-FOF-EI, issued January 12, 1994, in Docket No. 19930613-EI, </w:t>
      </w:r>
      <w:r w:rsidRPr="00590293">
        <w:rPr>
          <w:i/>
        </w:rPr>
        <w:t>In re: Petition to establish an environmental cost recovery clause pursuant to Section 366.0285, Florida Statutes by Gulf Power Company.</w:t>
      </w:r>
    </w:p>
  </w:footnote>
  <w:footnote w:id="5">
    <w:p w:rsidR="007131C6" w:rsidRDefault="007131C6" w:rsidP="007131C6">
      <w:pPr>
        <w:pStyle w:val="FootnoteText"/>
      </w:pPr>
      <w:r>
        <w:rPr>
          <w:rStyle w:val="FootnoteReference"/>
        </w:rPr>
        <w:footnoteRef/>
      </w:r>
      <w:r>
        <w:t xml:space="preserve"> Impingement mortality occurs when aquatic life are pinned against the CWIS screens.</w:t>
      </w:r>
    </w:p>
  </w:footnote>
  <w:footnote w:id="6">
    <w:p w:rsidR="007131C6" w:rsidRDefault="007131C6" w:rsidP="007131C6">
      <w:pPr>
        <w:pStyle w:val="FootnoteText"/>
      </w:pPr>
      <w:r>
        <w:rPr>
          <w:rStyle w:val="FootnoteReference"/>
        </w:rPr>
        <w:footnoteRef/>
      </w:r>
      <w:r>
        <w:t xml:space="preserve"> Entrainment occurs when small aquatic life pass through the CWIS screens and enter the cooling system.</w:t>
      </w:r>
    </w:p>
  </w:footnote>
  <w:footnote w:id="7">
    <w:p w:rsidR="007131C6" w:rsidRDefault="007131C6" w:rsidP="007131C6">
      <w:pPr>
        <w:pStyle w:val="FootnoteText"/>
      </w:pPr>
      <w:r>
        <w:rPr>
          <w:rStyle w:val="FootnoteReference"/>
        </w:rPr>
        <w:footnoteRef/>
      </w:r>
      <w:r>
        <w:t xml:space="preserve"> Order No. </w:t>
      </w:r>
      <w:r w:rsidRPr="00325798">
        <w:t>PSC- 2018-0594-FOF-EI</w:t>
      </w:r>
      <w:r>
        <w:t>, issued December 20, 2018, in Docket No. 20180007-EI,</w:t>
      </w:r>
      <w:r w:rsidRPr="00325798">
        <w:rPr>
          <w:i/>
        </w:rPr>
        <w:t xml:space="preserve"> In re: Environmental cost recovery clause.</w:t>
      </w:r>
    </w:p>
  </w:footnote>
  <w:footnote w:id="8">
    <w:p w:rsidR="00AC0E0B" w:rsidRPr="00762ECD" w:rsidRDefault="00AC0E0B" w:rsidP="00AC0E0B">
      <w:pPr>
        <w:pStyle w:val="FootnoteText"/>
      </w:pPr>
      <w:r>
        <w:rPr>
          <w:rStyle w:val="FootnoteReference"/>
        </w:rPr>
        <w:footnoteRef/>
      </w:r>
      <w:r>
        <w:t xml:space="preserve"> Do</w:t>
      </w:r>
      <w:r w:rsidRPr="00762ECD">
        <w:t>cument Nos. 04587-2021, 07715-2021, and 08704-2021 dated June 8, July 12, and August 4, 2021</w:t>
      </w:r>
      <w:r>
        <w:t>, respectively</w:t>
      </w:r>
      <w:r w:rsidRPr="00762ECD">
        <w:t>.</w:t>
      </w:r>
    </w:p>
  </w:footnote>
  <w:footnote w:id="9">
    <w:p w:rsidR="00AC0E0B" w:rsidRDefault="00AC0E0B" w:rsidP="00AC0E0B">
      <w:pPr>
        <w:pStyle w:val="FootnoteText"/>
      </w:pPr>
      <w:r w:rsidRPr="00762ECD">
        <w:rPr>
          <w:rStyle w:val="FootnoteReference"/>
        </w:rPr>
        <w:footnoteRef/>
      </w:r>
      <w:r w:rsidRPr="00762ECD">
        <w:t xml:space="preserve"> </w:t>
      </w:r>
      <w:r>
        <w:t>On August 6, 2021, a joint Stipulation and Settlement Agreement between TECO and intervening parties was filed in Docket No. 20210034-EI. The hearing for TECO’s current rate case is set for October 21, 2021, by Order No. PSC-2021-0301-PCO-EI. The costs of the Project are not included in the Settlement Agreement.</w:t>
      </w:r>
    </w:p>
  </w:footnote>
  <w:footnote w:id="10">
    <w:p w:rsidR="00AC0E0B" w:rsidRDefault="00AC0E0B" w:rsidP="00AC0E0B">
      <w:pPr>
        <w:pStyle w:val="FootnoteText"/>
      </w:pPr>
      <w:r>
        <w:rPr>
          <w:rStyle w:val="FootnoteReference"/>
        </w:rPr>
        <w:footnoteRef/>
      </w:r>
      <w:r>
        <w:t xml:space="preserve"> Order No. PSC-2017-0483-PAA-EI, issued December 22, 2017, in Docket No. 20170168-EI, </w:t>
      </w:r>
      <w:r>
        <w:rPr>
          <w:i/>
        </w:rPr>
        <w:t xml:space="preserve">In re: </w:t>
      </w:r>
      <w:r w:rsidRPr="000E48F1">
        <w:rPr>
          <w:i/>
        </w:rPr>
        <w:t>Petition for approval of the second phase</w:t>
      </w:r>
      <w:r>
        <w:rPr>
          <w:i/>
        </w:rPr>
        <w:t xml:space="preserve"> </w:t>
      </w:r>
      <w:r w:rsidRPr="000E48F1">
        <w:rPr>
          <w:i/>
        </w:rPr>
        <w:t>of CCR program for cost recovery through the</w:t>
      </w:r>
      <w:r>
        <w:rPr>
          <w:i/>
        </w:rPr>
        <w:t xml:space="preserve"> </w:t>
      </w:r>
      <w:r w:rsidRPr="000E48F1">
        <w:rPr>
          <w:i/>
        </w:rPr>
        <w:t>environmental cost recovery clause, by Tampa</w:t>
      </w:r>
      <w:r>
        <w:rPr>
          <w:i/>
        </w:rPr>
        <w:t xml:space="preserve"> </w:t>
      </w:r>
      <w:r w:rsidRPr="000E48F1">
        <w:rPr>
          <w:i/>
        </w:rPr>
        <w:t>Electric Company</w:t>
      </w:r>
      <w:r>
        <w:rPr>
          <w:i/>
        </w:rPr>
        <w:t xml:space="preserve">, </w:t>
      </w:r>
      <w:r>
        <w:t>Order No. PSC-16-0248-PAA-EI, issued June 28, 2016, in Docket No. 20160027-EI,</w:t>
      </w:r>
      <w:r w:rsidRPr="00325798">
        <w:rPr>
          <w:i/>
        </w:rPr>
        <w:t xml:space="preserve"> In re:</w:t>
      </w:r>
      <w:r w:rsidRPr="000E48F1">
        <w:t xml:space="preserve"> </w:t>
      </w:r>
      <w:r w:rsidRPr="000E48F1">
        <w:rPr>
          <w:i/>
        </w:rPr>
        <w:t>Petition for approval of new</w:t>
      </w:r>
      <w:r>
        <w:rPr>
          <w:i/>
        </w:rPr>
        <w:t xml:space="preserve"> </w:t>
      </w:r>
      <w:r w:rsidRPr="000E48F1">
        <w:rPr>
          <w:i/>
        </w:rPr>
        <w:t>environmental program for cost recovery</w:t>
      </w:r>
      <w:r>
        <w:rPr>
          <w:i/>
        </w:rPr>
        <w:t xml:space="preserve"> </w:t>
      </w:r>
      <w:r w:rsidRPr="000E48F1">
        <w:rPr>
          <w:i/>
        </w:rPr>
        <w:t>through Environmental Cost Recovery Clause,</w:t>
      </w:r>
      <w:r>
        <w:rPr>
          <w:i/>
        </w:rPr>
        <w:t xml:space="preserve"> </w:t>
      </w:r>
      <w:r w:rsidRPr="000E48F1">
        <w:rPr>
          <w:i/>
        </w:rPr>
        <w:t>by Tampa Electric Company</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3576D">
      <w:fldChar w:fldCharType="begin"/>
    </w:r>
    <w:r w:rsidR="0053576D">
      <w:instrText xml:space="preserve"> REF OrderNo0356 </w:instrText>
    </w:r>
    <w:r w:rsidR="0053576D">
      <w:fldChar w:fldCharType="separate"/>
    </w:r>
    <w:r w:rsidR="0053576D">
      <w:t>PSC-2021-0356-PAA-EI</w:t>
    </w:r>
    <w:r w:rsidR="0053576D">
      <w:fldChar w:fldCharType="end"/>
    </w:r>
  </w:p>
  <w:p w:rsidR="00FA6EFD" w:rsidRDefault="00044BD4">
    <w:pPr>
      <w:pStyle w:val="OrderHeader"/>
    </w:pPr>
    <w:bookmarkStart w:id="10" w:name="HeaderDocketNo"/>
    <w:bookmarkEnd w:id="10"/>
    <w:r>
      <w:t>DOCKET NO. 20210087-EI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3576D">
      <w:rPr>
        <w:rStyle w:val="PageNumber"/>
        <w:noProof/>
      </w:rPr>
      <w:t>5</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183B74"/>
    <w:multiLevelType w:val="hybridMultilevel"/>
    <w:tmpl w:val="52BED098"/>
    <w:lvl w:ilvl="0" w:tplc="088E9E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87-EI"/>
  </w:docVars>
  <w:rsids>
    <w:rsidRoot w:val="00044BD4"/>
    <w:rsid w:val="000022B8"/>
    <w:rsid w:val="00003883"/>
    <w:rsid w:val="00011251"/>
    <w:rsid w:val="00025C9D"/>
    <w:rsid w:val="0003433F"/>
    <w:rsid w:val="00035A8C"/>
    <w:rsid w:val="00036BDD"/>
    <w:rsid w:val="00041FFD"/>
    <w:rsid w:val="00044BD4"/>
    <w:rsid w:val="00053AB9"/>
    <w:rsid w:val="00056229"/>
    <w:rsid w:val="00057AF1"/>
    <w:rsid w:val="00065FC2"/>
    <w:rsid w:val="00067685"/>
    <w:rsid w:val="00067B07"/>
    <w:rsid w:val="000730D7"/>
    <w:rsid w:val="00076E6B"/>
    <w:rsid w:val="00081AE4"/>
    <w:rsid w:val="0008247D"/>
    <w:rsid w:val="00090AFC"/>
    <w:rsid w:val="00096507"/>
    <w:rsid w:val="000A7562"/>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7A7C"/>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093A"/>
    <w:rsid w:val="003D3989"/>
    <w:rsid w:val="003D4CCA"/>
    <w:rsid w:val="003D52A6"/>
    <w:rsid w:val="003D6416"/>
    <w:rsid w:val="003E1D48"/>
    <w:rsid w:val="003E711F"/>
    <w:rsid w:val="003F1D2B"/>
    <w:rsid w:val="003F3638"/>
    <w:rsid w:val="003F49A6"/>
    <w:rsid w:val="003F7445"/>
    <w:rsid w:val="00411DF2"/>
    <w:rsid w:val="00411E8F"/>
    <w:rsid w:val="00420D0F"/>
    <w:rsid w:val="004247F5"/>
    <w:rsid w:val="0042527B"/>
    <w:rsid w:val="00427EAC"/>
    <w:rsid w:val="00434548"/>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576D"/>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3771"/>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31C6"/>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1921"/>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C37A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0E0B"/>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1897"/>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57632"/>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193A"/>
    <w:rsid w:val="00D23FEA"/>
    <w:rsid w:val="00D269CA"/>
    <w:rsid w:val="00D30B48"/>
    <w:rsid w:val="00D3168A"/>
    <w:rsid w:val="00D46FAA"/>
    <w:rsid w:val="00D47A40"/>
    <w:rsid w:val="00D50B6E"/>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527D7"/>
    <w:rsid w:val="00E72914"/>
    <w:rsid w:val="00E75AE0"/>
    <w:rsid w:val="00E83C1F"/>
    <w:rsid w:val="00E85684"/>
    <w:rsid w:val="00E8794B"/>
    <w:rsid w:val="00E97656"/>
    <w:rsid w:val="00EA172C"/>
    <w:rsid w:val="00EA259B"/>
    <w:rsid w:val="00EA35A3"/>
    <w:rsid w:val="00EA3E6A"/>
    <w:rsid w:val="00EB18EF"/>
    <w:rsid w:val="00EB58F4"/>
    <w:rsid w:val="00EB7951"/>
    <w:rsid w:val="00ED69FF"/>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4D6"/>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7131C6"/>
    <w:pPr>
      <w:jc w:val="center"/>
    </w:pPr>
    <w:rPr>
      <w:rFonts w:ascii="Arial" w:hAnsi="Arial"/>
      <w:b/>
    </w:rPr>
  </w:style>
  <w:style w:type="character" w:customStyle="1" w:styleId="FootnoteTextChar">
    <w:name w:val="Footnote Text Char"/>
    <w:basedOn w:val="DefaultParagraphFont"/>
    <w:link w:val="FootnoteText"/>
    <w:uiPriority w:val="99"/>
    <w:rsid w:val="007131C6"/>
  </w:style>
  <w:style w:type="paragraph" w:customStyle="1" w:styleId="IssueHeading">
    <w:name w:val="Issue Heading"/>
    <w:basedOn w:val="Heading1"/>
    <w:next w:val="BodyText"/>
    <w:link w:val="IssueHeadingChar"/>
    <w:qFormat/>
    <w:rsid w:val="007131C6"/>
    <w:pPr>
      <w:keepNext w:val="0"/>
    </w:pPr>
    <w:rPr>
      <w:rFonts w:ascii="Arial" w:hAnsi="Arial"/>
      <w:b/>
      <w:i/>
    </w:rPr>
  </w:style>
  <w:style w:type="character" w:customStyle="1" w:styleId="IssueHeadingChar">
    <w:name w:val="Issue Heading Char"/>
    <w:link w:val="IssueHeading"/>
    <w:rsid w:val="007131C6"/>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7131C6"/>
    <w:pPr>
      <w:keepNext w:val="0"/>
    </w:pPr>
    <w:rPr>
      <w:rFonts w:ascii="Arial" w:hAnsi="Arial"/>
      <w:b/>
      <w:i/>
    </w:rPr>
  </w:style>
  <w:style w:type="character" w:customStyle="1" w:styleId="IssueSubsectionHeadingChar">
    <w:name w:val="Issue Subsection Heading Char"/>
    <w:link w:val="IssueSubsectionHeading"/>
    <w:rsid w:val="007131C6"/>
    <w:rPr>
      <w:rFonts w:ascii="Arial" w:hAnsi="Arial" w:cs="Arial"/>
      <w:b/>
      <w:bCs/>
      <w:i/>
      <w:iCs/>
      <w:sz w:val="24"/>
      <w:szCs w:val="28"/>
    </w:rPr>
  </w:style>
  <w:style w:type="paragraph" w:customStyle="1" w:styleId="First-LevelSubheading">
    <w:name w:val="First-Level Subheading"/>
    <w:basedOn w:val="IssueSubsectionHeading"/>
    <w:next w:val="BodyText"/>
    <w:qFormat/>
    <w:rsid w:val="00AC0E0B"/>
    <w:pPr>
      <w:spacing w:after="0"/>
      <w:outlineLvl w:val="2"/>
    </w:pPr>
    <w:rPr>
      <w:i w:val="0"/>
    </w:rPr>
  </w:style>
  <w:style w:type="paragraph" w:customStyle="1" w:styleId="TableNumber">
    <w:name w:val="Table Number"/>
    <w:basedOn w:val="BodyText"/>
    <w:next w:val="BodyText"/>
    <w:qFormat/>
    <w:rsid w:val="00AC0E0B"/>
    <w:pPr>
      <w:spacing w:before="480" w:after="0"/>
      <w:jc w:val="center"/>
    </w:pPr>
    <w:rPr>
      <w:rFonts w:ascii="Arial" w:hAnsi="Arial"/>
      <w:b/>
    </w:rPr>
  </w:style>
  <w:style w:type="paragraph" w:customStyle="1" w:styleId="TableTitle">
    <w:name w:val="Table Title"/>
    <w:basedOn w:val="BodyText"/>
    <w:next w:val="BodyText"/>
    <w:qFormat/>
    <w:rsid w:val="00AC0E0B"/>
    <w:pPr>
      <w:spacing w:after="0"/>
      <w:jc w:val="center"/>
    </w:pPr>
    <w:rPr>
      <w:rFonts w:ascii="Arial" w:hAnsi="Arial"/>
      <w:b/>
    </w:rPr>
  </w:style>
  <w:style w:type="paragraph" w:customStyle="1" w:styleId="TableSource">
    <w:name w:val="Table Source"/>
    <w:basedOn w:val="BodyText"/>
    <w:next w:val="BodyText"/>
    <w:qFormat/>
    <w:rsid w:val="00AC0E0B"/>
    <w:pPr>
      <w:spacing w:after="480"/>
      <w:jc w:val="both"/>
    </w:pPr>
  </w:style>
  <w:style w:type="paragraph" w:styleId="BalloonText">
    <w:name w:val="Balloon Text"/>
    <w:basedOn w:val="Normal"/>
    <w:link w:val="BalloonTextChar"/>
    <w:semiHidden/>
    <w:unhideWhenUsed/>
    <w:rsid w:val="00420D0F"/>
    <w:rPr>
      <w:rFonts w:ascii="Segoe UI" w:hAnsi="Segoe UI" w:cs="Segoe UI"/>
      <w:sz w:val="18"/>
      <w:szCs w:val="18"/>
    </w:rPr>
  </w:style>
  <w:style w:type="character" w:customStyle="1" w:styleId="BalloonTextChar">
    <w:name w:val="Balloon Text Char"/>
    <w:basedOn w:val="DefaultParagraphFont"/>
    <w:link w:val="BalloonText"/>
    <w:semiHidden/>
    <w:rsid w:val="00420D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6</Pages>
  <Words>1693</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2021-09-15T17:07:00Z</dcterms:created>
  <dcterms:modified xsi:type="dcterms:W3CDTF">2021-09-15T19:37:00Z</dcterms:modified>
</cp:coreProperties>
</file>