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133D7" w:rsidP="007133D7">
      <w:pPr>
        <w:pStyle w:val="OrderHeading"/>
      </w:pPr>
      <w:r>
        <w:t>BEFORE THE FLORIDA PUBLIC SERVICE COMMISSION</w:t>
      </w:r>
    </w:p>
    <w:p w:rsidR="007133D7" w:rsidRDefault="007133D7" w:rsidP="007133D7">
      <w:pPr>
        <w:pStyle w:val="OrderBody"/>
      </w:pPr>
    </w:p>
    <w:p w:rsidR="007133D7" w:rsidRDefault="007133D7" w:rsidP="007133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33D7" w:rsidRPr="00C63FCF" w:rsidTr="00C63FCF">
        <w:trPr>
          <w:trHeight w:val="828"/>
        </w:trPr>
        <w:tc>
          <w:tcPr>
            <w:tcW w:w="4788" w:type="dxa"/>
            <w:tcBorders>
              <w:bottom w:val="single" w:sz="8" w:space="0" w:color="auto"/>
              <w:right w:val="double" w:sz="6" w:space="0" w:color="auto"/>
            </w:tcBorders>
            <w:shd w:val="clear" w:color="auto" w:fill="auto"/>
          </w:tcPr>
          <w:p w:rsidR="007133D7" w:rsidRDefault="007133D7"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7133D7" w:rsidRDefault="007133D7" w:rsidP="007133D7">
            <w:pPr>
              <w:pStyle w:val="OrderBody"/>
            </w:pPr>
            <w:r>
              <w:t xml:space="preserve">DOCKET NO. </w:t>
            </w:r>
            <w:bookmarkStart w:id="1" w:name="SSDocketNo"/>
            <w:bookmarkEnd w:id="1"/>
            <w:r>
              <w:t>20210002-EG</w:t>
            </w:r>
          </w:p>
          <w:p w:rsidR="007133D7" w:rsidRDefault="007133D7" w:rsidP="00C63FCF">
            <w:pPr>
              <w:pStyle w:val="OrderBody"/>
              <w:tabs>
                <w:tab w:val="center" w:pos="4320"/>
                <w:tab w:val="right" w:pos="8640"/>
              </w:tabs>
              <w:jc w:val="left"/>
            </w:pPr>
            <w:r>
              <w:t xml:space="preserve">ORDER NO. </w:t>
            </w:r>
            <w:bookmarkStart w:id="2" w:name="OrderNo0427"/>
            <w:r w:rsidR="00852D55">
              <w:t>PSC-2021-0427-FOF-EG</w:t>
            </w:r>
            <w:bookmarkEnd w:id="2"/>
          </w:p>
          <w:p w:rsidR="007133D7" w:rsidRDefault="007133D7" w:rsidP="00C63FCF">
            <w:pPr>
              <w:pStyle w:val="OrderBody"/>
              <w:tabs>
                <w:tab w:val="center" w:pos="4320"/>
                <w:tab w:val="right" w:pos="8640"/>
              </w:tabs>
              <w:jc w:val="left"/>
            </w:pPr>
            <w:r>
              <w:t xml:space="preserve">ISSUED: </w:t>
            </w:r>
            <w:r w:rsidR="00CF0D2A">
              <w:t>November 17, 2021</w:t>
            </w:r>
          </w:p>
        </w:tc>
      </w:tr>
    </w:tbl>
    <w:p w:rsidR="007133D7" w:rsidRDefault="007133D7" w:rsidP="007133D7"/>
    <w:p w:rsidR="007133D7" w:rsidRDefault="007133D7" w:rsidP="007133D7"/>
    <w:p w:rsidR="007133D7" w:rsidRDefault="007133D7" w:rsidP="00B67A43">
      <w:pPr>
        <w:ind w:firstLine="720"/>
        <w:jc w:val="both"/>
      </w:pPr>
      <w:bookmarkStart w:id="3" w:name="Commissioners"/>
      <w:bookmarkEnd w:id="3"/>
      <w:r>
        <w:t>The following Commissioners participated in the disposition of this matter:</w:t>
      </w:r>
    </w:p>
    <w:p w:rsidR="007133D7" w:rsidRDefault="007133D7" w:rsidP="00B67A43"/>
    <w:p w:rsidR="007133D7" w:rsidRDefault="007133D7" w:rsidP="00B67A43">
      <w:pPr>
        <w:jc w:val="center"/>
      </w:pPr>
      <w:r>
        <w:t>GARY F. CLARK, Chairman</w:t>
      </w:r>
    </w:p>
    <w:p w:rsidR="007133D7" w:rsidRDefault="007133D7" w:rsidP="00B67A43">
      <w:pPr>
        <w:jc w:val="center"/>
      </w:pPr>
      <w:r>
        <w:t>ART GRAHAM</w:t>
      </w:r>
    </w:p>
    <w:p w:rsidR="007133D7" w:rsidRDefault="007133D7" w:rsidP="00B67A43">
      <w:pPr>
        <w:jc w:val="center"/>
      </w:pPr>
      <w:r>
        <w:t>ANDREW GILES FAY</w:t>
      </w:r>
    </w:p>
    <w:p w:rsidR="007133D7" w:rsidRDefault="007133D7" w:rsidP="00B67A43">
      <w:pPr>
        <w:jc w:val="center"/>
      </w:pPr>
      <w:r>
        <w:t>MIKE LA ROSA</w:t>
      </w:r>
    </w:p>
    <w:p w:rsidR="007133D7" w:rsidRPr="005F2751" w:rsidRDefault="007133D7" w:rsidP="00B67A43">
      <w:pPr>
        <w:jc w:val="center"/>
      </w:pPr>
      <w:r w:rsidRPr="005F2751">
        <w:rPr>
          <w:lang w:val="en"/>
        </w:rPr>
        <w:t>GABRIELLA PASSIDOMO</w:t>
      </w:r>
    </w:p>
    <w:p w:rsidR="007133D7" w:rsidRDefault="007133D7" w:rsidP="00B67A43"/>
    <w:p w:rsidR="00CB5276" w:rsidRDefault="00CB5276">
      <w:pPr>
        <w:pStyle w:val="OrderBody"/>
      </w:pPr>
    </w:p>
    <w:p w:rsidR="007133D7" w:rsidRDefault="007133D7" w:rsidP="007133D7">
      <w:pPr>
        <w:pStyle w:val="CenterUnderline"/>
      </w:pPr>
      <w:r>
        <w:t>FINAL ORDER</w:t>
      </w:r>
      <w:bookmarkStart w:id="4" w:name="OrderTitle"/>
      <w:r>
        <w:t xml:space="preserve"> APPROVING ENERGY CONSERVATION COST RECOVERY </w:t>
      </w:r>
    </w:p>
    <w:p w:rsidR="007133D7" w:rsidRDefault="007133D7" w:rsidP="007133D7">
      <w:pPr>
        <w:pStyle w:val="CenterUnderline"/>
      </w:pPr>
      <w:r>
        <w:t>AMOUNTS AND RELATED TARIFFS AND ESTABLISHING ENERGY</w:t>
      </w:r>
    </w:p>
    <w:p w:rsidR="007133D7" w:rsidRDefault="007133D7" w:rsidP="007133D7">
      <w:pPr>
        <w:pStyle w:val="CenterUnderline"/>
      </w:pPr>
      <w:r>
        <w:t xml:space="preserve"> CONSERVATION COST RECOVERY FACTORS FOR THE PERIOD </w:t>
      </w:r>
    </w:p>
    <w:p w:rsidR="007133D7" w:rsidRDefault="007133D7" w:rsidP="007133D7">
      <w:pPr>
        <w:pStyle w:val="CenterUnderline"/>
      </w:pPr>
      <w:r>
        <w:t xml:space="preserve">JANUARY 2022 THROUGH DECEMBER 2022 </w:t>
      </w:r>
      <w:bookmarkEnd w:id="4"/>
    </w:p>
    <w:p w:rsidR="007133D7" w:rsidRDefault="007133D7" w:rsidP="007133D7">
      <w:pPr>
        <w:pStyle w:val="CenterUnderline"/>
      </w:pPr>
    </w:p>
    <w:p w:rsidR="007133D7" w:rsidRDefault="007133D7" w:rsidP="007133D7">
      <w:pPr>
        <w:jc w:val="both"/>
      </w:pPr>
      <w:r w:rsidRPr="00701945">
        <w:t>APPEARANCES:</w:t>
      </w:r>
    </w:p>
    <w:p w:rsidR="007133D7" w:rsidRDefault="007133D7" w:rsidP="007133D7">
      <w:pPr>
        <w:jc w:val="both"/>
      </w:pPr>
    </w:p>
    <w:p w:rsidR="007133D7" w:rsidRPr="00743FBB" w:rsidRDefault="007133D7" w:rsidP="007133D7">
      <w:pPr>
        <w:ind w:left="1440"/>
        <w:jc w:val="both"/>
      </w:pPr>
      <w:r>
        <w:t>MARIA JOSE MONCADA</w:t>
      </w:r>
      <w:r w:rsidRPr="00701945">
        <w:t>,</w:t>
      </w:r>
      <w:r>
        <w:t xml:space="preserve"> ESQUIRE, </w:t>
      </w:r>
      <w:r w:rsidRPr="00743FBB">
        <w:t>700 Universe Boulevard</w:t>
      </w:r>
      <w:r>
        <w:t xml:space="preserve">, </w:t>
      </w:r>
      <w:r w:rsidRPr="00743FBB">
        <w:t>Juno Beach, F</w:t>
      </w:r>
      <w:r>
        <w:t>lorida</w:t>
      </w:r>
      <w:r w:rsidRPr="00743FBB">
        <w:t xml:space="preserve"> 33408</w:t>
      </w:r>
    </w:p>
    <w:p w:rsidR="007133D7" w:rsidRDefault="007133D7" w:rsidP="007133D7">
      <w:pPr>
        <w:ind w:left="1440"/>
        <w:jc w:val="both"/>
      </w:pPr>
      <w:r w:rsidRPr="00701945">
        <w:rPr>
          <w:u w:val="single"/>
        </w:rPr>
        <w:t xml:space="preserve">On behalf of </w:t>
      </w:r>
      <w:r>
        <w:rPr>
          <w:u w:val="single"/>
        </w:rPr>
        <w:t>FLORIDA POWER &amp; LIGHT COMPANY (FPL)</w:t>
      </w:r>
      <w:r w:rsidRPr="00EC4A29">
        <w:rPr>
          <w:u w:val="single"/>
        </w:rPr>
        <w:t xml:space="preserve"> and GULF POWER COMPANY (GULF)</w:t>
      </w:r>
      <w:r w:rsidRPr="001111B8">
        <w:t>.</w:t>
      </w:r>
    </w:p>
    <w:p w:rsidR="007133D7" w:rsidRDefault="007133D7" w:rsidP="007133D7">
      <w:pPr>
        <w:jc w:val="both"/>
      </w:pPr>
    </w:p>
    <w:p w:rsidR="007133D7" w:rsidRPr="00E37470" w:rsidRDefault="007133D7" w:rsidP="007133D7">
      <w:pPr>
        <w:ind w:left="1440"/>
        <w:jc w:val="both"/>
      </w:pPr>
      <w:r>
        <w:t>DIANNE M. TRIPLETT</w:t>
      </w:r>
      <w:r w:rsidRPr="00701945">
        <w:t xml:space="preserve">, ESQUIRE, </w:t>
      </w:r>
      <w:r w:rsidRPr="00E37470">
        <w:t>299 First Avenue North</w:t>
      </w:r>
      <w:r>
        <w:t xml:space="preserve">, </w:t>
      </w:r>
      <w:r w:rsidRPr="00E37470">
        <w:t>St. Petersburg, F</w:t>
      </w:r>
      <w:r>
        <w:t>lorida</w:t>
      </w:r>
      <w:r w:rsidRPr="00E37470">
        <w:t xml:space="preserve"> 33701</w:t>
      </w:r>
      <w:r>
        <w:t xml:space="preserve">, MATTHEW R. BERNIER, and STEPHANIE A. CUELLO, </w:t>
      </w:r>
      <w:r w:rsidR="00D1654B">
        <w:t>ESQUIRES,</w:t>
      </w:r>
      <w:r w:rsidR="00D1654B" w:rsidRPr="00E37470">
        <w:t xml:space="preserve"> </w:t>
      </w:r>
      <w:r w:rsidRPr="00E37470">
        <w:t>106 East College Avenue</w:t>
      </w:r>
      <w:r>
        <w:t xml:space="preserve">, </w:t>
      </w:r>
      <w:r w:rsidRPr="00E37470">
        <w:t>Suite 800</w:t>
      </w:r>
      <w:r>
        <w:t xml:space="preserve">, </w:t>
      </w:r>
      <w:r w:rsidRPr="00E37470">
        <w:t>Tallahassee, Florida 32301</w:t>
      </w:r>
    </w:p>
    <w:p w:rsidR="007133D7" w:rsidRDefault="007133D7" w:rsidP="007133D7">
      <w:pPr>
        <w:ind w:left="720" w:firstLine="720"/>
        <w:jc w:val="both"/>
      </w:pPr>
      <w:r w:rsidRPr="00701945">
        <w:rPr>
          <w:u w:val="single"/>
        </w:rPr>
        <w:t xml:space="preserve">On behalf of </w:t>
      </w:r>
      <w:r>
        <w:rPr>
          <w:u w:val="single"/>
        </w:rPr>
        <w:t>DUKE ENERGY FLORIDA, LLC (DEF)</w:t>
      </w:r>
      <w:r w:rsidRPr="00701945">
        <w:t>.</w:t>
      </w:r>
    </w:p>
    <w:p w:rsidR="007133D7" w:rsidRDefault="007133D7" w:rsidP="007133D7">
      <w:pPr>
        <w:ind w:left="720" w:firstLine="720"/>
        <w:jc w:val="both"/>
      </w:pPr>
    </w:p>
    <w:p w:rsidR="007133D7" w:rsidRDefault="007133D7" w:rsidP="007133D7">
      <w:pPr>
        <w:ind w:left="1440"/>
        <w:jc w:val="both"/>
      </w:pPr>
      <w:r>
        <w:t>JAMES D. BEASLEY</w:t>
      </w:r>
      <w:r w:rsidRPr="00701945">
        <w:t>,</w:t>
      </w:r>
      <w:r>
        <w:t xml:space="preserve"> J. JEFFRY WAHLEN, and MALCOLM N. MEANS, ESQUIRES, </w:t>
      </w:r>
      <w:r w:rsidRPr="0014594E">
        <w:t>Post Office Box 391</w:t>
      </w:r>
      <w:r>
        <w:t>,</w:t>
      </w:r>
      <w:r w:rsidRPr="0014594E">
        <w:t xml:space="preserve"> Tallahassee, Florida 32302</w:t>
      </w:r>
    </w:p>
    <w:p w:rsidR="007133D7" w:rsidRDefault="007133D7" w:rsidP="007133D7">
      <w:pPr>
        <w:ind w:left="720" w:firstLine="720"/>
        <w:jc w:val="both"/>
      </w:pPr>
      <w:r w:rsidRPr="00701945">
        <w:rPr>
          <w:u w:val="single"/>
        </w:rPr>
        <w:t xml:space="preserve">On behalf of </w:t>
      </w:r>
      <w:r>
        <w:rPr>
          <w:u w:val="single"/>
        </w:rPr>
        <w:t>TAMPA ELECTRIC COMPANY (TECO)</w:t>
      </w:r>
      <w:r w:rsidRPr="00701945">
        <w:t>.</w:t>
      </w:r>
    </w:p>
    <w:p w:rsidR="007133D7" w:rsidRDefault="007133D7" w:rsidP="007133D7">
      <w:pPr>
        <w:ind w:left="1440"/>
        <w:jc w:val="both"/>
      </w:pPr>
    </w:p>
    <w:p w:rsidR="007133D7" w:rsidRDefault="007133D7" w:rsidP="007133D7">
      <w:pPr>
        <w:ind w:left="1440"/>
        <w:jc w:val="both"/>
      </w:pPr>
      <w:r>
        <w:t>BETH KEATING</w:t>
      </w:r>
      <w:r w:rsidRPr="00701945">
        <w:t xml:space="preserve">, ESQUIRE, </w:t>
      </w:r>
      <w:r>
        <w:t>215 South Monroe St., Suite 601, Tallahassee, Florida 32301</w:t>
      </w:r>
    </w:p>
    <w:p w:rsidR="007133D7" w:rsidRDefault="007133D7" w:rsidP="007133D7">
      <w:pPr>
        <w:ind w:left="720" w:firstLine="720"/>
        <w:jc w:val="both"/>
      </w:pPr>
      <w:r w:rsidRPr="00701945">
        <w:rPr>
          <w:u w:val="single"/>
        </w:rPr>
        <w:t xml:space="preserve">On behalf of </w:t>
      </w:r>
      <w:r>
        <w:rPr>
          <w:u w:val="single"/>
        </w:rPr>
        <w:t>FLORIDA PUBLIC UTILITIES COMPANY (FPUC)</w:t>
      </w:r>
      <w:r w:rsidRPr="00701945">
        <w:t>.</w:t>
      </w:r>
    </w:p>
    <w:p w:rsidR="007133D7" w:rsidRDefault="007133D7" w:rsidP="007133D7">
      <w:pPr>
        <w:ind w:left="1440"/>
        <w:jc w:val="both"/>
      </w:pPr>
    </w:p>
    <w:p w:rsidR="007133D7" w:rsidRPr="00701945" w:rsidRDefault="007133D7" w:rsidP="007133D7">
      <w:pPr>
        <w:ind w:left="1440"/>
        <w:jc w:val="both"/>
      </w:pPr>
      <w:r>
        <w:t>RICHARD GENTRY, CHARLES REHWINKEL, MARY A. WESSLING, PATRICIA A. CHRISTENSEN, and ANASTACIA PIRRELLO</w:t>
      </w:r>
      <w:r w:rsidRPr="00701945">
        <w:t>, ESQUIRE</w:t>
      </w:r>
      <w:r>
        <w:t>S</w:t>
      </w:r>
      <w:r w:rsidRPr="00701945">
        <w:t xml:space="preserve">, </w:t>
      </w:r>
      <w:r w:rsidRPr="000827FB">
        <w:t xml:space="preserve"> 111 West Madison Street, Room 812</w:t>
      </w:r>
      <w:r>
        <w:t>,</w:t>
      </w:r>
      <w:r w:rsidRPr="000827FB">
        <w:t xml:space="preserve"> Tallahassee, Florida 32399-1400</w:t>
      </w:r>
    </w:p>
    <w:p w:rsidR="007133D7" w:rsidRDefault="007133D7" w:rsidP="007133D7">
      <w:pPr>
        <w:ind w:left="720" w:firstLine="720"/>
        <w:jc w:val="both"/>
      </w:pPr>
      <w:r w:rsidRPr="00701945">
        <w:rPr>
          <w:u w:val="single"/>
        </w:rPr>
        <w:t xml:space="preserve">On behalf of </w:t>
      </w:r>
      <w:r>
        <w:rPr>
          <w:u w:val="single"/>
        </w:rPr>
        <w:t>OFFICE OF PUBLIC COUNSEL (OPC)</w:t>
      </w:r>
      <w:r w:rsidRPr="00701945">
        <w:t xml:space="preserve">. </w:t>
      </w:r>
    </w:p>
    <w:p w:rsidR="007133D7" w:rsidRDefault="007133D7" w:rsidP="007133D7">
      <w:pPr>
        <w:ind w:left="1440"/>
        <w:jc w:val="both"/>
      </w:pPr>
    </w:p>
    <w:p w:rsidR="007133D7" w:rsidRPr="003E693D" w:rsidRDefault="007133D7" w:rsidP="007133D7">
      <w:pPr>
        <w:ind w:left="1440"/>
        <w:jc w:val="both"/>
        <w:rPr>
          <w:bCs/>
        </w:rPr>
      </w:pPr>
      <w:r>
        <w:t>JON C. MOYLE, JR.</w:t>
      </w:r>
      <w:r w:rsidRPr="00701945">
        <w:t xml:space="preserve"> </w:t>
      </w:r>
      <w:r>
        <w:t>and KAREN PUTNAL, ESQUIRES,</w:t>
      </w:r>
      <w:r w:rsidRPr="00701945">
        <w:t xml:space="preserve"> </w:t>
      </w:r>
      <w:r w:rsidRPr="003E693D">
        <w:rPr>
          <w:bCs/>
        </w:rPr>
        <w:t>118 North Gadsden Street</w:t>
      </w:r>
      <w:r>
        <w:rPr>
          <w:bCs/>
        </w:rPr>
        <w:t xml:space="preserve">, </w:t>
      </w:r>
      <w:r w:rsidRPr="003E693D">
        <w:rPr>
          <w:bCs/>
        </w:rPr>
        <w:t>Tallahassee, F</w:t>
      </w:r>
      <w:r>
        <w:rPr>
          <w:bCs/>
        </w:rPr>
        <w:t>lorida</w:t>
      </w:r>
      <w:r w:rsidRPr="003E693D">
        <w:rPr>
          <w:bCs/>
        </w:rPr>
        <w:t xml:space="preserve"> 32312</w:t>
      </w:r>
    </w:p>
    <w:p w:rsidR="007133D7" w:rsidRDefault="007133D7" w:rsidP="007133D7">
      <w:pPr>
        <w:ind w:left="720" w:firstLine="720"/>
        <w:jc w:val="both"/>
      </w:pPr>
      <w:r w:rsidRPr="00701945">
        <w:rPr>
          <w:u w:val="single"/>
        </w:rPr>
        <w:t xml:space="preserve">On behalf of </w:t>
      </w:r>
      <w:r>
        <w:rPr>
          <w:u w:val="single"/>
        </w:rPr>
        <w:t>FLORIDA INDUSTRIAL POWER USERS GROUP (FIPUG</w:t>
      </w:r>
      <w:r w:rsidRPr="007A39E4">
        <w:rPr>
          <w:u w:val="single"/>
        </w:rPr>
        <w:t>)</w:t>
      </w:r>
      <w:r w:rsidRPr="001111B8">
        <w:t>.</w:t>
      </w:r>
    </w:p>
    <w:p w:rsidR="007133D7" w:rsidRPr="00701945" w:rsidRDefault="007133D7" w:rsidP="007133D7">
      <w:pPr>
        <w:jc w:val="both"/>
      </w:pPr>
    </w:p>
    <w:p w:rsidR="007133D7" w:rsidRDefault="007133D7" w:rsidP="007133D7">
      <w:pPr>
        <w:ind w:left="1440"/>
        <w:jc w:val="both"/>
      </w:pPr>
      <w:r>
        <w:t>PETER J. MATTHEIS and MICHAEL K. LAVANGA, ESQUIRES, 1025 Thomas Jefferson Street, NW, Eighth Floor, West Tower, Washington D.C. 20007</w:t>
      </w:r>
    </w:p>
    <w:p w:rsidR="007133D7" w:rsidRDefault="007133D7" w:rsidP="007133D7">
      <w:pPr>
        <w:ind w:left="1440"/>
        <w:jc w:val="both"/>
        <w:rPr>
          <w:u w:val="single"/>
        </w:rPr>
      </w:pPr>
      <w:r>
        <w:rPr>
          <w:u w:val="single"/>
        </w:rPr>
        <w:t>On behalf of Nucor Steel Florida, Inc. (NUCOR</w:t>
      </w:r>
      <w:r w:rsidRPr="007A39E4">
        <w:rPr>
          <w:u w:val="single"/>
        </w:rPr>
        <w:t>)</w:t>
      </w:r>
      <w:r w:rsidRPr="001111B8">
        <w:t>.</w:t>
      </w:r>
    </w:p>
    <w:p w:rsidR="007133D7" w:rsidRDefault="007133D7" w:rsidP="007133D7">
      <w:pPr>
        <w:ind w:left="720" w:firstLine="720"/>
        <w:jc w:val="both"/>
      </w:pPr>
    </w:p>
    <w:p w:rsidR="007133D7" w:rsidRPr="0014594E" w:rsidRDefault="007133D7" w:rsidP="007133D7">
      <w:pPr>
        <w:ind w:left="1440"/>
      </w:pPr>
      <w:r>
        <w:t xml:space="preserve">JAMES W. BREW and LAURA WYNN BAKER, ESQUIRES, </w:t>
      </w:r>
      <w:r w:rsidRPr="0014594E">
        <w:t>1025 Thomas Jefferson Street, NW</w:t>
      </w:r>
      <w:r>
        <w:t xml:space="preserve">, </w:t>
      </w:r>
      <w:r w:rsidRPr="0014594E">
        <w:t>Eighth Floor, West Tower</w:t>
      </w:r>
      <w:r>
        <w:t xml:space="preserve">, </w:t>
      </w:r>
      <w:r w:rsidRPr="0014594E">
        <w:t>Washington, D.C. 20007</w:t>
      </w:r>
    </w:p>
    <w:p w:rsidR="007133D7" w:rsidRDefault="007133D7" w:rsidP="007133D7">
      <w:pPr>
        <w:ind w:left="1440"/>
        <w:jc w:val="both"/>
      </w:pPr>
      <w:r w:rsidRPr="00701945">
        <w:rPr>
          <w:u w:val="single"/>
        </w:rPr>
        <w:t xml:space="preserve">On behalf of </w:t>
      </w:r>
      <w:r>
        <w:rPr>
          <w:u w:val="single"/>
        </w:rPr>
        <w:t>White Springs Agricultural Chemicals, Inc. d/b/a PCS Phosphate – White Springs (PCS)</w:t>
      </w:r>
      <w:r w:rsidRPr="00701945">
        <w:t>.</w:t>
      </w:r>
    </w:p>
    <w:p w:rsidR="007133D7" w:rsidRDefault="007133D7" w:rsidP="007133D7">
      <w:pPr>
        <w:ind w:left="720" w:firstLine="720"/>
        <w:jc w:val="both"/>
      </w:pPr>
    </w:p>
    <w:p w:rsidR="007133D7" w:rsidRDefault="007133D7" w:rsidP="007133D7">
      <w:pPr>
        <w:ind w:left="1440"/>
        <w:jc w:val="both"/>
      </w:pPr>
      <w:r>
        <w:t>GEORGE CAVROS, ESQUIRE, 120 E. Oakland Park Blvd., Suite 105, Fort Lauderdale, FL 33334</w:t>
      </w:r>
    </w:p>
    <w:p w:rsidR="007133D7" w:rsidRPr="00EC4A29" w:rsidRDefault="007133D7" w:rsidP="007133D7">
      <w:pPr>
        <w:ind w:left="1440"/>
        <w:jc w:val="both"/>
        <w:rPr>
          <w:u w:val="single"/>
        </w:rPr>
      </w:pPr>
      <w:r>
        <w:rPr>
          <w:u w:val="single"/>
        </w:rPr>
        <w:t>On behalf of Southern Alliance for Clean Energy (SACE)</w:t>
      </w:r>
      <w:r w:rsidRPr="001111B8">
        <w:t>.</w:t>
      </w:r>
    </w:p>
    <w:p w:rsidR="007133D7" w:rsidRPr="00701945" w:rsidRDefault="007133D7" w:rsidP="007133D7">
      <w:pPr>
        <w:jc w:val="both"/>
      </w:pPr>
    </w:p>
    <w:p w:rsidR="007133D7" w:rsidRPr="00701945" w:rsidRDefault="007133D7" w:rsidP="007133D7">
      <w:pPr>
        <w:ind w:left="1440"/>
        <w:jc w:val="both"/>
      </w:pPr>
      <w:r>
        <w:t>WALTER TRIERWEILER</w:t>
      </w:r>
      <w:r w:rsidRPr="00701945">
        <w:t>, ESQUIRE, Florida Public Service Commission, 2540 Shumard Oak Boulevard, Tallahassee, Florida 32399-0850</w:t>
      </w:r>
    </w:p>
    <w:p w:rsidR="007133D7" w:rsidRPr="00701945" w:rsidRDefault="007133D7" w:rsidP="007133D7">
      <w:pPr>
        <w:ind w:left="720" w:firstLine="720"/>
        <w:jc w:val="both"/>
      </w:pPr>
      <w:r w:rsidRPr="00701945">
        <w:rPr>
          <w:u w:val="single"/>
        </w:rPr>
        <w:t>On behalf of the Florida Public Service Commission</w:t>
      </w:r>
      <w:r>
        <w:rPr>
          <w:u w:val="single"/>
        </w:rPr>
        <w:t xml:space="preserve"> (Staff)</w:t>
      </w:r>
      <w:r w:rsidRPr="00701945">
        <w:t>.</w:t>
      </w:r>
    </w:p>
    <w:p w:rsidR="007133D7" w:rsidRPr="00701945" w:rsidRDefault="007133D7" w:rsidP="007133D7">
      <w:pPr>
        <w:jc w:val="both"/>
      </w:pPr>
    </w:p>
    <w:p w:rsidR="007133D7" w:rsidRPr="00701945" w:rsidRDefault="007133D7" w:rsidP="007133D7">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7133D7" w:rsidRPr="00701945" w:rsidRDefault="007133D7" w:rsidP="007133D7">
      <w:pPr>
        <w:ind w:left="720" w:firstLine="720"/>
        <w:jc w:val="both"/>
      </w:pPr>
      <w:r>
        <w:rPr>
          <w:u w:val="single"/>
        </w:rPr>
        <w:t>Advisor to the</w:t>
      </w:r>
      <w:r w:rsidRPr="00701945">
        <w:rPr>
          <w:u w:val="single"/>
        </w:rPr>
        <w:t xml:space="preserve"> Florida Public Service Commission</w:t>
      </w:r>
      <w:r w:rsidRPr="00701945">
        <w:t>.</w:t>
      </w:r>
    </w:p>
    <w:p w:rsidR="007133D7" w:rsidRPr="00701945" w:rsidRDefault="007133D7" w:rsidP="007133D7">
      <w:pPr>
        <w:jc w:val="center"/>
        <w:rPr>
          <w:b/>
          <w:bCs/>
          <w:u w:val="single"/>
        </w:rPr>
      </w:pPr>
    </w:p>
    <w:p w:rsidR="007133D7" w:rsidRPr="00D033EB" w:rsidRDefault="007133D7" w:rsidP="007133D7">
      <w:pPr>
        <w:ind w:left="1440"/>
        <w:jc w:val="both"/>
      </w:pPr>
      <w:r w:rsidRPr="00D033EB">
        <w:t>K</w:t>
      </w:r>
      <w:r>
        <w:t>EITH C. HETRICK</w:t>
      </w:r>
      <w:r w:rsidRPr="00D033EB">
        <w:t>, ESQUIRE, General Counsel, Florida Public Service Commission, 2540 Shumard Oak Boulevard, Tallahassee, Florida 32399-0850</w:t>
      </w:r>
    </w:p>
    <w:p w:rsidR="007133D7" w:rsidRDefault="007133D7" w:rsidP="007133D7">
      <w:pPr>
        <w:ind w:left="720" w:firstLine="720"/>
        <w:jc w:val="both"/>
      </w:pPr>
      <w:r w:rsidRPr="00D033EB">
        <w:rPr>
          <w:u w:val="single"/>
        </w:rPr>
        <w:t>Florida Public Service Commission General Counsel</w:t>
      </w:r>
      <w:r w:rsidRPr="001111B8">
        <w:t>.</w:t>
      </w:r>
    </w:p>
    <w:p w:rsidR="007133D7" w:rsidRDefault="007133D7" w:rsidP="007133D7">
      <w:pPr>
        <w:pStyle w:val="OrderBody"/>
      </w:pPr>
    </w:p>
    <w:p w:rsidR="007133D7" w:rsidRDefault="007133D7" w:rsidP="007133D7">
      <w:pPr>
        <w:ind w:left="720" w:hanging="720"/>
        <w:jc w:val="center"/>
        <w:rPr>
          <w:u w:val="single"/>
        </w:rPr>
      </w:pPr>
      <w:bookmarkStart w:id="5" w:name="OrderText"/>
      <w:bookmarkEnd w:id="5"/>
      <w:r w:rsidRPr="00242C64">
        <w:rPr>
          <w:u w:val="single"/>
        </w:rPr>
        <w:t>BACKGROUND</w:t>
      </w:r>
    </w:p>
    <w:p w:rsidR="00CB5276" w:rsidRDefault="00CB5276">
      <w:pPr>
        <w:pStyle w:val="OrderBody"/>
      </w:pPr>
    </w:p>
    <w:p w:rsidR="00BB5717" w:rsidRDefault="007133D7" w:rsidP="007D4DAA">
      <w:pPr>
        <w:ind w:firstLine="720"/>
        <w:jc w:val="both"/>
      </w:pPr>
      <w:r w:rsidRPr="000F0AA2">
        <w:t>The Energy Conservation Cost Recovery Clause allows public utilities to seek recovery of costs for energy conservation programs on an annual basis, pursuant to Sections 366.80-366.83, Florida Statutes (F.S.), and Chapter 25-17, Florida Administrative Code (F.A.C.). A</w:t>
      </w:r>
      <w:r w:rsidR="00BB5717">
        <w:t>s</w:t>
      </w:r>
      <w:r w:rsidRPr="000F0AA2">
        <w:t xml:space="preserve"> part of the Commission’s continuing energy conservation cost recovery proceedings, an administrative hearing in this docket </w:t>
      </w:r>
      <w:r w:rsidR="00BB5717">
        <w:t xml:space="preserve">was held on </w:t>
      </w:r>
      <w:r w:rsidRPr="000F0AA2">
        <w:t>November 2-4, 2021.</w:t>
      </w:r>
      <w:r w:rsidR="00BB5717">
        <w:t xml:space="preserve"> </w:t>
      </w:r>
      <w:r w:rsidR="00BB5717" w:rsidRPr="00FD5ED6">
        <w:t>Florida Power &amp; Light Company (FPL)</w:t>
      </w:r>
      <w:r w:rsidR="00BB5717">
        <w:t xml:space="preserve">, </w:t>
      </w:r>
      <w:r w:rsidR="00BB5717" w:rsidRPr="00FD5ED6">
        <w:t>Gulf Power Company (G</w:t>
      </w:r>
      <w:r w:rsidR="00BB5717">
        <w:t>ULF</w:t>
      </w:r>
      <w:r w:rsidR="00BB5717" w:rsidRPr="00FD5ED6">
        <w:t>)</w:t>
      </w:r>
      <w:r w:rsidR="00BB5717">
        <w:t xml:space="preserve">, Duke Energy Florida, LLC (DEF), </w:t>
      </w:r>
      <w:r w:rsidR="00BB5717" w:rsidRPr="00FD5ED6">
        <w:t>Tampa Electric Company (TECO)</w:t>
      </w:r>
      <w:r w:rsidR="00BB5717">
        <w:t xml:space="preserve">, and </w:t>
      </w:r>
      <w:r w:rsidR="00BB5717" w:rsidRPr="00FD5ED6">
        <w:t>Florida Public Utilities Company (FPUC),</w:t>
      </w:r>
      <w:r w:rsidR="00BB5717">
        <w:t xml:space="preserve"> </w:t>
      </w:r>
      <w:r w:rsidR="00BB5717" w:rsidRPr="00FD5ED6">
        <w:t xml:space="preserve">submitted testimony and exhibits in support of their proposed final and estimated true-up amounts, total conservation cost recovery amounts, and conservation cost recovery factors.  </w:t>
      </w:r>
    </w:p>
    <w:p w:rsidR="005C2FCF" w:rsidRDefault="005C2FCF" w:rsidP="007D4DAA">
      <w:pPr>
        <w:ind w:firstLine="720"/>
        <w:jc w:val="both"/>
      </w:pPr>
    </w:p>
    <w:p w:rsidR="00BB5717" w:rsidRDefault="00BB5717" w:rsidP="00BB5717">
      <w:pPr>
        <w:jc w:val="both"/>
      </w:pPr>
      <w:r>
        <w:lastRenderedPageBreak/>
        <w:tab/>
      </w:r>
      <w:r w:rsidRPr="00FD5ED6">
        <w:t xml:space="preserve">Prior to the hearing, the </w:t>
      </w:r>
      <w:r>
        <w:t xml:space="preserve">utilities </w:t>
      </w:r>
      <w:r w:rsidR="00383F29">
        <w:t>achieved a Type 2 Stipulation</w:t>
      </w:r>
      <w:r w:rsidR="00383F29" w:rsidRPr="00FD5ED6">
        <w:t xml:space="preserve"> </w:t>
      </w:r>
      <w:r w:rsidRPr="00FD5ED6">
        <w:t xml:space="preserve">concerning all issues identified for resolution at the hearing, with the intervenors, the Office of Public Counsel (OPC), Florida Industrial Power Users Group (FIPUG), </w:t>
      </w:r>
      <w:r w:rsidR="00383F29">
        <w:t xml:space="preserve">Nucor Steel Florida, Inc. (Nucor), Southern Alliance for Clean Energy (SACE), </w:t>
      </w:r>
      <w:r w:rsidRPr="00FD5ED6">
        <w:t>and White Springs Agricultural Chemicals, Inc. d/b/a PCS Phosphate – White Springs (PCS Phosphate), taking no position.</w:t>
      </w:r>
      <w:r w:rsidR="00383F29">
        <w:rPr>
          <w:rStyle w:val="FootnoteReference"/>
        </w:rPr>
        <w:footnoteReference w:id="1"/>
      </w:r>
      <w:r w:rsidR="00383F29">
        <w:t xml:space="preserve"> </w:t>
      </w:r>
      <w:r w:rsidRPr="00FD5ED6">
        <w:t>We have jurisdiction over the subject matter by the provisions of Chapter 366, F.S., including Sections 366.04, 366.05, and 366.06, F.S</w:t>
      </w:r>
      <w:r>
        <w:t>.</w:t>
      </w:r>
    </w:p>
    <w:p w:rsidR="007133D7" w:rsidRDefault="007133D7" w:rsidP="007133D7">
      <w:pPr>
        <w:ind w:firstLine="720"/>
        <w:jc w:val="both"/>
      </w:pPr>
    </w:p>
    <w:p w:rsidR="007133D7" w:rsidRDefault="007133D7" w:rsidP="007133D7">
      <w:pPr>
        <w:jc w:val="center"/>
        <w:rPr>
          <w:u w:val="single"/>
        </w:rPr>
      </w:pPr>
      <w:r>
        <w:rPr>
          <w:u w:val="single"/>
        </w:rPr>
        <w:t>DECISION</w:t>
      </w:r>
    </w:p>
    <w:p w:rsidR="007133D7" w:rsidRDefault="007133D7" w:rsidP="007133D7">
      <w:pPr>
        <w:ind w:firstLine="720"/>
        <w:jc w:val="center"/>
        <w:rPr>
          <w:strike/>
        </w:rPr>
      </w:pPr>
    </w:p>
    <w:p w:rsidR="00383F29" w:rsidRDefault="00383F29" w:rsidP="00383F29">
      <w:pPr>
        <w:ind w:firstLine="720"/>
        <w:jc w:val="both"/>
      </w:pPr>
      <w:r w:rsidRPr="00FD5ED6">
        <w:t xml:space="preserve">We accept and approve the </w:t>
      </w:r>
      <w:r>
        <w:t xml:space="preserve">Type 2 </w:t>
      </w:r>
      <w:r w:rsidRPr="00FD5ED6">
        <w:t>stipulations</w:t>
      </w:r>
      <w:r>
        <w:rPr>
          <w:rStyle w:val="FootnoteReference"/>
          <w:bCs/>
        </w:rPr>
        <w:footnoteReference w:id="2"/>
      </w:r>
      <w:r>
        <w:t xml:space="preserve"> </w:t>
      </w:r>
      <w:r w:rsidRPr="00FD5ED6">
        <w:t>as reasonable and find they are supported by competent, substantial evidence of record, as set forth below</w:t>
      </w:r>
      <w:r>
        <w:t>.</w:t>
      </w:r>
    </w:p>
    <w:p w:rsidR="00383F29" w:rsidRDefault="00383F29" w:rsidP="00383F29">
      <w:pPr>
        <w:jc w:val="both"/>
      </w:pPr>
      <w:r>
        <w:tab/>
      </w:r>
    </w:p>
    <w:p w:rsidR="00383F29" w:rsidRDefault="00383F29" w:rsidP="00383F29">
      <w:pPr>
        <w:jc w:val="both"/>
      </w:pPr>
      <w:r>
        <w:tab/>
        <w:t xml:space="preserve">FPL/Gulf, DEF, TECO, FPUC, </w:t>
      </w:r>
      <w:r w:rsidRPr="00164E78">
        <w:t>and Commission staff</w:t>
      </w:r>
      <w:r w:rsidRPr="00D17A5D">
        <w:t xml:space="preserve"> support the </w:t>
      </w:r>
      <w:r>
        <w:t xml:space="preserve">Type 2 </w:t>
      </w:r>
      <w:r w:rsidRPr="00D17A5D">
        <w:t xml:space="preserve">stipulations. </w:t>
      </w:r>
      <w:r>
        <w:t>OPC’s position on each Type 2 stipulation is as follows:</w:t>
      </w:r>
    </w:p>
    <w:p w:rsidR="00383F29" w:rsidRDefault="00383F29" w:rsidP="00383F29"/>
    <w:p w:rsidR="00383F29" w:rsidRPr="0095441A" w:rsidRDefault="00383F29" w:rsidP="00383F29">
      <w:pPr>
        <w:autoSpaceDE w:val="0"/>
        <w:autoSpaceDN w:val="0"/>
        <w:adjustRightInd w:val="0"/>
        <w:ind w:left="720" w:right="720"/>
        <w:jc w:val="both"/>
        <w:rPr>
          <w:bCs/>
        </w:rPr>
      </w:pPr>
      <w:r>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 </w:t>
      </w:r>
    </w:p>
    <w:p w:rsidR="00383F29" w:rsidRDefault="00383F29" w:rsidP="00383F29">
      <w:pPr>
        <w:jc w:val="both"/>
      </w:pPr>
      <w:r>
        <w:tab/>
      </w:r>
    </w:p>
    <w:p w:rsidR="00383F29" w:rsidRPr="0095441A" w:rsidRDefault="00383F29" w:rsidP="00383F29">
      <w:pPr>
        <w:jc w:val="both"/>
      </w:pPr>
      <w:r>
        <w:tab/>
        <w:t>FIPUG, Nucor, SACE, and PCS Phosphate have adopted the position of OPC on each Type 2 stipulation.</w:t>
      </w:r>
    </w:p>
    <w:p w:rsidR="00383F29" w:rsidRDefault="00383F29" w:rsidP="007133D7">
      <w:pPr>
        <w:ind w:firstLine="720"/>
        <w:jc w:val="center"/>
        <w:rPr>
          <w:strike/>
        </w:rPr>
      </w:pPr>
    </w:p>
    <w:p w:rsidR="00F217A8" w:rsidRDefault="00F217A8" w:rsidP="00F217A8">
      <w:pPr>
        <w:rPr>
          <w:u w:val="single"/>
        </w:rPr>
      </w:pPr>
      <w:r>
        <w:rPr>
          <w:u w:val="single"/>
        </w:rPr>
        <w:t>Conservation Cost Recovery True-Up</w:t>
      </w:r>
    </w:p>
    <w:p w:rsidR="00F217A8" w:rsidRDefault="00F217A8" w:rsidP="00F217A8">
      <w:pPr>
        <w:rPr>
          <w:u w:val="single"/>
        </w:rPr>
      </w:pPr>
    </w:p>
    <w:p w:rsidR="00F217A8" w:rsidRDefault="00B54083" w:rsidP="00B54083">
      <w:pPr>
        <w:ind w:firstLine="720"/>
        <w:jc w:val="both"/>
      </w:pPr>
      <w:r>
        <w:t>We find that t</w:t>
      </w:r>
      <w:r w:rsidR="00F217A8">
        <w:t>he final conservation cost recovery adjustment true-up amounts for the period January 2020 through December 2020 are as follows:</w:t>
      </w:r>
    </w:p>
    <w:p w:rsidR="00F217A8" w:rsidRDefault="00F217A8" w:rsidP="00F217A8">
      <w:pPr>
        <w:ind w:left="1440"/>
        <w:jc w:val="both"/>
      </w:pPr>
    </w:p>
    <w:p w:rsidR="00F217A8" w:rsidRDefault="00F217A8" w:rsidP="00F217A8">
      <w:pPr>
        <w:tabs>
          <w:tab w:val="right" w:pos="7020"/>
          <w:tab w:val="left" w:pos="7200"/>
        </w:tabs>
        <w:ind w:left="1440"/>
        <w:jc w:val="both"/>
        <w:rPr>
          <w:u w:val="single"/>
        </w:rPr>
      </w:pPr>
      <w:r>
        <w:rPr>
          <w:u w:val="single"/>
        </w:rPr>
        <w:t>Duke Energy Florida (DEF)</w:t>
      </w:r>
    </w:p>
    <w:p w:rsidR="00F217A8" w:rsidRDefault="00F217A8" w:rsidP="00F217A8">
      <w:pPr>
        <w:tabs>
          <w:tab w:val="right" w:pos="7020"/>
          <w:tab w:val="left" w:pos="7200"/>
        </w:tabs>
        <w:ind w:left="1440"/>
        <w:jc w:val="both"/>
      </w:pPr>
      <w:r>
        <w:t>$3,783,777 (Over-recovery)</w:t>
      </w:r>
      <w:r w:rsidR="007D4DAA">
        <w:t>.</w:t>
      </w:r>
    </w:p>
    <w:p w:rsidR="00F217A8" w:rsidRDefault="00F217A8" w:rsidP="00F217A8">
      <w:pPr>
        <w:tabs>
          <w:tab w:val="right" w:pos="7020"/>
          <w:tab w:val="left" w:pos="7200"/>
        </w:tabs>
        <w:ind w:left="1440"/>
        <w:jc w:val="both"/>
      </w:pPr>
    </w:p>
    <w:p w:rsidR="00F217A8" w:rsidRDefault="00F217A8" w:rsidP="00F217A8">
      <w:pPr>
        <w:tabs>
          <w:tab w:val="right" w:pos="7020"/>
          <w:tab w:val="left" w:pos="7200"/>
        </w:tabs>
        <w:ind w:left="1440"/>
        <w:jc w:val="both"/>
      </w:pPr>
      <w:r>
        <w:rPr>
          <w:u w:val="single"/>
        </w:rPr>
        <w:t>Florida Public Utilities Company (FPUC)</w:t>
      </w:r>
    </w:p>
    <w:p w:rsidR="00F217A8" w:rsidRDefault="00F217A8" w:rsidP="00F217A8">
      <w:pPr>
        <w:tabs>
          <w:tab w:val="right" w:pos="7020"/>
          <w:tab w:val="left" w:pos="7200"/>
        </w:tabs>
        <w:ind w:left="1440"/>
        <w:jc w:val="both"/>
      </w:pPr>
      <w:r>
        <w:t>$34,158 (Over-recovery)</w:t>
      </w:r>
    </w:p>
    <w:p w:rsidR="00F217A8" w:rsidRDefault="00F217A8" w:rsidP="00F217A8">
      <w:pPr>
        <w:tabs>
          <w:tab w:val="right" w:pos="7020"/>
          <w:tab w:val="left" w:pos="7200"/>
        </w:tabs>
        <w:ind w:left="1440"/>
        <w:jc w:val="both"/>
      </w:pPr>
    </w:p>
    <w:p w:rsidR="0049640F" w:rsidRDefault="0049640F" w:rsidP="00F217A8">
      <w:pPr>
        <w:tabs>
          <w:tab w:val="right" w:pos="7020"/>
          <w:tab w:val="left" w:pos="7200"/>
        </w:tabs>
        <w:ind w:left="1440"/>
        <w:jc w:val="both"/>
      </w:pPr>
    </w:p>
    <w:p w:rsidR="00A528C0" w:rsidRDefault="00A528C0" w:rsidP="00F217A8">
      <w:pPr>
        <w:tabs>
          <w:tab w:val="right" w:pos="7020"/>
          <w:tab w:val="left" w:pos="7200"/>
        </w:tabs>
        <w:ind w:left="1440"/>
        <w:jc w:val="both"/>
      </w:pPr>
    </w:p>
    <w:p w:rsidR="00F217A8" w:rsidRDefault="00F217A8" w:rsidP="00F217A8">
      <w:pPr>
        <w:tabs>
          <w:tab w:val="right" w:pos="7020"/>
          <w:tab w:val="left" w:pos="7200"/>
        </w:tabs>
        <w:ind w:left="1440"/>
        <w:jc w:val="both"/>
        <w:rPr>
          <w:u w:val="single"/>
        </w:rPr>
      </w:pPr>
      <w:r>
        <w:rPr>
          <w:u w:val="single"/>
        </w:rPr>
        <w:lastRenderedPageBreak/>
        <w:t>Tampa Electric Company (TECO)</w:t>
      </w:r>
    </w:p>
    <w:p w:rsidR="00F217A8" w:rsidRDefault="00F217A8" w:rsidP="00F217A8">
      <w:pPr>
        <w:tabs>
          <w:tab w:val="right" w:pos="7020"/>
          <w:tab w:val="left" w:pos="7200"/>
        </w:tabs>
        <w:ind w:left="1440"/>
        <w:jc w:val="both"/>
      </w:pPr>
      <w:r>
        <w:t>$3,615,981 (Over-recovery)</w:t>
      </w:r>
      <w:r w:rsidR="007D4DAA">
        <w:t>.</w:t>
      </w:r>
    </w:p>
    <w:p w:rsidR="00F217A8" w:rsidRDefault="00F217A8" w:rsidP="00F217A8">
      <w:pPr>
        <w:tabs>
          <w:tab w:val="right" w:pos="7020"/>
          <w:tab w:val="left" w:pos="7200"/>
        </w:tabs>
        <w:ind w:left="1440"/>
        <w:jc w:val="both"/>
      </w:pPr>
    </w:p>
    <w:p w:rsidR="00F217A8" w:rsidRDefault="00F217A8" w:rsidP="00F217A8">
      <w:pPr>
        <w:tabs>
          <w:tab w:val="right" w:pos="7020"/>
          <w:tab w:val="left" w:pos="7200"/>
        </w:tabs>
        <w:ind w:left="1440"/>
        <w:jc w:val="both"/>
        <w:rPr>
          <w:u w:val="single"/>
        </w:rPr>
      </w:pPr>
      <w:r>
        <w:rPr>
          <w:u w:val="single"/>
        </w:rPr>
        <w:t>Florida Power &amp; Light Company (FPL)</w:t>
      </w:r>
    </w:p>
    <w:p w:rsidR="00F217A8" w:rsidRDefault="00F217A8" w:rsidP="00F217A8">
      <w:pPr>
        <w:tabs>
          <w:tab w:val="right" w:pos="7020"/>
          <w:tab w:val="left" w:pos="7200"/>
        </w:tabs>
        <w:ind w:left="1440"/>
        <w:jc w:val="both"/>
      </w:pPr>
      <w:r>
        <w:t>$2,529,096 (Over-recovery)</w:t>
      </w:r>
      <w:r w:rsidR="007D4DAA">
        <w:t>.</w:t>
      </w:r>
    </w:p>
    <w:p w:rsidR="00F217A8" w:rsidRDefault="00F217A8" w:rsidP="00F217A8">
      <w:pPr>
        <w:tabs>
          <w:tab w:val="right" w:pos="7020"/>
          <w:tab w:val="left" w:pos="7200"/>
        </w:tabs>
        <w:jc w:val="both"/>
        <w:rPr>
          <w:u w:val="single"/>
        </w:rPr>
      </w:pPr>
    </w:p>
    <w:p w:rsidR="00F217A8" w:rsidRDefault="00F217A8" w:rsidP="00F217A8">
      <w:pPr>
        <w:tabs>
          <w:tab w:val="right" w:pos="7020"/>
          <w:tab w:val="left" w:pos="7200"/>
        </w:tabs>
        <w:ind w:left="1440"/>
        <w:jc w:val="both"/>
        <w:rPr>
          <w:u w:val="single"/>
        </w:rPr>
      </w:pPr>
      <w:r>
        <w:rPr>
          <w:u w:val="single"/>
        </w:rPr>
        <w:t>Gulf Power Company (Gulf)</w:t>
      </w:r>
    </w:p>
    <w:p w:rsidR="00F217A8" w:rsidRDefault="00F217A8" w:rsidP="00F217A8">
      <w:pPr>
        <w:tabs>
          <w:tab w:val="right" w:pos="7020"/>
          <w:tab w:val="left" w:pos="7200"/>
        </w:tabs>
        <w:ind w:left="1440"/>
        <w:jc w:val="both"/>
      </w:pPr>
      <w:r>
        <w:t>$226,949 (Under-recovery)</w:t>
      </w:r>
      <w:r w:rsidR="007D4DAA">
        <w:t>.</w:t>
      </w:r>
    </w:p>
    <w:p w:rsidR="00F217A8" w:rsidRDefault="00F217A8" w:rsidP="00F217A8">
      <w:pPr>
        <w:tabs>
          <w:tab w:val="right" w:pos="6480"/>
          <w:tab w:val="left" w:pos="6660"/>
        </w:tabs>
        <w:ind w:left="1440"/>
        <w:jc w:val="both"/>
      </w:pPr>
    </w:p>
    <w:p w:rsidR="00F217A8" w:rsidRDefault="00F217A8" w:rsidP="00F217A8">
      <w:pPr>
        <w:tabs>
          <w:tab w:val="right" w:pos="6480"/>
          <w:tab w:val="left" w:pos="6660"/>
        </w:tabs>
        <w:ind w:left="1440"/>
        <w:jc w:val="both"/>
      </w:pPr>
      <w:r>
        <w:t xml:space="preserve">Effective January 1, 2021, Florida Power &amp; Light Company (FPL) and Gulf Power Company (Gulf) were legally merged with FPL being the surviving entity. In its August 6, 2021 filing, FPL represented the merged and consolidated operations of FPL and the former Gulf, although for the purposes of this issue, stand-alone amounts are recorded. </w:t>
      </w:r>
    </w:p>
    <w:p w:rsidR="00F217A8" w:rsidRDefault="00F217A8" w:rsidP="00F217A8">
      <w:pPr>
        <w:rPr>
          <w:u w:val="single"/>
        </w:rPr>
      </w:pPr>
    </w:p>
    <w:p w:rsidR="00F217A8" w:rsidRDefault="00F217A8" w:rsidP="00F217A8">
      <w:pPr>
        <w:spacing w:after="240"/>
        <w:ind w:firstLine="720"/>
        <w:jc w:val="both"/>
      </w:pPr>
      <w:r>
        <w:t>We find that the appropriate total c</w:t>
      </w:r>
      <w:r w:rsidRPr="00F731AE">
        <w:t xml:space="preserve">onservation adjustment </w:t>
      </w:r>
      <w:r>
        <w:t xml:space="preserve">actual/estimated </w:t>
      </w:r>
      <w:r w:rsidRPr="00F731AE">
        <w:t>true-up amo</w:t>
      </w:r>
      <w:r>
        <w:t xml:space="preserve">unts </w:t>
      </w:r>
      <w:r w:rsidR="009F1E4C">
        <w:t xml:space="preserve">for the period January </w:t>
      </w:r>
      <w:r>
        <w:t>2021 through December 2021</w:t>
      </w:r>
      <w:r w:rsidRPr="00F731AE">
        <w:t xml:space="preserve"> are as follows:</w:t>
      </w:r>
    </w:p>
    <w:p w:rsidR="00F217A8" w:rsidRDefault="00F217A8" w:rsidP="00F217A8">
      <w:pPr>
        <w:tabs>
          <w:tab w:val="right" w:pos="7020"/>
          <w:tab w:val="left" w:pos="7200"/>
        </w:tabs>
        <w:ind w:left="1440"/>
        <w:jc w:val="both"/>
        <w:rPr>
          <w:u w:val="single"/>
        </w:rPr>
      </w:pPr>
      <w:r>
        <w:rPr>
          <w:u w:val="single"/>
        </w:rPr>
        <w:t>Duke Energy Florida (DEF)</w:t>
      </w:r>
    </w:p>
    <w:p w:rsidR="00F217A8" w:rsidRDefault="00F217A8" w:rsidP="00F217A8">
      <w:pPr>
        <w:tabs>
          <w:tab w:val="right" w:pos="7020"/>
          <w:tab w:val="left" w:pos="7200"/>
        </w:tabs>
        <w:ind w:left="1440"/>
        <w:jc w:val="both"/>
      </w:pPr>
      <w:r>
        <w:t>$4,970,444 (Over-recovery).</w:t>
      </w:r>
    </w:p>
    <w:p w:rsidR="00F217A8" w:rsidRDefault="00F217A8" w:rsidP="00F217A8">
      <w:pPr>
        <w:tabs>
          <w:tab w:val="right" w:pos="7020"/>
          <w:tab w:val="left" w:pos="7200"/>
        </w:tabs>
        <w:ind w:left="1440"/>
        <w:jc w:val="both"/>
      </w:pPr>
    </w:p>
    <w:p w:rsidR="00F217A8" w:rsidRDefault="00F217A8" w:rsidP="00F217A8">
      <w:pPr>
        <w:tabs>
          <w:tab w:val="right" w:pos="7020"/>
          <w:tab w:val="left" w:pos="7200"/>
        </w:tabs>
        <w:ind w:left="1440"/>
        <w:jc w:val="both"/>
      </w:pPr>
      <w:r>
        <w:rPr>
          <w:u w:val="single"/>
        </w:rPr>
        <w:t>Florida Public Utilities Company (FPUC)</w:t>
      </w:r>
    </w:p>
    <w:p w:rsidR="00F217A8" w:rsidRDefault="00F217A8" w:rsidP="00F217A8">
      <w:pPr>
        <w:tabs>
          <w:tab w:val="right" w:pos="7020"/>
          <w:tab w:val="left" w:pos="7200"/>
        </w:tabs>
        <w:ind w:left="1440"/>
        <w:jc w:val="both"/>
      </w:pPr>
      <w:r>
        <w:t>$ 64,426 (Under-recovery)</w:t>
      </w:r>
      <w:r w:rsidR="007D4DAA">
        <w:t>.</w:t>
      </w:r>
    </w:p>
    <w:p w:rsidR="00F217A8" w:rsidRDefault="00F217A8" w:rsidP="00F217A8">
      <w:pPr>
        <w:tabs>
          <w:tab w:val="right" w:pos="7020"/>
          <w:tab w:val="left" w:pos="7200"/>
        </w:tabs>
        <w:ind w:left="1440"/>
        <w:jc w:val="both"/>
      </w:pPr>
    </w:p>
    <w:p w:rsidR="00F217A8" w:rsidRDefault="00F217A8" w:rsidP="00F217A8">
      <w:pPr>
        <w:tabs>
          <w:tab w:val="right" w:pos="7020"/>
          <w:tab w:val="left" w:pos="7200"/>
        </w:tabs>
        <w:ind w:left="1440"/>
        <w:jc w:val="both"/>
        <w:rPr>
          <w:u w:val="single"/>
        </w:rPr>
      </w:pPr>
      <w:r>
        <w:rPr>
          <w:u w:val="single"/>
        </w:rPr>
        <w:t>Tampa Electric Company (TECO)</w:t>
      </w:r>
    </w:p>
    <w:p w:rsidR="00F217A8" w:rsidRDefault="00F217A8" w:rsidP="00F217A8">
      <w:pPr>
        <w:tabs>
          <w:tab w:val="right" w:pos="7020"/>
          <w:tab w:val="left" w:pos="7200"/>
        </w:tabs>
        <w:ind w:left="1440"/>
        <w:jc w:val="both"/>
      </w:pPr>
    </w:p>
    <w:p w:rsidR="00F217A8" w:rsidRDefault="00F217A8" w:rsidP="00F217A8">
      <w:pPr>
        <w:tabs>
          <w:tab w:val="left" w:pos="1440"/>
          <w:tab w:val="left" w:pos="6750"/>
        </w:tabs>
        <w:ind w:left="1440"/>
        <w:jc w:val="both"/>
      </w:pPr>
      <w:r>
        <w:t>The Commission voted to approve the 2021 Stipulation and Settlement Agreement proposed by TECO in Docket No. 20210034-EI. Therefore, the appropriate conservation adjustment actual/estimated true-up amounts for calculation of 2022 cost recovery factors but not collection by TECO during the period January 2022 through December 2022 is $1,058,914, over-recovery (Exhibit MRR-2, Schedule C-3s, Page 11 of 12, as reflecting the 2021 Settlement Cost of Service Methodology, filed in Docket No. 20210034-EI on October 1, 2021, Document No. 11789-2021).</w:t>
      </w:r>
    </w:p>
    <w:p w:rsidR="00F217A8" w:rsidRDefault="00F217A8" w:rsidP="00F217A8">
      <w:pPr>
        <w:tabs>
          <w:tab w:val="right" w:pos="7020"/>
          <w:tab w:val="left" w:pos="7200"/>
        </w:tabs>
        <w:ind w:left="1440"/>
        <w:jc w:val="both"/>
      </w:pPr>
    </w:p>
    <w:p w:rsidR="00F217A8" w:rsidRDefault="00F217A8" w:rsidP="00F217A8">
      <w:pPr>
        <w:tabs>
          <w:tab w:val="right" w:pos="7020"/>
          <w:tab w:val="left" w:pos="7200"/>
        </w:tabs>
        <w:ind w:left="1440"/>
        <w:jc w:val="both"/>
      </w:pPr>
      <w:r>
        <w:rPr>
          <w:u w:val="single"/>
        </w:rPr>
        <w:t>Florida Power &amp; Light Company (FPL)</w:t>
      </w:r>
    </w:p>
    <w:p w:rsidR="00F217A8" w:rsidRDefault="00F217A8" w:rsidP="00F217A8">
      <w:pPr>
        <w:tabs>
          <w:tab w:val="right" w:pos="7020"/>
          <w:tab w:val="left" w:pos="7200"/>
        </w:tabs>
        <w:ind w:left="1440"/>
        <w:jc w:val="both"/>
      </w:pPr>
      <w:r>
        <w:t>$9,673,286 (Over-recovery)</w:t>
      </w:r>
      <w:r w:rsidR="007D4DAA">
        <w:t>.</w:t>
      </w:r>
    </w:p>
    <w:p w:rsidR="00F217A8" w:rsidRDefault="00F217A8" w:rsidP="00F217A8">
      <w:pPr>
        <w:tabs>
          <w:tab w:val="right" w:pos="7020"/>
          <w:tab w:val="left" w:pos="7200"/>
        </w:tabs>
        <w:ind w:left="1440"/>
        <w:jc w:val="both"/>
      </w:pPr>
    </w:p>
    <w:p w:rsidR="00F217A8" w:rsidRDefault="00F217A8" w:rsidP="00F217A8">
      <w:pPr>
        <w:tabs>
          <w:tab w:val="right" w:pos="7020"/>
          <w:tab w:val="left" w:pos="7200"/>
        </w:tabs>
        <w:ind w:left="1440"/>
        <w:jc w:val="both"/>
        <w:rPr>
          <w:u w:val="single"/>
        </w:rPr>
      </w:pPr>
      <w:r>
        <w:rPr>
          <w:u w:val="single"/>
        </w:rPr>
        <w:t>Gulf Power Company (Gulf)</w:t>
      </w:r>
    </w:p>
    <w:p w:rsidR="00F217A8" w:rsidRDefault="00F217A8" w:rsidP="00F217A8">
      <w:pPr>
        <w:tabs>
          <w:tab w:val="right" w:pos="7020"/>
          <w:tab w:val="left" w:pos="7200"/>
        </w:tabs>
        <w:ind w:left="1440"/>
        <w:jc w:val="both"/>
      </w:pPr>
      <w:r>
        <w:t>$1,748,223 (Over-recovery)</w:t>
      </w:r>
      <w:r w:rsidR="007D4DAA">
        <w:t>.</w:t>
      </w:r>
    </w:p>
    <w:p w:rsidR="00F217A8" w:rsidRDefault="00F217A8" w:rsidP="00F217A8">
      <w:pPr>
        <w:tabs>
          <w:tab w:val="right" w:pos="6480"/>
          <w:tab w:val="left" w:pos="6660"/>
        </w:tabs>
        <w:ind w:left="1440"/>
        <w:jc w:val="both"/>
      </w:pPr>
    </w:p>
    <w:p w:rsidR="00F217A8" w:rsidRDefault="00F217A8" w:rsidP="00F217A8">
      <w:pPr>
        <w:tabs>
          <w:tab w:val="right" w:pos="6480"/>
          <w:tab w:val="left" w:pos="6660"/>
        </w:tabs>
        <w:ind w:left="1440"/>
        <w:jc w:val="both"/>
      </w:pPr>
      <w:r>
        <w:t xml:space="preserve">Effective January 1, 2021, FPL and Gulf were legally merged with FPL being the surviving entity. In its August 6, 2021 filing, FPL represented the merged and consolidated operations of FPL and the former Gulf. The appropriate conservation adjustment actual/estimated true-up amounts for the period January 2021 through </w:t>
      </w:r>
      <w:r>
        <w:lastRenderedPageBreak/>
        <w:t>December 2021 is $11,421,509 Over-recovery, which is the sum of the stand-alone FPL and Gulf amounts shown above.</w:t>
      </w:r>
    </w:p>
    <w:p w:rsidR="00F217A8" w:rsidRDefault="00F217A8" w:rsidP="00F217A8">
      <w:pPr>
        <w:rPr>
          <w:u w:val="single"/>
        </w:rPr>
      </w:pPr>
    </w:p>
    <w:p w:rsidR="009F1E4C" w:rsidRDefault="009F1E4C" w:rsidP="009F1E4C">
      <w:pPr>
        <w:spacing w:after="240"/>
        <w:ind w:firstLine="720"/>
        <w:jc w:val="both"/>
      </w:pPr>
      <w:r>
        <w:t>We find that the appropriate total c</w:t>
      </w:r>
      <w:r w:rsidRPr="00F731AE">
        <w:t>onservation adjustment true-up amo</w:t>
      </w:r>
      <w:r>
        <w:t>unts to be collected/refunded from January 2021 through December 2021</w:t>
      </w:r>
      <w:r w:rsidRPr="00F731AE">
        <w:t xml:space="preserve"> are as follows:</w:t>
      </w:r>
    </w:p>
    <w:p w:rsidR="009F1E4C" w:rsidRDefault="009F1E4C" w:rsidP="009F1E4C">
      <w:pPr>
        <w:tabs>
          <w:tab w:val="right" w:pos="7020"/>
          <w:tab w:val="left" w:pos="7200"/>
        </w:tabs>
        <w:ind w:left="1440"/>
        <w:jc w:val="both"/>
      </w:pPr>
      <w:r>
        <w:rPr>
          <w:u w:val="single"/>
        </w:rPr>
        <w:t>Duke Energy Florida</w:t>
      </w:r>
    </w:p>
    <w:p w:rsidR="009F1E4C" w:rsidRDefault="009F1E4C" w:rsidP="009F1E4C">
      <w:pPr>
        <w:tabs>
          <w:tab w:val="right" w:pos="7020"/>
          <w:tab w:val="left" w:pos="7200"/>
        </w:tabs>
        <w:ind w:left="1440"/>
        <w:jc w:val="both"/>
      </w:pPr>
      <w:r>
        <w:t>$8,754,221 (Over-recovery).</w:t>
      </w:r>
    </w:p>
    <w:p w:rsidR="009F1E4C" w:rsidRDefault="009F1E4C" w:rsidP="009F1E4C">
      <w:pPr>
        <w:tabs>
          <w:tab w:val="right" w:pos="7020"/>
          <w:tab w:val="left" w:pos="7200"/>
        </w:tabs>
        <w:ind w:left="1440"/>
        <w:jc w:val="both"/>
      </w:pPr>
    </w:p>
    <w:p w:rsidR="009F1E4C" w:rsidRDefault="009F1E4C" w:rsidP="009F1E4C">
      <w:pPr>
        <w:tabs>
          <w:tab w:val="right" w:pos="7020"/>
          <w:tab w:val="left" w:pos="7200"/>
        </w:tabs>
        <w:ind w:left="1440"/>
        <w:jc w:val="both"/>
      </w:pPr>
      <w:r>
        <w:rPr>
          <w:u w:val="single"/>
        </w:rPr>
        <w:t>Florida Public Utilities Company</w:t>
      </w:r>
    </w:p>
    <w:p w:rsidR="009F1E4C" w:rsidRDefault="009F1E4C" w:rsidP="009F1E4C">
      <w:pPr>
        <w:tabs>
          <w:tab w:val="right" w:pos="7020"/>
          <w:tab w:val="left" w:pos="7200"/>
        </w:tabs>
        <w:ind w:left="1440"/>
        <w:jc w:val="both"/>
      </w:pPr>
      <w:r>
        <w:t>$ 30,268 (Under-recovery)</w:t>
      </w:r>
      <w:r w:rsidR="007D4DAA">
        <w:t>.</w:t>
      </w:r>
    </w:p>
    <w:p w:rsidR="009F1E4C" w:rsidRDefault="009F1E4C" w:rsidP="009F1E4C">
      <w:pPr>
        <w:tabs>
          <w:tab w:val="right" w:pos="7020"/>
          <w:tab w:val="left" w:pos="7200"/>
        </w:tabs>
        <w:ind w:left="1440"/>
        <w:jc w:val="both"/>
      </w:pPr>
    </w:p>
    <w:p w:rsidR="009F1E4C" w:rsidRDefault="009F1E4C" w:rsidP="009F1E4C">
      <w:pPr>
        <w:tabs>
          <w:tab w:val="right" w:pos="7020"/>
          <w:tab w:val="left" w:pos="7200"/>
        </w:tabs>
        <w:ind w:left="1440"/>
        <w:jc w:val="both"/>
        <w:rPr>
          <w:u w:val="single"/>
        </w:rPr>
      </w:pPr>
      <w:r>
        <w:rPr>
          <w:u w:val="single"/>
        </w:rPr>
        <w:t>Tampa Electric Company</w:t>
      </w:r>
    </w:p>
    <w:p w:rsidR="009F1E4C" w:rsidRDefault="009F1E4C" w:rsidP="009F1E4C">
      <w:pPr>
        <w:tabs>
          <w:tab w:val="right" w:pos="6480"/>
          <w:tab w:val="left" w:pos="6660"/>
        </w:tabs>
        <w:ind w:left="1440"/>
        <w:jc w:val="both"/>
      </w:pPr>
      <w:r>
        <w:t>The Commission voted to approve the 2021 Stipulation and Settlement Agreement proposed by TECO in Docket No. 20210034-EI. Therefore, the appropriate total conservation adjustment true-up amounts for calculation of 2022 cost recovery factors but not collection by TECO during the period January 2022 through December 2022 is $4,674,894, over-recovery (Exhibit MRR-2, Schedule C-1sa, Page 1 of 1, as reflecting the 2021 Settlement Cost of Service Methodology, filed in Docket No. 20210034-EI on October 1, 2021, in Document No. 11789-2021).</w:t>
      </w:r>
    </w:p>
    <w:p w:rsidR="009F1E4C" w:rsidRDefault="009F1E4C" w:rsidP="009F1E4C">
      <w:pPr>
        <w:tabs>
          <w:tab w:val="right" w:pos="7020"/>
          <w:tab w:val="left" w:pos="7200"/>
        </w:tabs>
        <w:ind w:left="1440"/>
        <w:jc w:val="both"/>
        <w:rPr>
          <w:u w:val="single"/>
        </w:rPr>
      </w:pPr>
    </w:p>
    <w:p w:rsidR="009F1E4C" w:rsidRDefault="009F1E4C" w:rsidP="009F1E4C">
      <w:pPr>
        <w:tabs>
          <w:tab w:val="right" w:pos="7020"/>
          <w:tab w:val="left" w:pos="7200"/>
        </w:tabs>
        <w:ind w:left="1440"/>
        <w:jc w:val="both"/>
        <w:rPr>
          <w:u w:val="single"/>
        </w:rPr>
      </w:pPr>
      <w:r>
        <w:rPr>
          <w:u w:val="single"/>
        </w:rPr>
        <w:t>Florida Power &amp; Light Company (FPL) / Gulf Power Company (Gulf)</w:t>
      </w:r>
    </w:p>
    <w:p w:rsidR="009F1E4C" w:rsidRDefault="009F1E4C" w:rsidP="009F1E4C">
      <w:pPr>
        <w:pStyle w:val="IssueBody"/>
        <w:spacing w:after="0"/>
        <w:rPr>
          <w:szCs w:val="24"/>
        </w:rPr>
      </w:pPr>
      <w:r>
        <w:rPr>
          <w:szCs w:val="24"/>
        </w:rPr>
        <w:t>Effective January 1, 2021, FPL and Gulf were legally merged with FPL being the surviving entity. In its August 6, 2021 filing, FPL represented the merged and consolidated operations of FPL and the former Gulf. The appropriate total conservation adjustment true-up amount to be collected/refunded from the period January 2021 through December 2021 is $13,723,656 Over-recovery.</w:t>
      </w:r>
    </w:p>
    <w:p w:rsidR="009F1E4C" w:rsidRDefault="009F1E4C" w:rsidP="00F217A8">
      <w:pPr>
        <w:rPr>
          <w:u w:val="single"/>
        </w:rPr>
      </w:pPr>
    </w:p>
    <w:p w:rsidR="00B54083" w:rsidRDefault="00B54083" w:rsidP="00B54083">
      <w:pPr>
        <w:spacing w:after="240"/>
        <w:ind w:firstLine="720"/>
        <w:jc w:val="both"/>
      </w:pPr>
      <w:r>
        <w:t>We find that the appropriate total c</w:t>
      </w:r>
      <w:r w:rsidRPr="00F731AE">
        <w:t xml:space="preserve">onservation </w:t>
      </w:r>
      <w:r>
        <w:t>cost recovery</w:t>
      </w:r>
      <w:r w:rsidRPr="00F731AE">
        <w:t xml:space="preserve"> amo</w:t>
      </w:r>
      <w:r>
        <w:t>unts to be collected/refunded from January 2022 through December 2022</w:t>
      </w:r>
      <w:r w:rsidRPr="00F731AE">
        <w:t xml:space="preserve"> are as follows:</w:t>
      </w:r>
    </w:p>
    <w:p w:rsidR="00B54083" w:rsidRDefault="00B54083" w:rsidP="0019108B">
      <w:pPr>
        <w:pStyle w:val="IssueBody"/>
        <w:spacing w:after="0"/>
        <w:rPr>
          <w:szCs w:val="24"/>
          <w:u w:val="single"/>
        </w:rPr>
      </w:pPr>
      <w:r>
        <w:rPr>
          <w:szCs w:val="24"/>
          <w:u w:val="single"/>
        </w:rPr>
        <w:t>Duke Energy Florida (DEF):</w:t>
      </w:r>
    </w:p>
    <w:p w:rsidR="00B54083" w:rsidRDefault="00B54083" w:rsidP="00B54083">
      <w:pPr>
        <w:pStyle w:val="IssueBody"/>
        <w:spacing w:after="0"/>
        <w:ind w:hanging="1440"/>
        <w:rPr>
          <w:szCs w:val="24"/>
        </w:rPr>
      </w:pPr>
      <w:r>
        <w:rPr>
          <w:szCs w:val="24"/>
        </w:rPr>
        <w:tab/>
        <w:t>The total conservation cost recovery amounts to be collected by DEF during the period January 2022 through December 2022 are $99,861,410.</w:t>
      </w:r>
    </w:p>
    <w:p w:rsidR="00B54083" w:rsidRDefault="00B54083" w:rsidP="00B54083">
      <w:pPr>
        <w:pStyle w:val="IssueBody"/>
        <w:spacing w:after="0"/>
        <w:ind w:left="0"/>
        <w:rPr>
          <w:szCs w:val="24"/>
        </w:rPr>
      </w:pPr>
    </w:p>
    <w:p w:rsidR="00B54083" w:rsidRDefault="00B54083" w:rsidP="00B54083">
      <w:pPr>
        <w:pStyle w:val="IssueBody"/>
        <w:spacing w:after="0"/>
        <w:ind w:hanging="1440"/>
        <w:rPr>
          <w:szCs w:val="24"/>
          <w:u w:val="single"/>
        </w:rPr>
      </w:pPr>
      <w:r>
        <w:rPr>
          <w:szCs w:val="24"/>
        </w:rPr>
        <w:tab/>
      </w:r>
      <w:r>
        <w:rPr>
          <w:szCs w:val="24"/>
          <w:u w:val="single"/>
        </w:rPr>
        <w:t>Florida Public Utility Company (FPUC):</w:t>
      </w:r>
    </w:p>
    <w:p w:rsidR="00B54083" w:rsidRDefault="00B54083" w:rsidP="00B54083">
      <w:pPr>
        <w:pStyle w:val="IssueBody"/>
        <w:spacing w:after="0"/>
        <w:ind w:hanging="1440"/>
        <w:rPr>
          <w:szCs w:val="24"/>
        </w:rPr>
      </w:pPr>
      <w:r>
        <w:rPr>
          <w:szCs w:val="24"/>
        </w:rPr>
        <w:tab/>
        <w:t>The total conservation cost recovery amounts to be collected by FPUC during the period January 2022 through December 2022 are $877,618.</w:t>
      </w:r>
    </w:p>
    <w:p w:rsidR="00B54083" w:rsidRDefault="00B54083" w:rsidP="00B54083">
      <w:pPr>
        <w:pStyle w:val="IssueBody"/>
        <w:spacing w:after="0"/>
        <w:ind w:left="0"/>
        <w:rPr>
          <w:szCs w:val="24"/>
        </w:rPr>
      </w:pPr>
    </w:p>
    <w:p w:rsidR="00B54083" w:rsidRDefault="00B54083" w:rsidP="00B54083">
      <w:pPr>
        <w:pStyle w:val="IssueBody"/>
        <w:spacing w:after="0"/>
        <w:ind w:hanging="1440"/>
        <w:rPr>
          <w:szCs w:val="24"/>
          <w:u w:val="single"/>
        </w:rPr>
      </w:pPr>
      <w:r>
        <w:rPr>
          <w:szCs w:val="24"/>
        </w:rPr>
        <w:tab/>
      </w:r>
      <w:r>
        <w:rPr>
          <w:szCs w:val="24"/>
          <w:u w:val="single"/>
        </w:rPr>
        <w:t>Tampa Electric Company (TECO):</w:t>
      </w:r>
    </w:p>
    <w:p w:rsidR="00B54083" w:rsidRDefault="00B54083" w:rsidP="00B54083">
      <w:pPr>
        <w:pStyle w:val="IssueBody"/>
        <w:spacing w:after="0"/>
        <w:rPr>
          <w:szCs w:val="24"/>
        </w:rPr>
      </w:pPr>
      <w:r>
        <w:t xml:space="preserve">The Commission voted to approve the 2021 Stipulation and Settlement Agreement proposed by TECO in Docket No. 20210034-EI. Therefore, </w:t>
      </w:r>
      <w:r>
        <w:rPr>
          <w:szCs w:val="24"/>
        </w:rPr>
        <w:t xml:space="preserve">the appropriate conservation cost recovery amounts for the period January 2022 through December 2022 are $41,933,119 (Exhibit MRR-2, Schedule C-1sa, Page </w:t>
      </w:r>
      <w:r>
        <w:rPr>
          <w:szCs w:val="24"/>
        </w:rPr>
        <w:lastRenderedPageBreak/>
        <w:t>1 of 1, as reflecting the 2021 Settlement Cost of Service Methodology, filed in Docket No. 20210034-EI on October 1, 2021, in Document No. 11789-2021 and Exhibit MRR-2, Schedule C-1a, Page 1 of 1).</w:t>
      </w:r>
    </w:p>
    <w:p w:rsidR="00B54083" w:rsidRDefault="00B54083" w:rsidP="00B54083">
      <w:pPr>
        <w:pStyle w:val="IssueBody"/>
        <w:spacing w:after="0"/>
        <w:rPr>
          <w:szCs w:val="24"/>
        </w:rPr>
      </w:pPr>
    </w:p>
    <w:p w:rsidR="00B54083" w:rsidRDefault="00B54083" w:rsidP="00B54083">
      <w:pPr>
        <w:pStyle w:val="IssueBody"/>
        <w:spacing w:after="0"/>
        <w:rPr>
          <w:szCs w:val="24"/>
          <w:u w:val="single"/>
        </w:rPr>
      </w:pPr>
      <w:r>
        <w:rPr>
          <w:szCs w:val="24"/>
          <w:u w:val="single"/>
        </w:rPr>
        <w:t>Florida Power &amp; Light Company (FPL) / Gulf Power Company (Gulf):</w:t>
      </w:r>
    </w:p>
    <w:p w:rsidR="00B54083" w:rsidRDefault="00B54083" w:rsidP="0019108B">
      <w:pPr>
        <w:ind w:left="1440"/>
        <w:rPr>
          <w:u w:val="single"/>
        </w:rPr>
      </w:pPr>
      <w:r>
        <w:t>Effective January 1, 2021, FPL and Gulf were legally merged with FPL being the surviving entity. In its August 6, 2021 filing, FPL represented the merged and consolidated operations of FPL and the former Gulf. The appropriate total conservation cost recovery amount to be collected during the period January 2022 through December 2022 is $156,246,950.</w:t>
      </w:r>
    </w:p>
    <w:p w:rsidR="00F217A8" w:rsidRDefault="00F217A8" w:rsidP="00F217A8">
      <w:pPr>
        <w:rPr>
          <w:u w:val="single"/>
        </w:rPr>
      </w:pPr>
    </w:p>
    <w:p w:rsidR="00F217A8" w:rsidRDefault="00F217A8" w:rsidP="00F217A8">
      <w:pPr>
        <w:rPr>
          <w:u w:val="single"/>
        </w:rPr>
      </w:pPr>
      <w:r>
        <w:rPr>
          <w:u w:val="single"/>
        </w:rPr>
        <w:t>Conservation Cost Recovery Factors</w:t>
      </w:r>
    </w:p>
    <w:p w:rsidR="0019108B" w:rsidRPr="003B277B" w:rsidRDefault="0019108B" w:rsidP="00F217A8">
      <w:pPr>
        <w:rPr>
          <w:strike/>
        </w:rPr>
      </w:pPr>
    </w:p>
    <w:p w:rsidR="0019108B" w:rsidRDefault="0019108B" w:rsidP="0019108B">
      <w:pPr>
        <w:spacing w:after="240"/>
        <w:ind w:firstLine="720"/>
        <w:jc w:val="both"/>
      </w:pPr>
      <w:r>
        <w:t>We find that the appropriate conservation cost recovery factors for the period January 2022 through December 2022</w:t>
      </w:r>
      <w:r w:rsidRPr="00F731AE">
        <w:t xml:space="preserve"> are as follows:</w:t>
      </w:r>
    </w:p>
    <w:p w:rsidR="0019108B" w:rsidRPr="00BF12DB" w:rsidRDefault="0019108B" w:rsidP="0019108B">
      <w:pPr>
        <w:autoSpaceDE w:val="0"/>
        <w:autoSpaceDN w:val="0"/>
        <w:adjustRightInd w:val="0"/>
        <w:ind w:firstLine="720"/>
        <w:rPr>
          <w:bCs/>
          <w:u w:val="single"/>
        </w:rPr>
      </w:pPr>
      <w:r w:rsidRPr="00BF12DB">
        <w:rPr>
          <w:bCs/>
          <w:u w:val="single"/>
        </w:rPr>
        <w:t>DEF:</w:t>
      </w:r>
    </w:p>
    <w:p w:rsidR="0019108B" w:rsidRDefault="0019108B" w:rsidP="0019108B">
      <w:pPr>
        <w:autoSpaceDE w:val="0"/>
        <w:autoSpaceDN w:val="0"/>
        <w:adjustRightInd w:val="0"/>
      </w:pPr>
      <w:r>
        <w:tab/>
      </w:r>
      <w:r>
        <w:tab/>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19108B" w:rsidTr="00C26702">
        <w:tc>
          <w:tcPr>
            <w:tcW w:w="9576" w:type="dxa"/>
            <w:gridSpan w:val="4"/>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rPr>
                <w:b/>
              </w:rPr>
            </w:pPr>
            <w:r>
              <w:rPr>
                <w:b/>
              </w:rPr>
              <w:t>2022 ECCR Cost Recovery Factors</w:t>
            </w:r>
          </w:p>
        </w:tc>
      </w:tr>
      <w:tr w:rsidR="0019108B" w:rsidTr="00C26702">
        <w:tc>
          <w:tcPr>
            <w:tcW w:w="5148" w:type="dxa"/>
            <w:vMerge w:val="restart"/>
            <w:tcBorders>
              <w:top w:val="single" w:sz="4" w:space="0" w:color="auto"/>
              <w:left w:val="single" w:sz="4" w:space="0" w:color="auto"/>
              <w:bottom w:val="single" w:sz="4" w:space="0" w:color="auto"/>
              <w:right w:val="single" w:sz="4" w:space="0" w:color="auto"/>
            </w:tcBorders>
            <w:vAlign w:val="center"/>
            <w:hideMark/>
          </w:tcPr>
          <w:p w:rsidR="0019108B" w:rsidRDefault="0019108B" w:rsidP="00C26702">
            <w:pPr>
              <w:autoSpaceDE w:val="0"/>
              <w:autoSpaceDN w:val="0"/>
              <w:adjustRightInd w:val="0"/>
              <w:jc w:val="center"/>
              <w:rPr>
                <w:b/>
              </w:rPr>
            </w:pPr>
            <w:r>
              <w:rPr>
                <w:b/>
              </w:rPr>
              <w:t>Retail Rate Schedule</w:t>
            </w:r>
          </w:p>
        </w:tc>
        <w:tc>
          <w:tcPr>
            <w:tcW w:w="4428" w:type="dxa"/>
            <w:gridSpan w:val="3"/>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rPr>
                <w:b/>
              </w:rPr>
            </w:pPr>
            <w:r>
              <w:rPr>
                <w:b/>
              </w:rPr>
              <w:t>Voltage Level</w:t>
            </w:r>
          </w:p>
        </w:tc>
      </w:tr>
      <w:tr w:rsidR="0019108B" w:rsidTr="00C26702">
        <w:tc>
          <w:tcPr>
            <w:tcW w:w="0" w:type="auto"/>
            <w:vMerge/>
            <w:tcBorders>
              <w:top w:val="single" w:sz="4" w:space="0" w:color="auto"/>
              <w:left w:val="single" w:sz="4" w:space="0" w:color="auto"/>
              <w:bottom w:val="single" w:sz="4" w:space="0" w:color="auto"/>
              <w:right w:val="single" w:sz="4" w:space="0" w:color="auto"/>
            </w:tcBorders>
            <w:vAlign w:val="center"/>
            <w:hideMark/>
          </w:tcPr>
          <w:p w:rsidR="0019108B" w:rsidRDefault="0019108B" w:rsidP="00C26702">
            <w:pPr>
              <w:rPr>
                <w:b/>
              </w:rPr>
            </w:pPr>
          </w:p>
        </w:tc>
        <w:tc>
          <w:tcPr>
            <w:tcW w:w="1440"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rPr>
                <w:b/>
              </w:rPr>
            </w:pPr>
            <w:r>
              <w:rPr>
                <w:b/>
              </w:rPr>
              <w:t>Secondary</w:t>
            </w:r>
          </w:p>
        </w:tc>
        <w:tc>
          <w:tcPr>
            <w:tcW w:w="138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rPr>
                <w:b/>
              </w:rPr>
            </w:pPr>
            <w:r>
              <w:rPr>
                <w:b/>
              </w:rPr>
              <w:t>Primary</w:t>
            </w:r>
          </w:p>
        </w:tc>
        <w:tc>
          <w:tcPr>
            <w:tcW w:w="160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rPr>
                <w:b/>
              </w:rPr>
            </w:pPr>
            <w:r>
              <w:rPr>
                <w:b/>
              </w:rPr>
              <w:t>Transmission</w:t>
            </w:r>
          </w:p>
        </w:tc>
      </w:tr>
      <w:tr w:rsidR="0019108B" w:rsidTr="00C26702">
        <w:tc>
          <w:tcPr>
            <w:tcW w:w="5148"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pPr>
            <w:r>
              <w:t>Residential (Cents/kWh)</w:t>
            </w:r>
          </w:p>
        </w:tc>
        <w:tc>
          <w:tcPr>
            <w:tcW w:w="1440"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0.283</w:t>
            </w:r>
          </w:p>
        </w:tc>
        <w:tc>
          <w:tcPr>
            <w:tcW w:w="138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N/A</w:t>
            </w:r>
          </w:p>
        </w:tc>
        <w:tc>
          <w:tcPr>
            <w:tcW w:w="160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N/A</w:t>
            </w:r>
          </w:p>
        </w:tc>
      </w:tr>
      <w:tr w:rsidR="0019108B" w:rsidTr="00C26702">
        <w:tc>
          <w:tcPr>
            <w:tcW w:w="5148"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pPr>
            <w:r>
              <w:t>General Service Non-Demand (Cents/kWh)</w:t>
            </w:r>
          </w:p>
        </w:tc>
        <w:tc>
          <w:tcPr>
            <w:tcW w:w="1440"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0.255</w:t>
            </w:r>
          </w:p>
        </w:tc>
        <w:tc>
          <w:tcPr>
            <w:tcW w:w="138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0.252</w:t>
            </w:r>
          </w:p>
        </w:tc>
        <w:tc>
          <w:tcPr>
            <w:tcW w:w="160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0.250</w:t>
            </w:r>
          </w:p>
        </w:tc>
      </w:tr>
      <w:tr w:rsidR="0019108B" w:rsidTr="00C26702">
        <w:tc>
          <w:tcPr>
            <w:tcW w:w="5148"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pPr>
            <w:r>
              <w:t>General Service 100% Load Factor (Cents/kWh)</w:t>
            </w:r>
          </w:p>
        </w:tc>
        <w:tc>
          <w:tcPr>
            <w:tcW w:w="1440"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0.194</w:t>
            </w:r>
          </w:p>
        </w:tc>
        <w:tc>
          <w:tcPr>
            <w:tcW w:w="138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N/A</w:t>
            </w:r>
          </w:p>
        </w:tc>
        <w:tc>
          <w:tcPr>
            <w:tcW w:w="160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N/A</w:t>
            </w:r>
          </w:p>
        </w:tc>
      </w:tr>
      <w:tr w:rsidR="0019108B" w:rsidTr="00C26702">
        <w:tc>
          <w:tcPr>
            <w:tcW w:w="5148"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pPr>
            <w:r>
              <w:t>General Service Demand (Dollars/kW)</w:t>
            </w:r>
          </w:p>
        </w:tc>
        <w:tc>
          <w:tcPr>
            <w:tcW w:w="1440"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0.770</w:t>
            </w:r>
          </w:p>
        </w:tc>
        <w:tc>
          <w:tcPr>
            <w:tcW w:w="138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0.760</w:t>
            </w:r>
          </w:p>
        </w:tc>
        <w:tc>
          <w:tcPr>
            <w:tcW w:w="160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0.750</w:t>
            </w:r>
          </w:p>
        </w:tc>
      </w:tr>
      <w:tr w:rsidR="0019108B" w:rsidTr="00C26702">
        <w:tc>
          <w:tcPr>
            <w:tcW w:w="5148"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pPr>
            <w:r>
              <w:t>Curtailable (Dollars/kW)</w:t>
            </w:r>
          </w:p>
        </w:tc>
        <w:tc>
          <w:tcPr>
            <w:tcW w:w="1440"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0.350</w:t>
            </w:r>
          </w:p>
        </w:tc>
        <w:tc>
          <w:tcPr>
            <w:tcW w:w="138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0.350</w:t>
            </w:r>
          </w:p>
        </w:tc>
        <w:tc>
          <w:tcPr>
            <w:tcW w:w="160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0.340</w:t>
            </w:r>
          </w:p>
        </w:tc>
      </w:tr>
      <w:tr w:rsidR="0019108B" w:rsidTr="00C26702">
        <w:tc>
          <w:tcPr>
            <w:tcW w:w="5148"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pPr>
            <w:r>
              <w:t xml:space="preserve">Interruptible (Dollars/kW) </w:t>
            </w:r>
          </w:p>
        </w:tc>
        <w:tc>
          <w:tcPr>
            <w:tcW w:w="1440"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0.640</w:t>
            </w:r>
          </w:p>
        </w:tc>
        <w:tc>
          <w:tcPr>
            <w:tcW w:w="138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0.630</w:t>
            </w:r>
          </w:p>
        </w:tc>
        <w:tc>
          <w:tcPr>
            <w:tcW w:w="160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0.630</w:t>
            </w:r>
          </w:p>
        </w:tc>
      </w:tr>
      <w:tr w:rsidR="0019108B" w:rsidTr="00C26702">
        <w:tc>
          <w:tcPr>
            <w:tcW w:w="5148"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pPr>
            <w:r>
              <w:t>Standby Monthly (Dollars/kW)</w:t>
            </w:r>
          </w:p>
        </w:tc>
        <w:tc>
          <w:tcPr>
            <w:tcW w:w="1440"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0.074</w:t>
            </w:r>
          </w:p>
        </w:tc>
        <w:tc>
          <w:tcPr>
            <w:tcW w:w="138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0.073</w:t>
            </w:r>
          </w:p>
        </w:tc>
        <w:tc>
          <w:tcPr>
            <w:tcW w:w="160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0.073</w:t>
            </w:r>
          </w:p>
        </w:tc>
      </w:tr>
      <w:tr w:rsidR="0019108B" w:rsidTr="00C26702">
        <w:tc>
          <w:tcPr>
            <w:tcW w:w="5148"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pPr>
            <w:r>
              <w:t>Standby Daily (Dollars/kW)</w:t>
            </w:r>
          </w:p>
        </w:tc>
        <w:tc>
          <w:tcPr>
            <w:tcW w:w="1440"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0.035</w:t>
            </w:r>
          </w:p>
        </w:tc>
        <w:tc>
          <w:tcPr>
            <w:tcW w:w="138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0.035</w:t>
            </w:r>
          </w:p>
        </w:tc>
        <w:tc>
          <w:tcPr>
            <w:tcW w:w="160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0.034</w:t>
            </w:r>
          </w:p>
        </w:tc>
      </w:tr>
      <w:tr w:rsidR="0019108B" w:rsidTr="00C26702">
        <w:tc>
          <w:tcPr>
            <w:tcW w:w="5148"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pPr>
            <w:r>
              <w:t>Lighting (Cents/kWh)</w:t>
            </w:r>
          </w:p>
        </w:tc>
        <w:tc>
          <w:tcPr>
            <w:tcW w:w="1440"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0.108</w:t>
            </w:r>
          </w:p>
        </w:tc>
        <w:tc>
          <w:tcPr>
            <w:tcW w:w="138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N/A</w:t>
            </w:r>
          </w:p>
        </w:tc>
        <w:tc>
          <w:tcPr>
            <w:tcW w:w="1604" w:type="dxa"/>
            <w:tcBorders>
              <w:top w:val="single" w:sz="4" w:space="0" w:color="auto"/>
              <w:left w:val="single" w:sz="4" w:space="0" w:color="auto"/>
              <w:bottom w:val="single" w:sz="4" w:space="0" w:color="auto"/>
              <w:right w:val="single" w:sz="4" w:space="0" w:color="auto"/>
            </w:tcBorders>
            <w:hideMark/>
          </w:tcPr>
          <w:p w:rsidR="0019108B" w:rsidRDefault="0019108B" w:rsidP="00C26702">
            <w:pPr>
              <w:autoSpaceDE w:val="0"/>
              <w:autoSpaceDN w:val="0"/>
              <w:adjustRightInd w:val="0"/>
              <w:jc w:val="center"/>
            </w:pPr>
            <w:r>
              <w:t>N/A</w:t>
            </w:r>
          </w:p>
        </w:tc>
      </w:tr>
    </w:tbl>
    <w:p w:rsidR="0019108B" w:rsidRDefault="0019108B" w:rsidP="0019108B">
      <w:pPr>
        <w:autoSpaceDE w:val="0"/>
        <w:autoSpaceDN w:val="0"/>
        <w:adjustRightInd w:val="0"/>
      </w:pPr>
    </w:p>
    <w:p w:rsidR="007D4DAA" w:rsidRDefault="0019108B" w:rsidP="007D4DAA">
      <w:pPr>
        <w:ind w:firstLine="720"/>
      </w:pPr>
      <w:r w:rsidRPr="00BF12DB">
        <w:rPr>
          <w:u w:val="single"/>
        </w:rPr>
        <w:t>Florida Power &amp; Light Company (FPL) / Gulf Power Company (Gulf):</w:t>
      </w:r>
      <w:r w:rsidRPr="00BF12DB">
        <w:tab/>
      </w:r>
    </w:p>
    <w:p w:rsidR="007D4DAA" w:rsidRDefault="007D4DAA" w:rsidP="007D4DAA">
      <w:pPr>
        <w:ind w:firstLine="720"/>
      </w:pPr>
    </w:p>
    <w:p w:rsidR="0019108B" w:rsidRDefault="0019108B" w:rsidP="007D4DAA">
      <w:pPr>
        <w:ind w:left="720"/>
      </w:pPr>
      <w:r>
        <w:t xml:space="preserve">Effective January 1, 2021, FPL and Gulf were legally merged with FPL being the surviving entity. In its August 6, 2021 filing, FPL represented the merged and consolidated operations of FPL and the former Gulf. </w:t>
      </w:r>
    </w:p>
    <w:p w:rsidR="0019108B" w:rsidRDefault="0019108B" w:rsidP="00255783">
      <w:pPr>
        <w:pStyle w:val="IssueBody"/>
        <w:keepNext/>
        <w:spacing w:after="0"/>
        <w:ind w:left="0" w:firstLine="720"/>
        <w:rPr>
          <w:szCs w:val="24"/>
        </w:rPr>
      </w:pPr>
      <w:r>
        <w:rPr>
          <w:szCs w:val="24"/>
        </w:rPr>
        <w:lastRenderedPageBreak/>
        <w:t>We find that the merged and consolidated conservation cost recovery factors for the</w:t>
      </w:r>
      <w:r w:rsidR="00D1654B">
        <w:rPr>
          <w:szCs w:val="24"/>
        </w:rPr>
        <w:t xml:space="preserve"> </w:t>
      </w:r>
      <w:r>
        <w:rPr>
          <w:szCs w:val="24"/>
        </w:rPr>
        <w:t>period January 2022 through December 2022 are as follows:</w:t>
      </w:r>
    </w:p>
    <w:p w:rsidR="0019108B" w:rsidRDefault="0019108B" w:rsidP="0019108B">
      <w:pPr>
        <w:keepNext/>
        <w:autoSpaceDE w:val="0"/>
        <w:autoSpaceDN w:val="0"/>
        <w:adjustRightInd w:val="0"/>
      </w:pPr>
    </w:p>
    <w:tbl>
      <w:tblPr>
        <w:tblpPr w:leftFromText="187" w:rightFromText="187" w:bottomFromText="200" w:vertAnchor="text" w:horzAnchor="page" w:tblpXSpec="center" w:tblpY="15"/>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625"/>
        <w:gridCol w:w="1998"/>
        <w:gridCol w:w="1980"/>
        <w:gridCol w:w="1062"/>
        <w:gridCol w:w="1080"/>
      </w:tblGrid>
      <w:tr w:rsidR="0019108B" w:rsidTr="00C26702">
        <w:tc>
          <w:tcPr>
            <w:tcW w:w="9745" w:type="dxa"/>
            <w:gridSpan w:val="5"/>
            <w:tcBorders>
              <w:top w:val="single" w:sz="4" w:space="0" w:color="auto"/>
              <w:left w:val="single" w:sz="4" w:space="0" w:color="auto"/>
              <w:bottom w:val="single" w:sz="4" w:space="0" w:color="auto"/>
              <w:right w:val="single" w:sz="4" w:space="0" w:color="auto"/>
            </w:tcBorders>
            <w:vAlign w:val="center"/>
            <w:hideMark/>
          </w:tcPr>
          <w:p w:rsidR="0019108B" w:rsidRDefault="0019108B" w:rsidP="00C26702">
            <w:pPr>
              <w:keepNext/>
              <w:jc w:val="center"/>
              <w:rPr>
                <w:b/>
                <w:bCs/>
              </w:rPr>
            </w:pPr>
            <w:r>
              <w:rPr>
                <w:b/>
                <w:bCs/>
              </w:rPr>
              <w:t>FPL and Gulf Merged and Consolidated, as reflected in Exhibit JNF-2</w:t>
            </w:r>
          </w:p>
        </w:tc>
      </w:tr>
      <w:tr w:rsidR="0019108B" w:rsidTr="00C26702">
        <w:tc>
          <w:tcPr>
            <w:tcW w:w="3625" w:type="dxa"/>
            <w:tcBorders>
              <w:top w:val="single" w:sz="4" w:space="0" w:color="auto"/>
              <w:left w:val="single" w:sz="4" w:space="0" w:color="auto"/>
              <w:bottom w:val="single" w:sz="4" w:space="0" w:color="auto"/>
              <w:right w:val="single" w:sz="4" w:space="0" w:color="auto"/>
            </w:tcBorders>
            <w:vAlign w:val="center"/>
          </w:tcPr>
          <w:p w:rsidR="0019108B" w:rsidRDefault="0019108B" w:rsidP="00C26702">
            <w:pPr>
              <w:keepNext/>
              <w:jc w:val="center"/>
            </w:pPr>
          </w:p>
          <w:p w:rsidR="0019108B" w:rsidRDefault="0019108B" w:rsidP="00C26702">
            <w:pPr>
              <w:keepNext/>
              <w:jc w:val="center"/>
              <w:rPr>
                <w:b/>
                <w:bCs/>
              </w:rPr>
            </w:pPr>
            <w:r>
              <w:rPr>
                <w:b/>
                <w:bCs/>
              </w:rPr>
              <w:t>Rate Class</w:t>
            </w:r>
          </w:p>
        </w:tc>
        <w:tc>
          <w:tcPr>
            <w:tcW w:w="1998" w:type="dxa"/>
            <w:tcBorders>
              <w:top w:val="single" w:sz="4" w:space="0" w:color="auto"/>
              <w:left w:val="single" w:sz="4" w:space="0" w:color="auto"/>
              <w:bottom w:val="single" w:sz="4" w:space="0" w:color="auto"/>
              <w:right w:val="single" w:sz="4" w:space="0" w:color="auto"/>
            </w:tcBorders>
            <w:vAlign w:val="center"/>
            <w:hideMark/>
          </w:tcPr>
          <w:p w:rsidR="0019108B" w:rsidRDefault="0019108B" w:rsidP="00C26702">
            <w:pPr>
              <w:keepNext/>
              <w:jc w:val="center"/>
              <w:rPr>
                <w:b/>
                <w:bCs/>
              </w:rPr>
            </w:pPr>
            <w:r>
              <w:rPr>
                <w:b/>
                <w:bCs/>
              </w:rPr>
              <w:t>Conservation Recovery Factor ($/kw)</w:t>
            </w:r>
          </w:p>
        </w:tc>
        <w:tc>
          <w:tcPr>
            <w:tcW w:w="1980" w:type="dxa"/>
            <w:tcBorders>
              <w:top w:val="single" w:sz="4" w:space="0" w:color="auto"/>
              <w:left w:val="single" w:sz="4" w:space="0" w:color="auto"/>
              <w:bottom w:val="single" w:sz="4" w:space="0" w:color="auto"/>
              <w:right w:val="single" w:sz="4" w:space="0" w:color="auto"/>
            </w:tcBorders>
            <w:vAlign w:val="center"/>
            <w:hideMark/>
          </w:tcPr>
          <w:p w:rsidR="0019108B" w:rsidRDefault="0019108B" w:rsidP="00C26702">
            <w:pPr>
              <w:keepNext/>
              <w:jc w:val="center"/>
              <w:rPr>
                <w:b/>
                <w:bCs/>
              </w:rPr>
            </w:pPr>
            <w:r>
              <w:rPr>
                <w:b/>
                <w:bCs/>
              </w:rPr>
              <w:t>Conservation Recovery Factor ($/kwh)</w:t>
            </w:r>
          </w:p>
        </w:tc>
        <w:tc>
          <w:tcPr>
            <w:tcW w:w="1062" w:type="dxa"/>
            <w:tcBorders>
              <w:top w:val="single" w:sz="4" w:space="0" w:color="auto"/>
              <w:left w:val="single" w:sz="4" w:space="0" w:color="auto"/>
              <w:bottom w:val="single" w:sz="4" w:space="0" w:color="auto"/>
              <w:right w:val="single" w:sz="4" w:space="0" w:color="auto"/>
            </w:tcBorders>
            <w:vAlign w:val="center"/>
          </w:tcPr>
          <w:p w:rsidR="0019108B" w:rsidRDefault="0019108B" w:rsidP="00C26702">
            <w:pPr>
              <w:keepNext/>
              <w:jc w:val="center"/>
              <w:rPr>
                <w:b/>
                <w:bCs/>
              </w:rPr>
            </w:pPr>
          </w:p>
          <w:p w:rsidR="0019108B" w:rsidRDefault="0019108B" w:rsidP="00C26702">
            <w:pPr>
              <w:keepNext/>
              <w:jc w:val="center"/>
              <w:rPr>
                <w:b/>
                <w:bCs/>
              </w:rPr>
            </w:pPr>
            <w:r>
              <w:rPr>
                <w:b/>
                <w:bCs/>
              </w:rPr>
              <w:t>RDC ($/KW)</w:t>
            </w:r>
          </w:p>
        </w:tc>
        <w:tc>
          <w:tcPr>
            <w:tcW w:w="1080" w:type="dxa"/>
            <w:tcBorders>
              <w:top w:val="single" w:sz="4" w:space="0" w:color="auto"/>
              <w:left w:val="single" w:sz="4" w:space="0" w:color="auto"/>
              <w:bottom w:val="single" w:sz="4" w:space="0" w:color="auto"/>
              <w:right w:val="single" w:sz="4" w:space="0" w:color="auto"/>
            </w:tcBorders>
            <w:vAlign w:val="center"/>
          </w:tcPr>
          <w:p w:rsidR="0019108B" w:rsidRDefault="0019108B" w:rsidP="00C26702">
            <w:pPr>
              <w:keepNext/>
              <w:jc w:val="center"/>
              <w:rPr>
                <w:b/>
                <w:bCs/>
              </w:rPr>
            </w:pPr>
          </w:p>
          <w:p w:rsidR="0019108B" w:rsidRDefault="0019108B" w:rsidP="00C26702">
            <w:pPr>
              <w:keepNext/>
              <w:jc w:val="center"/>
              <w:rPr>
                <w:b/>
                <w:bCs/>
              </w:rPr>
            </w:pPr>
            <w:r>
              <w:rPr>
                <w:b/>
                <w:bCs/>
              </w:rPr>
              <w:t>SDD ($/KW)</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RS1/RTR1</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 xml:space="preserve">0.00134 </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GS1/GST1</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 xml:space="preserve">0.00137 </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GSD1/GSDT1/HLFT1/GSD1-EV</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 xml:space="preserve">0.47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OS2</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 xml:space="preserve">0.00093 </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GSLD1/GSLDT1/CS1/</w:t>
            </w:r>
          </w:p>
          <w:p w:rsidR="0019108B" w:rsidRDefault="0019108B" w:rsidP="00C26702">
            <w:pPr>
              <w:keepNext/>
            </w:pPr>
            <w:r>
              <w:t>CST1/HLFT2/GSLD1-EV</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 xml:space="preserve">0.52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GSLD2/GSLDT2/CS2/</w:t>
            </w:r>
          </w:p>
          <w:p w:rsidR="0019108B" w:rsidRDefault="0019108B" w:rsidP="00C26702">
            <w:pPr>
              <w:keepNext/>
            </w:pPr>
            <w:r>
              <w:t>CST2/HLFT3</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 xml:space="preserve">0.54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GSLD3/GSLDT3/</w:t>
            </w:r>
          </w:p>
          <w:p w:rsidR="0019108B" w:rsidRDefault="0019108B" w:rsidP="00C26702">
            <w:pPr>
              <w:keepNext/>
            </w:pPr>
            <w:r>
              <w:t>CS3/CST3</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 xml:space="preserve">0.50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SST1T</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 xml:space="preserve">$0.06 </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 xml:space="preserve">$0.03 </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SST1D1/SST1D2/SST1D3</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 xml:space="preserve">$0.06 </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 xml:space="preserve">$0.03 </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CILC D/CILC G</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 xml:space="preserve">0.56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CILC T</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 xml:space="preserve">0.56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MET</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 xml:space="preserve">0.45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OL1/SL1/SL1M/PL1/OSI/II</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 xml:space="preserve">0.00042 </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r w:rsidR="0019108B" w:rsidTr="00C26702">
        <w:tc>
          <w:tcPr>
            <w:tcW w:w="3625"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pPr>
            <w:r>
              <w:t>SL2/SL2M/GSCU1</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420"/>
              <w:contextualSpacing/>
              <w:jc w:val="right"/>
            </w:pPr>
            <w:r>
              <w:t xml:space="preserve">0.00101 </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9108B" w:rsidRDefault="0019108B" w:rsidP="00C26702">
            <w:pPr>
              <w:keepNext/>
              <w:ind w:right="220"/>
              <w:contextualSpacing/>
              <w:jc w:val="right"/>
            </w:pPr>
            <w:r>
              <w:t>-</w:t>
            </w:r>
          </w:p>
        </w:tc>
      </w:tr>
    </w:tbl>
    <w:p w:rsidR="0019108B" w:rsidRDefault="0019108B" w:rsidP="0019108B">
      <w:pPr>
        <w:jc w:val="both"/>
        <w:rPr>
          <w:b/>
        </w:rPr>
      </w:pPr>
    </w:p>
    <w:p w:rsidR="007A7662" w:rsidRDefault="0019108B" w:rsidP="0019108B">
      <w:pPr>
        <w:ind w:left="720"/>
        <w:jc w:val="both"/>
      </w:pPr>
      <w:r w:rsidRPr="00BF12DB">
        <w:rPr>
          <w:u w:val="single"/>
        </w:rPr>
        <w:t>FPUC:</w:t>
      </w:r>
      <w:r w:rsidRPr="00BF12DB">
        <w:tab/>
      </w:r>
    </w:p>
    <w:p w:rsidR="0019108B" w:rsidRDefault="0019108B" w:rsidP="007E684D">
      <w:pPr>
        <w:jc w:val="both"/>
      </w:pPr>
      <w:r>
        <w:rPr>
          <w:b/>
        </w:rPr>
        <w:tab/>
      </w:r>
      <w:r>
        <w:t>$.00134 per kWh (consolidated levelized conservation cost recovery factor).</w:t>
      </w:r>
    </w:p>
    <w:p w:rsidR="0019108B" w:rsidRDefault="0019108B" w:rsidP="0019108B">
      <w:pPr>
        <w:jc w:val="both"/>
      </w:pPr>
    </w:p>
    <w:p w:rsidR="005C2FCF" w:rsidRDefault="005C2FCF" w:rsidP="0019108B">
      <w:pPr>
        <w:jc w:val="both"/>
      </w:pPr>
    </w:p>
    <w:p w:rsidR="005C2FCF" w:rsidRDefault="005C2FCF" w:rsidP="0019108B">
      <w:pPr>
        <w:jc w:val="both"/>
      </w:pPr>
    </w:p>
    <w:p w:rsidR="005C2FCF" w:rsidRDefault="005C2FCF" w:rsidP="0019108B">
      <w:pPr>
        <w:jc w:val="both"/>
      </w:pPr>
    </w:p>
    <w:p w:rsidR="005C2FCF" w:rsidRDefault="005C2FCF" w:rsidP="0019108B">
      <w:pPr>
        <w:jc w:val="both"/>
      </w:pPr>
    </w:p>
    <w:p w:rsidR="005C2FCF" w:rsidRDefault="005C2FCF" w:rsidP="0019108B">
      <w:pPr>
        <w:jc w:val="both"/>
      </w:pPr>
    </w:p>
    <w:p w:rsidR="005C2FCF" w:rsidRDefault="005C2FCF" w:rsidP="0019108B">
      <w:pPr>
        <w:jc w:val="both"/>
      </w:pPr>
    </w:p>
    <w:p w:rsidR="005C2FCF" w:rsidRDefault="005C2FCF" w:rsidP="0019108B">
      <w:pPr>
        <w:jc w:val="both"/>
      </w:pPr>
    </w:p>
    <w:p w:rsidR="005C2FCF" w:rsidRDefault="005C2FCF" w:rsidP="0019108B">
      <w:pPr>
        <w:jc w:val="both"/>
      </w:pPr>
    </w:p>
    <w:p w:rsidR="005C2FCF" w:rsidRDefault="005C2FCF" w:rsidP="0019108B">
      <w:pPr>
        <w:jc w:val="both"/>
      </w:pPr>
    </w:p>
    <w:p w:rsidR="005C2FCF" w:rsidRDefault="005C2FCF" w:rsidP="0019108B">
      <w:pPr>
        <w:jc w:val="both"/>
      </w:pPr>
    </w:p>
    <w:p w:rsidR="005C2FCF" w:rsidRDefault="005C2FCF" w:rsidP="0019108B">
      <w:pPr>
        <w:jc w:val="both"/>
      </w:pPr>
    </w:p>
    <w:p w:rsidR="005C2FCF" w:rsidRDefault="005C2FCF" w:rsidP="0019108B">
      <w:pPr>
        <w:jc w:val="both"/>
      </w:pPr>
    </w:p>
    <w:p w:rsidR="0019108B" w:rsidRPr="00BF12DB" w:rsidRDefault="0019108B" w:rsidP="0019108B">
      <w:pPr>
        <w:pStyle w:val="IssueBody"/>
        <w:spacing w:after="0"/>
        <w:ind w:hanging="720"/>
        <w:rPr>
          <w:szCs w:val="24"/>
          <w:u w:val="single"/>
        </w:rPr>
      </w:pPr>
      <w:r w:rsidRPr="00BF12DB">
        <w:rPr>
          <w:szCs w:val="24"/>
          <w:u w:val="single"/>
        </w:rPr>
        <w:lastRenderedPageBreak/>
        <w:t>Tampa Electric Company (TECO):</w:t>
      </w:r>
    </w:p>
    <w:p w:rsidR="0019108B" w:rsidRDefault="0019108B" w:rsidP="0019108B">
      <w:pPr>
        <w:ind w:left="720"/>
        <w:jc w:val="both"/>
      </w:pPr>
      <w:r>
        <w:t>The Commission voted to approve the 2021 Stipulation and Settlement Agreement proposed by TECO in Docket No. 20210034-EI. Therefore, the cost recovery factors for the period January 2022 through December 2022 are shown below, based on the rate design and cost allocation as put forth in Docket No. 20210034-EI (2021 Settlement Cost of Service Methodology, as filed on October 1, 2021, in Document No. 11789-2021):</w:t>
      </w:r>
    </w:p>
    <w:p w:rsidR="0019108B" w:rsidRDefault="0019108B" w:rsidP="0019108B">
      <w:pPr>
        <w:ind w:left="1440"/>
        <w:jc w:val="both"/>
        <w:rPr>
          <w:b/>
        </w:rPr>
      </w:pPr>
    </w:p>
    <w:p w:rsidR="0019108B" w:rsidRDefault="0019108B" w:rsidP="0019108B">
      <w:pPr>
        <w:pStyle w:val="QuickA"/>
        <w:tabs>
          <w:tab w:val="center" w:pos="6660"/>
          <w:tab w:val="left" w:pos="9360"/>
        </w:tabs>
        <w:ind w:left="720"/>
        <w:jc w:val="both"/>
        <w:rPr>
          <w:b/>
          <w:szCs w:val="24"/>
        </w:rPr>
      </w:pPr>
      <w:r>
        <w:rPr>
          <w:szCs w:val="24"/>
        </w:rPr>
        <w:tab/>
      </w:r>
      <w:r>
        <w:rPr>
          <w:b/>
          <w:szCs w:val="24"/>
        </w:rPr>
        <w:t>Cost Recovery Factors</w:t>
      </w:r>
    </w:p>
    <w:p w:rsidR="0019108B" w:rsidRDefault="0019108B" w:rsidP="0019108B">
      <w:pPr>
        <w:pStyle w:val="QuickA"/>
        <w:tabs>
          <w:tab w:val="center" w:pos="6660"/>
          <w:tab w:val="center" w:pos="7560"/>
          <w:tab w:val="left" w:pos="9360"/>
        </w:tabs>
        <w:spacing w:line="360" w:lineRule="auto"/>
        <w:ind w:left="1440"/>
        <w:jc w:val="both"/>
        <w:rPr>
          <w:b/>
          <w:szCs w:val="24"/>
        </w:rPr>
      </w:pPr>
      <w:r>
        <w:rPr>
          <w:b/>
          <w:szCs w:val="24"/>
          <w:u w:val="single"/>
        </w:rPr>
        <w:t>Rate Schedule</w:t>
      </w:r>
      <w:r>
        <w:rPr>
          <w:b/>
          <w:szCs w:val="24"/>
        </w:rPr>
        <w:tab/>
      </w:r>
      <w:r>
        <w:rPr>
          <w:b/>
          <w:szCs w:val="24"/>
          <w:u w:val="single"/>
        </w:rPr>
        <w:t>(cents per kWh)</w:t>
      </w:r>
    </w:p>
    <w:p w:rsidR="0019108B" w:rsidRDefault="0019108B" w:rsidP="0019108B">
      <w:pPr>
        <w:pStyle w:val="QuickA"/>
        <w:tabs>
          <w:tab w:val="decimal" w:pos="6480"/>
        </w:tabs>
        <w:spacing w:line="360" w:lineRule="auto"/>
        <w:ind w:left="1440"/>
        <w:jc w:val="both"/>
        <w:rPr>
          <w:szCs w:val="24"/>
        </w:rPr>
      </w:pPr>
      <w:r>
        <w:rPr>
          <w:szCs w:val="24"/>
        </w:rPr>
        <w:t>RS</w:t>
      </w:r>
      <w:r>
        <w:rPr>
          <w:szCs w:val="24"/>
        </w:rPr>
        <w:tab/>
        <w:t>0.236</w:t>
      </w:r>
    </w:p>
    <w:p w:rsidR="0019108B" w:rsidRDefault="0019108B" w:rsidP="0019108B">
      <w:pPr>
        <w:pStyle w:val="QuickA"/>
        <w:tabs>
          <w:tab w:val="decimal" w:pos="6480"/>
        </w:tabs>
        <w:spacing w:line="360" w:lineRule="auto"/>
        <w:ind w:left="1440"/>
        <w:jc w:val="both"/>
        <w:rPr>
          <w:szCs w:val="24"/>
        </w:rPr>
      </w:pPr>
      <w:r>
        <w:rPr>
          <w:szCs w:val="24"/>
        </w:rPr>
        <w:t>GS and CS</w:t>
      </w:r>
      <w:r>
        <w:rPr>
          <w:szCs w:val="24"/>
        </w:rPr>
        <w:tab/>
        <w:t>0.218</w:t>
      </w:r>
    </w:p>
    <w:p w:rsidR="0019108B" w:rsidRDefault="0019108B" w:rsidP="0019108B">
      <w:pPr>
        <w:pStyle w:val="QuickA"/>
        <w:tabs>
          <w:tab w:val="decimal" w:pos="6480"/>
        </w:tabs>
        <w:spacing w:line="360" w:lineRule="auto"/>
        <w:ind w:left="1440"/>
        <w:jc w:val="both"/>
        <w:rPr>
          <w:szCs w:val="24"/>
        </w:rPr>
      </w:pPr>
      <w:r>
        <w:rPr>
          <w:szCs w:val="24"/>
        </w:rPr>
        <w:t>GSD Optional – Secondary</w:t>
      </w:r>
      <w:r>
        <w:rPr>
          <w:szCs w:val="24"/>
        </w:rPr>
        <w:tab/>
        <w:t>0.193</w:t>
      </w:r>
    </w:p>
    <w:p w:rsidR="0019108B" w:rsidRDefault="0019108B" w:rsidP="0019108B">
      <w:pPr>
        <w:pStyle w:val="QuickA"/>
        <w:tabs>
          <w:tab w:val="decimal" w:pos="6480"/>
        </w:tabs>
        <w:spacing w:line="360" w:lineRule="auto"/>
        <w:ind w:left="1440"/>
        <w:jc w:val="both"/>
        <w:rPr>
          <w:szCs w:val="24"/>
        </w:rPr>
      </w:pPr>
      <w:r>
        <w:rPr>
          <w:szCs w:val="24"/>
        </w:rPr>
        <w:t>GSD Optional – Primary</w:t>
      </w:r>
      <w:r>
        <w:rPr>
          <w:szCs w:val="24"/>
        </w:rPr>
        <w:tab/>
        <w:t>0.191</w:t>
      </w:r>
    </w:p>
    <w:p w:rsidR="0019108B" w:rsidRDefault="0019108B" w:rsidP="0019108B">
      <w:pPr>
        <w:pStyle w:val="QuickA"/>
        <w:tabs>
          <w:tab w:val="decimal" w:pos="6480"/>
        </w:tabs>
        <w:spacing w:line="360" w:lineRule="auto"/>
        <w:ind w:left="1440"/>
        <w:jc w:val="both"/>
        <w:rPr>
          <w:szCs w:val="24"/>
        </w:rPr>
      </w:pPr>
      <w:r>
        <w:rPr>
          <w:szCs w:val="24"/>
        </w:rPr>
        <w:t>GSD Optional – Subtransmission</w:t>
      </w:r>
      <w:r>
        <w:rPr>
          <w:szCs w:val="24"/>
        </w:rPr>
        <w:tab/>
        <w:t>0.189</w:t>
      </w:r>
    </w:p>
    <w:p w:rsidR="0019108B" w:rsidRDefault="0019108B" w:rsidP="0019108B">
      <w:pPr>
        <w:pStyle w:val="QuickA"/>
        <w:tabs>
          <w:tab w:val="decimal" w:pos="6480"/>
        </w:tabs>
        <w:spacing w:line="360" w:lineRule="auto"/>
        <w:ind w:left="1440"/>
        <w:jc w:val="both"/>
        <w:rPr>
          <w:szCs w:val="24"/>
        </w:rPr>
      </w:pPr>
      <w:r>
        <w:rPr>
          <w:szCs w:val="24"/>
        </w:rPr>
        <w:t>LS-1 and LS-2</w:t>
      </w:r>
      <w:r>
        <w:rPr>
          <w:szCs w:val="24"/>
        </w:rPr>
        <w:tab/>
        <w:t>0.108</w:t>
      </w:r>
    </w:p>
    <w:p w:rsidR="0019108B" w:rsidRDefault="0019108B" w:rsidP="0019108B">
      <w:pPr>
        <w:pStyle w:val="QuickA"/>
        <w:tabs>
          <w:tab w:val="center" w:pos="6660"/>
          <w:tab w:val="center" w:pos="7920"/>
          <w:tab w:val="left" w:pos="9360"/>
        </w:tabs>
        <w:ind w:left="1440"/>
        <w:jc w:val="both"/>
        <w:rPr>
          <w:b/>
          <w:szCs w:val="24"/>
        </w:rPr>
      </w:pPr>
      <w:r>
        <w:rPr>
          <w:spacing w:val="-3"/>
          <w:szCs w:val="24"/>
        </w:rPr>
        <w:tab/>
      </w:r>
      <w:r>
        <w:rPr>
          <w:b/>
          <w:szCs w:val="24"/>
        </w:rPr>
        <w:t>Cost Recovery Factors</w:t>
      </w:r>
    </w:p>
    <w:p w:rsidR="0019108B" w:rsidRDefault="0019108B" w:rsidP="0019108B">
      <w:pPr>
        <w:pStyle w:val="QuickA"/>
        <w:tabs>
          <w:tab w:val="center" w:pos="6660"/>
          <w:tab w:val="center" w:pos="7560"/>
          <w:tab w:val="left" w:pos="9360"/>
        </w:tabs>
        <w:spacing w:line="360" w:lineRule="auto"/>
        <w:ind w:left="1440"/>
        <w:jc w:val="both"/>
        <w:rPr>
          <w:b/>
          <w:szCs w:val="24"/>
        </w:rPr>
      </w:pPr>
      <w:r>
        <w:rPr>
          <w:b/>
          <w:szCs w:val="24"/>
          <w:u w:val="single"/>
        </w:rPr>
        <w:t>Rate Schedule</w:t>
      </w:r>
      <w:r>
        <w:rPr>
          <w:b/>
          <w:szCs w:val="24"/>
        </w:rPr>
        <w:tab/>
      </w:r>
      <w:r>
        <w:rPr>
          <w:b/>
          <w:szCs w:val="24"/>
          <w:u w:val="single"/>
        </w:rPr>
        <w:t>(dollars per kW)</w:t>
      </w:r>
    </w:p>
    <w:p w:rsidR="0019108B" w:rsidRDefault="0019108B" w:rsidP="0019108B">
      <w:pPr>
        <w:pStyle w:val="QuickA"/>
        <w:tabs>
          <w:tab w:val="decimal" w:pos="6480"/>
        </w:tabs>
        <w:spacing w:line="360" w:lineRule="auto"/>
        <w:ind w:left="1440"/>
        <w:jc w:val="both"/>
        <w:rPr>
          <w:szCs w:val="24"/>
        </w:rPr>
      </w:pPr>
      <w:r>
        <w:rPr>
          <w:szCs w:val="24"/>
        </w:rPr>
        <w:t>GSD, SBD, RSD – Secondary</w:t>
      </w:r>
      <w:r>
        <w:rPr>
          <w:szCs w:val="24"/>
        </w:rPr>
        <w:tab/>
        <w:t>0.81</w:t>
      </w:r>
    </w:p>
    <w:p w:rsidR="0019108B" w:rsidRDefault="0019108B" w:rsidP="0019108B">
      <w:pPr>
        <w:pStyle w:val="QuickA"/>
        <w:tabs>
          <w:tab w:val="decimal" w:pos="6480"/>
        </w:tabs>
        <w:spacing w:line="360" w:lineRule="auto"/>
        <w:ind w:left="1440"/>
        <w:jc w:val="both"/>
        <w:rPr>
          <w:szCs w:val="24"/>
        </w:rPr>
      </w:pPr>
      <w:r>
        <w:rPr>
          <w:szCs w:val="24"/>
        </w:rPr>
        <w:t>GSD, SBD, RSD – Primary</w:t>
      </w:r>
      <w:r>
        <w:rPr>
          <w:szCs w:val="24"/>
        </w:rPr>
        <w:tab/>
        <w:t>0.80</w:t>
      </w:r>
    </w:p>
    <w:p w:rsidR="0019108B" w:rsidRDefault="0019108B" w:rsidP="0019108B">
      <w:pPr>
        <w:pStyle w:val="QuickA"/>
        <w:tabs>
          <w:tab w:val="decimal" w:pos="6480"/>
        </w:tabs>
        <w:spacing w:line="360" w:lineRule="auto"/>
        <w:ind w:left="1440"/>
        <w:jc w:val="both"/>
        <w:rPr>
          <w:szCs w:val="24"/>
        </w:rPr>
      </w:pPr>
      <w:r>
        <w:rPr>
          <w:szCs w:val="24"/>
        </w:rPr>
        <w:t>GSD, SBD, RSD – Subtransmission</w:t>
      </w:r>
      <w:r>
        <w:rPr>
          <w:szCs w:val="24"/>
        </w:rPr>
        <w:tab/>
        <w:t>0.80</w:t>
      </w:r>
    </w:p>
    <w:p w:rsidR="0019108B" w:rsidRDefault="0019108B" w:rsidP="0019108B">
      <w:pPr>
        <w:pStyle w:val="QuickA"/>
        <w:tabs>
          <w:tab w:val="decimal" w:pos="6480"/>
        </w:tabs>
        <w:spacing w:line="360" w:lineRule="auto"/>
        <w:ind w:left="1440"/>
        <w:jc w:val="both"/>
        <w:rPr>
          <w:szCs w:val="24"/>
        </w:rPr>
      </w:pPr>
      <w:r>
        <w:rPr>
          <w:szCs w:val="24"/>
        </w:rPr>
        <w:t xml:space="preserve">GSLD - Primary </w:t>
      </w:r>
      <w:r>
        <w:rPr>
          <w:szCs w:val="24"/>
        </w:rPr>
        <w:tab/>
        <w:t>0.84</w:t>
      </w:r>
    </w:p>
    <w:p w:rsidR="0019108B" w:rsidRDefault="0019108B" w:rsidP="0019108B">
      <w:pPr>
        <w:pStyle w:val="QuickA"/>
        <w:tabs>
          <w:tab w:val="decimal" w:pos="6480"/>
        </w:tabs>
        <w:spacing w:line="360" w:lineRule="auto"/>
        <w:ind w:left="1440"/>
        <w:jc w:val="both"/>
        <w:rPr>
          <w:szCs w:val="24"/>
        </w:rPr>
      </w:pPr>
      <w:r>
        <w:rPr>
          <w:szCs w:val="24"/>
        </w:rPr>
        <w:t xml:space="preserve">GSLD - Subtransmission </w:t>
      </w:r>
      <w:r>
        <w:rPr>
          <w:szCs w:val="24"/>
        </w:rPr>
        <w:tab/>
        <w:t>0.74</w:t>
      </w:r>
    </w:p>
    <w:p w:rsidR="0019108B" w:rsidRDefault="0019108B" w:rsidP="007133D7">
      <w:pPr>
        <w:pStyle w:val="OrderBody"/>
      </w:pPr>
    </w:p>
    <w:p w:rsidR="00161FB5" w:rsidRDefault="00161FB5" w:rsidP="007133D7">
      <w:pPr>
        <w:pStyle w:val="OrderBody"/>
        <w:rPr>
          <w:u w:val="single"/>
        </w:rPr>
      </w:pPr>
      <w:r>
        <w:rPr>
          <w:u w:val="single"/>
        </w:rPr>
        <w:t>Conservation Cost Recovery Effective Date for 2022 Billing Cycle</w:t>
      </w:r>
    </w:p>
    <w:p w:rsidR="00161FB5" w:rsidRDefault="00161FB5" w:rsidP="007133D7">
      <w:pPr>
        <w:pStyle w:val="OrderBody"/>
      </w:pPr>
    </w:p>
    <w:p w:rsidR="0019108B" w:rsidRDefault="0019108B" w:rsidP="0019108B">
      <w:pPr>
        <w:pStyle w:val="OrderBody"/>
        <w:ind w:firstLine="720"/>
      </w:pPr>
      <w:r w:rsidRPr="0019108B">
        <w:rPr>
          <w:bCs/>
        </w:rPr>
        <w:t xml:space="preserve">We find that the </w:t>
      </w:r>
      <w:r>
        <w:t xml:space="preserve">factors shall be effective beginning with the specified conservation cost recovery cycle and thereafter for the period January 2022 through December 2022. Billing cycles may start before January 1, 2022 and the last cycle may be read after December 31, 2022, so that each customer is billed for twelve months regardless of when the adjustment factor became effective. These charges shall continue in effect until modified by our subsequent order. </w:t>
      </w:r>
    </w:p>
    <w:p w:rsidR="0019108B" w:rsidRDefault="0019108B" w:rsidP="007133D7">
      <w:pPr>
        <w:pStyle w:val="OrderBody"/>
      </w:pPr>
    </w:p>
    <w:p w:rsidR="00161FB5" w:rsidRPr="00B11A16" w:rsidRDefault="00161FB5" w:rsidP="00161FB5">
      <w:pPr>
        <w:jc w:val="both"/>
        <w:rPr>
          <w:u w:val="single"/>
        </w:rPr>
      </w:pPr>
      <w:r>
        <w:rPr>
          <w:u w:val="single"/>
        </w:rPr>
        <w:t>Revised Tariffs Reflecting the Energy Conservation Cost Recovery Amounts and Establishing Energy Conservation Cost Recovery Factors</w:t>
      </w:r>
    </w:p>
    <w:p w:rsidR="00161FB5" w:rsidRDefault="00161FB5" w:rsidP="007133D7">
      <w:pPr>
        <w:pStyle w:val="OrderBody"/>
      </w:pPr>
    </w:p>
    <w:p w:rsidR="0019108B" w:rsidRDefault="0019108B" w:rsidP="0019108B">
      <w:pPr>
        <w:jc w:val="both"/>
      </w:pPr>
      <w:r>
        <w:tab/>
        <w:t>We hereby approve revised tariffs reflecting the energy conservation cost recovery amounts and establishing energy conservation cost recovery factors determined to be appropriate in this proceeding. Commission s</w:t>
      </w:r>
      <w:r w:rsidRPr="00BF0BF5">
        <w:rPr>
          <w:bCs/>
        </w:rPr>
        <w:t xml:space="preserve">taff shall verify that the revised tariffs are consistent with </w:t>
      </w:r>
      <w:r>
        <w:rPr>
          <w:bCs/>
        </w:rPr>
        <w:t>our</w:t>
      </w:r>
      <w:r w:rsidRPr="00BF0BF5">
        <w:rPr>
          <w:bCs/>
        </w:rPr>
        <w:t xml:space="preserve"> decision</w:t>
      </w:r>
      <w:r>
        <w:rPr>
          <w:bCs/>
        </w:rPr>
        <w:t xml:space="preserve">.  </w:t>
      </w:r>
    </w:p>
    <w:p w:rsidR="0019108B" w:rsidRDefault="0019108B" w:rsidP="007133D7">
      <w:pPr>
        <w:pStyle w:val="OrderBody"/>
      </w:pPr>
    </w:p>
    <w:p w:rsidR="00805243" w:rsidRDefault="0019108B" w:rsidP="007133D7">
      <w:pPr>
        <w:pStyle w:val="OrderBody"/>
        <w:rPr>
          <w:bCs/>
          <w:u w:val="single"/>
        </w:rPr>
      </w:pPr>
      <w:r w:rsidRPr="0019108B">
        <w:rPr>
          <w:bCs/>
          <w:u w:val="single"/>
        </w:rPr>
        <w:lastRenderedPageBreak/>
        <w:t xml:space="preserve">Company-Specific </w:t>
      </w:r>
      <w:r w:rsidR="00161FB5" w:rsidRPr="005714B3">
        <w:rPr>
          <w:bCs/>
          <w:u w:val="single"/>
        </w:rPr>
        <w:t>Conservation Cost Recovery</w:t>
      </w:r>
      <w:r w:rsidR="00161FB5" w:rsidRPr="0019108B">
        <w:rPr>
          <w:bCs/>
          <w:u w:val="single"/>
        </w:rPr>
        <w:t xml:space="preserve"> </w:t>
      </w:r>
      <w:r w:rsidRPr="0019108B">
        <w:rPr>
          <w:bCs/>
          <w:u w:val="single"/>
        </w:rPr>
        <w:t>Issues – Tampa Electric Company</w:t>
      </w:r>
      <w:r w:rsidR="00805243">
        <w:rPr>
          <w:bCs/>
          <w:u w:val="single"/>
        </w:rPr>
        <w:t xml:space="preserve"> </w:t>
      </w:r>
    </w:p>
    <w:p w:rsidR="00805243" w:rsidRDefault="00805243" w:rsidP="007133D7">
      <w:pPr>
        <w:pStyle w:val="OrderBody"/>
        <w:rPr>
          <w:bCs/>
          <w:u w:val="single"/>
        </w:rPr>
      </w:pPr>
    </w:p>
    <w:p w:rsidR="00805243" w:rsidRPr="00805243" w:rsidRDefault="00805243" w:rsidP="00805243">
      <w:pPr>
        <w:pStyle w:val="OrderBody"/>
        <w:ind w:firstLine="720"/>
        <w:rPr>
          <w:bCs/>
        </w:rPr>
      </w:pPr>
      <w:r w:rsidRPr="0019108B">
        <w:rPr>
          <w:bCs/>
        </w:rPr>
        <w:t xml:space="preserve">We </w:t>
      </w:r>
      <w:r w:rsidR="00DF3B07">
        <w:rPr>
          <w:bCs/>
        </w:rPr>
        <w:t xml:space="preserve">make the following finding regarding </w:t>
      </w:r>
      <w:r w:rsidRPr="0019108B">
        <w:rPr>
          <w:bCs/>
        </w:rPr>
        <w:t xml:space="preserve">the </w:t>
      </w:r>
      <w:r w:rsidRPr="00805243">
        <w:rPr>
          <w:bCs/>
        </w:rPr>
        <w:t>Contracted Credit Value</w:t>
      </w:r>
      <w:r w:rsidR="007D4DAA">
        <w:rPr>
          <w:bCs/>
        </w:rPr>
        <w:t xml:space="preserve"> (CCV)</w:t>
      </w:r>
      <w:r w:rsidRPr="00805243">
        <w:rPr>
          <w:bCs/>
        </w:rPr>
        <w:t xml:space="preserve"> for the GSLM-2 and GSLM-3 rate riders for T</w:t>
      </w:r>
      <w:r>
        <w:rPr>
          <w:bCs/>
        </w:rPr>
        <w:t>ECO</w:t>
      </w:r>
      <w:r w:rsidRPr="00805243">
        <w:rPr>
          <w:bCs/>
        </w:rPr>
        <w:t xml:space="preserve"> for the period January 2022 through December 2022:</w:t>
      </w:r>
      <w:r>
        <w:rPr>
          <w:bCs/>
        </w:rPr>
        <w:t xml:space="preserve"> </w:t>
      </w:r>
    </w:p>
    <w:p w:rsidR="00805243" w:rsidRDefault="00805243" w:rsidP="00805243">
      <w:pPr>
        <w:pStyle w:val="OrderBody"/>
        <w:ind w:firstLine="720"/>
        <w:rPr>
          <w:b/>
          <w:bCs/>
        </w:rPr>
      </w:pPr>
    </w:p>
    <w:p w:rsidR="00805243" w:rsidRDefault="00BF0438" w:rsidP="00805243">
      <w:pPr>
        <w:ind w:left="720"/>
        <w:jc w:val="both"/>
      </w:pPr>
      <w:r>
        <w:t>When approve</w:t>
      </w:r>
      <w:r w:rsidR="004F7E5D">
        <w:t>d</w:t>
      </w:r>
      <w:r>
        <w:t xml:space="preserve"> the 2021 Stipulation and Settlement Agreement, w</w:t>
      </w:r>
      <w:r w:rsidR="00805243">
        <w:rPr>
          <w:spacing w:val="-3"/>
        </w:rPr>
        <w:t xml:space="preserve">e </w:t>
      </w:r>
      <w:r>
        <w:rPr>
          <w:spacing w:val="-3"/>
        </w:rPr>
        <w:t xml:space="preserve">accepted the </w:t>
      </w:r>
      <w:r w:rsidR="00805243">
        <w:rPr>
          <w:spacing w:val="-3"/>
        </w:rPr>
        <w:t xml:space="preserve">revised </w:t>
      </w:r>
      <w:r w:rsidR="00805243">
        <w:t>the level of credits for CCV in Paragraph 6(i) in the Stipulation and Settlement proposal offered in Docket No. 20210034-EI</w:t>
      </w:r>
      <w:r>
        <w:t>.</w:t>
      </w:r>
      <w:r w:rsidR="00805243">
        <w:t xml:space="preserve"> Th</w:t>
      </w:r>
      <w:r w:rsidR="004F7E5D">
        <w:t xml:space="preserve">e approved </w:t>
      </w:r>
      <w:r w:rsidR="00805243">
        <w:t xml:space="preserve">credits are shown below. These </w:t>
      </w:r>
      <w:r w:rsidR="004F7E5D">
        <w:t xml:space="preserve">credits </w:t>
      </w:r>
      <w:r w:rsidR="00805243">
        <w:t>are based on the rate design and cost allocation as put forth in Docket No. 20210034-EI (2021 Settlement Cost of Service Methodology, as filed on October 1, 2021, in Document No. 11789-2021).</w:t>
      </w:r>
    </w:p>
    <w:p w:rsidR="005C2FCF" w:rsidRDefault="005C2FCF" w:rsidP="00805243">
      <w:pPr>
        <w:ind w:left="720"/>
        <w:jc w:val="both"/>
      </w:pPr>
    </w:p>
    <w:p w:rsidR="00805243" w:rsidRDefault="00805243" w:rsidP="00805243">
      <w:pPr>
        <w:spacing w:line="360" w:lineRule="auto"/>
        <w:ind w:left="1440"/>
        <w:rPr>
          <w:spacing w:val="-3"/>
        </w:rPr>
      </w:pPr>
      <w:r>
        <w:rPr>
          <w:b/>
          <w:spacing w:val="-3"/>
          <w:u w:val="single"/>
        </w:rPr>
        <w:t xml:space="preserve">Voltage Level </w:t>
      </w:r>
      <w:r>
        <w:rPr>
          <w:b/>
          <w:spacing w:val="-3"/>
        </w:rPr>
        <w:tab/>
      </w:r>
      <w:r>
        <w:rPr>
          <w:spacing w:val="-3"/>
        </w:rPr>
        <w:tab/>
      </w:r>
      <w:r>
        <w:rPr>
          <w:spacing w:val="-3"/>
        </w:rPr>
        <w:tab/>
      </w:r>
      <w:r>
        <w:rPr>
          <w:b/>
          <w:spacing w:val="-3"/>
          <w:u w:val="single"/>
        </w:rPr>
        <w:t>Contracted Credit Value (dollars per kW)</w:t>
      </w:r>
    </w:p>
    <w:p w:rsidR="00805243" w:rsidRDefault="00805243" w:rsidP="00805243">
      <w:pPr>
        <w:tabs>
          <w:tab w:val="left" w:pos="-720"/>
          <w:tab w:val="decimal" w:pos="6120"/>
        </w:tabs>
        <w:suppressAutoHyphens/>
        <w:spacing w:line="360" w:lineRule="auto"/>
        <w:ind w:left="1440"/>
        <w:rPr>
          <w:spacing w:val="-3"/>
        </w:rPr>
      </w:pPr>
      <w:r>
        <w:rPr>
          <w:spacing w:val="-3"/>
        </w:rPr>
        <w:t>Secondary</w:t>
      </w:r>
      <w:r>
        <w:rPr>
          <w:spacing w:val="-3"/>
        </w:rPr>
        <w:tab/>
        <w:t>11.75</w:t>
      </w:r>
    </w:p>
    <w:p w:rsidR="00805243" w:rsidRDefault="00805243" w:rsidP="00805243">
      <w:pPr>
        <w:tabs>
          <w:tab w:val="left" w:pos="-720"/>
          <w:tab w:val="decimal" w:pos="6120"/>
        </w:tabs>
        <w:suppressAutoHyphens/>
        <w:spacing w:line="360" w:lineRule="auto"/>
        <w:ind w:left="1440"/>
        <w:rPr>
          <w:spacing w:val="-3"/>
        </w:rPr>
      </w:pPr>
      <w:r>
        <w:rPr>
          <w:spacing w:val="-3"/>
        </w:rPr>
        <w:t>Primary</w:t>
      </w:r>
      <w:r>
        <w:rPr>
          <w:spacing w:val="-3"/>
        </w:rPr>
        <w:tab/>
        <w:t>11.63</w:t>
      </w:r>
    </w:p>
    <w:p w:rsidR="00805243" w:rsidRDefault="00805243" w:rsidP="00805243">
      <w:pPr>
        <w:tabs>
          <w:tab w:val="left" w:pos="-720"/>
          <w:tab w:val="decimal" w:pos="6120"/>
        </w:tabs>
        <w:suppressAutoHyphens/>
        <w:spacing w:line="360" w:lineRule="auto"/>
        <w:ind w:left="1440"/>
        <w:rPr>
          <w:spacing w:val="-3"/>
        </w:rPr>
      </w:pPr>
      <w:r>
        <w:rPr>
          <w:spacing w:val="-3"/>
        </w:rPr>
        <w:t>Subtransmission</w:t>
      </w:r>
      <w:r>
        <w:rPr>
          <w:spacing w:val="-3"/>
        </w:rPr>
        <w:tab/>
        <w:t>11.52</w:t>
      </w:r>
    </w:p>
    <w:p w:rsidR="00BF0438" w:rsidRDefault="00BF0438" w:rsidP="00805243">
      <w:pPr>
        <w:ind w:left="1440" w:hanging="720"/>
        <w:jc w:val="both"/>
        <w:rPr>
          <w:bCs/>
        </w:rPr>
      </w:pPr>
    </w:p>
    <w:p w:rsidR="00DF3B07" w:rsidRDefault="00DF3B07" w:rsidP="00255783">
      <w:pPr>
        <w:ind w:left="90" w:firstLine="630"/>
        <w:jc w:val="both"/>
      </w:pPr>
      <w:r w:rsidRPr="0019108B">
        <w:rPr>
          <w:bCs/>
        </w:rPr>
        <w:t xml:space="preserve">We </w:t>
      </w:r>
      <w:r>
        <w:rPr>
          <w:bCs/>
        </w:rPr>
        <w:t>make the following finding</w:t>
      </w:r>
      <w:r w:rsidR="007A7662">
        <w:rPr>
          <w:bCs/>
        </w:rPr>
        <w:t>s</w:t>
      </w:r>
      <w:r>
        <w:rPr>
          <w:bCs/>
        </w:rPr>
        <w:t xml:space="preserve"> regarding TECO’s </w:t>
      </w:r>
      <w:r w:rsidRPr="003D7EA9">
        <w:t>Residential Price</w:t>
      </w:r>
      <w:r>
        <w:t xml:space="preserve"> Responsive </w:t>
      </w:r>
      <w:r w:rsidRPr="003D7EA9">
        <w:t>Load Management (RSVP-1) rates</w:t>
      </w:r>
      <w:r>
        <w:t xml:space="preserve"> for January 202</w:t>
      </w:r>
      <w:r w:rsidR="007D4DAA">
        <w:t>2</w:t>
      </w:r>
      <w:r>
        <w:t xml:space="preserve"> through December 2022:</w:t>
      </w:r>
    </w:p>
    <w:p w:rsidR="005C2FCF" w:rsidRDefault="005C2FCF" w:rsidP="005C2FCF">
      <w:pPr>
        <w:jc w:val="both"/>
      </w:pPr>
    </w:p>
    <w:p w:rsidR="00BF0438" w:rsidRDefault="00DF3B07" w:rsidP="005C2FCF">
      <w:pPr>
        <w:ind w:left="720"/>
        <w:jc w:val="both"/>
        <w:rPr>
          <w:bCs/>
        </w:rPr>
      </w:pPr>
      <w:r>
        <w:t>W</w:t>
      </w:r>
      <w:r w:rsidR="00BF0438">
        <w:t>hen we approve</w:t>
      </w:r>
      <w:r w:rsidR="007D4DAA">
        <w:t>d</w:t>
      </w:r>
      <w:r w:rsidR="00BF0438">
        <w:t xml:space="preserve"> </w:t>
      </w:r>
      <w:r>
        <w:t>TECO’s</w:t>
      </w:r>
      <w:r w:rsidR="00BF0438">
        <w:t xml:space="preserve"> 2021 Stipulation and Settlement Agreement, w</w:t>
      </w:r>
      <w:r w:rsidR="00BF0438">
        <w:rPr>
          <w:spacing w:val="-3"/>
        </w:rPr>
        <w:t xml:space="preserve">e accepted </w:t>
      </w:r>
      <w:r w:rsidR="00BF0438" w:rsidRPr="00805243">
        <w:rPr>
          <w:bCs/>
        </w:rPr>
        <w:t>the Residential Price Responsive Load</w:t>
      </w:r>
      <w:r w:rsidR="00BF0438">
        <w:rPr>
          <w:bCs/>
        </w:rPr>
        <w:t xml:space="preserve"> Management (RSVP-1) rate tiers </w:t>
      </w:r>
      <w:r w:rsidR="00BF0438" w:rsidRPr="00805243">
        <w:rPr>
          <w:bCs/>
        </w:rPr>
        <w:t>for the period January 2022 through December 2022</w:t>
      </w:r>
      <w:r w:rsidR="00BF0438">
        <w:rPr>
          <w:bCs/>
        </w:rPr>
        <w:t xml:space="preserve">. </w:t>
      </w:r>
      <w:r w:rsidR="007D4DAA">
        <w:t>The approved RSVP-1</w:t>
      </w:r>
      <w:r w:rsidR="00BF0438">
        <w:t>on the rate design and cost allocation as put forth in Docket No. 20210034-EI (2021 Settlement Cost of Service Methodology, as filed on October 1, 2021, in Document No. 11789-2021).</w:t>
      </w:r>
      <w:r>
        <w:t xml:space="preserve"> </w:t>
      </w:r>
    </w:p>
    <w:p w:rsidR="00BF0438" w:rsidRDefault="00BF0438" w:rsidP="00BF0438">
      <w:pPr>
        <w:ind w:left="1440" w:hanging="720"/>
        <w:jc w:val="both"/>
        <w:rPr>
          <w:bCs/>
        </w:rPr>
      </w:pPr>
    </w:p>
    <w:p w:rsidR="00805243" w:rsidRDefault="00805243" w:rsidP="00BF0438">
      <w:pPr>
        <w:ind w:left="1440" w:hanging="720"/>
        <w:jc w:val="both"/>
      </w:pPr>
      <w:r>
        <w:rPr>
          <w:b/>
        </w:rPr>
        <w:tab/>
      </w:r>
      <w:r>
        <w:rPr>
          <w:b/>
          <w:u w:val="single"/>
        </w:rPr>
        <w:t>Rate Tier</w:t>
      </w:r>
      <w:r>
        <w:rPr>
          <w:b/>
        </w:rPr>
        <w:tab/>
      </w:r>
      <w:r w:rsidR="007D4DAA">
        <w:rPr>
          <w:b/>
        </w:rPr>
        <w:tab/>
      </w:r>
      <w:r w:rsidR="007D4DAA">
        <w:rPr>
          <w:b/>
        </w:rPr>
        <w:tab/>
      </w:r>
      <w:r w:rsidR="007D4DAA">
        <w:rPr>
          <w:b/>
        </w:rPr>
        <w:tab/>
      </w:r>
      <w:r w:rsidR="007D4DAA">
        <w:rPr>
          <w:b/>
        </w:rPr>
        <w:tab/>
      </w:r>
      <w:r>
        <w:rPr>
          <w:b/>
          <w:u w:val="single"/>
        </w:rPr>
        <w:t>Cents per kWh</w:t>
      </w:r>
    </w:p>
    <w:p w:rsidR="00805243" w:rsidRDefault="00805243" w:rsidP="00805243">
      <w:pPr>
        <w:tabs>
          <w:tab w:val="left" w:pos="-720"/>
          <w:tab w:val="left" w:pos="720"/>
          <w:tab w:val="left" w:pos="1800"/>
          <w:tab w:val="decimal" w:pos="6480"/>
        </w:tabs>
        <w:suppressAutoHyphens/>
        <w:spacing w:line="360" w:lineRule="auto"/>
        <w:rPr>
          <w:spacing w:val="-3"/>
        </w:rPr>
      </w:pPr>
      <w:r>
        <w:tab/>
      </w:r>
      <w:r>
        <w:tab/>
      </w:r>
      <w:r>
        <w:rPr>
          <w:spacing w:val="-3"/>
        </w:rPr>
        <w:t>P1</w:t>
      </w:r>
      <w:r>
        <w:rPr>
          <w:spacing w:val="-3"/>
        </w:rPr>
        <w:tab/>
        <w:t>-2.616</w:t>
      </w:r>
    </w:p>
    <w:p w:rsidR="00805243" w:rsidRDefault="00805243" w:rsidP="00805243">
      <w:pPr>
        <w:tabs>
          <w:tab w:val="left" w:pos="-720"/>
          <w:tab w:val="left" w:pos="720"/>
          <w:tab w:val="left" w:pos="1800"/>
          <w:tab w:val="decimal" w:pos="6480"/>
        </w:tabs>
        <w:suppressAutoHyphens/>
        <w:spacing w:line="360" w:lineRule="auto"/>
        <w:rPr>
          <w:spacing w:val="-3"/>
        </w:rPr>
      </w:pPr>
      <w:r>
        <w:rPr>
          <w:spacing w:val="-3"/>
        </w:rPr>
        <w:t xml:space="preserve">     </w:t>
      </w:r>
      <w:r>
        <w:rPr>
          <w:spacing w:val="-3"/>
        </w:rPr>
        <w:tab/>
      </w:r>
      <w:r>
        <w:rPr>
          <w:spacing w:val="-3"/>
        </w:rPr>
        <w:tab/>
        <w:t>P2</w:t>
      </w:r>
      <w:r>
        <w:rPr>
          <w:spacing w:val="-3"/>
        </w:rPr>
        <w:tab/>
        <w:t>-1.013</w:t>
      </w:r>
    </w:p>
    <w:p w:rsidR="00805243" w:rsidRDefault="00805243" w:rsidP="00805243">
      <w:pPr>
        <w:tabs>
          <w:tab w:val="left" w:pos="-720"/>
          <w:tab w:val="left" w:pos="720"/>
          <w:tab w:val="left" w:pos="1800"/>
          <w:tab w:val="decimal" w:pos="6480"/>
        </w:tabs>
        <w:suppressAutoHyphens/>
        <w:spacing w:line="360" w:lineRule="auto"/>
        <w:rPr>
          <w:spacing w:val="-3"/>
        </w:rPr>
      </w:pPr>
      <w:r>
        <w:rPr>
          <w:spacing w:val="-3"/>
        </w:rPr>
        <w:t xml:space="preserve">     </w:t>
      </w:r>
      <w:r>
        <w:rPr>
          <w:spacing w:val="-3"/>
        </w:rPr>
        <w:tab/>
      </w:r>
      <w:r>
        <w:rPr>
          <w:spacing w:val="-3"/>
        </w:rPr>
        <w:tab/>
        <w:t>P3</w:t>
      </w:r>
      <w:r>
        <w:rPr>
          <w:spacing w:val="-3"/>
        </w:rPr>
        <w:tab/>
        <w:t>6.237</w:t>
      </w:r>
    </w:p>
    <w:p w:rsidR="00805243" w:rsidRDefault="00805243" w:rsidP="00805243">
      <w:pPr>
        <w:tabs>
          <w:tab w:val="left" w:pos="-720"/>
          <w:tab w:val="left" w:pos="720"/>
          <w:tab w:val="left" w:pos="1800"/>
          <w:tab w:val="decimal" w:pos="6480"/>
        </w:tabs>
        <w:suppressAutoHyphens/>
        <w:spacing w:line="360" w:lineRule="auto"/>
        <w:rPr>
          <w:spacing w:val="-3"/>
        </w:rPr>
      </w:pPr>
      <w:r>
        <w:rPr>
          <w:spacing w:val="-3"/>
        </w:rPr>
        <w:t xml:space="preserve">     </w:t>
      </w:r>
      <w:r>
        <w:rPr>
          <w:spacing w:val="-3"/>
        </w:rPr>
        <w:tab/>
      </w:r>
      <w:r>
        <w:rPr>
          <w:spacing w:val="-3"/>
        </w:rPr>
        <w:tab/>
        <w:t>P4</w:t>
      </w:r>
      <w:r>
        <w:rPr>
          <w:spacing w:val="-3"/>
        </w:rPr>
        <w:tab/>
        <w:t>36.974</w:t>
      </w:r>
    </w:p>
    <w:p w:rsidR="00E730F6" w:rsidRDefault="00E730F6" w:rsidP="00805243">
      <w:pPr>
        <w:pStyle w:val="OrderBody"/>
        <w:ind w:firstLine="720"/>
      </w:pPr>
    </w:p>
    <w:p w:rsidR="007133D7" w:rsidRDefault="007133D7" w:rsidP="00805243">
      <w:pPr>
        <w:pStyle w:val="OrderBody"/>
        <w:ind w:firstLine="720"/>
      </w:pPr>
      <w:r>
        <w:t>Based on the foregoing, it is</w:t>
      </w:r>
    </w:p>
    <w:p w:rsidR="007133D7" w:rsidRDefault="007133D7" w:rsidP="007133D7">
      <w:pPr>
        <w:pStyle w:val="OrderBody"/>
      </w:pPr>
    </w:p>
    <w:p w:rsidR="007133D7" w:rsidRDefault="007133D7" w:rsidP="007133D7">
      <w:pPr>
        <w:pStyle w:val="OrderBody"/>
      </w:pPr>
      <w:r>
        <w:tab/>
        <w:t>ORDERED by the Florida Public Service Commission that the stipulations and findings herein are hereby approved. It is further</w:t>
      </w:r>
    </w:p>
    <w:p w:rsidR="007133D7" w:rsidRDefault="007133D7" w:rsidP="007133D7">
      <w:pPr>
        <w:pStyle w:val="OrderBody"/>
      </w:pPr>
    </w:p>
    <w:p w:rsidR="007133D7" w:rsidRDefault="007133D7" w:rsidP="007133D7">
      <w:pPr>
        <w:pStyle w:val="OrderBody"/>
      </w:pPr>
      <w:r>
        <w:tab/>
        <w:t>ORDERED that each investor-owned utility that was a party to this docket shall abide by the stipulations and findings herein which are applicable to it.  It is further</w:t>
      </w:r>
    </w:p>
    <w:p w:rsidR="007133D7" w:rsidRDefault="007133D7" w:rsidP="007133D7">
      <w:pPr>
        <w:pStyle w:val="OrderBody"/>
      </w:pPr>
    </w:p>
    <w:p w:rsidR="007133D7" w:rsidRDefault="007133D7" w:rsidP="007133D7">
      <w:pPr>
        <w:pStyle w:val="OrderBody"/>
      </w:pPr>
      <w:r>
        <w:lastRenderedPageBreak/>
        <w:tab/>
        <w:t xml:space="preserve">ORDERED </w:t>
      </w:r>
      <w:r w:rsidRPr="006D32EC">
        <w:t>that the utilities named herein are authorized to collect the energy conservation cost recovery amounts and utilize the factors approved herein for the period beginning with the specified conservation cost recovery cycle and therea</w:t>
      </w:r>
      <w:r>
        <w:t>fter for the period January 202</w:t>
      </w:r>
      <w:r w:rsidR="0091499B">
        <w:t>2</w:t>
      </w:r>
      <w:r w:rsidRPr="006D32EC">
        <w:t xml:space="preserve"> through December 20</w:t>
      </w:r>
      <w:r>
        <w:t>2</w:t>
      </w:r>
      <w:r w:rsidR="0091499B">
        <w:t>2</w:t>
      </w:r>
      <w:r w:rsidRPr="006D32EC">
        <w:t>.  Billing cycles may start before January 1, 20</w:t>
      </w:r>
      <w:r>
        <w:t>2</w:t>
      </w:r>
      <w:r w:rsidR="0091499B">
        <w:t>2</w:t>
      </w:r>
      <w:r w:rsidRPr="006D32EC">
        <w:t xml:space="preserve"> and the last cycle may be read after December 31, 20</w:t>
      </w:r>
      <w:r>
        <w:t>2</w:t>
      </w:r>
      <w:r w:rsidR="0091499B">
        <w:t>2</w:t>
      </w:r>
      <w:r w:rsidRPr="006D32EC">
        <w:t>, so that each customer is billed for twelve months regardless of when the adjustment factor became effective.  These charges shall continue in effect until modified by subsequent order of this Commission</w:t>
      </w:r>
      <w:r>
        <w:t>.   It is further</w:t>
      </w:r>
    </w:p>
    <w:p w:rsidR="007133D7" w:rsidRDefault="007133D7" w:rsidP="007133D7">
      <w:pPr>
        <w:jc w:val="both"/>
      </w:pPr>
    </w:p>
    <w:p w:rsidR="007133D7" w:rsidRDefault="007133D7" w:rsidP="007133D7">
      <w:pPr>
        <w:jc w:val="both"/>
      </w:pPr>
      <w:r>
        <w:tab/>
        <w:t xml:space="preserve">ORDERED </w:t>
      </w:r>
      <w:r w:rsidRPr="006D32EC">
        <w:t>that the revised tariffs reflecting the energy conservation cost recovery amounts and establishing energy conservation cost recovery factors determined to be appropriate in this proceeding are approved. Commission staff shall verify that the revised tariffs are consistent with our decision herein.  It is further</w:t>
      </w:r>
    </w:p>
    <w:p w:rsidR="007133D7" w:rsidRDefault="007133D7" w:rsidP="007133D7">
      <w:pPr>
        <w:jc w:val="both"/>
      </w:pPr>
    </w:p>
    <w:p w:rsidR="007133D7" w:rsidRDefault="007133D7" w:rsidP="007133D7">
      <w:pPr>
        <w:jc w:val="both"/>
      </w:pPr>
      <w:r>
        <w:tab/>
        <w:t>ORDERED that w</w:t>
      </w:r>
      <w:r w:rsidRPr="00F731AE">
        <w:t>hile a separate docket number is assigned each year for administrative convenience</w:t>
      </w:r>
      <w:r>
        <w:t>,</w:t>
      </w:r>
      <w:r w:rsidRPr="00F731AE">
        <w:t xml:space="preserve"> th</w:t>
      </w:r>
      <w:r>
        <w:t>e Energy Conservation Cost Recovery Clause</w:t>
      </w:r>
      <w:r w:rsidRPr="00F731AE">
        <w:t xml:space="preserve"> is a continuing docket and sh</w:t>
      </w:r>
      <w:r>
        <w:t>all</w:t>
      </w:r>
      <w:r w:rsidRPr="00F731AE">
        <w:t xml:space="preserve"> remain open</w:t>
      </w:r>
      <w:r>
        <w:t>.</w:t>
      </w:r>
    </w:p>
    <w:p w:rsidR="005F2751" w:rsidRDefault="005F2751"/>
    <w:p w:rsidR="007133D7" w:rsidRDefault="007133D7" w:rsidP="007133D7">
      <w:pPr>
        <w:keepNext/>
        <w:keepLines/>
        <w:jc w:val="both"/>
      </w:pPr>
      <w:r>
        <w:tab/>
        <w:t xml:space="preserve">By ORDER of the Florida Public Service Commission this </w:t>
      </w:r>
      <w:bookmarkStart w:id="6" w:name="replaceDate"/>
      <w:bookmarkEnd w:id="6"/>
      <w:r w:rsidR="00CF0D2A">
        <w:rPr>
          <w:u w:val="single"/>
        </w:rPr>
        <w:t>17th</w:t>
      </w:r>
      <w:r w:rsidR="00CF0D2A">
        <w:t xml:space="preserve"> day of </w:t>
      </w:r>
      <w:r w:rsidR="00CF0D2A">
        <w:rPr>
          <w:u w:val="single"/>
        </w:rPr>
        <w:t>November</w:t>
      </w:r>
      <w:r w:rsidR="00CF0D2A">
        <w:t xml:space="preserve">, </w:t>
      </w:r>
      <w:r w:rsidR="00CF0D2A">
        <w:rPr>
          <w:u w:val="single"/>
        </w:rPr>
        <w:t>2021</w:t>
      </w:r>
      <w:r w:rsidR="00CF0D2A">
        <w:t>.</w:t>
      </w:r>
    </w:p>
    <w:p w:rsidR="00CF0D2A" w:rsidRPr="00CF0D2A" w:rsidRDefault="00CF0D2A" w:rsidP="007133D7">
      <w:pPr>
        <w:keepNext/>
        <w:keepLines/>
        <w:jc w:val="both"/>
      </w:pPr>
    </w:p>
    <w:p w:rsidR="007133D7" w:rsidRDefault="007133D7" w:rsidP="007133D7">
      <w:pPr>
        <w:keepNext/>
        <w:keepLines/>
        <w:jc w:val="both"/>
      </w:pPr>
    </w:p>
    <w:p w:rsidR="007133D7" w:rsidRDefault="007133D7" w:rsidP="007133D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133D7" w:rsidTr="007133D7">
        <w:tc>
          <w:tcPr>
            <w:tcW w:w="720" w:type="dxa"/>
            <w:shd w:val="clear" w:color="auto" w:fill="auto"/>
          </w:tcPr>
          <w:p w:rsidR="007133D7" w:rsidRDefault="007133D7" w:rsidP="007133D7">
            <w:pPr>
              <w:keepNext/>
              <w:keepLines/>
              <w:jc w:val="both"/>
            </w:pPr>
            <w:bookmarkStart w:id="7" w:name="bkmrkSignature" w:colFirst="0" w:colLast="0"/>
          </w:p>
        </w:tc>
        <w:tc>
          <w:tcPr>
            <w:tcW w:w="4320" w:type="dxa"/>
            <w:tcBorders>
              <w:bottom w:val="single" w:sz="4" w:space="0" w:color="auto"/>
            </w:tcBorders>
            <w:shd w:val="clear" w:color="auto" w:fill="auto"/>
          </w:tcPr>
          <w:p w:rsidR="007133D7" w:rsidRDefault="00D055B7" w:rsidP="007133D7">
            <w:pPr>
              <w:keepNext/>
              <w:keepLines/>
              <w:jc w:val="both"/>
            </w:pPr>
            <w:r>
              <w:t>/s/ Adam J. Teitzman</w:t>
            </w:r>
            <w:bookmarkStart w:id="8" w:name="_GoBack"/>
            <w:bookmarkEnd w:id="8"/>
          </w:p>
        </w:tc>
      </w:tr>
      <w:bookmarkEnd w:id="7"/>
      <w:tr w:rsidR="007133D7" w:rsidTr="007133D7">
        <w:tc>
          <w:tcPr>
            <w:tcW w:w="720" w:type="dxa"/>
            <w:shd w:val="clear" w:color="auto" w:fill="auto"/>
          </w:tcPr>
          <w:p w:rsidR="007133D7" w:rsidRDefault="007133D7" w:rsidP="007133D7">
            <w:pPr>
              <w:keepNext/>
              <w:keepLines/>
              <w:jc w:val="both"/>
            </w:pPr>
          </w:p>
        </w:tc>
        <w:tc>
          <w:tcPr>
            <w:tcW w:w="4320" w:type="dxa"/>
            <w:tcBorders>
              <w:top w:val="single" w:sz="4" w:space="0" w:color="auto"/>
            </w:tcBorders>
            <w:shd w:val="clear" w:color="auto" w:fill="auto"/>
          </w:tcPr>
          <w:p w:rsidR="007133D7" w:rsidRDefault="007133D7" w:rsidP="007133D7">
            <w:pPr>
              <w:keepNext/>
              <w:keepLines/>
              <w:jc w:val="both"/>
            </w:pPr>
            <w:r>
              <w:t>ADAM J. TEITZMAN</w:t>
            </w:r>
          </w:p>
          <w:p w:rsidR="007133D7" w:rsidRDefault="007133D7" w:rsidP="007133D7">
            <w:pPr>
              <w:keepNext/>
              <w:keepLines/>
              <w:jc w:val="both"/>
            </w:pPr>
            <w:r>
              <w:t>Commission Clerk</w:t>
            </w:r>
          </w:p>
        </w:tc>
      </w:tr>
    </w:tbl>
    <w:p w:rsidR="007133D7" w:rsidRDefault="007133D7" w:rsidP="007133D7">
      <w:pPr>
        <w:pStyle w:val="OrderSigInfo"/>
        <w:keepNext/>
        <w:keepLines/>
      </w:pPr>
      <w:r>
        <w:t>Florida Public Service Commission</w:t>
      </w:r>
    </w:p>
    <w:p w:rsidR="007133D7" w:rsidRDefault="007133D7" w:rsidP="007133D7">
      <w:pPr>
        <w:pStyle w:val="OrderSigInfo"/>
        <w:keepNext/>
        <w:keepLines/>
      </w:pPr>
      <w:r>
        <w:t>2540 Shumard Oak Boulevard</w:t>
      </w:r>
    </w:p>
    <w:p w:rsidR="007133D7" w:rsidRDefault="007133D7" w:rsidP="007133D7">
      <w:pPr>
        <w:pStyle w:val="OrderSigInfo"/>
        <w:keepNext/>
        <w:keepLines/>
      </w:pPr>
      <w:r>
        <w:t>Tallahassee, Florida 32399</w:t>
      </w:r>
    </w:p>
    <w:p w:rsidR="007133D7" w:rsidRDefault="007133D7" w:rsidP="007133D7">
      <w:pPr>
        <w:pStyle w:val="OrderSigInfo"/>
        <w:keepNext/>
        <w:keepLines/>
      </w:pPr>
      <w:r>
        <w:t>(850) 413</w:t>
      </w:r>
      <w:r>
        <w:noBreakHyphen/>
        <w:t>6770</w:t>
      </w:r>
    </w:p>
    <w:p w:rsidR="007133D7" w:rsidRDefault="007133D7" w:rsidP="007133D7">
      <w:pPr>
        <w:pStyle w:val="OrderSigInfo"/>
        <w:keepNext/>
        <w:keepLines/>
      </w:pPr>
      <w:r>
        <w:t>www.floridapsc.com</w:t>
      </w:r>
    </w:p>
    <w:p w:rsidR="007133D7" w:rsidRDefault="007133D7" w:rsidP="007133D7">
      <w:pPr>
        <w:pStyle w:val="OrderSigInfo"/>
        <w:keepNext/>
        <w:keepLines/>
      </w:pPr>
    </w:p>
    <w:p w:rsidR="007133D7" w:rsidRDefault="007133D7" w:rsidP="007133D7">
      <w:pPr>
        <w:pStyle w:val="OrderSigInfo"/>
        <w:keepNext/>
        <w:keepLines/>
      </w:pPr>
      <w:r>
        <w:t>Copies furnished:  A copy of this document is provided to the parties of record at the time of issuance and, if applicable, interested persons.</w:t>
      </w:r>
    </w:p>
    <w:p w:rsidR="007133D7" w:rsidRDefault="007133D7" w:rsidP="007133D7">
      <w:pPr>
        <w:keepNext/>
        <w:keepLines/>
        <w:jc w:val="both"/>
      </w:pPr>
    </w:p>
    <w:p w:rsidR="007133D7" w:rsidRDefault="007133D7" w:rsidP="007133D7">
      <w:pPr>
        <w:keepNext/>
        <w:keepLines/>
        <w:jc w:val="both"/>
      </w:pPr>
      <w:r>
        <w:t>WLT</w:t>
      </w:r>
    </w:p>
    <w:p w:rsidR="005C2FCF" w:rsidRDefault="005C2FCF" w:rsidP="007133D7">
      <w:pPr>
        <w:keepNext/>
        <w:keepLines/>
        <w:jc w:val="both"/>
      </w:pPr>
    </w:p>
    <w:p w:rsidR="005C2FCF" w:rsidRDefault="005C2FCF" w:rsidP="007133D7">
      <w:pPr>
        <w:keepNext/>
        <w:keepLines/>
        <w:jc w:val="both"/>
      </w:pPr>
    </w:p>
    <w:p w:rsidR="005C2FCF" w:rsidRDefault="005C2FCF" w:rsidP="007133D7">
      <w:pPr>
        <w:keepNext/>
        <w:keepLines/>
        <w:jc w:val="both"/>
      </w:pPr>
    </w:p>
    <w:p w:rsidR="005C2FCF" w:rsidRDefault="005C2FCF" w:rsidP="007133D7">
      <w:pPr>
        <w:keepNext/>
        <w:keepLines/>
        <w:jc w:val="both"/>
      </w:pPr>
    </w:p>
    <w:p w:rsidR="00CF0D2A" w:rsidRDefault="00CF0D2A" w:rsidP="007133D7">
      <w:pPr>
        <w:keepNext/>
        <w:keepLines/>
        <w:jc w:val="both"/>
      </w:pPr>
    </w:p>
    <w:p w:rsidR="00CF0D2A" w:rsidRDefault="00CF0D2A" w:rsidP="007133D7">
      <w:pPr>
        <w:keepNext/>
        <w:keepLines/>
        <w:jc w:val="both"/>
      </w:pPr>
    </w:p>
    <w:p w:rsidR="005C2FCF" w:rsidRDefault="005C2FCF" w:rsidP="007133D7">
      <w:pPr>
        <w:keepNext/>
        <w:keepLines/>
        <w:jc w:val="both"/>
      </w:pPr>
    </w:p>
    <w:p w:rsidR="005C2FCF" w:rsidRDefault="005C2FCF" w:rsidP="007133D7">
      <w:pPr>
        <w:keepNext/>
        <w:keepLines/>
        <w:jc w:val="both"/>
      </w:pPr>
    </w:p>
    <w:p w:rsidR="005C2FCF" w:rsidRDefault="005C2FCF" w:rsidP="007133D7">
      <w:pPr>
        <w:keepNext/>
        <w:keepLines/>
        <w:jc w:val="both"/>
      </w:pPr>
    </w:p>
    <w:p w:rsidR="00A528C0" w:rsidRDefault="00A528C0" w:rsidP="007133D7">
      <w:pPr>
        <w:pStyle w:val="CenterUnderline"/>
      </w:pPr>
    </w:p>
    <w:p w:rsidR="007133D7" w:rsidRDefault="007133D7" w:rsidP="007133D7">
      <w:pPr>
        <w:pStyle w:val="CenterUnderline"/>
      </w:pPr>
      <w:r>
        <w:lastRenderedPageBreak/>
        <w:t>NOTICE OF FURTHER PROCEEDINGS OR JUDICIAL REVIEW</w:t>
      </w:r>
    </w:p>
    <w:p w:rsidR="007133D7" w:rsidRDefault="007133D7" w:rsidP="007133D7">
      <w:pPr>
        <w:pStyle w:val="CenterUnderline"/>
      </w:pPr>
    </w:p>
    <w:p w:rsidR="007133D7" w:rsidRDefault="007133D7" w:rsidP="007133D7">
      <w:pPr>
        <w:pStyle w:val="OrderBody"/>
      </w:pPr>
    </w:p>
    <w:p w:rsidR="007133D7" w:rsidRDefault="007133D7" w:rsidP="007133D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33D7" w:rsidRDefault="007133D7" w:rsidP="007133D7">
      <w:pPr>
        <w:pStyle w:val="OrderBody"/>
      </w:pPr>
    </w:p>
    <w:p w:rsidR="007133D7" w:rsidRPr="007133D7" w:rsidRDefault="007133D7" w:rsidP="007133D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rsidR="007D4DAA" w:rsidRPr="007133D7">
        <w:t xml:space="preserve"> </w:t>
      </w:r>
    </w:p>
    <w:sectPr w:rsidR="007133D7" w:rsidRPr="007133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3D7" w:rsidRDefault="007133D7">
      <w:r>
        <w:separator/>
      </w:r>
    </w:p>
  </w:endnote>
  <w:endnote w:type="continuationSeparator" w:id="0">
    <w:p w:rsidR="007133D7" w:rsidRDefault="0071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3D7" w:rsidRDefault="007133D7">
      <w:r>
        <w:separator/>
      </w:r>
    </w:p>
  </w:footnote>
  <w:footnote w:type="continuationSeparator" w:id="0">
    <w:p w:rsidR="007133D7" w:rsidRDefault="007133D7">
      <w:r>
        <w:continuationSeparator/>
      </w:r>
    </w:p>
  </w:footnote>
  <w:footnote w:id="1">
    <w:p w:rsidR="00383F29" w:rsidRDefault="00383F29">
      <w:pPr>
        <w:pStyle w:val="FootnoteText"/>
      </w:pPr>
      <w:r>
        <w:rPr>
          <w:rStyle w:val="FootnoteReference"/>
        </w:rPr>
        <w:footnoteRef/>
      </w:r>
      <w:r>
        <w:t xml:space="preserve"> </w:t>
      </w:r>
      <w:r w:rsidRPr="0077723D">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2">
    <w:p w:rsidR="00383F29" w:rsidRDefault="00383F29" w:rsidP="00383F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055B7">
      <w:fldChar w:fldCharType="begin"/>
    </w:r>
    <w:r w:rsidR="00D055B7">
      <w:instrText xml:space="preserve"> REF OrderNo0427 </w:instrText>
    </w:r>
    <w:r w:rsidR="00D055B7">
      <w:fldChar w:fldCharType="separate"/>
    </w:r>
    <w:r w:rsidR="00D055B7">
      <w:t>PSC-2021-0427-FOF-EG</w:t>
    </w:r>
    <w:r w:rsidR="00D055B7">
      <w:fldChar w:fldCharType="end"/>
    </w:r>
  </w:p>
  <w:p w:rsidR="00FA6EFD" w:rsidRDefault="007133D7">
    <w:pPr>
      <w:pStyle w:val="OrderHeader"/>
    </w:pPr>
    <w:bookmarkStart w:id="9" w:name="HeaderDocketNo"/>
    <w:bookmarkEnd w:id="9"/>
    <w:r>
      <w:t>DOCKET NO. 20210002-EG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55B7">
      <w:rPr>
        <w:rStyle w:val="PageNumber"/>
        <w:noProof/>
      </w:rPr>
      <w:t>11</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2-EG"/>
  </w:docVars>
  <w:rsids>
    <w:rsidRoot w:val="007133D7"/>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06C93"/>
    <w:rsid w:val="001107B3"/>
    <w:rsid w:val="001114B1"/>
    <w:rsid w:val="001139D8"/>
    <w:rsid w:val="00116AD3"/>
    <w:rsid w:val="00121957"/>
    <w:rsid w:val="0012387E"/>
    <w:rsid w:val="001259EC"/>
    <w:rsid w:val="00126593"/>
    <w:rsid w:val="00134177"/>
    <w:rsid w:val="00136087"/>
    <w:rsid w:val="00142A96"/>
    <w:rsid w:val="001513DE"/>
    <w:rsid w:val="00154A71"/>
    <w:rsid w:val="00161FB5"/>
    <w:rsid w:val="001655D4"/>
    <w:rsid w:val="00165803"/>
    <w:rsid w:val="00187E32"/>
    <w:rsid w:val="0019108B"/>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55783"/>
    <w:rsid w:val="002613E4"/>
    <w:rsid w:val="00262C43"/>
    <w:rsid w:val="0026544B"/>
    <w:rsid w:val="00270F89"/>
    <w:rsid w:val="00275193"/>
    <w:rsid w:val="00276CDC"/>
    <w:rsid w:val="00277655"/>
    <w:rsid w:val="002824B7"/>
    <w:rsid w:val="00282AC4"/>
    <w:rsid w:val="00293DC9"/>
    <w:rsid w:val="00297C37"/>
    <w:rsid w:val="002A02DD"/>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07E5A"/>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3F29"/>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6205"/>
    <w:rsid w:val="003F7445"/>
    <w:rsid w:val="00411DF2"/>
    <w:rsid w:val="00411E8F"/>
    <w:rsid w:val="004247F5"/>
    <w:rsid w:val="0042527B"/>
    <w:rsid w:val="00427EAC"/>
    <w:rsid w:val="004431B4"/>
    <w:rsid w:val="0045537F"/>
    <w:rsid w:val="00457DC7"/>
    <w:rsid w:val="004640B3"/>
    <w:rsid w:val="00472BCC"/>
    <w:rsid w:val="0049640F"/>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4F7E5D"/>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2FCF"/>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33D7"/>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7662"/>
    <w:rsid w:val="007B350E"/>
    <w:rsid w:val="007C0FBC"/>
    <w:rsid w:val="007C29C9"/>
    <w:rsid w:val="007C35B8"/>
    <w:rsid w:val="007C36E3"/>
    <w:rsid w:val="007C3ABB"/>
    <w:rsid w:val="007C7134"/>
    <w:rsid w:val="007D3D20"/>
    <w:rsid w:val="007D44F9"/>
    <w:rsid w:val="007D4DAA"/>
    <w:rsid w:val="007D742E"/>
    <w:rsid w:val="007E3AFD"/>
    <w:rsid w:val="007E684D"/>
    <w:rsid w:val="00801DAD"/>
    <w:rsid w:val="00803189"/>
    <w:rsid w:val="00804E7A"/>
    <w:rsid w:val="00805243"/>
    <w:rsid w:val="00805FBB"/>
    <w:rsid w:val="00814292"/>
    <w:rsid w:val="008169A4"/>
    <w:rsid w:val="008278FE"/>
    <w:rsid w:val="00832598"/>
    <w:rsid w:val="0083397E"/>
    <w:rsid w:val="0083534B"/>
    <w:rsid w:val="00842035"/>
    <w:rsid w:val="00842602"/>
    <w:rsid w:val="008449F0"/>
    <w:rsid w:val="00847B45"/>
    <w:rsid w:val="00852D55"/>
    <w:rsid w:val="00863A66"/>
    <w:rsid w:val="008703D7"/>
    <w:rsid w:val="00874429"/>
    <w:rsid w:val="00875D22"/>
    <w:rsid w:val="00883D9A"/>
    <w:rsid w:val="008919EF"/>
    <w:rsid w:val="00892B20"/>
    <w:rsid w:val="008931BC"/>
    <w:rsid w:val="0089695B"/>
    <w:rsid w:val="00897740"/>
    <w:rsid w:val="008A12EC"/>
    <w:rsid w:val="008B19A6"/>
    <w:rsid w:val="008B4EFB"/>
    <w:rsid w:val="008B5322"/>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499B"/>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1E4C"/>
    <w:rsid w:val="009F6AD2"/>
    <w:rsid w:val="009F7C1B"/>
    <w:rsid w:val="00A00D8D"/>
    <w:rsid w:val="00A01BB6"/>
    <w:rsid w:val="00A22B28"/>
    <w:rsid w:val="00A4303C"/>
    <w:rsid w:val="00A46CAF"/>
    <w:rsid w:val="00A470FD"/>
    <w:rsid w:val="00A50B5E"/>
    <w:rsid w:val="00A528C0"/>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083"/>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5717"/>
    <w:rsid w:val="00BC786E"/>
    <w:rsid w:val="00BD5C92"/>
    <w:rsid w:val="00BE50E6"/>
    <w:rsid w:val="00BE7A0C"/>
    <w:rsid w:val="00BF0438"/>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5F46"/>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0D2A"/>
    <w:rsid w:val="00CF32D2"/>
    <w:rsid w:val="00CF4CFE"/>
    <w:rsid w:val="00D00E8E"/>
    <w:rsid w:val="00D02E0F"/>
    <w:rsid w:val="00D03EE8"/>
    <w:rsid w:val="00D055B7"/>
    <w:rsid w:val="00D13535"/>
    <w:rsid w:val="00D15497"/>
    <w:rsid w:val="00D1654B"/>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1AD"/>
    <w:rsid w:val="00DE057F"/>
    <w:rsid w:val="00DE2082"/>
    <w:rsid w:val="00DE2289"/>
    <w:rsid w:val="00DF09A7"/>
    <w:rsid w:val="00DF2B51"/>
    <w:rsid w:val="00DF3B07"/>
    <w:rsid w:val="00E001D6"/>
    <w:rsid w:val="00E03A76"/>
    <w:rsid w:val="00E04410"/>
    <w:rsid w:val="00E07484"/>
    <w:rsid w:val="00E11351"/>
    <w:rsid w:val="00E1219A"/>
    <w:rsid w:val="00E4225C"/>
    <w:rsid w:val="00E44879"/>
    <w:rsid w:val="00E72914"/>
    <w:rsid w:val="00E730F6"/>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17A8"/>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4B51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383F29"/>
  </w:style>
  <w:style w:type="paragraph" w:customStyle="1" w:styleId="IssueBody">
    <w:name w:val="Issue Body"/>
    <w:basedOn w:val="Normal"/>
    <w:rsid w:val="009F1E4C"/>
    <w:pPr>
      <w:spacing w:after="240"/>
      <w:ind w:left="1440"/>
      <w:jc w:val="both"/>
    </w:pPr>
    <w:rPr>
      <w:szCs w:val="20"/>
    </w:rPr>
  </w:style>
  <w:style w:type="paragraph" w:customStyle="1" w:styleId="QuickA">
    <w:name w:val="Quick A."/>
    <w:rsid w:val="0019108B"/>
    <w:pPr>
      <w:widowControl w:val="0"/>
      <w:ind w:left="-2160"/>
    </w:pPr>
    <w:rPr>
      <w:snapToGrid w:val="0"/>
      <w:sz w:val="24"/>
    </w:rPr>
  </w:style>
  <w:style w:type="paragraph" w:styleId="BalloonText">
    <w:name w:val="Balloon Text"/>
    <w:basedOn w:val="Normal"/>
    <w:link w:val="BalloonTextChar"/>
    <w:semiHidden/>
    <w:unhideWhenUsed/>
    <w:rsid w:val="00852D55"/>
    <w:rPr>
      <w:rFonts w:ascii="Segoe UI" w:hAnsi="Segoe UI" w:cs="Segoe UI"/>
      <w:sz w:val="18"/>
      <w:szCs w:val="18"/>
    </w:rPr>
  </w:style>
  <w:style w:type="character" w:customStyle="1" w:styleId="BalloonTextChar">
    <w:name w:val="Balloon Text Char"/>
    <w:basedOn w:val="DefaultParagraphFont"/>
    <w:link w:val="BalloonText"/>
    <w:semiHidden/>
    <w:rsid w:val="00852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11</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2021-11-16T20:07:00Z</dcterms:created>
  <dcterms:modified xsi:type="dcterms:W3CDTF">2021-11-17T14:40:00Z</dcterms:modified>
</cp:coreProperties>
</file>