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0523" w:rsidP="002F0523">
      <w:pPr>
        <w:pStyle w:val="OrderHeading"/>
      </w:pPr>
      <w:r>
        <w:t>BEFORE THE FLORIDA PUBLIC SERVICE COMMISSION</w:t>
      </w:r>
    </w:p>
    <w:p w:rsidR="002F0523" w:rsidRDefault="002F0523" w:rsidP="002F05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0523" w:rsidRPr="00C63FCF" w:rsidTr="003B4907">
        <w:trPr>
          <w:trHeight w:val="828"/>
        </w:trPr>
        <w:tc>
          <w:tcPr>
            <w:tcW w:w="4788" w:type="dxa"/>
            <w:tcBorders>
              <w:bottom w:val="single" w:sz="8" w:space="0" w:color="auto"/>
              <w:right w:val="double" w:sz="6" w:space="0" w:color="auto"/>
            </w:tcBorders>
            <w:shd w:val="clear" w:color="auto" w:fill="auto"/>
          </w:tcPr>
          <w:p w:rsidR="002F0523" w:rsidRDefault="002F0523" w:rsidP="003B4907">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F0523" w:rsidRDefault="002F0523" w:rsidP="002F0523">
            <w:pPr>
              <w:pStyle w:val="OrderBody"/>
            </w:pPr>
            <w:r>
              <w:t xml:space="preserve">DOCKET NO. </w:t>
            </w:r>
            <w:bookmarkStart w:id="1" w:name="SSDocketNo"/>
            <w:bookmarkEnd w:id="1"/>
            <w:r>
              <w:t>20210001-EI</w:t>
            </w:r>
          </w:p>
          <w:p w:rsidR="002F0523" w:rsidRDefault="002F0523" w:rsidP="003B4907">
            <w:pPr>
              <w:pStyle w:val="OrderBody"/>
              <w:tabs>
                <w:tab w:val="center" w:pos="4320"/>
                <w:tab w:val="right" w:pos="8640"/>
              </w:tabs>
              <w:jc w:val="left"/>
            </w:pPr>
            <w:r>
              <w:t xml:space="preserve">ORDER NO. </w:t>
            </w:r>
            <w:bookmarkStart w:id="2" w:name="OrderNo0442"/>
            <w:r w:rsidR="003B4907">
              <w:t>PSC-2021-0442-FOF-EI</w:t>
            </w:r>
            <w:bookmarkEnd w:id="2"/>
          </w:p>
          <w:p w:rsidR="002F0523" w:rsidRDefault="002F0523" w:rsidP="003B4907">
            <w:pPr>
              <w:pStyle w:val="OrderBody"/>
              <w:tabs>
                <w:tab w:val="center" w:pos="4320"/>
                <w:tab w:val="right" w:pos="8640"/>
              </w:tabs>
              <w:jc w:val="left"/>
            </w:pPr>
            <w:r>
              <w:t xml:space="preserve">ISSUED: </w:t>
            </w:r>
            <w:r w:rsidR="003B4907">
              <w:t>November 30, 2021</w:t>
            </w:r>
          </w:p>
        </w:tc>
      </w:tr>
    </w:tbl>
    <w:p w:rsidR="002F0523" w:rsidRDefault="002F0523" w:rsidP="002F0523"/>
    <w:p w:rsidR="002F0523" w:rsidRDefault="002F0523" w:rsidP="00B67A43">
      <w:pPr>
        <w:ind w:firstLine="720"/>
        <w:jc w:val="both"/>
      </w:pPr>
      <w:bookmarkStart w:id="3" w:name="Commissioners"/>
      <w:bookmarkEnd w:id="3"/>
      <w:r>
        <w:t>The following Commissioners participated in the disposition of this matter:</w:t>
      </w:r>
    </w:p>
    <w:p w:rsidR="002F0523" w:rsidRDefault="002F0523" w:rsidP="00B67A43"/>
    <w:p w:rsidR="002F0523" w:rsidRDefault="002F0523" w:rsidP="00B67A43">
      <w:pPr>
        <w:jc w:val="center"/>
      </w:pPr>
      <w:r>
        <w:t>GARY F. CLARK, Chairman</w:t>
      </w:r>
    </w:p>
    <w:p w:rsidR="002F0523" w:rsidRDefault="002F0523" w:rsidP="00B67A43">
      <w:pPr>
        <w:jc w:val="center"/>
      </w:pPr>
      <w:r>
        <w:t>ART GRAHAM</w:t>
      </w:r>
    </w:p>
    <w:p w:rsidR="002F0523" w:rsidRDefault="002F0523" w:rsidP="00B67A43">
      <w:pPr>
        <w:jc w:val="center"/>
      </w:pPr>
      <w:r>
        <w:t>ANDREW GILES FAY</w:t>
      </w:r>
    </w:p>
    <w:p w:rsidR="002F0523" w:rsidRDefault="002F0523" w:rsidP="00B67A43">
      <w:pPr>
        <w:jc w:val="center"/>
      </w:pPr>
      <w:r>
        <w:t>MIKE LA ROSA</w:t>
      </w:r>
    </w:p>
    <w:p w:rsidR="002F0523" w:rsidRPr="005F2751" w:rsidRDefault="002F0523" w:rsidP="00B67A43">
      <w:pPr>
        <w:jc w:val="center"/>
      </w:pPr>
      <w:r w:rsidRPr="005F2751">
        <w:rPr>
          <w:lang w:val="en"/>
        </w:rPr>
        <w:t>GABRIELLA PASSIDOMO</w:t>
      </w:r>
    </w:p>
    <w:p w:rsidR="00CB5276" w:rsidRDefault="00CB5276">
      <w:pPr>
        <w:pStyle w:val="OrderBody"/>
      </w:pPr>
    </w:p>
    <w:p w:rsidR="002F0523" w:rsidRDefault="002F0523" w:rsidP="002F0523">
      <w:pPr>
        <w:pStyle w:val="CenterUnderline"/>
      </w:pPr>
      <w:bookmarkStart w:id="4" w:name="OrderTitle"/>
      <w:r>
        <w:t>FINAL ORDER APPROVING EXPENDITURES AND TRUE-UP AMOUNTS FOR FUEL ADJUSTMENT FACTORS; GPIF TARGETS, RANGES, AND REWARDS; AND</w:t>
      </w:r>
    </w:p>
    <w:p w:rsidR="002F0523" w:rsidRDefault="002F0523" w:rsidP="002F0523">
      <w:pPr>
        <w:pStyle w:val="CenterUnderline"/>
      </w:pPr>
      <w:r>
        <w:t>PROJECTED EXPENDITURES AND TRUE-UP AMOUNTS FOR CAPACITY COST</w:t>
      </w:r>
    </w:p>
    <w:p w:rsidR="002F0523" w:rsidRDefault="002F0523" w:rsidP="002F0523">
      <w:pPr>
        <w:pStyle w:val="CenterUnderline"/>
      </w:pPr>
      <w:r>
        <w:t xml:space="preserve">RECOVERY FACTORS </w:t>
      </w:r>
      <w:bookmarkEnd w:id="4"/>
    </w:p>
    <w:p w:rsidR="002F0523" w:rsidRDefault="002F0523" w:rsidP="002F0523">
      <w:pPr>
        <w:pStyle w:val="CenterUnderline"/>
      </w:pPr>
      <w:bookmarkStart w:id="5" w:name="OrderText"/>
      <w:bookmarkEnd w:id="5"/>
      <w:r>
        <w:t xml:space="preserve"> </w:t>
      </w:r>
    </w:p>
    <w:p w:rsidR="002F0523" w:rsidRPr="0004473B" w:rsidRDefault="002F0523" w:rsidP="002F0523">
      <w:pPr>
        <w:pStyle w:val="CenterUnderline"/>
        <w:jc w:val="both"/>
        <w:rPr>
          <w:u w:val="none"/>
        </w:rPr>
      </w:pPr>
      <w:r w:rsidRPr="0004473B">
        <w:rPr>
          <w:u w:val="none"/>
        </w:rPr>
        <w:t>APPEARANCES:</w:t>
      </w:r>
    </w:p>
    <w:p w:rsidR="002F0523" w:rsidRDefault="002F0523" w:rsidP="002F0523">
      <w:pPr>
        <w:pStyle w:val="CenterUnderline"/>
        <w:jc w:val="both"/>
      </w:pPr>
    </w:p>
    <w:p w:rsidR="002F0523" w:rsidRDefault="002F0523" w:rsidP="002F0523">
      <w:pPr>
        <w:ind w:left="1440"/>
        <w:jc w:val="both"/>
      </w:pPr>
      <w:r w:rsidRPr="00503582">
        <w:t>MATTHEW BERNIER</w:t>
      </w:r>
      <w:r w:rsidR="00087327">
        <w:t xml:space="preserve"> and STEPHANIE CUELLO,</w:t>
      </w:r>
      <w:r w:rsidRPr="00503582">
        <w:t xml:space="preserve"> </w:t>
      </w:r>
      <w:r>
        <w:t>ESQUIRE</w:t>
      </w:r>
      <w:r w:rsidR="00087327">
        <w:t>S</w:t>
      </w:r>
      <w:r>
        <w:t xml:space="preserv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2F0523" w:rsidRPr="00087327" w:rsidRDefault="002F0523" w:rsidP="002F0523">
      <w:pPr>
        <w:ind w:left="720" w:firstLine="720"/>
        <w:jc w:val="both"/>
      </w:pPr>
      <w:r w:rsidRPr="00503582">
        <w:rPr>
          <w:u w:val="single"/>
        </w:rPr>
        <w:t>On beh</w:t>
      </w:r>
      <w:r>
        <w:rPr>
          <w:u w:val="single"/>
        </w:rPr>
        <w:t>alf of Duke Energy Florida, LLC</w:t>
      </w:r>
      <w:r w:rsidRPr="00503582">
        <w:rPr>
          <w:u w:val="single"/>
        </w:rPr>
        <w:t xml:space="preserve"> (DEF)</w:t>
      </w:r>
      <w:r w:rsidR="00087327">
        <w:t>.</w:t>
      </w:r>
    </w:p>
    <w:p w:rsidR="002F0523" w:rsidRDefault="002F0523" w:rsidP="002F0523">
      <w:pPr>
        <w:jc w:val="both"/>
        <w:rPr>
          <w:caps/>
        </w:rPr>
      </w:pPr>
    </w:p>
    <w:p w:rsidR="002F0523" w:rsidRPr="00503582" w:rsidRDefault="002F0523" w:rsidP="002F0523">
      <w:pPr>
        <w:ind w:left="1440"/>
        <w:jc w:val="both"/>
      </w:pPr>
      <w:r w:rsidRPr="00503582">
        <w:t>MARIA J. MONCADA</w:t>
      </w:r>
      <w:r>
        <w:t xml:space="preserve">, WADE R. LITCHFIELD, </w:t>
      </w:r>
      <w:r w:rsidR="00087327">
        <w:t xml:space="preserve">RUSSELL A. BADDERS </w:t>
      </w:r>
      <w:r>
        <w:t xml:space="preserve">and DAVID M. LEE, </w:t>
      </w:r>
      <w:r w:rsidRPr="00503582">
        <w:t>ESQUIRE</w:t>
      </w:r>
      <w:r>
        <w:t>S</w:t>
      </w:r>
      <w:r w:rsidRPr="00503582">
        <w:t>, Florida Power &amp; Light Company, 700 Universe Boulevard, Juno Beach, Florida 33408-0420</w:t>
      </w:r>
    </w:p>
    <w:p w:rsidR="002801B4" w:rsidRDefault="002F0523" w:rsidP="002F0523">
      <w:pPr>
        <w:ind w:left="1440"/>
        <w:jc w:val="both"/>
      </w:pPr>
      <w:r w:rsidRPr="00503582">
        <w:rPr>
          <w:u w:val="single"/>
        </w:rPr>
        <w:t>On behalf of Florida Power &amp; Light Company</w:t>
      </w:r>
      <w:r w:rsidR="002801B4">
        <w:rPr>
          <w:u w:val="single"/>
        </w:rPr>
        <w:t xml:space="preserve"> (FPL) and</w:t>
      </w:r>
      <w:r w:rsidRPr="00503582">
        <w:rPr>
          <w:u w:val="single"/>
        </w:rPr>
        <w:t xml:space="preserve"> </w:t>
      </w:r>
      <w:r w:rsidR="00087327">
        <w:rPr>
          <w:u w:val="single"/>
        </w:rPr>
        <w:t>Gulf Power Company (Gulf)</w:t>
      </w:r>
      <w:r w:rsidR="00087327">
        <w:t>.</w:t>
      </w:r>
    </w:p>
    <w:p w:rsidR="002801B4" w:rsidRDefault="002801B4" w:rsidP="002F0523">
      <w:pPr>
        <w:ind w:left="1440"/>
        <w:jc w:val="both"/>
      </w:pPr>
    </w:p>
    <w:p w:rsidR="002F0523" w:rsidRPr="00503582" w:rsidRDefault="002F0523" w:rsidP="002F0523">
      <w:pPr>
        <w:ind w:left="1440"/>
        <w:jc w:val="both"/>
      </w:pPr>
      <w:r w:rsidRPr="00503582">
        <w:t>BETH KEATING, ESQUIRE, Gunster, Yoakley &amp; Stewart, P.A., 215 South Monroe St., Suite 601, Tallahassee, Florida 32301</w:t>
      </w:r>
    </w:p>
    <w:p w:rsidR="002F0523" w:rsidRPr="00087327" w:rsidRDefault="002F0523" w:rsidP="002F0523">
      <w:pPr>
        <w:jc w:val="both"/>
      </w:pPr>
      <w:r w:rsidRPr="00503582">
        <w:tab/>
      </w:r>
      <w:r w:rsidRPr="00503582">
        <w:tab/>
      </w:r>
      <w:r w:rsidRPr="00503582">
        <w:rPr>
          <w:u w:val="single"/>
        </w:rPr>
        <w:t>On behalf of Florida Public Utilities Company (FPUC)</w:t>
      </w:r>
      <w:r w:rsidR="00087327">
        <w:t>.</w:t>
      </w:r>
    </w:p>
    <w:p w:rsidR="002F0523" w:rsidRPr="00503582" w:rsidRDefault="002F0523" w:rsidP="002F0523">
      <w:pPr>
        <w:jc w:val="both"/>
      </w:pPr>
    </w:p>
    <w:p w:rsidR="002F0523" w:rsidRPr="00503582" w:rsidRDefault="002F0523" w:rsidP="002F0523">
      <w:pPr>
        <w:ind w:left="1440" w:hanging="1440"/>
        <w:jc w:val="both"/>
        <w:rPr>
          <w:rFonts w:cs="Arial"/>
          <w:spacing w:val="-3"/>
        </w:rPr>
      </w:pPr>
      <w:r w:rsidRPr="00503582">
        <w:tab/>
      </w:r>
      <w:r w:rsidRPr="00503582">
        <w:rPr>
          <w:rFonts w:cs="Arial"/>
          <w:spacing w:val="-3"/>
        </w:rPr>
        <w:t>JAMES D. BEASLEY</w:t>
      </w:r>
      <w:r>
        <w:rPr>
          <w:rFonts w:cs="Arial"/>
          <w:spacing w:val="-3"/>
        </w:rPr>
        <w:t>,</w:t>
      </w:r>
      <w:r>
        <w:t xml:space="preserve"> MALCOLM N. MEANS,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 </w:t>
      </w:r>
      <w:r w:rsidRPr="00503582">
        <w:rPr>
          <w:rFonts w:cs="Arial"/>
          <w:spacing w:val="-3"/>
        </w:rPr>
        <w:t>ESQUIRES, Ausley McMullen, Post Office Box 391, Tallahassee, Florida 32302</w:t>
      </w:r>
    </w:p>
    <w:p w:rsidR="002F0523" w:rsidRPr="00087327" w:rsidRDefault="002F0523" w:rsidP="002F0523">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r w:rsidR="00087327">
        <w:rPr>
          <w:rFonts w:cs="Arial"/>
          <w:spacing w:val="-3"/>
        </w:rPr>
        <w:t>.</w:t>
      </w:r>
    </w:p>
    <w:p w:rsidR="002F0523" w:rsidRPr="00503582" w:rsidRDefault="002F0523" w:rsidP="002F0523">
      <w:pPr>
        <w:ind w:left="1440" w:hanging="1440"/>
        <w:jc w:val="both"/>
        <w:rPr>
          <w:rFonts w:cs="Arial"/>
          <w:spacing w:val="-3"/>
        </w:rPr>
      </w:pPr>
    </w:p>
    <w:p w:rsidR="002F0523" w:rsidRPr="00503582" w:rsidRDefault="002F0523" w:rsidP="002F0523">
      <w:pPr>
        <w:ind w:left="1440" w:hanging="1440"/>
        <w:jc w:val="both"/>
      </w:pPr>
      <w:r>
        <w:rPr>
          <w:rFonts w:cs="Arial"/>
          <w:spacing w:val="-3"/>
        </w:rPr>
        <w:tab/>
      </w:r>
      <w:r w:rsidRPr="00503582">
        <w:rPr>
          <w:rFonts w:cs="Arial"/>
          <w:spacing w:val="-3"/>
        </w:rPr>
        <w:t>R</w:t>
      </w:r>
      <w:r w:rsidR="00087327">
        <w:rPr>
          <w:rFonts w:cs="Arial"/>
          <w:spacing w:val="-3"/>
        </w:rPr>
        <w:t xml:space="preserve">ICHARD GENTRY, </w:t>
      </w:r>
      <w:r>
        <w:rPr>
          <w:rFonts w:cs="Arial"/>
          <w:spacing w:val="-3"/>
        </w:rPr>
        <w:t>PUBLIC COUNSEL;</w:t>
      </w:r>
      <w:r w:rsidR="00087327">
        <w:rPr>
          <w:rFonts w:cs="Arial"/>
          <w:spacing w:val="-3"/>
        </w:rPr>
        <w:t xml:space="preserve"> </w:t>
      </w:r>
      <w:r w:rsidRPr="00503582">
        <w:t>CHARLES REHWINKEL</w:t>
      </w:r>
      <w:r>
        <w:t xml:space="preserve">, DEPUTY PUBLIC COUNSEL; </w:t>
      </w:r>
      <w:r w:rsidRPr="004A6555">
        <w:t>PATRICIA A. CHRISTENSEN</w:t>
      </w:r>
      <w:r>
        <w:t>,</w:t>
      </w:r>
      <w:r w:rsidRPr="00F67112">
        <w:t xml:space="preserve"> </w:t>
      </w:r>
      <w:r>
        <w:t xml:space="preserve">STEPHANIE </w:t>
      </w:r>
      <w:r w:rsidR="00087327">
        <w:t xml:space="preserve">A. </w:t>
      </w:r>
      <w:r>
        <w:t xml:space="preserve">MORSE, </w:t>
      </w:r>
      <w:r w:rsidR="00087327">
        <w:t xml:space="preserve">MARY WESSLING and ANASTACIA PIRRELLO, </w:t>
      </w:r>
      <w:r w:rsidRPr="00503582">
        <w:t>ESQUIRES, Office of Public Counsel, c/o The Florida Legislature, 111 West Madison Street, Room 812, Tallahassee, Florida 32399-1400</w:t>
      </w:r>
    </w:p>
    <w:p w:rsidR="002F0523" w:rsidRPr="00087327" w:rsidRDefault="002F0523" w:rsidP="002F0523">
      <w:pPr>
        <w:ind w:left="1440" w:hanging="1440"/>
        <w:jc w:val="both"/>
      </w:pPr>
      <w:r w:rsidRPr="00503582">
        <w:tab/>
      </w:r>
      <w:r w:rsidRPr="00503582">
        <w:rPr>
          <w:u w:val="single"/>
        </w:rPr>
        <w:t>On behalf of the Citizens of the State of Florida (OPC)</w:t>
      </w:r>
      <w:r w:rsidR="00087327">
        <w:t>.</w:t>
      </w:r>
    </w:p>
    <w:p w:rsidR="002F0523" w:rsidRPr="00503582" w:rsidRDefault="002F0523" w:rsidP="002F0523">
      <w:pPr>
        <w:jc w:val="both"/>
      </w:pPr>
    </w:p>
    <w:p w:rsidR="002F0523" w:rsidRPr="00503582" w:rsidRDefault="002F0523" w:rsidP="002F0523">
      <w:pPr>
        <w:ind w:left="1440" w:hanging="1440"/>
        <w:jc w:val="both"/>
        <w:rPr>
          <w:bCs/>
        </w:rPr>
      </w:pPr>
      <w:r w:rsidRPr="00503582">
        <w:rPr>
          <w:rFonts w:cs="Arial"/>
          <w:spacing w:val="-3"/>
        </w:rPr>
        <w:tab/>
      </w:r>
      <w:r w:rsidRPr="00503582">
        <w:rPr>
          <w:bCs/>
        </w:rPr>
        <w:t xml:space="preserve">JON C. MOYLE, JR. and KAREN </w:t>
      </w:r>
      <w:r>
        <w:rPr>
          <w:bCs/>
        </w:rPr>
        <w:t xml:space="preserve">A. </w:t>
      </w:r>
      <w:r w:rsidRPr="00503582">
        <w:rPr>
          <w:bCs/>
        </w:rPr>
        <w:t>PUTNAL, ESQUIRES, Moyle Law Firm, PA, The Perkins House, 118 North Gadsden Street, Tallahassee, Florida 32301</w:t>
      </w:r>
    </w:p>
    <w:p w:rsidR="002F0523" w:rsidRPr="00087327" w:rsidRDefault="002F0523" w:rsidP="002F0523">
      <w:pPr>
        <w:ind w:left="1440" w:hanging="1440"/>
        <w:jc w:val="both"/>
      </w:pPr>
      <w:r w:rsidRPr="00503582">
        <w:rPr>
          <w:bCs/>
        </w:rPr>
        <w:tab/>
      </w:r>
      <w:r w:rsidRPr="00503582">
        <w:rPr>
          <w:bCs/>
          <w:u w:val="single"/>
        </w:rPr>
        <w:t>On behalf of the Florida Industrial Power Users Group (FIPUG)</w:t>
      </w:r>
      <w:r w:rsidR="00087327">
        <w:rPr>
          <w:bCs/>
        </w:rPr>
        <w:t>.</w:t>
      </w:r>
    </w:p>
    <w:p w:rsidR="002F0523" w:rsidRPr="00503582" w:rsidRDefault="002F0523" w:rsidP="002F0523">
      <w:pPr>
        <w:jc w:val="both"/>
      </w:pPr>
    </w:p>
    <w:p w:rsidR="00087327" w:rsidRDefault="002F0523" w:rsidP="002F0523">
      <w:pPr>
        <w:ind w:left="1440" w:hanging="1440"/>
        <w:jc w:val="both"/>
      </w:pPr>
      <w:r w:rsidRPr="00503582">
        <w:tab/>
      </w:r>
      <w:r w:rsidR="00087327">
        <w:t>ROBERT SCHEFFEL WRIGHT, JOHN T. LAVIA, III, and TIMOTHY H. PERRY, ESQUIRES, Gardner, Bist, Bowden, Dee, LaVia, Wr</w:t>
      </w:r>
      <w:r w:rsidR="0080045D">
        <w:t>i</w:t>
      </w:r>
      <w:r w:rsidR="00087327">
        <w:t xml:space="preserve">ght, Perry &amp; Harper, PA, 1300 Thomaswood  Drive, Tallahassee, Florida </w:t>
      </w:r>
      <w:r w:rsidR="0080045D">
        <w:t>32308</w:t>
      </w:r>
    </w:p>
    <w:p w:rsidR="0080045D" w:rsidRPr="0080045D" w:rsidRDefault="0080045D" w:rsidP="002F0523">
      <w:pPr>
        <w:ind w:left="1440" w:hanging="1440"/>
        <w:jc w:val="both"/>
      </w:pPr>
      <w:r>
        <w:tab/>
      </w:r>
      <w:r>
        <w:rPr>
          <w:u w:val="single"/>
        </w:rPr>
        <w:t>On behalf of the Florida Retail Federation</w:t>
      </w:r>
      <w:r w:rsidR="00127136">
        <w:rPr>
          <w:u w:val="single"/>
        </w:rPr>
        <w:t xml:space="preserve"> (FRF)</w:t>
      </w:r>
      <w:r>
        <w:t>.</w:t>
      </w:r>
    </w:p>
    <w:p w:rsidR="00087327" w:rsidRDefault="00087327" w:rsidP="002F0523">
      <w:pPr>
        <w:ind w:left="1440" w:hanging="1440"/>
        <w:jc w:val="both"/>
      </w:pPr>
    </w:p>
    <w:p w:rsidR="002F0523" w:rsidRPr="00503582" w:rsidRDefault="00087327" w:rsidP="002F0523">
      <w:pPr>
        <w:ind w:left="1440" w:hanging="1440"/>
        <w:jc w:val="both"/>
      </w:pPr>
      <w:r>
        <w:tab/>
      </w:r>
      <w:r w:rsidR="002F0523" w:rsidRPr="00503582">
        <w:t>JAMES W. BREW</w:t>
      </w:r>
      <w:r w:rsidR="002F0523" w:rsidRPr="00503582">
        <w:rPr>
          <w:caps/>
        </w:rPr>
        <w:t xml:space="preserve"> </w:t>
      </w:r>
      <w:r w:rsidR="002F0523" w:rsidRPr="00503582">
        <w:t xml:space="preserve">and LAURA </w:t>
      </w:r>
      <w:r w:rsidR="002F0523">
        <w:t>WYNN</w:t>
      </w:r>
      <w:r w:rsidR="002F0523" w:rsidRPr="00503582">
        <w:t xml:space="preserve"> </w:t>
      </w:r>
      <w:r w:rsidR="002F0523">
        <w:t>BAKER</w:t>
      </w:r>
      <w:r w:rsidR="002F0523" w:rsidRPr="00503582">
        <w:t>, ESQUIRES, Stone</w:t>
      </w:r>
      <w:r w:rsidR="0080045D">
        <w:t>,</w:t>
      </w:r>
      <w:r w:rsidR="002F0523" w:rsidRPr="00503582">
        <w:t xml:space="preserve"> Mattheis</w:t>
      </w:r>
      <w:r w:rsidR="0080045D">
        <w:t>,</w:t>
      </w:r>
      <w:r w:rsidR="002F0523" w:rsidRPr="00503582">
        <w:t xml:space="preserve"> Xenopoulos &amp; Brew, PC, 1025 Thomas Jefferson St., NW, Eighth Floor, West Tower, Washington, DC 20007</w:t>
      </w:r>
    </w:p>
    <w:p w:rsidR="002F0523" w:rsidRPr="0080045D" w:rsidRDefault="002F0523" w:rsidP="002F0523">
      <w:pPr>
        <w:ind w:left="1440" w:hanging="1440"/>
        <w:jc w:val="both"/>
      </w:pPr>
      <w:r w:rsidRPr="00503582">
        <w:tab/>
      </w:r>
      <w:r w:rsidRPr="00503582">
        <w:rPr>
          <w:u w:val="single"/>
        </w:rPr>
        <w:t>On behalf of White Springs Agricultural Chemicals, Inc. d/b/a PCS Phosphate – White Springs (PCS Phosphate)</w:t>
      </w:r>
      <w:r w:rsidR="0080045D">
        <w:t>.</w:t>
      </w:r>
    </w:p>
    <w:p w:rsidR="002F0523" w:rsidRDefault="002F0523" w:rsidP="002F0523">
      <w:pPr>
        <w:jc w:val="both"/>
      </w:pPr>
      <w:r w:rsidRPr="00503582">
        <w:tab/>
      </w:r>
      <w:r w:rsidRPr="00503582">
        <w:tab/>
      </w:r>
    </w:p>
    <w:p w:rsidR="0080045D" w:rsidRPr="00503582" w:rsidRDefault="0080045D" w:rsidP="0080045D">
      <w:pPr>
        <w:ind w:left="1440" w:hanging="1440"/>
        <w:jc w:val="both"/>
      </w:pPr>
      <w:r>
        <w:tab/>
        <w:t xml:space="preserve">PETER J. MATTHEIS and MICHAEL K. LAVANGA, ESQUIRES, </w:t>
      </w:r>
      <w:r w:rsidRPr="00503582">
        <w:t>Stone</w:t>
      </w:r>
      <w:r>
        <w:t>,</w:t>
      </w:r>
      <w:r w:rsidRPr="00503582">
        <w:t xml:space="preserve"> Mattheis</w:t>
      </w:r>
      <w:r>
        <w:t>,</w:t>
      </w:r>
      <w:r w:rsidRPr="00503582">
        <w:t xml:space="preserve"> Xenopoulos &amp; Brew, PC, 1025 Thomas Jefferson St., NW, Eighth Floor, West Tower, Washington, DC 20007</w:t>
      </w:r>
    </w:p>
    <w:p w:rsidR="0080045D" w:rsidRPr="0080045D" w:rsidRDefault="0080045D" w:rsidP="002F0523">
      <w:pPr>
        <w:jc w:val="both"/>
        <w:rPr>
          <w:u w:val="single"/>
        </w:rPr>
      </w:pPr>
      <w:r>
        <w:tab/>
      </w:r>
      <w:r>
        <w:tab/>
      </w:r>
      <w:r>
        <w:rPr>
          <w:u w:val="single"/>
        </w:rPr>
        <w:t>On behalf of Nucor Steel Florida, Inc. (Nucor)</w:t>
      </w:r>
      <w:r>
        <w:t>.</w:t>
      </w:r>
      <w:r>
        <w:rPr>
          <w:u w:val="single"/>
        </w:rPr>
        <w:t xml:space="preserve"> </w:t>
      </w:r>
    </w:p>
    <w:p w:rsidR="0080045D" w:rsidRPr="00503582" w:rsidRDefault="0080045D" w:rsidP="002F0523">
      <w:pPr>
        <w:jc w:val="both"/>
      </w:pPr>
    </w:p>
    <w:p w:rsidR="002F0523" w:rsidRPr="00503582" w:rsidRDefault="002F0523" w:rsidP="002F0523">
      <w:pPr>
        <w:ind w:left="1440"/>
        <w:jc w:val="both"/>
      </w:pPr>
      <w:r w:rsidRPr="00503582">
        <w:t>SUZANNE BROWNLESS</w:t>
      </w:r>
      <w:r w:rsidR="0080045D">
        <w:t xml:space="preserve"> and STEFANIE JO OSBORN</w:t>
      </w:r>
      <w:r w:rsidRPr="00503582">
        <w:t>, ESQUIRE</w:t>
      </w:r>
      <w:r w:rsidR="0080045D">
        <w:t>S</w:t>
      </w:r>
      <w:r w:rsidRPr="00503582">
        <w:t>, Florida Public Service Commission, 2540 Shumard Oak Boulevard, Tallahassee, Florida 32399-0850</w:t>
      </w:r>
    </w:p>
    <w:p w:rsidR="002F0523" w:rsidRPr="0080045D" w:rsidRDefault="002F0523" w:rsidP="002F0523">
      <w:pPr>
        <w:ind w:left="720" w:firstLine="720"/>
        <w:jc w:val="both"/>
      </w:pPr>
      <w:r w:rsidRPr="00503582">
        <w:rPr>
          <w:u w:val="single"/>
        </w:rPr>
        <w:t>On behalf of the Florida Public Service Commission (Staff)</w:t>
      </w:r>
      <w:r w:rsidR="0080045D">
        <w:t>.</w:t>
      </w:r>
    </w:p>
    <w:p w:rsidR="002F0523" w:rsidRPr="00701945" w:rsidRDefault="002F0523" w:rsidP="002F0523">
      <w:pPr>
        <w:jc w:val="center"/>
        <w:rPr>
          <w:b/>
          <w:bCs/>
          <w:u w:val="single"/>
        </w:rPr>
      </w:pPr>
    </w:p>
    <w:p w:rsidR="002F0523" w:rsidRPr="00701945" w:rsidRDefault="002F0523" w:rsidP="002F0523">
      <w:pPr>
        <w:ind w:left="1440"/>
        <w:jc w:val="both"/>
      </w:pPr>
      <w:r>
        <w:t xml:space="preserve">MARY ANNE HELTON, ESQUIRE, Deputy General Counsel, </w:t>
      </w:r>
      <w:r w:rsidRPr="00701945">
        <w:t>Florida Public Service Commission, 2540 Shumard Oak Boulevard, Tallahassee, Florida 32399-0850</w:t>
      </w:r>
    </w:p>
    <w:p w:rsidR="002F0523" w:rsidRPr="0080045D" w:rsidRDefault="002F0523" w:rsidP="002F0523">
      <w:pPr>
        <w:ind w:left="720" w:firstLine="720"/>
        <w:jc w:val="both"/>
      </w:pPr>
      <w:r>
        <w:rPr>
          <w:u w:val="single"/>
        </w:rPr>
        <w:t>Advisor to the</w:t>
      </w:r>
      <w:r w:rsidRPr="00701945">
        <w:rPr>
          <w:u w:val="single"/>
        </w:rPr>
        <w:t xml:space="preserve"> Florida Public Service Commission</w:t>
      </w:r>
      <w:r w:rsidR="0080045D">
        <w:t>.</w:t>
      </w:r>
    </w:p>
    <w:p w:rsidR="002F0523" w:rsidRDefault="002F0523" w:rsidP="002F0523">
      <w:pPr>
        <w:ind w:left="1440"/>
        <w:jc w:val="both"/>
        <w:rPr>
          <w:caps/>
        </w:rPr>
      </w:pPr>
    </w:p>
    <w:p w:rsidR="002F0523" w:rsidRPr="00503582" w:rsidRDefault="002F0523" w:rsidP="002F0523">
      <w:pPr>
        <w:ind w:left="1440"/>
        <w:jc w:val="both"/>
      </w:pPr>
      <w:r w:rsidRPr="00503582">
        <w:rPr>
          <w:caps/>
        </w:rPr>
        <w:t>Keith hetrick</w:t>
      </w:r>
      <w:r w:rsidRPr="00503582">
        <w:t>, ESQUIRE, General Counsel, Florida Public Service Commission, 2540 Shumard Oak Boulevard, Tallahassee, Florida 32399-0850</w:t>
      </w:r>
    </w:p>
    <w:p w:rsidR="002F0523" w:rsidRPr="0080045D" w:rsidRDefault="002F0523" w:rsidP="002F0523">
      <w:pPr>
        <w:pStyle w:val="CenterUnderline"/>
        <w:jc w:val="both"/>
        <w:rPr>
          <w:u w:val="none"/>
        </w:rPr>
      </w:pPr>
      <w:r>
        <w:rPr>
          <w:u w:val="none"/>
        </w:rPr>
        <w:tab/>
      </w:r>
      <w:r>
        <w:rPr>
          <w:u w:val="none"/>
        </w:rPr>
        <w:tab/>
      </w:r>
      <w:r w:rsidRPr="00503582">
        <w:t>Florida Public Service Commission General Counsel</w:t>
      </w:r>
      <w:r w:rsidR="0080045D">
        <w:rPr>
          <w:u w:val="none"/>
        </w:rPr>
        <w:t>.</w:t>
      </w:r>
    </w:p>
    <w:p w:rsidR="002F0523" w:rsidRDefault="002F0523" w:rsidP="002F0523"/>
    <w:p w:rsidR="002F0523" w:rsidRDefault="002F0523" w:rsidP="002F0523">
      <w:r>
        <w:t>BY THE COMMISSION</w:t>
      </w:r>
    </w:p>
    <w:p w:rsidR="002F0523" w:rsidRDefault="002F0523" w:rsidP="002F0523"/>
    <w:p w:rsidR="002F0523" w:rsidRDefault="002F0523" w:rsidP="002F0523">
      <w:pPr>
        <w:pStyle w:val="BodyText"/>
        <w:jc w:val="both"/>
      </w:pPr>
      <w:r>
        <w:tab/>
      </w:r>
      <w:r w:rsidRPr="00B168D3">
        <w:t>As p</w:t>
      </w:r>
      <w:r>
        <w:rPr>
          <w:sz w:val="23"/>
          <w:szCs w:val="23"/>
        </w:rPr>
        <w:t xml:space="preserve">art of the continuing fuel and purchased power adjustment and generating performance incentive clause proceedings, an administrative hearing was held on </w:t>
      </w:r>
      <w:r w:rsidR="002801B4">
        <w:rPr>
          <w:sz w:val="23"/>
          <w:szCs w:val="23"/>
        </w:rPr>
        <w:t>November 2, 2021</w:t>
      </w:r>
      <w:r>
        <w:rPr>
          <w:sz w:val="23"/>
          <w:szCs w:val="23"/>
        </w:rPr>
        <w:t xml:space="preserve">, in this docket.   </w:t>
      </w:r>
      <w:r w:rsidRPr="00337073">
        <w:rPr>
          <w:sz w:val="23"/>
          <w:szCs w:val="23"/>
        </w:rPr>
        <w:t>We have</w:t>
      </w:r>
      <w:r w:rsidRPr="00337073">
        <w:t xml:space="preserve"> jurisdiction over this subject matter pursuant to the provisions of Chapter 366, Florida Statutes (F.S.), including Sections 366.04, 366.05, and 366.06, F.S.</w:t>
      </w:r>
    </w:p>
    <w:p w:rsidR="006811AF" w:rsidRDefault="002F0523" w:rsidP="00E67A84">
      <w:pPr>
        <w:jc w:val="both"/>
      </w:pPr>
      <w:r>
        <w:tab/>
        <w:t>At the hearing, we voted to approve all stipulated issues for F</w:t>
      </w:r>
      <w:r w:rsidR="00127136">
        <w:t xml:space="preserve">lorida </w:t>
      </w:r>
      <w:r>
        <w:t>P</w:t>
      </w:r>
      <w:r w:rsidR="00127136">
        <w:t>ower &amp; Light Company (FPL)</w:t>
      </w:r>
      <w:r>
        <w:t>, F</w:t>
      </w:r>
      <w:r w:rsidR="00127136">
        <w:t xml:space="preserve">lorida </w:t>
      </w:r>
      <w:r>
        <w:t>P</w:t>
      </w:r>
      <w:r w:rsidR="00127136">
        <w:t xml:space="preserve">ublic </w:t>
      </w:r>
      <w:r>
        <w:t>U</w:t>
      </w:r>
      <w:r w:rsidR="00127136">
        <w:t xml:space="preserve">tility </w:t>
      </w:r>
      <w:r>
        <w:t>C</w:t>
      </w:r>
      <w:r w:rsidR="00127136">
        <w:t>ompany (FPUC)</w:t>
      </w:r>
      <w:r>
        <w:t>, Gulf</w:t>
      </w:r>
      <w:r w:rsidR="00127136">
        <w:t xml:space="preserve"> Power Company (Gulf)</w:t>
      </w:r>
      <w:r>
        <w:t xml:space="preserve"> and T</w:t>
      </w:r>
      <w:r w:rsidR="00127136">
        <w:t xml:space="preserve">ampa </w:t>
      </w:r>
      <w:r>
        <w:t>E</w:t>
      </w:r>
      <w:r w:rsidR="00127136">
        <w:t xml:space="preserve">lectric </w:t>
      </w:r>
      <w:r>
        <w:t>C</w:t>
      </w:r>
      <w:r w:rsidR="00127136">
        <w:t>ompany</w:t>
      </w:r>
      <w:r>
        <w:t xml:space="preserve"> </w:t>
      </w:r>
      <w:r w:rsidR="00127136">
        <w:t xml:space="preserve">(TECO) </w:t>
      </w:r>
      <w:r>
        <w:t xml:space="preserve">as set forth in Attachment A.  As a result of our bench decisions on these issues, we have approved all issues associated with </w:t>
      </w:r>
      <w:r w:rsidR="00232746">
        <w:t xml:space="preserve">FPL, </w:t>
      </w:r>
      <w:r>
        <w:t xml:space="preserve">FPUC, Gulf, and </w:t>
      </w:r>
      <w:r>
        <w:lastRenderedPageBreak/>
        <w:t xml:space="preserve">TECO.  </w:t>
      </w:r>
      <w:r w:rsidR="00077DB4">
        <w:t>With regard to D</w:t>
      </w:r>
      <w:r w:rsidR="00127136">
        <w:t xml:space="preserve">uke </w:t>
      </w:r>
      <w:r w:rsidR="00077DB4">
        <w:t>E</w:t>
      </w:r>
      <w:r w:rsidR="00127136">
        <w:t xml:space="preserve">nergy </w:t>
      </w:r>
      <w:r w:rsidR="00077DB4">
        <w:t>F</w:t>
      </w:r>
      <w:r w:rsidR="00127136">
        <w:t>lorida, LLC (DEF)</w:t>
      </w:r>
      <w:r w:rsidR="00077DB4">
        <w:t xml:space="preserve">, all issues, with the exception of Issues 1C and 1D have also been resolved by </w:t>
      </w:r>
      <w:r w:rsidR="00127136">
        <w:t xml:space="preserve">the </w:t>
      </w:r>
      <w:r w:rsidR="00077DB4">
        <w:t>stipulations listed on Attachment A</w:t>
      </w:r>
      <w:r w:rsidR="00F160F8">
        <w:t xml:space="preserve"> to this Order</w:t>
      </w:r>
      <w:r w:rsidR="00077DB4">
        <w:t xml:space="preserve">.  </w:t>
      </w:r>
      <w:r w:rsidR="00E67A84">
        <w:t>Issue</w:t>
      </w:r>
      <w:r w:rsidR="00077DB4">
        <w:t>s</w:t>
      </w:r>
      <w:r w:rsidR="00E67A84">
        <w:t xml:space="preserve"> 1C</w:t>
      </w:r>
      <w:r w:rsidR="00077DB4">
        <w:t xml:space="preserve"> and 1D state as follows</w:t>
      </w:r>
      <w:r w:rsidR="00E67A84">
        <w:t>: “Has DEF made appropriate adjustments, if any are needed, to account for replacement power costs associated with the January 2021 to April 2021 Crystal River Unit No. 4 outage? If appropriate adjustments are needed and have not been made, what adjustments should be performed?”</w:t>
      </w:r>
      <w:r w:rsidR="00077DB4">
        <w:t xml:space="preserve"> and </w:t>
      </w:r>
      <w:r w:rsidR="00186C1A">
        <w:t>“</w:t>
      </w:r>
      <w:r w:rsidR="00E67A84">
        <w:t xml:space="preserve">Should the Commission allow the $246.8 million estimated 2021 true-up to be recovered over 2022 and 2023?”  </w:t>
      </w:r>
      <w:r w:rsidR="00A61F5C">
        <w:t xml:space="preserve">Immediately prior to the commencement of the final hearing in this docket, </w:t>
      </w:r>
      <w:r w:rsidR="003207E5">
        <w:t xml:space="preserve">we </w:t>
      </w:r>
      <w:r w:rsidR="00E67A84">
        <w:t xml:space="preserve">approved DEF’s Rate Mitigation Plan </w:t>
      </w:r>
      <w:r w:rsidR="003207E5">
        <w:t xml:space="preserve">which </w:t>
      </w:r>
      <w:r w:rsidR="00352071">
        <w:t>allowed the $246.8 million estimated 2021 true-up to be recovered over 2022 and 2023</w:t>
      </w:r>
      <w:r w:rsidR="003207E5">
        <w:t>.</w:t>
      </w:r>
      <w:r w:rsidR="00352071">
        <w:rPr>
          <w:rStyle w:val="FootnoteReference"/>
        </w:rPr>
        <w:footnoteReference w:id="1"/>
      </w:r>
      <w:r w:rsidR="003207E5">
        <w:t xml:space="preserve">  </w:t>
      </w:r>
      <w:r w:rsidR="00126160">
        <w:t xml:space="preserve">All parties agreed that our action in Docket No. 20210158-EI approved the requested recovery plan and </w:t>
      </w:r>
      <w:r w:rsidR="006811AF">
        <w:t>acted as a Type 2 stipulation of “yes” to Issue 1D.  We find that this is appropriate and approve this stipulation with regard to Issue 1D.  With this vote, all DEF issues with the exception of Issue 1C have been resolved.</w:t>
      </w:r>
    </w:p>
    <w:p w:rsidR="006811AF" w:rsidRDefault="006811AF" w:rsidP="00E67A84">
      <w:pPr>
        <w:jc w:val="both"/>
      </w:pPr>
    </w:p>
    <w:p w:rsidR="00186C1A" w:rsidRDefault="006811AF" w:rsidP="00E67A84">
      <w:pPr>
        <w:jc w:val="both"/>
      </w:pPr>
      <w:r>
        <w:tab/>
      </w:r>
      <w:r w:rsidR="003207E5">
        <w:t xml:space="preserve">With regard to </w:t>
      </w:r>
      <w:r>
        <w:t xml:space="preserve">the remaining issue, </w:t>
      </w:r>
      <w:r w:rsidR="003207E5">
        <w:t>Issue 1C, referred to as the CR4 outage, DEF presented the testimony of Joseph Simpson, who was cross-examined by the parties</w:t>
      </w:r>
      <w:r w:rsidR="00A61F5C">
        <w:t xml:space="preserve">.  </w:t>
      </w:r>
      <w:r>
        <w:t xml:space="preserve">The parties did not waive the filing of briefs on Issue 1C and briefs will be due on November </w:t>
      </w:r>
      <w:r w:rsidR="00463D69">
        <w:t>15</w:t>
      </w:r>
      <w:r>
        <w:t>, 2021</w:t>
      </w:r>
      <w:r w:rsidR="00463D69">
        <w:t xml:space="preserve">, for </w:t>
      </w:r>
      <w:r w:rsidR="00F160F8">
        <w:t xml:space="preserve">our </w:t>
      </w:r>
      <w:r w:rsidR="00463D69">
        <w:t>consideration at the December 7, 2021</w:t>
      </w:r>
      <w:r w:rsidR="00F160F8">
        <w:t xml:space="preserve"> Agenda Conference.  An order reflecting our decision on DEF’s Issue 1C will be issued separately</w:t>
      </w:r>
      <w:r w:rsidR="00463D69">
        <w:t xml:space="preserve">.   </w:t>
      </w:r>
      <w:r>
        <w:t xml:space="preserve"> </w:t>
      </w:r>
    </w:p>
    <w:p w:rsidR="00E67A84" w:rsidRDefault="00E67A84" w:rsidP="00E67A84">
      <w:pPr>
        <w:jc w:val="both"/>
      </w:pPr>
    </w:p>
    <w:p w:rsidR="00463D69" w:rsidRDefault="00463D69" w:rsidP="00E67A84">
      <w:pPr>
        <w:jc w:val="both"/>
      </w:pPr>
      <w:r>
        <w:tab/>
        <w:t xml:space="preserve">Per stipulation of the parties, the new factors </w:t>
      </w:r>
      <w:r w:rsidR="00F160F8">
        <w:t xml:space="preserve">approved herein </w:t>
      </w:r>
      <w:r>
        <w:t>shall be effective beginning with the first billing cycle for January 2022 through the last billing cycle for December 2022.  The first billing cycle may start before January 1, 2022, and the last cycle may be read after December 31, 2022, so that each customer is billed for twelve months regardless of when the recovery factors became effective.  The new factors shall continue in effect until modified by this Commission.</w:t>
      </w:r>
    </w:p>
    <w:p w:rsidR="00463D69" w:rsidRDefault="00463D69" w:rsidP="00E67A84">
      <w:pPr>
        <w:jc w:val="both"/>
      </w:pPr>
      <w:r>
        <w:t xml:space="preserve">   </w:t>
      </w:r>
    </w:p>
    <w:p w:rsidR="002F0523" w:rsidRDefault="002F0523" w:rsidP="002E740F">
      <w:pPr>
        <w:jc w:val="both"/>
      </w:pPr>
      <w:r>
        <w:tab/>
        <w:t>We hereby approve revised tariffs for FPL</w:t>
      </w:r>
      <w:r w:rsidR="00463D69">
        <w:t>/Gulf</w:t>
      </w:r>
      <w:r>
        <w:t>, FPUC, and TECO reflecting the fuel adjustment factors and capacity cost recovery factors determined to be appropriate in this proceeding.  We direct staff to verify that the revised tariffs are consistent with our decision.</w:t>
      </w:r>
    </w:p>
    <w:p w:rsidR="002F0523" w:rsidRDefault="002F0523" w:rsidP="002E740F">
      <w:pPr>
        <w:autoSpaceDE w:val="0"/>
        <w:autoSpaceDN w:val="0"/>
        <w:adjustRightInd w:val="0"/>
        <w:jc w:val="both"/>
      </w:pPr>
    </w:p>
    <w:p w:rsidR="002F0523" w:rsidRDefault="002F0523" w:rsidP="002F0523">
      <w:pPr>
        <w:autoSpaceDE w:val="0"/>
        <w:autoSpaceDN w:val="0"/>
        <w:adjustRightInd w:val="0"/>
        <w:jc w:val="both"/>
      </w:pPr>
      <w:r>
        <w:tab/>
        <w:t xml:space="preserve">Based on the foregoing, it is </w:t>
      </w:r>
    </w:p>
    <w:p w:rsidR="002F0523" w:rsidRDefault="002F0523" w:rsidP="002F0523">
      <w:pPr>
        <w:autoSpaceDE w:val="0"/>
        <w:autoSpaceDN w:val="0"/>
        <w:adjustRightInd w:val="0"/>
        <w:jc w:val="both"/>
      </w:pPr>
    </w:p>
    <w:p w:rsidR="002F0523" w:rsidRDefault="002F0523" w:rsidP="002F0523">
      <w:pPr>
        <w:pStyle w:val="BodyText"/>
        <w:jc w:val="both"/>
        <w:rPr>
          <w:bCs/>
        </w:rPr>
      </w:pPr>
      <w:r>
        <w:rPr>
          <w:bCs/>
        </w:rPr>
        <w:tab/>
        <w:t>ORDERED by the Florida Public Service Commission that the findings set forth in the body of this Order, and Attachment A hereto, are hereby approved.  It is further</w:t>
      </w:r>
    </w:p>
    <w:p w:rsidR="002F0523" w:rsidRDefault="002F0523" w:rsidP="002F0523">
      <w:pPr>
        <w:pStyle w:val="BodyText"/>
        <w:jc w:val="both"/>
      </w:pPr>
      <w:r>
        <w:rPr>
          <w:bCs/>
        </w:rPr>
        <w:tab/>
        <w:t>ORDERED that Florida Power &amp; Light Company</w:t>
      </w:r>
      <w:r w:rsidR="002E740F">
        <w:rPr>
          <w:bCs/>
        </w:rPr>
        <w:t>/</w:t>
      </w:r>
      <w:r w:rsidR="002E740F">
        <w:t>Gulf Power Company,</w:t>
      </w:r>
      <w:r>
        <w:rPr>
          <w:bCs/>
        </w:rPr>
        <w:t xml:space="preserve"> </w:t>
      </w:r>
      <w:r>
        <w:t>Florida Public Utilities Company, and Tampa Electric Company are hereby authorized to apply the fuel cost recovery factors set forth herein during the period January 202</w:t>
      </w:r>
      <w:r w:rsidR="002E740F">
        <w:t>2</w:t>
      </w:r>
      <w:r>
        <w:t xml:space="preserve"> through December 202</w:t>
      </w:r>
      <w:r w:rsidR="002E740F">
        <w:t>2</w:t>
      </w:r>
      <w:r>
        <w:t>.  It is further</w:t>
      </w:r>
    </w:p>
    <w:p w:rsidR="002F0523" w:rsidRDefault="002F0523" w:rsidP="002F0523">
      <w:pPr>
        <w:pStyle w:val="BodyText"/>
        <w:jc w:val="both"/>
      </w:pPr>
      <w:r w:rsidRPr="00773A9E">
        <w:rPr>
          <w:bCs/>
        </w:rPr>
        <w:tab/>
      </w:r>
      <w:r>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2F0523" w:rsidRDefault="002F0523" w:rsidP="002F0523">
      <w:pPr>
        <w:pStyle w:val="BodyText"/>
        <w:jc w:val="both"/>
      </w:pPr>
      <w:r>
        <w:lastRenderedPageBreak/>
        <w:tab/>
        <w:t>ORDERED that Florida Power &amp; Light Company</w:t>
      </w:r>
      <w:r w:rsidR="002E740F">
        <w:t>/Gulf Power Company,</w:t>
      </w:r>
      <w:r>
        <w:t xml:space="preserve"> Florida Public Utilities Company, and Tampa Electric Company are hereby authorized to apply the capacity cost recovery factors set forth herein during the period January 202</w:t>
      </w:r>
      <w:r w:rsidR="002E740F">
        <w:t>2</w:t>
      </w:r>
      <w:r>
        <w:t xml:space="preserve"> through December 202</w:t>
      </w:r>
      <w:r w:rsidR="002E740F">
        <w:t>2</w:t>
      </w:r>
      <w:r>
        <w:t>.  It is further</w:t>
      </w:r>
    </w:p>
    <w:p w:rsidR="002F0523" w:rsidRDefault="002F0523" w:rsidP="002F0523">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2F0523" w:rsidRDefault="002F0523" w:rsidP="002F0523">
      <w:pPr>
        <w:pStyle w:val="BodyText"/>
        <w:jc w:val="both"/>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2F0523" w:rsidRDefault="002F0523" w:rsidP="002F0523">
      <w:pPr>
        <w:autoSpaceDE w:val="0"/>
        <w:autoSpaceDN w:val="0"/>
        <w:adjustRightInd w:val="0"/>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2E740F" w:rsidRDefault="002E740F" w:rsidP="002F0523">
      <w:pPr>
        <w:autoSpaceDE w:val="0"/>
        <w:autoSpaceDN w:val="0"/>
        <w:adjustRightInd w:val="0"/>
        <w:jc w:val="both"/>
      </w:pPr>
    </w:p>
    <w:p w:rsidR="002E740F" w:rsidRDefault="002E740F" w:rsidP="002E740F">
      <w:pPr>
        <w:keepNext/>
        <w:keepLines/>
        <w:autoSpaceDE w:val="0"/>
        <w:autoSpaceDN w:val="0"/>
        <w:adjustRightInd w:val="0"/>
        <w:jc w:val="both"/>
      </w:pPr>
      <w:r>
        <w:tab/>
        <w:t xml:space="preserve">By ORDER of the Florida Public Service Commission this </w:t>
      </w:r>
      <w:bookmarkStart w:id="6" w:name="replaceDate"/>
      <w:bookmarkEnd w:id="6"/>
      <w:r w:rsidR="006D5C41">
        <w:rPr>
          <w:u w:val="single"/>
        </w:rPr>
        <w:t>30th</w:t>
      </w:r>
      <w:r w:rsidR="006D5C41">
        <w:t xml:space="preserve"> day of </w:t>
      </w:r>
      <w:r w:rsidR="006D5C41">
        <w:rPr>
          <w:u w:val="single"/>
        </w:rPr>
        <w:t>November</w:t>
      </w:r>
      <w:r w:rsidR="006D5C41">
        <w:t xml:space="preserve">, </w:t>
      </w:r>
      <w:r w:rsidR="006D5C41">
        <w:rPr>
          <w:u w:val="single"/>
        </w:rPr>
        <w:t>2021</w:t>
      </w:r>
      <w:r w:rsidR="006D5C41">
        <w:t>.</w:t>
      </w:r>
    </w:p>
    <w:p w:rsidR="006D5C41" w:rsidRDefault="006D5C41" w:rsidP="002E740F">
      <w:pPr>
        <w:keepNext/>
        <w:keepLines/>
        <w:autoSpaceDE w:val="0"/>
        <w:autoSpaceDN w:val="0"/>
        <w:adjustRightInd w:val="0"/>
        <w:jc w:val="both"/>
      </w:pPr>
      <w:bookmarkStart w:id="7" w:name="_GoBack"/>
      <w:bookmarkEnd w:id="7"/>
    </w:p>
    <w:p w:rsidR="006D5C41" w:rsidRPr="006D5C41" w:rsidRDefault="006D5C41" w:rsidP="002E740F">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2E740F" w:rsidTr="002E740F">
        <w:tc>
          <w:tcPr>
            <w:tcW w:w="720" w:type="dxa"/>
            <w:shd w:val="clear" w:color="auto" w:fill="auto"/>
          </w:tcPr>
          <w:p w:rsidR="002E740F" w:rsidRDefault="002E740F" w:rsidP="002E740F">
            <w:pPr>
              <w:keepNext/>
              <w:keepLines/>
              <w:autoSpaceDE w:val="0"/>
              <w:autoSpaceDN w:val="0"/>
              <w:adjustRightInd w:val="0"/>
              <w:jc w:val="both"/>
            </w:pPr>
            <w:bookmarkStart w:id="8" w:name="bkmrkSignature" w:colFirst="0" w:colLast="0"/>
          </w:p>
        </w:tc>
        <w:tc>
          <w:tcPr>
            <w:tcW w:w="4320" w:type="dxa"/>
            <w:tcBorders>
              <w:bottom w:val="single" w:sz="4" w:space="0" w:color="auto"/>
            </w:tcBorders>
            <w:shd w:val="clear" w:color="auto" w:fill="auto"/>
          </w:tcPr>
          <w:p w:rsidR="002E740F" w:rsidRDefault="006D5C41" w:rsidP="002E740F">
            <w:pPr>
              <w:keepNext/>
              <w:keepLines/>
              <w:autoSpaceDE w:val="0"/>
              <w:autoSpaceDN w:val="0"/>
              <w:adjustRightInd w:val="0"/>
              <w:jc w:val="both"/>
            </w:pPr>
            <w:r>
              <w:t>/s/ Adam J. Teitzman</w:t>
            </w:r>
          </w:p>
        </w:tc>
      </w:tr>
      <w:bookmarkEnd w:id="8"/>
      <w:tr w:rsidR="002E740F" w:rsidTr="002E740F">
        <w:tc>
          <w:tcPr>
            <w:tcW w:w="720" w:type="dxa"/>
            <w:shd w:val="clear" w:color="auto" w:fill="auto"/>
          </w:tcPr>
          <w:p w:rsidR="002E740F" w:rsidRDefault="002E740F" w:rsidP="002E740F">
            <w:pPr>
              <w:keepNext/>
              <w:keepLines/>
              <w:autoSpaceDE w:val="0"/>
              <w:autoSpaceDN w:val="0"/>
              <w:adjustRightInd w:val="0"/>
              <w:jc w:val="both"/>
            </w:pPr>
          </w:p>
        </w:tc>
        <w:tc>
          <w:tcPr>
            <w:tcW w:w="4320" w:type="dxa"/>
            <w:tcBorders>
              <w:top w:val="single" w:sz="4" w:space="0" w:color="auto"/>
            </w:tcBorders>
            <w:shd w:val="clear" w:color="auto" w:fill="auto"/>
          </w:tcPr>
          <w:p w:rsidR="002E740F" w:rsidRDefault="002E740F" w:rsidP="002E740F">
            <w:pPr>
              <w:keepNext/>
              <w:keepLines/>
              <w:autoSpaceDE w:val="0"/>
              <w:autoSpaceDN w:val="0"/>
              <w:adjustRightInd w:val="0"/>
              <w:jc w:val="both"/>
            </w:pPr>
            <w:r>
              <w:t>ADAM J. TEITZMAN</w:t>
            </w:r>
          </w:p>
          <w:p w:rsidR="002E740F" w:rsidRDefault="002E740F" w:rsidP="002E740F">
            <w:pPr>
              <w:keepNext/>
              <w:keepLines/>
              <w:autoSpaceDE w:val="0"/>
              <w:autoSpaceDN w:val="0"/>
              <w:adjustRightInd w:val="0"/>
              <w:jc w:val="both"/>
            </w:pPr>
            <w:r>
              <w:t>Commission Clerk</w:t>
            </w:r>
          </w:p>
        </w:tc>
      </w:tr>
    </w:tbl>
    <w:p w:rsidR="002E740F" w:rsidRDefault="002E740F" w:rsidP="002E740F">
      <w:pPr>
        <w:pStyle w:val="OrderSigInfo"/>
        <w:keepNext/>
        <w:keepLines/>
      </w:pPr>
      <w:r>
        <w:t>Florida Public Service Commission</w:t>
      </w:r>
    </w:p>
    <w:p w:rsidR="002E740F" w:rsidRDefault="002E740F" w:rsidP="002E740F">
      <w:pPr>
        <w:pStyle w:val="OrderSigInfo"/>
        <w:keepNext/>
        <w:keepLines/>
      </w:pPr>
      <w:r>
        <w:t>2540 Shumard Oak Boulevard</w:t>
      </w:r>
    </w:p>
    <w:p w:rsidR="002E740F" w:rsidRDefault="002E740F" w:rsidP="002E740F">
      <w:pPr>
        <w:pStyle w:val="OrderSigInfo"/>
        <w:keepNext/>
        <w:keepLines/>
      </w:pPr>
      <w:r>
        <w:t>Tallahassee, Florida 32399</w:t>
      </w:r>
    </w:p>
    <w:p w:rsidR="002E740F" w:rsidRDefault="002E740F" w:rsidP="002E740F">
      <w:pPr>
        <w:pStyle w:val="OrderSigInfo"/>
        <w:keepNext/>
        <w:keepLines/>
      </w:pPr>
      <w:r>
        <w:t>(850) 413</w:t>
      </w:r>
      <w:r>
        <w:noBreakHyphen/>
        <w:t>6770</w:t>
      </w:r>
    </w:p>
    <w:p w:rsidR="002E740F" w:rsidRDefault="002E740F" w:rsidP="002E740F">
      <w:pPr>
        <w:pStyle w:val="OrderSigInfo"/>
        <w:keepNext/>
        <w:keepLines/>
      </w:pPr>
      <w:r>
        <w:t>www.floridapsc.com</w:t>
      </w:r>
    </w:p>
    <w:p w:rsidR="002E740F" w:rsidRDefault="002E740F" w:rsidP="002E740F">
      <w:pPr>
        <w:pStyle w:val="OrderSigInfo"/>
        <w:keepNext/>
        <w:keepLines/>
      </w:pPr>
    </w:p>
    <w:p w:rsidR="002E740F" w:rsidRDefault="002E740F" w:rsidP="002E740F">
      <w:pPr>
        <w:pStyle w:val="OrderSigInfo"/>
        <w:keepNext/>
        <w:keepLines/>
      </w:pPr>
      <w:r>
        <w:t>Copies furnished:  A copy of this document is provided to the parties of record at the time of issuance and, if applicable, interested persons.</w:t>
      </w:r>
    </w:p>
    <w:p w:rsidR="002E740F" w:rsidRDefault="002E740F" w:rsidP="002E740F">
      <w:pPr>
        <w:pStyle w:val="OrderBody"/>
        <w:keepNext/>
        <w:keepLines/>
      </w:pPr>
    </w:p>
    <w:p w:rsidR="002E740F" w:rsidRDefault="002E740F" w:rsidP="002E740F">
      <w:pPr>
        <w:keepNext/>
        <w:keepLines/>
        <w:autoSpaceDE w:val="0"/>
        <w:autoSpaceDN w:val="0"/>
        <w:adjustRightInd w:val="0"/>
        <w:jc w:val="both"/>
      </w:pPr>
      <w:r>
        <w:t>SBr</w:t>
      </w:r>
    </w:p>
    <w:p w:rsidR="002E740F" w:rsidRDefault="002E740F" w:rsidP="002E740F">
      <w:pPr>
        <w:keepNext/>
        <w:keepLines/>
        <w:autoSpaceDE w:val="0"/>
        <w:autoSpaceDN w:val="0"/>
        <w:adjustRightInd w:val="0"/>
        <w:jc w:val="both"/>
      </w:pPr>
    </w:p>
    <w:p w:rsidR="00DB2808" w:rsidRDefault="00DB2808" w:rsidP="002E740F">
      <w:pPr>
        <w:pStyle w:val="CenterUnderline"/>
      </w:pPr>
    </w:p>
    <w:p w:rsidR="00DB2808" w:rsidRDefault="00DB2808" w:rsidP="006D5C41">
      <w:pPr>
        <w:pStyle w:val="CenterUnderline"/>
        <w:jc w:val="left"/>
      </w:pPr>
    </w:p>
    <w:p w:rsidR="006D5C41" w:rsidRDefault="006D5C41" w:rsidP="006D5C41">
      <w:pPr>
        <w:pStyle w:val="CenterUnderline"/>
        <w:jc w:val="left"/>
      </w:pPr>
    </w:p>
    <w:p w:rsidR="006D5C41" w:rsidRDefault="006D5C41" w:rsidP="006D5C41">
      <w:pPr>
        <w:pStyle w:val="CenterUnderline"/>
        <w:jc w:val="left"/>
      </w:pPr>
    </w:p>
    <w:p w:rsidR="006D5C41" w:rsidRDefault="006D5C41" w:rsidP="006D5C41">
      <w:pPr>
        <w:pStyle w:val="CenterUnderline"/>
        <w:jc w:val="left"/>
      </w:pPr>
    </w:p>
    <w:p w:rsidR="006D5C41" w:rsidRDefault="006D5C41" w:rsidP="006D5C41">
      <w:pPr>
        <w:pStyle w:val="CenterUnderline"/>
        <w:jc w:val="left"/>
      </w:pPr>
    </w:p>
    <w:p w:rsidR="003B4907" w:rsidRDefault="003B4907" w:rsidP="002E740F">
      <w:pPr>
        <w:pStyle w:val="CenterUnderline"/>
      </w:pPr>
    </w:p>
    <w:p w:rsidR="00DB2808" w:rsidRDefault="00DB2808" w:rsidP="002E740F">
      <w:pPr>
        <w:pStyle w:val="CenterUnderline"/>
      </w:pPr>
    </w:p>
    <w:p w:rsidR="00DB2808" w:rsidRDefault="00DB2808" w:rsidP="002E740F">
      <w:pPr>
        <w:pStyle w:val="CenterUnderline"/>
      </w:pPr>
    </w:p>
    <w:p w:rsidR="00DB2808" w:rsidRDefault="00DB2808" w:rsidP="002E740F">
      <w:pPr>
        <w:pStyle w:val="CenterUnderline"/>
      </w:pPr>
    </w:p>
    <w:p w:rsidR="00DB2808" w:rsidRDefault="00DB2808" w:rsidP="002E740F">
      <w:pPr>
        <w:pStyle w:val="CenterUnderline"/>
      </w:pPr>
    </w:p>
    <w:p w:rsidR="002E740F" w:rsidRDefault="002E740F" w:rsidP="002E740F">
      <w:pPr>
        <w:pStyle w:val="CenterUnderline"/>
      </w:pPr>
      <w:r>
        <w:t>NOTICE OF FURTHER PROCEEDINGS OR JUDICIAL REVIEW</w:t>
      </w:r>
    </w:p>
    <w:p w:rsidR="002E740F" w:rsidRDefault="002E740F" w:rsidP="002E740F">
      <w:pPr>
        <w:pStyle w:val="CenterUnderline"/>
      </w:pPr>
    </w:p>
    <w:p w:rsidR="002E740F" w:rsidRDefault="002E740F" w:rsidP="002E740F">
      <w:pPr>
        <w:pStyle w:val="OrderBody"/>
      </w:pPr>
    </w:p>
    <w:p w:rsidR="002E740F" w:rsidRDefault="002E740F" w:rsidP="002E74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740F" w:rsidRDefault="002E740F" w:rsidP="002E740F">
      <w:pPr>
        <w:pStyle w:val="OrderBody"/>
      </w:pPr>
    </w:p>
    <w:p w:rsidR="002E740F" w:rsidRDefault="002E740F" w:rsidP="002E740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E740F" w:rsidRDefault="002E740F" w:rsidP="002E740F">
      <w:pPr>
        <w:pStyle w:val="OrderBody"/>
      </w:pPr>
    </w:p>
    <w:p w:rsidR="002E740F" w:rsidRDefault="002E740F" w:rsidP="002E740F">
      <w:pPr>
        <w:jc w:val="right"/>
      </w:pPr>
      <w:r>
        <w:br w:type="page"/>
      </w:r>
      <w:r>
        <w:lastRenderedPageBreak/>
        <w:t>ATTACHMENT A</w:t>
      </w:r>
    </w:p>
    <w:p w:rsidR="002E740F" w:rsidRDefault="002E740F" w:rsidP="002E740F">
      <w:pPr>
        <w:jc w:val="right"/>
      </w:pPr>
    </w:p>
    <w:p w:rsidR="002E740F" w:rsidRDefault="002E740F" w:rsidP="002E740F">
      <w:pPr>
        <w:pStyle w:val="OrderHeading"/>
      </w:pPr>
      <w:r>
        <w:t>BEFORE THE FLORIDA PUBLIC SERVICE COMMISSION</w:t>
      </w:r>
    </w:p>
    <w:p w:rsidR="002E740F" w:rsidRDefault="002E740F" w:rsidP="002E740F">
      <w:pPr>
        <w:pStyle w:val="OrderBody"/>
      </w:pPr>
    </w:p>
    <w:p w:rsidR="002E740F" w:rsidRDefault="002E740F" w:rsidP="002E74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740F" w:rsidRPr="00C63FCF" w:rsidTr="003B4907">
        <w:trPr>
          <w:trHeight w:val="828"/>
        </w:trPr>
        <w:tc>
          <w:tcPr>
            <w:tcW w:w="4788" w:type="dxa"/>
            <w:tcBorders>
              <w:bottom w:val="single" w:sz="8" w:space="0" w:color="auto"/>
              <w:right w:val="double" w:sz="6" w:space="0" w:color="auto"/>
            </w:tcBorders>
            <w:shd w:val="clear" w:color="auto" w:fill="auto"/>
          </w:tcPr>
          <w:p w:rsidR="002E740F" w:rsidRDefault="002E740F" w:rsidP="003B4907">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2E740F" w:rsidRDefault="002E740F" w:rsidP="003B4907">
            <w:pPr>
              <w:pStyle w:val="OrderBody"/>
            </w:pPr>
            <w:r>
              <w:t>DOCKET NO. 20210001-EI</w:t>
            </w:r>
          </w:p>
          <w:p w:rsidR="002E740F" w:rsidRDefault="002E740F" w:rsidP="003B4907">
            <w:pPr>
              <w:pStyle w:val="OrderBody"/>
              <w:tabs>
                <w:tab w:val="center" w:pos="4320"/>
                <w:tab w:val="right" w:pos="8640"/>
              </w:tabs>
              <w:jc w:val="left"/>
            </w:pPr>
            <w:r>
              <w:t xml:space="preserve">ORDER NO. </w:t>
            </w:r>
          </w:p>
          <w:p w:rsidR="002E740F" w:rsidRDefault="002E740F" w:rsidP="003B4907">
            <w:pPr>
              <w:pStyle w:val="OrderBody"/>
              <w:tabs>
                <w:tab w:val="center" w:pos="4320"/>
                <w:tab w:val="right" w:pos="8640"/>
              </w:tabs>
              <w:jc w:val="left"/>
            </w:pPr>
            <w:r>
              <w:t xml:space="preserve">ISSUED: </w:t>
            </w:r>
          </w:p>
        </w:tc>
      </w:tr>
    </w:tbl>
    <w:p w:rsidR="002E740F" w:rsidRDefault="002E740F" w:rsidP="002E740F"/>
    <w:p w:rsidR="002E740F" w:rsidRDefault="002E740F" w:rsidP="002E740F">
      <w:pPr>
        <w:pStyle w:val="OrderBody"/>
        <w:jc w:val="center"/>
        <w:rPr>
          <w:u w:val="single"/>
        </w:rPr>
      </w:pPr>
      <w:r w:rsidRPr="008A177E">
        <w:rPr>
          <w:u w:val="single"/>
        </w:rPr>
        <w:t>PROPOSED STIPULATIONS</w:t>
      </w:r>
    </w:p>
    <w:p w:rsidR="002E740F" w:rsidRDefault="002E740F" w:rsidP="002E740F">
      <w:pPr>
        <w:pStyle w:val="OrderBody"/>
        <w:jc w:val="center"/>
        <w:rPr>
          <w:u w:val="single"/>
        </w:rPr>
      </w:pPr>
    </w:p>
    <w:p w:rsidR="002E740F" w:rsidRDefault="002E740F" w:rsidP="002E740F">
      <w:pPr>
        <w:pStyle w:val="OrderBody"/>
      </w:pPr>
      <w:r>
        <w:tab/>
        <w:t>The following issues are proposed as Type 2</w:t>
      </w:r>
      <w:r>
        <w:rPr>
          <w:rStyle w:val="FootnoteReference"/>
        </w:rPr>
        <w:footnoteReference w:id="2"/>
      </w:r>
      <w:r>
        <w:t xml:space="preserve"> stipulations in this proceeding</w:t>
      </w:r>
      <w:r>
        <w:rPr>
          <w:rStyle w:val="FootnoteReference"/>
        </w:rPr>
        <w:footnoteReference w:id="3"/>
      </w:r>
      <w:r>
        <w:t>:</w:t>
      </w:r>
    </w:p>
    <w:p w:rsidR="002E740F" w:rsidRPr="008D4991" w:rsidRDefault="002E740F" w:rsidP="002E740F">
      <w:pPr>
        <w:jc w:val="both"/>
      </w:pPr>
    </w:p>
    <w:p w:rsidR="002E740F" w:rsidRPr="005B76E5" w:rsidRDefault="002E740F" w:rsidP="002E740F">
      <w:pPr>
        <w:jc w:val="both"/>
        <w:rPr>
          <w:b/>
          <w:u w:val="single"/>
        </w:rPr>
      </w:pPr>
      <w:r w:rsidRPr="005B76E5">
        <w:rPr>
          <w:b/>
          <w:u w:val="single"/>
        </w:rPr>
        <w:t>I.</w:t>
      </w:r>
      <w:r w:rsidRPr="005B76E5">
        <w:rPr>
          <w:b/>
        </w:rPr>
        <w:tab/>
      </w:r>
      <w:r w:rsidRPr="005B76E5">
        <w:rPr>
          <w:b/>
          <w:u w:val="single"/>
        </w:rPr>
        <w:t>FUEL ISSUES</w:t>
      </w:r>
    </w:p>
    <w:p w:rsidR="002E740F" w:rsidRPr="00BF6EBB" w:rsidRDefault="002E740F" w:rsidP="002E740F">
      <w:pPr>
        <w:autoSpaceDE w:val="0"/>
        <w:autoSpaceDN w:val="0"/>
        <w:adjustRightInd w:val="0"/>
        <w:ind w:left="1440" w:hanging="1440"/>
        <w:jc w:val="both"/>
        <w:rPr>
          <w:b/>
        </w:rPr>
      </w:pPr>
    </w:p>
    <w:p w:rsidR="002E740F" w:rsidRPr="00BF6EBB" w:rsidRDefault="002E740F" w:rsidP="002E740F">
      <w:pPr>
        <w:autoSpaceDE w:val="0"/>
        <w:autoSpaceDN w:val="0"/>
        <w:adjustRightInd w:val="0"/>
        <w:ind w:left="1440" w:hanging="1440"/>
        <w:jc w:val="both"/>
        <w:rPr>
          <w:b/>
        </w:rPr>
      </w:pPr>
      <w:r w:rsidRPr="00BF6EBB">
        <w:rPr>
          <w:b/>
        </w:rPr>
        <w:t>Duke Energy Florida, LLC.</w:t>
      </w:r>
    </w:p>
    <w:p w:rsidR="002E740F" w:rsidRDefault="002E740F" w:rsidP="002E740F">
      <w:pPr>
        <w:autoSpaceDE w:val="0"/>
        <w:autoSpaceDN w:val="0"/>
        <w:adjustRightInd w:val="0"/>
        <w:ind w:left="1440" w:hanging="1440"/>
        <w:jc w:val="both"/>
        <w:rPr>
          <w:b/>
          <w:u w:val="single"/>
        </w:rPr>
      </w:pPr>
    </w:p>
    <w:p w:rsidR="002E740F" w:rsidRDefault="002E740F" w:rsidP="002E740F">
      <w:pPr>
        <w:autoSpaceDE w:val="0"/>
        <w:autoSpaceDN w:val="0"/>
        <w:adjustRightInd w:val="0"/>
        <w:ind w:left="1440" w:hanging="1440"/>
        <w:jc w:val="both"/>
        <w:rPr>
          <w:b/>
        </w:rPr>
      </w:pPr>
      <w:r>
        <w:rPr>
          <w:b/>
          <w:u w:val="single"/>
        </w:rPr>
        <w:t>ISSUE 1A</w:t>
      </w:r>
      <w:r>
        <w:rPr>
          <w:b/>
        </w:rPr>
        <w:t>:</w:t>
      </w:r>
      <w:r>
        <w:rPr>
          <w:b/>
        </w:rPr>
        <w:tab/>
        <w:t>Should the Commission approve DEF’s Risk Management Plan?</w:t>
      </w:r>
    </w:p>
    <w:p w:rsidR="002E740F"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pPr>
      <w:r>
        <w:rPr>
          <w:b/>
        </w:rPr>
        <w:tab/>
      </w:r>
      <w:r>
        <w:t>This issue should be deferred to the 2022 Fuel Docket, with the understanding that all parties retain the right to raise any issues, concerns, or alternatives they deem appropriate.  The parties recognize that deferral of this issue will result in DEF entering into no hedging transactions unless or until authorized to do so by order of the Commission.</w:t>
      </w:r>
    </w:p>
    <w:p w:rsidR="002E740F" w:rsidRPr="002C21CD" w:rsidRDefault="002E740F" w:rsidP="002E740F">
      <w:pPr>
        <w:autoSpaceDE w:val="0"/>
        <w:autoSpaceDN w:val="0"/>
        <w:adjustRightInd w:val="0"/>
        <w:ind w:left="1440" w:hanging="1440"/>
        <w:jc w:val="both"/>
      </w:pPr>
      <w:r>
        <w:t xml:space="preserve">  </w:t>
      </w:r>
    </w:p>
    <w:p w:rsidR="002E740F" w:rsidRDefault="002E740F" w:rsidP="002E740F">
      <w:pPr>
        <w:autoSpaceDE w:val="0"/>
        <w:autoSpaceDN w:val="0"/>
        <w:adjustRightInd w:val="0"/>
        <w:ind w:left="1440" w:hanging="1440"/>
        <w:jc w:val="both"/>
      </w:pPr>
      <w:r>
        <w:rPr>
          <w:b/>
          <w:u w:val="single"/>
        </w:rPr>
        <w:t>ISSUE 1B</w:t>
      </w:r>
      <w:r>
        <w:rPr>
          <w:b/>
        </w:rPr>
        <w:t>:</w:t>
      </w:r>
      <w:r>
        <w:rPr>
          <w:b/>
        </w:rPr>
        <w:tab/>
      </w:r>
      <w:r w:rsidRPr="001136F4">
        <w:rPr>
          <w:b/>
        </w:rPr>
        <w:t>What is the appropriate subscription bill credit associated with DEF’s Clean Energy Connection Program, approved by Order No. PSC-2021-0059-S-EI, to be included for recovery in 2022?</w:t>
      </w:r>
    </w:p>
    <w:p w:rsidR="002E740F"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rPr>
          <w:b/>
        </w:rPr>
      </w:pPr>
      <w:r w:rsidRPr="008A177E">
        <w:rPr>
          <w:b/>
        </w:rPr>
        <w:t>Stipulation:</w:t>
      </w:r>
      <w:r>
        <w:rPr>
          <w:b/>
        </w:rPr>
        <w:tab/>
      </w:r>
      <w:r w:rsidRPr="009D2548">
        <w:t>$11,109,749.</w:t>
      </w:r>
    </w:p>
    <w:p w:rsidR="002E740F" w:rsidRPr="008A177E" w:rsidRDefault="002E740F" w:rsidP="002E740F">
      <w:pPr>
        <w:autoSpaceDE w:val="0"/>
        <w:autoSpaceDN w:val="0"/>
        <w:adjustRightInd w:val="0"/>
        <w:ind w:left="1440" w:hanging="1440"/>
        <w:jc w:val="both"/>
        <w:rPr>
          <w:b/>
        </w:rPr>
      </w:pPr>
    </w:p>
    <w:p w:rsidR="002E740F" w:rsidRPr="00BF6EBB" w:rsidRDefault="002E740F" w:rsidP="002E740F">
      <w:pPr>
        <w:autoSpaceDE w:val="0"/>
        <w:autoSpaceDN w:val="0"/>
        <w:adjustRightInd w:val="0"/>
        <w:ind w:left="1440" w:hanging="1440"/>
        <w:jc w:val="both"/>
        <w:rPr>
          <w:b/>
          <w:u w:val="single"/>
        </w:rPr>
      </w:pPr>
      <w:r w:rsidRPr="00BF6EBB">
        <w:rPr>
          <w:b/>
        </w:rPr>
        <w:t>Florida Power &amp; Light</w:t>
      </w:r>
      <w:r>
        <w:rPr>
          <w:b/>
        </w:rPr>
        <w:t xml:space="preserve"> Company</w:t>
      </w:r>
    </w:p>
    <w:p w:rsidR="002E740F" w:rsidRPr="00BF6EBB" w:rsidRDefault="002E740F" w:rsidP="002E740F">
      <w:pPr>
        <w:autoSpaceDE w:val="0"/>
        <w:autoSpaceDN w:val="0"/>
        <w:adjustRightInd w:val="0"/>
        <w:ind w:left="1440" w:hanging="1440"/>
        <w:jc w:val="both"/>
        <w:rPr>
          <w:b/>
          <w:u w:val="single"/>
        </w:rPr>
      </w:pPr>
    </w:p>
    <w:p w:rsidR="002E740F" w:rsidRDefault="002E740F" w:rsidP="002E740F">
      <w:pPr>
        <w:autoSpaceDE w:val="0"/>
        <w:autoSpaceDN w:val="0"/>
        <w:adjustRightInd w:val="0"/>
        <w:ind w:left="1440" w:hanging="1440"/>
        <w:jc w:val="both"/>
      </w:pPr>
      <w:r w:rsidRPr="00BF6EBB">
        <w:rPr>
          <w:b/>
          <w:u w:val="single"/>
        </w:rPr>
        <w:lastRenderedPageBreak/>
        <w:t>ISSUE 2A</w:t>
      </w:r>
      <w:r w:rsidRPr="00BF6EBB">
        <w:rPr>
          <w:b/>
        </w:rPr>
        <w:t>:</w:t>
      </w:r>
      <w:r w:rsidRPr="00BF6EBB">
        <w:rPr>
          <w:b/>
        </w:rPr>
        <w:tab/>
      </w:r>
      <w:r w:rsidRPr="001136F4">
        <w:rPr>
          <w:b/>
        </w:rPr>
        <w:t>What is the appropriate revised SoBRA factor for the 2019 projects to reflect actual construction costs that are less than the projected costs used to develop the initial SoBRA factor?</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pPr>
      <w:r>
        <w:rPr>
          <w:b/>
        </w:rPr>
        <w:t>Stipulation:</w:t>
      </w:r>
      <w:r>
        <w:rPr>
          <w:b/>
        </w:rPr>
        <w:tab/>
      </w:r>
      <w:r>
        <w:t>0.7945%.</w:t>
      </w:r>
    </w:p>
    <w:p w:rsidR="002E740F" w:rsidRPr="009D2548"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pPr>
      <w:r>
        <w:rPr>
          <w:b/>
          <w:u w:val="single"/>
        </w:rPr>
        <w:t>ISSUE 2B</w:t>
      </w:r>
      <w:r>
        <w:rPr>
          <w:b/>
        </w:rPr>
        <w:t>:</w:t>
      </w:r>
      <w:r>
        <w:tab/>
      </w:r>
      <w:r w:rsidRPr="001136F4">
        <w:rPr>
          <w:b/>
        </w:rPr>
        <w:t>What is the appropriate revised SoBRA factor for the 2020 projects to reflect actual construction costs that are less than the projected costs used to develop the initial SoBRA factor?</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rPr>
          <w:b/>
        </w:rPr>
      </w:pPr>
      <w:r>
        <w:rPr>
          <w:b/>
        </w:rPr>
        <w:t>Stipulation:</w:t>
      </w:r>
      <w:r>
        <w:rPr>
          <w:b/>
        </w:rPr>
        <w:tab/>
      </w:r>
      <w:r w:rsidRPr="009D2548">
        <w:t>0.731%</w:t>
      </w:r>
    </w:p>
    <w:p w:rsidR="002E740F" w:rsidRPr="00925D58" w:rsidRDefault="002E740F" w:rsidP="002E740F">
      <w:pPr>
        <w:autoSpaceDE w:val="0"/>
        <w:autoSpaceDN w:val="0"/>
        <w:adjustRightInd w:val="0"/>
        <w:ind w:left="1440" w:hanging="1440"/>
        <w:jc w:val="both"/>
      </w:pPr>
    </w:p>
    <w:p w:rsidR="002E740F" w:rsidRPr="00BF6EBB" w:rsidRDefault="002E740F" w:rsidP="002E740F">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 xml:space="preserve"> </w:t>
      </w:r>
      <w:r w:rsidRPr="00BF6EBB">
        <w:tab/>
      </w:r>
      <w:r w:rsidRPr="00E24C55">
        <w:rPr>
          <w:b/>
        </w:rPr>
        <w:t>What was the total gain under FPL’s Incentive Mechanism approved by Order No. PSC-2016-0560-AS-EI that FPL may recover for the period January 2020</w:t>
      </w:r>
      <w:r>
        <w:rPr>
          <w:b/>
        </w:rPr>
        <w:t xml:space="preserve"> through December 2020, and how should that gain be shared between FPL and its customers?</w:t>
      </w:r>
    </w:p>
    <w:p w:rsidR="002E740F" w:rsidRDefault="002E740F" w:rsidP="002E740F"/>
    <w:p w:rsidR="002E740F" w:rsidRDefault="002E740F" w:rsidP="002E740F">
      <w:pPr>
        <w:ind w:left="1440" w:hanging="1440"/>
        <w:jc w:val="both"/>
      </w:pPr>
      <w:r>
        <w:rPr>
          <w:b/>
        </w:rPr>
        <w:t>Stipulation:</w:t>
      </w:r>
      <w:r>
        <w:rPr>
          <w:b/>
        </w:rPr>
        <w:tab/>
      </w:r>
      <w:r w:rsidRPr="006C045F">
        <w:t>FPL’s asset optimization activities in 2020 delivered total benefits of $46,135,050.  Of the total gains, FPL is allowed to retain $3,681,030.</w:t>
      </w:r>
    </w:p>
    <w:p w:rsidR="002E740F" w:rsidRPr="009D2548" w:rsidRDefault="002E740F" w:rsidP="002E740F"/>
    <w:p w:rsidR="002E740F" w:rsidRPr="00BF6EBB" w:rsidRDefault="002E740F" w:rsidP="002E740F">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r>
      <w:r w:rsidRPr="00E24C55">
        <w:rPr>
          <w:b/>
        </w:rPr>
        <w:t xml:space="preserve">What is the appropriate amount of Incremental Optimization Costs under FPL’s Incentive Mechanism approved by Order No. PSC-2016-0560-AS-EI that FPL should be allowed to recover through the fuel clause for Personnel, Software, and Hardware costs for the period January 2020 through December 2020?  </w:t>
      </w:r>
      <w:r w:rsidRPr="00BF6EBB">
        <w:t xml:space="preserve">                                                                    </w:t>
      </w:r>
    </w:p>
    <w:p w:rsidR="002E740F" w:rsidRDefault="002E740F" w:rsidP="002E740F"/>
    <w:p w:rsidR="002E740F" w:rsidRDefault="002E740F" w:rsidP="002E740F">
      <w:r>
        <w:rPr>
          <w:b/>
        </w:rPr>
        <w:t>Stipulation:</w:t>
      </w:r>
      <w:r>
        <w:rPr>
          <w:b/>
        </w:rPr>
        <w:tab/>
      </w:r>
      <w:r>
        <w:t>$512,326.</w:t>
      </w:r>
    </w:p>
    <w:p w:rsidR="002E740F" w:rsidRPr="009D2548" w:rsidRDefault="002E740F" w:rsidP="002E740F"/>
    <w:p w:rsidR="002E740F" w:rsidRPr="00BF6EBB" w:rsidRDefault="002E740F" w:rsidP="002E740F">
      <w:pPr>
        <w:autoSpaceDE w:val="0"/>
        <w:autoSpaceDN w:val="0"/>
        <w:adjustRightInd w:val="0"/>
        <w:ind w:left="1440" w:hanging="1440"/>
        <w:jc w:val="both"/>
      </w:pPr>
      <w:r w:rsidRPr="00BF6EBB">
        <w:rPr>
          <w:b/>
          <w:u w:val="single"/>
        </w:rPr>
        <w:t>ISSUE 2</w:t>
      </w:r>
      <w:r>
        <w:rPr>
          <w:b/>
          <w:u w:val="single"/>
        </w:rPr>
        <w:t>E</w:t>
      </w:r>
      <w:r w:rsidRPr="00BF6EBB">
        <w:rPr>
          <w:b/>
          <w:u w:val="single"/>
        </w:rPr>
        <w:t>:</w:t>
      </w:r>
      <w:r w:rsidRPr="00BF6EBB">
        <w:tab/>
      </w:r>
      <w:r w:rsidRPr="00E24C55">
        <w:rPr>
          <w:b/>
        </w:rPr>
        <w:t>What is the appropriate amount of Variable Power Plant O&amp;M Attributable to Off-System Sales under FPL’s Incentive Mechanism approved by Order No. PSC-2016-0560-AS-EI that FPL should be allowed to recover through the fuel clause for the period January 2020 through December 2020?</w:t>
      </w:r>
    </w:p>
    <w:p w:rsidR="002E740F" w:rsidRDefault="002E740F" w:rsidP="002E740F">
      <w:pPr>
        <w:rPr>
          <w:b/>
        </w:rPr>
      </w:pPr>
    </w:p>
    <w:p w:rsidR="002E740F" w:rsidRDefault="002E740F" w:rsidP="002E740F">
      <w:r>
        <w:rPr>
          <w:b/>
        </w:rPr>
        <w:t>Stipulation:</w:t>
      </w:r>
      <w:r>
        <w:rPr>
          <w:b/>
        </w:rPr>
        <w:tab/>
      </w:r>
      <w:r>
        <w:t>$1,827,307.</w:t>
      </w:r>
    </w:p>
    <w:p w:rsidR="002E740F" w:rsidRPr="009D2548" w:rsidRDefault="002E740F" w:rsidP="002E740F"/>
    <w:p w:rsidR="002E740F" w:rsidRDefault="002E740F" w:rsidP="002E740F">
      <w:pPr>
        <w:autoSpaceDE w:val="0"/>
        <w:autoSpaceDN w:val="0"/>
        <w:adjustRightInd w:val="0"/>
        <w:ind w:left="1440" w:hanging="1440"/>
        <w:jc w:val="both"/>
      </w:pPr>
      <w:r w:rsidRPr="00BF6EBB">
        <w:rPr>
          <w:b/>
          <w:u w:val="single"/>
        </w:rPr>
        <w:t>ISSUE 2</w:t>
      </w:r>
      <w:r>
        <w:rPr>
          <w:b/>
          <w:u w:val="single"/>
        </w:rPr>
        <w:t>F</w:t>
      </w:r>
      <w:r w:rsidRPr="00BF6EBB">
        <w:rPr>
          <w:b/>
          <w:u w:val="single"/>
        </w:rPr>
        <w:t>:</w:t>
      </w:r>
      <w:r w:rsidRPr="00BF6EBB">
        <w:tab/>
      </w:r>
      <w:r w:rsidRPr="00E24C55">
        <w:rPr>
          <w:b/>
        </w:rPr>
        <w:t>What is the appropriate amount of Variable Power Plant O&amp;M Avoided due to Economy Purchases under FPL’s Incentive Mechanism approved by Order No. PSC-2016-0560-AS-EI that FPL should be allowed to recover through the fuel clause for the period January 2020 through December 2020?</w:t>
      </w:r>
      <w:r w:rsidRPr="00BF6EBB">
        <w:t xml:space="preserve"> </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rPr>
          <w:bCs/>
        </w:rPr>
      </w:pPr>
      <w:r>
        <w:rPr>
          <w:b/>
        </w:rPr>
        <w:t>Stipulation:</w:t>
      </w:r>
      <w:r>
        <w:rPr>
          <w:b/>
        </w:rPr>
        <w:tab/>
      </w:r>
      <w:r>
        <w:rPr>
          <w:bCs/>
        </w:rPr>
        <w:t xml:space="preserve">FPL has included a credit of $167,870 as the amount of Incremental Optimization Costs under the </w:t>
      </w:r>
      <w:r>
        <w:t xml:space="preserve">Asset Optimization Program </w:t>
      </w:r>
      <w:r>
        <w:rPr>
          <w:bCs/>
        </w:rPr>
        <w:t xml:space="preserve">for variable power plant O&amp;M avoided due to economy purchases for the period January 2020 through December 2020. </w:t>
      </w:r>
    </w:p>
    <w:p w:rsidR="002E740F" w:rsidRPr="001136F4"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pPr>
      <w:r>
        <w:rPr>
          <w:b/>
          <w:u w:val="single"/>
        </w:rPr>
        <w:lastRenderedPageBreak/>
        <w:t>ISSUE 2G</w:t>
      </w:r>
      <w:r>
        <w:rPr>
          <w:b/>
        </w:rPr>
        <w:t>:</w:t>
      </w:r>
      <w:r>
        <w:rPr>
          <w:b/>
        </w:rPr>
        <w:tab/>
      </w:r>
      <w:r w:rsidRPr="00E24C55">
        <w:rPr>
          <w:b/>
        </w:rPr>
        <w:t>What is the appropriate subscription credit associated with FPL’s SolarTogether Program approved by Order No. PSC-2020-0084-S-EI, to be included for recovery in 2022?</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pPr>
      <w:r>
        <w:rPr>
          <w:b/>
        </w:rPr>
        <w:t>Stipulation:</w:t>
      </w:r>
      <w:r>
        <w:rPr>
          <w:b/>
        </w:rPr>
        <w:tab/>
      </w:r>
      <w:r>
        <w:t>$113,512,426.</w:t>
      </w:r>
    </w:p>
    <w:p w:rsidR="002E740F" w:rsidRPr="001136F4"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pPr>
      <w:r>
        <w:rPr>
          <w:b/>
          <w:u w:val="single"/>
        </w:rPr>
        <w:t>ISSUE 2H</w:t>
      </w:r>
      <w:r>
        <w:rPr>
          <w:b/>
        </w:rPr>
        <w:t>:</w:t>
      </w:r>
      <w:r>
        <w:tab/>
      </w:r>
      <w:r w:rsidRPr="00E24C55">
        <w:rPr>
          <w:b/>
        </w:rPr>
        <w:t>Should the Commission approve FPL’s 2022 Risk Management Plan?</w:t>
      </w:r>
      <w:r w:rsidRPr="00E24C55">
        <w:rPr>
          <w:rStyle w:val="FootnoteReference"/>
          <w:b/>
        </w:rPr>
        <w:footnoteReference w:id="4"/>
      </w:r>
      <w:r>
        <w:t xml:space="preserve"> </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rPr>
          <w:b/>
        </w:rPr>
      </w:pPr>
      <w:r>
        <w:rPr>
          <w:b/>
        </w:rPr>
        <w:t>Stipulation:</w:t>
      </w:r>
      <w:r>
        <w:rPr>
          <w:b/>
        </w:rPr>
        <w:tab/>
      </w:r>
      <w:r w:rsidRPr="00752AA3">
        <w:t>Yes.</w:t>
      </w:r>
      <w:r>
        <w:t xml:space="preserve">  FPL’s Risk Management Plan (RMP), which was filed as Exhibit GJY-2(S), contains no natural gas financial hedging transactions pursuant to the Settlement Agreement approved in Docket No. 20210015-EI.  The RMP complies with the Hedging Guidelines established by the Commission and should be approved.</w:t>
      </w:r>
    </w:p>
    <w:p w:rsidR="002E740F" w:rsidRDefault="002E740F" w:rsidP="002E740F">
      <w:pPr>
        <w:autoSpaceDE w:val="0"/>
        <w:autoSpaceDN w:val="0"/>
        <w:adjustRightInd w:val="0"/>
        <w:ind w:left="1440" w:hanging="1440"/>
        <w:jc w:val="both"/>
      </w:pPr>
    </w:p>
    <w:p w:rsidR="002E740F" w:rsidRDefault="002E740F" w:rsidP="002E740F">
      <w:pPr>
        <w:autoSpaceDE w:val="0"/>
        <w:autoSpaceDN w:val="0"/>
        <w:adjustRightInd w:val="0"/>
        <w:ind w:left="1440" w:hanging="1440"/>
        <w:jc w:val="both"/>
      </w:pPr>
      <w:r w:rsidRPr="000D5CEB">
        <w:rPr>
          <w:b/>
          <w:u w:val="single"/>
        </w:rPr>
        <w:t>ISSUE 2I</w:t>
      </w:r>
      <w:r>
        <w:rPr>
          <w:b/>
        </w:rPr>
        <w:t>:</w:t>
      </w:r>
      <w:r>
        <w:rPr>
          <w:b/>
        </w:rPr>
        <w:tab/>
      </w:r>
      <w:r w:rsidRPr="00E24C55">
        <w:rPr>
          <w:b/>
        </w:rPr>
        <w:t>What is the appropriate revised base rate adjustment factor for the Okeechobee Clean Energy Center (OCEC) limited scope adjustment (LSA) to reflect actual construction costs that are less than the projected costs used to develop the initial factor?</w:t>
      </w:r>
    </w:p>
    <w:p w:rsidR="002E740F" w:rsidRDefault="002E740F" w:rsidP="002E740F">
      <w:pPr>
        <w:autoSpaceDE w:val="0"/>
        <w:autoSpaceDN w:val="0"/>
        <w:adjustRightInd w:val="0"/>
        <w:ind w:left="1440" w:hanging="1440"/>
        <w:jc w:val="both"/>
        <w:rPr>
          <w:b/>
        </w:rPr>
      </w:pPr>
    </w:p>
    <w:p w:rsidR="002E740F" w:rsidRPr="00752AA3" w:rsidRDefault="002E740F" w:rsidP="002E740F">
      <w:pPr>
        <w:autoSpaceDE w:val="0"/>
        <w:autoSpaceDN w:val="0"/>
        <w:adjustRightInd w:val="0"/>
        <w:ind w:left="1440" w:hanging="1440"/>
        <w:jc w:val="both"/>
      </w:pPr>
      <w:r>
        <w:rPr>
          <w:b/>
        </w:rPr>
        <w:t>Stipulation:</w:t>
      </w:r>
      <w:r>
        <w:rPr>
          <w:b/>
        </w:rPr>
        <w:tab/>
      </w:r>
      <w:r w:rsidRPr="00752AA3">
        <w:t>3.014%.</w:t>
      </w:r>
    </w:p>
    <w:p w:rsidR="002E740F" w:rsidRPr="000D5CEB" w:rsidRDefault="002E740F" w:rsidP="002E740F">
      <w:pPr>
        <w:autoSpaceDE w:val="0"/>
        <w:autoSpaceDN w:val="0"/>
        <w:adjustRightInd w:val="0"/>
        <w:ind w:left="1440" w:hanging="1440"/>
        <w:jc w:val="both"/>
        <w:rPr>
          <w:b/>
        </w:rPr>
      </w:pPr>
    </w:p>
    <w:p w:rsidR="002E740F" w:rsidRPr="001136F4" w:rsidRDefault="002E740F" w:rsidP="002E740F">
      <w:pPr>
        <w:ind w:left="1440" w:hanging="1440"/>
        <w:jc w:val="both"/>
      </w:pPr>
      <w:r w:rsidRPr="001136F4">
        <w:rPr>
          <w:b/>
          <w:u w:val="single"/>
        </w:rPr>
        <w:t>ISSUE 2J</w:t>
      </w:r>
      <w:r w:rsidRPr="001136F4">
        <w:rPr>
          <w:b/>
        </w:rPr>
        <w:t>:</w:t>
      </w:r>
      <w:r w:rsidRPr="001136F4">
        <w:tab/>
      </w:r>
      <w:r w:rsidRPr="00E24C55">
        <w:rPr>
          <w:b/>
        </w:rPr>
        <w:t>Has FPL appropriately accounted for any redispatch related to its 2022 operation of the NFRC in its 2022 projections?  If not, what adjustment, if any, should be made?</w:t>
      </w:r>
    </w:p>
    <w:p w:rsidR="002E740F" w:rsidRPr="00752AA3" w:rsidRDefault="002E740F" w:rsidP="002E740F">
      <w:pPr>
        <w:rPr>
          <w:i/>
        </w:rPr>
      </w:pPr>
    </w:p>
    <w:p w:rsidR="002E740F" w:rsidRPr="001136F4" w:rsidRDefault="002E740F" w:rsidP="002E740F">
      <w:pPr>
        <w:ind w:left="1440" w:hanging="1440"/>
        <w:jc w:val="both"/>
      </w:pPr>
      <w:r w:rsidRPr="001136F4">
        <w:rPr>
          <w:b/>
        </w:rPr>
        <w:t>Stipulation:</w:t>
      </w:r>
      <w:r w:rsidRPr="001136F4">
        <w:rPr>
          <w:b/>
        </w:rPr>
        <w:tab/>
      </w:r>
      <w:r>
        <w:rPr>
          <w:bCs/>
        </w:rPr>
        <w:t>Yes.  FPL’s fuel projections for 2022 are based on the economic dispatch of its system under normal operating conditions and therefore, do not include any potential redispatch related to the operation of the NFRC, or any other contingency.   FPL does not adjust its projection model to account for real-time contingencies or system conditions, that may or may not occur, that would necessitate the redispatch of generation to alleviate transmission issues. </w:t>
      </w:r>
      <w:r>
        <w:rPr>
          <w:b/>
        </w:rPr>
        <w:t xml:space="preserve"> </w:t>
      </w:r>
      <w:r>
        <w:rPr>
          <w:bCs/>
        </w:rPr>
        <w:t>As is the case for all redispatch occurrences, any redispatch related to the operation of the NFRC will be reflected as actuals in the subsequent actual/estimated and true-up filings.  The OPC reserves the right to contest any costs related to redispatch of transmission that may be included in subsequent actual/estimated and true-up filings.</w:t>
      </w:r>
    </w:p>
    <w:p w:rsidR="002E740F" w:rsidRDefault="002E740F" w:rsidP="002E740F">
      <w:pPr>
        <w:ind w:left="1440" w:hanging="1440"/>
        <w:jc w:val="both"/>
        <w:rPr>
          <w:b/>
          <w:u w:val="single"/>
        </w:rPr>
      </w:pPr>
    </w:p>
    <w:p w:rsidR="002E740F" w:rsidRPr="0034081C" w:rsidRDefault="002E740F" w:rsidP="002E740F">
      <w:pPr>
        <w:jc w:val="both"/>
        <w:rPr>
          <w:b/>
          <w:bCs/>
        </w:rPr>
      </w:pPr>
      <w:r w:rsidRPr="0034081C">
        <w:rPr>
          <w:b/>
        </w:rPr>
        <w:t>F</w:t>
      </w:r>
      <w:r w:rsidRPr="0034081C">
        <w:rPr>
          <w:b/>
          <w:bCs/>
        </w:rPr>
        <w:t>lorida Public Utilities Company</w:t>
      </w:r>
    </w:p>
    <w:p w:rsidR="002E740F" w:rsidRPr="00BF6EBB" w:rsidRDefault="002E740F" w:rsidP="002E740F">
      <w:pPr>
        <w:autoSpaceDE w:val="0"/>
        <w:autoSpaceDN w:val="0"/>
        <w:adjustRightInd w:val="0"/>
        <w:jc w:val="both"/>
      </w:pPr>
    </w:p>
    <w:p w:rsidR="002E740F" w:rsidRPr="000D5CEB" w:rsidRDefault="002E740F" w:rsidP="002E740F">
      <w:pPr>
        <w:autoSpaceDE w:val="0"/>
        <w:autoSpaceDN w:val="0"/>
        <w:adjustRightInd w:val="0"/>
        <w:ind w:left="1440" w:hanging="1440"/>
        <w:jc w:val="both"/>
        <w:rPr>
          <w:bCs/>
        </w:rPr>
      </w:pPr>
      <w:r>
        <w:rPr>
          <w:b/>
          <w:bCs/>
          <w:u w:val="single"/>
        </w:rPr>
        <w:t>ISSUE 3A</w:t>
      </w:r>
      <w:r>
        <w:rPr>
          <w:b/>
          <w:bCs/>
        </w:rPr>
        <w:t>:</w:t>
      </w:r>
      <w:r>
        <w:rPr>
          <w:b/>
          <w:bCs/>
        </w:rPr>
        <w:tab/>
      </w:r>
      <w:r w:rsidRPr="00E24C55">
        <w:rPr>
          <w:b/>
          <w:bCs/>
        </w:rPr>
        <w:t>Should an adjustment be made to remove any legal and/or consultant fees included for recovery in FPUC’s 2022 fuel factors?</w:t>
      </w:r>
    </w:p>
    <w:p w:rsidR="002E740F" w:rsidRDefault="002E740F" w:rsidP="002E740F">
      <w:pPr>
        <w:autoSpaceDE w:val="0"/>
        <w:autoSpaceDN w:val="0"/>
        <w:adjustRightInd w:val="0"/>
        <w:jc w:val="both"/>
        <w:rPr>
          <w:b/>
          <w:bCs/>
        </w:rPr>
      </w:pPr>
    </w:p>
    <w:p w:rsidR="002E740F" w:rsidRDefault="002E740F" w:rsidP="002E740F">
      <w:pPr>
        <w:autoSpaceDE w:val="0"/>
        <w:autoSpaceDN w:val="0"/>
        <w:adjustRightInd w:val="0"/>
        <w:ind w:left="1440" w:hanging="1440"/>
        <w:jc w:val="both"/>
      </w:pPr>
      <w:r>
        <w:rPr>
          <w:b/>
        </w:rPr>
        <w:t>Stipulation:</w:t>
      </w:r>
      <w:r>
        <w:rPr>
          <w:b/>
        </w:rPr>
        <w:tab/>
      </w:r>
      <w:r>
        <w:t xml:space="preserve">OPC and the utility agree that recovery by FPUC of legal and/or consultant fees through the Fuel Clause is a broader issue involving a potential shift from past </w:t>
      </w:r>
      <w:r>
        <w:lastRenderedPageBreak/>
        <w:t xml:space="preserve">Fuel Clause precedent, as well as the consideration of recovering some, or all, of these costs in the Company’s base rates.  Given the complexity of this analysis and the current docket schedule, the parties agree to further discuss whether this issue is appropriate for consideration in the 2022 Fuel Proceeding, or in the Company’s next base rate case.  As such, the parties agree that a decision on this issue is not necessary or appropriate at this time.  The parties further agree that the legal and/or consultant fees submitted for recovery in this docket will remain subject to refund or true-up in the subsequent proceeding wherein they are addressed pursuant to this stipulation.   </w:t>
      </w:r>
    </w:p>
    <w:p w:rsidR="002E740F" w:rsidRDefault="002E740F" w:rsidP="002E740F">
      <w:pPr>
        <w:autoSpaceDE w:val="0"/>
        <w:autoSpaceDN w:val="0"/>
        <w:adjustRightInd w:val="0"/>
        <w:jc w:val="both"/>
        <w:rPr>
          <w:bCs/>
        </w:rPr>
      </w:pPr>
    </w:p>
    <w:p w:rsidR="002E740F" w:rsidRPr="00BF6EBB" w:rsidRDefault="002E740F" w:rsidP="002E740F">
      <w:pPr>
        <w:autoSpaceDE w:val="0"/>
        <w:autoSpaceDN w:val="0"/>
        <w:adjustRightInd w:val="0"/>
        <w:jc w:val="both"/>
        <w:rPr>
          <w:b/>
          <w:bCs/>
        </w:rPr>
      </w:pPr>
      <w:r w:rsidRPr="00BF6EBB">
        <w:rPr>
          <w:b/>
          <w:bCs/>
        </w:rPr>
        <w:t>Gulf Power Company</w:t>
      </w:r>
    </w:p>
    <w:p w:rsidR="002E740F" w:rsidRDefault="002E740F" w:rsidP="002E740F">
      <w:pPr>
        <w:autoSpaceDE w:val="0"/>
        <w:autoSpaceDN w:val="0"/>
        <w:adjustRightInd w:val="0"/>
        <w:ind w:left="1440" w:hanging="1440"/>
        <w:jc w:val="both"/>
        <w:rPr>
          <w:b/>
          <w:u w:val="single"/>
        </w:rPr>
      </w:pPr>
    </w:p>
    <w:p w:rsidR="002E740F" w:rsidRPr="00CA6EE4" w:rsidRDefault="002E740F" w:rsidP="002E740F">
      <w:pPr>
        <w:autoSpaceDE w:val="0"/>
        <w:autoSpaceDN w:val="0"/>
        <w:adjustRightInd w:val="0"/>
        <w:ind w:left="1440" w:hanging="1440"/>
        <w:jc w:val="both"/>
      </w:pPr>
      <w:r>
        <w:rPr>
          <w:b/>
          <w:bCs/>
          <w:u w:val="single"/>
        </w:rPr>
        <w:t>ISSUE 4A</w:t>
      </w:r>
      <w:r>
        <w:rPr>
          <w:b/>
          <w:bCs/>
        </w:rPr>
        <w:t>:</w:t>
      </w:r>
      <w:r>
        <w:rPr>
          <w:b/>
          <w:bCs/>
        </w:rPr>
        <w:tab/>
      </w:r>
      <w:r w:rsidRPr="00E24C55">
        <w:rPr>
          <w:b/>
        </w:rPr>
        <w:t>Should the Commission approve FPL’s 2022 Risk Management Plan?</w:t>
      </w:r>
      <w:r>
        <w:t xml:space="preserve"> </w:t>
      </w:r>
    </w:p>
    <w:p w:rsidR="002E740F" w:rsidRPr="00CA6EE4" w:rsidRDefault="002E740F" w:rsidP="002E740F">
      <w:pPr>
        <w:rPr>
          <w:bCs/>
        </w:rPr>
      </w:pPr>
      <w:r>
        <w:rPr>
          <w:b/>
          <w:bCs/>
        </w:rPr>
        <w:tab/>
      </w:r>
    </w:p>
    <w:p w:rsidR="002E740F" w:rsidRDefault="002E740F" w:rsidP="002E740F">
      <w:pPr>
        <w:autoSpaceDE w:val="0"/>
        <w:autoSpaceDN w:val="0"/>
        <w:adjustRightInd w:val="0"/>
        <w:ind w:left="1440" w:hanging="1440"/>
        <w:jc w:val="both"/>
        <w:rPr>
          <w:bCs/>
        </w:rPr>
      </w:pPr>
      <w:r>
        <w:rPr>
          <w:b/>
        </w:rPr>
        <w:t>Stipulation:</w:t>
      </w:r>
      <w:r>
        <w:rPr>
          <w:b/>
        </w:rPr>
        <w:tab/>
      </w:r>
      <w:r>
        <w:rPr>
          <w:bCs/>
        </w:rPr>
        <w:t>Yes.  FPL and Gulf filed a single 2022 Risk Management Plan (RMP) applicable to both utilities.  The RMP, which was filed as Exhibit GJY-2(S), contains no natural gas hedging transactions pursuant to the Settlement Agreement approved in Docket No. 20210015-EI.  The RMP complies with the Hedging Guidelines established by this Commission and should be approved.</w:t>
      </w:r>
    </w:p>
    <w:p w:rsidR="002E740F" w:rsidRDefault="002E740F" w:rsidP="002E740F">
      <w:pPr>
        <w:rPr>
          <w:b/>
          <w:bCs/>
        </w:rPr>
      </w:pPr>
    </w:p>
    <w:p w:rsidR="002E740F" w:rsidRPr="00BF6EBB" w:rsidRDefault="002E740F" w:rsidP="002E740F">
      <w:pPr>
        <w:rPr>
          <w:b/>
          <w:bCs/>
        </w:rPr>
      </w:pPr>
      <w:r w:rsidRPr="00BF6EBB">
        <w:rPr>
          <w:b/>
          <w:bCs/>
        </w:rPr>
        <w:t xml:space="preserve">Tampa Electric Company </w:t>
      </w:r>
    </w:p>
    <w:p w:rsidR="002E740F" w:rsidRPr="00BF6EBB" w:rsidRDefault="002E740F" w:rsidP="002E740F">
      <w:pPr>
        <w:autoSpaceDE w:val="0"/>
        <w:autoSpaceDN w:val="0"/>
        <w:adjustRightInd w:val="0"/>
        <w:jc w:val="both"/>
        <w:rPr>
          <w:bCs/>
        </w:rPr>
      </w:pPr>
    </w:p>
    <w:p w:rsidR="002E740F" w:rsidRDefault="002E740F" w:rsidP="002E740F">
      <w:pPr>
        <w:autoSpaceDE w:val="0"/>
        <w:autoSpaceDN w:val="0"/>
        <w:adjustRightInd w:val="0"/>
        <w:ind w:left="1440" w:hanging="1440"/>
        <w:jc w:val="both"/>
      </w:pPr>
      <w:r w:rsidRPr="00BF6EBB">
        <w:rPr>
          <w:b/>
          <w:u w:val="single"/>
        </w:rPr>
        <w:t xml:space="preserve">ISSUE </w:t>
      </w:r>
      <w:r w:rsidRPr="00520C62">
        <w:rPr>
          <w:b/>
          <w:u w:val="single"/>
        </w:rPr>
        <w:t>5A</w:t>
      </w:r>
      <w:r w:rsidRPr="00BF6EBB">
        <w:rPr>
          <w:b/>
        </w:rPr>
        <w:t>:</w:t>
      </w:r>
      <w:r w:rsidRPr="00BF6EBB">
        <w:t xml:space="preserve"> </w:t>
      </w:r>
      <w:r w:rsidRPr="00BF6EBB">
        <w:tab/>
      </w:r>
      <w:r w:rsidRPr="00E24C55">
        <w:rPr>
          <w:b/>
        </w:rPr>
        <w:t>What was the total gain under TECO’s Optimization Mechanism approved by Order No. PSC-2017-0456-S-EI that TECO may recover for the period January 2020 through December 2020, and how should that gain to be shared between TECO and customers?</w:t>
      </w:r>
      <w:r w:rsidRPr="00BF6EBB">
        <w:t xml:space="preserve"> </w:t>
      </w:r>
    </w:p>
    <w:p w:rsidR="002E740F" w:rsidRPr="00BF6EBB" w:rsidRDefault="002E740F" w:rsidP="002E740F">
      <w:pPr>
        <w:autoSpaceDE w:val="0"/>
        <w:autoSpaceDN w:val="0"/>
        <w:adjustRightInd w:val="0"/>
        <w:ind w:left="1440" w:hanging="1440"/>
        <w:jc w:val="both"/>
        <w:rPr>
          <w:b/>
          <w:bCs/>
          <w:u w:val="single"/>
        </w:rPr>
      </w:pPr>
    </w:p>
    <w:p w:rsidR="002E740F" w:rsidRDefault="002E740F" w:rsidP="002E740F">
      <w:pPr>
        <w:tabs>
          <w:tab w:val="left" w:pos="8571"/>
        </w:tabs>
        <w:autoSpaceDE w:val="0"/>
        <w:autoSpaceDN w:val="0"/>
        <w:adjustRightInd w:val="0"/>
        <w:ind w:left="1440" w:hanging="1440"/>
        <w:jc w:val="both"/>
      </w:pPr>
      <w:r>
        <w:rPr>
          <w:b/>
        </w:rPr>
        <w:t>Stipulation:</w:t>
      </w:r>
      <w:r>
        <w:rPr>
          <w:b/>
        </w:rPr>
        <w:tab/>
      </w:r>
      <w:r>
        <w:t>Total gains were $6,642,047.  TECO customers receive $5,356,819 and TECO receives $1,285,228.</w:t>
      </w:r>
    </w:p>
    <w:p w:rsidR="002E740F" w:rsidRPr="004D7833" w:rsidRDefault="002E740F" w:rsidP="002E740F">
      <w:pPr>
        <w:tabs>
          <w:tab w:val="left" w:pos="8571"/>
        </w:tabs>
        <w:autoSpaceDE w:val="0"/>
        <w:autoSpaceDN w:val="0"/>
        <w:adjustRightInd w:val="0"/>
        <w:ind w:left="1440" w:hanging="1440"/>
        <w:jc w:val="both"/>
      </w:pPr>
    </w:p>
    <w:p w:rsidR="002E740F" w:rsidRPr="000D5CEB" w:rsidRDefault="002E740F" w:rsidP="002E740F">
      <w:pPr>
        <w:tabs>
          <w:tab w:val="left" w:pos="8571"/>
        </w:tabs>
        <w:autoSpaceDE w:val="0"/>
        <w:autoSpaceDN w:val="0"/>
        <w:adjustRightInd w:val="0"/>
        <w:ind w:left="1440" w:hanging="1440"/>
        <w:jc w:val="both"/>
      </w:pPr>
      <w:r w:rsidRPr="000D5CEB">
        <w:rPr>
          <w:b/>
          <w:u w:val="single"/>
        </w:rPr>
        <w:t>ISSUE 5B</w:t>
      </w:r>
      <w:r w:rsidRPr="000D5CEB">
        <w:rPr>
          <w:b/>
        </w:rPr>
        <w:t>:</w:t>
      </w:r>
      <w:r>
        <w:rPr>
          <w:b/>
        </w:rPr>
        <w:tab/>
      </w:r>
      <w:r w:rsidRPr="00E24C55">
        <w:rPr>
          <w:b/>
        </w:rPr>
        <w:t>Should the Commission take any action related to the optimization mechanism regarding pipeline capacity release gains or coal car leases for the period of October 21, 2021, through December 31, 2021?</w:t>
      </w:r>
    </w:p>
    <w:p w:rsidR="002E740F" w:rsidRDefault="002E740F" w:rsidP="002E740F">
      <w:pPr>
        <w:tabs>
          <w:tab w:val="left" w:pos="8571"/>
        </w:tabs>
        <w:autoSpaceDE w:val="0"/>
        <w:autoSpaceDN w:val="0"/>
        <w:adjustRightInd w:val="0"/>
        <w:ind w:left="1440" w:hanging="1440"/>
        <w:jc w:val="both"/>
        <w:rPr>
          <w:b/>
        </w:rPr>
      </w:pPr>
    </w:p>
    <w:p w:rsidR="002E740F" w:rsidRDefault="002E740F" w:rsidP="002E740F">
      <w:pPr>
        <w:tabs>
          <w:tab w:val="left" w:pos="8571"/>
        </w:tabs>
        <w:autoSpaceDE w:val="0"/>
        <w:autoSpaceDN w:val="0"/>
        <w:adjustRightInd w:val="0"/>
        <w:ind w:left="1440" w:hanging="1440"/>
        <w:jc w:val="both"/>
        <w:rPr>
          <w:bCs/>
        </w:rPr>
      </w:pPr>
      <w:r>
        <w:rPr>
          <w:b/>
        </w:rPr>
        <w:t>Stipulation:</w:t>
      </w:r>
      <w:r>
        <w:rPr>
          <w:b/>
        </w:rPr>
        <w:tab/>
      </w:r>
      <w:r w:rsidRPr="00877326">
        <w:rPr>
          <w:bCs/>
        </w:rPr>
        <w:t>No. The Parties agree that TECO does not intend to engage in transactions described in Paragraph 12(i)-(ii) of the proposed 2021 Settlement Agreement during that time, and that no adjustment to Asset Optimization Mechanism sharing is required (notwithstanding the 2017 Settlement Agreement). Nevertheless, the Parties agree that to the extent circumstances change, sharing can be trued-up/adjusted in a future proceeding.</w:t>
      </w:r>
    </w:p>
    <w:p w:rsidR="002E740F" w:rsidRDefault="002E740F" w:rsidP="002E740F">
      <w:pPr>
        <w:rPr>
          <w:b/>
        </w:rPr>
      </w:pPr>
    </w:p>
    <w:p w:rsidR="002E740F" w:rsidRPr="00BF6EBB" w:rsidRDefault="002E740F" w:rsidP="002E740F">
      <w:pPr>
        <w:rPr>
          <w:b/>
        </w:rPr>
      </w:pPr>
      <w:r w:rsidRPr="00BF6EBB">
        <w:rPr>
          <w:b/>
        </w:rPr>
        <w:t>GENERIC FUEL ADJUSTMENT ISSUES</w:t>
      </w:r>
    </w:p>
    <w:p w:rsidR="002E740F" w:rsidRPr="00BF6EBB" w:rsidRDefault="002E740F" w:rsidP="002E740F">
      <w:pPr>
        <w:tabs>
          <w:tab w:val="left" w:pos="8571"/>
        </w:tabs>
        <w:autoSpaceDE w:val="0"/>
        <w:autoSpaceDN w:val="0"/>
        <w:adjustRightInd w:val="0"/>
        <w:ind w:left="1440" w:hanging="1440"/>
        <w:jc w:val="both"/>
      </w:pPr>
    </w:p>
    <w:p w:rsidR="002E740F" w:rsidRPr="00BF6EBB" w:rsidRDefault="002E740F" w:rsidP="002E740F">
      <w:pPr>
        <w:autoSpaceDE w:val="0"/>
        <w:autoSpaceDN w:val="0"/>
        <w:adjustRightInd w:val="0"/>
        <w:ind w:left="1440" w:hanging="1440"/>
        <w:jc w:val="both"/>
      </w:pPr>
      <w:r w:rsidRPr="00BF6EBB">
        <w:rPr>
          <w:b/>
          <w:bCs/>
          <w:u w:val="single"/>
        </w:rPr>
        <w:lastRenderedPageBreak/>
        <w:t>ISSUE 6</w:t>
      </w:r>
      <w:r w:rsidRPr="00BF6EBB">
        <w:t>:</w:t>
      </w:r>
      <w:r w:rsidRPr="00BF6EBB">
        <w:tab/>
      </w:r>
      <w:r w:rsidRPr="00E24C55">
        <w:rPr>
          <w:b/>
        </w:rPr>
        <w:t>What are the appropriate actual benchmark levels for calendar year 2021 for gains on non-separated wholesale energy sales eligible for a shareholder incentive?</w:t>
      </w:r>
      <w:r w:rsidRPr="00BF6EBB">
        <w:t xml:space="preserve"> </w:t>
      </w:r>
    </w:p>
    <w:p w:rsidR="002E740F" w:rsidRDefault="002E740F" w:rsidP="002E740F">
      <w:pPr>
        <w:ind w:left="1440" w:hanging="1440"/>
        <w:jc w:val="both"/>
        <w:rPr>
          <w:b/>
          <w:bCs/>
          <w:u w:val="single"/>
        </w:rPr>
      </w:pPr>
    </w:p>
    <w:p w:rsidR="002E740F" w:rsidRDefault="002E740F" w:rsidP="002E740F">
      <w:pPr>
        <w:ind w:left="1440" w:hanging="1440"/>
        <w:jc w:val="both"/>
        <w:rPr>
          <w:b/>
        </w:rPr>
      </w:pPr>
      <w:r>
        <w:rPr>
          <w:b/>
        </w:rPr>
        <w:t>Stipulation:</w:t>
      </w:r>
      <w:r>
        <w:rPr>
          <w:b/>
        </w:rPr>
        <w:tab/>
      </w:r>
    </w:p>
    <w:p w:rsidR="002E740F" w:rsidRPr="004D7833" w:rsidRDefault="002E740F" w:rsidP="002E740F">
      <w:pPr>
        <w:ind w:left="1440" w:hanging="1440"/>
        <w:jc w:val="both"/>
      </w:pPr>
      <w:r>
        <w:rPr>
          <w:b/>
        </w:rPr>
        <w:t>DEF:</w:t>
      </w:r>
      <w:r>
        <w:rPr>
          <w:b/>
        </w:rPr>
        <w:tab/>
      </w:r>
      <w:r>
        <w:t>$1,714,254</w:t>
      </w:r>
    </w:p>
    <w:p w:rsidR="002E740F" w:rsidRDefault="002E740F" w:rsidP="002E740F">
      <w:pPr>
        <w:ind w:left="1440" w:hanging="1440"/>
        <w:jc w:val="both"/>
        <w:rPr>
          <w:b/>
        </w:rPr>
      </w:pPr>
    </w:p>
    <w:p w:rsidR="002E740F" w:rsidRDefault="002E740F" w:rsidP="002E740F">
      <w:pPr>
        <w:ind w:left="1440" w:hanging="1440"/>
        <w:jc w:val="both"/>
        <w:rPr>
          <w:b/>
        </w:rPr>
      </w:pPr>
      <w:r>
        <w:rPr>
          <w:b/>
        </w:rPr>
        <w:t>FPL:</w:t>
      </w:r>
      <w:r>
        <w:rPr>
          <w:b/>
        </w:rPr>
        <w:tab/>
      </w:r>
      <w:r>
        <w:rPr>
          <w:bCs/>
        </w:rPr>
        <w:t>FPL’s revised Asset Optimization Program approved by the Commission in Order No. PSC-16-0560-AS-EI does not rely upon the three-year average Shareholder Incentive Benchmark specified in Order No. PSC-00-1744-PAA-EI, so it is not applicable to FPL for calendar year 2021.</w:t>
      </w:r>
    </w:p>
    <w:p w:rsidR="002E740F" w:rsidRDefault="002E740F" w:rsidP="002E740F">
      <w:pPr>
        <w:ind w:left="1440" w:hanging="1440"/>
        <w:jc w:val="both"/>
        <w:rPr>
          <w:b/>
        </w:rPr>
      </w:pPr>
    </w:p>
    <w:p w:rsidR="002E740F" w:rsidRDefault="002E740F" w:rsidP="002E740F">
      <w:pPr>
        <w:ind w:left="1440" w:hanging="1440"/>
        <w:jc w:val="both"/>
        <w:rPr>
          <w:b/>
        </w:rPr>
      </w:pPr>
      <w:r>
        <w:rPr>
          <w:b/>
        </w:rPr>
        <w:t>Gulf:</w:t>
      </w:r>
      <w:r>
        <w:rPr>
          <w:b/>
        </w:rPr>
        <w:tab/>
      </w:r>
      <w:r>
        <w:rPr>
          <w:bCs/>
        </w:rPr>
        <w:t>FPL’s revised Asset Optimization Program approved by the Commission in Order No. PSC-16-0560-AS-EI does not rely upon the three-year average Shareholder Incentive Benchmark specified in Order No. PSC-00-1744-PAA-EI, so it is not applicable to FPL for calendar year 2021.</w:t>
      </w:r>
    </w:p>
    <w:p w:rsidR="002E740F" w:rsidRDefault="002E740F" w:rsidP="002E740F">
      <w:pPr>
        <w:ind w:left="1440" w:hanging="1440"/>
        <w:jc w:val="both"/>
        <w:rPr>
          <w:b/>
        </w:rPr>
      </w:pPr>
    </w:p>
    <w:p w:rsidR="002E740F" w:rsidRDefault="002E740F" w:rsidP="002E740F">
      <w:pPr>
        <w:ind w:left="1440" w:hanging="1440"/>
        <w:jc w:val="both"/>
        <w:rPr>
          <w:b/>
        </w:rPr>
      </w:pPr>
      <w:r>
        <w:rPr>
          <w:b/>
        </w:rPr>
        <w:t>TECO:</w:t>
      </w:r>
      <w:r>
        <w:rPr>
          <w:b/>
        </w:rPr>
        <w:tab/>
      </w:r>
      <w:r>
        <w:rPr>
          <w:rFonts w:cs="Arial"/>
          <w:spacing w:val="-3"/>
        </w:rPr>
        <w:t xml:space="preserve">The company did not set an actual benchmark level for calendar year 2021.  Pursuant to Tampa Electric’s amended and restated settlement agreement approved by Order No.  PSC-2017-0456-S-EI, the company’s Optimization Mechanism replaces the </w:t>
      </w:r>
      <w:r>
        <w:t>non-separated wholesale energy sales incentive</w:t>
      </w:r>
      <w:r>
        <w:rPr>
          <w:rFonts w:cs="Arial"/>
        </w:rPr>
        <w:t>.</w:t>
      </w:r>
    </w:p>
    <w:p w:rsidR="002E740F" w:rsidRDefault="002E740F" w:rsidP="002E740F">
      <w:pPr>
        <w:ind w:left="1440" w:hanging="1440"/>
        <w:jc w:val="both"/>
        <w:rPr>
          <w:b/>
          <w:bCs/>
          <w:u w:val="single"/>
        </w:rPr>
      </w:pPr>
    </w:p>
    <w:p w:rsidR="002E740F" w:rsidRPr="00BF6EBB" w:rsidRDefault="002E740F" w:rsidP="002E740F">
      <w:pPr>
        <w:ind w:left="1440" w:hanging="1440"/>
        <w:jc w:val="both"/>
        <w:rPr>
          <w:b/>
          <w:bCs/>
          <w:u w:val="single"/>
        </w:rPr>
      </w:pPr>
      <w:r w:rsidRPr="00BF6EBB">
        <w:rPr>
          <w:b/>
          <w:bCs/>
          <w:u w:val="single"/>
        </w:rPr>
        <w:t>ISSUE 7</w:t>
      </w:r>
      <w:r w:rsidRPr="00BF6EBB">
        <w:t>:</w:t>
      </w:r>
      <w:r w:rsidRPr="00BF6EBB">
        <w:tab/>
      </w:r>
      <w:r w:rsidRPr="00E24C55">
        <w:rPr>
          <w:b/>
        </w:rPr>
        <w:t xml:space="preserve">What are the appropriate estimated benchmark levels for calendar year 2022 for gains on non-separated wholesale energy sales eligible for a shareholder incentive? </w:t>
      </w:r>
    </w:p>
    <w:p w:rsidR="002E740F" w:rsidRDefault="002E740F" w:rsidP="002E740F">
      <w:pPr>
        <w:autoSpaceDE w:val="0"/>
        <w:autoSpaceDN w:val="0"/>
        <w:adjustRightInd w:val="0"/>
        <w:ind w:left="1440" w:hanging="1440"/>
        <w:jc w:val="both"/>
        <w:rPr>
          <w:b/>
          <w:bCs/>
          <w:u w:val="single"/>
        </w:rPr>
      </w:pPr>
    </w:p>
    <w:p w:rsidR="002E740F" w:rsidRDefault="002E740F" w:rsidP="002E740F">
      <w:pPr>
        <w:autoSpaceDE w:val="0"/>
        <w:autoSpaceDN w:val="0"/>
        <w:adjustRightInd w:val="0"/>
        <w:ind w:left="1440" w:hanging="1440"/>
        <w:jc w:val="both"/>
        <w:rPr>
          <w:b/>
        </w:rPr>
      </w:pPr>
      <w:r>
        <w:rPr>
          <w:b/>
        </w:rPr>
        <w:t>Stipulation:</w:t>
      </w:r>
    </w:p>
    <w:p w:rsidR="002E740F" w:rsidRDefault="002E740F" w:rsidP="002E740F">
      <w:pPr>
        <w:autoSpaceDE w:val="0"/>
        <w:autoSpaceDN w:val="0"/>
        <w:adjustRightInd w:val="0"/>
        <w:ind w:left="1440" w:hanging="1440"/>
        <w:jc w:val="both"/>
        <w:rPr>
          <w:b/>
        </w:rPr>
      </w:pPr>
      <w:r>
        <w:rPr>
          <w:b/>
        </w:rPr>
        <w:t>DEF:</w:t>
      </w:r>
      <w:r>
        <w:rPr>
          <w:b/>
        </w:rPr>
        <w:tab/>
      </w:r>
      <w:r w:rsidRPr="000A1449">
        <w:t>$1,408,076.</w:t>
      </w:r>
    </w:p>
    <w:p w:rsidR="002E740F"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rPr>
          <w:b/>
        </w:rPr>
      </w:pPr>
      <w:r>
        <w:rPr>
          <w:b/>
        </w:rPr>
        <w:t>FPL:</w:t>
      </w:r>
      <w:r>
        <w:rPr>
          <w:b/>
        </w:rPr>
        <w:tab/>
      </w:r>
      <w:r>
        <w:rPr>
          <w:bCs/>
        </w:rPr>
        <w:t xml:space="preserve">If the </w:t>
      </w:r>
      <w:r>
        <w:t>Commission approves the rate Settlement Agreement proposed in Docket No. 20210015-EI, the Asset Optimization Program contained therein does not rely upon the three-year average Shareholder Incentive Benchmark specified in Order No. PSC-00-1744-PAA-EI, so it would not be applicable to FPL for calendar year 2022.</w:t>
      </w:r>
    </w:p>
    <w:p w:rsidR="002E740F" w:rsidRDefault="002E740F" w:rsidP="002E740F">
      <w:pPr>
        <w:autoSpaceDE w:val="0"/>
        <w:autoSpaceDN w:val="0"/>
        <w:adjustRightInd w:val="0"/>
        <w:ind w:left="1440" w:hanging="1440"/>
        <w:jc w:val="both"/>
        <w:rPr>
          <w:b/>
        </w:rPr>
      </w:pPr>
    </w:p>
    <w:p w:rsidR="002E740F" w:rsidRDefault="002E740F" w:rsidP="002E740F">
      <w:pPr>
        <w:autoSpaceDE w:val="0"/>
        <w:autoSpaceDN w:val="0"/>
        <w:adjustRightInd w:val="0"/>
        <w:ind w:left="1440" w:hanging="1440"/>
        <w:jc w:val="both"/>
        <w:rPr>
          <w:b/>
        </w:rPr>
      </w:pPr>
      <w:r>
        <w:rPr>
          <w:b/>
        </w:rPr>
        <w:t>TECO:</w:t>
      </w:r>
      <w:r>
        <w:rPr>
          <w:b/>
        </w:rPr>
        <w:tab/>
      </w:r>
      <w:r>
        <w:rPr>
          <w:rFonts w:cs="Arial"/>
          <w:spacing w:val="-3"/>
        </w:rPr>
        <w:t xml:space="preserve">The Company did not set an estimated benchmark level for calendar year 2022. Pursuant to Tampa Electric’s amended and restated settlement agreement approved by Order No. PSC-2017-0456-S-EI, the company’s Optimization Mechanism replaces the </w:t>
      </w:r>
      <w:r>
        <w:t>non-separated wholesale energy sales incentive</w:t>
      </w:r>
      <w:r>
        <w:rPr>
          <w:rFonts w:cs="Arial"/>
        </w:rPr>
        <w:t xml:space="preserve">. </w:t>
      </w:r>
    </w:p>
    <w:p w:rsidR="002E740F" w:rsidRDefault="002E740F" w:rsidP="002E740F">
      <w:pPr>
        <w:autoSpaceDE w:val="0"/>
        <w:autoSpaceDN w:val="0"/>
        <w:adjustRightInd w:val="0"/>
        <w:ind w:left="1440" w:hanging="1440"/>
        <w:jc w:val="both"/>
        <w:rPr>
          <w:b/>
          <w:bCs/>
          <w:u w:val="single"/>
        </w:rPr>
      </w:pPr>
    </w:p>
    <w:p w:rsidR="002E740F" w:rsidRPr="00BF6EBB" w:rsidRDefault="002E740F" w:rsidP="002E740F">
      <w:pPr>
        <w:autoSpaceDE w:val="0"/>
        <w:autoSpaceDN w:val="0"/>
        <w:adjustRightInd w:val="0"/>
        <w:ind w:left="1440" w:hanging="1440"/>
        <w:jc w:val="both"/>
      </w:pPr>
      <w:r w:rsidRPr="00BF6EBB">
        <w:rPr>
          <w:b/>
          <w:bCs/>
          <w:u w:val="single"/>
        </w:rPr>
        <w:t>ISSUE 8</w:t>
      </w:r>
      <w:r w:rsidRPr="00BF6EBB">
        <w:rPr>
          <w:b/>
          <w:bCs/>
        </w:rPr>
        <w:t>:</w:t>
      </w:r>
      <w:r w:rsidRPr="00BF6EBB">
        <w:tab/>
      </w:r>
      <w:r w:rsidRPr="00E24C55">
        <w:rPr>
          <w:b/>
        </w:rPr>
        <w:t>What are the appropriate final fuel adjustment true-up amounts for the period January 2020 through December 2020?</w:t>
      </w:r>
      <w:r w:rsidRPr="00BF6EBB">
        <w:t xml:space="preserve"> </w:t>
      </w:r>
    </w:p>
    <w:p w:rsidR="002E740F" w:rsidRDefault="002E740F" w:rsidP="002E740F">
      <w:pPr>
        <w:ind w:left="720" w:hanging="720"/>
        <w:jc w:val="both"/>
        <w:rPr>
          <w:bCs/>
        </w:rPr>
      </w:pPr>
    </w:p>
    <w:p w:rsidR="002E740F" w:rsidRDefault="002E740F" w:rsidP="002E740F">
      <w:pPr>
        <w:ind w:left="720" w:hanging="720"/>
        <w:jc w:val="both"/>
        <w:rPr>
          <w:bCs/>
        </w:rPr>
      </w:pPr>
      <w:r w:rsidRPr="008B2C9C">
        <w:rPr>
          <w:b/>
          <w:bCs/>
        </w:rPr>
        <w:t>Stipulation</w:t>
      </w:r>
      <w:r>
        <w:rPr>
          <w:b/>
          <w:bCs/>
        </w:rPr>
        <w:t>:</w:t>
      </w:r>
      <w:r>
        <w:rPr>
          <w:b/>
          <w:bCs/>
        </w:rPr>
        <w:tab/>
      </w:r>
    </w:p>
    <w:p w:rsidR="002E740F" w:rsidRDefault="002E740F" w:rsidP="002E740F">
      <w:pPr>
        <w:ind w:left="1440" w:hanging="1440"/>
        <w:jc w:val="both"/>
      </w:pPr>
      <w:r>
        <w:rPr>
          <w:b/>
          <w:bCs/>
        </w:rPr>
        <w:lastRenderedPageBreak/>
        <w:t>DEF</w:t>
      </w:r>
      <w:r w:rsidRPr="00701945">
        <w:rPr>
          <w:b/>
          <w:bCs/>
        </w:rPr>
        <w:t>:</w:t>
      </w:r>
      <w:r>
        <w:rPr>
          <w:b/>
          <w:bCs/>
        </w:rPr>
        <w:tab/>
      </w:r>
      <w:r w:rsidRPr="000A1449">
        <w:t>$39,503,838</w:t>
      </w:r>
      <w:r>
        <w:t xml:space="preserve"> under-recovery,</w:t>
      </w:r>
      <w:r w:rsidRPr="000A1449">
        <w:t xml:space="preserve"> which was collected as part of DEF’s Fuel Midcourse approved in Order No. PSC-2021-0328-PCO-EI. </w:t>
      </w:r>
    </w:p>
    <w:p w:rsidR="002E740F" w:rsidRPr="000A1449" w:rsidRDefault="002E740F" w:rsidP="002E740F">
      <w:pPr>
        <w:ind w:left="1440" w:hanging="1440"/>
        <w:jc w:val="both"/>
      </w:pPr>
    </w:p>
    <w:p w:rsidR="002E740F" w:rsidRDefault="002E740F" w:rsidP="002E740F">
      <w:pPr>
        <w:ind w:left="1440" w:hanging="1440"/>
        <w:jc w:val="both"/>
      </w:pPr>
      <w:r>
        <w:rPr>
          <w:b/>
          <w:bCs/>
        </w:rPr>
        <w:t>FPL</w:t>
      </w:r>
      <w:r w:rsidRPr="005D4B47">
        <w:rPr>
          <w:b/>
          <w:bCs/>
        </w:rPr>
        <w:t>:</w:t>
      </w:r>
      <w:r>
        <w:rPr>
          <w:b/>
          <w:bCs/>
        </w:rPr>
        <w:tab/>
      </w:r>
      <w:r>
        <w:t>$72,891,803 under-recovery, which is being recovered as part of the midcourse correction approved by Order No. PSC-2021-0142-PCO-EI.</w:t>
      </w:r>
    </w:p>
    <w:p w:rsidR="002E740F" w:rsidRDefault="002E740F" w:rsidP="002E740F">
      <w:pPr>
        <w:jc w:val="both"/>
      </w:pPr>
    </w:p>
    <w:p w:rsidR="002E740F" w:rsidRDefault="002E740F" w:rsidP="002E740F">
      <w:pPr>
        <w:ind w:left="1440" w:hanging="1440"/>
        <w:jc w:val="both"/>
      </w:pPr>
      <w:r>
        <w:rPr>
          <w:b/>
          <w:bCs/>
        </w:rPr>
        <w:t>FPUC:</w:t>
      </w:r>
      <w:r>
        <w:rPr>
          <w:b/>
          <w:bCs/>
        </w:rPr>
        <w:tab/>
      </w:r>
      <w:r>
        <w:t>For the period ended December 2020, the Company over-recovered $2,937,906, reflecting an actual, end of period over recovery of $3,235,074, as compared to the Company’s projected amount.</w:t>
      </w:r>
    </w:p>
    <w:p w:rsidR="002E740F" w:rsidRDefault="002E740F" w:rsidP="002E740F">
      <w:pPr>
        <w:ind w:left="1440" w:hanging="1440"/>
        <w:jc w:val="both"/>
        <w:rPr>
          <w:b/>
          <w:bCs/>
        </w:rPr>
      </w:pPr>
    </w:p>
    <w:p w:rsidR="002E740F" w:rsidRDefault="002E740F" w:rsidP="002E740F">
      <w:r>
        <w:rPr>
          <w:b/>
          <w:bCs/>
        </w:rPr>
        <w:t>GULF</w:t>
      </w:r>
      <w:r w:rsidRPr="00701945">
        <w:rPr>
          <w:b/>
          <w:bCs/>
        </w:rPr>
        <w:t>:</w:t>
      </w:r>
      <w:r>
        <w:rPr>
          <w:b/>
          <w:bCs/>
        </w:rPr>
        <w:tab/>
      </w:r>
      <w:r>
        <w:t xml:space="preserve">$6,085,680 over-recovery. </w:t>
      </w:r>
    </w:p>
    <w:p w:rsidR="002E740F" w:rsidRPr="00701945" w:rsidRDefault="002E740F" w:rsidP="002E740F">
      <w:pPr>
        <w:ind w:left="1440" w:hanging="1440"/>
        <w:jc w:val="both"/>
      </w:pPr>
      <w:r>
        <w:rPr>
          <w:b/>
          <w:bCs/>
        </w:rPr>
        <w:tab/>
      </w:r>
      <w:r>
        <w:rPr>
          <w:b/>
          <w:bCs/>
        </w:rPr>
        <w:tab/>
      </w:r>
      <w:r w:rsidRPr="00701945">
        <w:tab/>
      </w:r>
    </w:p>
    <w:p w:rsidR="002E740F" w:rsidRPr="008B2C9C" w:rsidRDefault="002E740F" w:rsidP="002E740F">
      <w:pPr>
        <w:ind w:left="720" w:hanging="720"/>
        <w:jc w:val="both"/>
        <w:rPr>
          <w:bCs/>
        </w:rPr>
      </w:pPr>
      <w:r>
        <w:rPr>
          <w:b/>
          <w:bCs/>
        </w:rPr>
        <w:t>TECO</w:t>
      </w:r>
      <w:r w:rsidRPr="005D4B47">
        <w:rPr>
          <w:b/>
          <w:bCs/>
        </w:rPr>
        <w:t>:</w:t>
      </w:r>
      <w:r>
        <w:rPr>
          <w:b/>
          <w:bCs/>
        </w:rPr>
        <w:tab/>
      </w:r>
      <w:r w:rsidRPr="00757064">
        <w:rPr>
          <w:rFonts w:cs="Arial"/>
          <w:spacing w:val="-3"/>
        </w:rPr>
        <w:t>$</w:t>
      </w:r>
      <w:r>
        <w:rPr>
          <w:rFonts w:cs="Arial"/>
          <w:spacing w:val="-3"/>
        </w:rPr>
        <w:t>3,769,256</w:t>
      </w:r>
      <w:r w:rsidRPr="00757064">
        <w:rPr>
          <w:rFonts w:cs="Arial"/>
          <w:spacing w:val="-3"/>
        </w:rPr>
        <w:t xml:space="preserve"> </w:t>
      </w:r>
      <w:r>
        <w:rPr>
          <w:rFonts w:cs="Arial"/>
          <w:spacing w:val="-3"/>
        </w:rPr>
        <w:t>over</w:t>
      </w:r>
      <w:r w:rsidRPr="00757064">
        <w:rPr>
          <w:rFonts w:cs="Arial"/>
          <w:spacing w:val="-3"/>
        </w:rPr>
        <w:t>-recovery</w:t>
      </w:r>
      <w:r>
        <w:rPr>
          <w:rFonts w:cs="Arial"/>
          <w:spacing w:val="-3"/>
        </w:rPr>
        <w:t>.</w:t>
      </w:r>
      <w:r w:rsidRPr="009113F3">
        <w:rPr>
          <w:rFonts w:ascii="CG Times" w:hAnsi="CG Times"/>
          <w:spacing w:val="-3"/>
        </w:rPr>
        <w:t xml:space="preserve">  </w:t>
      </w:r>
    </w:p>
    <w:p w:rsidR="002E740F" w:rsidRPr="006A724A" w:rsidRDefault="002E740F" w:rsidP="002E740F">
      <w:pPr>
        <w:ind w:left="720" w:hanging="720"/>
        <w:jc w:val="both"/>
        <w:rPr>
          <w:bCs/>
        </w:rPr>
      </w:pPr>
    </w:p>
    <w:p w:rsidR="002E740F" w:rsidRPr="00BF6EBB" w:rsidRDefault="002E740F" w:rsidP="002E740F">
      <w:pPr>
        <w:ind w:left="720" w:hanging="720"/>
        <w:jc w:val="both"/>
      </w:pPr>
      <w:r w:rsidRPr="00BF6EBB">
        <w:rPr>
          <w:b/>
          <w:bCs/>
          <w:u w:val="single"/>
        </w:rPr>
        <w:t>ISSUE 9</w:t>
      </w:r>
      <w:r w:rsidRPr="00BF6EBB">
        <w:rPr>
          <w:b/>
          <w:bCs/>
        </w:rPr>
        <w:t>:</w:t>
      </w:r>
      <w:r w:rsidRPr="00BF6EBB">
        <w:rPr>
          <w:b/>
          <w:bCs/>
        </w:rPr>
        <w:tab/>
      </w:r>
      <w:r w:rsidRPr="00E24C55">
        <w:rPr>
          <w:b/>
        </w:rPr>
        <w:t xml:space="preserve">What are the appropriate fuel adjustment actual/estimated true-up amounts </w:t>
      </w:r>
      <w:r>
        <w:rPr>
          <w:b/>
        </w:rPr>
        <w:tab/>
      </w:r>
      <w:r w:rsidRPr="00E24C55">
        <w:rPr>
          <w:b/>
        </w:rPr>
        <w:t>for the period January 2021 through December 2021?</w:t>
      </w:r>
      <w:r w:rsidRPr="00BF6EBB">
        <w:t xml:space="preserve"> </w:t>
      </w:r>
    </w:p>
    <w:p w:rsidR="002E740F" w:rsidRDefault="002E740F" w:rsidP="002E740F">
      <w:pPr>
        <w:autoSpaceDE w:val="0"/>
        <w:autoSpaceDN w:val="0"/>
        <w:adjustRightInd w:val="0"/>
        <w:ind w:left="1440" w:hanging="1440"/>
        <w:jc w:val="both"/>
        <w:rPr>
          <w:b/>
          <w:bCs/>
          <w:u w:val="single"/>
        </w:rPr>
      </w:pPr>
    </w:p>
    <w:p w:rsidR="002E740F" w:rsidRDefault="002E740F" w:rsidP="002E740F">
      <w:pPr>
        <w:autoSpaceDE w:val="0"/>
        <w:autoSpaceDN w:val="0"/>
        <w:adjustRightInd w:val="0"/>
        <w:ind w:left="1440" w:hanging="1440"/>
        <w:jc w:val="both"/>
        <w:rPr>
          <w:b/>
          <w:bCs/>
        </w:rPr>
      </w:pPr>
      <w:r w:rsidRPr="008B2C9C">
        <w:rPr>
          <w:b/>
          <w:bCs/>
        </w:rPr>
        <w:t>Stipulation</w:t>
      </w:r>
      <w:r>
        <w:rPr>
          <w:b/>
          <w:bCs/>
        </w:rPr>
        <w:t>:</w:t>
      </w:r>
    </w:p>
    <w:p w:rsidR="002E740F" w:rsidRPr="000A1449" w:rsidRDefault="002E740F" w:rsidP="002E740F">
      <w:pPr>
        <w:autoSpaceDE w:val="0"/>
        <w:autoSpaceDN w:val="0"/>
        <w:adjustRightInd w:val="0"/>
        <w:ind w:left="1440" w:hanging="1440"/>
        <w:jc w:val="both"/>
      </w:pPr>
      <w:r>
        <w:rPr>
          <w:b/>
          <w:bCs/>
        </w:rPr>
        <w:t>DEF</w:t>
      </w:r>
      <w:r w:rsidRPr="00701945">
        <w:rPr>
          <w:b/>
          <w:bCs/>
        </w:rPr>
        <w:t>:</w:t>
      </w:r>
      <w:r>
        <w:rPr>
          <w:b/>
          <w:bCs/>
        </w:rPr>
        <w:tab/>
      </w:r>
      <w:r w:rsidRPr="000A1449">
        <w:t>$246,837,576 under-recovery</w:t>
      </w:r>
      <w:r>
        <w:t>.</w:t>
      </w:r>
    </w:p>
    <w:p w:rsidR="002E740F" w:rsidRPr="000A1449" w:rsidRDefault="002E740F" w:rsidP="002E740F">
      <w:pPr>
        <w:jc w:val="both"/>
        <w:rPr>
          <w:b/>
          <w:u w:val="single"/>
        </w:rPr>
      </w:pPr>
    </w:p>
    <w:p w:rsidR="002E740F" w:rsidRDefault="002E740F" w:rsidP="002E740F">
      <w:pPr>
        <w:ind w:left="1440" w:hanging="1440"/>
        <w:jc w:val="both"/>
      </w:pPr>
      <w:r>
        <w:rPr>
          <w:b/>
          <w:bCs/>
        </w:rPr>
        <w:t>FPL</w:t>
      </w:r>
      <w:r w:rsidRPr="005D4B47">
        <w:rPr>
          <w:b/>
          <w:bCs/>
        </w:rPr>
        <w:t>:</w:t>
      </w:r>
      <w:r>
        <w:rPr>
          <w:b/>
          <w:bCs/>
        </w:rPr>
        <w:tab/>
      </w:r>
      <w:r>
        <w:t xml:space="preserve">$288,304,271 under-recovery.  </w:t>
      </w:r>
      <w:r>
        <w:rPr>
          <w:b/>
          <w:bCs/>
        </w:rPr>
        <w:tab/>
      </w:r>
      <w:r>
        <w:rPr>
          <w:b/>
          <w:bCs/>
        </w:rPr>
        <w:tab/>
      </w:r>
    </w:p>
    <w:p w:rsidR="002E740F" w:rsidRDefault="002E740F" w:rsidP="002E740F">
      <w:pPr>
        <w:jc w:val="both"/>
      </w:pPr>
    </w:p>
    <w:p w:rsidR="002E740F" w:rsidRDefault="002E740F" w:rsidP="002E740F">
      <w:pPr>
        <w:autoSpaceDE w:val="0"/>
        <w:autoSpaceDN w:val="0"/>
        <w:adjustRightInd w:val="0"/>
        <w:ind w:left="1440" w:hanging="1440"/>
        <w:jc w:val="both"/>
      </w:pPr>
      <w:r>
        <w:rPr>
          <w:b/>
          <w:bCs/>
        </w:rPr>
        <w:t>FPUC:</w:t>
      </w:r>
      <w:r>
        <w:rPr>
          <w:b/>
          <w:bCs/>
        </w:rPr>
        <w:tab/>
      </w:r>
      <w:r>
        <w:t>The Company projects an under-recovery of $680,436 for the 2021 period.</w:t>
      </w:r>
    </w:p>
    <w:p w:rsidR="002E740F" w:rsidRDefault="002E740F" w:rsidP="002E740F">
      <w:pPr>
        <w:ind w:left="1440" w:hanging="1440"/>
        <w:jc w:val="both"/>
        <w:rPr>
          <w:b/>
          <w:bCs/>
        </w:rPr>
      </w:pPr>
      <w:r>
        <w:rPr>
          <w:b/>
          <w:bCs/>
        </w:rPr>
        <w:tab/>
      </w:r>
    </w:p>
    <w:p w:rsidR="002E740F" w:rsidRDefault="002E740F" w:rsidP="002E740F">
      <w:r>
        <w:rPr>
          <w:b/>
          <w:bCs/>
        </w:rPr>
        <w:t>GULF</w:t>
      </w:r>
      <w:r w:rsidRPr="00701945">
        <w:rPr>
          <w:b/>
          <w:bCs/>
        </w:rPr>
        <w:t>:</w:t>
      </w:r>
      <w:r>
        <w:rPr>
          <w:b/>
          <w:bCs/>
        </w:rPr>
        <w:tab/>
      </w:r>
      <w:r>
        <w:t xml:space="preserve">$71,727,041 under-recovery. </w:t>
      </w:r>
    </w:p>
    <w:p w:rsidR="002E740F" w:rsidRDefault="002E740F" w:rsidP="002E740F">
      <w:pPr>
        <w:autoSpaceDE w:val="0"/>
        <w:autoSpaceDN w:val="0"/>
        <w:adjustRightInd w:val="0"/>
        <w:jc w:val="both"/>
      </w:pPr>
    </w:p>
    <w:p w:rsidR="002E740F" w:rsidRDefault="002E740F" w:rsidP="002E740F">
      <w:pPr>
        <w:autoSpaceDE w:val="0"/>
        <w:autoSpaceDN w:val="0"/>
        <w:adjustRightInd w:val="0"/>
        <w:ind w:left="1440" w:hanging="1440"/>
        <w:jc w:val="both"/>
        <w:rPr>
          <w:rFonts w:ascii="CG Times" w:hAnsi="CG Times"/>
          <w:spacing w:val="-3"/>
        </w:rPr>
      </w:pPr>
      <w:r>
        <w:rPr>
          <w:b/>
          <w:bCs/>
        </w:rPr>
        <w:t>TECO</w:t>
      </w:r>
      <w:r w:rsidRPr="005D4B47">
        <w:rPr>
          <w:b/>
          <w:bCs/>
        </w:rPr>
        <w:t>:</w:t>
      </w:r>
      <w:r>
        <w:rPr>
          <w:b/>
          <w:bCs/>
        </w:rPr>
        <w:tab/>
      </w:r>
      <w:r w:rsidRPr="00757064">
        <w:rPr>
          <w:rFonts w:ascii="CG Times" w:hAnsi="CG Times"/>
          <w:spacing w:val="-3"/>
        </w:rPr>
        <w:t>$</w:t>
      </w:r>
      <w:r>
        <w:rPr>
          <w:rFonts w:ascii="CG Times" w:hAnsi="CG Times"/>
          <w:spacing w:val="-3"/>
        </w:rPr>
        <w:t>4,094,674</w:t>
      </w:r>
      <w:r w:rsidRPr="00757064">
        <w:rPr>
          <w:rFonts w:ascii="CG Times" w:hAnsi="CG Times"/>
          <w:spacing w:val="-3"/>
        </w:rPr>
        <w:t xml:space="preserve"> </w:t>
      </w:r>
      <w:r>
        <w:rPr>
          <w:rFonts w:ascii="CG Times" w:hAnsi="CG Times"/>
          <w:spacing w:val="-3"/>
        </w:rPr>
        <w:t>under</w:t>
      </w:r>
      <w:r w:rsidRPr="00757064">
        <w:rPr>
          <w:rFonts w:ascii="CG Times" w:hAnsi="CG Times"/>
          <w:spacing w:val="-3"/>
        </w:rPr>
        <w:t>-</w:t>
      </w:r>
      <w:r w:rsidRPr="00DD3E60">
        <w:rPr>
          <w:rFonts w:ascii="CG Times" w:hAnsi="CG Times"/>
          <w:spacing w:val="-3"/>
        </w:rPr>
        <w:t>recovery</w:t>
      </w:r>
      <w:r>
        <w:rPr>
          <w:rFonts w:ascii="CG Times" w:hAnsi="CG Times"/>
          <w:spacing w:val="-3"/>
        </w:rPr>
        <w:t>.</w:t>
      </w:r>
    </w:p>
    <w:p w:rsidR="002E740F" w:rsidRPr="008B2C9C" w:rsidRDefault="002E740F" w:rsidP="002E740F">
      <w:pPr>
        <w:autoSpaceDE w:val="0"/>
        <w:autoSpaceDN w:val="0"/>
        <w:adjustRightInd w:val="0"/>
        <w:ind w:left="1440" w:hanging="1440"/>
        <w:jc w:val="both"/>
        <w:rPr>
          <w:b/>
          <w:bCs/>
        </w:rPr>
      </w:pPr>
    </w:p>
    <w:p w:rsidR="002E740F" w:rsidRPr="00BF6EBB" w:rsidRDefault="002E740F" w:rsidP="002E740F">
      <w:pPr>
        <w:autoSpaceDE w:val="0"/>
        <w:autoSpaceDN w:val="0"/>
        <w:adjustRightInd w:val="0"/>
        <w:ind w:left="1440" w:hanging="1440"/>
        <w:jc w:val="both"/>
      </w:pPr>
      <w:r w:rsidRPr="00BF6EBB">
        <w:rPr>
          <w:b/>
          <w:bCs/>
          <w:u w:val="single"/>
        </w:rPr>
        <w:t>ISSUE 10</w:t>
      </w:r>
      <w:r w:rsidRPr="00BF6EBB">
        <w:rPr>
          <w:b/>
          <w:bCs/>
        </w:rPr>
        <w:t>:</w:t>
      </w:r>
      <w:r w:rsidRPr="00BF6EBB">
        <w:tab/>
      </w:r>
      <w:r w:rsidRPr="00E24C55">
        <w:rPr>
          <w:b/>
        </w:rPr>
        <w:t>What are the appropriate total fuel adjustment true-up amounts to be collected/refunded from January 2022 through December 2022?</w:t>
      </w:r>
      <w:r w:rsidRPr="00BF6EBB">
        <w:t xml:space="preserve">  </w:t>
      </w:r>
    </w:p>
    <w:p w:rsidR="002E740F" w:rsidRDefault="002E740F" w:rsidP="002E740F">
      <w:pPr>
        <w:ind w:left="1440" w:hanging="1440"/>
        <w:jc w:val="both"/>
        <w:rPr>
          <w:rStyle w:val="Strong"/>
          <w:u w:val="single"/>
        </w:rPr>
      </w:pPr>
    </w:p>
    <w:p w:rsidR="002E740F" w:rsidRDefault="002E740F" w:rsidP="002E740F">
      <w:pPr>
        <w:ind w:left="1440" w:hanging="1440"/>
        <w:jc w:val="both"/>
        <w:rPr>
          <w:rStyle w:val="Strong"/>
        </w:rPr>
      </w:pPr>
      <w:r>
        <w:rPr>
          <w:rStyle w:val="Strong"/>
        </w:rPr>
        <w:t>Stipulation:</w:t>
      </w:r>
    </w:p>
    <w:p w:rsidR="002E740F" w:rsidRDefault="002E740F" w:rsidP="002E740F">
      <w:pPr>
        <w:autoSpaceDE w:val="0"/>
        <w:autoSpaceDN w:val="0"/>
        <w:adjustRightInd w:val="0"/>
        <w:ind w:left="1440" w:hanging="1440"/>
        <w:jc w:val="both"/>
      </w:pPr>
      <w:r>
        <w:rPr>
          <w:b/>
          <w:bCs/>
        </w:rPr>
        <w:t>DEF</w:t>
      </w:r>
      <w:r w:rsidRPr="00701945">
        <w:rPr>
          <w:b/>
          <w:bCs/>
        </w:rPr>
        <w:t>:</w:t>
      </w:r>
      <w:r>
        <w:rPr>
          <w:b/>
          <w:bCs/>
        </w:rPr>
        <w:tab/>
      </w:r>
      <w:r w:rsidRPr="000A1449">
        <w:t>$123,418,788 under-recovery</w:t>
      </w:r>
      <w:r>
        <w:t xml:space="preserve"> if the Rate Mitigation Pan is approved. </w:t>
      </w:r>
      <w:r w:rsidRPr="000A1449">
        <w:t>Pursuant the Rate Mitigation Plan filed in Docket No. 20210158</w:t>
      </w:r>
      <w:r>
        <w:t>-EI</w:t>
      </w:r>
      <w:r w:rsidRPr="000A1449">
        <w:t>, DEF will recover the total 2021 net true-up under-recovery of $246,837,576 over two years (2022 and 2023).</w:t>
      </w:r>
      <w:r>
        <w:t xml:space="preserve">  If the Rate Mitigation Plan is denied, the appropriate amount is $246,837,576.</w:t>
      </w:r>
    </w:p>
    <w:p w:rsidR="002E740F" w:rsidRPr="000A1449" w:rsidRDefault="002E740F" w:rsidP="002E740F">
      <w:pPr>
        <w:autoSpaceDE w:val="0"/>
        <w:autoSpaceDN w:val="0"/>
        <w:adjustRightInd w:val="0"/>
        <w:ind w:left="1440" w:hanging="1440"/>
        <w:jc w:val="both"/>
      </w:pPr>
      <w:r w:rsidRPr="000A1449">
        <w:t xml:space="preserve"> </w:t>
      </w:r>
    </w:p>
    <w:p w:rsidR="002E740F" w:rsidRDefault="002E740F" w:rsidP="002E740F">
      <w:pPr>
        <w:ind w:left="1440" w:hanging="1440"/>
        <w:jc w:val="both"/>
      </w:pPr>
      <w:r>
        <w:rPr>
          <w:b/>
          <w:bCs/>
        </w:rPr>
        <w:t>FPL</w:t>
      </w:r>
      <w:r w:rsidRPr="005D4B47">
        <w:rPr>
          <w:b/>
          <w:bCs/>
        </w:rPr>
        <w:t>:</w:t>
      </w:r>
      <w:r>
        <w:rPr>
          <w:b/>
          <w:bCs/>
        </w:rPr>
        <w:tab/>
      </w:r>
      <w:r>
        <w:t xml:space="preserve">$353,945,632 under-recovery.  </w:t>
      </w:r>
    </w:p>
    <w:p w:rsidR="002E740F" w:rsidRDefault="002E740F" w:rsidP="002E740F">
      <w:pPr>
        <w:ind w:left="1440" w:hanging="1440"/>
        <w:jc w:val="both"/>
      </w:pPr>
    </w:p>
    <w:p w:rsidR="002E740F" w:rsidRDefault="002E740F" w:rsidP="002E740F">
      <w:pPr>
        <w:ind w:left="1440" w:hanging="1440"/>
        <w:jc w:val="both"/>
      </w:pPr>
      <w:r>
        <w:rPr>
          <w:b/>
          <w:bCs/>
        </w:rPr>
        <w:t>FPUC:</w:t>
      </w:r>
      <w:r>
        <w:rPr>
          <w:b/>
          <w:bCs/>
        </w:rPr>
        <w:tab/>
      </w:r>
      <w:r>
        <w:t xml:space="preserve">The appropriate true up amount is an over-recovery of $2,257,470, which incorporates a $75,358 over-recovery in the calculation to address tax savings, as well as </w:t>
      </w:r>
      <w:r w:rsidRPr="00090051">
        <w:t>$677,060</w:t>
      </w:r>
      <w:r>
        <w:t xml:space="preserve"> associated with the settlement of COVID-19 related costs in Docket No. 20200194-PU.</w:t>
      </w:r>
    </w:p>
    <w:p w:rsidR="002E740F" w:rsidRDefault="002E740F" w:rsidP="002E740F">
      <w:pPr>
        <w:ind w:left="1440" w:hanging="1440"/>
        <w:jc w:val="both"/>
        <w:rPr>
          <w:b/>
          <w:bCs/>
        </w:rPr>
      </w:pPr>
      <w:r>
        <w:rPr>
          <w:b/>
          <w:bCs/>
        </w:rPr>
        <w:tab/>
      </w:r>
    </w:p>
    <w:p w:rsidR="002E740F" w:rsidRPr="00701945" w:rsidRDefault="002E740F" w:rsidP="002E740F">
      <w:pPr>
        <w:ind w:left="1440" w:hanging="1440"/>
        <w:jc w:val="both"/>
      </w:pPr>
      <w:r>
        <w:rPr>
          <w:b/>
          <w:bCs/>
        </w:rPr>
        <w:lastRenderedPageBreak/>
        <w:t>GULF</w:t>
      </w:r>
      <w:r w:rsidRPr="00701945">
        <w:rPr>
          <w:b/>
          <w:bCs/>
        </w:rPr>
        <w:t>:</w:t>
      </w:r>
      <w:r>
        <w:rPr>
          <w:b/>
          <w:bCs/>
        </w:rPr>
        <w:tab/>
      </w:r>
      <w:r>
        <w:rPr>
          <w:bCs/>
        </w:rPr>
        <w:t>See FPL’s position stated above.</w:t>
      </w:r>
      <w:r w:rsidRPr="00701945">
        <w:tab/>
      </w:r>
    </w:p>
    <w:p w:rsidR="002E740F" w:rsidRPr="00701945" w:rsidRDefault="002E740F" w:rsidP="002E740F">
      <w:pPr>
        <w:jc w:val="both"/>
      </w:pPr>
    </w:p>
    <w:p w:rsidR="002E740F" w:rsidRDefault="002E740F" w:rsidP="002E740F">
      <w:pPr>
        <w:ind w:left="1440" w:hanging="1440"/>
        <w:jc w:val="both"/>
        <w:rPr>
          <w:rFonts w:cs="Arial"/>
          <w:spacing w:val="-3"/>
        </w:rPr>
      </w:pPr>
      <w:r>
        <w:rPr>
          <w:b/>
          <w:bCs/>
        </w:rPr>
        <w:t>TECO</w:t>
      </w:r>
      <w:r w:rsidRPr="005D4B47">
        <w:rPr>
          <w:b/>
          <w:bCs/>
        </w:rPr>
        <w:t>:</w:t>
      </w:r>
      <w:r>
        <w:rPr>
          <w:b/>
          <w:bCs/>
        </w:rPr>
        <w:tab/>
      </w:r>
      <w:r w:rsidRPr="00757064">
        <w:rPr>
          <w:rFonts w:cs="Arial"/>
          <w:spacing w:val="-3"/>
        </w:rPr>
        <w:t>$</w:t>
      </w:r>
      <w:r>
        <w:rPr>
          <w:rFonts w:cs="Arial"/>
          <w:spacing w:val="-3"/>
        </w:rPr>
        <w:t>325,418</w:t>
      </w:r>
      <w:r w:rsidRPr="00757064">
        <w:rPr>
          <w:rFonts w:cs="Arial"/>
          <w:spacing w:val="-3"/>
        </w:rPr>
        <w:t xml:space="preserve"> under-recovery</w:t>
      </w:r>
      <w:r>
        <w:rPr>
          <w:rFonts w:cs="Arial"/>
          <w:spacing w:val="-3"/>
        </w:rPr>
        <w:t>.</w:t>
      </w:r>
    </w:p>
    <w:p w:rsidR="002E740F" w:rsidRPr="00E47359" w:rsidRDefault="002E740F" w:rsidP="002E740F">
      <w:pPr>
        <w:ind w:left="1440" w:hanging="1440"/>
        <w:jc w:val="both"/>
        <w:rPr>
          <w:rStyle w:val="Strong"/>
          <w:b w:val="0"/>
        </w:rPr>
      </w:pPr>
    </w:p>
    <w:p w:rsidR="002E740F" w:rsidRPr="00E33995" w:rsidRDefault="002E740F" w:rsidP="002E740F">
      <w:pPr>
        <w:ind w:left="1440" w:hanging="1440"/>
        <w:jc w:val="both"/>
        <w:rPr>
          <w:rStyle w:val="Strong"/>
          <w:b w:val="0"/>
          <w:bCs w:val="0"/>
        </w:rPr>
      </w:pPr>
      <w:r w:rsidRPr="00E33995">
        <w:rPr>
          <w:rStyle w:val="Strong"/>
          <w:u w:val="single"/>
        </w:rPr>
        <w:t>ISSUE 11</w:t>
      </w:r>
      <w:r w:rsidRPr="00E33995">
        <w:rPr>
          <w:rStyle w:val="Strong"/>
        </w:rPr>
        <w:t>:</w:t>
      </w:r>
      <w:r w:rsidRPr="00E33995">
        <w:rPr>
          <w:rStyle w:val="Strong"/>
        </w:rPr>
        <w:tab/>
        <w:t>What are the appropriate projected total fuel and purchased power cost recovery amounts for the period January 202</w:t>
      </w:r>
      <w:r>
        <w:rPr>
          <w:rStyle w:val="Strong"/>
        </w:rPr>
        <w:t>2</w:t>
      </w:r>
      <w:r w:rsidRPr="00E33995">
        <w:rPr>
          <w:rStyle w:val="Strong"/>
        </w:rPr>
        <w:t xml:space="preserve"> through December 202</w:t>
      </w:r>
      <w:r>
        <w:rPr>
          <w:rStyle w:val="Strong"/>
        </w:rPr>
        <w:t>2</w:t>
      </w:r>
      <w:r w:rsidRPr="00E33995">
        <w:rPr>
          <w:rStyle w:val="Strong"/>
        </w:rPr>
        <w:t xml:space="preserve">? </w:t>
      </w:r>
    </w:p>
    <w:p w:rsidR="002E740F" w:rsidRDefault="002E740F" w:rsidP="002E740F">
      <w:pPr>
        <w:jc w:val="both"/>
        <w:rPr>
          <w:b/>
          <w:bCs/>
        </w:rPr>
      </w:pPr>
    </w:p>
    <w:p w:rsidR="002E740F" w:rsidRDefault="002E740F" w:rsidP="002E740F">
      <w:pPr>
        <w:jc w:val="both"/>
        <w:rPr>
          <w:b/>
          <w:bCs/>
        </w:rPr>
      </w:pPr>
      <w:r>
        <w:rPr>
          <w:b/>
          <w:bCs/>
        </w:rPr>
        <w:t>Stipulation:</w:t>
      </w:r>
    </w:p>
    <w:p w:rsidR="002E740F" w:rsidRDefault="002E740F" w:rsidP="002E740F">
      <w:pPr>
        <w:ind w:left="1440" w:hanging="1440"/>
        <w:jc w:val="both"/>
        <w:rPr>
          <w:rFonts w:ascii="Arial" w:hAnsi="Arial" w:cs="Arial"/>
          <w:sz w:val="16"/>
          <w:szCs w:val="16"/>
        </w:rPr>
      </w:pPr>
      <w:r>
        <w:rPr>
          <w:b/>
          <w:bCs/>
        </w:rPr>
        <w:t>DEF</w:t>
      </w:r>
      <w:r w:rsidRPr="00701945">
        <w:rPr>
          <w:b/>
          <w:bCs/>
        </w:rPr>
        <w:t>:</w:t>
      </w:r>
      <w:r>
        <w:rPr>
          <w:b/>
          <w:bCs/>
        </w:rPr>
        <w:tab/>
      </w:r>
      <w:r w:rsidRPr="008325E2">
        <w:t>$</w:t>
      </w:r>
      <w:r>
        <w:t>1,431,565,051</w:t>
      </w:r>
      <w:r w:rsidRPr="008325E2">
        <w:t>,</w:t>
      </w:r>
      <w:r>
        <w:t xml:space="preserve"> which is adjusted for line losses and excludes prior period true-up GPIF amount and CEC Bill Credits. </w:t>
      </w:r>
    </w:p>
    <w:p w:rsidR="002E740F" w:rsidRDefault="002E740F" w:rsidP="002E740F">
      <w:pPr>
        <w:jc w:val="both"/>
        <w:rPr>
          <w:rFonts w:ascii="Arial" w:hAnsi="Arial" w:cs="Arial"/>
          <w:sz w:val="16"/>
          <w:szCs w:val="16"/>
        </w:rPr>
      </w:pPr>
    </w:p>
    <w:p w:rsidR="002E740F" w:rsidRDefault="002E740F" w:rsidP="002E740F">
      <w:pPr>
        <w:ind w:left="1440" w:hanging="1440"/>
        <w:jc w:val="both"/>
        <w:rPr>
          <w:rStyle w:val="Strong"/>
          <w:b w:val="0"/>
        </w:rPr>
      </w:pPr>
      <w:r>
        <w:rPr>
          <w:b/>
        </w:rPr>
        <w:t>FPL</w:t>
      </w:r>
      <w:r w:rsidRPr="005D4B47">
        <w:rPr>
          <w:b/>
        </w:rPr>
        <w:t>:</w:t>
      </w:r>
      <w:r>
        <w:rPr>
          <w:b/>
        </w:rPr>
        <w:tab/>
      </w:r>
      <w:r>
        <w:t xml:space="preserve">$3,348,601,615 unified and jurisdictionalized, excluding prior period true-ups, FPL’s portion of Asset Optimization Program gains, FPL’s 2022 SolarTogether Credit amount and the unified GPIF reward.  </w:t>
      </w:r>
    </w:p>
    <w:p w:rsidR="002E740F" w:rsidRDefault="002E740F" w:rsidP="002E740F">
      <w:pPr>
        <w:ind w:left="1440" w:hanging="1440"/>
        <w:jc w:val="both"/>
      </w:pPr>
      <w:r>
        <w:rPr>
          <w:b/>
          <w:bCs/>
        </w:rPr>
        <w:tab/>
      </w:r>
    </w:p>
    <w:p w:rsidR="002E740F" w:rsidRDefault="002E740F" w:rsidP="002E740F">
      <w:pPr>
        <w:ind w:left="1440" w:hanging="1440"/>
        <w:jc w:val="both"/>
        <w:rPr>
          <w:i/>
        </w:rPr>
      </w:pPr>
      <w:r>
        <w:rPr>
          <w:b/>
          <w:bCs/>
        </w:rPr>
        <w:t>FPUC:</w:t>
      </w:r>
      <w:r>
        <w:rPr>
          <w:b/>
          <w:bCs/>
        </w:rPr>
        <w:tab/>
      </w:r>
      <w:r w:rsidRPr="00176368">
        <w:t>The appropriate projected total fuel and purchased power cost recovery amo</w:t>
      </w:r>
      <w:r>
        <w:t>unt</w:t>
      </w:r>
      <w:r w:rsidRPr="00176368">
        <w:t xml:space="preserve"> for </w:t>
      </w:r>
      <w:r w:rsidRPr="004606EB">
        <w:t xml:space="preserve">the period January </w:t>
      </w:r>
      <w:r w:rsidRPr="0092261D">
        <w:t>202</w:t>
      </w:r>
      <w:r>
        <w:t>2</w:t>
      </w:r>
      <w:r w:rsidRPr="004606EB">
        <w:t xml:space="preserve"> through December </w:t>
      </w:r>
      <w:r w:rsidRPr="0092261D">
        <w:t>202</w:t>
      </w:r>
      <w:r>
        <w:t>2</w:t>
      </w:r>
      <w:r w:rsidRPr="004606EB">
        <w:t xml:space="preserve"> is</w:t>
      </w:r>
      <w:r w:rsidRPr="00E73A2D">
        <w:t xml:space="preserve"> </w:t>
      </w:r>
      <w:r w:rsidRPr="000C642F">
        <w:t>$48,707,195</w:t>
      </w:r>
      <w:r>
        <w:t xml:space="preserve">.  </w:t>
      </w:r>
    </w:p>
    <w:p w:rsidR="002E740F" w:rsidRDefault="002E740F" w:rsidP="002E740F">
      <w:pPr>
        <w:ind w:left="1440" w:hanging="1440"/>
        <w:jc w:val="both"/>
        <w:rPr>
          <w:rStyle w:val="Strong"/>
        </w:rPr>
      </w:pPr>
      <w:r w:rsidRPr="00E206B0">
        <w:rPr>
          <w:rStyle w:val="Strong"/>
        </w:rPr>
        <w:t xml:space="preserve"> </w:t>
      </w:r>
    </w:p>
    <w:p w:rsidR="002E740F" w:rsidRPr="00701945" w:rsidRDefault="002E740F" w:rsidP="002E740F">
      <w:pPr>
        <w:ind w:left="1440" w:hanging="1440"/>
        <w:jc w:val="both"/>
      </w:pPr>
      <w:r>
        <w:rPr>
          <w:b/>
          <w:bCs/>
        </w:rPr>
        <w:t>GULF</w:t>
      </w:r>
      <w:r w:rsidRPr="00701945">
        <w:rPr>
          <w:b/>
          <w:bCs/>
        </w:rPr>
        <w:t>:</w:t>
      </w:r>
      <w:r>
        <w:rPr>
          <w:b/>
          <w:bCs/>
        </w:rPr>
        <w:tab/>
      </w:r>
      <w:r w:rsidRPr="009222B6">
        <w:rPr>
          <w:bCs/>
        </w:rPr>
        <w:t>See FPL’s position above.</w:t>
      </w:r>
      <w:r w:rsidRPr="009222B6">
        <w:tab/>
      </w:r>
    </w:p>
    <w:p w:rsidR="002E740F" w:rsidRPr="00701945" w:rsidRDefault="002E740F" w:rsidP="002E740F">
      <w:pPr>
        <w:jc w:val="both"/>
      </w:pPr>
    </w:p>
    <w:p w:rsidR="002E740F" w:rsidRDefault="002E740F" w:rsidP="002E740F">
      <w:pPr>
        <w:ind w:left="1440" w:hanging="1440"/>
        <w:jc w:val="both"/>
        <w:rPr>
          <w:bCs/>
        </w:rPr>
      </w:pPr>
      <w:r>
        <w:rPr>
          <w:b/>
          <w:bCs/>
        </w:rPr>
        <w:t>TECO</w:t>
      </w:r>
      <w:r w:rsidRPr="005D4B47">
        <w:rPr>
          <w:b/>
          <w:bCs/>
        </w:rPr>
        <w:t>:</w:t>
      </w:r>
      <w:r>
        <w:rPr>
          <w:b/>
          <w:bCs/>
        </w:rPr>
        <w:tab/>
      </w:r>
      <w:r w:rsidRPr="009113F3">
        <w:rPr>
          <w:bCs/>
        </w:rPr>
        <w:t xml:space="preserve">The total recoverable fuel and purchased power recovery amount to be collected, adjusted by the </w:t>
      </w:r>
      <w:r w:rsidRPr="00757064">
        <w:rPr>
          <w:bCs/>
        </w:rPr>
        <w:t>jurisdictional se</w:t>
      </w:r>
      <w:r>
        <w:rPr>
          <w:bCs/>
        </w:rPr>
        <w:t>par</w:t>
      </w:r>
      <w:r w:rsidRPr="00757064">
        <w:rPr>
          <w:bCs/>
        </w:rPr>
        <w:t xml:space="preserve">ation factor, </w:t>
      </w:r>
      <w:r>
        <w:rPr>
          <w:bCs/>
        </w:rPr>
        <w:t>is $598,798,451.</w:t>
      </w:r>
    </w:p>
    <w:p w:rsidR="002E740F" w:rsidRPr="00BF6EBB" w:rsidRDefault="002E740F" w:rsidP="002E740F">
      <w:pPr>
        <w:jc w:val="both"/>
        <w:rPr>
          <w:b/>
          <w:bCs/>
        </w:rPr>
      </w:pPr>
    </w:p>
    <w:p w:rsidR="002E740F" w:rsidRPr="00BF6EBB" w:rsidRDefault="002E740F" w:rsidP="002E740F">
      <w:pPr>
        <w:jc w:val="both"/>
        <w:rPr>
          <w:b/>
          <w:bCs/>
        </w:rPr>
      </w:pPr>
      <w:r w:rsidRPr="00BF6EBB">
        <w:rPr>
          <w:b/>
          <w:bCs/>
        </w:rPr>
        <w:t>COMPANY-SPECIFIC GENERATING PERFORMANCE INCENTIVE FACTOR ISSUES</w:t>
      </w:r>
    </w:p>
    <w:p w:rsidR="002E740F" w:rsidRDefault="002E740F" w:rsidP="002E740F">
      <w:pPr>
        <w:jc w:val="both"/>
        <w:rPr>
          <w:b/>
          <w:bCs/>
        </w:rPr>
      </w:pPr>
    </w:p>
    <w:p w:rsidR="002E740F" w:rsidRPr="00BF6EBB" w:rsidRDefault="002E740F" w:rsidP="002E740F">
      <w:pPr>
        <w:jc w:val="both"/>
        <w:rPr>
          <w:b/>
          <w:bCs/>
        </w:rPr>
      </w:pPr>
      <w:r w:rsidRPr="00BF6EBB">
        <w:rPr>
          <w:b/>
          <w:bCs/>
        </w:rPr>
        <w:t>Duke Energy Florida, LLC.</w:t>
      </w:r>
    </w:p>
    <w:p w:rsidR="002E740F" w:rsidRPr="00BF6EBB" w:rsidRDefault="002E740F" w:rsidP="002E740F">
      <w:pPr>
        <w:autoSpaceDE w:val="0"/>
        <w:autoSpaceDN w:val="0"/>
        <w:adjustRightInd w:val="0"/>
      </w:pPr>
    </w:p>
    <w:p w:rsidR="002E740F" w:rsidRPr="00BF6EBB" w:rsidRDefault="002E740F" w:rsidP="002E740F">
      <w:pPr>
        <w:autoSpaceDE w:val="0"/>
        <w:autoSpaceDN w:val="0"/>
        <w:adjustRightInd w:val="0"/>
        <w:jc w:val="both"/>
      </w:pPr>
      <w:r w:rsidRPr="00BF6EBB">
        <w:t>No company-specific GPIF issues for Duke Energy Florida, Inc. have been identified at this time. If such issues are identified, they shall be numbered 12A, 12B, 12C, and so forth, as appropriate.</w:t>
      </w:r>
    </w:p>
    <w:p w:rsidR="002E740F" w:rsidRPr="00BF6EBB" w:rsidRDefault="002E740F" w:rsidP="002E740F">
      <w:pPr>
        <w:autoSpaceDE w:val="0"/>
        <w:autoSpaceDN w:val="0"/>
        <w:adjustRightInd w:val="0"/>
        <w:jc w:val="both"/>
        <w:rPr>
          <w:b/>
          <w:bCs/>
        </w:rPr>
      </w:pPr>
    </w:p>
    <w:p w:rsidR="002E740F" w:rsidRPr="00BF6EBB" w:rsidRDefault="002E740F" w:rsidP="002E740F">
      <w:pPr>
        <w:autoSpaceDE w:val="0"/>
        <w:autoSpaceDN w:val="0"/>
        <w:adjustRightInd w:val="0"/>
        <w:jc w:val="both"/>
        <w:rPr>
          <w:b/>
          <w:bCs/>
        </w:rPr>
      </w:pPr>
      <w:r w:rsidRPr="00BF6EBB">
        <w:rPr>
          <w:b/>
          <w:bCs/>
        </w:rPr>
        <w:t>Florida Power &amp; Light Company</w:t>
      </w:r>
    </w:p>
    <w:p w:rsidR="002E740F" w:rsidRPr="00BF6EBB" w:rsidRDefault="002E740F" w:rsidP="002E740F">
      <w:pPr>
        <w:autoSpaceDE w:val="0"/>
        <w:autoSpaceDN w:val="0"/>
        <w:adjustRightInd w:val="0"/>
        <w:jc w:val="both"/>
      </w:pPr>
    </w:p>
    <w:p w:rsidR="001912AC" w:rsidRPr="00BF6EBB" w:rsidRDefault="001912AC" w:rsidP="001912AC">
      <w:pPr>
        <w:autoSpaceDE w:val="0"/>
        <w:autoSpaceDN w:val="0"/>
        <w:adjustRightInd w:val="0"/>
        <w:jc w:val="both"/>
      </w:pPr>
      <w:r w:rsidRPr="00BF6EBB">
        <w:t>No company-specific GPIF issues for Florida Power and Light Company have been identified at this time. If such issues are identified, they shall be numbered 13A, 13B, 13C, and so forth, as appropriate.</w:t>
      </w:r>
    </w:p>
    <w:p w:rsidR="001912AC" w:rsidRDefault="001912AC" w:rsidP="001912AC">
      <w:pPr>
        <w:jc w:val="both"/>
        <w:rPr>
          <w:b/>
          <w:bCs/>
        </w:rPr>
      </w:pPr>
    </w:p>
    <w:p w:rsidR="001912AC" w:rsidRDefault="001912AC" w:rsidP="001912AC">
      <w:pPr>
        <w:jc w:val="both"/>
        <w:rPr>
          <w:b/>
          <w:bCs/>
        </w:rPr>
      </w:pPr>
      <w:r w:rsidRPr="00BF6EBB">
        <w:rPr>
          <w:b/>
          <w:bCs/>
        </w:rPr>
        <w:t>Gulf Power Company</w:t>
      </w:r>
    </w:p>
    <w:p w:rsidR="001912AC" w:rsidRPr="00BF6EBB" w:rsidRDefault="001912AC" w:rsidP="001912AC"/>
    <w:p w:rsidR="001912AC" w:rsidRPr="00BF6EBB" w:rsidRDefault="001912AC" w:rsidP="001912AC">
      <w:pPr>
        <w:autoSpaceDE w:val="0"/>
        <w:autoSpaceDN w:val="0"/>
        <w:adjustRightInd w:val="0"/>
        <w:jc w:val="both"/>
      </w:pPr>
      <w:r w:rsidRPr="00BF6EBB">
        <w:t>No company-specific GPIF issues for Gulf Power Company have been identified at this time. If such issues are identified, they shall be numbered 14A, 14B, 14C, and so forth, as appropriate.</w:t>
      </w:r>
    </w:p>
    <w:p w:rsidR="001912AC" w:rsidRPr="00BF6EBB" w:rsidRDefault="001912AC" w:rsidP="001912AC">
      <w:pPr>
        <w:autoSpaceDE w:val="0"/>
        <w:autoSpaceDN w:val="0"/>
        <w:adjustRightInd w:val="0"/>
        <w:jc w:val="both"/>
      </w:pPr>
    </w:p>
    <w:p w:rsidR="001912AC" w:rsidRPr="00BF6EBB" w:rsidRDefault="001912AC" w:rsidP="001912AC">
      <w:pPr>
        <w:rPr>
          <w:b/>
          <w:bCs/>
        </w:rPr>
      </w:pPr>
      <w:r w:rsidRPr="00BF6EBB">
        <w:rPr>
          <w:b/>
          <w:bCs/>
        </w:rPr>
        <w:t>Tampa Electric Company</w:t>
      </w:r>
    </w:p>
    <w:p w:rsidR="001912AC" w:rsidRPr="00BF6EBB" w:rsidRDefault="001912AC" w:rsidP="001912AC">
      <w:pPr>
        <w:autoSpaceDE w:val="0"/>
        <w:autoSpaceDN w:val="0"/>
        <w:adjustRightInd w:val="0"/>
        <w:jc w:val="both"/>
      </w:pPr>
    </w:p>
    <w:p w:rsidR="001912AC" w:rsidRPr="00BF6EBB" w:rsidRDefault="001912AC" w:rsidP="001912AC">
      <w:pPr>
        <w:autoSpaceDE w:val="0"/>
        <w:autoSpaceDN w:val="0"/>
        <w:adjustRightInd w:val="0"/>
        <w:jc w:val="both"/>
      </w:pPr>
      <w:r w:rsidRPr="00BF6EBB">
        <w:lastRenderedPageBreak/>
        <w:t>No company-specific GPIF issues for Tampa Electric Company have been identified at this time. If such issues are identified, they shall be numbered 15A, 15B, 15C, and so forth, as appropriate.</w:t>
      </w:r>
    </w:p>
    <w:p w:rsidR="001912AC" w:rsidRDefault="001912AC" w:rsidP="001912AC">
      <w:pPr>
        <w:rPr>
          <w:b/>
          <w:bCs/>
        </w:rPr>
      </w:pPr>
    </w:p>
    <w:p w:rsidR="001912AC" w:rsidRPr="00BF6EBB" w:rsidRDefault="001912AC" w:rsidP="001912AC">
      <w:pPr>
        <w:rPr>
          <w:b/>
          <w:bCs/>
        </w:rPr>
      </w:pPr>
      <w:r w:rsidRPr="00BF6EBB">
        <w:rPr>
          <w:b/>
          <w:bCs/>
        </w:rPr>
        <w:t>GENERIC GPIF ISSUES</w:t>
      </w:r>
    </w:p>
    <w:p w:rsidR="001912AC" w:rsidRPr="00BF6EBB" w:rsidRDefault="001912AC" w:rsidP="001912AC">
      <w:pPr>
        <w:autoSpaceDE w:val="0"/>
        <w:autoSpaceDN w:val="0"/>
        <w:adjustRightInd w:val="0"/>
        <w:jc w:val="both"/>
      </w:pPr>
    </w:p>
    <w:p w:rsidR="001912AC" w:rsidRPr="00BF6EBB" w:rsidRDefault="001912AC" w:rsidP="001912AC">
      <w:pPr>
        <w:autoSpaceDE w:val="0"/>
        <w:autoSpaceDN w:val="0"/>
        <w:adjustRightInd w:val="0"/>
        <w:ind w:left="1440" w:hanging="1440"/>
        <w:jc w:val="both"/>
      </w:pPr>
      <w:r w:rsidRPr="00BF6EBB">
        <w:rPr>
          <w:b/>
          <w:bCs/>
          <w:u w:val="single"/>
        </w:rPr>
        <w:t>ISSUE 16</w:t>
      </w:r>
      <w:r w:rsidRPr="00BF6EBB">
        <w:t>:</w:t>
      </w:r>
      <w:r w:rsidRPr="00BF6EBB">
        <w:tab/>
      </w:r>
      <w:r w:rsidRPr="00E24C55">
        <w:rPr>
          <w:b/>
        </w:rPr>
        <w:t>What is the appropriate GPIF reward or penalty for performance achieved during the period January 2020 through December 2020 for each investor-owned electric utility subject to the GPIF?</w:t>
      </w:r>
      <w:r w:rsidRPr="00BF6EBB">
        <w:t xml:space="preserve">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Pr>
          <w:bCs/>
        </w:rPr>
        <w:tab/>
      </w:r>
      <w:r w:rsidRPr="000A1449">
        <w:t>$2,657,279 reward.</w:t>
      </w:r>
      <w:r w:rsidRPr="00701945">
        <w:tab/>
      </w:r>
    </w:p>
    <w:p w:rsidR="001912AC" w:rsidRDefault="001912AC" w:rsidP="001912AC">
      <w:pPr>
        <w:ind w:left="1440" w:hanging="1440"/>
        <w:jc w:val="both"/>
      </w:pPr>
    </w:p>
    <w:p w:rsidR="001912AC" w:rsidRDefault="001912AC" w:rsidP="001912AC">
      <w:pPr>
        <w:ind w:left="1440" w:hanging="1440"/>
        <w:jc w:val="both"/>
      </w:pPr>
      <w:r>
        <w:rPr>
          <w:b/>
          <w:bCs/>
        </w:rPr>
        <w:t>FPL</w:t>
      </w:r>
      <w:r w:rsidRPr="005D4B47">
        <w:rPr>
          <w:b/>
          <w:bCs/>
        </w:rPr>
        <w:t>:</w:t>
      </w:r>
      <w:r>
        <w:rPr>
          <w:b/>
          <w:bCs/>
        </w:rPr>
        <w:tab/>
      </w:r>
      <w:r>
        <w:rPr>
          <w:bCs/>
        </w:rPr>
        <w:t xml:space="preserve">$6,390,846 reward.  </w:t>
      </w:r>
      <w:r>
        <w:rPr>
          <w:b/>
          <w:bCs/>
        </w:rPr>
        <w:tab/>
      </w:r>
    </w:p>
    <w:p w:rsidR="001912AC" w:rsidRDefault="001912AC" w:rsidP="001912AC">
      <w:pPr>
        <w:jc w:val="both"/>
      </w:pPr>
    </w:p>
    <w:p w:rsidR="001912AC" w:rsidRPr="00E00902" w:rsidRDefault="001912AC" w:rsidP="001912AC">
      <w:pPr>
        <w:ind w:left="1440" w:hanging="1440"/>
        <w:jc w:val="both"/>
        <w:rPr>
          <w:rStyle w:val="Strong"/>
        </w:rPr>
      </w:pPr>
      <w:r>
        <w:rPr>
          <w:b/>
          <w:bCs/>
        </w:rPr>
        <w:t>FPUC:</w:t>
      </w:r>
      <w:r>
        <w:rPr>
          <w:b/>
          <w:bCs/>
        </w:rPr>
        <w:tab/>
      </w:r>
      <w:r w:rsidRPr="00E00902">
        <w:rPr>
          <w:bCs/>
        </w:rPr>
        <w:t>No position.</w:t>
      </w:r>
    </w:p>
    <w:p w:rsidR="001912AC" w:rsidRDefault="001912AC" w:rsidP="001912AC">
      <w:pPr>
        <w:ind w:left="1440" w:hanging="1440"/>
        <w:jc w:val="both"/>
        <w:rPr>
          <w:b/>
          <w:bCs/>
        </w:rPr>
      </w:pPr>
      <w:r>
        <w:rPr>
          <w:b/>
          <w:bCs/>
        </w:rPr>
        <w:tab/>
      </w:r>
    </w:p>
    <w:p w:rsidR="001912AC" w:rsidRPr="00701945" w:rsidRDefault="001912AC" w:rsidP="001912AC">
      <w:pPr>
        <w:ind w:left="1440" w:hanging="1440"/>
        <w:jc w:val="both"/>
      </w:pPr>
      <w:r>
        <w:rPr>
          <w:b/>
          <w:bCs/>
        </w:rPr>
        <w:t>GULF</w:t>
      </w:r>
      <w:r w:rsidRPr="00701945">
        <w:rPr>
          <w:b/>
          <w:bCs/>
        </w:rPr>
        <w:t>:</w:t>
      </w:r>
      <w:r w:rsidRPr="00701945">
        <w:tab/>
      </w:r>
      <w:r>
        <w:t xml:space="preserve">$1,642,650 penalty.  </w:t>
      </w:r>
    </w:p>
    <w:p w:rsidR="001912AC" w:rsidRPr="00701945" w:rsidRDefault="001912AC" w:rsidP="001912AC">
      <w:pPr>
        <w:jc w:val="both"/>
      </w:pPr>
    </w:p>
    <w:p w:rsidR="001912AC" w:rsidRDefault="001912AC" w:rsidP="001912AC">
      <w:pPr>
        <w:ind w:left="1440" w:hanging="1440"/>
        <w:rPr>
          <w:bCs/>
        </w:rPr>
      </w:pPr>
      <w:r>
        <w:rPr>
          <w:b/>
          <w:bCs/>
        </w:rPr>
        <w:t>TECO</w:t>
      </w:r>
      <w:r w:rsidRPr="005D4B47">
        <w:rPr>
          <w:b/>
          <w:bCs/>
        </w:rPr>
        <w:t>:</w:t>
      </w:r>
      <w:r>
        <w:rPr>
          <w:b/>
          <w:bCs/>
        </w:rPr>
        <w:tab/>
      </w:r>
      <w:r w:rsidRPr="009113F3">
        <w:t xml:space="preserve">A </w:t>
      </w:r>
      <w:r>
        <w:t>reward</w:t>
      </w:r>
      <w:r w:rsidRPr="009113F3">
        <w:t xml:space="preserve"> in the </w:t>
      </w:r>
      <w:r w:rsidRPr="00757064">
        <w:t>amount of $</w:t>
      </w:r>
      <w:r>
        <w:t>3,673,726</w:t>
      </w:r>
      <w:r w:rsidRPr="00757064">
        <w:t xml:space="preserve"> for January</w:t>
      </w:r>
      <w:r>
        <w:t xml:space="preserve"> 2020 through December 2020 performance </w:t>
      </w:r>
      <w:r>
        <w:rPr>
          <w:rFonts w:cs="Arial"/>
          <w:bCs/>
        </w:rPr>
        <w:t>to be applied to the January 2022 through December 2022 period</w:t>
      </w:r>
      <w:r w:rsidRPr="009113F3">
        <w:rPr>
          <w:bCs/>
        </w:rPr>
        <w:t>.</w:t>
      </w:r>
    </w:p>
    <w:p w:rsidR="001912AC" w:rsidRPr="002A11D2" w:rsidRDefault="001912AC" w:rsidP="001912AC">
      <w:pPr>
        <w:rPr>
          <w:b/>
        </w:rPr>
      </w:pPr>
    </w:p>
    <w:p w:rsidR="001912AC" w:rsidRPr="00BF6EBB" w:rsidRDefault="001912AC" w:rsidP="001912AC">
      <w:pPr>
        <w:autoSpaceDE w:val="0"/>
        <w:autoSpaceDN w:val="0"/>
        <w:adjustRightInd w:val="0"/>
        <w:ind w:left="1440" w:hanging="1440"/>
        <w:jc w:val="both"/>
      </w:pPr>
      <w:r w:rsidRPr="00BF6EBB">
        <w:rPr>
          <w:b/>
          <w:bCs/>
          <w:u w:val="single"/>
        </w:rPr>
        <w:t>ISSUE 17</w:t>
      </w:r>
      <w:r w:rsidRPr="00BF6EBB">
        <w:t>:</w:t>
      </w:r>
      <w:r w:rsidRPr="00BF6EBB">
        <w:tab/>
      </w:r>
      <w:r w:rsidRPr="00E24C55">
        <w:rPr>
          <w:b/>
        </w:rPr>
        <w:t>What should the GPIF targets/ranges be for the period January 2022 through December 2022 for each investor-owned electric utility subject to the GPIF?</w:t>
      </w:r>
    </w:p>
    <w:p w:rsidR="001912AC" w:rsidRDefault="001912AC" w:rsidP="001912AC">
      <w:pPr>
        <w:rPr>
          <w:b/>
        </w:rPr>
      </w:pPr>
    </w:p>
    <w:p w:rsidR="001912AC" w:rsidRDefault="001912AC" w:rsidP="001912AC">
      <w:pPr>
        <w:rPr>
          <w:b/>
        </w:rPr>
      </w:pPr>
      <w:r>
        <w:rPr>
          <w:b/>
        </w:rPr>
        <w:t>Stipulation:</w:t>
      </w:r>
    </w:p>
    <w:p w:rsidR="001912AC" w:rsidRDefault="001912AC" w:rsidP="001912AC">
      <w:pPr>
        <w:rPr>
          <w:b/>
        </w:rPr>
      </w:pPr>
    </w:p>
    <w:p w:rsidR="001912AC" w:rsidRPr="000B17D8" w:rsidRDefault="001912AC" w:rsidP="001912AC">
      <w:pPr>
        <w:autoSpaceDE w:val="0"/>
        <w:autoSpaceDN w:val="0"/>
        <w:adjustRightInd w:val="0"/>
        <w:ind w:left="1440" w:hanging="1440"/>
        <w:jc w:val="both"/>
        <w:rPr>
          <w:b/>
        </w:rPr>
      </w:pPr>
      <w:r w:rsidRPr="000B17D8">
        <w:rPr>
          <w:b/>
        </w:rPr>
        <w:t>DEF:</w:t>
      </w:r>
      <w:r w:rsidRPr="000B17D8">
        <w:rPr>
          <w:b/>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1912AC" w:rsidRPr="005D302F" w:rsidTr="003B4907">
        <w:trPr>
          <w:trHeight w:val="300"/>
          <w:tblHeader/>
        </w:trPr>
        <w:tc>
          <w:tcPr>
            <w:tcW w:w="9360" w:type="dxa"/>
            <w:gridSpan w:val="8"/>
            <w:tcBorders>
              <w:top w:val="nil"/>
              <w:left w:val="nil"/>
              <w:bottom w:val="nil"/>
              <w:right w:val="nil"/>
            </w:tcBorders>
            <w:shd w:val="clear" w:color="auto" w:fill="FFFFFF" w:themeFill="background1"/>
            <w:noWrap/>
            <w:vAlign w:val="center"/>
          </w:tcPr>
          <w:p w:rsidR="001912AC" w:rsidRPr="005D302F" w:rsidRDefault="001912AC" w:rsidP="003B4907">
            <w:pPr>
              <w:jc w:val="center"/>
              <w:rPr>
                <w:rFonts w:ascii="Arial" w:hAnsi="Arial" w:cs="Arial"/>
                <w:b/>
              </w:rPr>
            </w:pPr>
            <w:bookmarkStart w:id="9" w:name="_Hlk40104337"/>
            <w:r w:rsidRPr="005D302F">
              <w:rPr>
                <w:rFonts w:ascii="Arial" w:hAnsi="Arial" w:cs="Arial"/>
                <w:b/>
              </w:rPr>
              <w:t>Table 17-1</w:t>
            </w:r>
          </w:p>
        </w:tc>
      </w:tr>
      <w:tr w:rsidR="001912AC" w:rsidRPr="005D302F" w:rsidTr="003B4907">
        <w:trPr>
          <w:trHeight w:val="300"/>
          <w:tblHeader/>
        </w:trPr>
        <w:tc>
          <w:tcPr>
            <w:tcW w:w="9360" w:type="dxa"/>
            <w:gridSpan w:val="8"/>
            <w:tcBorders>
              <w:top w:val="nil"/>
              <w:left w:val="nil"/>
              <w:right w:val="nil"/>
            </w:tcBorders>
            <w:shd w:val="clear" w:color="auto" w:fill="FFFFFF" w:themeFill="background1"/>
            <w:noWrap/>
            <w:vAlign w:val="center"/>
          </w:tcPr>
          <w:p w:rsidR="001912AC" w:rsidRPr="005D302F" w:rsidRDefault="001912AC" w:rsidP="003B4907">
            <w:pPr>
              <w:jc w:val="center"/>
            </w:pPr>
            <w:r w:rsidRPr="005D302F">
              <w:rPr>
                <w:rFonts w:ascii="Arial" w:hAnsi="Arial" w:cs="Arial"/>
                <w:b/>
              </w:rPr>
              <w:t>GPIF Targets/Ranges for the period January-December, 2022</w:t>
            </w:r>
          </w:p>
        </w:tc>
      </w:tr>
      <w:bookmarkEnd w:id="9"/>
      <w:tr w:rsidR="001912AC" w:rsidRPr="005D302F" w:rsidTr="003B4907">
        <w:trPr>
          <w:trHeight w:val="300"/>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b/>
                <w:bCs/>
                <w:sz w:val="22"/>
                <w:szCs w:val="22"/>
              </w:rPr>
            </w:pPr>
            <w:r w:rsidRPr="005D302F">
              <w:rPr>
                <w:rFonts w:cstheme="minorHAnsi"/>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912AC" w:rsidRPr="005D302F" w:rsidRDefault="001912AC" w:rsidP="003B4907">
            <w:pPr>
              <w:jc w:val="center"/>
              <w:rPr>
                <w:rFonts w:cstheme="minorHAnsi"/>
                <w:sz w:val="22"/>
                <w:szCs w:val="22"/>
              </w:rPr>
            </w:pPr>
            <w:r w:rsidRPr="005D302F">
              <w:rPr>
                <w:rFonts w:cstheme="minorHAnsi"/>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ANOHR</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Maximum</w:t>
            </w:r>
          </w:p>
        </w:tc>
      </w:tr>
      <w:tr w:rsidR="001912AC" w:rsidRPr="005D302F" w:rsidTr="003B4907">
        <w:trPr>
          <w:trHeight w:val="61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EAF</w:t>
            </w:r>
          </w:p>
          <w:p w:rsidR="001912AC" w:rsidRPr="005D302F" w:rsidRDefault="001912AC" w:rsidP="003B4907">
            <w:pPr>
              <w:jc w:val="center"/>
              <w:rPr>
                <w:rFonts w:cstheme="minorHAnsi"/>
                <w:sz w:val="22"/>
                <w:szCs w:val="22"/>
              </w:rPr>
            </w:pPr>
            <w:r w:rsidRPr="005D302F">
              <w:rPr>
                <w:rFonts w:cstheme="minorHAnsi"/>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EAF</w:t>
            </w:r>
          </w:p>
          <w:p w:rsidR="001912AC" w:rsidRPr="005D302F" w:rsidRDefault="001912AC" w:rsidP="003B4907">
            <w:pPr>
              <w:jc w:val="center"/>
              <w:rPr>
                <w:rFonts w:cstheme="minorHAnsi"/>
                <w:sz w:val="22"/>
                <w:szCs w:val="22"/>
              </w:rPr>
            </w:pPr>
            <w:r w:rsidRPr="005D302F">
              <w:rPr>
                <w:rFonts w:cstheme="minorHAnsi"/>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912AC" w:rsidRPr="005D302F" w:rsidRDefault="001912AC" w:rsidP="003B4907">
            <w:pPr>
              <w:jc w:val="center"/>
              <w:rPr>
                <w:rFonts w:cstheme="minorHAnsi"/>
                <w:sz w:val="22"/>
                <w:szCs w:val="22"/>
              </w:rPr>
            </w:pPr>
            <w:r w:rsidRPr="005D302F">
              <w:rPr>
                <w:rFonts w:cstheme="minorHAnsi"/>
                <w:sz w:val="22"/>
                <w:szCs w:val="22"/>
              </w:rPr>
              <w:t>Savings</w:t>
            </w:r>
          </w:p>
          <w:p w:rsidR="001912AC" w:rsidRPr="005D302F" w:rsidRDefault="001912AC" w:rsidP="003B4907">
            <w:pPr>
              <w:rPr>
                <w:rFonts w:cstheme="minorHAnsi"/>
                <w:sz w:val="22"/>
                <w:szCs w:val="22"/>
              </w:rPr>
            </w:pPr>
            <w:r w:rsidRPr="005D302F">
              <w:rPr>
                <w:rFonts w:cstheme="minorHAnsi"/>
                <w:sz w:val="22"/>
                <w:szCs w:val="22"/>
              </w:rPr>
              <w:t xml:space="preserve"> ($000's)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ANOHR</w:t>
            </w:r>
          </w:p>
          <w:p w:rsidR="001912AC" w:rsidRPr="005D302F" w:rsidRDefault="001912AC" w:rsidP="003B4907">
            <w:pPr>
              <w:jc w:val="center"/>
              <w:rPr>
                <w:rFonts w:cstheme="minorHAnsi"/>
                <w:sz w:val="22"/>
                <w:szCs w:val="22"/>
              </w:rPr>
            </w:pPr>
            <w:r w:rsidRPr="005D302F">
              <w:rPr>
                <w:rFonts w:cstheme="minorHAnsi"/>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ANOHR</w:t>
            </w:r>
          </w:p>
          <w:p w:rsidR="001912AC" w:rsidRPr="005D302F" w:rsidRDefault="001912AC" w:rsidP="003B4907">
            <w:pPr>
              <w:jc w:val="center"/>
              <w:rPr>
                <w:rFonts w:cstheme="minorHAnsi"/>
                <w:sz w:val="22"/>
                <w:szCs w:val="22"/>
              </w:rPr>
            </w:pPr>
            <w:r w:rsidRPr="005D302F">
              <w:rPr>
                <w:rFonts w:cstheme="minorHAnsi"/>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r w:rsidRPr="005D302F">
              <w:rPr>
                <w:rFonts w:cstheme="minorHAnsi"/>
                <w:sz w:val="22"/>
                <w:szCs w:val="22"/>
              </w:rPr>
              <w:t>Savings</w:t>
            </w:r>
          </w:p>
          <w:p w:rsidR="001912AC" w:rsidRPr="005D302F" w:rsidRDefault="001912AC" w:rsidP="003B4907">
            <w:pPr>
              <w:jc w:val="center"/>
              <w:rPr>
                <w:rFonts w:cstheme="minorHAnsi"/>
                <w:sz w:val="22"/>
                <w:szCs w:val="22"/>
              </w:rPr>
            </w:pPr>
            <w:r w:rsidRPr="005D302F">
              <w:rPr>
                <w:rFonts w:cstheme="minorHAnsi"/>
                <w:sz w:val="22"/>
                <w:szCs w:val="22"/>
              </w:rPr>
              <w:t>($000's)</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rsidR="001912AC" w:rsidRPr="005D302F" w:rsidRDefault="001912AC" w:rsidP="003B4907">
            <w:pPr>
              <w:jc w:val="cente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12AC" w:rsidRPr="005D302F" w:rsidRDefault="001912AC" w:rsidP="003B4907">
            <w:pPr>
              <w:rPr>
                <w:rFonts w:cstheme="minorHAnsi"/>
                <w:sz w:val="22"/>
                <w:szCs w:val="22"/>
              </w:rPr>
            </w:pPr>
            <w:r w:rsidRPr="005D302F">
              <w:rPr>
                <w:rFonts w:cstheme="minorHAnsi"/>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82.04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85.08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191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7,758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8,075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6,738</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Crystal River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69.57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78.31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6,846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9,472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9,980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5,809</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Crystal River 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74.10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79.02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3,714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9,802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10,397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5,895</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Hines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center"/>
              <w:rPr>
                <w:rFonts w:cstheme="minorHAnsi"/>
                <w:sz w:val="22"/>
                <w:szCs w:val="22"/>
              </w:rPr>
            </w:pPr>
            <w:r w:rsidRPr="005D302F">
              <w:rPr>
                <w:rFonts w:cstheme="minorHAnsi"/>
                <w:sz w:val="22"/>
                <w:szCs w:val="22"/>
              </w:rPr>
              <w:t xml:space="preserve">   89.40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91.66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304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7,705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7,871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944</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Hines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89.32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89.84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194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7,550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7,664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751</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93.62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94.82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168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7,394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7,570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1,653</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rPr>
                <w:rFonts w:cstheme="minorHAnsi"/>
                <w:sz w:val="22"/>
                <w:szCs w:val="22"/>
              </w:rPr>
            </w:pPr>
            <w:r w:rsidRPr="005D302F">
              <w:rPr>
                <w:rFonts w:cstheme="minorHAnsi"/>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85.09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86.44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u w:val="single"/>
              </w:rPr>
            </w:pPr>
            <w:r w:rsidRPr="005D302F">
              <w:rPr>
                <w:rFonts w:cstheme="minorHAnsi"/>
                <w:sz w:val="22"/>
                <w:szCs w:val="22"/>
                <w:u w:val="single"/>
              </w:rPr>
              <w:t>201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7,057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7,237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u w:val="single"/>
              </w:rPr>
            </w:pPr>
            <w:r w:rsidRPr="005D302F">
              <w:rPr>
                <w:rFonts w:cstheme="minorHAnsi"/>
                <w:sz w:val="22"/>
                <w:szCs w:val="22"/>
                <w:u w:val="single"/>
              </w:rPr>
              <w:t>1,888</w:t>
            </w:r>
          </w:p>
        </w:tc>
      </w:tr>
      <w:tr w:rsidR="001912AC" w:rsidRPr="005D302F" w:rsidTr="003B4907">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1912AC" w:rsidRPr="005D302F" w:rsidRDefault="001912AC" w:rsidP="003B4907">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r w:rsidRPr="005D302F">
              <w:rPr>
                <w:rFonts w:cstheme="minorHAnsi"/>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u w:val="double"/>
              </w:rPr>
            </w:pPr>
            <w:r w:rsidRPr="005D302F">
              <w:rPr>
                <w:rFonts w:cstheme="minorHAnsi"/>
                <w:sz w:val="22"/>
                <w:szCs w:val="22"/>
                <w:u w:val="double"/>
              </w:rPr>
              <w:t>11,620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12AC" w:rsidRPr="005D302F" w:rsidRDefault="001912AC" w:rsidP="003B4907">
            <w:pPr>
              <w:jc w:val="right"/>
              <w:rPr>
                <w:rFonts w:cstheme="minorHAnsi"/>
                <w:sz w:val="22"/>
                <w:szCs w:val="22"/>
                <w:u w:val="double"/>
              </w:rPr>
            </w:pPr>
            <w:r w:rsidRPr="005D302F">
              <w:rPr>
                <w:rFonts w:cstheme="minorHAnsi"/>
                <w:sz w:val="22"/>
                <w:szCs w:val="22"/>
                <w:u w:val="double"/>
              </w:rPr>
              <w:t>23,677</w:t>
            </w:r>
          </w:p>
        </w:tc>
      </w:tr>
    </w:tbl>
    <w:p w:rsidR="001912AC" w:rsidRPr="005D302F" w:rsidRDefault="001912AC" w:rsidP="001912AC">
      <w:pPr>
        <w:autoSpaceDE w:val="0"/>
        <w:autoSpaceDN w:val="0"/>
        <w:adjustRightInd w:val="0"/>
        <w:ind w:left="1440" w:hanging="1440"/>
        <w:jc w:val="both"/>
      </w:pPr>
      <w:r w:rsidRPr="005D302F">
        <w:t xml:space="preserve"> </w:t>
      </w:r>
      <w:r w:rsidRPr="005D302F">
        <w:rPr>
          <w:sz w:val="22"/>
          <w:szCs w:val="22"/>
        </w:rPr>
        <w:t>Source: GPIF Target and Range Summary (Exhibit MIL-1P, Page 4 of 76).</w:t>
      </w:r>
    </w:p>
    <w:p w:rsidR="001912AC" w:rsidRPr="005D302F" w:rsidRDefault="001912AC" w:rsidP="001912AC">
      <w:pPr>
        <w:ind w:left="1440" w:hanging="1440"/>
        <w:jc w:val="both"/>
      </w:pPr>
    </w:p>
    <w:p w:rsidR="001912AC" w:rsidRPr="000B17D8" w:rsidRDefault="001912AC" w:rsidP="001912AC">
      <w:pPr>
        <w:ind w:left="1440" w:hanging="1440"/>
        <w:jc w:val="both"/>
        <w:rPr>
          <w:b/>
        </w:rPr>
      </w:pPr>
      <w:r w:rsidRPr="000B17D8">
        <w:rPr>
          <w:b/>
        </w:rPr>
        <w:t>FPL/GULF:</w:t>
      </w:r>
      <w:r w:rsidRPr="000B17D8">
        <w:rPr>
          <w:b/>
        </w:rPr>
        <w:tab/>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1912AC" w:rsidRPr="005D302F" w:rsidTr="003B4907">
        <w:trPr>
          <w:cantSplit/>
          <w:tblHeader/>
        </w:trPr>
        <w:tc>
          <w:tcPr>
            <w:tcW w:w="9360" w:type="dxa"/>
            <w:gridSpan w:val="8"/>
            <w:tcBorders>
              <w:top w:val="nil"/>
              <w:left w:val="nil"/>
              <w:bottom w:val="nil"/>
              <w:right w:val="nil"/>
            </w:tcBorders>
            <w:shd w:val="clear" w:color="auto" w:fill="auto"/>
            <w:vAlign w:val="center"/>
          </w:tcPr>
          <w:p w:rsidR="001912AC" w:rsidRPr="005D302F" w:rsidRDefault="001912AC" w:rsidP="003B4907">
            <w:pPr>
              <w:jc w:val="both"/>
              <w:rPr>
                <w:rFonts w:ascii="Arial" w:hAnsi="Arial" w:cs="Arial"/>
                <w:b/>
              </w:rPr>
            </w:pPr>
          </w:p>
          <w:p w:rsidR="001912AC" w:rsidRPr="005D302F" w:rsidRDefault="001912AC" w:rsidP="003B4907">
            <w:pPr>
              <w:jc w:val="center"/>
            </w:pPr>
            <w:r w:rsidRPr="005D302F">
              <w:rPr>
                <w:rFonts w:ascii="Arial" w:hAnsi="Arial" w:cs="Arial"/>
                <w:b/>
              </w:rPr>
              <w:t>Table 17-2</w:t>
            </w:r>
          </w:p>
        </w:tc>
      </w:tr>
      <w:tr w:rsidR="001912AC" w:rsidRPr="005D302F" w:rsidTr="003B4907">
        <w:trPr>
          <w:cantSplit/>
          <w:tblHeader/>
        </w:trPr>
        <w:tc>
          <w:tcPr>
            <w:tcW w:w="9360" w:type="dxa"/>
            <w:gridSpan w:val="8"/>
            <w:tcBorders>
              <w:top w:val="nil"/>
              <w:left w:val="nil"/>
              <w:right w:val="nil"/>
            </w:tcBorders>
            <w:shd w:val="clear" w:color="auto" w:fill="auto"/>
            <w:vAlign w:val="center"/>
          </w:tcPr>
          <w:p w:rsidR="001912AC" w:rsidRPr="005D302F" w:rsidRDefault="001912AC" w:rsidP="003B4907">
            <w:pPr>
              <w:jc w:val="center"/>
            </w:pPr>
            <w:r w:rsidRPr="005D302F">
              <w:rPr>
                <w:rFonts w:ascii="Arial" w:hAnsi="Arial" w:cs="Arial"/>
                <w:b/>
              </w:rPr>
              <w:t>GPIF Targets/Ranges for the period January-December, 2022</w:t>
            </w:r>
          </w:p>
        </w:tc>
      </w:tr>
      <w:tr w:rsidR="001912AC" w:rsidRPr="005D302F" w:rsidTr="003B4907">
        <w:trPr>
          <w:cantSplit/>
          <w:tblHeader/>
        </w:trPr>
        <w:tc>
          <w:tcPr>
            <w:tcW w:w="900" w:type="dxa"/>
            <w:vMerge w:val="restart"/>
            <w:tcBorders>
              <w:top w:val="single" w:sz="4" w:space="0" w:color="auto"/>
              <w:left w:val="single" w:sz="4" w:space="0" w:color="auto"/>
              <w:right w:val="single" w:sz="4" w:space="0" w:color="auto"/>
            </w:tcBorders>
            <w:vAlign w:val="center"/>
            <w:hideMark/>
          </w:tcPr>
          <w:p w:rsidR="001912AC" w:rsidRPr="005D302F" w:rsidRDefault="001912AC" w:rsidP="003B4907">
            <w:pPr>
              <w:rPr>
                <w:sz w:val="22"/>
                <w:szCs w:val="22"/>
              </w:rPr>
            </w:pPr>
          </w:p>
          <w:p w:rsidR="001912AC" w:rsidRPr="005D302F" w:rsidRDefault="001912AC" w:rsidP="003B4907">
            <w:pPr>
              <w:jc w:val="center"/>
              <w:rPr>
                <w:b/>
                <w:bCs/>
                <w:sz w:val="22"/>
                <w:szCs w:val="22"/>
              </w:rPr>
            </w:pPr>
            <w:r w:rsidRPr="005D302F">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1912AC" w:rsidRPr="005D302F" w:rsidRDefault="001912AC" w:rsidP="003B4907">
            <w:pPr>
              <w:jc w:val="center"/>
              <w:rPr>
                <w:sz w:val="22"/>
                <w:szCs w:val="22"/>
              </w:rPr>
            </w:pPr>
            <w:r w:rsidRPr="005D302F">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ANOHR</w:t>
            </w:r>
          </w:p>
        </w:tc>
      </w:tr>
      <w:tr w:rsidR="001912AC" w:rsidRPr="005D302F" w:rsidTr="003B4907">
        <w:trPr>
          <w:cantSplit/>
          <w:tblHeader/>
        </w:trPr>
        <w:tc>
          <w:tcPr>
            <w:tcW w:w="900" w:type="dxa"/>
            <w:vMerge/>
            <w:tcBorders>
              <w:left w:val="single" w:sz="4" w:space="0" w:color="auto"/>
              <w:right w:val="single" w:sz="4" w:space="0" w:color="auto"/>
            </w:tcBorders>
            <w:vAlign w:val="center"/>
            <w:hideMark/>
          </w:tcPr>
          <w:p w:rsidR="001912AC" w:rsidRPr="005D302F" w:rsidRDefault="001912AC" w:rsidP="003B4907">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Maximum</w:t>
            </w:r>
          </w:p>
        </w:tc>
      </w:tr>
      <w:tr w:rsidR="001912AC" w:rsidRPr="005D302F" w:rsidTr="003B4907">
        <w:trPr>
          <w:cantSplit/>
          <w:trHeight w:val="665"/>
          <w:tblHeader/>
        </w:trPr>
        <w:tc>
          <w:tcPr>
            <w:tcW w:w="900" w:type="dxa"/>
            <w:vMerge/>
            <w:tcBorders>
              <w:left w:val="single" w:sz="4" w:space="0" w:color="auto"/>
              <w:right w:val="single" w:sz="4" w:space="0" w:color="auto"/>
            </w:tcBorders>
            <w:vAlign w:val="center"/>
            <w:hideMark/>
          </w:tcPr>
          <w:p w:rsidR="001912AC" w:rsidRPr="005D302F" w:rsidRDefault="001912AC" w:rsidP="003B4907">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EAF</w:t>
            </w:r>
          </w:p>
          <w:p w:rsidR="001912AC" w:rsidRPr="005D302F" w:rsidRDefault="001912AC" w:rsidP="003B4907">
            <w:pPr>
              <w:jc w:val="center"/>
              <w:rPr>
                <w:sz w:val="22"/>
                <w:szCs w:val="22"/>
              </w:rPr>
            </w:pPr>
            <w:r w:rsidRPr="005D302F">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EAF</w:t>
            </w:r>
          </w:p>
          <w:p w:rsidR="001912AC" w:rsidRPr="005D302F" w:rsidRDefault="001912AC" w:rsidP="003B4907">
            <w:pPr>
              <w:jc w:val="center"/>
              <w:rPr>
                <w:sz w:val="22"/>
                <w:szCs w:val="22"/>
              </w:rPr>
            </w:pPr>
            <w:r w:rsidRPr="005D302F">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Savings</w:t>
            </w:r>
          </w:p>
          <w:p w:rsidR="001912AC" w:rsidRPr="005D302F" w:rsidRDefault="001912AC" w:rsidP="003B4907">
            <w:pPr>
              <w:jc w:val="center"/>
              <w:rPr>
                <w:sz w:val="22"/>
                <w:szCs w:val="22"/>
              </w:rPr>
            </w:pPr>
            <w:r w:rsidRPr="005D302F">
              <w:rPr>
                <w:sz w:val="22"/>
                <w:szCs w:val="22"/>
              </w:rP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ANOHR</w:t>
            </w:r>
          </w:p>
          <w:p w:rsidR="001912AC" w:rsidRPr="005D302F" w:rsidRDefault="001912AC" w:rsidP="003B4907">
            <w:pPr>
              <w:jc w:val="center"/>
              <w:rPr>
                <w:sz w:val="22"/>
                <w:szCs w:val="22"/>
              </w:rPr>
            </w:pPr>
            <w:r w:rsidRPr="005D302F">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ANOHR</w:t>
            </w:r>
          </w:p>
          <w:p w:rsidR="001912AC" w:rsidRPr="005D302F" w:rsidRDefault="001912AC" w:rsidP="003B4907">
            <w:pPr>
              <w:jc w:val="center"/>
              <w:rPr>
                <w:sz w:val="22"/>
                <w:szCs w:val="22"/>
              </w:rPr>
            </w:pPr>
            <w:r w:rsidRPr="005D302F">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jc w:val="center"/>
              <w:rPr>
                <w:sz w:val="22"/>
                <w:szCs w:val="22"/>
              </w:rPr>
            </w:pPr>
            <w:r w:rsidRPr="005D302F">
              <w:rPr>
                <w:sz w:val="22"/>
                <w:szCs w:val="22"/>
              </w:rPr>
              <w:t>Savings</w:t>
            </w:r>
          </w:p>
          <w:p w:rsidR="001912AC" w:rsidRPr="005D302F" w:rsidRDefault="001912AC" w:rsidP="003B4907">
            <w:pPr>
              <w:jc w:val="center"/>
              <w:rPr>
                <w:sz w:val="22"/>
                <w:szCs w:val="22"/>
              </w:rPr>
            </w:pPr>
            <w:r w:rsidRPr="005D302F">
              <w:rPr>
                <w:sz w:val="22"/>
                <w:szCs w:val="22"/>
              </w:rPr>
              <w:t>($000's)</w:t>
            </w:r>
          </w:p>
        </w:tc>
      </w:tr>
      <w:tr w:rsidR="001912AC" w:rsidRPr="005D302F" w:rsidTr="003B4907">
        <w:trPr>
          <w:trHeight w:val="300"/>
        </w:trPr>
        <w:tc>
          <w:tcPr>
            <w:tcW w:w="900" w:type="dxa"/>
            <w:vMerge/>
            <w:tcBorders>
              <w:left w:val="single" w:sz="4" w:space="0" w:color="auto"/>
              <w:right w:val="single" w:sz="4" w:space="0" w:color="auto"/>
            </w:tcBorders>
            <w:noWrap/>
            <w:vAlign w:val="center"/>
            <w:hideMark/>
          </w:tcPr>
          <w:p w:rsidR="001912AC" w:rsidRPr="005D302F" w:rsidRDefault="001912AC" w:rsidP="003B4907">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81.5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84.0</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61</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6,726</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6,804</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1,321</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91.7</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94.2</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50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7,121</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7,270</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4,793</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rPr>
                <w:sz w:val="22"/>
                <w:szCs w:val="22"/>
              </w:rPr>
            </w:pPr>
            <w:r w:rsidRPr="005D302F">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81.4</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83.9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151</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6,901</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7,172</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6,289</w:t>
            </w:r>
          </w:p>
        </w:tc>
      </w:tr>
      <w:tr w:rsidR="001912AC" w:rsidRPr="005D302F" w:rsidTr="003B4907">
        <w:trPr>
          <w:trHeight w:val="300"/>
        </w:trPr>
        <w:tc>
          <w:tcPr>
            <w:tcW w:w="900" w:type="dxa"/>
            <w:vMerge/>
            <w:tcBorders>
              <w:left w:val="single" w:sz="4" w:space="0" w:color="auto"/>
              <w:right w:val="single" w:sz="4" w:space="0" w:color="auto"/>
            </w:tcBorders>
            <w:vAlign w:val="center"/>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rPr>
                <w:sz w:val="22"/>
                <w:szCs w:val="22"/>
              </w:rPr>
            </w:pPr>
            <w:r w:rsidRPr="005D302F">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87.5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90.0</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113</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6,967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7,061</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1,782</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82.1</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85.1</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409</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6,597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6,685</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2,622</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89.8</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92.3</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116</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6,633</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6,719</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1,900</w:t>
            </w:r>
          </w:p>
        </w:tc>
      </w:tr>
      <w:tr w:rsidR="001912AC" w:rsidRPr="005D302F" w:rsidTr="003B4907">
        <w:trPr>
          <w:trHeight w:val="300"/>
        </w:trPr>
        <w:tc>
          <w:tcPr>
            <w:tcW w:w="900" w:type="dxa"/>
            <w:vMerge/>
            <w:tcBorders>
              <w:left w:val="single" w:sz="4" w:space="0" w:color="auto"/>
              <w:right w:val="single" w:sz="4" w:space="0" w:color="auto"/>
            </w:tcBorders>
            <w:vAlign w:val="center"/>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rPr>
                <w:sz w:val="22"/>
                <w:szCs w:val="22"/>
              </w:rPr>
            </w:pPr>
            <w:r w:rsidRPr="005D302F">
              <w:rPr>
                <w:sz w:val="22"/>
                <w:szCs w:val="22"/>
              </w:rPr>
              <w:t>Sanford 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92.2</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94.7</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33</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7,275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7,438</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2,837</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rPr>
                <w:sz w:val="22"/>
                <w:szCs w:val="22"/>
              </w:rPr>
            </w:pPr>
            <w:r w:rsidRPr="005D302F">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81.4</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84.9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4,975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10,437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10,538</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372</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4,072</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10,297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10,392</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294</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92.9</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95.9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3,875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10,512</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10,635</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441</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85.7</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88.7</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3,482</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10,900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11,188</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1,045</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89.1</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92.1</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7,160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7,268</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2,109</w:t>
            </w:r>
          </w:p>
        </w:tc>
      </w:tr>
      <w:tr w:rsidR="001912AC" w:rsidRPr="005D302F" w:rsidTr="003B4907">
        <w:trPr>
          <w:trHeight w:val="300"/>
        </w:trPr>
        <w:tc>
          <w:tcPr>
            <w:tcW w:w="900" w:type="dxa"/>
            <w:vMerge/>
            <w:tcBorders>
              <w:left w:val="single" w:sz="4" w:space="0" w:color="auto"/>
              <w:right w:val="single" w:sz="4" w:space="0" w:color="auto"/>
            </w:tcBorders>
            <w:vAlign w:val="center"/>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rPr>
                <w:sz w:val="22"/>
                <w:szCs w:val="22"/>
              </w:rPr>
            </w:pPr>
            <w:r w:rsidRPr="005D302F">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83.5</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86.0</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128</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7,220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7,492</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3,848</w:t>
            </w:r>
          </w:p>
        </w:tc>
      </w:tr>
      <w:tr w:rsidR="001912AC" w:rsidRPr="005D302F" w:rsidTr="003B4907">
        <w:trPr>
          <w:trHeight w:val="30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68.4</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70.9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145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7,004</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7,104</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1,714</w:t>
            </w:r>
          </w:p>
        </w:tc>
      </w:tr>
      <w:tr w:rsidR="001912AC" w:rsidRPr="005D302F" w:rsidTr="003B4907">
        <w:trPr>
          <w:trHeight w:val="260"/>
        </w:trPr>
        <w:tc>
          <w:tcPr>
            <w:tcW w:w="90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90.1</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92.6</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single"/>
              </w:rPr>
            </w:pPr>
            <w:r w:rsidRPr="005D302F">
              <w:rPr>
                <w:sz w:val="22"/>
                <w:szCs w:val="22"/>
                <w:u w:val="single"/>
              </w:rPr>
              <w:t>183</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6,997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7,114</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single"/>
              </w:rPr>
            </w:pPr>
            <w:r w:rsidRPr="005D302F">
              <w:rPr>
                <w:sz w:val="22"/>
                <w:szCs w:val="22"/>
                <w:u w:val="single"/>
              </w:rPr>
              <w:t>2,571</w:t>
            </w:r>
          </w:p>
        </w:tc>
      </w:tr>
      <w:tr w:rsidR="001912AC" w:rsidRPr="005D302F" w:rsidTr="003B4907">
        <w:trPr>
          <w:trHeight w:val="260"/>
        </w:trPr>
        <w:tc>
          <w:tcPr>
            <w:tcW w:w="900" w:type="dxa"/>
            <w:vMerge/>
            <w:tcBorders>
              <w:left w:val="single" w:sz="4" w:space="0" w:color="auto"/>
              <w:bottom w:val="single" w:sz="4" w:space="0" w:color="auto"/>
              <w:right w:val="single" w:sz="4" w:space="0" w:color="auto"/>
            </w:tcBorders>
            <w:vAlign w:val="center"/>
            <w:hideMark/>
          </w:tcPr>
          <w:p w:rsidR="001912AC" w:rsidRPr="005D302F" w:rsidRDefault="001912AC" w:rsidP="003B4907">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right"/>
              <w:rPr>
                <w:sz w:val="22"/>
                <w:szCs w:val="22"/>
              </w:rPr>
            </w:pPr>
            <w:r w:rsidRPr="005D302F">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double"/>
              </w:rPr>
            </w:pPr>
            <w:r w:rsidRPr="005D302F">
              <w:rPr>
                <w:sz w:val="22"/>
                <w:szCs w:val="22"/>
                <w:u w:val="double"/>
              </w:rPr>
              <w:t>17,880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double"/>
              </w:rPr>
            </w:pPr>
            <w:r w:rsidRPr="005D302F">
              <w:rPr>
                <w:sz w:val="22"/>
                <w:szCs w:val="22"/>
                <w:u w:val="double"/>
              </w:rPr>
              <w:t>33,938</w:t>
            </w:r>
          </w:p>
        </w:tc>
      </w:tr>
    </w:tbl>
    <w:p w:rsidR="001912AC" w:rsidRPr="005D302F" w:rsidRDefault="001912AC" w:rsidP="001912AC">
      <w:pPr>
        <w:rPr>
          <w:sz w:val="22"/>
          <w:szCs w:val="22"/>
        </w:rPr>
      </w:pPr>
      <w:r w:rsidRPr="005D302F">
        <w:rPr>
          <w:sz w:val="22"/>
          <w:szCs w:val="22"/>
        </w:rPr>
        <w:t xml:space="preserve">    Source: GPIF Target and Range Summary (Exhibit CRR-2, Pages 6-7 of 40).</w:t>
      </w:r>
    </w:p>
    <w:p w:rsidR="001912AC" w:rsidRPr="005D302F" w:rsidRDefault="001912AC" w:rsidP="001912AC">
      <w:pPr>
        <w:rPr>
          <w:sz w:val="22"/>
          <w:szCs w:val="22"/>
        </w:rPr>
      </w:pPr>
      <w:r w:rsidRPr="005D302F">
        <w:rPr>
          <w:sz w:val="22"/>
          <w:szCs w:val="22"/>
        </w:rPr>
        <w:t xml:space="preserve">     *May not compute due to rounding.</w:t>
      </w:r>
    </w:p>
    <w:p w:rsidR="001912AC" w:rsidRPr="005D302F" w:rsidRDefault="001912AC" w:rsidP="001912AC">
      <w:pPr>
        <w:ind w:left="1440" w:hanging="1440"/>
        <w:jc w:val="both"/>
      </w:pPr>
    </w:p>
    <w:p w:rsidR="001912AC" w:rsidRPr="000B17D8" w:rsidRDefault="001912AC" w:rsidP="001912AC">
      <w:pPr>
        <w:autoSpaceDE w:val="0"/>
        <w:autoSpaceDN w:val="0"/>
        <w:adjustRightInd w:val="0"/>
        <w:ind w:left="1440" w:hanging="1440"/>
        <w:jc w:val="both"/>
        <w:rPr>
          <w:b/>
        </w:rPr>
      </w:pPr>
      <w:r w:rsidRPr="000B17D8">
        <w:rPr>
          <w:b/>
        </w:rPr>
        <w:t>TECO:</w:t>
      </w:r>
      <w:r w:rsidRPr="000B17D8">
        <w:rPr>
          <w:b/>
        </w:rPr>
        <w:tab/>
      </w:r>
    </w:p>
    <w:p w:rsidR="001912AC" w:rsidRPr="000B17D8" w:rsidRDefault="001912AC" w:rsidP="001912AC">
      <w:pPr>
        <w:autoSpaceDE w:val="0"/>
        <w:autoSpaceDN w:val="0"/>
        <w:adjustRightInd w:val="0"/>
        <w:ind w:left="1440" w:hanging="1440"/>
        <w:jc w:val="both"/>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22"/>
        <w:gridCol w:w="918"/>
        <w:gridCol w:w="900"/>
        <w:gridCol w:w="1080"/>
        <w:gridCol w:w="1260"/>
        <w:gridCol w:w="1260"/>
        <w:gridCol w:w="1350"/>
      </w:tblGrid>
      <w:tr w:rsidR="001912AC" w:rsidRPr="005D302F" w:rsidTr="003B4907">
        <w:trPr>
          <w:trHeight w:val="300"/>
        </w:trPr>
        <w:tc>
          <w:tcPr>
            <w:tcW w:w="9360" w:type="dxa"/>
            <w:gridSpan w:val="8"/>
            <w:tcBorders>
              <w:top w:val="nil"/>
              <w:left w:val="nil"/>
              <w:bottom w:val="nil"/>
              <w:right w:val="nil"/>
            </w:tcBorders>
            <w:noWrap/>
            <w:vAlign w:val="center"/>
          </w:tcPr>
          <w:p w:rsidR="001912AC" w:rsidRPr="005D302F" w:rsidRDefault="001912AC" w:rsidP="003B4907">
            <w:pPr>
              <w:jc w:val="center"/>
              <w:rPr>
                <w:rFonts w:ascii="Arial" w:hAnsi="Arial" w:cs="Arial"/>
                <w:b/>
              </w:rPr>
            </w:pPr>
            <w:r w:rsidRPr="005D302F">
              <w:rPr>
                <w:rFonts w:ascii="Arial" w:hAnsi="Arial" w:cs="Arial"/>
                <w:b/>
              </w:rPr>
              <w:t>Table 17-3</w:t>
            </w:r>
          </w:p>
        </w:tc>
      </w:tr>
      <w:tr w:rsidR="001912AC" w:rsidRPr="005D302F" w:rsidTr="003B4907">
        <w:trPr>
          <w:trHeight w:val="300"/>
        </w:trPr>
        <w:tc>
          <w:tcPr>
            <w:tcW w:w="9360" w:type="dxa"/>
            <w:gridSpan w:val="8"/>
            <w:tcBorders>
              <w:top w:val="nil"/>
              <w:left w:val="nil"/>
              <w:right w:val="nil"/>
            </w:tcBorders>
            <w:noWrap/>
            <w:vAlign w:val="center"/>
          </w:tcPr>
          <w:p w:rsidR="001912AC" w:rsidRPr="005D302F" w:rsidRDefault="001912AC" w:rsidP="003B4907">
            <w:pPr>
              <w:jc w:val="center"/>
            </w:pPr>
            <w:r w:rsidRPr="005D302F">
              <w:rPr>
                <w:rFonts w:ascii="Arial" w:hAnsi="Arial" w:cs="Arial"/>
                <w:b/>
              </w:rPr>
              <w:t>GPIF Targets/Ranges for the period January-December, 2022</w:t>
            </w:r>
          </w:p>
        </w:tc>
      </w:tr>
      <w:tr w:rsidR="001912AC" w:rsidRPr="005D302F" w:rsidTr="003B4907">
        <w:trPr>
          <w:trHeight w:val="300"/>
        </w:trPr>
        <w:tc>
          <w:tcPr>
            <w:tcW w:w="1170" w:type="dxa"/>
            <w:vMerge w:val="restart"/>
            <w:tcBorders>
              <w:top w:val="single" w:sz="4" w:space="0" w:color="auto"/>
              <w:left w:val="single" w:sz="4" w:space="0" w:color="auto"/>
              <w:right w:val="single" w:sz="4" w:space="0" w:color="auto"/>
            </w:tcBorders>
            <w:noWrap/>
            <w:vAlign w:val="center"/>
          </w:tcPr>
          <w:p w:rsidR="001912AC" w:rsidRPr="005D302F" w:rsidRDefault="001912AC" w:rsidP="003B4907">
            <w:pPr>
              <w:jc w:val="center"/>
              <w:rPr>
                <w:b/>
                <w:bCs/>
                <w:sz w:val="22"/>
                <w:szCs w:val="22"/>
              </w:rPr>
            </w:pPr>
            <w:r w:rsidRPr="005D302F">
              <w:rPr>
                <w:b/>
                <w:bCs/>
                <w:sz w:val="22"/>
                <w:szCs w:val="22"/>
              </w:rPr>
              <w:t>TECO</w:t>
            </w:r>
          </w:p>
        </w:tc>
        <w:tc>
          <w:tcPr>
            <w:tcW w:w="1422" w:type="dxa"/>
            <w:vMerge w:val="restart"/>
            <w:tcBorders>
              <w:top w:val="single" w:sz="4" w:space="0" w:color="auto"/>
              <w:left w:val="single" w:sz="4" w:space="0" w:color="auto"/>
              <w:bottom w:val="single" w:sz="4" w:space="0" w:color="auto"/>
              <w:right w:val="single" w:sz="4" w:space="0" w:color="auto"/>
            </w:tcBorders>
            <w:noWrap/>
            <w:vAlign w:val="center"/>
          </w:tcPr>
          <w:p w:rsidR="001912AC" w:rsidRPr="005D302F" w:rsidRDefault="001912AC" w:rsidP="003B4907">
            <w:pPr>
              <w:jc w:val="center"/>
              <w:rPr>
                <w:sz w:val="22"/>
                <w:szCs w:val="22"/>
              </w:rPr>
            </w:pPr>
            <w:r w:rsidRPr="005D302F">
              <w:rPr>
                <w:sz w:val="22"/>
                <w:szCs w:val="22"/>
              </w:rPr>
              <w:t>Plant/Unit</w:t>
            </w:r>
          </w:p>
        </w:tc>
        <w:tc>
          <w:tcPr>
            <w:tcW w:w="918"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Maximum</w:t>
            </w:r>
          </w:p>
        </w:tc>
      </w:tr>
      <w:tr w:rsidR="001912AC" w:rsidRPr="005D302F" w:rsidTr="003B4907">
        <w:trPr>
          <w:trHeight w:val="610"/>
        </w:trPr>
        <w:tc>
          <w:tcPr>
            <w:tcW w:w="1170" w:type="dxa"/>
            <w:vMerge/>
            <w:tcBorders>
              <w:left w:val="single" w:sz="4" w:space="0" w:color="auto"/>
              <w:right w:val="single" w:sz="4" w:space="0" w:color="auto"/>
            </w:tcBorders>
            <w:vAlign w:val="center"/>
            <w:hideMark/>
          </w:tcPr>
          <w:p w:rsidR="001912AC" w:rsidRPr="005D302F" w:rsidRDefault="001912AC" w:rsidP="003B4907">
            <w:pPr>
              <w:jc w:val="center"/>
              <w:rPr>
                <w:sz w:val="22"/>
                <w:szCs w:val="22"/>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1912AC" w:rsidRPr="005D302F" w:rsidRDefault="001912AC" w:rsidP="003B4907">
            <w:pPr>
              <w:rPr>
                <w:sz w:val="22"/>
                <w:szCs w:val="22"/>
              </w:rPr>
            </w:pPr>
          </w:p>
        </w:tc>
        <w:tc>
          <w:tcPr>
            <w:tcW w:w="918"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EAF</w:t>
            </w:r>
          </w:p>
          <w:p w:rsidR="001912AC" w:rsidRPr="005D302F" w:rsidRDefault="001912AC" w:rsidP="003B4907">
            <w:pPr>
              <w:jc w:val="center"/>
              <w:rPr>
                <w:sz w:val="22"/>
                <w:szCs w:val="22"/>
              </w:rPr>
            </w:pPr>
            <w:r w:rsidRPr="005D302F">
              <w:rPr>
                <w:sz w:val="22"/>
                <w:szCs w:val="22"/>
              </w:rP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EAF</w:t>
            </w:r>
          </w:p>
          <w:p w:rsidR="001912AC" w:rsidRPr="005D302F" w:rsidRDefault="001912AC" w:rsidP="003B4907">
            <w:pPr>
              <w:jc w:val="center"/>
              <w:rPr>
                <w:sz w:val="22"/>
                <w:szCs w:val="22"/>
              </w:rPr>
            </w:pPr>
            <w:r w:rsidRPr="005D302F">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rsidR="001912AC" w:rsidRPr="005D302F" w:rsidRDefault="001912AC" w:rsidP="003B4907">
            <w:pPr>
              <w:jc w:val="center"/>
              <w:rPr>
                <w:sz w:val="22"/>
                <w:szCs w:val="22"/>
              </w:rPr>
            </w:pPr>
            <w:r w:rsidRPr="005D302F">
              <w:rPr>
                <w:sz w:val="22"/>
                <w:szCs w:val="22"/>
              </w:rPr>
              <w:t>Savings</w:t>
            </w:r>
          </w:p>
          <w:p w:rsidR="001912AC" w:rsidRPr="005D302F" w:rsidRDefault="001912AC" w:rsidP="003B4907">
            <w:pPr>
              <w:rPr>
                <w:sz w:val="22"/>
                <w:szCs w:val="22"/>
              </w:rPr>
            </w:pPr>
            <w:r w:rsidRPr="005D302F">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ANOHR</w:t>
            </w:r>
          </w:p>
          <w:p w:rsidR="001912AC" w:rsidRPr="005D302F" w:rsidRDefault="001912AC" w:rsidP="003B4907">
            <w:pPr>
              <w:jc w:val="center"/>
              <w:rPr>
                <w:sz w:val="22"/>
                <w:szCs w:val="22"/>
              </w:rPr>
            </w:pPr>
            <w:r w:rsidRPr="005D302F">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ANOHR</w:t>
            </w:r>
          </w:p>
          <w:p w:rsidR="001912AC" w:rsidRPr="005D302F" w:rsidRDefault="001912AC" w:rsidP="003B4907">
            <w:pPr>
              <w:jc w:val="center"/>
              <w:rPr>
                <w:sz w:val="22"/>
                <w:szCs w:val="22"/>
              </w:rPr>
            </w:pPr>
            <w:r w:rsidRPr="005D302F">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center"/>
              <w:rPr>
                <w:sz w:val="22"/>
                <w:szCs w:val="22"/>
              </w:rPr>
            </w:pPr>
            <w:r w:rsidRPr="005D302F">
              <w:rPr>
                <w:sz w:val="22"/>
                <w:szCs w:val="22"/>
              </w:rPr>
              <w:t>Savings</w:t>
            </w:r>
          </w:p>
          <w:p w:rsidR="001912AC" w:rsidRPr="005D302F" w:rsidRDefault="001912AC" w:rsidP="003B4907">
            <w:pPr>
              <w:jc w:val="center"/>
              <w:rPr>
                <w:sz w:val="22"/>
                <w:szCs w:val="22"/>
              </w:rPr>
            </w:pPr>
            <w:r w:rsidRPr="005D302F">
              <w:rPr>
                <w:sz w:val="22"/>
                <w:szCs w:val="22"/>
              </w:rPr>
              <w:t>($000's)</w:t>
            </w:r>
          </w:p>
        </w:tc>
      </w:tr>
      <w:tr w:rsidR="001912AC" w:rsidRPr="005D302F" w:rsidTr="003B4907">
        <w:trPr>
          <w:trHeight w:val="300"/>
        </w:trPr>
        <w:tc>
          <w:tcPr>
            <w:tcW w:w="117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Big Bend 4</w:t>
            </w:r>
          </w:p>
        </w:tc>
        <w:tc>
          <w:tcPr>
            <w:tcW w:w="918"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71.7</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75.6</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1,396.6</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10,726</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11,828</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3,563.3</w:t>
            </w:r>
          </w:p>
        </w:tc>
      </w:tr>
      <w:tr w:rsidR="001912AC" w:rsidRPr="005D302F" w:rsidTr="003B4907">
        <w:trPr>
          <w:trHeight w:val="300"/>
        </w:trPr>
        <w:tc>
          <w:tcPr>
            <w:tcW w:w="1170" w:type="dxa"/>
            <w:vMerge/>
            <w:tcBorders>
              <w:left w:val="single" w:sz="4" w:space="0" w:color="auto"/>
              <w:right w:val="single" w:sz="4" w:space="0" w:color="auto"/>
            </w:tcBorders>
            <w:vAlign w:val="center"/>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rPr>
                <w:sz w:val="22"/>
                <w:szCs w:val="22"/>
              </w:rPr>
            </w:pPr>
            <w:r w:rsidRPr="005D302F">
              <w:rPr>
                <w:sz w:val="22"/>
                <w:szCs w:val="22"/>
              </w:rPr>
              <w:t>Polk 1</w:t>
            </w:r>
          </w:p>
        </w:tc>
        <w:tc>
          <w:tcPr>
            <w:tcW w:w="918"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87.7</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89.9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160.0</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8,855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10,440</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2,111.3</w:t>
            </w:r>
          </w:p>
        </w:tc>
      </w:tr>
      <w:tr w:rsidR="001912AC" w:rsidRPr="005D302F" w:rsidTr="003B4907">
        <w:trPr>
          <w:trHeight w:val="300"/>
        </w:trPr>
        <w:tc>
          <w:tcPr>
            <w:tcW w:w="117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Polk 2</w:t>
            </w:r>
          </w:p>
        </w:tc>
        <w:tc>
          <w:tcPr>
            <w:tcW w:w="918"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89.3</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90.3</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1,595.5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6,841</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7,764</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16,725.7</w:t>
            </w:r>
          </w:p>
        </w:tc>
      </w:tr>
      <w:tr w:rsidR="001912AC" w:rsidRPr="005D302F" w:rsidTr="003B4907">
        <w:trPr>
          <w:trHeight w:val="300"/>
        </w:trPr>
        <w:tc>
          <w:tcPr>
            <w:tcW w:w="117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Bayside 1</w:t>
            </w:r>
          </w:p>
        </w:tc>
        <w:tc>
          <w:tcPr>
            <w:tcW w:w="918"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77.4</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78.9</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592.7</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7,339</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7,510</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1,417.9</w:t>
            </w:r>
          </w:p>
        </w:tc>
      </w:tr>
      <w:tr w:rsidR="001912AC" w:rsidRPr="005D302F" w:rsidTr="003B4907">
        <w:trPr>
          <w:trHeight w:val="300"/>
        </w:trPr>
        <w:tc>
          <w:tcPr>
            <w:tcW w:w="1170" w:type="dxa"/>
            <w:vMerge/>
            <w:tcBorders>
              <w:left w:val="single" w:sz="4" w:space="0" w:color="auto"/>
              <w:right w:val="single" w:sz="4" w:space="0" w:color="auto"/>
            </w:tcBorders>
            <w:vAlign w:val="center"/>
            <w:hideMark/>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1912AC" w:rsidRPr="005D302F" w:rsidRDefault="001912AC" w:rsidP="003B4907">
            <w:pPr>
              <w:rPr>
                <w:sz w:val="22"/>
                <w:szCs w:val="22"/>
              </w:rPr>
            </w:pPr>
            <w:r w:rsidRPr="005D302F">
              <w:rPr>
                <w:sz w:val="22"/>
                <w:szCs w:val="22"/>
              </w:rPr>
              <w:t>Bayside 2</w:t>
            </w:r>
          </w:p>
        </w:tc>
        <w:tc>
          <w:tcPr>
            <w:tcW w:w="918"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92.7</w:t>
            </w:r>
          </w:p>
        </w:tc>
        <w:tc>
          <w:tcPr>
            <w:tcW w:w="90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93.6</w:t>
            </w:r>
          </w:p>
        </w:tc>
        <w:tc>
          <w:tcPr>
            <w:tcW w:w="108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single"/>
              </w:rPr>
            </w:pPr>
            <w:r w:rsidRPr="005D302F">
              <w:rPr>
                <w:sz w:val="22"/>
                <w:szCs w:val="22"/>
                <w:u w:val="single"/>
              </w:rPr>
              <w:t>458.8</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7,695</w:t>
            </w:r>
          </w:p>
        </w:tc>
        <w:tc>
          <w:tcPr>
            <w:tcW w:w="126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rPr>
            </w:pPr>
            <w:r w:rsidRPr="005D302F">
              <w:rPr>
                <w:sz w:val="22"/>
                <w:szCs w:val="22"/>
              </w:rPr>
              <w:t>7,971</w:t>
            </w:r>
          </w:p>
        </w:tc>
        <w:tc>
          <w:tcPr>
            <w:tcW w:w="1350" w:type="dxa"/>
            <w:tcBorders>
              <w:top w:val="single" w:sz="4" w:space="0" w:color="auto"/>
              <w:left w:val="single" w:sz="4" w:space="0" w:color="auto"/>
              <w:bottom w:val="single" w:sz="4" w:space="0" w:color="auto"/>
              <w:right w:val="single" w:sz="4" w:space="0" w:color="auto"/>
            </w:tcBorders>
            <w:noWrap/>
            <w:vAlign w:val="bottom"/>
          </w:tcPr>
          <w:p w:rsidR="001912AC" w:rsidRPr="005D302F" w:rsidRDefault="001912AC" w:rsidP="003B4907">
            <w:pPr>
              <w:jc w:val="right"/>
              <w:rPr>
                <w:sz w:val="22"/>
                <w:szCs w:val="22"/>
                <w:u w:val="single"/>
              </w:rPr>
            </w:pPr>
            <w:r w:rsidRPr="005D302F">
              <w:rPr>
                <w:sz w:val="22"/>
                <w:szCs w:val="22"/>
                <w:u w:val="single"/>
              </w:rPr>
              <w:t>3,855.2</w:t>
            </w:r>
          </w:p>
        </w:tc>
      </w:tr>
      <w:tr w:rsidR="001912AC" w:rsidRPr="005D302F" w:rsidTr="003B4907">
        <w:trPr>
          <w:trHeight w:val="300"/>
        </w:trPr>
        <w:tc>
          <w:tcPr>
            <w:tcW w:w="1170" w:type="dxa"/>
            <w:vMerge/>
            <w:tcBorders>
              <w:left w:val="single" w:sz="4" w:space="0" w:color="auto"/>
              <w:bottom w:val="single" w:sz="4" w:space="0" w:color="auto"/>
              <w:right w:val="single" w:sz="4" w:space="0" w:color="auto"/>
            </w:tcBorders>
            <w:vAlign w:val="center"/>
            <w:hideMark/>
          </w:tcPr>
          <w:p w:rsidR="001912AC" w:rsidRPr="005D302F" w:rsidRDefault="001912AC" w:rsidP="003B4907">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hideMark/>
          </w:tcPr>
          <w:p w:rsidR="001912AC" w:rsidRPr="005D302F" w:rsidRDefault="001912AC" w:rsidP="003B4907">
            <w:pPr>
              <w:jc w:val="right"/>
              <w:rPr>
                <w:sz w:val="22"/>
                <w:szCs w:val="22"/>
              </w:rPr>
            </w:pPr>
            <w:r w:rsidRPr="005D302F">
              <w:rPr>
                <w:sz w:val="22"/>
                <w:szCs w:val="22"/>
              </w:rPr>
              <w:t>Totals</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912AC" w:rsidRPr="005D302F" w:rsidRDefault="001912AC" w:rsidP="003B4907">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12AC" w:rsidRPr="005D302F" w:rsidRDefault="001912AC" w:rsidP="003B4907">
            <w:pPr>
              <w:jc w:val="right"/>
              <w:rPr>
                <w:sz w:val="22"/>
                <w:szCs w:val="22"/>
                <w:u w:val="double"/>
              </w:rPr>
            </w:pPr>
            <w:r w:rsidRPr="005D302F">
              <w:rPr>
                <w:sz w:val="22"/>
                <w:szCs w:val="22"/>
                <w:u w:val="double"/>
              </w:rPr>
              <w:t>4,203.60</w:t>
            </w:r>
          </w:p>
        </w:tc>
        <w:tc>
          <w:tcPr>
            <w:tcW w:w="2520" w:type="dxa"/>
            <w:gridSpan w:val="2"/>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912AC" w:rsidRPr="005D302F" w:rsidRDefault="001912AC" w:rsidP="003B4907">
            <w:pPr>
              <w:jc w:val="right"/>
              <w:rPr>
                <w:sz w:val="22"/>
                <w:szCs w:val="22"/>
                <w:u w:val="double"/>
              </w:rPr>
            </w:pPr>
            <w:r w:rsidRPr="005D302F">
              <w:rPr>
                <w:sz w:val="22"/>
                <w:szCs w:val="22"/>
                <w:u w:val="double"/>
              </w:rPr>
              <w:t>27,673.40</w:t>
            </w:r>
          </w:p>
        </w:tc>
      </w:tr>
    </w:tbl>
    <w:p w:rsidR="001912AC" w:rsidRPr="00B6375C" w:rsidRDefault="001912AC" w:rsidP="001912AC">
      <w:pPr>
        <w:rPr>
          <w:color w:val="FFFFFF" w:themeColor="background1"/>
        </w:rPr>
      </w:pPr>
      <w:r w:rsidRPr="005D302F">
        <w:rPr>
          <w:sz w:val="22"/>
          <w:szCs w:val="22"/>
        </w:rPr>
        <w:lastRenderedPageBreak/>
        <w:t xml:space="preserve">  Source: GPIF Target and Range Summary (Exhibit PAB-2, Document 1, Page 4 of 32).</w:t>
      </w:r>
    </w:p>
    <w:p w:rsidR="001912AC" w:rsidRDefault="001912AC" w:rsidP="001912AC">
      <w:pPr>
        <w:rPr>
          <w:b/>
        </w:rPr>
      </w:pPr>
    </w:p>
    <w:p w:rsidR="001912AC" w:rsidRPr="00BF6EBB" w:rsidRDefault="001912AC" w:rsidP="001912AC">
      <w:pPr>
        <w:autoSpaceDE w:val="0"/>
        <w:autoSpaceDN w:val="0"/>
        <w:adjustRightInd w:val="0"/>
        <w:rPr>
          <w:b/>
          <w:bCs/>
        </w:rPr>
      </w:pPr>
      <w:r w:rsidRPr="00BF6EBB">
        <w:rPr>
          <w:b/>
          <w:bCs/>
          <w:caps/>
        </w:rPr>
        <w:t xml:space="preserve">Fuel Factor Calculation ISSUES </w:t>
      </w:r>
    </w:p>
    <w:p w:rsidR="001912AC" w:rsidRPr="00BF6EBB" w:rsidRDefault="001912AC" w:rsidP="001912AC">
      <w:pPr>
        <w:autoSpaceDE w:val="0"/>
        <w:autoSpaceDN w:val="0"/>
        <w:adjustRightInd w:val="0"/>
        <w:jc w:val="both"/>
        <w:rPr>
          <w:b/>
          <w:bCs/>
          <w:u w:val="single"/>
        </w:rPr>
      </w:pPr>
    </w:p>
    <w:p w:rsidR="001912AC" w:rsidRPr="00BF6EBB" w:rsidRDefault="001912AC" w:rsidP="001912AC">
      <w:pPr>
        <w:autoSpaceDE w:val="0"/>
        <w:autoSpaceDN w:val="0"/>
        <w:adjustRightInd w:val="0"/>
        <w:ind w:left="1440" w:hanging="1440"/>
        <w:jc w:val="both"/>
      </w:pPr>
      <w:r w:rsidRPr="00BF6EBB">
        <w:rPr>
          <w:b/>
          <w:bCs/>
          <w:u w:val="single"/>
        </w:rPr>
        <w:t>ISSUE 18</w:t>
      </w:r>
      <w:r w:rsidRPr="00BF6EBB">
        <w:t>:</w:t>
      </w:r>
      <w:r w:rsidRPr="00BF6EBB">
        <w:tab/>
      </w:r>
      <w:r w:rsidRPr="00B033B8">
        <w:rPr>
          <w:b/>
        </w:rPr>
        <w:t>What are the appropriate projected net fuel and purchased power cost recovery and Generating Performance Incentive amounts to be included in the recovery factor for the period January 2022 through December 2022?</w:t>
      </w:r>
      <w:r w:rsidRPr="00BF6EBB">
        <w:t xml:space="preserve">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sidRPr="00A41BA2">
        <w:t xml:space="preserve"> </w:t>
      </w:r>
      <w:r>
        <w:tab/>
      </w:r>
      <w:r w:rsidRPr="000A1449">
        <w:t>$1,568,7</w:t>
      </w:r>
      <w:r>
        <w:t>50,867 if the Rate Mitigation Plan is approved.  $1,692,131,754 if the Rate Mitigation Plan is denied.  Both amounts include CEC Bill Credits and the prior period true-up.</w:t>
      </w:r>
      <w:r w:rsidRPr="00701945">
        <w:tab/>
      </w:r>
    </w:p>
    <w:p w:rsidR="001912AC" w:rsidRDefault="001912AC" w:rsidP="001912AC">
      <w:pPr>
        <w:ind w:left="1440" w:hanging="1440"/>
        <w:jc w:val="both"/>
      </w:pPr>
    </w:p>
    <w:p w:rsidR="001912AC" w:rsidRDefault="001912AC" w:rsidP="001912AC">
      <w:pPr>
        <w:ind w:left="1440" w:hanging="1440"/>
        <w:jc w:val="both"/>
      </w:pPr>
      <w:r>
        <w:rPr>
          <w:b/>
          <w:bCs/>
        </w:rPr>
        <w:t>FPL/GULF</w:t>
      </w:r>
      <w:r w:rsidRPr="005D4B47">
        <w:rPr>
          <w:b/>
          <w:bCs/>
        </w:rPr>
        <w:t>:</w:t>
      </w:r>
      <w:r>
        <w:rPr>
          <w:b/>
          <w:bCs/>
        </w:rPr>
        <w:tab/>
      </w:r>
      <w:r>
        <w:t xml:space="preserve">$3,824,311,080 </w:t>
      </w:r>
      <w:r>
        <w:rPr>
          <w:bCs/>
        </w:rPr>
        <w:t>including separate prior period true-ups for FPL and Gulf, FPL’s portion of Asset Optimization gains, FPL’s 2022 SolarTogether Credit amount and the unified GPIF reward.</w:t>
      </w:r>
      <w:r>
        <w:rPr>
          <w:b/>
          <w:bCs/>
        </w:rPr>
        <w:tab/>
      </w:r>
    </w:p>
    <w:p w:rsidR="001912AC" w:rsidRDefault="001912AC" w:rsidP="001912AC">
      <w:pPr>
        <w:jc w:val="both"/>
      </w:pPr>
    </w:p>
    <w:p w:rsidR="001912AC" w:rsidRPr="002661BA" w:rsidRDefault="001912AC" w:rsidP="001912AC">
      <w:pPr>
        <w:ind w:left="1440" w:hanging="1440"/>
        <w:jc w:val="both"/>
      </w:pPr>
      <w:r>
        <w:rPr>
          <w:b/>
          <w:bCs/>
        </w:rPr>
        <w:t>FPUC:</w:t>
      </w:r>
      <w:r>
        <w:rPr>
          <w:b/>
          <w:bCs/>
        </w:rPr>
        <w:tab/>
      </w:r>
      <w:r w:rsidRPr="00176368">
        <w:t>The appropriate projected net fuel and purchased power cost recovery and Generating Performance Incentive amounts to be included in the recovery factor for the period January 20</w:t>
      </w:r>
      <w:r>
        <w:t>22</w:t>
      </w:r>
      <w:r w:rsidRPr="00176368">
        <w:t xml:space="preserve"> through December 20</w:t>
      </w:r>
      <w:r>
        <w:t>22</w:t>
      </w:r>
      <w:r w:rsidRPr="00176368">
        <w:t xml:space="preserve"> </w:t>
      </w:r>
      <w:r w:rsidRPr="00793A16">
        <w:t xml:space="preserve">is </w:t>
      </w:r>
      <w:r w:rsidRPr="000C642F">
        <w:t>$46,449,725</w:t>
      </w:r>
      <w:r w:rsidRPr="002179E6">
        <w:t>,</w:t>
      </w:r>
      <w:r w:rsidRPr="00A3553C">
        <w:t xml:space="preserve"> which includes prior period true-ups.</w:t>
      </w:r>
      <w:r>
        <w:t xml:space="preserve"> </w:t>
      </w:r>
    </w:p>
    <w:p w:rsidR="001912AC" w:rsidRDefault="001912AC" w:rsidP="001912AC">
      <w:pPr>
        <w:ind w:left="1440" w:hanging="1440"/>
        <w:jc w:val="both"/>
        <w:rPr>
          <w:b/>
          <w:bCs/>
        </w:rPr>
      </w:pPr>
    </w:p>
    <w:p w:rsidR="001912AC" w:rsidRDefault="001912AC" w:rsidP="001912AC">
      <w:pPr>
        <w:ind w:left="1440" w:hanging="1440"/>
        <w:jc w:val="both"/>
      </w:pPr>
      <w:r>
        <w:rPr>
          <w:b/>
          <w:bCs/>
        </w:rPr>
        <w:t>TECO</w:t>
      </w:r>
      <w:r w:rsidRPr="005D4B47">
        <w:rPr>
          <w:b/>
          <w:bCs/>
        </w:rPr>
        <w:t>:</w:t>
      </w:r>
      <w:r>
        <w:rPr>
          <w:b/>
          <w:bCs/>
        </w:rPr>
        <w:tab/>
      </w:r>
      <w:r w:rsidRPr="009113F3">
        <w:t xml:space="preserve">The projected net fuel and purchased power cost recovery amount to be included in the recovery factor for the period January </w:t>
      </w:r>
      <w:r>
        <w:t>2022</w:t>
      </w:r>
      <w:r w:rsidRPr="009113F3">
        <w:t xml:space="preserve"> through December </w:t>
      </w:r>
      <w:r>
        <w:t>2022</w:t>
      </w:r>
      <w:r w:rsidRPr="009113F3">
        <w:t xml:space="preserve">, adjusted by the </w:t>
      </w:r>
      <w:r w:rsidRPr="00AC65B1">
        <w:t>jurisdictional se</w:t>
      </w:r>
      <w:r>
        <w:t>par</w:t>
      </w:r>
      <w:r w:rsidRPr="00AC65B1">
        <w:t>ation factor, is $</w:t>
      </w:r>
      <w:r>
        <w:t>598,798,451</w:t>
      </w:r>
      <w:r w:rsidRPr="00AC65B1">
        <w:t>.  The total recoverable fuel and purchased power cost recovery amount to be collected, including the true-up, optimization mechanism, and GPIF</w:t>
      </w:r>
      <w:r>
        <w:t>,</w:t>
      </w:r>
      <w:r w:rsidRPr="00AC65B1">
        <w:t xml:space="preserve"> adjusted for the revenue tax factor, is $</w:t>
      </w:r>
      <w:r>
        <w:t>604,515,118</w:t>
      </w:r>
      <w:r w:rsidRPr="00AC65B1">
        <w:t>.</w:t>
      </w:r>
    </w:p>
    <w:p w:rsidR="001912AC" w:rsidRPr="00660272" w:rsidRDefault="001912AC" w:rsidP="001912AC">
      <w:pPr>
        <w:ind w:left="1440" w:hanging="1440"/>
        <w:rPr>
          <w:b/>
        </w:rPr>
      </w:pPr>
    </w:p>
    <w:p w:rsidR="001912AC" w:rsidRPr="00C8565F" w:rsidRDefault="001912AC" w:rsidP="001912AC">
      <w:pPr>
        <w:ind w:left="1440" w:hanging="1440"/>
        <w:jc w:val="both"/>
        <w:rPr>
          <w:b/>
          <w:bCs/>
        </w:rPr>
      </w:pPr>
      <w:r w:rsidRPr="00BF6EBB">
        <w:rPr>
          <w:rStyle w:val="Strong"/>
          <w:u w:val="single"/>
        </w:rPr>
        <w:t>ISSUE 19</w:t>
      </w:r>
      <w:r w:rsidRPr="00BF6EBB">
        <w:rPr>
          <w:rStyle w:val="Strong"/>
        </w:rPr>
        <w:t>:</w:t>
      </w:r>
      <w:r w:rsidRPr="00BF6EBB">
        <w:rPr>
          <w:rStyle w:val="Strong"/>
        </w:rPr>
        <w:tab/>
      </w:r>
      <w:r w:rsidRPr="00C8565F">
        <w:rPr>
          <w:rStyle w:val="Strong"/>
        </w:rPr>
        <w:t xml:space="preserve">What is the appropriate revenue tax factor to be applied in calculating each investor-owned electric utility’s levelized fuel factor for the projection period January 2022 through December 2022? </w:t>
      </w:r>
    </w:p>
    <w:p w:rsidR="001912AC" w:rsidRDefault="001912AC" w:rsidP="001912AC"/>
    <w:p w:rsidR="001912AC" w:rsidRDefault="001912AC" w:rsidP="001912AC">
      <w:pPr>
        <w:rPr>
          <w:b/>
        </w:rPr>
      </w:pPr>
      <w:r>
        <w:rPr>
          <w:b/>
        </w:rPr>
        <w:t>Stipulation:</w:t>
      </w:r>
    </w:p>
    <w:p w:rsidR="001912AC" w:rsidRPr="000A1449" w:rsidRDefault="001912AC" w:rsidP="001912AC">
      <w:pPr>
        <w:ind w:left="1440" w:hanging="1440"/>
        <w:rPr>
          <w:bCs/>
        </w:rPr>
      </w:pPr>
      <w:r>
        <w:rPr>
          <w:b/>
          <w:bCs/>
        </w:rPr>
        <w:t>DEF</w:t>
      </w:r>
      <w:r w:rsidRPr="00701945">
        <w:rPr>
          <w:b/>
          <w:bCs/>
        </w:rPr>
        <w:t>:</w:t>
      </w:r>
      <w:r>
        <w:rPr>
          <w:b/>
          <w:bCs/>
        </w:rPr>
        <w:tab/>
      </w:r>
      <w:r w:rsidRPr="000A1449">
        <w:t xml:space="preserve">Pursuant to the 2021 Settlement approved in Order No. PSC-2021-0202-AS-EI, DEF has removed the Regulatory Assessment Fee from the 2022 Projection Filing and included it with the Gross Receipts Tax on customer bills. </w:t>
      </w:r>
    </w:p>
    <w:p w:rsidR="001912AC" w:rsidRDefault="001912AC" w:rsidP="001912AC">
      <w:pPr>
        <w:ind w:left="1440" w:hanging="1440"/>
        <w:jc w:val="both"/>
      </w:pPr>
      <w:r w:rsidRPr="00701945">
        <w:tab/>
      </w:r>
    </w:p>
    <w:p w:rsidR="001912AC" w:rsidRDefault="001912AC" w:rsidP="001912AC">
      <w:pPr>
        <w:ind w:left="1440" w:hanging="1440"/>
        <w:jc w:val="both"/>
      </w:pPr>
      <w:r>
        <w:rPr>
          <w:b/>
          <w:bCs/>
        </w:rPr>
        <w:t>FPL/GULF</w:t>
      </w:r>
      <w:r w:rsidRPr="005D4B47">
        <w:rPr>
          <w:b/>
          <w:bCs/>
        </w:rPr>
        <w:t>:</w:t>
      </w:r>
      <w:r w:rsidRPr="009222B6">
        <w:rPr>
          <w:bCs/>
        </w:rPr>
        <w:t xml:space="preserve"> </w:t>
      </w:r>
      <w:r>
        <w:rPr>
          <w:bCs/>
        </w:rPr>
        <w:tab/>
        <w:t>The revenue tax factor is comprised of the Regulatory Assessment Fee (“RAF”).  FPL’s 2021 Settlement Agreement proposes to remove the RAF from base and clause rates and collect it in the Gross Receipts Tax line item.  As such, FPL’s unified 2022 FCR Factors do not include a revenue tax factor</w:t>
      </w:r>
      <w:r>
        <w:t xml:space="preserve">.  </w:t>
      </w:r>
      <w:r>
        <w:rPr>
          <w:b/>
          <w:bCs/>
        </w:rPr>
        <w:tab/>
      </w:r>
    </w:p>
    <w:p w:rsidR="001912AC" w:rsidRDefault="001912AC" w:rsidP="001912AC">
      <w:pPr>
        <w:jc w:val="both"/>
      </w:pPr>
    </w:p>
    <w:p w:rsidR="001912AC" w:rsidRPr="002661BA" w:rsidRDefault="001912AC" w:rsidP="001912AC">
      <w:pPr>
        <w:jc w:val="both"/>
      </w:pPr>
      <w:r>
        <w:rPr>
          <w:b/>
          <w:bCs/>
        </w:rPr>
        <w:t>FPUC:</w:t>
      </w:r>
      <w:r>
        <w:rPr>
          <w:b/>
          <w:bCs/>
        </w:rPr>
        <w:tab/>
      </w:r>
      <w:r>
        <w:rPr>
          <w:b/>
          <w:bCs/>
        </w:rPr>
        <w:tab/>
      </w:r>
      <w:r w:rsidRPr="004606EB">
        <w:t>The appropriate tax revenue factor is 1.00072.</w:t>
      </w:r>
      <w:r w:rsidRPr="004606EB">
        <w:tab/>
      </w:r>
    </w:p>
    <w:p w:rsidR="001912AC" w:rsidRDefault="001912AC" w:rsidP="001912AC">
      <w:pPr>
        <w:ind w:left="1440" w:hanging="1440"/>
        <w:jc w:val="both"/>
        <w:rPr>
          <w:b/>
          <w:bCs/>
        </w:rPr>
      </w:pPr>
      <w:r>
        <w:rPr>
          <w:b/>
          <w:bCs/>
        </w:rPr>
        <w:tab/>
      </w:r>
    </w:p>
    <w:p w:rsidR="001912AC" w:rsidRDefault="001912AC" w:rsidP="001912AC">
      <w:r>
        <w:rPr>
          <w:b/>
          <w:bCs/>
        </w:rPr>
        <w:lastRenderedPageBreak/>
        <w:t>TECO</w:t>
      </w:r>
      <w:r w:rsidRPr="005D4B47">
        <w:rPr>
          <w:b/>
          <w:bCs/>
        </w:rPr>
        <w:t>:</w:t>
      </w:r>
      <w:r>
        <w:rPr>
          <w:b/>
          <w:bCs/>
        </w:rPr>
        <w:tab/>
      </w:r>
      <w:r w:rsidRPr="009113F3">
        <w:rPr>
          <w:rFonts w:ascii="CG Times" w:hAnsi="CG Times"/>
          <w:spacing w:val="-3"/>
        </w:rPr>
        <w:t xml:space="preserve">The </w:t>
      </w:r>
      <w:r>
        <w:rPr>
          <w:rFonts w:ascii="CG Times" w:hAnsi="CG Times"/>
          <w:spacing w:val="-3"/>
        </w:rPr>
        <w:t xml:space="preserve">appropriate </w:t>
      </w:r>
      <w:r w:rsidRPr="009113F3">
        <w:rPr>
          <w:rFonts w:ascii="CG Times" w:hAnsi="CG Times"/>
          <w:spacing w:val="-3"/>
        </w:rPr>
        <w:t>revenue tax factor</w:t>
      </w:r>
      <w:r>
        <w:rPr>
          <w:rFonts w:ascii="CG Times" w:hAnsi="CG Times"/>
          <w:spacing w:val="-3"/>
        </w:rPr>
        <w:t xml:space="preserve"> </w:t>
      </w:r>
      <w:r w:rsidRPr="009113F3">
        <w:rPr>
          <w:rFonts w:ascii="CG Times" w:hAnsi="CG Times"/>
          <w:spacing w:val="-3"/>
        </w:rPr>
        <w:t xml:space="preserve">is </w:t>
      </w:r>
      <w:r w:rsidRPr="00A41643">
        <w:t>1.00072</w:t>
      </w:r>
      <w:r>
        <w:t>.</w:t>
      </w:r>
      <w:r w:rsidRPr="00520C62">
        <w:t xml:space="preserve"> </w:t>
      </w:r>
    </w:p>
    <w:p w:rsidR="001912AC" w:rsidRPr="00520C62" w:rsidRDefault="001912AC" w:rsidP="001912AC">
      <w:r w:rsidRPr="00520C62">
        <w:t xml:space="preserve">                                                      </w:t>
      </w:r>
    </w:p>
    <w:p w:rsidR="001912AC" w:rsidRPr="00BF6EBB" w:rsidRDefault="001912AC" w:rsidP="001912AC">
      <w:pPr>
        <w:autoSpaceDE w:val="0"/>
        <w:autoSpaceDN w:val="0"/>
        <w:adjustRightInd w:val="0"/>
        <w:ind w:left="1440" w:hanging="1440"/>
        <w:jc w:val="both"/>
      </w:pPr>
      <w:r w:rsidRPr="00BF6EBB">
        <w:rPr>
          <w:b/>
          <w:bCs/>
          <w:u w:val="single"/>
        </w:rPr>
        <w:t>ISSUE 20</w:t>
      </w:r>
      <w:r w:rsidRPr="00BF6EBB">
        <w:t>:</w:t>
      </w:r>
      <w:r w:rsidRPr="00BF6EBB">
        <w:tab/>
      </w:r>
      <w:r w:rsidRPr="00B033B8">
        <w:rPr>
          <w:b/>
        </w:rPr>
        <w:t xml:space="preserve">What are the appropriate levelized fuel cost recovery factors for the period January 2022 through December 2022?  </w:t>
      </w:r>
      <w:r w:rsidRPr="00BF6EBB">
        <w:t xml:space="preserve">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sidRPr="00A41BA2">
        <w:t xml:space="preserve"> </w:t>
      </w:r>
      <w:r>
        <w:tab/>
      </w:r>
      <w:r w:rsidRPr="000A1449">
        <w:t>3.986 cents/kWh (adjusted for jurisdictional losses)</w:t>
      </w:r>
      <w:r>
        <w:t xml:space="preserve"> if the Rate Mitigation Plan is approved.  4.300 cents/kWh (adjusted for jurisdictional losses) if the Rate Mitigation Plan is denied.</w:t>
      </w:r>
      <w:r w:rsidRPr="00701945">
        <w:tab/>
      </w:r>
    </w:p>
    <w:p w:rsidR="001912AC" w:rsidRDefault="001912AC" w:rsidP="001912AC">
      <w:pPr>
        <w:ind w:left="1440" w:hanging="1440"/>
        <w:jc w:val="both"/>
      </w:pPr>
    </w:p>
    <w:p w:rsidR="001912AC" w:rsidRDefault="001912AC" w:rsidP="001912AC">
      <w:pPr>
        <w:ind w:left="1440" w:hanging="1440"/>
        <w:jc w:val="both"/>
      </w:pPr>
      <w:r>
        <w:rPr>
          <w:b/>
          <w:bCs/>
        </w:rPr>
        <w:t>FPL/GULF</w:t>
      </w:r>
      <w:r w:rsidRPr="005D4B47">
        <w:rPr>
          <w:b/>
          <w:bCs/>
        </w:rPr>
        <w:t>:</w:t>
      </w:r>
      <w:r w:rsidRPr="009222B6">
        <w:rPr>
          <w:bCs/>
        </w:rPr>
        <w:t xml:space="preserve"> </w:t>
      </w:r>
      <w:r>
        <w:rPr>
          <w:bCs/>
        </w:rPr>
        <w:tab/>
        <w:t>FPL is proposing a unified levelized factor of 3.132</w:t>
      </w:r>
      <w:r>
        <w:t xml:space="preserve"> cents/kWh.</w:t>
      </w:r>
      <w:r>
        <w:rPr>
          <w:b/>
          <w:bCs/>
        </w:rPr>
        <w:tab/>
      </w:r>
    </w:p>
    <w:p w:rsidR="001912AC" w:rsidRDefault="001912AC" w:rsidP="001912AC">
      <w:pPr>
        <w:jc w:val="both"/>
      </w:pPr>
    </w:p>
    <w:p w:rsidR="001912AC" w:rsidRDefault="001912AC" w:rsidP="001912AC">
      <w:pPr>
        <w:ind w:left="1440" w:hanging="1440"/>
        <w:jc w:val="both"/>
        <w:rPr>
          <w:b/>
          <w:bCs/>
        </w:rPr>
      </w:pPr>
      <w:r>
        <w:rPr>
          <w:b/>
          <w:bCs/>
        </w:rPr>
        <w:t>FPUC:</w:t>
      </w:r>
      <w:r>
        <w:rPr>
          <w:b/>
          <w:bCs/>
        </w:rPr>
        <w:tab/>
      </w:r>
      <w:r w:rsidRPr="004606EB">
        <w:t xml:space="preserve">The appropriate factor is </w:t>
      </w:r>
      <w:r w:rsidRPr="00B9618C">
        <w:t>4.</w:t>
      </w:r>
      <w:r>
        <w:t>580</w:t>
      </w:r>
      <w:r w:rsidRPr="004606EB">
        <w:t>¢ per kWh.</w:t>
      </w:r>
      <w:r>
        <w:t xml:space="preserve"> </w:t>
      </w:r>
      <w:r>
        <w:rPr>
          <w:b/>
          <w:bCs/>
        </w:rPr>
        <w:tab/>
      </w:r>
    </w:p>
    <w:p w:rsidR="001912AC" w:rsidRDefault="001912AC" w:rsidP="001912AC">
      <w:pPr>
        <w:ind w:left="1440" w:hanging="1440"/>
        <w:jc w:val="both"/>
        <w:rPr>
          <w:b/>
          <w:bCs/>
        </w:rPr>
      </w:pPr>
    </w:p>
    <w:p w:rsidR="001912AC" w:rsidRPr="009113F3" w:rsidRDefault="001912AC" w:rsidP="001912AC">
      <w:pPr>
        <w:tabs>
          <w:tab w:val="left" w:pos="-720"/>
          <w:tab w:val="left" w:pos="1440"/>
        </w:tabs>
        <w:suppressAutoHyphens/>
        <w:ind w:left="1440" w:hanging="1440"/>
        <w:rPr>
          <w:rFonts w:cs="Arial"/>
          <w:spacing w:val="-3"/>
        </w:rPr>
      </w:pPr>
      <w:r>
        <w:rPr>
          <w:b/>
          <w:bCs/>
        </w:rPr>
        <w:t>TECO</w:t>
      </w:r>
      <w:r w:rsidRPr="005D4B47">
        <w:rPr>
          <w:b/>
          <w:bCs/>
        </w:rPr>
        <w:t>:</w:t>
      </w:r>
      <w:r>
        <w:rPr>
          <w:b/>
          <w:bCs/>
        </w:rPr>
        <w:tab/>
      </w:r>
      <w:r w:rsidRPr="009113F3">
        <w:rPr>
          <w:rFonts w:ascii="CG Times" w:hAnsi="CG Times"/>
          <w:spacing w:val="-3"/>
        </w:rPr>
        <w:t>The</w:t>
      </w:r>
      <w:r>
        <w:rPr>
          <w:rFonts w:ascii="CG Times" w:hAnsi="CG Times"/>
          <w:spacing w:val="-3"/>
        </w:rPr>
        <w:t xml:space="preserve"> appropriate</w:t>
      </w:r>
      <w:r w:rsidRPr="009113F3">
        <w:rPr>
          <w:rFonts w:ascii="CG Times" w:hAnsi="CG Times"/>
          <w:spacing w:val="-3"/>
        </w:rPr>
        <w:t xml:space="preserve"> factor</w:t>
      </w:r>
      <w:r>
        <w:rPr>
          <w:rFonts w:ascii="CG Times" w:hAnsi="CG Times"/>
          <w:spacing w:val="-3"/>
        </w:rPr>
        <w:t xml:space="preserve"> </w:t>
      </w:r>
      <w:r w:rsidRPr="009113F3">
        <w:rPr>
          <w:rFonts w:ascii="CG Times" w:hAnsi="CG Times"/>
          <w:spacing w:val="-3"/>
        </w:rPr>
        <w:t xml:space="preserve">is </w:t>
      </w:r>
      <w:r>
        <w:rPr>
          <w:rFonts w:ascii="CG Times" w:hAnsi="CG Times"/>
          <w:spacing w:val="-3"/>
        </w:rPr>
        <w:t>3.052</w:t>
      </w:r>
      <w:r w:rsidRPr="009113F3">
        <w:rPr>
          <w:rFonts w:ascii="CG Times" w:hAnsi="CG Times"/>
          <w:spacing w:val="-3"/>
        </w:rPr>
        <w:t xml:space="preserve"> cents per kWh before </w:t>
      </w:r>
      <w:r w:rsidRPr="009113F3">
        <w:t>any application of time of use multipliers for on-peak or off-peak usage</w:t>
      </w:r>
      <w:r w:rsidRPr="009113F3">
        <w:rPr>
          <w:rFonts w:ascii="CG Times" w:hAnsi="CG Times"/>
          <w:spacing w:val="-3"/>
        </w:rPr>
        <w:t>.  (</w:t>
      </w:r>
      <w:r>
        <w:rPr>
          <w:rFonts w:ascii="CG Times" w:hAnsi="CG Times"/>
          <w:spacing w:val="-3"/>
        </w:rPr>
        <w:t>Sizemore</w:t>
      </w:r>
      <w:r w:rsidRPr="009113F3">
        <w:rPr>
          <w:rFonts w:ascii="CG Times" w:hAnsi="CG Times"/>
          <w:spacing w:val="-3"/>
        </w:rPr>
        <w:t>)</w:t>
      </w:r>
    </w:p>
    <w:p w:rsidR="001912AC" w:rsidRPr="002869C4" w:rsidRDefault="001912AC" w:rsidP="001912AC">
      <w:pPr>
        <w:rPr>
          <w:b/>
        </w:rPr>
      </w:pPr>
    </w:p>
    <w:p w:rsidR="001912AC" w:rsidRPr="00BF6EBB" w:rsidRDefault="001912AC" w:rsidP="001912AC">
      <w:pPr>
        <w:autoSpaceDE w:val="0"/>
        <w:autoSpaceDN w:val="0"/>
        <w:adjustRightInd w:val="0"/>
        <w:ind w:left="1440" w:hanging="1440"/>
        <w:jc w:val="both"/>
        <w:rPr>
          <w:b/>
          <w:bCs/>
          <w:u w:val="single"/>
        </w:rPr>
      </w:pPr>
      <w:r w:rsidRPr="00BF6EBB">
        <w:rPr>
          <w:b/>
          <w:bCs/>
          <w:u w:val="single"/>
        </w:rPr>
        <w:t>ISSUE 21</w:t>
      </w:r>
      <w:r w:rsidRPr="00BF6EBB">
        <w:t>:</w:t>
      </w:r>
      <w:r w:rsidRPr="00BF6EBB">
        <w:tab/>
      </w:r>
      <w:r w:rsidRPr="00B033B8">
        <w:rPr>
          <w:b/>
        </w:rPr>
        <w:t>What are the appropriate fuel recovery line loss multipliers to be used in calculating the fuel cost recovery factors charged to each rate class/delivery voltage level class?</w:t>
      </w:r>
      <w:r w:rsidRPr="00BF6EBB">
        <w:t xml:space="preserve">      </w:t>
      </w:r>
    </w:p>
    <w:p w:rsidR="001912AC" w:rsidRDefault="001912AC" w:rsidP="001912AC">
      <w:pPr>
        <w:ind w:left="1440" w:hanging="1440"/>
        <w:jc w:val="both"/>
        <w:rPr>
          <w:b/>
          <w:bCs/>
        </w:rPr>
      </w:pPr>
    </w:p>
    <w:p w:rsidR="001912AC" w:rsidRDefault="001912AC" w:rsidP="001912AC">
      <w:pPr>
        <w:ind w:left="1440" w:hanging="1440"/>
        <w:jc w:val="both"/>
        <w:rPr>
          <w:b/>
          <w:bCs/>
        </w:rPr>
      </w:pPr>
      <w:r>
        <w:rPr>
          <w:b/>
          <w:bCs/>
        </w:rPr>
        <w:t>Stipulation:</w:t>
      </w:r>
    </w:p>
    <w:p w:rsidR="001912AC" w:rsidRPr="00777C7E" w:rsidRDefault="001912AC" w:rsidP="001912AC">
      <w:pPr>
        <w:autoSpaceDE w:val="0"/>
        <w:autoSpaceDN w:val="0"/>
        <w:adjustRightInd w:val="0"/>
        <w:ind w:left="1440" w:hanging="1440"/>
        <w:jc w:val="both"/>
        <w:rPr>
          <w:b/>
        </w:rPr>
      </w:pPr>
      <w:r w:rsidRPr="00777C7E">
        <w:rPr>
          <w:b/>
        </w:rPr>
        <w:t>DEF:</w:t>
      </w:r>
    </w:p>
    <w:p w:rsidR="001912AC" w:rsidRPr="002869C4" w:rsidRDefault="001912AC" w:rsidP="001912AC">
      <w:pPr>
        <w:autoSpaceDE w:val="0"/>
        <w:autoSpaceDN w:val="0"/>
        <w:adjustRightInd w:val="0"/>
        <w:ind w:left="1440" w:hanging="1440"/>
        <w:jc w:val="both"/>
      </w:pPr>
    </w:p>
    <w:tbl>
      <w:tblPr>
        <w:tblStyle w:val="TableGrid"/>
        <w:tblW w:w="5000" w:type="pct"/>
        <w:tblLook w:val="04A0" w:firstRow="1" w:lastRow="0" w:firstColumn="1" w:lastColumn="0" w:noHBand="0" w:noVBand="1"/>
      </w:tblPr>
      <w:tblGrid>
        <w:gridCol w:w="2362"/>
        <w:gridCol w:w="3832"/>
        <w:gridCol w:w="3382"/>
      </w:tblGrid>
      <w:tr w:rsidR="001912AC" w:rsidRPr="002869C4" w:rsidTr="003B4907">
        <w:tc>
          <w:tcPr>
            <w:tcW w:w="5000" w:type="pct"/>
            <w:gridSpan w:val="3"/>
            <w:tcBorders>
              <w:top w:val="nil"/>
              <w:left w:val="nil"/>
              <w:bottom w:val="nil"/>
              <w:right w:val="nil"/>
            </w:tcBorders>
          </w:tcPr>
          <w:p w:rsidR="001912AC" w:rsidRPr="002869C4" w:rsidRDefault="001912AC" w:rsidP="003B4907">
            <w:pPr>
              <w:jc w:val="center"/>
              <w:rPr>
                <w:rFonts w:ascii="Arial" w:hAnsi="Arial" w:cs="Arial"/>
                <w:b/>
              </w:rPr>
            </w:pPr>
            <w:r w:rsidRPr="002869C4">
              <w:rPr>
                <w:rFonts w:ascii="Arial" w:hAnsi="Arial" w:cs="Arial"/>
                <w:b/>
              </w:rPr>
              <w:t>Table 21-1</w:t>
            </w:r>
          </w:p>
        </w:tc>
      </w:tr>
      <w:tr w:rsidR="001912AC" w:rsidRPr="002869C4" w:rsidTr="003B4907">
        <w:tc>
          <w:tcPr>
            <w:tcW w:w="5000" w:type="pct"/>
            <w:gridSpan w:val="3"/>
            <w:tcBorders>
              <w:top w:val="nil"/>
              <w:left w:val="nil"/>
              <w:bottom w:val="nil"/>
              <w:right w:val="nil"/>
            </w:tcBorders>
          </w:tcPr>
          <w:p w:rsidR="001912AC" w:rsidRPr="002869C4" w:rsidRDefault="001912AC" w:rsidP="003B4907">
            <w:pPr>
              <w:jc w:val="center"/>
              <w:rPr>
                <w:rFonts w:ascii="Arial" w:hAnsi="Arial" w:cs="Arial"/>
                <w:b/>
              </w:rPr>
            </w:pPr>
            <w:r w:rsidRPr="002869C4">
              <w:rPr>
                <w:rFonts w:ascii="Arial" w:hAnsi="Arial" w:cs="Arial"/>
                <w:b/>
              </w:rPr>
              <w:t>DEF Fuel Recovery Line Loss Multipliers</w:t>
            </w:r>
          </w:p>
        </w:tc>
      </w:tr>
      <w:tr w:rsidR="001912AC" w:rsidRPr="002869C4" w:rsidTr="003B4907">
        <w:tc>
          <w:tcPr>
            <w:tcW w:w="5000" w:type="pct"/>
            <w:gridSpan w:val="3"/>
            <w:tcBorders>
              <w:top w:val="nil"/>
              <w:left w:val="nil"/>
              <w:bottom w:val="single" w:sz="4" w:space="0" w:color="auto"/>
              <w:right w:val="nil"/>
            </w:tcBorders>
          </w:tcPr>
          <w:p w:rsidR="001912AC" w:rsidRPr="002869C4" w:rsidRDefault="001912AC" w:rsidP="003B4907">
            <w:pPr>
              <w:jc w:val="center"/>
              <w:rPr>
                <w:rFonts w:ascii="Arial" w:hAnsi="Arial" w:cs="Arial"/>
                <w:b/>
              </w:rPr>
            </w:pPr>
            <w:r w:rsidRPr="002869C4">
              <w:rPr>
                <w:rFonts w:ascii="Arial" w:hAnsi="Arial" w:cs="Arial"/>
                <w:b/>
              </w:rPr>
              <w:t>for the period January-December, 2022</w:t>
            </w:r>
          </w:p>
        </w:tc>
      </w:tr>
      <w:tr w:rsidR="001912AC" w:rsidRPr="002869C4" w:rsidTr="003B4907">
        <w:tc>
          <w:tcPr>
            <w:tcW w:w="1233"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Group</w:t>
            </w:r>
          </w:p>
        </w:tc>
        <w:tc>
          <w:tcPr>
            <w:tcW w:w="2001"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Delivery Voltage Level</w:t>
            </w:r>
          </w:p>
        </w:tc>
        <w:tc>
          <w:tcPr>
            <w:tcW w:w="1766"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Line Loss Multiplier</w:t>
            </w:r>
          </w:p>
        </w:tc>
      </w:tr>
      <w:tr w:rsidR="001912AC" w:rsidRPr="002869C4" w:rsidTr="003B4907">
        <w:tc>
          <w:tcPr>
            <w:tcW w:w="1233"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A</w:t>
            </w:r>
          </w:p>
        </w:tc>
        <w:tc>
          <w:tcPr>
            <w:tcW w:w="2001"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Transmission</w:t>
            </w:r>
          </w:p>
        </w:tc>
        <w:tc>
          <w:tcPr>
            <w:tcW w:w="1766"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0.98</w:t>
            </w:r>
          </w:p>
        </w:tc>
      </w:tr>
      <w:tr w:rsidR="001912AC" w:rsidRPr="002869C4" w:rsidTr="003B4907">
        <w:tc>
          <w:tcPr>
            <w:tcW w:w="1233"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B</w:t>
            </w:r>
          </w:p>
        </w:tc>
        <w:tc>
          <w:tcPr>
            <w:tcW w:w="2001"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Distribution Primary</w:t>
            </w:r>
          </w:p>
        </w:tc>
        <w:tc>
          <w:tcPr>
            <w:tcW w:w="1766"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0.99</w:t>
            </w:r>
          </w:p>
        </w:tc>
      </w:tr>
      <w:tr w:rsidR="001912AC" w:rsidRPr="002869C4" w:rsidTr="003B4907">
        <w:tc>
          <w:tcPr>
            <w:tcW w:w="1233"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C</w:t>
            </w:r>
          </w:p>
        </w:tc>
        <w:tc>
          <w:tcPr>
            <w:tcW w:w="2001"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Distribution Secondary</w:t>
            </w:r>
          </w:p>
        </w:tc>
        <w:tc>
          <w:tcPr>
            <w:tcW w:w="1766"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1.00</w:t>
            </w:r>
          </w:p>
        </w:tc>
      </w:tr>
      <w:tr w:rsidR="001912AC" w:rsidRPr="002869C4" w:rsidTr="003B4907">
        <w:tc>
          <w:tcPr>
            <w:tcW w:w="1233"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D</w:t>
            </w:r>
          </w:p>
        </w:tc>
        <w:tc>
          <w:tcPr>
            <w:tcW w:w="2001" w:type="pct"/>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Lighting Service</w:t>
            </w:r>
          </w:p>
        </w:tc>
        <w:tc>
          <w:tcPr>
            <w:tcW w:w="1766" w:type="pct"/>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1.00</w:t>
            </w:r>
          </w:p>
        </w:tc>
      </w:tr>
    </w:tbl>
    <w:p w:rsidR="001912AC" w:rsidRPr="002869C4" w:rsidRDefault="001912AC" w:rsidP="001912AC">
      <w:pPr>
        <w:autoSpaceDE w:val="0"/>
        <w:autoSpaceDN w:val="0"/>
        <w:adjustRightInd w:val="0"/>
        <w:ind w:left="1440" w:hanging="1440"/>
        <w:jc w:val="both"/>
      </w:pPr>
      <w:r w:rsidRPr="002869C4">
        <w:t>Source: Schedule E1-F, Exhibit GPD-3, Part 2.</w:t>
      </w:r>
    </w:p>
    <w:p w:rsidR="001912AC" w:rsidRPr="002869C4" w:rsidRDefault="001912AC" w:rsidP="001912AC">
      <w:pPr>
        <w:ind w:left="1440" w:hanging="1440"/>
        <w:jc w:val="both"/>
      </w:pPr>
    </w:p>
    <w:p w:rsidR="001912AC" w:rsidRPr="002869C4" w:rsidRDefault="001912AC" w:rsidP="001912AC">
      <w:pPr>
        <w:ind w:left="1440" w:hanging="1440"/>
        <w:jc w:val="both"/>
      </w:pPr>
      <w:r w:rsidRPr="00777C7E">
        <w:rPr>
          <w:b/>
        </w:rPr>
        <w:t>FPL/GULF:</w:t>
      </w:r>
      <w:r w:rsidRPr="002869C4">
        <w:tab/>
        <w:t>The appropriate fuel recovery line loss multipliers to be used in calculating the fuel cost recovery factors charged to each rate class/delivery voltage level class are shown in Issue No. 22.</w:t>
      </w:r>
    </w:p>
    <w:p w:rsidR="001912AC" w:rsidRPr="002869C4" w:rsidRDefault="001912AC" w:rsidP="001912AC">
      <w:pPr>
        <w:ind w:left="1440" w:hanging="1440"/>
        <w:jc w:val="both"/>
      </w:pPr>
    </w:p>
    <w:p w:rsidR="001912AC" w:rsidRPr="002869C4" w:rsidRDefault="001912AC" w:rsidP="001912AC">
      <w:pPr>
        <w:ind w:left="1440" w:hanging="1440"/>
        <w:jc w:val="both"/>
      </w:pPr>
      <w:r w:rsidRPr="00777C7E">
        <w:rPr>
          <w:b/>
        </w:rPr>
        <w:t>FPUC:</w:t>
      </w:r>
      <w:r w:rsidRPr="002869C4">
        <w:tab/>
        <w:t>The appropriate fuel recovery line loss multiplier to be used in calculating the fuel cost recovery factors charged to each rate class/delivery voltage level class is 1.00000.</w:t>
      </w:r>
    </w:p>
    <w:p w:rsidR="00815620" w:rsidRDefault="00815620">
      <w:pPr>
        <w:rPr>
          <w:b/>
        </w:rPr>
      </w:pPr>
      <w:r>
        <w:rPr>
          <w:b/>
        </w:rPr>
        <w:br w:type="page"/>
      </w:r>
    </w:p>
    <w:p w:rsidR="001912AC" w:rsidRPr="00777C7E" w:rsidRDefault="001912AC" w:rsidP="001912AC">
      <w:pPr>
        <w:rPr>
          <w:b/>
        </w:rPr>
      </w:pPr>
      <w:r w:rsidRPr="00777C7E">
        <w:rPr>
          <w:b/>
        </w:rPr>
        <w:lastRenderedPageBreak/>
        <w:t>TECO:</w:t>
      </w:r>
      <w:r w:rsidRPr="00777C7E">
        <w:rPr>
          <w:b/>
        </w:rPr>
        <w:tab/>
      </w:r>
    </w:p>
    <w:tbl>
      <w:tblPr>
        <w:tblStyle w:val="TableGrid"/>
        <w:tblW w:w="8995" w:type="dxa"/>
        <w:jc w:val="center"/>
        <w:tblLook w:val="04A0" w:firstRow="1" w:lastRow="0" w:firstColumn="1" w:lastColumn="0" w:noHBand="0" w:noVBand="1"/>
      </w:tblPr>
      <w:tblGrid>
        <w:gridCol w:w="4495"/>
        <w:gridCol w:w="4500"/>
      </w:tblGrid>
      <w:tr w:rsidR="001912AC" w:rsidRPr="002869C4" w:rsidTr="003B4907">
        <w:trPr>
          <w:jc w:val="center"/>
        </w:trPr>
        <w:tc>
          <w:tcPr>
            <w:tcW w:w="8995" w:type="dxa"/>
            <w:gridSpan w:val="2"/>
            <w:tcBorders>
              <w:top w:val="nil"/>
              <w:left w:val="nil"/>
              <w:bottom w:val="nil"/>
              <w:right w:val="nil"/>
            </w:tcBorders>
          </w:tcPr>
          <w:p w:rsidR="001912AC" w:rsidRPr="002869C4" w:rsidRDefault="001912AC" w:rsidP="003B4907">
            <w:pPr>
              <w:ind w:left="1440" w:hanging="1440"/>
              <w:jc w:val="center"/>
              <w:rPr>
                <w:rFonts w:ascii="Arial" w:hAnsi="Arial" w:cs="Arial"/>
                <w:b/>
              </w:rPr>
            </w:pPr>
            <w:r w:rsidRPr="002869C4">
              <w:rPr>
                <w:rFonts w:ascii="Arial" w:hAnsi="Arial" w:cs="Arial"/>
                <w:b/>
              </w:rPr>
              <w:t>Table 21-2</w:t>
            </w:r>
          </w:p>
        </w:tc>
      </w:tr>
      <w:tr w:rsidR="001912AC" w:rsidRPr="002869C4" w:rsidTr="003B4907">
        <w:trPr>
          <w:jc w:val="center"/>
        </w:trPr>
        <w:tc>
          <w:tcPr>
            <w:tcW w:w="8995" w:type="dxa"/>
            <w:gridSpan w:val="2"/>
            <w:tcBorders>
              <w:top w:val="nil"/>
              <w:left w:val="nil"/>
              <w:bottom w:val="nil"/>
              <w:right w:val="nil"/>
            </w:tcBorders>
          </w:tcPr>
          <w:p w:rsidR="001912AC" w:rsidRPr="002869C4" w:rsidRDefault="001912AC" w:rsidP="003B4907">
            <w:pPr>
              <w:jc w:val="center"/>
            </w:pPr>
            <w:r w:rsidRPr="002869C4">
              <w:rPr>
                <w:rFonts w:ascii="Arial" w:hAnsi="Arial" w:cs="Arial"/>
                <w:b/>
              </w:rPr>
              <w:t>TECO Fuel Recovery Line Loss Multipliers</w:t>
            </w:r>
          </w:p>
        </w:tc>
      </w:tr>
      <w:tr w:rsidR="001912AC" w:rsidRPr="002869C4" w:rsidTr="003B4907">
        <w:trPr>
          <w:jc w:val="center"/>
        </w:trPr>
        <w:tc>
          <w:tcPr>
            <w:tcW w:w="8995" w:type="dxa"/>
            <w:gridSpan w:val="2"/>
            <w:tcBorders>
              <w:top w:val="nil"/>
              <w:left w:val="nil"/>
              <w:bottom w:val="single" w:sz="4" w:space="0" w:color="auto"/>
              <w:right w:val="nil"/>
            </w:tcBorders>
          </w:tcPr>
          <w:p w:rsidR="001912AC" w:rsidRPr="002869C4" w:rsidRDefault="001912AC" w:rsidP="003B4907">
            <w:pPr>
              <w:jc w:val="center"/>
            </w:pPr>
            <w:r w:rsidRPr="002869C4">
              <w:rPr>
                <w:rFonts w:ascii="Arial" w:hAnsi="Arial" w:cs="Arial"/>
                <w:b/>
              </w:rPr>
              <w:t>for the period January-December, 2022</w:t>
            </w:r>
          </w:p>
        </w:tc>
      </w:tr>
      <w:tr w:rsidR="001912AC" w:rsidRPr="002869C4" w:rsidTr="003B4907">
        <w:trPr>
          <w:jc w:val="center"/>
        </w:trPr>
        <w:tc>
          <w:tcPr>
            <w:tcW w:w="4495"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Delivery Voltage Level</w:t>
            </w:r>
          </w:p>
        </w:tc>
        <w:tc>
          <w:tcPr>
            <w:tcW w:w="4500" w:type="dxa"/>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Line Loss Multiplier</w:t>
            </w:r>
          </w:p>
        </w:tc>
      </w:tr>
      <w:tr w:rsidR="001912AC" w:rsidRPr="002869C4" w:rsidTr="003B4907">
        <w:trPr>
          <w:jc w:val="center"/>
        </w:trPr>
        <w:tc>
          <w:tcPr>
            <w:tcW w:w="4495"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Transmission</w:t>
            </w:r>
          </w:p>
        </w:tc>
        <w:tc>
          <w:tcPr>
            <w:tcW w:w="4500" w:type="dxa"/>
            <w:tcBorders>
              <w:top w:val="single" w:sz="4" w:space="0" w:color="auto"/>
              <w:left w:val="single" w:sz="4" w:space="0" w:color="auto"/>
              <w:bottom w:val="single" w:sz="4" w:space="0" w:color="auto"/>
              <w:right w:val="single" w:sz="4" w:space="0" w:color="auto"/>
            </w:tcBorders>
            <w:hideMark/>
          </w:tcPr>
          <w:p w:rsidR="001912AC" w:rsidRPr="002869C4" w:rsidRDefault="001912AC" w:rsidP="003B4907">
            <w:pPr>
              <w:jc w:val="center"/>
            </w:pPr>
            <w:r w:rsidRPr="002869C4">
              <w:t>0.98</w:t>
            </w:r>
          </w:p>
        </w:tc>
      </w:tr>
      <w:tr w:rsidR="001912AC" w:rsidRPr="002869C4" w:rsidTr="003B4907">
        <w:trPr>
          <w:jc w:val="center"/>
        </w:trPr>
        <w:tc>
          <w:tcPr>
            <w:tcW w:w="4495"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Distribution Primary</w:t>
            </w:r>
          </w:p>
        </w:tc>
        <w:tc>
          <w:tcPr>
            <w:tcW w:w="4500"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0.99</w:t>
            </w:r>
          </w:p>
        </w:tc>
      </w:tr>
      <w:tr w:rsidR="001912AC" w:rsidRPr="002869C4" w:rsidTr="003B4907">
        <w:trPr>
          <w:jc w:val="center"/>
        </w:trPr>
        <w:tc>
          <w:tcPr>
            <w:tcW w:w="4495"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Distribution Secondary</w:t>
            </w:r>
          </w:p>
        </w:tc>
        <w:tc>
          <w:tcPr>
            <w:tcW w:w="4500"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1.00</w:t>
            </w:r>
          </w:p>
        </w:tc>
      </w:tr>
      <w:tr w:rsidR="001912AC" w:rsidRPr="002869C4" w:rsidTr="003B4907">
        <w:trPr>
          <w:jc w:val="center"/>
        </w:trPr>
        <w:tc>
          <w:tcPr>
            <w:tcW w:w="4495"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Lighting Service</w:t>
            </w:r>
          </w:p>
        </w:tc>
        <w:tc>
          <w:tcPr>
            <w:tcW w:w="4500" w:type="dxa"/>
            <w:tcBorders>
              <w:top w:val="single" w:sz="4" w:space="0" w:color="auto"/>
              <w:left w:val="single" w:sz="4" w:space="0" w:color="auto"/>
              <w:bottom w:val="single" w:sz="4" w:space="0" w:color="auto"/>
              <w:right w:val="single" w:sz="4" w:space="0" w:color="auto"/>
            </w:tcBorders>
          </w:tcPr>
          <w:p w:rsidR="001912AC" w:rsidRPr="002869C4" w:rsidRDefault="001912AC" w:rsidP="003B4907">
            <w:pPr>
              <w:jc w:val="center"/>
            </w:pPr>
            <w:r w:rsidRPr="002869C4">
              <w:t>1.00</w:t>
            </w:r>
          </w:p>
        </w:tc>
      </w:tr>
    </w:tbl>
    <w:p w:rsidR="001912AC" w:rsidRDefault="001912AC" w:rsidP="001912AC">
      <w:pPr>
        <w:autoSpaceDE w:val="0"/>
        <w:autoSpaceDN w:val="0"/>
        <w:adjustRightInd w:val="0"/>
        <w:jc w:val="both"/>
        <w:rPr>
          <w:bCs/>
        </w:rPr>
      </w:pPr>
      <w:r w:rsidRPr="002869C4">
        <w:rPr>
          <w:sz w:val="22"/>
          <w:szCs w:val="22"/>
        </w:rPr>
        <w:t xml:space="preserve">    Source: Schedule E1-D.</w:t>
      </w:r>
    </w:p>
    <w:p w:rsidR="001912AC" w:rsidRDefault="001912AC" w:rsidP="001912AC">
      <w:pPr>
        <w:ind w:left="1440" w:hanging="1440"/>
        <w:jc w:val="both"/>
        <w:rPr>
          <w:b/>
          <w:bCs/>
          <w:u w:val="single"/>
        </w:rPr>
      </w:pPr>
    </w:p>
    <w:p w:rsidR="001912AC" w:rsidRPr="00BF6EBB" w:rsidRDefault="001912AC" w:rsidP="001912AC">
      <w:pPr>
        <w:ind w:left="1440" w:hanging="1440"/>
        <w:jc w:val="both"/>
        <w:rPr>
          <w:b/>
          <w:bCs/>
          <w:caps/>
          <w:u w:val="single"/>
        </w:rPr>
      </w:pPr>
      <w:r w:rsidRPr="00BF6EBB">
        <w:rPr>
          <w:b/>
          <w:bCs/>
          <w:u w:val="single"/>
        </w:rPr>
        <w:t>ISSUE 22</w:t>
      </w:r>
      <w:r w:rsidRPr="00BF6EBB">
        <w:t>:</w:t>
      </w:r>
      <w:r w:rsidRPr="00BF6EBB">
        <w:tab/>
      </w:r>
      <w:r w:rsidRPr="00777C7E">
        <w:rPr>
          <w:b/>
        </w:rPr>
        <w:t xml:space="preserve">What are the appropriate fuel cost recovery factors for each rate class/delivery voltage level class adjusted for line losses? </w:t>
      </w:r>
    </w:p>
    <w:p w:rsidR="001912AC" w:rsidRDefault="001912AC" w:rsidP="001912AC">
      <w:pPr>
        <w:rPr>
          <w:b/>
          <w:bCs/>
          <w:caps/>
          <w:u w:val="single"/>
        </w:rPr>
      </w:pPr>
    </w:p>
    <w:p w:rsidR="001912AC" w:rsidRDefault="001912AC" w:rsidP="001912AC">
      <w:pPr>
        <w:rPr>
          <w:b/>
          <w:bCs/>
          <w:caps/>
        </w:rPr>
      </w:pPr>
      <w:r>
        <w:rPr>
          <w:b/>
          <w:bCs/>
        </w:rPr>
        <w:t>Stipulation</w:t>
      </w:r>
      <w:r>
        <w:rPr>
          <w:b/>
          <w:bCs/>
          <w:caps/>
        </w:rPr>
        <w:t>:</w:t>
      </w:r>
    </w:p>
    <w:p w:rsidR="001912AC" w:rsidRDefault="001912AC" w:rsidP="001912AC">
      <w:pPr>
        <w:autoSpaceDE w:val="0"/>
        <w:autoSpaceDN w:val="0"/>
        <w:adjustRightInd w:val="0"/>
        <w:ind w:left="1440" w:hanging="1440"/>
        <w:jc w:val="both"/>
      </w:pPr>
      <w:r w:rsidRPr="00777C7E">
        <w:rPr>
          <w:b/>
        </w:rPr>
        <w:t>DEF:</w:t>
      </w:r>
      <w:r w:rsidRPr="00A71CFB">
        <w:tab/>
      </w:r>
      <w:r>
        <w:t>If the Rate Mitigation Plan is approved, t</w:t>
      </w:r>
      <w:r w:rsidRPr="00B573BF">
        <w:t>he appropriate fuel cost recovery factors for each rate class/delivery voltage level class adjusted for line losses for the period January 202</w:t>
      </w:r>
      <w:r>
        <w:t>2</w:t>
      </w:r>
      <w:r w:rsidRPr="00B573BF">
        <w:t xml:space="preserve"> through December 202</w:t>
      </w:r>
      <w:r>
        <w:t>2, are shown in Table 22-1(a)</w:t>
      </w:r>
      <w:r w:rsidRPr="00B573BF">
        <w:t xml:space="preserve"> below:</w:t>
      </w:r>
    </w:p>
    <w:p w:rsidR="001912AC" w:rsidRDefault="001912AC" w:rsidP="001912AC">
      <w:pPr>
        <w:rPr>
          <w:bCs/>
          <w:caps/>
        </w:rPr>
      </w:pPr>
    </w:p>
    <w:p w:rsidR="001912AC" w:rsidRDefault="001912AC" w:rsidP="001912AC">
      <w:pPr>
        <w:jc w:val="both"/>
        <w:rPr>
          <w:bCs/>
          <w:caps/>
        </w:rPr>
      </w:pPr>
    </w:p>
    <w:p w:rsidR="001912AC" w:rsidRDefault="001912AC" w:rsidP="001912AC">
      <w:pPr>
        <w:jc w:val="both"/>
        <w:rPr>
          <w:bCs/>
          <w:caps/>
        </w:rPr>
      </w:pPr>
    </w:p>
    <w:tbl>
      <w:tblPr>
        <w:tblStyle w:val="TableGrid"/>
        <w:tblW w:w="0" w:type="auto"/>
        <w:tblLook w:val="04A0" w:firstRow="1" w:lastRow="0" w:firstColumn="1" w:lastColumn="0" w:noHBand="0" w:noVBand="1"/>
      </w:tblPr>
      <w:tblGrid>
        <w:gridCol w:w="1070"/>
        <w:gridCol w:w="1510"/>
        <w:gridCol w:w="1077"/>
        <w:gridCol w:w="1107"/>
        <w:gridCol w:w="1163"/>
        <w:gridCol w:w="1190"/>
        <w:gridCol w:w="1190"/>
        <w:gridCol w:w="1190"/>
      </w:tblGrid>
      <w:tr w:rsidR="001912AC" w:rsidTr="003B4907">
        <w:trPr>
          <w:tblHeader/>
        </w:trPr>
        <w:tc>
          <w:tcPr>
            <w:tcW w:w="9497" w:type="dxa"/>
            <w:gridSpan w:val="8"/>
            <w:tcBorders>
              <w:top w:val="nil"/>
              <w:left w:val="nil"/>
              <w:bottom w:val="nil"/>
              <w:right w:val="nil"/>
            </w:tcBorders>
          </w:tcPr>
          <w:p w:rsidR="001912AC" w:rsidRPr="00D11D43" w:rsidRDefault="001912AC" w:rsidP="003B4907">
            <w:pPr>
              <w:ind w:left="1440" w:hanging="1440"/>
              <w:jc w:val="center"/>
              <w:rPr>
                <w:rFonts w:ascii="Arial" w:hAnsi="Arial" w:cs="Arial"/>
                <w:b/>
              </w:rPr>
            </w:pPr>
            <w:r w:rsidRPr="00D11D43">
              <w:rPr>
                <w:rFonts w:ascii="Arial" w:hAnsi="Arial" w:cs="Arial"/>
                <w:b/>
              </w:rPr>
              <w:t>Table 22-1</w:t>
            </w:r>
            <w:r>
              <w:rPr>
                <w:rFonts w:ascii="Arial" w:hAnsi="Arial" w:cs="Arial"/>
                <w:b/>
              </w:rPr>
              <w:t>(a)</w:t>
            </w:r>
          </w:p>
        </w:tc>
      </w:tr>
      <w:tr w:rsidR="001912AC" w:rsidTr="003B4907">
        <w:trPr>
          <w:tblHeader/>
        </w:trPr>
        <w:tc>
          <w:tcPr>
            <w:tcW w:w="9497" w:type="dxa"/>
            <w:gridSpan w:val="8"/>
            <w:tcBorders>
              <w:top w:val="nil"/>
              <w:left w:val="nil"/>
              <w:right w:val="nil"/>
            </w:tcBorders>
          </w:tcPr>
          <w:p w:rsidR="001912AC" w:rsidRPr="00D11D43" w:rsidRDefault="001912AC" w:rsidP="003B4907">
            <w:pPr>
              <w:keepNext/>
              <w:keepLines/>
              <w:jc w:val="center"/>
            </w:pPr>
            <w:r w:rsidRPr="00D11D43">
              <w:rPr>
                <w:rFonts w:ascii="Arial" w:hAnsi="Arial" w:cs="Arial"/>
                <w:b/>
              </w:rPr>
              <w:t>Fuel Cost Recovery Factors for the period January-December, 2022</w:t>
            </w:r>
          </w:p>
        </w:tc>
      </w:tr>
      <w:tr w:rsidR="001912AC" w:rsidRPr="00D11D43" w:rsidTr="003B4907">
        <w:trPr>
          <w:trHeight w:val="422"/>
          <w:tblHeader/>
        </w:trPr>
        <w:tc>
          <w:tcPr>
            <w:tcW w:w="1070" w:type="dxa"/>
            <w:vMerge w:val="restart"/>
            <w:vAlign w:val="center"/>
          </w:tcPr>
          <w:p w:rsidR="001912AC" w:rsidRPr="00D11D43" w:rsidRDefault="001912AC" w:rsidP="003B4907">
            <w:pPr>
              <w:keepNext/>
              <w:keepLines/>
              <w:jc w:val="center"/>
            </w:pPr>
            <w:r w:rsidRPr="00D11D43">
              <w:t>Group</w:t>
            </w:r>
          </w:p>
        </w:tc>
        <w:tc>
          <w:tcPr>
            <w:tcW w:w="1510" w:type="dxa"/>
            <w:vMerge w:val="restart"/>
            <w:vAlign w:val="center"/>
          </w:tcPr>
          <w:p w:rsidR="001912AC" w:rsidRPr="00D11D43" w:rsidRDefault="001912AC" w:rsidP="003B4907">
            <w:pPr>
              <w:keepNext/>
              <w:keepLines/>
              <w:jc w:val="center"/>
            </w:pPr>
            <w:r w:rsidRPr="00D11D43">
              <w:t>Delivery</w:t>
            </w:r>
          </w:p>
          <w:p w:rsidR="001912AC" w:rsidRPr="00D11D43" w:rsidRDefault="001912AC" w:rsidP="003B4907">
            <w:pPr>
              <w:keepNext/>
              <w:keepLines/>
              <w:jc w:val="center"/>
            </w:pPr>
            <w:r w:rsidRPr="00D11D43">
              <w:t>Voltage Level</w:t>
            </w:r>
          </w:p>
        </w:tc>
        <w:tc>
          <w:tcPr>
            <w:tcW w:w="3347" w:type="dxa"/>
            <w:gridSpan w:val="3"/>
            <w:vAlign w:val="center"/>
          </w:tcPr>
          <w:p w:rsidR="001912AC" w:rsidRPr="00D11D43" w:rsidRDefault="001912AC" w:rsidP="003B4907">
            <w:pPr>
              <w:keepNext/>
              <w:keepLines/>
              <w:jc w:val="center"/>
            </w:pPr>
            <w:r w:rsidRPr="00D11D43">
              <w:t>Fuel Cost Recovery Factors (cents/kWh)</w:t>
            </w:r>
          </w:p>
        </w:tc>
        <w:tc>
          <w:tcPr>
            <w:tcW w:w="3570" w:type="dxa"/>
            <w:gridSpan w:val="3"/>
            <w:vAlign w:val="center"/>
          </w:tcPr>
          <w:p w:rsidR="001912AC" w:rsidRDefault="001912AC" w:rsidP="003B4907">
            <w:pPr>
              <w:keepNext/>
              <w:keepLines/>
              <w:jc w:val="center"/>
            </w:pPr>
            <w:r w:rsidRPr="00D11D43">
              <w:t>Time of Use</w:t>
            </w:r>
          </w:p>
          <w:p w:rsidR="001912AC" w:rsidRPr="00D11D43" w:rsidRDefault="001912AC" w:rsidP="003B4907">
            <w:pPr>
              <w:keepNext/>
              <w:keepLines/>
              <w:jc w:val="center"/>
            </w:pPr>
            <w:r w:rsidRPr="00D11D43">
              <w:t>(cents/kWh)</w:t>
            </w:r>
          </w:p>
        </w:tc>
      </w:tr>
      <w:tr w:rsidR="001912AC" w:rsidRPr="00D11D43" w:rsidTr="003B4907">
        <w:trPr>
          <w:tblHeader/>
        </w:trPr>
        <w:tc>
          <w:tcPr>
            <w:tcW w:w="1070" w:type="dxa"/>
            <w:vMerge/>
            <w:vAlign w:val="center"/>
          </w:tcPr>
          <w:p w:rsidR="001912AC" w:rsidRPr="00D11D43" w:rsidRDefault="001912AC" w:rsidP="003B4907">
            <w:pPr>
              <w:jc w:val="center"/>
            </w:pPr>
          </w:p>
        </w:tc>
        <w:tc>
          <w:tcPr>
            <w:tcW w:w="1510" w:type="dxa"/>
            <w:vMerge/>
            <w:vAlign w:val="center"/>
          </w:tcPr>
          <w:p w:rsidR="001912AC" w:rsidRPr="00D11D43" w:rsidRDefault="001912AC" w:rsidP="003B4907">
            <w:pPr>
              <w:jc w:val="center"/>
            </w:pPr>
          </w:p>
        </w:tc>
        <w:tc>
          <w:tcPr>
            <w:tcW w:w="1077" w:type="dxa"/>
            <w:vAlign w:val="center"/>
          </w:tcPr>
          <w:p w:rsidR="001912AC" w:rsidRPr="00D11D43" w:rsidRDefault="001912AC" w:rsidP="003B4907">
            <w:pPr>
              <w:keepNext/>
              <w:keepLines/>
              <w:jc w:val="center"/>
            </w:pPr>
            <w:r w:rsidRPr="00D11D43">
              <w:t>First Tier</w:t>
            </w:r>
          </w:p>
          <w:p w:rsidR="001912AC" w:rsidRPr="00D11D43" w:rsidRDefault="001912AC" w:rsidP="003B4907">
            <w:pPr>
              <w:keepNext/>
              <w:keepLines/>
              <w:jc w:val="center"/>
            </w:pPr>
          </w:p>
        </w:tc>
        <w:tc>
          <w:tcPr>
            <w:tcW w:w="1107" w:type="dxa"/>
            <w:vAlign w:val="center"/>
          </w:tcPr>
          <w:p w:rsidR="001912AC" w:rsidRPr="00D11D43" w:rsidRDefault="001912AC" w:rsidP="003B4907">
            <w:pPr>
              <w:keepNext/>
              <w:keepLines/>
              <w:jc w:val="center"/>
            </w:pPr>
            <w:r w:rsidRPr="00D11D43">
              <w:t>Second Tier</w:t>
            </w:r>
          </w:p>
          <w:p w:rsidR="001912AC" w:rsidRPr="00D11D43" w:rsidRDefault="001912AC" w:rsidP="003B4907">
            <w:pPr>
              <w:keepNext/>
              <w:keepLines/>
              <w:jc w:val="center"/>
            </w:pPr>
          </w:p>
        </w:tc>
        <w:tc>
          <w:tcPr>
            <w:tcW w:w="1163" w:type="dxa"/>
            <w:vAlign w:val="center"/>
          </w:tcPr>
          <w:p w:rsidR="001912AC" w:rsidRPr="00D11D43" w:rsidRDefault="001912AC" w:rsidP="003B4907">
            <w:pPr>
              <w:keepNext/>
              <w:keepLines/>
              <w:jc w:val="center"/>
            </w:pPr>
            <w:r w:rsidRPr="00D11D43">
              <w:t>Levelized</w:t>
            </w:r>
          </w:p>
          <w:p w:rsidR="001912AC" w:rsidRPr="00D11D43" w:rsidRDefault="001912AC" w:rsidP="003B4907">
            <w:pPr>
              <w:keepNext/>
              <w:keepLines/>
              <w:jc w:val="center"/>
            </w:pPr>
          </w:p>
        </w:tc>
        <w:tc>
          <w:tcPr>
            <w:tcW w:w="1190" w:type="dxa"/>
            <w:vAlign w:val="center"/>
          </w:tcPr>
          <w:p w:rsidR="001912AC" w:rsidRPr="00D11D43" w:rsidRDefault="001912AC" w:rsidP="003B4907">
            <w:pPr>
              <w:keepNext/>
              <w:keepLines/>
              <w:jc w:val="center"/>
            </w:pPr>
            <w:r w:rsidRPr="00D11D43">
              <w:t>On-Peak</w:t>
            </w:r>
          </w:p>
          <w:p w:rsidR="001912AC" w:rsidRPr="00D11D43" w:rsidRDefault="001912AC" w:rsidP="003B4907">
            <w:pPr>
              <w:keepNext/>
              <w:keepLines/>
              <w:jc w:val="center"/>
            </w:pPr>
            <w:r w:rsidRPr="00D11D43">
              <w:t>Multiplier</w:t>
            </w:r>
          </w:p>
          <w:p w:rsidR="001912AC" w:rsidRPr="00D11D43" w:rsidRDefault="001912AC" w:rsidP="003B4907">
            <w:pPr>
              <w:keepNext/>
              <w:keepLines/>
              <w:jc w:val="center"/>
            </w:pPr>
            <w:r w:rsidRPr="00D11D43">
              <w:t>1.281</w:t>
            </w:r>
          </w:p>
        </w:tc>
        <w:tc>
          <w:tcPr>
            <w:tcW w:w="1190" w:type="dxa"/>
            <w:vAlign w:val="center"/>
          </w:tcPr>
          <w:p w:rsidR="001912AC" w:rsidRPr="00D11D43" w:rsidRDefault="001912AC" w:rsidP="003B4907">
            <w:pPr>
              <w:keepNext/>
              <w:keepLines/>
              <w:jc w:val="center"/>
            </w:pPr>
            <w:r w:rsidRPr="00D11D43">
              <w:t>Off-Peak Multiplier</w:t>
            </w:r>
          </w:p>
          <w:p w:rsidR="001912AC" w:rsidRPr="00D11D43" w:rsidRDefault="001912AC" w:rsidP="003B4907">
            <w:pPr>
              <w:keepNext/>
              <w:keepLines/>
              <w:jc w:val="center"/>
            </w:pPr>
            <w:r w:rsidRPr="00D11D43">
              <w:t>0.984</w:t>
            </w:r>
          </w:p>
        </w:tc>
        <w:tc>
          <w:tcPr>
            <w:tcW w:w="1190" w:type="dxa"/>
            <w:vAlign w:val="center"/>
          </w:tcPr>
          <w:p w:rsidR="001912AC" w:rsidRPr="00D11D43" w:rsidRDefault="001912AC" w:rsidP="003B4907">
            <w:pPr>
              <w:keepNext/>
              <w:keepLines/>
              <w:jc w:val="center"/>
            </w:pPr>
            <w:r w:rsidRPr="00D11D43">
              <w:t>Super</w:t>
            </w:r>
          </w:p>
          <w:p w:rsidR="001912AC" w:rsidRPr="00D11D43" w:rsidRDefault="001912AC" w:rsidP="003B4907">
            <w:pPr>
              <w:keepNext/>
              <w:keepLines/>
              <w:jc w:val="center"/>
            </w:pPr>
            <w:r w:rsidRPr="00D11D43">
              <w:t>Off-Peak Multiplier</w:t>
            </w:r>
          </w:p>
          <w:p w:rsidR="001912AC" w:rsidRPr="00D11D43" w:rsidRDefault="001912AC" w:rsidP="003B4907">
            <w:pPr>
              <w:keepNext/>
              <w:keepLines/>
              <w:jc w:val="center"/>
            </w:pPr>
            <w:r w:rsidRPr="00D11D43">
              <w:t>0.732</w:t>
            </w:r>
          </w:p>
        </w:tc>
      </w:tr>
      <w:tr w:rsidR="001912AC" w:rsidRPr="00D11D43" w:rsidTr="003B4907">
        <w:tc>
          <w:tcPr>
            <w:tcW w:w="1070" w:type="dxa"/>
            <w:vAlign w:val="center"/>
          </w:tcPr>
          <w:p w:rsidR="001912AC" w:rsidRPr="00D11D43" w:rsidRDefault="001912AC" w:rsidP="003B4907">
            <w:pPr>
              <w:keepNext/>
              <w:keepLines/>
              <w:jc w:val="center"/>
            </w:pPr>
            <w:r w:rsidRPr="00D11D43">
              <w:t>A</w:t>
            </w:r>
          </w:p>
        </w:tc>
        <w:tc>
          <w:tcPr>
            <w:tcW w:w="1510" w:type="dxa"/>
            <w:vAlign w:val="bottom"/>
          </w:tcPr>
          <w:p w:rsidR="001912AC" w:rsidRPr="00D11D43" w:rsidRDefault="001912AC" w:rsidP="003B4907">
            <w:pPr>
              <w:keepNext/>
              <w:keepLines/>
            </w:pPr>
            <w:r w:rsidRPr="00D11D43">
              <w:t>Transmission</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t>3.91</w:t>
            </w:r>
            <w:r w:rsidRPr="00D11D43">
              <w:t>2</w:t>
            </w:r>
          </w:p>
        </w:tc>
        <w:tc>
          <w:tcPr>
            <w:tcW w:w="1190" w:type="dxa"/>
            <w:vAlign w:val="bottom"/>
          </w:tcPr>
          <w:p w:rsidR="001912AC" w:rsidRPr="00D11D43" w:rsidRDefault="001912AC" w:rsidP="003B4907">
            <w:pPr>
              <w:keepNext/>
              <w:keepLines/>
              <w:jc w:val="right"/>
            </w:pPr>
            <w:r w:rsidRPr="00D11D43">
              <w:t>5.</w:t>
            </w:r>
            <w:r>
              <w:t>0</w:t>
            </w:r>
            <w:r w:rsidRPr="00D11D43">
              <w:t>11</w:t>
            </w:r>
          </w:p>
        </w:tc>
        <w:tc>
          <w:tcPr>
            <w:tcW w:w="1190" w:type="dxa"/>
            <w:vAlign w:val="bottom"/>
          </w:tcPr>
          <w:p w:rsidR="001912AC" w:rsidRPr="00D11D43" w:rsidRDefault="001912AC" w:rsidP="003B4907">
            <w:pPr>
              <w:keepNext/>
              <w:keepLines/>
              <w:jc w:val="right"/>
            </w:pPr>
            <w:r w:rsidRPr="00D11D43">
              <w:t>3.</w:t>
            </w:r>
            <w:r>
              <w:t>849</w:t>
            </w:r>
          </w:p>
        </w:tc>
        <w:tc>
          <w:tcPr>
            <w:tcW w:w="1190" w:type="dxa"/>
            <w:vAlign w:val="bottom"/>
          </w:tcPr>
          <w:p w:rsidR="001912AC" w:rsidRPr="00D11D43" w:rsidRDefault="001912AC" w:rsidP="003B4907">
            <w:pPr>
              <w:jc w:val="right"/>
            </w:pPr>
            <w:r w:rsidRPr="00D11D43">
              <w:t>2.</w:t>
            </w:r>
            <w:r>
              <w:t>864</w:t>
            </w:r>
          </w:p>
        </w:tc>
      </w:tr>
      <w:tr w:rsidR="001912AC" w:rsidRPr="00D11D43" w:rsidTr="003B4907">
        <w:tc>
          <w:tcPr>
            <w:tcW w:w="1070" w:type="dxa"/>
            <w:vAlign w:val="center"/>
          </w:tcPr>
          <w:p w:rsidR="001912AC" w:rsidRPr="00D11D43" w:rsidRDefault="001912AC" w:rsidP="003B4907">
            <w:pPr>
              <w:keepNext/>
              <w:keepLines/>
              <w:jc w:val="center"/>
            </w:pPr>
            <w:r w:rsidRPr="00D11D43">
              <w:t>B</w:t>
            </w:r>
          </w:p>
        </w:tc>
        <w:tc>
          <w:tcPr>
            <w:tcW w:w="1510" w:type="dxa"/>
            <w:vAlign w:val="bottom"/>
          </w:tcPr>
          <w:p w:rsidR="001912AC" w:rsidRPr="00D11D43" w:rsidRDefault="001912AC" w:rsidP="003B4907">
            <w:pPr>
              <w:keepNext/>
              <w:keepLines/>
            </w:pPr>
            <w:r w:rsidRPr="00D11D43">
              <w:t>Distribution Primary</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rsidRPr="00D11D43">
              <w:t>3.952</w:t>
            </w:r>
          </w:p>
        </w:tc>
        <w:tc>
          <w:tcPr>
            <w:tcW w:w="1190" w:type="dxa"/>
            <w:vAlign w:val="bottom"/>
          </w:tcPr>
          <w:p w:rsidR="001912AC" w:rsidRPr="00D11D43" w:rsidRDefault="001912AC" w:rsidP="003B4907">
            <w:pPr>
              <w:keepNext/>
              <w:keepLines/>
              <w:jc w:val="right"/>
            </w:pPr>
            <w:r w:rsidRPr="00D11D43">
              <w:t>5.063</w:t>
            </w:r>
          </w:p>
        </w:tc>
        <w:tc>
          <w:tcPr>
            <w:tcW w:w="1190" w:type="dxa"/>
            <w:vAlign w:val="bottom"/>
          </w:tcPr>
          <w:p w:rsidR="001912AC" w:rsidRPr="00D11D43" w:rsidRDefault="001912AC" w:rsidP="003B4907">
            <w:pPr>
              <w:keepNext/>
              <w:keepLines/>
              <w:jc w:val="right"/>
            </w:pPr>
            <w:r w:rsidRPr="00D11D43">
              <w:t>3.889</w:t>
            </w:r>
          </w:p>
        </w:tc>
        <w:tc>
          <w:tcPr>
            <w:tcW w:w="1190" w:type="dxa"/>
            <w:vAlign w:val="bottom"/>
          </w:tcPr>
          <w:p w:rsidR="001912AC" w:rsidRPr="00D11D43" w:rsidRDefault="001912AC" w:rsidP="003B4907">
            <w:pPr>
              <w:jc w:val="right"/>
            </w:pPr>
            <w:r w:rsidRPr="00D11D43">
              <w:t>2.893</w:t>
            </w:r>
          </w:p>
        </w:tc>
      </w:tr>
      <w:tr w:rsidR="001912AC" w:rsidRPr="00D11D43" w:rsidTr="003B4907">
        <w:tc>
          <w:tcPr>
            <w:tcW w:w="1070" w:type="dxa"/>
            <w:vAlign w:val="center"/>
          </w:tcPr>
          <w:p w:rsidR="001912AC" w:rsidRPr="00D11D43" w:rsidRDefault="001912AC" w:rsidP="003B4907">
            <w:pPr>
              <w:keepNext/>
              <w:keepLines/>
              <w:jc w:val="center"/>
            </w:pPr>
            <w:r w:rsidRPr="00D11D43">
              <w:t>C</w:t>
            </w:r>
          </w:p>
        </w:tc>
        <w:tc>
          <w:tcPr>
            <w:tcW w:w="1510" w:type="dxa"/>
            <w:vAlign w:val="bottom"/>
          </w:tcPr>
          <w:p w:rsidR="001912AC" w:rsidRPr="00D11D43" w:rsidRDefault="001912AC" w:rsidP="003B4907">
            <w:pPr>
              <w:keepNext/>
              <w:keepLines/>
            </w:pPr>
            <w:r w:rsidRPr="00D11D43">
              <w:t>Distribution Secondary</w:t>
            </w:r>
          </w:p>
        </w:tc>
        <w:tc>
          <w:tcPr>
            <w:tcW w:w="1077" w:type="dxa"/>
            <w:vAlign w:val="bottom"/>
          </w:tcPr>
          <w:p w:rsidR="001912AC" w:rsidRPr="00D11D43" w:rsidRDefault="001912AC" w:rsidP="003B4907">
            <w:pPr>
              <w:keepNext/>
              <w:keepLines/>
              <w:jc w:val="right"/>
            </w:pPr>
            <w:r w:rsidRPr="00D11D43">
              <w:t>3.681</w:t>
            </w:r>
          </w:p>
        </w:tc>
        <w:tc>
          <w:tcPr>
            <w:tcW w:w="1107" w:type="dxa"/>
            <w:vAlign w:val="bottom"/>
          </w:tcPr>
          <w:p w:rsidR="001912AC" w:rsidRPr="00D11D43" w:rsidRDefault="001912AC" w:rsidP="003B4907">
            <w:pPr>
              <w:keepNext/>
              <w:keepLines/>
              <w:jc w:val="right"/>
            </w:pPr>
            <w:r w:rsidRPr="00D11D43">
              <w:t>4.751</w:t>
            </w:r>
          </w:p>
        </w:tc>
        <w:tc>
          <w:tcPr>
            <w:tcW w:w="1163" w:type="dxa"/>
            <w:vAlign w:val="bottom"/>
          </w:tcPr>
          <w:p w:rsidR="001912AC" w:rsidRPr="00D11D43" w:rsidRDefault="001912AC" w:rsidP="003B4907">
            <w:pPr>
              <w:keepNext/>
              <w:keepLines/>
              <w:jc w:val="right"/>
            </w:pPr>
            <w:r>
              <w:t>3.99</w:t>
            </w:r>
            <w:r w:rsidRPr="00D11D43">
              <w:t>2</w:t>
            </w:r>
          </w:p>
        </w:tc>
        <w:tc>
          <w:tcPr>
            <w:tcW w:w="1190" w:type="dxa"/>
            <w:vAlign w:val="bottom"/>
          </w:tcPr>
          <w:p w:rsidR="001912AC" w:rsidRPr="00D11D43" w:rsidRDefault="001912AC" w:rsidP="003B4907">
            <w:pPr>
              <w:keepNext/>
              <w:keepLines/>
              <w:jc w:val="right"/>
            </w:pPr>
            <w:r w:rsidRPr="00D11D43">
              <w:t>5.</w:t>
            </w:r>
            <w:r>
              <w:t>114</w:t>
            </w:r>
          </w:p>
        </w:tc>
        <w:tc>
          <w:tcPr>
            <w:tcW w:w="1190" w:type="dxa"/>
            <w:vAlign w:val="bottom"/>
          </w:tcPr>
          <w:p w:rsidR="001912AC" w:rsidRPr="00D11D43" w:rsidRDefault="001912AC" w:rsidP="003B4907">
            <w:pPr>
              <w:keepNext/>
              <w:keepLines/>
              <w:jc w:val="right"/>
            </w:pPr>
            <w:r w:rsidRPr="00D11D43">
              <w:t>3.</w:t>
            </w:r>
            <w:r>
              <w:t>928</w:t>
            </w:r>
          </w:p>
        </w:tc>
        <w:tc>
          <w:tcPr>
            <w:tcW w:w="1190" w:type="dxa"/>
            <w:vAlign w:val="bottom"/>
          </w:tcPr>
          <w:p w:rsidR="001912AC" w:rsidRPr="00D11D43" w:rsidRDefault="001912AC" w:rsidP="003B4907">
            <w:pPr>
              <w:jc w:val="right"/>
            </w:pPr>
            <w:r w:rsidRPr="00D11D43">
              <w:t>2.</w:t>
            </w:r>
            <w:r>
              <w:t>922</w:t>
            </w:r>
          </w:p>
        </w:tc>
      </w:tr>
      <w:tr w:rsidR="001912AC" w:rsidRPr="00D11D43" w:rsidTr="003B4907">
        <w:tc>
          <w:tcPr>
            <w:tcW w:w="1070" w:type="dxa"/>
            <w:vAlign w:val="center"/>
          </w:tcPr>
          <w:p w:rsidR="001912AC" w:rsidRPr="00D11D43" w:rsidRDefault="001912AC" w:rsidP="003B4907">
            <w:pPr>
              <w:keepNext/>
              <w:keepLines/>
              <w:jc w:val="center"/>
            </w:pPr>
            <w:r w:rsidRPr="00D11D43">
              <w:t>D</w:t>
            </w:r>
          </w:p>
        </w:tc>
        <w:tc>
          <w:tcPr>
            <w:tcW w:w="1510" w:type="dxa"/>
            <w:vAlign w:val="bottom"/>
          </w:tcPr>
          <w:p w:rsidR="001912AC" w:rsidRPr="00D11D43" w:rsidRDefault="001912AC" w:rsidP="003B4907">
            <w:pPr>
              <w:keepNext/>
              <w:keepLines/>
            </w:pPr>
            <w:r w:rsidRPr="00D11D43">
              <w:t>Lighting Service</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rsidRPr="00D11D43">
              <w:t>3.700</w:t>
            </w:r>
          </w:p>
        </w:tc>
        <w:tc>
          <w:tcPr>
            <w:tcW w:w="1190" w:type="dxa"/>
            <w:vAlign w:val="bottom"/>
          </w:tcPr>
          <w:p w:rsidR="001912AC" w:rsidRPr="00D11D43" w:rsidRDefault="001912AC" w:rsidP="003B4907">
            <w:pPr>
              <w:keepNext/>
              <w:keepLines/>
              <w:jc w:val="right"/>
            </w:pPr>
            <w:r w:rsidRPr="00D11D43">
              <w:t>--</w:t>
            </w:r>
          </w:p>
        </w:tc>
        <w:tc>
          <w:tcPr>
            <w:tcW w:w="1190" w:type="dxa"/>
            <w:vAlign w:val="bottom"/>
          </w:tcPr>
          <w:p w:rsidR="001912AC" w:rsidRPr="00D11D43" w:rsidRDefault="001912AC" w:rsidP="003B4907">
            <w:pPr>
              <w:keepNext/>
              <w:keepLines/>
              <w:jc w:val="right"/>
            </w:pPr>
            <w:r w:rsidRPr="00D11D43">
              <w:t>--</w:t>
            </w:r>
          </w:p>
        </w:tc>
        <w:tc>
          <w:tcPr>
            <w:tcW w:w="1190" w:type="dxa"/>
            <w:vAlign w:val="bottom"/>
          </w:tcPr>
          <w:p w:rsidR="001912AC" w:rsidRPr="00D11D43" w:rsidRDefault="001912AC" w:rsidP="003B4907">
            <w:pPr>
              <w:jc w:val="right"/>
            </w:pPr>
            <w:r w:rsidRPr="00D11D43">
              <w:t>--</w:t>
            </w:r>
          </w:p>
        </w:tc>
      </w:tr>
    </w:tbl>
    <w:p w:rsidR="001912AC" w:rsidRPr="00D11D43" w:rsidRDefault="001912AC" w:rsidP="001912AC">
      <w:pPr>
        <w:rPr>
          <w:sz w:val="22"/>
          <w:szCs w:val="22"/>
        </w:rPr>
      </w:pPr>
      <w:r w:rsidRPr="00D11D43">
        <w:rPr>
          <w:sz w:val="22"/>
          <w:szCs w:val="22"/>
        </w:rPr>
        <w:t>Source: Schedule E1-E (Exhibit GPD-3, Part 2, Page 1 of 1).</w:t>
      </w:r>
    </w:p>
    <w:p w:rsidR="001912AC" w:rsidRDefault="001912AC" w:rsidP="001912AC">
      <w:pPr>
        <w:ind w:left="720" w:hanging="720"/>
        <w:jc w:val="both"/>
        <w:rPr>
          <w:sz w:val="22"/>
          <w:szCs w:val="22"/>
        </w:rPr>
      </w:pPr>
      <w:r w:rsidRPr="00D11D43">
        <w:rPr>
          <w:sz w:val="22"/>
          <w:szCs w:val="22"/>
        </w:rPr>
        <w:t xml:space="preserve"> </w:t>
      </w:r>
    </w:p>
    <w:p w:rsidR="001912AC" w:rsidRDefault="001912AC" w:rsidP="001912AC">
      <w:pPr>
        <w:ind w:left="720" w:hanging="720"/>
        <w:jc w:val="both"/>
        <w:rPr>
          <w:sz w:val="22"/>
          <w:szCs w:val="22"/>
        </w:rPr>
      </w:pPr>
    </w:p>
    <w:p w:rsidR="001912AC" w:rsidRDefault="001912AC" w:rsidP="001912AC">
      <w:pPr>
        <w:ind w:left="720" w:hanging="720"/>
        <w:jc w:val="both"/>
        <w:rPr>
          <w:sz w:val="22"/>
          <w:szCs w:val="22"/>
        </w:rPr>
      </w:pPr>
      <w:r>
        <w:rPr>
          <w:sz w:val="22"/>
          <w:szCs w:val="22"/>
        </w:rPr>
        <w:tab/>
        <w:t>If the Rate Mitigation Plan is denied, the appropriate fuel cost recovery factors for each rate class/delivery voltage level class adjusted for line losses for the period January 2022 through December 2022, are shown in Table 22-1(b) below</w:t>
      </w:r>
    </w:p>
    <w:p w:rsidR="001912AC" w:rsidRDefault="001912AC" w:rsidP="001912AC">
      <w:pPr>
        <w:ind w:left="720" w:hanging="720"/>
        <w:jc w:val="both"/>
        <w:rPr>
          <w:sz w:val="22"/>
          <w:szCs w:val="22"/>
        </w:rPr>
      </w:pPr>
    </w:p>
    <w:p w:rsidR="00815620" w:rsidRDefault="00815620">
      <w:r>
        <w:br w:type="page"/>
      </w:r>
    </w:p>
    <w:tbl>
      <w:tblPr>
        <w:tblStyle w:val="TableGrid"/>
        <w:tblW w:w="0" w:type="auto"/>
        <w:tblLook w:val="04A0" w:firstRow="1" w:lastRow="0" w:firstColumn="1" w:lastColumn="0" w:noHBand="0" w:noVBand="1"/>
      </w:tblPr>
      <w:tblGrid>
        <w:gridCol w:w="1070"/>
        <w:gridCol w:w="1510"/>
        <w:gridCol w:w="1077"/>
        <w:gridCol w:w="1107"/>
        <w:gridCol w:w="1163"/>
        <w:gridCol w:w="1190"/>
        <w:gridCol w:w="1190"/>
        <w:gridCol w:w="1190"/>
      </w:tblGrid>
      <w:tr w:rsidR="001912AC" w:rsidRPr="00D11D43" w:rsidTr="003B4907">
        <w:trPr>
          <w:tblHeader/>
        </w:trPr>
        <w:tc>
          <w:tcPr>
            <w:tcW w:w="9497" w:type="dxa"/>
            <w:gridSpan w:val="8"/>
            <w:tcBorders>
              <w:top w:val="nil"/>
              <w:left w:val="nil"/>
              <w:bottom w:val="nil"/>
              <w:right w:val="nil"/>
            </w:tcBorders>
          </w:tcPr>
          <w:p w:rsidR="001912AC" w:rsidRPr="00D11D43" w:rsidRDefault="001912AC" w:rsidP="003B4907">
            <w:pPr>
              <w:ind w:left="1440" w:hanging="1440"/>
              <w:jc w:val="center"/>
              <w:rPr>
                <w:rFonts w:ascii="Arial" w:hAnsi="Arial" w:cs="Arial"/>
                <w:b/>
              </w:rPr>
            </w:pPr>
            <w:r w:rsidRPr="00D11D43">
              <w:rPr>
                <w:rFonts w:ascii="Arial" w:hAnsi="Arial" w:cs="Arial"/>
                <w:b/>
              </w:rPr>
              <w:lastRenderedPageBreak/>
              <w:t>Table 22-1</w:t>
            </w:r>
            <w:r>
              <w:rPr>
                <w:rFonts w:ascii="Arial" w:hAnsi="Arial" w:cs="Arial"/>
                <w:b/>
              </w:rPr>
              <w:t>(b)</w:t>
            </w:r>
          </w:p>
        </w:tc>
      </w:tr>
      <w:tr w:rsidR="001912AC" w:rsidRPr="00D11D43" w:rsidTr="003B4907">
        <w:trPr>
          <w:tblHeader/>
        </w:trPr>
        <w:tc>
          <w:tcPr>
            <w:tcW w:w="9497" w:type="dxa"/>
            <w:gridSpan w:val="8"/>
            <w:tcBorders>
              <w:top w:val="nil"/>
              <w:left w:val="nil"/>
              <w:right w:val="nil"/>
            </w:tcBorders>
          </w:tcPr>
          <w:p w:rsidR="001912AC" w:rsidRPr="00D11D43" w:rsidRDefault="001912AC" w:rsidP="003B4907">
            <w:pPr>
              <w:keepNext/>
              <w:keepLines/>
              <w:jc w:val="center"/>
            </w:pPr>
            <w:r w:rsidRPr="00D11D43">
              <w:rPr>
                <w:rFonts w:ascii="Arial" w:hAnsi="Arial" w:cs="Arial"/>
                <w:b/>
              </w:rPr>
              <w:t>Fuel Cost Recovery Factors for the period January-December, 2022</w:t>
            </w:r>
          </w:p>
        </w:tc>
      </w:tr>
      <w:tr w:rsidR="001912AC" w:rsidRPr="00D11D43" w:rsidTr="003B4907">
        <w:trPr>
          <w:trHeight w:val="422"/>
          <w:tblHeader/>
        </w:trPr>
        <w:tc>
          <w:tcPr>
            <w:tcW w:w="1070" w:type="dxa"/>
            <w:vMerge w:val="restart"/>
            <w:vAlign w:val="center"/>
          </w:tcPr>
          <w:p w:rsidR="001912AC" w:rsidRPr="00D11D43" w:rsidRDefault="001912AC" w:rsidP="003B4907">
            <w:pPr>
              <w:keepNext/>
              <w:keepLines/>
              <w:jc w:val="center"/>
            </w:pPr>
            <w:r w:rsidRPr="00D11D43">
              <w:t>Group</w:t>
            </w:r>
          </w:p>
        </w:tc>
        <w:tc>
          <w:tcPr>
            <w:tcW w:w="1510" w:type="dxa"/>
            <w:vMerge w:val="restart"/>
            <w:vAlign w:val="center"/>
          </w:tcPr>
          <w:p w:rsidR="001912AC" w:rsidRPr="00D11D43" w:rsidRDefault="001912AC" w:rsidP="003B4907">
            <w:pPr>
              <w:keepNext/>
              <w:keepLines/>
              <w:jc w:val="center"/>
            </w:pPr>
            <w:r w:rsidRPr="00D11D43">
              <w:t>Delivery</w:t>
            </w:r>
          </w:p>
          <w:p w:rsidR="001912AC" w:rsidRPr="00D11D43" w:rsidRDefault="001912AC" w:rsidP="003B4907">
            <w:pPr>
              <w:keepNext/>
              <w:keepLines/>
              <w:jc w:val="center"/>
            </w:pPr>
            <w:r w:rsidRPr="00D11D43">
              <w:t>Voltage Level</w:t>
            </w:r>
          </w:p>
        </w:tc>
        <w:tc>
          <w:tcPr>
            <w:tcW w:w="3347" w:type="dxa"/>
            <w:gridSpan w:val="3"/>
            <w:vAlign w:val="center"/>
          </w:tcPr>
          <w:p w:rsidR="001912AC" w:rsidRPr="00D11D43" w:rsidRDefault="001912AC" w:rsidP="003B4907">
            <w:pPr>
              <w:keepNext/>
              <w:keepLines/>
              <w:jc w:val="center"/>
            </w:pPr>
            <w:r w:rsidRPr="00D11D43">
              <w:t>Fuel Cost Recovery Factors (cents/kWh)</w:t>
            </w:r>
          </w:p>
        </w:tc>
        <w:tc>
          <w:tcPr>
            <w:tcW w:w="3570" w:type="dxa"/>
            <w:gridSpan w:val="3"/>
            <w:vAlign w:val="center"/>
          </w:tcPr>
          <w:p w:rsidR="001912AC" w:rsidRDefault="001912AC" w:rsidP="003B4907">
            <w:pPr>
              <w:keepNext/>
              <w:keepLines/>
              <w:jc w:val="center"/>
            </w:pPr>
            <w:r w:rsidRPr="00D11D43">
              <w:t>Time of Use</w:t>
            </w:r>
          </w:p>
          <w:p w:rsidR="001912AC" w:rsidRPr="00D11D43" w:rsidRDefault="001912AC" w:rsidP="003B4907">
            <w:pPr>
              <w:keepNext/>
              <w:keepLines/>
              <w:jc w:val="center"/>
            </w:pPr>
            <w:r w:rsidRPr="00D11D43">
              <w:t>(cents/kWh)</w:t>
            </w:r>
          </w:p>
        </w:tc>
      </w:tr>
      <w:tr w:rsidR="001912AC" w:rsidRPr="00D11D43" w:rsidTr="003B4907">
        <w:trPr>
          <w:tblHeader/>
        </w:trPr>
        <w:tc>
          <w:tcPr>
            <w:tcW w:w="1070" w:type="dxa"/>
            <w:vMerge/>
            <w:vAlign w:val="center"/>
          </w:tcPr>
          <w:p w:rsidR="001912AC" w:rsidRPr="00D11D43" w:rsidRDefault="001912AC" w:rsidP="003B4907">
            <w:pPr>
              <w:jc w:val="center"/>
            </w:pPr>
          </w:p>
        </w:tc>
        <w:tc>
          <w:tcPr>
            <w:tcW w:w="1510" w:type="dxa"/>
            <w:vMerge/>
            <w:vAlign w:val="center"/>
          </w:tcPr>
          <w:p w:rsidR="001912AC" w:rsidRPr="00D11D43" w:rsidRDefault="001912AC" w:rsidP="003B4907">
            <w:pPr>
              <w:jc w:val="center"/>
            </w:pPr>
          </w:p>
        </w:tc>
        <w:tc>
          <w:tcPr>
            <w:tcW w:w="1077" w:type="dxa"/>
            <w:vAlign w:val="center"/>
          </w:tcPr>
          <w:p w:rsidR="001912AC" w:rsidRPr="00D11D43" w:rsidRDefault="001912AC" w:rsidP="003B4907">
            <w:pPr>
              <w:keepNext/>
              <w:keepLines/>
              <w:jc w:val="center"/>
            </w:pPr>
            <w:r w:rsidRPr="00D11D43">
              <w:t>First Tier</w:t>
            </w:r>
          </w:p>
          <w:p w:rsidR="001912AC" w:rsidRPr="00D11D43" w:rsidRDefault="001912AC" w:rsidP="003B4907">
            <w:pPr>
              <w:keepNext/>
              <w:keepLines/>
              <w:jc w:val="center"/>
            </w:pPr>
          </w:p>
        </w:tc>
        <w:tc>
          <w:tcPr>
            <w:tcW w:w="1107" w:type="dxa"/>
            <w:vAlign w:val="center"/>
          </w:tcPr>
          <w:p w:rsidR="001912AC" w:rsidRPr="00D11D43" w:rsidRDefault="001912AC" w:rsidP="003B4907">
            <w:pPr>
              <w:keepNext/>
              <w:keepLines/>
              <w:jc w:val="center"/>
            </w:pPr>
            <w:r w:rsidRPr="00D11D43">
              <w:t>Second Tier</w:t>
            </w:r>
          </w:p>
          <w:p w:rsidR="001912AC" w:rsidRPr="00D11D43" w:rsidRDefault="001912AC" w:rsidP="003B4907">
            <w:pPr>
              <w:keepNext/>
              <w:keepLines/>
              <w:jc w:val="center"/>
            </w:pPr>
          </w:p>
        </w:tc>
        <w:tc>
          <w:tcPr>
            <w:tcW w:w="1163" w:type="dxa"/>
            <w:vAlign w:val="center"/>
          </w:tcPr>
          <w:p w:rsidR="001912AC" w:rsidRPr="00D11D43" w:rsidRDefault="001912AC" w:rsidP="003B4907">
            <w:pPr>
              <w:keepNext/>
              <w:keepLines/>
              <w:jc w:val="center"/>
            </w:pPr>
            <w:r w:rsidRPr="00D11D43">
              <w:t>Levelized</w:t>
            </w:r>
          </w:p>
          <w:p w:rsidR="001912AC" w:rsidRPr="00D11D43" w:rsidRDefault="001912AC" w:rsidP="003B4907">
            <w:pPr>
              <w:keepNext/>
              <w:keepLines/>
              <w:jc w:val="center"/>
            </w:pPr>
          </w:p>
        </w:tc>
        <w:tc>
          <w:tcPr>
            <w:tcW w:w="1190" w:type="dxa"/>
            <w:vAlign w:val="center"/>
          </w:tcPr>
          <w:p w:rsidR="001912AC" w:rsidRPr="00D11D43" w:rsidRDefault="001912AC" w:rsidP="003B4907">
            <w:pPr>
              <w:keepNext/>
              <w:keepLines/>
              <w:jc w:val="center"/>
            </w:pPr>
            <w:r w:rsidRPr="00D11D43">
              <w:t>On-Peak</w:t>
            </w:r>
          </w:p>
          <w:p w:rsidR="001912AC" w:rsidRPr="00D11D43" w:rsidRDefault="001912AC" w:rsidP="003B4907">
            <w:pPr>
              <w:keepNext/>
              <w:keepLines/>
              <w:jc w:val="center"/>
            </w:pPr>
            <w:r w:rsidRPr="00D11D43">
              <w:t>Multiplier</w:t>
            </w:r>
          </w:p>
          <w:p w:rsidR="001912AC" w:rsidRPr="00D11D43" w:rsidRDefault="001912AC" w:rsidP="003B4907">
            <w:pPr>
              <w:keepNext/>
              <w:keepLines/>
              <w:jc w:val="center"/>
            </w:pPr>
            <w:r w:rsidRPr="00D11D43">
              <w:t>1.281</w:t>
            </w:r>
          </w:p>
        </w:tc>
        <w:tc>
          <w:tcPr>
            <w:tcW w:w="1190" w:type="dxa"/>
            <w:vAlign w:val="center"/>
          </w:tcPr>
          <w:p w:rsidR="001912AC" w:rsidRPr="00D11D43" w:rsidRDefault="001912AC" w:rsidP="003B4907">
            <w:pPr>
              <w:keepNext/>
              <w:keepLines/>
              <w:jc w:val="center"/>
            </w:pPr>
            <w:r w:rsidRPr="00D11D43">
              <w:t>Off-Peak Multiplier</w:t>
            </w:r>
          </w:p>
          <w:p w:rsidR="001912AC" w:rsidRPr="00D11D43" w:rsidRDefault="001912AC" w:rsidP="003B4907">
            <w:pPr>
              <w:keepNext/>
              <w:keepLines/>
              <w:jc w:val="center"/>
            </w:pPr>
            <w:r w:rsidRPr="00D11D43">
              <w:t>0.984</w:t>
            </w:r>
          </w:p>
        </w:tc>
        <w:tc>
          <w:tcPr>
            <w:tcW w:w="1190" w:type="dxa"/>
            <w:vAlign w:val="center"/>
          </w:tcPr>
          <w:p w:rsidR="001912AC" w:rsidRPr="00D11D43" w:rsidRDefault="001912AC" w:rsidP="003B4907">
            <w:pPr>
              <w:keepNext/>
              <w:keepLines/>
              <w:jc w:val="center"/>
            </w:pPr>
            <w:r w:rsidRPr="00D11D43">
              <w:t>Super</w:t>
            </w:r>
          </w:p>
          <w:p w:rsidR="001912AC" w:rsidRPr="00D11D43" w:rsidRDefault="001912AC" w:rsidP="003B4907">
            <w:pPr>
              <w:keepNext/>
              <w:keepLines/>
              <w:jc w:val="center"/>
            </w:pPr>
            <w:r w:rsidRPr="00D11D43">
              <w:t>Off-Peak Multiplier</w:t>
            </w:r>
          </w:p>
          <w:p w:rsidR="001912AC" w:rsidRPr="00D11D43" w:rsidRDefault="001912AC" w:rsidP="003B4907">
            <w:pPr>
              <w:keepNext/>
              <w:keepLines/>
              <w:jc w:val="center"/>
            </w:pPr>
            <w:r w:rsidRPr="00D11D43">
              <w:t>0.732</w:t>
            </w:r>
          </w:p>
        </w:tc>
      </w:tr>
      <w:tr w:rsidR="001912AC" w:rsidRPr="00D11D43" w:rsidTr="003B4907">
        <w:tc>
          <w:tcPr>
            <w:tcW w:w="1070" w:type="dxa"/>
            <w:vAlign w:val="center"/>
          </w:tcPr>
          <w:p w:rsidR="001912AC" w:rsidRPr="00D11D43" w:rsidRDefault="001912AC" w:rsidP="003B4907">
            <w:pPr>
              <w:keepNext/>
              <w:keepLines/>
              <w:jc w:val="center"/>
            </w:pPr>
            <w:r w:rsidRPr="00D11D43">
              <w:t>A</w:t>
            </w:r>
          </w:p>
        </w:tc>
        <w:tc>
          <w:tcPr>
            <w:tcW w:w="1510" w:type="dxa"/>
            <w:vAlign w:val="bottom"/>
          </w:tcPr>
          <w:p w:rsidR="001912AC" w:rsidRPr="00D11D43" w:rsidRDefault="001912AC" w:rsidP="003B4907">
            <w:pPr>
              <w:keepNext/>
              <w:keepLines/>
            </w:pPr>
            <w:r w:rsidRPr="00D11D43">
              <w:t>Transmission</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t>4.220</w:t>
            </w:r>
          </w:p>
        </w:tc>
        <w:tc>
          <w:tcPr>
            <w:tcW w:w="1190" w:type="dxa"/>
            <w:vAlign w:val="bottom"/>
          </w:tcPr>
          <w:p w:rsidR="001912AC" w:rsidRPr="00D11D43" w:rsidRDefault="001912AC" w:rsidP="003B4907">
            <w:pPr>
              <w:keepNext/>
              <w:keepLines/>
              <w:jc w:val="right"/>
            </w:pPr>
            <w:r>
              <w:t>5.406</w:t>
            </w:r>
          </w:p>
        </w:tc>
        <w:tc>
          <w:tcPr>
            <w:tcW w:w="1190" w:type="dxa"/>
            <w:vAlign w:val="bottom"/>
          </w:tcPr>
          <w:p w:rsidR="001912AC" w:rsidRPr="00D11D43" w:rsidRDefault="001912AC" w:rsidP="003B4907">
            <w:pPr>
              <w:keepNext/>
              <w:keepLines/>
              <w:jc w:val="right"/>
            </w:pPr>
            <w:r>
              <w:t>4.152</w:t>
            </w:r>
          </w:p>
        </w:tc>
        <w:tc>
          <w:tcPr>
            <w:tcW w:w="1190" w:type="dxa"/>
            <w:vAlign w:val="bottom"/>
          </w:tcPr>
          <w:p w:rsidR="001912AC" w:rsidRPr="00D11D43" w:rsidRDefault="001912AC" w:rsidP="003B4907">
            <w:pPr>
              <w:jc w:val="right"/>
            </w:pPr>
            <w:r>
              <w:t>3.089</w:t>
            </w:r>
          </w:p>
        </w:tc>
      </w:tr>
      <w:tr w:rsidR="001912AC" w:rsidRPr="00D11D43" w:rsidTr="003B4907">
        <w:tc>
          <w:tcPr>
            <w:tcW w:w="1070" w:type="dxa"/>
            <w:vAlign w:val="center"/>
          </w:tcPr>
          <w:p w:rsidR="001912AC" w:rsidRPr="00D11D43" w:rsidRDefault="001912AC" w:rsidP="003B4907">
            <w:pPr>
              <w:keepNext/>
              <w:keepLines/>
              <w:jc w:val="center"/>
            </w:pPr>
            <w:r w:rsidRPr="00D11D43">
              <w:t>B</w:t>
            </w:r>
          </w:p>
        </w:tc>
        <w:tc>
          <w:tcPr>
            <w:tcW w:w="1510" w:type="dxa"/>
            <w:vAlign w:val="bottom"/>
          </w:tcPr>
          <w:p w:rsidR="001912AC" w:rsidRPr="00D11D43" w:rsidRDefault="001912AC" w:rsidP="003B4907">
            <w:pPr>
              <w:keepNext/>
              <w:keepLines/>
            </w:pPr>
            <w:r w:rsidRPr="00D11D43">
              <w:t>Distribution Primary</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t>4.263</w:t>
            </w:r>
          </w:p>
        </w:tc>
        <w:tc>
          <w:tcPr>
            <w:tcW w:w="1190" w:type="dxa"/>
            <w:vAlign w:val="bottom"/>
          </w:tcPr>
          <w:p w:rsidR="001912AC" w:rsidRPr="00D11D43" w:rsidRDefault="001912AC" w:rsidP="003B4907">
            <w:pPr>
              <w:keepNext/>
              <w:keepLines/>
              <w:jc w:val="right"/>
            </w:pPr>
            <w:r>
              <w:t>5.461</w:t>
            </w:r>
          </w:p>
        </w:tc>
        <w:tc>
          <w:tcPr>
            <w:tcW w:w="1190" w:type="dxa"/>
            <w:vAlign w:val="bottom"/>
          </w:tcPr>
          <w:p w:rsidR="001912AC" w:rsidRPr="00D11D43" w:rsidRDefault="001912AC" w:rsidP="003B4907">
            <w:pPr>
              <w:keepNext/>
              <w:keepLines/>
              <w:jc w:val="right"/>
            </w:pPr>
            <w:r>
              <w:t>4.195</w:t>
            </w:r>
          </w:p>
        </w:tc>
        <w:tc>
          <w:tcPr>
            <w:tcW w:w="1190" w:type="dxa"/>
            <w:vAlign w:val="bottom"/>
          </w:tcPr>
          <w:p w:rsidR="001912AC" w:rsidRPr="00D11D43" w:rsidRDefault="001912AC" w:rsidP="003B4907">
            <w:pPr>
              <w:jc w:val="right"/>
            </w:pPr>
            <w:r>
              <w:t>3.121</w:t>
            </w:r>
          </w:p>
        </w:tc>
      </w:tr>
      <w:tr w:rsidR="001912AC" w:rsidRPr="00D11D43" w:rsidTr="003B4907">
        <w:tc>
          <w:tcPr>
            <w:tcW w:w="1070" w:type="dxa"/>
            <w:vAlign w:val="center"/>
          </w:tcPr>
          <w:p w:rsidR="001912AC" w:rsidRPr="00D11D43" w:rsidRDefault="001912AC" w:rsidP="003B4907">
            <w:pPr>
              <w:keepNext/>
              <w:keepLines/>
              <w:jc w:val="center"/>
            </w:pPr>
            <w:r w:rsidRPr="00D11D43">
              <w:t>C</w:t>
            </w:r>
          </w:p>
        </w:tc>
        <w:tc>
          <w:tcPr>
            <w:tcW w:w="1510" w:type="dxa"/>
            <w:vAlign w:val="bottom"/>
          </w:tcPr>
          <w:p w:rsidR="001912AC" w:rsidRPr="00D11D43" w:rsidRDefault="001912AC" w:rsidP="003B4907">
            <w:pPr>
              <w:keepNext/>
              <w:keepLines/>
            </w:pPr>
            <w:r w:rsidRPr="00D11D43">
              <w:t>Distribution Secondary</w:t>
            </w:r>
          </w:p>
        </w:tc>
        <w:tc>
          <w:tcPr>
            <w:tcW w:w="1077" w:type="dxa"/>
            <w:vAlign w:val="bottom"/>
          </w:tcPr>
          <w:p w:rsidR="001912AC" w:rsidRPr="00D11D43" w:rsidRDefault="001912AC" w:rsidP="003B4907">
            <w:pPr>
              <w:keepNext/>
              <w:keepLines/>
              <w:jc w:val="right"/>
            </w:pPr>
            <w:r w:rsidRPr="00D11D43">
              <w:t>3.</w:t>
            </w:r>
            <w:r>
              <w:t>995</w:t>
            </w:r>
          </w:p>
        </w:tc>
        <w:tc>
          <w:tcPr>
            <w:tcW w:w="1107" w:type="dxa"/>
            <w:vAlign w:val="bottom"/>
          </w:tcPr>
          <w:p w:rsidR="001912AC" w:rsidRPr="00D11D43" w:rsidRDefault="001912AC" w:rsidP="003B4907">
            <w:pPr>
              <w:keepNext/>
              <w:keepLines/>
              <w:jc w:val="right"/>
            </w:pPr>
            <w:r>
              <w:t>5.065</w:t>
            </w:r>
          </w:p>
        </w:tc>
        <w:tc>
          <w:tcPr>
            <w:tcW w:w="1163" w:type="dxa"/>
            <w:vAlign w:val="bottom"/>
          </w:tcPr>
          <w:p w:rsidR="001912AC" w:rsidRPr="00D11D43" w:rsidRDefault="001912AC" w:rsidP="003B4907">
            <w:pPr>
              <w:keepNext/>
              <w:keepLines/>
              <w:jc w:val="right"/>
            </w:pPr>
            <w:r>
              <w:t>4.306</w:t>
            </w:r>
          </w:p>
        </w:tc>
        <w:tc>
          <w:tcPr>
            <w:tcW w:w="1190" w:type="dxa"/>
            <w:vAlign w:val="bottom"/>
          </w:tcPr>
          <w:p w:rsidR="001912AC" w:rsidRPr="00D11D43" w:rsidRDefault="001912AC" w:rsidP="003B4907">
            <w:pPr>
              <w:keepNext/>
              <w:keepLines/>
              <w:jc w:val="right"/>
            </w:pPr>
            <w:r>
              <w:t>5.516</w:t>
            </w:r>
          </w:p>
        </w:tc>
        <w:tc>
          <w:tcPr>
            <w:tcW w:w="1190" w:type="dxa"/>
            <w:vAlign w:val="bottom"/>
          </w:tcPr>
          <w:p w:rsidR="001912AC" w:rsidRPr="00D11D43" w:rsidRDefault="001912AC" w:rsidP="003B4907">
            <w:pPr>
              <w:keepNext/>
              <w:keepLines/>
              <w:jc w:val="right"/>
            </w:pPr>
            <w:r>
              <w:t>4.237</w:t>
            </w:r>
          </w:p>
        </w:tc>
        <w:tc>
          <w:tcPr>
            <w:tcW w:w="1190" w:type="dxa"/>
            <w:vAlign w:val="bottom"/>
          </w:tcPr>
          <w:p w:rsidR="001912AC" w:rsidRPr="00D11D43" w:rsidRDefault="001912AC" w:rsidP="003B4907">
            <w:pPr>
              <w:jc w:val="right"/>
            </w:pPr>
            <w:r>
              <w:t>3.152</w:t>
            </w:r>
          </w:p>
        </w:tc>
      </w:tr>
      <w:tr w:rsidR="001912AC" w:rsidRPr="00D11D43" w:rsidTr="003B4907">
        <w:tc>
          <w:tcPr>
            <w:tcW w:w="1070" w:type="dxa"/>
            <w:vAlign w:val="center"/>
          </w:tcPr>
          <w:p w:rsidR="001912AC" w:rsidRPr="00D11D43" w:rsidRDefault="001912AC" w:rsidP="003B4907">
            <w:pPr>
              <w:keepNext/>
              <w:keepLines/>
              <w:jc w:val="center"/>
            </w:pPr>
            <w:r w:rsidRPr="00D11D43">
              <w:t>D</w:t>
            </w:r>
          </w:p>
        </w:tc>
        <w:tc>
          <w:tcPr>
            <w:tcW w:w="1510" w:type="dxa"/>
            <w:vAlign w:val="bottom"/>
          </w:tcPr>
          <w:p w:rsidR="001912AC" w:rsidRPr="00D11D43" w:rsidRDefault="001912AC" w:rsidP="003B4907">
            <w:pPr>
              <w:keepNext/>
              <w:keepLines/>
            </w:pPr>
            <w:r w:rsidRPr="00D11D43">
              <w:t>Lighting Service</w:t>
            </w:r>
          </w:p>
        </w:tc>
        <w:tc>
          <w:tcPr>
            <w:tcW w:w="1077" w:type="dxa"/>
            <w:vAlign w:val="bottom"/>
          </w:tcPr>
          <w:p w:rsidR="001912AC" w:rsidRPr="00D11D43" w:rsidRDefault="001912AC" w:rsidP="003B4907">
            <w:pPr>
              <w:keepNext/>
              <w:keepLines/>
              <w:jc w:val="right"/>
            </w:pPr>
            <w:r w:rsidRPr="00D11D43">
              <w:t>--</w:t>
            </w:r>
          </w:p>
        </w:tc>
        <w:tc>
          <w:tcPr>
            <w:tcW w:w="1107" w:type="dxa"/>
            <w:vAlign w:val="bottom"/>
          </w:tcPr>
          <w:p w:rsidR="001912AC" w:rsidRPr="00D11D43" w:rsidRDefault="001912AC" w:rsidP="003B4907">
            <w:pPr>
              <w:keepNext/>
              <w:keepLines/>
              <w:jc w:val="right"/>
            </w:pPr>
            <w:r w:rsidRPr="00D11D43">
              <w:t>--</w:t>
            </w:r>
          </w:p>
        </w:tc>
        <w:tc>
          <w:tcPr>
            <w:tcW w:w="1163" w:type="dxa"/>
            <w:vAlign w:val="bottom"/>
          </w:tcPr>
          <w:p w:rsidR="001912AC" w:rsidRPr="00D11D43" w:rsidRDefault="001912AC" w:rsidP="003B4907">
            <w:pPr>
              <w:keepNext/>
              <w:keepLines/>
              <w:jc w:val="right"/>
            </w:pPr>
            <w:r>
              <w:t>3.991</w:t>
            </w:r>
          </w:p>
        </w:tc>
        <w:tc>
          <w:tcPr>
            <w:tcW w:w="1190" w:type="dxa"/>
            <w:vAlign w:val="bottom"/>
          </w:tcPr>
          <w:p w:rsidR="001912AC" w:rsidRPr="00D11D43" w:rsidRDefault="001912AC" w:rsidP="003B4907">
            <w:pPr>
              <w:keepNext/>
              <w:keepLines/>
              <w:jc w:val="right"/>
            </w:pPr>
            <w:r>
              <w:t>--</w:t>
            </w:r>
          </w:p>
        </w:tc>
        <w:tc>
          <w:tcPr>
            <w:tcW w:w="1190" w:type="dxa"/>
            <w:vAlign w:val="bottom"/>
          </w:tcPr>
          <w:p w:rsidR="001912AC" w:rsidRPr="00D11D43" w:rsidRDefault="001912AC" w:rsidP="003B4907">
            <w:pPr>
              <w:keepNext/>
              <w:keepLines/>
              <w:jc w:val="right"/>
            </w:pPr>
            <w:r>
              <w:t>--</w:t>
            </w:r>
          </w:p>
        </w:tc>
        <w:tc>
          <w:tcPr>
            <w:tcW w:w="1190" w:type="dxa"/>
            <w:vAlign w:val="bottom"/>
          </w:tcPr>
          <w:p w:rsidR="001912AC" w:rsidRPr="00D11D43" w:rsidRDefault="001912AC" w:rsidP="003B4907">
            <w:pPr>
              <w:jc w:val="right"/>
            </w:pPr>
            <w:r>
              <w:t>--</w:t>
            </w:r>
          </w:p>
        </w:tc>
      </w:tr>
    </w:tbl>
    <w:p w:rsidR="001912AC" w:rsidRDefault="001912AC" w:rsidP="001912AC">
      <w:pPr>
        <w:ind w:left="720" w:hanging="720"/>
        <w:jc w:val="both"/>
        <w:rPr>
          <w:sz w:val="22"/>
          <w:szCs w:val="22"/>
        </w:rPr>
      </w:pPr>
      <w:r>
        <w:rPr>
          <w:sz w:val="22"/>
          <w:szCs w:val="22"/>
        </w:rPr>
        <w:t>Source: DEF’s Response to Staff’s 1</w:t>
      </w:r>
      <w:r w:rsidRPr="006F3123">
        <w:rPr>
          <w:sz w:val="22"/>
          <w:szCs w:val="22"/>
          <w:vertAlign w:val="superscript"/>
        </w:rPr>
        <w:t>st</w:t>
      </w:r>
      <w:r>
        <w:rPr>
          <w:sz w:val="22"/>
          <w:szCs w:val="22"/>
        </w:rPr>
        <w:t xml:space="preserve"> POD No. 1; Alternative Schedule E1-E (Page 1 of 1).  </w:t>
      </w:r>
    </w:p>
    <w:p w:rsidR="001912AC" w:rsidRDefault="001912AC" w:rsidP="001912AC">
      <w:pPr>
        <w:ind w:left="720" w:hanging="720"/>
        <w:jc w:val="both"/>
        <w:rPr>
          <w:sz w:val="22"/>
          <w:szCs w:val="22"/>
        </w:rPr>
      </w:pPr>
    </w:p>
    <w:p w:rsidR="001912AC" w:rsidRDefault="001912AC" w:rsidP="001912AC">
      <w:pPr>
        <w:ind w:left="720" w:hanging="720"/>
        <w:jc w:val="both"/>
        <w:rPr>
          <w:sz w:val="22"/>
          <w:szCs w:val="22"/>
        </w:rPr>
      </w:pPr>
    </w:p>
    <w:p w:rsidR="001912AC" w:rsidRPr="002869C4" w:rsidRDefault="001912AC" w:rsidP="001912AC">
      <w:pPr>
        <w:ind w:left="1440" w:hanging="1440"/>
        <w:jc w:val="both"/>
      </w:pPr>
      <w:r w:rsidRPr="00777C7E">
        <w:rPr>
          <w:b/>
        </w:rPr>
        <w:t>FPL:</w:t>
      </w:r>
      <w:r w:rsidRPr="002869C4">
        <w:tab/>
        <w:t xml:space="preserve"> The appropriate fuel cost recovery factors for each rate class/delivery voltage level class adjusted for line losses for the period January 2022 through December 2022, are shown in Tables 22-2 and 22-3 below:</w:t>
      </w:r>
    </w:p>
    <w:p w:rsidR="001912AC" w:rsidRPr="002869C4" w:rsidRDefault="001912AC" w:rsidP="001912AC">
      <w:pPr>
        <w:ind w:left="1440" w:hanging="1440"/>
        <w:jc w:val="center"/>
        <w:rPr>
          <w:rFonts w:ascii="Arial" w:hAnsi="Arial" w:cs="Arial"/>
        </w:rPr>
      </w:pPr>
    </w:p>
    <w:tbl>
      <w:tblPr>
        <w:tblStyle w:val="TableGrid"/>
        <w:tblW w:w="9468" w:type="dxa"/>
        <w:tblInd w:w="108" w:type="dxa"/>
        <w:tblLayout w:type="fixed"/>
        <w:tblLook w:val="04A0" w:firstRow="1" w:lastRow="0" w:firstColumn="1" w:lastColumn="0" w:noHBand="0" w:noVBand="1"/>
      </w:tblPr>
      <w:tblGrid>
        <w:gridCol w:w="900"/>
        <w:gridCol w:w="4567"/>
        <w:gridCol w:w="1440"/>
        <w:gridCol w:w="1170"/>
        <w:gridCol w:w="1391"/>
      </w:tblGrid>
      <w:tr w:rsidR="001912AC" w:rsidRPr="002869C4" w:rsidTr="003B4907">
        <w:trPr>
          <w:tblHeader/>
        </w:trPr>
        <w:tc>
          <w:tcPr>
            <w:tcW w:w="9468" w:type="dxa"/>
            <w:gridSpan w:val="5"/>
            <w:tcBorders>
              <w:top w:val="nil"/>
              <w:left w:val="nil"/>
              <w:bottom w:val="nil"/>
              <w:right w:val="nil"/>
            </w:tcBorders>
          </w:tcPr>
          <w:p w:rsidR="001912AC" w:rsidRPr="002869C4" w:rsidRDefault="001912AC" w:rsidP="003B4907">
            <w:pPr>
              <w:jc w:val="center"/>
            </w:pPr>
            <w:r w:rsidRPr="002869C4">
              <w:rPr>
                <w:rFonts w:ascii="Arial" w:hAnsi="Arial" w:cs="Arial"/>
                <w:b/>
              </w:rPr>
              <w:t>Table 22-2</w:t>
            </w:r>
          </w:p>
        </w:tc>
      </w:tr>
      <w:tr w:rsidR="001912AC" w:rsidRPr="002869C4" w:rsidTr="003B4907">
        <w:trPr>
          <w:tblHeader/>
        </w:trPr>
        <w:tc>
          <w:tcPr>
            <w:tcW w:w="9468" w:type="dxa"/>
            <w:gridSpan w:val="5"/>
            <w:tcBorders>
              <w:top w:val="nil"/>
              <w:left w:val="nil"/>
              <w:right w:val="nil"/>
            </w:tcBorders>
          </w:tcPr>
          <w:p w:rsidR="001912AC" w:rsidRPr="002869C4" w:rsidRDefault="001912AC" w:rsidP="003B4907">
            <w:pPr>
              <w:jc w:val="center"/>
            </w:pPr>
            <w:r w:rsidRPr="002869C4">
              <w:rPr>
                <w:rFonts w:ascii="Arial" w:hAnsi="Arial" w:cs="Arial"/>
                <w:b/>
              </w:rPr>
              <w:t>FPL Fuel Cost Recovery Factors for the period January-December, 2022</w:t>
            </w:r>
            <w:r w:rsidRPr="002869C4">
              <w:rPr>
                <w:rFonts w:ascii="Arial" w:hAnsi="Arial" w:cs="Arial"/>
              </w:rPr>
              <w:t xml:space="preserve"> </w:t>
            </w:r>
          </w:p>
        </w:tc>
      </w:tr>
      <w:tr w:rsidR="001912AC" w:rsidRPr="002869C4" w:rsidTr="003B4907">
        <w:trPr>
          <w:tblHeader/>
        </w:trPr>
        <w:tc>
          <w:tcPr>
            <w:tcW w:w="9468" w:type="dxa"/>
            <w:gridSpan w:val="5"/>
          </w:tcPr>
          <w:p w:rsidR="001912AC" w:rsidRPr="002869C4" w:rsidRDefault="001912AC" w:rsidP="003B4907">
            <w:pPr>
              <w:jc w:val="center"/>
            </w:pPr>
            <w:r w:rsidRPr="002869C4">
              <w:t>Fuel Recovery Factors – By Rate Group (Adjusted for Line Losses)</w:t>
            </w:r>
          </w:p>
        </w:tc>
      </w:tr>
      <w:tr w:rsidR="001912AC" w:rsidRPr="002869C4" w:rsidTr="003B4907">
        <w:trPr>
          <w:tblHeader/>
        </w:trPr>
        <w:tc>
          <w:tcPr>
            <w:tcW w:w="900" w:type="dxa"/>
            <w:vAlign w:val="center"/>
          </w:tcPr>
          <w:p w:rsidR="001912AC" w:rsidRPr="002869C4" w:rsidRDefault="001912AC" w:rsidP="003B4907">
            <w:pPr>
              <w:jc w:val="center"/>
            </w:pPr>
            <w:r w:rsidRPr="002869C4">
              <w:t>Group</w:t>
            </w:r>
          </w:p>
        </w:tc>
        <w:tc>
          <w:tcPr>
            <w:tcW w:w="4567" w:type="dxa"/>
            <w:vAlign w:val="center"/>
          </w:tcPr>
          <w:p w:rsidR="001912AC" w:rsidRPr="002869C4" w:rsidRDefault="001912AC" w:rsidP="003B4907">
            <w:pPr>
              <w:jc w:val="center"/>
            </w:pPr>
            <w:r w:rsidRPr="002869C4">
              <w:t>Rate Schedule</w:t>
            </w:r>
          </w:p>
        </w:tc>
        <w:tc>
          <w:tcPr>
            <w:tcW w:w="1440" w:type="dxa"/>
            <w:vAlign w:val="center"/>
          </w:tcPr>
          <w:p w:rsidR="001912AC" w:rsidRPr="002869C4" w:rsidRDefault="001912AC" w:rsidP="003B4907">
            <w:pPr>
              <w:jc w:val="center"/>
            </w:pPr>
            <w:r w:rsidRPr="002869C4">
              <w:t>Avg. Factor</w:t>
            </w:r>
          </w:p>
          <w:p w:rsidR="001912AC" w:rsidRPr="002869C4" w:rsidRDefault="001912AC" w:rsidP="003B4907">
            <w:pPr>
              <w:jc w:val="center"/>
            </w:pPr>
            <w:r w:rsidRPr="002869C4">
              <w:t>(cents/kWh)</w:t>
            </w:r>
          </w:p>
        </w:tc>
        <w:tc>
          <w:tcPr>
            <w:tcW w:w="1170" w:type="dxa"/>
            <w:vAlign w:val="center"/>
          </w:tcPr>
          <w:p w:rsidR="001912AC" w:rsidRPr="002869C4" w:rsidRDefault="001912AC" w:rsidP="003B4907">
            <w:pPr>
              <w:jc w:val="center"/>
            </w:pPr>
            <w:r w:rsidRPr="002869C4">
              <w:t>Fuel Recovery Loss Multiplier</w:t>
            </w:r>
          </w:p>
        </w:tc>
        <w:tc>
          <w:tcPr>
            <w:tcW w:w="1391" w:type="dxa"/>
            <w:vAlign w:val="center"/>
          </w:tcPr>
          <w:p w:rsidR="001912AC" w:rsidRPr="002869C4" w:rsidRDefault="001912AC" w:rsidP="003B4907">
            <w:pPr>
              <w:jc w:val="center"/>
            </w:pPr>
            <w:r w:rsidRPr="002869C4">
              <w:t>Fuel Recovery Factor</w:t>
            </w:r>
          </w:p>
          <w:p w:rsidR="001912AC" w:rsidRPr="002869C4" w:rsidRDefault="001912AC" w:rsidP="003B4907">
            <w:pPr>
              <w:jc w:val="center"/>
            </w:pPr>
            <w:r w:rsidRPr="002869C4">
              <w:t>(cents/kWh)</w:t>
            </w:r>
          </w:p>
        </w:tc>
      </w:tr>
      <w:tr w:rsidR="001912AC" w:rsidRPr="002869C4" w:rsidTr="003B4907">
        <w:tc>
          <w:tcPr>
            <w:tcW w:w="900" w:type="dxa"/>
            <w:vMerge w:val="restart"/>
            <w:vAlign w:val="center"/>
          </w:tcPr>
          <w:p w:rsidR="001912AC" w:rsidRPr="002869C4" w:rsidRDefault="001912AC" w:rsidP="003B4907">
            <w:pPr>
              <w:jc w:val="center"/>
            </w:pPr>
            <w:r w:rsidRPr="002869C4">
              <w:t>A</w:t>
            </w:r>
          </w:p>
        </w:tc>
        <w:tc>
          <w:tcPr>
            <w:tcW w:w="4567" w:type="dxa"/>
          </w:tcPr>
          <w:p w:rsidR="001912AC" w:rsidRPr="002869C4" w:rsidRDefault="001912AC" w:rsidP="003B4907">
            <w:r w:rsidRPr="002869C4">
              <w:t>RS-1, first 1,000 kWh</w:t>
            </w:r>
          </w:p>
        </w:tc>
        <w:tc>
          <w:tcPr>
            <w:tcW w:w="1440" w:type="dxa"/>
            <w:vAlign w:val="bottom"/>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2.822</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r w:rsidRPr="002869C4">
              <w:t>RS-1, all additional kWh</w:t>
            </w:r>
          </w:p>
        </w:tc>
        <w:tc>
          <w:tcPr>
            <w:tcW w:w="1440" w:type="dxa"/>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3.822</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r w:rsidRPr="002869C4">
              <w:t>GS-1, SL-2, GSCU-1, WIES-1</w:t>
            </w:r>
          </w:p>
        </w:tc>
        <w:tc>
          <w:tcPr>
            <w:tcW w:w="1440" w:type="dxa"/>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3.141</w:t>
            </w:r>
          </w:p>
        </w:tc>
      </w:tr>
      <w:tr w:rsidR="001912AC" w:rsidRPr="002869C4" w:rsidTr="003B4907">
        <w:tc>
          <w:tcPr>
            <w:tcW w:w="900" w:type="dxa"/>
          </w:tcPr>
          <w:p w:rsidR="001912AC" w:rsidRPr="002869C4" w:rsidRDefault="001912AC" w:rsidP="003B4907">
            <w:pPr>
              <w:jc w:val="center"/>
            </w:pPr>
            <w:r w:rsidRPr="002869C4">
              <w:t>A-1</w:t>
            </w:r>
          </w:p>
        </w:tc>
        <w:tc>
          <w:tcPr>
            <w:tcW w:w="4567" w:type="dxa"/>
          </w:tcPr>
          <w:p w:rsidR="001912AC" w:rsidRPr="002869C4" w:rsidRDefault="001912AC" w:rsidP="003B4907">
            <w:r w:rsidRPr="002869C4">
              <w:t>SL-1, OL-1, PL-1</w:t>
            </w:r>
          </w:p>
        </w:tc>
        <w:tc>
          <w:tcPr>
            <w:tcW w:w="1440" w:type="dxa"/>
            <w:vAlign w:val="bottom"/>
          </w:tcPr>
          <w:p w:rsidR="001912AC" w:rsidRPr="002869C4" w:rsidRDefault="001912AC" w:rsidP="003B4907">
            <w:pPr>
              <w:jc w:val="right"/>
            </w:pPr>
            <w:r w:rsidRPr="002869C4">
              <w:t>3.069</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3.078</w:t>
            </w:r>
          </w:p>
        </w:tc>
      </w:tr>
      <w:tr w:rsidR="001912AC" w:rsidRPr="002869C4" w:rsidTr="003B4907">
        <w:tc>
          <w:tcPr>
            <w:tcW w:w="900" w:type="dxa"/>
          </w:tcPr>
          <w:p w:rsidR="001912AC" w:rsidRPr="002869C4" w:rsidRDefault="001912AC" w:rsidP="003B4907">
            <w:pPr>
              <w:jc w:val="center"/>
            </w:pPr>
            <w:r w:rsidRPr="002869C4">
              <w:t>B</w:t>
            </w:r>
          </w:p>
        </w:tc>
        <w:tc>
          <w:tcPr>
            <w:tcW w:w="4567" w:type="dxa"/>
          </w:tcPr>
          <w:p w:rsidR="001912AC" w:rsidRPr="002869C4" w:rsidRDefault="001912AC" w:rsidP="003B4907">
            <w:r w:rsidRPr="002869C4">
              <w:t>GSD-1</w:t>
            </w:r>
          </w:p>
        </w:tc>
        <w:tc>
          <w:tcPr>
            <w:tcW w:w="1440" w:type="dxa"/>
            <w:vAlign w:val="bottom"/>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1.00284</w:t>
            </w:r>
          </w:p>
        </w:tc>
        <w:tc>
          <w:tcPr>
            <w:tcW w:w="1391" w:type="dxa"/>
            <w:vAlign w:val="bottom"/>
          </w:tcPr>
          <w:p w:rsidR="001912AC" w:rsidRPr="002869C4" w:rsidRDefault="001912AC" w:rsidP="003B4907">
            <w:pPr>
              <w:jc w:val="right"/>
            </w:pPr>
            <w:r w:rsidRPr="002869C4">
              <w:t>3.141</w:t>
            </w:r>
          </w:p>
        </w:tc>
      </w:tr>
      <w:tr w:rsidR="001912AC" w:rsidRPr="002869C4" w:rsidTr="003B4907">
        <w:tc>
          <w:tcPr>
            <w:tcW w:w="900" w:type="dxa"/>
          </w:tcPr>
          <w:p w:rsidR="001912AC" w:rsidRPr="002869C4" w:rsidRDefault="001912AC" w:rsidP="003B4907">
            <w:pPr>
              <w:jc w:val="center"/>
            </w:pPr>
            <w:r w:rsidRPr="002869C4">
              <w:t>C</w:t>
            </w:r>
          </w:p>
        </w:tc>
        <w:tc>
          <w:tcPr>
            <w:tcW w:w="4567" w:type="dxa"/>
          </w:tcPr>
          <w:p w:rsidR="001912AC" w:rsidRPr="002869C4" w:rsidRDefault="001912AC" w:rsidP="003B4907">
            <w:r w:rsidRPr="002869C4">
              <w:t>GSLD-1, CS-1</w:t>
            </w:r>
          </w:p>
        </w:tc>
        <w:tc>
          <w:tcPr>
            <w:tcW w:w="1440" w:type="dxa"/>
            <w:vAlign w:val="bottom"/>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1.00173</w:t>
            </w:r>
          </w:p>
        </w:tc>
        <w:tc>
          <w:tcPr>
            <w:tcW w:w="1391" w:type="dxa"/>
            <w:vAlign w:val="bottom"/>
          </w:tcPr>
          <w:p w:rsidR="001912AC" w:rsidRPr="002869C4" w:rsidRDefault="001912AC" w:rsidP="003B4907">
            <w:pPr>
              <w:jc w:val="right"/>
            </w:pPr>
            <w:r w:rsidRPr="002869C4">
              <w:t>3.137</w:t>
            </w:r>
          </w:p>
        </w:tc>
      </w:tr>
      <w:tr w:rsidR="001912AC" w:rsidRPr="002869C4" w:rsidTr="003B4907">
        <w:tc>
          <w:tcPr>
            <w:tcW w:w="900" w:type="dxa"/>
          </w:tcPr>
          <w:p w:rsidR="001912AC" w:rsidRPr="002869C4" w:rsidRDefault="001912AC" w:rsidP="003B4907">
            <w:pPr>
              <w:jc w:val="center"/>
            </w:pPr>
            <w:r w:rsidRPr="002869C4">
              <w:t>D</w:t>
            </w:r>
          </w:p>
        </w:tc>
        <w:tc>
          <w:tcPr>
            <w:tcW w:w="4567" w:type="dxa"/>
          </w:tcPr>
          <w:p w:rsidR="001912AC" w:rsidRPr="002869C4" w:rsidRDefault="001912AC" w:rsidP="003B4907">
            <w:r w:rsidRPr="002869C4">
              <w:t>GSLD-2, CS-2, OS-2, MET</w:t>
            </w:r>
          </w:p>
        </w:tc>
        <w:tc>
          <w:tcPr>
            <w:tcW w:w="1440" w:type="dxa"/>
            <w:vAlign w:val="bottom"/>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0.99371</w:t>
            </w:r>
          </w:p>
        </w:tc>
        <w:tc>
          <w:tcPr>
            <w:tcW w:w="1391" w:type="dxa"/>
            <w:vAlign w:val="bottom"/>
          </w:tcPr>
          <w:p w:rsidR="001912AC" w:rsidRPr="002869C4" w:rsidRDefault="001912AC" w:rsidP="003B4907">
            <w:pPr>
              <w:jc w:val="right"/>
            </w:pPr>
            <w:r w:rsidRPr="002869C4">
              <w:t>3.112</w:t>
            </w:r>
          </w:p>
        </w:tc>
      </w:tr>
      <w:tr w:rsidR="001912AC" w:rsidRPr="002869C4" w:rsidTr="003B4907">
        <w:tc>
          <w:tcPr>
            <w:tcW w:w="900" w:type="dxa"/>
          </w:tcPr>
          <w:p w:rsidR="001912AC" w:rsidRPr="002869C4" w:rsidRDefault="001912AC" w:rsidP="003B4907">
            <w:pPr>
              <w:jc w:val="center"/>
            </w:pPr>
            <w:r w:rsidRPr="002869C4">
              <w:t>E</w:t>
            </w:r>
          </w:p>
        </w:tc>
        <w:tc>
          <w:tcPr>
            <w:tcW w:w="4567" w:type="dxa"/>
          </w:tcPr>
          <w:p w:rsidR="001912AC" w:rsidRPr="002869C4" w:rsidRDefault="001912AC" w:rsidP="003B4907">
            <w:r w:rsidRPr="002869C4">
              <w:t>GSLD-3, CS-3</w:t>
            </w:r>
          </w:p>
        </w:tc>
        <w:tc>
          <w:tcPr>
            <w:tcW w:w="1440" w:type="dxa"/>
            <w:vAlign w:val="bottom"/>
          </w:tcPr>
          <w:p w:rsidR="001912AC" w:rsidRPr="002869C4" w:rsidRDefault="001912AC" w:rsidP="003B4907">
            <w:pPr>
              <w:jc w:val="right"/>
            </w:pPr>
            <w:r w:rsidRPr="002869C4">
              <w:t>3.132</w:t>
            </w:r>
          </w:p>
        </w:tc>
        <w:tc>
          <w:tcPr>
            <w:tcW w:w="1170" w:type="dxa"/>
            <w:vAlign w:val="bottom"/>
          </w:tcPr>
          <w:p w:rsidR="001912AC" w:rsidRPr="002869C4" w:rsidRDefault="001912AC" w:rsidP="003B4907">
            <w:pPr>
              <w:jc w:val="right"/>
            </w:pPr>
            <w:r w:rsidRPr="002869C4">
              <w:t>0.97168</w:t>
            </w:r>
          </w:p>
        </w:tc>
        <w:tc>
          <w:tcPr>
            <w:tcW w:w="1391" w:type="dxa"/>
            <w:vAlign w:val="bottom"/>
          </w:tcPr>
          <w:p w:rsidR="001912AC" w:rsidRPr="002869C4" w:rsidRDefault="001912AC" w:rsidP="003B4907">
            <w:pPr>
              <w:jc w:val="right"/>
            </w:pPr>
            <w:r w:rsidRPr="002869C4">
              <w:t>3.043</w:t>
            </w:r>
          </w:p>
        </w:tc>
      </w:tr>
      <w:tr w:rsidR="001912AC" w:rsidRPr="002869C4" w:rsidTr="003B4907">
        <w:tc>
          <w:tcPr>
            <w:tcW w:w="900" w:type="dxa"/>
            <w:vMerge w:val="restart"/>
            <w:vAlign w:val="center"/>
          </w:tcPr>
          <w:p w:rsidR="001912AC" w:rsidRPr="002869C4" w:rsidRDefault="001912AC" w:rsidP="003B4907">
            <w:pPr>
              <w:jc w:val="center"/>
            </w:pPr>
            <w:r w:rsidRPr="002869C4">
              <w:t>A</w:t>
            </w:r>
          </w:p>
        </w:tc>
        <w:tc>
          <w:tcPr>
            <w:tcW w:w="4567" w:type="dxa"/>
          </w:tcPr>
          <w:p w:rsidR="001912AC" w:rsidRPr="002869C4" w:rsidRDefault="001912AC" w:rsidP="003B4907">
            <w:r w:rsidRPr="002869C4">
              <w:t>GST-1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3.455</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r w:rsidRPr="002869C4">
              <w:t>GST-1 Off 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1.00291</w:t>
            </w:r>
          </w:p>
        </w:tc>
        <w:tc>
          <w:tcPr>
            <w:tcW w:w="1391" w:type="dxa"/>
            <w:vAlign w:val="bottom"/>
          </w:tcPr>
          <w:p w:rsidR="001912AC" w:rsidRPr="002869C4" w:rsidRDefault="001912AC" w:rsidP="003B4907">
            <w:pPr>
              <w:jc w:val="right"/>
            </w:pPr>
            <w:r w:rsidRPr="002869C4">
              <w:t>3.006</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r w:rsidRPr="002869C4">
              <w:t>RTR-1 On-Peak</w:t>
            </w:r>
          </w:p>
        </w:tc>
        <w:tc>
          <w:tcPr>
            <w:tcW w:w="1440" w:type="dxa"/>
            <w:vAlign w:val="bottom"/>
          </w:tcPr>
          <w:p w:rsidR="001912AC" w:rsidRPr="002869C4" w:rsidRDefault="001912AC" w:rsidP="003B4907">
            <w:pPr>
              <w:jc w:val="right"/>
            </w:pPr>
          </w:p>
        </w:tc>
        <w:tc>
          <w:tcPr>
            <w:tcW w:w="1170" w:type="dxa"/>
            <w:vAlign w:val="bottom"/>
          </w:tcPr>
          <w:p w:rsidR="001912AC" w:rsidRPr="002869C4" w:rsidRDefault="001912AC" w:rsidP="003B4907">
            <w:pPr>
              <w:jc w:val="right"/>
            </w:pPr>
          </w:p>
        </w:tc>
        <w:tc>
          <w:tcPr>
            <w:tcW w:w="1391" w:type="dxa"/>
            <w:vAlign w:val="bottom"/>
          </w:tcPr>
          <w:p w:rsidR="001912AC" w:rsidRPr="002869C4" w:rsidRDefault="001912AC" w:rsidP="003B4907">
            <w:pPr>
              <w:jc w:val="right"/>
            </w:pPr>
            <w:r w:rsidRPr="002869C4">
              <w:t>0.314</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r w:rsidRPr="002869C4">
              <w:t>RTR-1 Off-Peak</w:t>
            </w:r>
          </w:p>
        </w:tc>
        <w:tc>
          <w:tcPr>
            <w:tcW w:w="1440" w:type="dxa"/>
            <w:vAlign w:val="bottom"/>
          </w:tcPr>
          <w:p w:rsidR="001912AC" w:rsidRPr="002869C4" w:rsidRDefault="001912AC" w:rsidP="003B4907">
            <w:pPr>
              <w:jc w:val="right"/>
            </w:pPr>
          </w:p>
        </w:tc>
        <w:tc>
          <w:tcPr>
            <w:tcW w:w="1170" w:type="dxa"/>
            <w:vAlign w:val="bottom"/>
          </w:tcPr>
          <w:p w:rsidR="001912AC" w:rsidRPr="002869C4" w:rsidRDefault="001912AC" w:rsidP="003B4907">
            <w:pPr>
              <w:jc w:val="right"/>
            </w:pPr>
          </w:p>
        </w:tc>
        <w:tc>
          <w:tcPr>
            <w:tcW w:w="1391" w:type="dxa"/>
            <w:vAlign w:val="bottom"/>
          </w:tcPr>
          <w:p w:rsidR="001912AC" w:rsidRPr="002869C4" w:rsidRDefault="001912AC" w:rsidP="003B4907">
            <w:pPr>
              <w:jc w:val="right"/>
            </w:pPr>
            <w:r w:rsidRPr="002869C4">
              <w:t>(0.135)</w:t>
            </w:r>
          </w:p>
        </w:tc>
      </w:tr>
      <w:tr w:rsidR="001912AC" w:rsidRPr="002869C4" w:rsidTr="003B4907">
        <w:tc>
          <w:tcPr>
            <w:tcW w:w="900" w:type="dxa"/>
            <w:vMerge w:val="restart"/>
            <w:vAlign w:val="center"/>
          </w:tcPr>
          <w:p w:rsidR="001912AC" w:rsidRPr="002869C4" w:rsidRDefault="001912AC" w:rsidP="003B4907">
            <w:pPr>
              <w:jc w:val="center"/>
            </w:pPr>
            <w:r w:rsidRPr="002869C4">
              <w:t>B</w:t>
            </w:r>
          </w:p>
        </w:tc>
        <w:tc>
          <w:tcPr>
            <w:tcW w:w="4567" w:type="dxa"/>
          </w:tcPr>
          <w:p w:rsidR="001912AC" w:rsidRPr="002869C4" w:rsidRDefault="001912AC" w:rsidP="003B4907">
            <w:r w:rsidRPr="002869C4">
              <w:t>GSDT-1, CILC-1(G), HLFT-1 (21-499 kW)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1.00284</w:t>
            </w:r>
          </w:p>
        </w:tc>
        <w:tc>
          <w:tcPr>
            <w:tcW w:w="1391" w:type="dxa"/>
            <w:vAlign w:val="bottom"/>
          </w:tcPr>
          <w:p w:rsidR="001912AC" w:rsidRPr="002869C4" w:rsidRDefault="001912AC" w:rsidP="003B4907">
            <w:pPr>
              <w:jc w:val="right"/>
            </w:pPr>
            <w:r w:rsidRPr="002869C4">
              <w:t>3.455</w:t>
            </w:r>
          </w:p>
        </w:tc>
      </w:tr>
      <w:tr w:rsidR="001912AC" w:rsidRPr="002869C4" w:rsidTr="003B4907">
        <w:tc>
          <w:tcPr>
            <w:tcW w:w="900" w:type="dxa"/>
            <w:vMerge/>
            <w:vAlign w:val="center"/>
          </w:tcPr>
          <w:p w:rsidR="001912AC" w:rsidRPr="002869C4" w:rsidRDefault="001912AC" w:rsidP="003B4907">
            <w:pPr>
              <w:jc w:val="center"/>
            </w:pPr>
          </w:p>
        </w:tc>
        <w:tc>
          <w:tcPr>
            <w:tcW w:w="4567" w:type="dxa"/>
          </w:tcPr>
          <w:p w:rsidR="001912AC" w:rsidRPr="002869C4" w:rsidRDefault="001912AC" w:rsidP="003B4907">
            <w:r w:rsidRPr="002869C4">
              <w:t>GSDT-1, CILC-1(G), HLFT-1 (21-499 kW) Off-Peak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1.00284</w:t>
            </w:r>
          </w:p>
        </w:tc>
        <w:tc>
          <w:tcPr>
            <w:tcW w:w="1391" w:type="dxa"/>
            <w:vAlign w:val="bottom"/>
          </w:tcPr>
          <w:p w:rsidR="001912AC" w:rsidRPr="002869C4" w:rsidRDefault="001912AC" w:rsidP="003B4907">
            <w:pPr>
              <w:jc w:val="right"/>
            </w:pPr>
            <w:r w:rsidRPr="002869C4">
              <w:t>3.006</w:t>
            </w:r>
          </w:p>
        </w:tc>
      </w:tr>
      <w:tr w:rsidR="001912AC" w:rsidRPr="002869C4" w:rsidTr="003B4907">
        <w:tc>
          <w:tcPr>
            <w:tcW w:w="900" w:type="dxa"/>
            <w:vMerge w:val="restart"/>
            <w:vAlign w:val="center"/>
          </w:tcPr>
          <w:p w:rsidR="001912AC" w:rsidRPr="002869C4" w:rsidRDefault="001912AC" w:rsidP="003B4907">
            <w:pPr>
              <w:jc w:val="center"/>
            </w:pPr>
            <w:r w:rsidRPr="002869C4">
              <w:t>C</w:t>
            </w:r>
          </w:p>
        </w:tc>
        <w:tc>
          <w:tcPr>
            <w:tcW w:w="4567" w:type="dxa"/>
          </w:tcPr>
          <w:p w:rsidR="001912AC" w:rsidRPr="002869C4" w:rsidRDefault="001912AC" w:rsidP="003B4907">
            <w:r w:rsidRPr="002869C4">
              <w:t>GSLDT-1, CST-1, HLFT-2 (500-1,999 kW)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1.00173</w:t>
            </w:r>
          </w:p>
        </w:tc>
        <w:tc>
          <w:tcPr>
            <w:tcW w:w="1391" w:type="dxa"/>
            <w:vAlign w:val="bottom"/>
          </w:tcPr>
          <w:p w:rsidR="001912AC" w:rsidRPr="002869C4" w:rsidRDefault="001912AC" w:rsidP="003B4907">
            <w:pPr>
              <w:jc w:val="right"/>
            </w:pPr>
            <w:r w:rsidRPr="002869C4">
              <w:t>3.451</w:t>
            </w:r>
          </w:p>
        </w:tc>
      </w:tr>
      <w:tr w:rsidR="001912AC" w:rsidRPr="002869C4" w:rsidTr="003B4907">
        <w:tc>
          <w:tcPr>
            <w:tcW w:w="900" w:type="dxa"/>
            <w:vMerge/>
            <w:vAlign w:val="center"/>
          </w:tcPr>
          <w:p w:rsidR="001912AC" w:rsidRPr="002869C4" w:rsidRDefault="001912AC" w:rsidP="003B4907">
            <w:pPr>
              <w:jc w:val="center"/>
            </w:pPr>
          </w:p>
        </w:tc>
        <w:tc>
          <w:tcPr>
            <w:tcW w:w="4567" w:type="dxa"/>
          </w:tcPr>
          <w:p w:rsidR="001912AC" w:rsidRPr="002869C4" w:rsidRDefault="001912AC" w:rsidP="003B4907">
            <w:r w:rsidRPr="002869C4">
              <w:t>GSLDT-1, CST-1, HLFT-2 (500-1,999 kW) Off-Peak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1.00173</w:t>
            </w:r>
          </w:p>
        </w:tc>
        <w:tc>
          <w:tcPr>
            <w:tcW w:w="1391" w:type="dxa"/>
            <w:vAlign w:val="bottom"/>
          </w:tcPr>
          <w:p w:rsidR="001912AC" w:rsidRPr="002869C4" w:rsidRDefault="001912AC" w:rsidP="003B4907">
            <w:pPr>
              <w:jc w:val="right"/>
            </w:pPr>
            <w:r w:rsidRPr="002869C4">
              <w:t>3.002</w:t>
            </w:r>
          </w:p>
        </w:tc>
      </w:tr>
      <w:tr w:rsidR="001912AC" w:rsidRPr="002869C4" w:rsidTr="003B4907">
        <w:tc>
          <w:tcPr>
            <w:tcW w:w="900" w:type="dxa"/>
            <w:vMerge w:val="restart"/>
            <w:vAlign w:val="center"/>
          </w:tcPr>
          <w:p w:rsidR="001912AC" w:rsidRPr="002869C4" w:rsidRDefault="001912AC" w:rsidP="003B4907">
            <w:pPr>
              <w:jc w:val="center"/>
            </w:pPr>
            <w:r w:rsidRPr="002869C4">
              <w:t>D</w:t>
            </w:r>
          </w:p>
        </w:tc>
        <w:tc>
          <w:tcPr>
            <w:tcW w:w="4567" w:type="dxa"/>
          </w:tcPr>
          <w:p w:rsidR="001912AC" w:rsidRPr="002869C4" w:rsidRDefault="001912AC" w:rsidP="003B4907">
            <w:r w:rsidRPr="002869C4">
              <w:t>GSLDT-2, CST-2, HLFT-3 (2,000+ kW)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0.99399</w:t>
            </w:r>
          </w:p>
        </w:tc>
        <w:tc>
          <w:tcPr>
            <w:tcW w:w="1391" w:type="dxa"/>
            <w:vAlign w:val="bottom"/>
          </w:tcPr>
          <w:p w:rsidR="001912AC" w:rsidRPr="002869C4" w:rsidRDefault="001912AC" w:rsidP="003B4907">
            <w:pPr>
              <w:jc w:val="right"/>
            </w:pPr>
            <w:r w:rsidRPr="002869C4">
              <w:t>3.424</w:t>
            </w:r>
          </w:p>
        </w:tc>
      </w:tr>
      <w:tr w:rsidR="001912AC" w:rsidRPr="002869C4" w:rsidTr="003B4907">
        <w:tc>
          <w:tcPr>
            <w:tcW w:w="900" w:type="dxa"/>
            <w:vMerge/>
            <w:vAlign w:val="center"/>
          </w:tcPr>
          <w:p w:rsidR="001912AC" w:rsidRPr="002869C4" w:rsidRDefault="001912AC" w:rsidP="003B4907">
            <w:pPr>
              <w:jc w:val="center"/>
            </w:pPr>
          </w:p>
        </w:tc>
        <w:tc>
          <w:tcPr>
            <w:tcW w:w="4567" w:type="dxa"/>
          </w:tcPr>
          <w:p w:rsidR="001912AC" w:rsidRPr="002869C4" w:rsidRDefault="001912AC" w:rsidP="003B4907">
            <w:r w:rsidRPr="002869C4">
              <w:t>GSLDT-2, CST-2, HLFT-3 (2,000+ kW) Off-Peak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0.99399</w:t>
            </w:r>
          </w:p>
        </w:tc>
        <w:tc>
          <w:tcPr>
            <w:tcW w:w="1391" w:type="dxa"/>
            <w:vAlign w:val="bottom"/>
          </w:tcPr>
          <w:p w:rsidR="001912AC" w:rsidRPr="002869C4" w:rsidRDefault="001912AC" w:rsidP="003B4907">
            <w:pPr>
              <w:jc w:val="right"/>
            </w:pPr>
            <w:r w:rsidRPr="002869C4">
              <w:t>2.979</w:t>
            </w:r>
          </w:p>
        </w:tc>
      </w:tr>
      <w:tr w:rsidR="001912AC" w:rsidRPr="002869C4" w:rsidTr="003B4907">
        <w:tc>
          <w:tcPr>
            <w:tcW w:w="900" w:type="dxa"/>
            <w:vMerge w:val="restart"/>
            <w:vAlign w:val="center"/>
          </w:tcPr>
          <w:p w:rsidR="001912AC" w:rsidRPr="002869C4" w:rsidRDefault="001912AC" w:rsidP="003B4907">
            <w:pPr>
              <w:jc w:val="center"/>
            </w:pPr>
            <w:r w:rsidRPr="002869C4">
              <w:t>E</w:t>
            </w:r>
          </w:p>
        </w:tc>
        <w:tc>
          <w:tcPr>
            <w:tcW w:w="4567" w:type="dxa"/>
          </w:tcPr>
          <w:p w:rsidR="001912AC" w:rsidRPr="002869C4" w:rsidRDefault="001912AC" w:rsidP="003B4907">
            <w:pPr>
              <w:jc w:val="center"/>
            </w:pPr>
            <w:r w:rsidRPr="002869C4">
              <w:t>GSLDT-3, CST-3, CILC-1(T), ISST-1(T)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0.97168</w:t>
            </w:r>
          </w:p>
        </w:tc>
        <w:tc>
          <w:tcPr>
            <w:tcW w:w="1391" w:type="dxa"/>
            <w:vAlign w:val="bottom"/>
          </w:tcPr>
          <w:p w:rsidR="001912AC" w:rsidRPr="002869C4" w:rsidRDefault="001912AC" w:rsidP="003B4907">
            <w:pPr>
              <w:jc w:val="right"/>
            </w:pPr>
            <w:r w:rsidRPr="002869C4">
              <w:t>3.347</w:t>
            </w:r>
          </w:p>
        </w:tc>
      </w:tr>
      <w:tr w:rsidR="001912AC" w:rsidRPr="002869C4" w:rsidTr="003B4907">
        <w:tc>
          <w:tcPr>
            <w:tcW w:w="900" w:type="dxa"/>
            <w:vMerge/>
            <w:vAlign w:val="center"/>
          </w:tcPr>
          <w:p w:rsidR="001912AC" w:rsidRPr="002869C4" w:rsidRDefault="001912AC" w:rsidP="003B4907">
            <w:pPr>
              <w:jc w:val="center"/>
            </w:pPr>
          </w:p>
        </w:tc>
        <w:tc>
          <w:tcPr>
            <w:tcW w:w="4567" w:type="dxa"/>
          </w:tcPr>
          <w:p w:rsidR="001912AC" w:rsidRPr="002869C4" w:rsidRDefault="001912AC" w:rsidP="003B4907">
            <w:pPr>
              <w:jc w:val="center"/>
            </w:pPr>
            <w:r w:rsidRPr="002869C4">
              <w:t>GSLDT-3, CST-3, CILC-1(T), ISST-1(T) Off-Peak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0.97168</w:t>
            </w:r>
          </w:p>
        </w:tc>
        <w:tc>
          <w:tcPr>
            <w:tcW w:w="1391" w:type="dxa"/>
            <w:vAlign w:val="bottom"/>
          </w:tcPr>
          <w:p w:rsidR="001912AC" w:rsidRPr="002869C4" w:rsidRDefault="001912AC" w:rsidP="003B4907">
            <w:pPr>
              <w:jc w:val="right"/>
            </w:pPr>
            <w:r w:rsidRPr="002869C4">
              <w:t>2.912</w:t>
            </w:r>
          </w:p>
        </w:tc>
      </w:tr>
      <w:tr w:rsidR="001912AC" w:rsidRPr="002869C4" w:rsidTr="003B4907">
        <w:tc>
          <w:tcPr>
            <w:tcW w:w="900" w:type="dxa"/>
            <w:vMerge w:val="restart"/>
            <w:vAlign w:val="center"/>
          </w:tcPr>
          <w:p w:rsidR="001912AC" w:rsidRPr="002869C4" w:rsidRDefault="001912AC" w:rsidP="003B4907">
            <w:pPr>
              <w:jc w:val="center"/>
            </w:pPr>
            <w:r w:rsidRPr="002869C4">
              <w:t>F</w:t>
            </w:r>
          </w:p>
        </w:tc>
        <w:tc>
          <w:tcPr>
            <w:tcW w:w="4567" w:type="dxa"/>
          </w:tcPr>
          <w:p w:rsidR="001912AC" w:rsidRPr="002869C4" w:rsidRDefault="001912AC" w:rsidP="003B4907">
            <w:pPr>
              <w:jc w:val="center"/>
            </w:pPr>
            <w:r w:rsidRPr="002869C4">
              <w:t>CILC-1(D), ISST-1(D) On-Peak</w:t>
            </w:r>
          </w:p>
        </w:tc>
        <w:tc>
          <w:tcPr>
            <w:tcW w:w="1440" w:type="dxa"/>
            <w:vAlign w:val="bottom"/>
          </w:tcPr>
          <w:p w:rsidR="001912AC" w:rsidRPr="002869C4" w:rsidRDefault="001912AC" w:rsidP="003B4907">
            <w:pPr>
              <w:jc w:val="right"/>
            </w:pPr>
            <w:r w:rsidRPr="002869C4">
              <w:t>3.445</w:t>
            </w:r>
          </w:p>
        </w:tc>
        <w:tc>
          <w:tcPr>
            <w:tcW w:w="1170" w:type="dxa"/>
            <w:vAlign w:val="bottom"/>
          </w:tcPr>
          <w:p w:rsidR="001912AC" w:rsidRPr="002869C4" w:rsidRDefault="001912AC" w:rsidP="003B4907">
            <w:pPr>
              <w:jc w:val="right"/>
            </w:pPr>
            <w:r w:rsidRPr="002869C4">
              <w:t>0.99429</w:t>
            </w:r>
          </w:p>
        </w:tc>
        <w:tc>
          <w:tcPr>
            <w:tcW w:w="1391" w:type="dxa"/>
            <w:vAlign w:val="bottom"/>
          </w:tcPr>
          <w:p w:rsidR="001912AC" w:rsidRPr="002869C4" w:rsidRDefault="001912AC" w:rsidP="003B4907">
            <w:pPr>
              <w:jc w:val="right"/>
            </w:pPr>
            <w:r w:rsidRPr="002869C4">
              <w:t>3.425</w:t>
            </w:r>
          </w:p>
        </w:tc>
      </w:tr>
      <w:tr w:rsidR="001912AC" w:rsidRPr="002869C4" w:rsidTr="003B4907">
        <w:tc>
          <w:tcPr>
            <w:tcW w:w="900" w:type="dxa"/>
            <w:vMerge/>
          </w:tcPr>
          <w:p w:rsidR="001912AC" w:rsidRPr="002869C4" w:rsidRDefault="001912AC" w:rsidP="003B4907">
            <w:pPr>
              <w:jc w:val="center"/>
            </w:pPr>
          </w:p>
        </w:tc>
        <w:tc>
          <w:tcPr>
            <w:tcW w:w="4567" w:type="dxa"/>
          </w:tcPr>
          <w:p w:rsidR="001912AC" w:rsidRPr="002869C4" w:rsidRDefault="001912AC" w:rsidP="003B4907">
            <w:pPr>
              <w:jc w:val="center"/>
            </w:pPr>
            <w:r w:rsidRPr="002869C4">
              <w:t>CILC-1(D), ISST-1(D) Off-Peak</w:t>
            </w:r>
          </w:p>
        </w:tc>
        <w:tc>
          <w:tcPr>
            <w:tcW w:w="1440" w:type="dxa"/>
            <w:vAlign w:val="bottom"/>
          </w:tcPr>
          <w:p w:rsidR="001912AC" w:rsidRPr="002869C4" w:rsidRDefault="001912AC" w:rsidP="003B4907">
            <w:pPr>
              <w:jc w:val="right"/>
            </w:pPr>
            <w:r w:rsidRPr="002869C4">
              <w:t>2.997</w:t>
            </w:r>
          </w:p>
        </w:tc>
        <w:tc>
          <w:tcPr>
            <w:tcW w:w="1170" w:type="dxa"/>
            <w:vAlign w:val="bottom"/>
          </w:tcPr>
          <w:p w:rsidR="001912AC" w:rsidRPr="002869C4" w:rsidRDefault="001912AC" w:rsidP="003B4907">
            <w:pPr>
              <w:jc w:val="right"/>
            </w:pPr>
            <w:r w:rsidRPr="002869C4">
              <w:t>0.99429</w:t>
            </w:r>
          </w:p>
        </w:tc>
        <w:tc>
          <w:tcPr>
            <w:tcW w:w="1391" w:type="dxa"/>
            <w:vAlign w:val="bottom"/>
          </w:tcPr>
          <w:p w:rsidR="001912AC" w:rsidRPr="002869C4" w:rsidRDefault="001912AC" w:rsidP="003B4907">
            <w:pPr>
              <w:jc w:val="right"/>
            </w:pPr>
            <w:r w:rsidRPr="002869C4">
              <w:t>2.980</w:t>
            </w:r>
          </w:p>
        </w:tc>
      </w:tr>
    </w:tbl>
    <w:p w:rsidR="001912AC" w:rsidRPr="002869C4" w:rsidRDefault="001912AC" w:rsidP="001912AC">
      <w:pPr>
        <w:rPr>
          <w:sz w:val="22"/>
          <w:szCs w:val="22"/>
        </w:rPr>
      </w:pPr>
      <w:r w:rsidRPr="002869C4">
        <w:rPr>
          <w:sz w:val="22"/>
          <w:szCs w:val="22"/>
        </w:rPr>
        <w:t xml:space="preserve">   Source: Schedule E1-E, (Exh. RBD-5, Appendix II – 2022 FCR Projections, Page 7 of 143).</w:t>
      </w:r>
    </w:p>
    <w:p w:rsidR="001912AC" w:rsidRDefault="001912AC" w:rsidP="001912AC"/>
    <w:tbl>
      <w:tblPr>
        <w:tblStyle w:val="TableGrid"/>
        <w:tblW w:w="9468" w:type="dxa"/>
        <w:tblInd w:w="108" w:type="dxa"/>
        <w:tblLayout w:type="fixed"/>
        <w:tblLook w:val="04A0" w:firstRow="1" w:lastRow="0" w:firstColumn="1" w:lastColumn="0" w:noHBand="0" w:noVBand="1"/>
      </w:tblPr>
      <w:tblGrid>
        <w:gridCol w:w="900"/>
        <w:gridCol w:w="4657"/>
        <w:gridCol w:w="1350"/>
        <w:gridCol w:w="1170"/>
        <w:gridCol w:w="1391"/>
      </w:tblGrid>
      <w:tr w:rsidR="001912AC" w:rsidRPr="003F1AB2" w:rsidTr="003B4907">
        <w:trPr>
          <w:tblHeader/>
        </w:trPr>
        <w:tc>
          <w:tcPr>
            <w:tcW w:w="9468" w:type="dxa"/>
            <w:gridSpan w:val="5"/>
            <w:tcBorders>
              <w:top w:val="nil"/>
              <w:left w:val="nil"/>
              <w:bottom w:val="nil"/>
              <w:right w:val="nil"/>
            </w:tcBorders>
          </w:tcPr>
          <w:p w:rsidR="001912AC" w:rsidRDefault="001912AC" w:rsidP="003B4907">
            <w:pPr>
              <w:jc w:val="center"/>
              <w:rPr>
                <w:rFonts w:ascii="Arial" w:hAnsi="Arial" w:cs="Arial"/>
                <w:b/>
              </w:rPr>
            </w:pPr>
          </w:p>
          <w:p w:rsidR="001912AC" w:rsidRDefault="001912AC" w:rsidP="003B4907">
            <w:pPr>
              <w:jc w:val="center"/>
              <w:rPr>
                <w:rFonts w:ascii="Arial" w:hAnsi="Arial" w:cs="Arial"/>
                <w:b/>
              </w:rPr>
            </w:pPr>
          </w:p>
          <w:p w:rsidR="001912AC" w:rsidRPr="003F1AB2" w:rsidRDefault="001912AC" w:rsidP="003B4907">
            <w:pPr>
              <w:jc w:val="center"/>
              <w:rPr>
                <w:highlight w:val="green"/>
              </w:rPr>
            </w:pPr>
            <w:r w:rsidRPr="002869C4">
              <w:rPr>
                <w:rFonts w:ascii="Arial" w:hAnsi="Arial" w:cs="Arial"/>
                <w:b/>
              </w:rPr>
              <w:t>Table 22-3</w:t>
            </w:r>
          </w:p>
        </w:tc>
      </w:tr>
      <w:tr w:rsidR="001912AC" w:rsidRPr="002869C4" w:rsidTr="003B4907">
        <w:trPr>
          <w:tblHeader/>
        </w:trPr>
        <w:tc>
          <w:tcPr>
            <w:tcW w:w="9468" w:type="dxa"/>
            <w:gridSpan w:val="5"/>
            <w:tcBorders>
              <w:top w:val="nil"/>
              <w:left w:val="nil"/>
              <w:right w:val="nil"/>
            </w:tcBorders>
          </w:tcPr>
          <w:p w:rsidR="001912AC" w:rsidRPr="002869C4" w:rsidRDefault="001912AC" w:rsidP="003B4907">
            <w:pPr>
              <w:jc w:val="center"/>
            </w:pPr>
            <w:r w:rsidRPr="002869C4">
              <w:rPr>
                <w:rFonts w:ascii="Arial" w:hAnsi="Arial" w:cs="Arial"/>
                <w:b/>
              </w:rPr>
              <w:t>FPL Fuel Cost Recovery Factors for the period January-December, 2022</w:t>
            </w:r>
          </w:p>
        </w:tc>
      </w:tr>
      <w:tr w:rsidR="001912AC" w:rsidRPr="002869C4" w:rsidTr="003B4907">
        <w:trPr>
          <w:tblHeader/>
        </w:trPr>
        <w:tc>
          <w:tcPr>
            <w:tcW w:w="9468" w:type="dxa"/>
            <w:gridSpan w:val="5"/>
          </w:tcPr>
          <w:p w:rsidR="001912AC" w:rsidRPr="002869C4" w:rsidRDefault="001912AC" w:rsidP="003B4907">
            <w:pPr>
              <w:jc w:val="center"/>
            </w:pPr>
            <w:r w:rsidRPr="002869C4">
              <w:t>Seasonal Demand Time of Use Rider (SDTR) Fuel Recovery Factors</w:t>
            </w:r>
          </w:p>
        </w:tc>
      </w:tr>
      <w:tr w:rsidR="001912AC" w:rsidRPr="002869C4" w:rsidTr="003B4907">
        <w:trPr>
          <w:tblHeader/>
        </w:trPr>
        <w:tc>
          <w:tcPr>
            <w:tcW w:w="900" w:type="dxa"/>
            <w:vAlign w:val="center"/>
          </w:tcPr>
          <w:p w:rsidR="001912AC" w:rsidRPr="002869C4" w:rsidRDefault="001912AC" w:rsidP="003B4907">
            <w:pPr>
              <w:jc w:val="center"/>
            </w:pPr>
            <w:r w:rsidRPr="002869C4">
              <w:t>Group</w:t>
            </w:r>
          </w:p>
        </w:tc>
        <w:tc>
          <w:tcPr>
            <w:tcW w:w="4657" w:type="dxa"/>
            <w:vAlign w:val="center"/>
          </w:tcPr>
          <w:p w:rsidR="001912AC" w:rsidRPr="002869C4" w:rsidRDefault="001912AC" w:rsidP="003B4907">
            <w:pPr>
              <w:jc w:val="center"/>
            </w:pPr>
            <w:r w:rsidRPr="002869C4">
              <w:t>Rate Schedule</w:t>
            </w:r>
          </w:p>
        </w:tc>
        <w:tc>
          <w:tcPr>
            <w:tcW w:w="1350" w:type="dxa"/>
            <w:vAlign w:val="center"/>
          </w:tcPr>
          <w:p w:rsidR="001912AC" w:rsidRPr="002869C4" w:rsidRDefault="001912AC" w:rsidP="003B4907">
            <w:pPr>
              <w:jc w:val="center"/>
            </w:pPr>
            <w:r w:rsidRPr="002869C4">
              <w:t>Average Factor</w:t>
            </w:r>
          </w:p>
          <w:p w:rsidR="001912AC" w:rsidRPr="002869C4" w:rsidRDefault="001912AC" w:rsidP="003B4907">
            <w:pPr>
              <w:jc w:val="center"/>
            </w:pPr>
            <w:r w:rsidRPr="002869C4">
              <w:t>(cents/kWh)</w:t>
            </w:r>
          </w:p>
        </w:tc>
        <w:tc>
          <w:tcPr>
            <w:tcW w:w="1170" w:type="dxa"/>
            <w:vAlign w:val="center"/>
          </w:tcPr>
          <w:p w:rsidR="001912AC" w:rsidRPr="002869C4" w:rsidRDefault="001912AC" w:rsidP="003B4907">
            <w:pPr>
              <w:jc w:val="center"/>
            </w:pPr>
            <w:r w:rsidRPr="002869C4">
              <w:t>Fuel Recovery Loss Multiplier</w:t>
            </w:r>
          </w:p>
        </w:tc>
        <w:tc>
          <w:tcPr>
            <w:tcW w:w="1391" w:type="dxa"/>
            <w:vAlign w:val="center"/>
          </w:tcPr>
          <w:p w:rsidR="001912AC" w:rsidRPr="002869C4" w:rsidRDefault="001912AC" w:rsidP="003B4907">
            <w:pPr>
              <w:jc w:val="center"/>
            </w:pPr>
            <w:r w:rsidRPr="002869C4">
              <w:t>Fuel Recovery Factor</w:t>
            </w:r>
          </w:p>
          <w:p w:rsidR="001912AC" w:rsidRPr="002869C4" w:rsidRDefault="001912AC" w:rsidP="003B4907">
            <w:pPr>
              <w:jc w:val="center"/>
            </w:pPr>
            <w:r w:rsidRPr="002869C4">
              <w:t>(cents/kWh)</w:t>
            </w:r>
          </w:p>
        </w:tc>
      </w:tr>
      <w:tr w:rsidR="001912AC" w:rsidRPr="002869C4" w:rsidTr="003B4907">
        <w:tc>
          <w:tcPr>
            <w:tcW w:w="900" w:type="dxa"/>
            <w:vMerge w:val="restart"/>
            <w:vAlign w:val="center"/>
          </w:tcPr>
          <w:p w:rsidR="001912AC" w:rsidRPr="002869C4" w:rsidRDefault="001912AC" w:rsidP="003B4907">
            <w:pPr>
              <w:jc w:val="center"/>
            </w:pPr>
            <w:r w:rsidRPr="002869C4">
              <w:t>B</w:t>
            </w:r>
          </w:p>
        </w:tc>
        <w:tc>
          <w:tcPr>
            <w:tcW w:w="4657" w:type="dxa"/>
          </w:tcPr>
          <w:p w:rsidR="001912AC" w:rsidRPr="002869C4" w:rsidRDefault="001912AC" w:rsidP="003B4907">
            <w:r w:rsidRPr="002869C4">
              <w:t>GSD(T)-1 On-Peak</w:t>
            </w:r>
          </w:p>
        </w:tc>
        <w:tc>
          <w:tcPr>
            <w:tcW w:w="1350" w:type="dxa"/>
            <w:vAlign w:val="bottom"/>
          </w:tcPr>
          <w:p w:rsidR="001912AC" w:rsidRPr="002869C4" w:rsidRDefault="001912AC" w:rsidP="003B4907">
            <w:pPr>
              <w:jc w:val="right"/>
            </w:pPr>
            <w:r w:rsidRPr="002869C4">
              <w:t>3.834</w:t>
            </w:r>
          </w:p>
        </w:tc>
        <w:tc>
          <w:tcPr>
            <w:tcW w:w="1170" w:type="dxa"/>
            <w:vAlign w:val="bottom"/>
          </w:tcPr>
          <w:p w:rsidR="001912AC" w:rsidRPr="002869C4" w:rsidRDefault="001912AC" w:rsidP="003B4907">
            <w:pPr>
              <w:jc w:val="right"/>
            </w:pPr>
            <w:r w:rsidRPr="002869C4">
              <w:t>1.00284</w:t>
            </w:r>
          </w:p>
        </w:tc>
        <w:tc>
          <w:tcPr>
            <w:tcW w:w="1391" w:type="dxa"/>
            <w:vAlign w:val="bottom"/>
          </w:tcPr>
          <w:p w:rsidR="001912AC" w:rsidRPr="002869C4" w:rsidRDefault="001912AC" w:rsidP="003B4907">
            <w:pPr>
              <w:jc w:val="right"/>
            </w:pPr>
            <w:r w:rsidRPr="002869C4">
              <w:t>3.845</w:t>
            </w:r>
          </w:p>
        </w:tc>
      </w:tr>
      <w:tr w:rsidR="001912AC" w:rsidRPr="002869C4" w:rsidTr="003B4907">
        <w:tc>
          <w:tcPr>
            <w:tcW w:w="900" w:type="dxa"/>
            <w:vMerge/>
          </w:tcPr>
          <w:p w:rsidR="001912AC" w:rsidRPr="002869C4" w:rsidRDefault="001912AC" w:rsidP="003B4907">
            <w:pPr>
              <w:jc w:val="center"/>
            </w:pPr>
          </w:p>
        </w:tc>
        <w:tc>
          <w:tcPr>
            <w:tcW w:w="4657" w:type="dxa"/>
          </w:tcPr>
          <w:p w:rsidR="001912AC" w:rsidRPr="002869C4" w:rsidRDefault="001912AC" w:rsidP="003B4907">
            <w:r w:rsidRPr="002869C4">
              <w:t>GSD(T)-1 Off-Peak</w:t>
            </w:r>
          </w:p>
        </w:tc>
        <w:tc>
          <w:tcPr>
            <w:tcW w:w="1350" w:type="dxa"/>
            <w:vAlign w:val="bottom"/>
          </w:tcPr>
          <w:p w:rsidR="001912AC" w:rsidRPr="002869C4" w:rsidRDefault="001912AC" w:rsidP="003B4907">
            <w:pPr>
              <w:jc w:val="right"/>
            </w:pPr>
            <w:r w:rsidRPr="002869C4">
              <w:t>3.041</w:t>
            </w:r>
          </w:p>
        </w:tc>
        <w:tc>
          <w:tcPr>
            <w:tcW w:w="1170" w:type="dxa"/>
            <w:vAlign w:val="bottom"/>
          </w:tcPr>
          <w:p w:rsidR="001912AC" w:rsidRPr="002869C4" w:rsidRDefault="001912AC" w:rsidP="003B4907">
            <w:pPr>
              <w:jc w:val="right"/>
            </w:pPr>
            <w:r w:rsidRPr="002869C4">
              <w:t>1.00284</w:t>
            </w:r>
          </w:p>
        </w:tc>
        <w:tc>
          <w:tcPr>
            <w:tcW w:w="1391" w:type="dxa"/>
            <w:vAlign w:val="bottom"/>
          </w:tcPr>
          <w:p w:rsidR="001912AC" w:rsidRPr="002869C4" w:rsidRDefault="001912AC" w:rsidP="003B4907">
            <w:pPr>
              <w:jc w:val="right"/>
            </w:pPr>
            <w:r w:rsidRPr="002869C4">
              <w:t>3.050</w:t>
            </w:r>
          </w:p>
        </w:tc>
      </w:tr>
      <w:tr w:rsidR="001912AC" w:rsidRPr="002869C4" w:rsidTr="003B4907">
        <w:tc>
          <w:tcPr>
            <w:tcW w:w="900" w:type="dxa"/>
            <w:vMerge w:val="restart"/>
            <w:vAlign w:val="center"/>
          </w:tcPr>
          <w:p w:rsidR="001912AC" w:rsidRPr="002869C4" w:rsidRDefault="001912AC" w:rsidP="003B4907">
            <w:pPr>
              <w:jc w:val="center"/>
            </w:pPr>
            <w:r w:rsidRPr="002869C4">
              <w:t>C</w:t>
            </w:r>
          </w:p>
        </w:tc>
        <w:tc>
          <w:tcPr>
            <w:tcW w:w="4657" w:type="dxa"/>
          </w:tcPr>
          <w:p w:rsidR="001912AC" w:rsidRPr="002869C4" w:rsidRDefault="001912AC" w:rsidP="003B4907">
            <w:r w:rsidRPr="002869C4">
              <w:t>GSLD(T)-1 On-Peak</w:t>
            </w:r>
          </w:p>
        </w:tc>
        <w:tc>
          <w:tcPr>
            <w:tcW w:w="1350" w:type="dxa"/>
            <w:vAlign w:val="bottom"/>
          </w:tcPr>
          <w:p w:rsidR="001912AC" w:rsidRPr="002869C4" w:rsidRDefault="001912AC" w:rsidP="003B4907">
            <w:pPr>
              <w:jc w:val="right"/>
            </w:pPr>
            <w:r w:rsidRPr="002869C4">
              <w:t>3.834</w:t>
            </w:r>
          </w:p>
        </w:tc>
        <w:tc>
          <w:tcPr>
            <w:tcW w:w="1170" w:type="dxa"/>
            <w:vAlign w:val="bottom"/>
          </w:tcPr>
          <w:p w:rsidR="001912AC" w:rsidRPr="002869C4" w:rsidRDefault="001912AC" w:rsidP="003B4907">
            <w:pPr>
              <w:jc w:val="right"/>
            </w:pPr>
            <w:r w:rsidRPr="002869C4">
              <w:t>1.00173</w:t>
            </w:r>
          </w:p>
        </w:tc>
        <w:tc>
          <w:tcPr>
            <w:tcW w:w="1391" w:type="dxa"/>
            <w:vAlign w:val="bottom"/>
          </w:tcPr>
          <w:p w:rsidR="001912AC" w:rsidRPr="002869C4" w:rsidRDefault="001912AC" w:rsidP="003B4907">
            <w:pPr>
              <w:jc w:val="right"/>
            </w:pPr>
            <w:r w:rsidRPr="002869C4">
              <w:t>3.841</w:t>
            </w:r>
          </w:p>
        </w:tc>
      </w:tr>
      <w:tr w:rsidR="001912AC" w:rsidRPr="002869C4" w:rsidTr="003B4907">
        <w:tc>
          <w:tcPr>
            <w:tcW w:w="900" w:type="dxa"/>
            <w:vMerge/>
          </w:tcPr>
          <w:p w:rsidR="001912AC" w:rsidRPr="002869C4" w:rsidRDefault="001912AC" w:rsidP="003B4907">
            <w:pPr>
              <w:jc w:val="center"/>
            </w:pPr>
          </w:p>
        </w:tc>
        <w:tc>
          <w:tcPr>
            <w:tcW w:w="4657" w:type="dxa"/>
          </w:tcPr>
          <w:p w:rsidR="001912AC" w:rsidRPr="002869C4" w:rsidRDefault="001912AC" w:rsidP="003B4907">
            <w:r w:rsidRPr="002869C4">
              <w:t>GSLD(T)-1 Off-Peak</w:t>
            </w:r>
          </w:p>
        </w:tc>
        <w:tc>
          <w:tcPr>
            <w:tcW w:w="1350" w:type="dxa"/>
            <w:vAlign w:val="bottom"/>
          </w:tcPr>
          <w:p w:rsidR="001912AC" w:rsidRPr="002869C4" w:rsidRDefault="001912AC" w:rsidP="003B4907">
            <w:pPr>
              <w:jc w:val="right"/>
            </w:pPr>
            <w:r w:rsidRPr="002869C4">
              <w:t>3.041</w:t>
            </w:r>
          </w:p>
        </w:tc>
        <w:tc>
          <w:tcPr>
            <w:tcW w:w="1170" w:type="dxa"/>
            <w:vAlign w:val="bottom"/>
          </w:tcPr>
          <w:p w:rsidR="001912AC" w:rsidRPr="002869C4" w:rsidRDefault="001912AC" w:rsidP="003B4907">
            <w:pPr>
              <w:jc w:val="right"/>
            </w:pPr>
            <w:r w:rsidRPr="002869C4">
              <w:t>1.00173</w:t>
            </w:r>
          </w:p>
        </w:tc>
        <w:tc>
          <w:tcPr>
            <w:tcW w:w="1391" w:type="dxa"/>
            <w:vAlign w:val="bottom"/>
          </w:tcPr>
          <w:p w:rsidR="001912AC" w:rsidRPr="002869C4" w:rsidRDefault="001912AC" w:rsidP="003B4907">
            <w:pPr>
              <w:jc w:val="right"/>
            </w:pPr>
            <w:r w:rsidRPr="002869C4">
              <w:t>3.046</w:t>
            </w:r>
          </w:p>
        </w:tc>
      </w:tr>
      <w:tr w:rsidR="001912AC" w:rsidRPr="002869C4" w:rsidTr="003B4907">
        <w:tc>
          <w:tcPr>
            <w:tcW w:w="900" w:type="dxa"/>
            <w:vMerge w:val="restart"/>
            <w:vAlign w:val="center"/>
          </w:tcPr>
          <w:p w:rsidR="001912AC" w:rsidRPr="002869C4" w:rsidRDefault="001912AC" w:rsidP="003B4907">
            <w:pPr>
              <w:jc w:val="center"/>
            </w:pPr>
            <w:r w:rsidRPr="002869C4">
              <w:t>D</w:t>
            </w:r>
          </w:p>
        </w:tc>
        <w:tc>
          <w:tcPr>
            <w:tcW w:w="4657" w:type="dxa"/>
          </w:tcPr>
          <w:p w:rsidR="001912AC" w:rsidRPr="002869C4" w:rsidRDefault="001912AC" w:rsidP="003B4907">
            <w:r w:rsidRPr="002869C4">
              <w:t>GSLD(T)-2 On-Peak</w:t>
            </w:r>
          </w:p>
        </w:tc>
        <w:tc>
          <w:tcPr>
            <w:tcW w:w="1350" w:type="dxa"/>
            <w:vAlign w:val="bottom"/>
          </w:tcPr>
          <w:p w:rsidR="001912AC" w:rsidRPr="002869C4" w:rsidRDefault="001912AC" w:rsidP="003B4907">
            <w:pPr>
              <w:jc w:val="right"/>
            </w:pPr>
            <w:r w:rsidRPr="002869C4">
              <w:t>3.834</w:t>
            </w:r>
          </w:p>
        </w:tc>
        <w:tc>
          <w:tcPr>
            <w:tcW w:w="1170" w:type="dxa"/>
            <w:vAlign w:val="bottom"/>
          </w:tcPr>
          <w:p w:rsidR="001912AC" w:rsidRPr="002869C4" w:rsidRDefault="001912AC" w:rsidP="003B4907">
            <w:pPr>
              <w:jc w:val="right"/>
            </w:pPr>
            <w:r w:rsidRPr="002869C4">
              <w:t>0.99399</w:t>
            </w:r>
          </w:p>
        </w:tc>
        <w:tc>
          <w:tcPr>
            <w:tcW w:w="1391" w:type="dxa"/>
            <w:vAlign w:val="bottom"/>
          </w:tcPr>
          <w:p w:rsidR="001912AC" w:rsidRPr="002869C4" w:rsidRDefault="001912AC" w:rsidP="003B4907">
            <w:pPr>
              <w:jc w:val="right"/>
            </w:pPr>
            <w:r w:rsidRPr="002869C4">
              <w:t>3.811</w:t>
            </w:r>
          </w:p>
        </w:tc>
      </w:tr>
      <w:tr w:rsidR="001912AC" w:rsidRPr="002869C4" w:rsidTr="003B4907">
        <w:tc>
          <w:tcPr>
            <w:tcW w:w="900" w:type="dxa"/>
            <w:vMerge/>
          </w:tcPr>
          <w:p w:rsidR="001912AC" w:rsidRPr="002869C4" w:rsidRDefault="001912AC" w:rsidP="003B4907">
            <w:pPr>
              <w:jc w:val="center"/>
            </w:pPr>
          </w:p>
        </w:tc>
        <w:tc>
          <w:tcPr>
            <w:tcW w:w="4657" w:type="dxa"/>
          </w:tcPr>
          <w:p w:rsidR="001912AC" w:rsidRPr="002869C4" w:rsidRDefault="001912AC" w:rsidP="003B4907">
            <w:r w:rsidRPr="002869C4">
              <w:t>GSLD(T)-2 Off-Peak</w:t>
            </w:r>
          </w:p>
        </w:tc>
        <w:tc>
          <w:tcPr>
            <w:tcW w:w="1350" w:type="dxa"/>
            <w:vAlign w:val="bottom"/>
          </w:tcPr>
          <w:p w:rsidR="001912AC" w:rsidRPr="002869C4" w:rsidRDefault="001912AC" w:rsidP="003B4907">
            <w:pPr>
              <w:jc w:val="right"/>
            </w:pPr>
            <w:r w:rsidRPr="002869C4">
              <w:t>3.041</w:t>
            </w:r>
          </w:p>
        </w:tc>
        <w:tc>
          <w:tcPr>
            <w:tcW w:w="1170" w:type="dxa"/>
            <w:vAlign w:val="bottom"/>
          </w:tcPr>
          <w:p w:rsidR="001912AC" w:rsidRPr="002869C4" w:rsidRDefault="001912AC" w:rsidP="003B4907">
            <w:pPr>
              <w:jc w:val="right"/>
            </w:pPr>
            <w:r w:rsidRPr="002869C4">
              <w:t>0.99399</w:t>
            </w:r>
          </w:p>
        </w:tc>
        <w:tc>
          <w:tcPr>
            <w:tcW w:w="1391" w:type="dxa"/>
            <w:vAlign w:val="bottom"/>
          </w:tcPr>
          <w:p w:rsidR="001912AC" w:rsidRPr="002869C4" w:rsidRDefault="001912AC" w:rsidP="003B4907">
            <w:pPr>
              <w:jc w:val="right"/>
            </w:pPr>
            <w:r w:rsidRPr="002869C4">
              <w:t>3.023</w:t>
            </w:r>
          </w:p>
        </w:tc>
      </w:tr>
    </w:tbl>
    <w:p w:rsidR="001912AC" w:rsidRPr="001E7942" w:rsidRDefault="001912AC" w:rsidP="001912AC">
      <w:pPr>
        <w:ind w:left="1440" w:hanging="1440"/>
        <w:jc w:val="both"/>
      </w:pPr>
      <w:r w:rsidRPr="002869C4">
        <w:rPr>
          <w:sz w:val="22"/>
          <w:szCs w:val="22"/>
        </w:rPr>
        <w:t xml:space="preserve">   Source: Schedule E1- E, (Exh. RBD-5, Appendix II – 2022 FCR Projections, Page 8 of 143).</w:t>
      </w:r>
    </w:p>
    <w:p w:rsidR="001912AC" w:rsidRDefault="001912AC" w:rsidP="001912AC">
      <w:pPr>
        <w:ind w:left="1440" w:hanging="1440"/>
        <w:jc w:val="both"/>
      </w:pPr>
    </w:p>
    <w:p w:rsidR="001912AC" w:rsidRPr="00A71CFB" w:rsidRDefault="001912AC" w:rsidP="001912AC">
      <w:pPr>
        <w:ind w:left="1440" w:hanging="1440"/>
        <w:jc w:val="both"/>
      </w:pPr>
      <w:r w:rsidRPr="00777C7E">
        <w:rPr>
          <w:b/>
        </w:rPr>
        <w:lastRenderedPageBreak/>
        <w:t>FPUC:</w:t>
      </w:r>
      <w:r w:rsidRPr="00A71CFB">
        <w:tab/>
      </w:r>
      <w:r w:rsidRPr="00B573BF">
        <w:t>The appropriate fuel cost recovery factors for each rate class/delivery voltage level class adjusted for line losses for the period January 202</w:t>
      </w:r>
      <w:r>
        <w:t>2</w:t>
      </w:r>
      <w:r w:rsidRPr="00B573BF">
        <w:t xml:space="preserve"> through December 202</w:t>
      </w:r>
      <w:r>
        <w:t>2, are shown in Tables 22-4, 22-5, and 22-6</w:t>
      </w:r>
      <w:r w:rsidRPr="00B573BF">
        <w:t xml:space="preserve"> below:</w:t>
      </w:r>
    </w:p>
    <w:p w:rsidR="001912AC" w:rsidRDefault="001912AC" w:rsidP="001912AC">
      <w:pPr>
        <w:keepNext/>
        <w:keepLines/>
      </w:pPr>
    </w:p>
    <w:p w:rsidR="001912AC" w:rsidRPr="00B573BF" w:rsidRDefault="001912AC" w:rsidP="001912AC">
      <w:pPr>
        <w:keepNext/>
        <w:keepLines/>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973"/>
      </w:tblGrid>
      <w:tr w:rsidR="001912AC" w:rsidRPr="00B573BF" w:rsidTr="003B4907">
        <w:trPr>
          <w:tblHeader/>
        </w:trPr>
        <w:tc>
          <w:tcPr>
            <w:tcW w:w="9468" w:type="dxa"/>
            <w:gridSpan w:val="2"/>
            <w:tcBorders>
              <w:top w:val="nil"/>
              <w:left w:val="nil"/>
              <w:bottom w:val="nil"/>
              <w:right w:val="nil"/>
            </w:tcBorders>
          </w:tcPr>
          <w:p w:rsidR="001912AC" w:rsidRPr="00172533" w:rsidRDefault="001912AC" w:rsidP="003B4907">
            <w:pPr>
              <w:jc w:val="center"/>
              <w:rPr>
                <w:sz w:val="22"/>
                <w:szCs w:val="22"/>
              </w:rPr>
            </w:pPr>
            <w:r w:rsidRPr="00E80E96">
              <w:rPr>
                <w:rFonts w:ascii="Arial" w:hAnsi="Arial" w:cs="Arial"/>
                <w:b/>
              </w:rPr>
              <w:t>Table 22-4</w:t>
            </w:r>
          </w:p>
        </w:tc>
      </w:tr>
      <w:tr w:rsidR="001912AC" w:rsidRPr="00B573BF" w:rsidTr="003B4907">
        <w:trPr>
          <w:tblHeader/>
        </w:trPr>
        <w:tc>
          <w:tcPr>
            <w:tcW w:w="9468" w:type="dxa"/>
            <w:gridSpan w:val="2"/>
            <w:tcBorders>
              <w:top w:val="nil"/>
              <w:left w:val="nil"/>
              <w:right w:val="nil"/>
            </w:tcBorders>
          </w:tcPr>
          <w:p w:rsidR="001912AC" w:rsidRPr="00172533" w:rsidRDefault="001912AC" w:rsidP="003B4907">
            <w:pPr>
              <w:jc w:val="center"/>
              <w:rPr>
                <w:sz w:val="22"/>
                <w:szCs w:val="22"/>
              </w:rPr>
            </w:pPr>
            <w:r w:rsidRPr="00E80E96">
              <w:rPr>
                <w:rFonts w:ascii="Arial" w:hAnsi="Arial" w:cs="Arial"/>
                <w:b/>
              </w:rPr>
              <w:t>FPUC Fuel Cost Recovery Factors for the period January-December, 2022</w:t>
            </w:r>
          </w:p>
        </w:tc>
      </w:tr>
      <w:tr w:rsidR="001912AC" w:rsidRPr="00B573BF" w:rsidTr="003B4907">
        <w:trPr>
          <w:tblHeader/>
        </w:trPr>
        <w:tc>
          <w:tcPr>
            <w:tcW w:w="9468" w:type="dxa"/>
            <w:gridSpan w:val="2"/>
          </w:tcPr>
          <w:p w:rsidR="001912AC" w:rsidRPr="00172533" w:rsidRDefault="001912AC" w:rsidP="003B4907">
            <w:pPr>
              <w:jc w:val="center"/>
              <w:rPr>
                <w:sz w:val="22"/>
                <w:szCs w:val="22"/>
              </w:rPr>
            </w:pPr>
            <w:r w:rsidRPr="00172533">
              <w:rPr>
                <w:sz w:val="22"/>
                <w:szCs w:val="22"/>
              </w:rPr>
              <w:t>Fuel Recovery Factors – By Rate Schedule Fuel Recovery Factors – By Rate Schedule</w:t>
            </w:r>
          </w:p>
        </w:tc>
      </w:tr>
      <w:tr w:rsidR="001912AC" w:rsidRPr="00B573BF" w:rsidTr="003B4907">
        <w:trPr>
          <w:tblHeader/>
        </w:trPr>
        <w:tc>
          <w:tcPr>
            <w:tcW w:w="4495" w:type="dxa"/>
            <w:vAlign w:val="center"/>
          </w:tcPr>
          <w:p w:rsidR="001912AC" w:rsidRPr="00172533" w:rsidRDefault="001912AC" w:rsidP="003B4907">
            <w:pPr>
              <w:keepNext/>
              <w:keepLines/>
              <w:jc w:val="center"/>
              <w:rPr>
                <w:sz w:val="22"/>
                <w:szCs w:val="22"/>
              </w:rPr>
            </w:pPr>
            <w:r w:rsidRPr="00172533">
              <w:rPr>
                <w:sz w:val="22"/>
                <w:szCs w:val="22"/>
              </w:rPr>
              <w:t>Rate Schedule</w:t>
            </w:r>
          </w:p>
        </w:tc>
        <w:tc>
          <w:tcPr>
            <w:tcW w:w="4973" w:type="dxa"/>
          </w:tcPr>
          <w:p w:rsidR="001912AC" w:rsidRPr="00172533" w:rsidRDefault="001912AC" w:rsidP="003B4907">
            <w:pPr>
              <w:keepNext/>
              <w:keepLines/>
              <w:jc w:val="center"/>
              <w:rPr>
                <w:sz w:val="22"/>
                <w:szCs w:val="22"/>
              </w:rPr>
            </w:pPr>
            <w:r w:rsidRPr="00172533">
              <w:rPr>
                <w:sz w:val="22"/>
                <w:szCs w:val="22"/>
              </w:rPr>
              <w:t>Levelized Adjustment (cents/kWh)</w:t>
            </w:r>
          </w:p>
        </w:tc>
      </w:tr>
      <w:tr w:rsidR="001912AC" w:rsidRPr="00B573BF" w:rsidTr="003B4907">
        <w:tc>
          <w:tcPr>
            <w:tcW w:w="4495" w:type="dxa"/>
          </w:tcPr>
          <w:p w:rsidR="001912AC" w:rsidRPr="00172533" w:rsidRDefault="001912AC" w:rsidP="003B4907">
            <w:pPr>
              <w:keepNext/>
              <w:keepLines/>
              <w:rPr>
                <w:sz w:val="22"/>
                <w:szCs w:val="22"/>
              </w:rPr>
            </w:pPr>
            <w:r w:rsidRPr="00172533">
              <w:rPr>
                <w:sz w:val="22"/>
                <w:szCs w:val="22"/>
              </w:rPr>
              <w:t>RS</w:t>
            </w:r>
          </w:p>
        </w:tc>
        <w:tc>
          <w:tcPr>
            <w:tcW w:w="4973" w:type="dxa"/>
          </w:tcPr>
          <w:p w:rsidR="001912AC" w:rsidRPr="00172533" w:rsidRDefault="001912AC" w:rsidP="003B4907">
            <w:pPr>
              <w:keepNext/>
              <w:keepLines/>
              <w:jc w:val="right"/>
              <w:rPr>
                <w:sz w:val="22"/>
                <w:szCs w:val="22"/>
              </w:rPr>
            </w:pPr>
            <w:r w:rsidRPr="00172533">
              <w:rPr>
                <w:sz w:val="22"/>
                <w:szCs w:val="22"/>
              </w:rPr>
              <w:t>7.346</w:t>
            </w:r>
          </w:p>
        </w:tc>
      </w:tr>
      <w:tr w:rsidR="001912AC" w:rsidRPr="00B573BF" w:rsidTr="003B4907">
        <w:tc>
          <w:tcPr>
            <w:tcW w:w="4495" w:type="dxa"/>
          </w:tcPr>
          <w:p w:rsidR="001912AC" w:rsidRPr="00172533" w:rsidRDefault="001912AC" w:rsidP="003B4907">
            <w:pPr>
              <w:keepNext/>
              <w:keepLines/>
              <w:rPr>
                <w:sz w:val="22"/>
                <w:szCs w:val="22"/>
              </w:rPr>
            </w:pPr>
            <w:r w:rsidRPr="00172533">
              <w:rPr>
                <w:sz w:val="22"/>
                <w:szCs w:val="22"/>
              </w:rPr>
              <w:t>GS</w:t>
            </w:r>
          </w:p>
        </w:tc>
        <w:tc>
          <w:tcPr>
            <w:tcW w:w="4973" w:type="dxa"/>
          </w:tcPr>
          <w:p w:rsidR="001912AC" w:rsidRPr="00172533" w:rsidRDefault="001912AC" w:rsidP="003B4907">
            <w:pPr>
              <w:keepNext/>
              <w:keepLines/>
              <w:jc w:val="right"/>
              <w:rPr>
                <w:sz w:val="22"/>
                <w:szCs w:val="22"/>
              </w:rPr>
            </w:pPr>
            <w:r w:rsidRPr="00172533">
              <w:rPr>
                <w:sz w:val="22"/>
                <w:szCs w:val="22"/>
              </w:rPr>
              <w:t>7.389</w:t>
            </w:r>
          </w:p>
        </w:tc>
      </w:tr>
      <w:tr w:rsidR="001912AC" w:rsidRPr="00B573BF" w:rsidTr="003B4907">
        <w:tc>
          <w:tcPr>
            <w:tcW w:w="4495" w:type="dxa"/>
          </w:tcPr>
          <w:p w:rsidR="001912AC" w:rsidRPr="00172533" w:rsidRDefault="001912AC" w:rsidP="003B4907">
            <w:pPr>
              <w:keepNext/>
              <w:keepLines/>
              <w:rPr>
                <w:sz w:val="22"/>
                <w:szCs w:val="22"/>
              </w:rPr>
            </w:pPr>
            <w:r w:rsidRPr="00172533">
              <w:rPr>
                <w:sz w:val="22"/>
                <w:szCs w:val="22"/>
              </w:rPr>
              <w:t>GSD</w:t>
            </w:r>
          </w:p>
        </w:tc>
        <w:tc>
          <w:tcPr>
            <w:tcW w:w="4973" w:type="dxa"/>
          </w:tcPr>
          <w:p w:rsidR="001912AC" w:rsidRPr="00172533" w:rsidRDefault="001912AC" w:rsidP="003B4907">
            <w:pPr>
              <w:keepNext/>
              <w:keepLines/>
              <w:jc w:val="right"/>
              <w:rPr>
                <w:sz w:val="22"/>
                <w:szCs w:val="22"/>
              </w:rPr>
            </w:pPr>
            <w:r w:rsidRPr="00172533">
              <w:rPr>
                <w:sz w:val="22"/>
                <w:szCs w:val="22"/>
              </w:rPr>
              <w:t>6.795</w:t>
            </w:r>
          </w:p>
        </w:tc>
      </w:tr>
      <w:tr w:rsidR="001912AC" w:rsidRPr="00B573BF" w:rsidTr="003B4907">
        <w:tc>
          <w:tcPr>
            <w:tcW w:w="4495" w:type="dxa"/>
          </w:tcPr>
          <w:p w:rsidR="001912AC" w:rsidRPr="00172533" w:rsidRDefault="001912AC" w:rsidP="003B4907">
            <w:pPr>
              <w:keepNext/>
              <w:keepLines/>
              <w:rPr>
                <w:sz w:val="22"/>
                <w:szCs w:val="22"/>
              </w:rPr>
            </w:pPr>
            <w:r w:rsidRPr="00172533">
              <w:rPr>
                <w:sz w:val="22"/>
                <w:szCs w:val="22"/>
              </w:rPr>
              <w:t>GSLD</w:t>
            </w:r>
          </w:p>
        </w:tc>
        <w:tc>
          <w:tcPr>
            <w:tcW w:w="4973" w:type="dxa"/>
          </w:tcPr>
          <w:p w:rsidR="001912AC" w:rsidRPr="00172533" w:rsidRDefault="001912AC" w:rsidP="003B4907">
            <w:pPr>
              <w:keepNext/>
              <w:keepLines/>
              <w:jc w:val="right"/>
              <w:rPr>
                <w:sz w:val="22"/>
                <w:szCs w:val="22"/>
              </w:rPr>
            </w:pPr>
            <w:r w:rsidRPr="00172533">
              <w:rPr>
                <w:sz w:val="22"/>
                <w:szCs w:val="22"/>
              </w:rPr>
              <w:t>6.531</w:t>
            </w:r>
          </w:p>
        </w:tc>
      </w:tr>
      <w:tr w:rsidR="001912AC" w:rsidRPr="00B573BF" w:rsidTr="003B4907">
        <w:tc>
          <w:tcPr>
            <w:tcW w:w="4495" w:type="dxa"/>
          </w:tcPr>
          <w:p w:rsidR="001912AC" w:rsidRPr="00172533" w:rsidRDefault="001912AC" w:rsidP="003B4907">
            <w:pPr>
              <w:keepNext/>
              <w:keepLines/>
              <w:rPr>
                <w:sz w:val="22"/>
                <w:szCs w:val="22"/>
              </w:rPr>
            </w:pPr>
            <w:r w:rsidRPr="00172533">
              <w:rPr>
                <w:sz w:val="22"/>
                <w:szCs w:val="22"/>
              </w:rPr>
              <w:t>LS</w:t>
            </w:r>
          </w:p>
        </w:tc>
        <w:tc>
          <w:tcPr>
            <w:tcW w:w="4973" w:type="dxa"/>
          </w:tcPr>
          <w:p w:rsidR="001912AC" w:rsidRPr="00172533" w:rsidRDefault="001912AC" w:rsidP="003B4907">
            <w:pPr>
              <w:keepNext/>
              <w:keepLines/>
              <w:jc w:val="right"/>
              <w:rPr>
                <w:sz w:val="22"/>
                <w:szCs w:val="22"/>
              </w:rPr>
            </w:pPr>
            <w:r w:rsidRPr="00172533">
              <w:rPr>
                <w:sz w:val="22"/>
                <w:szCs w:val="22"/>
              </w:rPr>
              <w:t>4.957</w:t>
            </w:r>
          </w:p>
        </w:tc>
      </w:tr>
    </w:tbl>
    <w:p w:rsidR="001912AC" w:rsidRPr="00B573BF" w:rsidRDefault="001912AC" w:rsidP="001912AC">
      <w:r w:rsidRPr="00B573BF">
        <w:rPr>
          <w:sz w:val="22"/>
          <w:szCs w:val="22"/>
        </w:rPr>
        <w:t xml:space="preserve">Source: Schedule E1, Page 3 of 3 (Exhibit </w:t>
      </w:r>
      <w:r>
        <w:rPr>
          <w:sz w:val="22"/>
          <w:szCs w:val="22"/>
        </w:rPr>
        <w:t>CDY</w:t>
      </w:r>
      <w:r w:rsidRPr="00B573BF">
        <w:rPr>
          <w:sz w:val="22"/>
          <w:szCs w:val="22"/>
        </w:rPr>
        <w:t>-</w:t>
      </w:r>
      <w:r>
        <w:rPr>
          <w:sz w:val="22"/>
          <w:szCs w:val="22"/>
        </w:rPr>
        <w:t>3</w:t>
      </w:r>
      <w:r w:rsidRPr="00B573BF">
        <w:rPr>
          <w:sz w:val="22"/>
          <w:szCs w:val="22"/>
        </w:rPr>
        <w:t>, Page 3 of  8).</w:t>
      </w:r>
    </w:p>
    <w:p w:rsidR="001912AC" w:rsidRDefault="001912AC" w:rsidP="001912AC"/>
    <w:p w:rsidR="001912AC" w:rsidRPr="00B573BF" w:rsidRDefault="001912AC" w:rsidP="001912A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083"/>
      </w:tblGrid>
      <w:tr w:rsidR="001912AC" w:rsidRPr="00A57599" w:rsidTr="003B4907">
        <w:trPr>
          <w:tblHeader/>
        </w:trPr>
        <w:tc>
          <w:tcPr>
            <w:tcW w:w="9468" w:type="dxa"/>
            <w:gridSpan w:val="2"/>
            <w:tcBorders>
              <w:top w:val="nil"/>
              <w:left w:val="nil"/>
              <w:bottom w:val="nil"/>
              <w:right w:val="nil"/>
            </w:tcBorders>
          </w:tcPr>
          <w:p w:rsidR="001912AC" w:rsidRPr="00A57599" w:rsidRDefault="001912AC" w:rsidP="003B4907">
            <w:pPr>
              <w:jc w:val="center"/>
              <w:rPr>
                <w:rFonts w:ascii="Arial" w:hAnsi="Arial" w:cs="Arial"/>
                <w:b/>
              </w:rPr>
            </w:pPr>
            <w:r w:rsidRPr="00A57599">
              <w:rPr>
                <w:rFonts w:ascii="Arial" w:hAnsi="Arial" w:cs="Arial"/>
                <w:b/>
              </w:rPr>
              <w:t xml:space="preserve">Table </w:t>
            </w:r>
            <w:r>
              <w:rPr>
                <w:rFonts w:ascii="Arial" w:hAnsi="Arial" w:cs="Arial"/>
                <w:b/>
              </w:rPr>
              <w:t>22-5</w:t>
            </w:r>
          </w:p>
        </w:tc>
      </w:tr>
      <w:tr w:rsidR="001912AC" w:rsidRPr="00A57599" w:rsidTr="003B4907">
        <w:trPr>
          <w:tblHeader/>
        </w:trPr>
        <w:tc>
          <w:tcPr>
            <w:tcW w:w="9468" w:type="dxa"/>
            <w:gridSpan w:val="2"/>
            <w:tcBorders>
              <w:top w:val="nil"/>
              <w:left w:val="nil"/>
              <w:bottom w:val="single" w:sz="4" w:space="0" w:color="auto"/>
              <w:right w:val="nil"/>
            </w:tcBorders>
          </w:tcPr>
          <w:p w:rsidR="001912AC" w:rsidRPr="00A57599" w:rsidRDefault="001912AC" w:rsidP="003B4907">
            <w:pPr>
              <w:jc w:val="center"/>
              <w:rPr>
                <w:rFonts w:ascii="Arial" w:hAnsi="Arial" w:cs="Arial"/>
                <w:b/>
              </w:rPr>
            </w:pPr>
            <w:r w:rsidRPr="00A57599">
              <w:rPr>
                <w:rFonts w:ascii="Arial" w:hAnsi="Arial" w:cs="Arial"/>
                <w:b/>
              </w:rPr>
              <w:t>FPUC Fuel Cost Recovery Factors for the period January-December, 2022</w:t>
            </w:r>
          </w:p>
        </w:tc>
      </w:tr>
      <w:tr w:rsidR="001912AC" w:rsidRPr="00172533" w:rsidTr="003B4907">
        <w:trPr>
          <w:tblHeader/>
        </w:trPr>
        <w:tc>
          <w:tcPr>
            <w:tcW w:w="9468" w:type="dxa"/>
            <w:gridSpan w:val="2"/>
          </w:tcPr>
          <w:p w:rsidR="001912AC" w:rsidRPr="00172533" w:rsidRDefault="001912AC" w:rsidP="003B4907">
            <w:pPr>
              <w:jc w:val="center"/>
              <w:rPr>
                <w:sz w:val="22"/>
                <w:szCs w:val="22"/>
              </w:rPr>
            </w:pPr>
            <w:r w:rsidRPr="00172533">
              <w:rPr>
                <w:sz w:val="22"/>
                <w:szCs w:val="22"/>
              </w:rPr>
              <w:t>Step Rate Allocation For Residential Customers (RS Rate Schedule)</w:t>
            </w:r>
          </w:p>
        </w:tc>
      </w:tr>
      <w:tr w:rsidR="001912AC" w:rsidRPr="00172533" w:rsidTr="003B4907">
        <w:trPr>
          <w:tblHeader/>
        </w:trPr>
        <w:tc>
          <w:tcPr>
            <w:tcW w:w="6385" w:type="dxa"/>
            <w:vAlign w:val="center"/>
          </w:tcPr>
          <w:p w:rsidR="001912AC" w:rsidRPr="00172533" w:rsidRDefault="001912AC" w:rsidP="003B4907">
            <w:pPr>
              <w:keepNext/>
              <w:keepLines/>
              <w:jc w:val="center"/>
              <w:rPr>
                <w:sz w:val="22"/>
                <w:szCs w:val="22"/>
              </w:rPr>
            </w:pPr>
            <w:r w:rsidRPr="00172533">
              <w:rPr>
                <w:sz w:val="22"/>
                <w:szCs w:val="22"/>
              </w:rPr>
              <w:t>Rate Schedule and Allocation</w:t>
            </w:r>
          </w:p>
        </w:tc>
        <w:tc>
          <w:tcPr>
            <w:tcW w:w="3083" w:type="dxa"/>
          </w:tcPr>
          <w:p w:rsidR="001912AC" w:rsidRPr="00172533" w:rsidRDefault="001912AC" w:rsidP="003B4907">
            <w:pPr>
              <w:keepNext/>
              <w:keepLines/>
              <w:jc w:val="center"/>
              <w:rPr>
                <w:sz w:val="22"/>
                <w:szCs w:val="22"/>
              </w:rPr>
            </w:pPr>
            <w:r w:rsidRPr="00172533">
              <w:rPr>
                <w:sz w:val="22"/>
                <w:szCs w:val="22"/>
              </w:rPr>
              <w:t>Levelized Adjustment (cents/kWh)</w:t>
            </w:r>
          </w:p>
        </w:tc>
      </w:tr>
      <w:tr w:rsidR="001912AC" w:rsidRPr="00172533" w:rsidTr="003B4907">
        <w:tc>
          <w:tcPr>
            <w:tcW w:w="6385" w:type="dxa"/>
          </w:tcPr>
          <w:p w:rsidR="001912AC" w:rsidRPr="00172533" w:rsidRDefault="001912AC" w:rsidP="003B4907">
            <w:pPr>
              <w:keepNext/>
              <w:keepLines/>
              <w:rPr>
                <w:sz w:val="22"/>
                <w:szCs w:val="22"/>
              </w:rPr>
            </w:pPr>
            <w:r w:rsidRPr="00172533">
              <w:rPr>
                <w:sz w:val="22"/>
                <w:szCs w:val="22"/>
              </w:rPr>
              <w:t>RS Rate Schedule – Sales Allocation</w:t>
            </w:r>
          </w:p>
        </w:tc>
        <w:tc>
          <w:tcPr>
            <w:tcW w:w="3083" w:type="dxa"/>
          </w:tcPr>
          <w:p w:rsidR="001912AC" w:rsidRPr="00172533" w:rsidRDefault="001912AC" w:rsidP="003B4907">
            <w:pPr>
              <w:keepNext/>
              <w:keepLines/>
              <w:jc w:val="right"/>
              <w:rPr>
                <w:sz w:val="22"/>
                <w:szCs w:val="22"/>
              </w:rPr>
            </w:pPr>
            <w:r w:rsidRPr="00172533">
              <w:rPr>
                <w:sz w:val="22"/>
                <w:szCs w:val="22"/>
              </w:rPr>
              <w:t>7.346</w:t>
            </w:r>
          </w:p>
        </w:tc>
      </w:tr>
      <w:tr w:rsidR="001912AC" w:rsidRPr="00172533" w:rsidTr="003B4907">
        <w:tc>
          <w:tcPr>
            <w:tcW w:w="6385" w:type="dxa"/>
          </w:tcPr>
          <w:p w:rsidR="001912AC" w:rsidRPr="00172533" w:rsidRDefault="001912AC" w:rsidP="003B4907">
            <w:pPr>
              <w:keepNext/>
              <w:keepLines/>
              <w:rPr>
                <w:sz w:val="22"/>
                <w:szCs w:val="22"/>
              </w:rPr>
            </w:pPr>
            <w:r w:rsidRPr="00172533">
              <w:rPr>
                <w:sz w:val="22"/>
                <w:szCs w:val="22"/>
              </w:rPr>
              <w:t>RS Rate Schedule with less than or equal to 1,000 kWh/month</w:t>
            </w:r>
          </w:p>
        </w:tc>
        <w:tc>
          <w:tcPr>
            <w:tcW w:w="3083" w:type="dxa"/>
          </w:tcPr>
          <w:p w:rsidR="001912AC" w:rsidRPr="00172533" w:rsidRDefault="001912AC" w:rsidP="003B4907">
            <w:pPr>
              <w:keepNext/>
              <w:keepLines/>
              <w:jc w:val="right"/>
              <w:rPr>
                <w:sz w:val="22"/>
                <w:szCs w:val="22"/>
              </w:rPr>
            </w:pPr>
            <w:r w:rsidRPr="00172533">
              <w:rPr>
                <w:sz w:val="22"/>
                <w:szCs w:val="22"/>
              </w:rPr>
              <w:t>6.989</w:t>
            </w:r>
          </w:p>
        </w:tc>
      </w:tr>
      <w:tr w:rsidR="001912AC" w:rsidRPr="00172533" w:rsidTr="003B4907">
        <w:tc>
          <w:tcPr>
            <w:tcW w:w="6385" w:type="dxa"/>
          </w:tcPr>
          <w:p w:rsidR="001912AC" w:rsidRPr="00172533" w:rsidRDefault="001912AC" w:rsidP="003B4907">
            <w:pPr>
              <w:keepNext/>
              <w:keepLines/>
              <w:rPr>
                <w:sz w:val="22"/>
                <w:szCs w:val="22"/>
              </w:rPr>
            </w:pPr>
            <w:r>
              <w:rPr>
                <w:sz w:val="22"/>
                <w:szCs w:val="22"/>
              </w:rPr>
              <w:t>RS Rate Schedule with greater</w:t>
            </w:r>
            <w:r w:rsidRPr="00172533">
              <w:rPr>
                <w:sz w:val="22"/>
                <w:szCs w:val="22"/>
              </w:rPr>
              <w:t xml:space="preserve"> than 1,000 kWh/month</w:t>
            </w:r>
          </w:p>
        </w:tc>
        <w:tc>
          <w:tcPr>
            <w:tcW w:w="3083" w:type="dxa"/>
          </w:tcPr>
          <w:p w:rsidR="001912AC" w:rsidRPr="00172533" w:rsidRDefault="001912AC" w:rsidP="003B4907">
            <w:pPr>
              <w:keepNext/>
              <w:keepLines/>
              <w:jc w:val="right"/>
              <w:rPr>
                <w:sz w:val="22"/>
                <w:szCs w:val="22"/>
              </w:rPr>
            </w:pPr>
            <w:r w:rsidRPr="00172533">
              <w:rPr>
                <w:sz w:val="22"/>
                <w:szCs w:val="22"/>
              </w:rPr>
              <w:t>8.239</w:t>
            </w:r>
          </w:p>
        </w:tc>
      </w:tr>
    </w:tbl>
    <w:p w:rsidR="001912AC" w:rsidRPr="00172533" w:rsidRDefault="001912AC" w:rsidP="001912AC">
      <w:pPr>
        <w:rPr>
          <w:sz w:val="22"/>
          <w:szCs w:val="22"/>
        </w:rPr>
      </w:pPr>
      <w:r w:rsidRPr="00172533">
        <w:rPr>
          <w:sz w:val="22"/>
          <w:szCs w:val="22"/>
        </w:rPr>
        <w:fldChar w:fldCharType="begin"/>
      </w:r>
      <w:r w:rsidRPr="00172533">
        <w:rPr>
          <w:sz w:val="22"/>
          <w:szCs w:val="22"/>
        </w:rPr>
        <w:instrText>ADVANCE \u3</w:instrText>
      </w:r>
      <w:r w:rsidRPr="00172533">
        <w:rPr>
          <w:sz w:val="22"/>
          <w:szCs w:val="22"/>
        </w:rPr>
        <w:fldChar w:fldCharType="end"/>
      </w:r>
      <w:r w:rsidRPr="00172533">
        <w:rPr>
          <w:sz w:val="22"/>
          <w:szCs w:val="22"/>
        </w:rPr>
        <w:t xml:space="preserve"> Source: Schedule E1, Page 3 of 3 (Exhibit CDY-3, Page 3 of  8).</w:t>
      </w:r>
    </w:p>
    <w:p w:rsidR="001912AC" w:rsidRDefault="001912AC" w:rsidP="001912AC">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1912AC" w:rsidRPr="00A57599" w:rsidTr="003B4907">
        <w:trPr>
          <w:tblHeader/>
        </w:trPr>
        <w:tc>
          <w:tcPr>
            <w:tcW w:w="9468" w:type="dxa"/>
            <w:gridSpan w:val="3"/>
            <w:tcBorders>
              <w:top w:val="nil"/>
              <w:left w:val="nil"/>
              <w:bottom w:val="nil"/>
              <w:right w:val="nil"/>
            </w:tcBorders>
          </w:tcPr>
          <w:p w:rsidR="001912AC" w:rsidRDefault="001912AC" w:rsidP="003B4907">
            <w:pPr>
              <w:jc w:val="center"/>
            </w:pPr>
            <w:r>
              <w:lastRenderedPageBreak/>
              <w:br w:type="page"/>
            </w:r>
          </w:p>
          <w:p w:rsidR="001912AC" w:rsidRPr="00A57599" w:rsidRDefault="001912AC" w:rsidP="003B4907">
            <w:pPr>
              <w:jc w:val="center"/>
              <w:rPr>
                <w:rFonts w:ascii="Arial" w:hAnsi="Arial" w:cs="Arial"/>
                <w:b/>
              </w:rPr>
            </w:pPr>
            <w:r w:rsidRPr="00A57599">
              <w:rPr>
                <w:rFonts w:ascii="Arial" w:hAnsi="Arial" w:cs="Arial"/>
                <w:b/>
              </w:rPr>
              <w:t xml:space="preserve">Table </w:t>
            </w:r>
            <w:r>
              <w:rPr>
                <w:rFonts w:ascii="Arial" w:hAnsi="Arial" w:cs="Arial"/>
                <w:b/>
              </w:rPr>
              <w:t>22-6</w:t>
            </w:r>
          </w:p>
        </w:tc>
      </w:tr>
      <w:tr w:rsidR="001912AC" w:rsidRPr="00A57599" w:rsidTr="003B4907">
        <w:trPr>
          <w:tblHeader/>
        </w:trPr>
        <w:tc>
          <w:tcPr>
            <w:tcW w:w="9468" w:type="dxa"/>
            <w:gridSpan w:val="3"/>
            <w:tcBorders>
              <w:top w:val="nil"/>
              <w:left w:val="nil"/>
              <w:bottom w:val="single" w:sz="4" w:space="0" w:color="auto"/>
              <w:right w:val="nil"/>
            </w:tcBorders>
          </w:tcPr>
          <w:p w:rsidR="001912AC" w:rsidRPr="00A57599" w:rsidRDefault="001912AC" w:rsidP="003B4907">
            <w:pPr>
              <w:jc w:val="center"/>
              <w:rPr>
                <w:rFonts w:ascii="Arial" w:hAnsi="Arial" w:cs="Arial"/>
                <w:b/>
              </w:rPr>
            </w:pPr>
            <w:r w:rsidRPr="00A57599">
              <w:rPr>
                <w:rFonts w:ascii="Arial" w:hAnsi="Arial" w:cs="Arial"/>
                <w:b/>
              </w:rPr>
              <w:t>FPUC Fuel Cost Recovery Factors for the period January-December, 2022</w:t>
            </w:r>
          </w:p>
        </w:tc>
      </w:tr>
      <w:tr w:rsidR="001912AC" w:rsidRPr="001D32F3" w:rsidTr="003B4907">
        <w:trPr>
          <w:tblHeader/>
        </w:trPr>
        <w:tc>
          <w:tcPr>
            <w:tcW w:w="9468" w:type="dxa"/>
            <w:gridSpan w:val="3"/>
          </w:tcPr>
          <w:p w:rsidR="001912AC" w:rsidRPr="001D32F3" w:rsidRDefault="001912AC" w:rsidP="003B4907">
            <w:pPr>
              <w:jc w:val="center"/>
              <w:rPr>
                <w:sz w:val="22"/>
                <w:szCs w:val="22"/>
              </w:rPr>
            </w:pPr>
            <w:r w:rsidRPr="001D32F3">
              <w:rPr>
                <w:sz w:val="22"/>
                <w:szCs w:val="22"/>
              </w:rPr>
              <w:t>Fuel Recovery Factors for Time Of Use – By Rate Schedule</w:t>
            </w:r>
          </w:p>
        </w:tc>
      </w:tr>
      <w:tr w:rsidR="001912AC" w:rsidRPr="001D32F3" w:rsidTr="003B4907">
        <w:trPr>
          <w:tblHeader/>
        </w:trPr>
        <w:tc>
          <w:tcPr>
            <w:tcW w:w="4608" w:type="dxa"/>
            <w:vAlign w:val="center"/>
          </w:tcPr>
          <w:p w:rsidR="001912AC" w:rsidRPr="001D32F3" w:rsidRDefault="001912AC" w:rsidP="003B4907">
            <w:pPr>
              <w:keepNext/>
              <w:keepLines/>
              <w:jc w:val="center"/>
              <w:rPr>
                <w:sz w:val="22"/>
                <w:szCs w:val="22"/>
              </w:rPr>
            </w:pPr>
            <w:r w:rsidRPr="001D32F3">
              <w:rPr>
                <w:sz w:val="22"/>
                <w:szCs w:val="22"/>
              </w:rPr>
              <w:t>Rate Schedule</w:t>
            </w:r>
          </w:p>
        </w:tc>
        <w:tc>
          <w:tcPr>
            <w:tcW w:w="2340" w:type="dxa"/>
            <w:vAlign w:val="center"/>
          </w:tcPr>
          <w:p w:rsidR="001912AC" w:rsidRPr="001D32F3" w:rsidRDefault="001912AC" w:rsidP="003B4907">
            <w:pPr>
              <w:keepNext/>
              <w:keepLines/>
              <w:jc w:val="center"/>
              <w:rPr>
                <w:sz w:val="22"/>
                <w:szCs w:val="22"/>
              </w:rPr>
            </w:pPr>
            <w:r w:rsidRPr="001D32F3">
              <w:rPr>
                <w:sz w:val="22"/>
                <w:szCs w:val="22"/>
              </w:rPr>
              <w:t>Levelized Adjustment</w:t>
            </w:r>
          </w:p>
          <w:p w:rsidR="001912AC" w:rsidRPr="001D32F3" w:rsidRDefault="001912AC" w:rsidP="003B4907">
            <w:pPr>
              <w:keepNext/>
              <w:keepLines/>
              <w:jc w:val="center"/>
              <w:rPr>
                <w:sz w:val="22"/>
                <w:szCs w:val="22"/>
              </w:rPr>
            </w:pPr>
            <w:r w:rsidRPr="001D32F3">
              <w:rPr>
                <w:sz w:val="22"/>
                <w:szCs w:val="22"/>
              </w:rPr>
              <w:t>On Peak (cents/kWh)</w:t>
            </w:r>
          </w:p>
        </w:tc>
        <w:tc>
          <w:tcPr>
            <w:tcW w:w="2520" w:type="dxa"/>
          </w:tcPr>
          <w:p w:rsidR="001912AC" w:rsidRPr="001D32F3" w:rsidRDefault="001912AC" w:rsidP="003B4907">
            <w:pPr>
              <w:keepNext/>
              <w:keepLines/>
              <w:jc w:val="center"/>
              <w:rPr>
                <w:sz w:val="22"/>
                <w:szCs w:val="22"/>
              </w:rPr>
            </w:pPr>
            <w:r w:rsidRPr="001D32F3">
              <w:rPr>
                <w:sz w:val="22"/>
                <w:szCs w:val="22"/>
              </w:rPr>
              <w:t>Levelized</w:t>
            </w:r>
          </w:p>
          <w:p w:rsidR="001912AC" w:rsidRPr="001D32F3" w:rsidRDefault="001912AC" w:rsidP="003B4907">
            <w:pPr>
              <w:keepNext/>
              <w:keepLines/>
              <w:jc w:val="center"/>
              <w:rPr>
                <w:sz w:val="22"/>
                <w:szCs w:val="22"/>
              </w:rPr>
            </w:pPr>
            <w:r w:rsidRPr="001D32F3">
              <w:rPr>
                <w:sz w:val="22"/>
                <w:szCs w:val="22"/>
              </w:rPr>
              <w:t xml:space="preserve">Adjustment </w:t>
            </w:r>
          </w:p>
          <w:p w:rsidR="001912AC" w:rsidRPr="001D32F3" w:rsidRDefault="001912AC" w:rsidP="003B4907">
            <w:pPr>
              <w:keepNext/>
              <w:keepLines/>
              <w:jc w:val="center"/>
              <w:rPr>
                <w:sz w:val="22"/>
                <w:szCs w:val="22"/>
              </w:rPr>
            </w:pPr>
            <w:r w:rsidRPr="001D32F3">
              <w:rPr>
                <w:sz w:val="22"/>
                <w:szCs w:val="22"/>
              </w:rPr>
              <w:t>Off Peak (cents/kWh)</w:t>
            </w:r>
          </w:p>
        </w:tc>
      </w:tr>
      <w:tr w:rsidR="001912AC" w:rsidRPr="001D32F3" w:rsidTr="003B4907">
        <w:tc>
          <w:tcPr>
            <w:tcW w:w="4608" w:type="dxa"/>
          </w:tcPr>
          <w:p w:rsidR="001912AC" w:rsidRPr="001D32F3" w:rsidRDefault="001912AC" w:rsidP="003B4907">
            <w:pPr>
              <w:keepNext/>
              <w:keepLines/>
              <w:rPr>
                <w:sz w:val="22"/>
                <w:szCs w:val="22"/>
              </w:rPr>
            </w:pPr>
            <w:r w:rsidRPr="001D32F3">
              <w:rPr>
                <w:sz w:val="22"/>
                <w:szCs w:val="22"/>
              </w:rPr>
              <w:t>RS</w:t>
            </w:r>
          </w:p>
        </w:tc>
        <w:tc>
          <w:tcPr>
            <w:tcW w:w="2340" w:type="dxa"/>
          </w:tcPr>
          <w:p w:rsidR="001912AC" w:rsidRPr="001D32F3" w:rsidRDefault="001912AC" w:rsidP="003B4907">
            <w:pPr>
              <w:keepNext/>
              <w:keepLines/>
              <w:jc w:val="right"/>
              <w:rPr>
                <w:sz w:val="22"/>
                <w:szCs w:val="22"/>
              </w:rPr>
            </w:pPr>
            <w:r w:rsidRPr="001D32F3">
              <w:rPr>
                <w:sz w:val="22"/>
                <w:szCs w:val="22"/>
              </w:rPr>
              <w:t>15.389</w:t>
            </w:r>
          </w:p>
        </w:tc>
        <w:tc>
          <w:tcPr>
            <w:tcW w:w="2520" w:type="dxa"/>
          </w:tcPr>
          <w:p w:rsidR="001912AC" w:rsidRPr="001D32F3" w:rsidRDefault="001912AC" w:rsidP="003B4907">
            <w:pPr>
              <w:keepNext/>
              <w:keepLines/>
              <w:jc w:val="right"/>
              <w:rPr>
                <w:sz w:val="22"/>
                <w:szCs w:val="22"/>
              </w:rPr>
            </w:pPr>
            <w:r w:rsidRPr="001D32F3">
              <w:rPr>
                <w:sz w:val="22"/>
                <w:szCs w:val="22"/>
              </w:rPr>
              <w:t>3.089</w:t>
            </w:r>
          </w:p>
        </w:tc>
      </w:tr>
      <w:tr w:rsidR="001912AC" w:rsidRPr="001D32F3" w:rsidTr="003B4907">
        <w:tc>
          <w:tcPr>
            <w:tcW w:w="4608" w:type="dxa"/>
          </w:tcPr>
          <w:p w:rsidR="001912AC" w:rsidRPr="001D32F3" w:rsidRDefault="001912AC" w:rsidP="003B4907">
            <w:pPr>
              <w:keepNext/>
              <w:keepLines/>
              <w:rPr>
                <w:sz w:val="22"/>
                <w:szCs w:val="22"/>
              </w:rPr>
            </w:pPr>
            <w:r w:rsidRPr="001D32F3">
              <w:rPr>
                <w:sz w:val="22"/>
                <w:szCs w:val="22"/>
              </w:rPr>
              <w:t>GS</w:t>
            </w:r>
          </w:p>
        </w:tc>
        <w:tc>
          <w:tcPr>
            <w:tcW w:w="2340" w:type="dxa"/>
          </w:tcPr>
          <w:p w:rsidR="001912AC" w:rsidRPr="001D32F3" w:rsidRDefault="001912AC" w:rsidP="003B4907">
            <w:pPr>
              <w:keepNext/>
              <w:keepLines/>
              <w:jc w:val="right"/>
              <w:rPr>
                <w:sz w:val="22"/>
                <w:szCs w:val="22"/>
              </w:rPr>
            </w:pPr>
            <w:r w:rsidRPr="001D32F3">
              <w:rPr>
                <w:sz w:val="22"/>
                <w:szCs w:val="22"/>
              </w:rPr>
              <w:t>11.389</w:t>
            </w:r>
          </w:p>
        </w:tc>
        <w:tc>
          <w:tcPr>
            <w:tcW w:w="2520" w:type="dxa"/>
          </w:tcPr>
          <w:p w:rsidR="001912AC" w:rsidRPr="001D32F3" w:rsidRDefault="001912AC" w:rsidP="003B4907">
            <w:pPr>
              <w:keepNext/>
              <w:keepLines/>
              <w:jc w:val="right"/>
              <w:rPr>
                <w:sz w:val="22"/>
                <w:szCs w:val="22"/>
              </w:rPr>
            </w:pPr>
            <w:r w:rsidRPr="001D32F3">
              <w:rPr>
                <w:sz w:val="22"/>
                <w:szCs w:val="22"/>
              </w:rPr>
              <w:t>2.389</w:t>
            </w:r>
          </w:p>
        </w:tc>
      </w:tr>
      <w:tr w:rsidR="001912AC" w:rsidRPr="001D32F3" w:rsidTr="003B4907">
        <w:tc>
          <w:tcPr>
            <w:tcW w:w="4608" w:type="dxa"/>
          </w:tcPr>
          <w:p w:rsidR="001912AC" w:rsidRPr="001D32F3" w:rsidRDefault="001912AC" w:rsidP="003B4907">
            <w:pPr>
              <w:keepNext/>
              <w:keepLines/>
              <w:rPr>
                <w:sz w:val="22"/>
                <w:szCs w:val="22"/>
              </w:rPr>
            </w:pPr>
            <w:r w:rsidRPr="001D32F3">
              <w:rPr>
                <w:sz w:val="22"/>
                <w:szCs w:val="22"/>
              </w:rPr>
              <w:t>GSD</w:t>
            </w:r>
          </w:p>
        </w:tc>
        <w:tc>
          <w:tcPr>
            <w:tcW w:w="2340" w:type="dxa"/>
          </w:tcPr>
          <w:p w:rsidR="001912AC" w:rsidRPr="001D32F3" w:rsidRDefault="001912AC" w:rsidP="003B4907">
            <w:pPr>
              <w:keepNext/>
              <w:keepLines/>
              <w:jc w:val="right"/>
              <w:rPr>
                <w:sz w:val="22"/>
                <w:szCs w:val="22"/>
              </w:rPr>
            </w:pPr>
            <w:r w:rsidRPr="001D32F3">
              <w:rPr>
                <w:sz w:val="22"/>
                <w:szCs w:val="22"/>
              </w:rPr>
              <w:t>10.795</w:t>
            </w:r>
          </w:p>
        </w:tc>
        <w:tc>
          <w:tcPr>
            <w:tcW w:w="2520" w:type="dxa"/>
          </w:tcPr>
          <w:p w:rsidR="001912AC" w:rsidRPr="001D32F3" w:rsidRDefault="001912AC" w:rsidP="003B4907">
            <w:pPr>
              <w:keepNext/>
              <w:keepLines/>
              <w:jc w:val="right"/>
              <w:rPr>
                <w:sz w:val="22"/>
                <w:szCs w:val="22"/>
              </w:rPr>
            </w:pPr>
            <w:r w:rsidRPr="001D32F3">
              <w:rPr>
                <w:sz w:val="22"/>
                <w:szCs w:val="22"/>
              </w:rPr>
              <w:t>3.545</w:t>
            </w:r>
          </w:p>
        </w:tc>
      </w:tr>
      <w:tr w:rsidR="001912AC" w:rsidRPr="001D32F3" w:rsidTr="003B4907">
        <w:tc>
          <w:tcPr>
            <w:tcW w:w="4608" w:type="dxa"/>
          </w:tcPr>
          <w:p w:rsidR="001912AC" w:rsidRPr="001D32F3" w:rsidRDefault="001912AC" w:rsidP="003B4907">
            <w:pPr>
              <w:keepNext/>
              <w:keepLines/>
              <w:rPr>
                <w:sz w:val="22"/>
                <w:szCs w:val="22"/>
              </w:rPr>
            </w:pPr>
            <w:r w:rsidRPr="001D32F3">
              <w:rPr>
                <w:sz w:val="22"/>
                <w:szCs w:val="22"/>
              </w:rPr>
              <w:t>GSLD</w:t>
            </w:r>
          </w:p>
        </w:tc>
        <w:tc>
          <w:tcPr>
            <w:tcW w:w="2340" w:type="dxa"/>
          </w:tcPr>
          <w:p w:rsidR="001912AC" w:rsidRPr="001D32F3" w:rsidRDefault="001912AC" w:rsidP="003B4907">
            <w:pPr>
              <w:keepNext/>
              <w:keepLines/>
              <w:jc w:val="right"/>
              <w:rPr>
                <w:sz w:val="22"/>
                <w:szCs w:val="22"/>
              </w:rPr>
            </w:pPr>
            <w:r w:rsidRPr="001D32F3">
              <w:rPr>
                <w:sz w:val="22"/>
                <w:szCs w:val="22"/>
              </w:rPr>
              <w:t>12.531</w:t>
            </w:r>
          </w:p>
        </w:tc>
        <w:tc>
          <w:tcPr>
            <w:tcW w:w="2520" w:type="dxa"/>
          </w:tcPr>
          <w:p w:rsidR="001912AC" w:rsidRPr="001D32F3" w:rsidRDefault="001912AC" w:rsidP="003B4907">
            <w:pPr>
              <w:keepNext/>
              <w:keepLines/>
              <w:jc w:val="right"/>
              <w:rPr>
                <w:sz w:val="22"/>
                <w:szCs w:val="22"/>
              </w:rPr>
            </w:pPr>
            <w:r w:rsidRPr="001D32F3">
              <w:rPr>
                <w:sz w:val="22"/>
                <w:szCs w:val="22"/>
              </w:rPr>
              <w:t>3.531</w:t>
            </w:r>
          </w:p>
        </w:tc>
      </w:tr>
      <w:tr w:rsidR="001912AC" w:rsidRPr="001D32F3" w:rsidTr="003B4907">
        <w:tc>
          <w:tcPr>
            <w:tcW w:w="4608" w:type="dxa"/>
          </w:tcPr>
          <w:p w:rsidR="001912AC" w:rsidRPr="001D32F3" w:rsidRDefault="001912AC" w:rsidP="003B4907">
            <w:pPr>
              <w:keepNext/>
              <w:keepLines/>
              <w:rPr>
                <w:sz w:val="22"/>
                <w:szCs w:val="22"/>
              </w:rPr>
            </w:pPr>
            <w:r w:rsidRPr="001D32F3">
              <w:rPr>
                <w:sz w:val="22"/>
                <w:szCs w:val="22"/>
              </w:rPr>
              <w:t>Interruptible</w:t>
            </w:r>
          </w:p>
        </w:tc>
        <w:tc>
          <w:tcPr>
            <w:tcW w:w="2340" w:type="dxa"/>
          </w:tcPr>
          <w:p w:rsidR="001912AC" w:rsidRPr="001D32F3" w:rsidRDefault="001912AC" w:rsidP="003B4907">
            <w:pPr>
              <w:keepNext/>
              <w:keepLines/>
              <w:jc w:val="right"/>
              <w:rPr>
                <w:sz w:val="22"/>
                <w:szCs w:val="22"/>
              </w:rPr>
            </w:pPr>
            <w:r w:rsidRPr="001D32F3">
              <w:rPr>
                <w:sz w:val="22"/>
                <w:szCs w:val="22"/>
              </w:rPr>
              <w:t>5.031</w:t>
            </w:r>
          </w:p>
        </w:tc>
        <w:tc>
          <w:tcPr>
            <w:tcW w:w="2520" w:type="dxa"/>
          </w:tcPr>
          <w:p w:rsidR="001912AC" w:rsidRPr="001D32F3" w:rsidRDefault="001912AC" w:rsidP="003B4907">
            <w:pPr>
              <w:keepNext/>
              <w:keepLines/>
              <w:jc w:val="right"/>
              <w:rPr>
                <w:sz w:val="22"/>
                <w:szCs w:val="22"/>
              </w:rPr>
            </w:pPr>
            <w:r w:rsidRPr="001D32F3">
              <w:rPr>
                <w:sz w:val="22"/>
                <w:szCs w:val="22"/>
              </w:rPr>
              <w:t>6.531</w:t>
            </w:r>
          </w:p>
        </w:tc>
      </w:tr>
    </w:tbl>
    <w:p w:rsidR="001912AC" w:rsidRPr="001D32F3" w:rsidRDefault="001912AC" w:rsidP="001912AC">
      <w:pPr>
        <w:rPr>
          <w:sz w:val="22"/>
          <w:szCs w:val="22"/>
        </w:rPr>
      </w:pPr>
      <w:r w:rsidRPr="001D32F3">
        <w:rPr>
          <w:sz w:val="22"/>
          <w:szCs w:val="22"/>
        </w:rPr>
        <w:fldChar w:fldCharType="begin"/>
      </w:r>
      <w:r w:rsidRPr="001D32F3">
        <w:rPr>
          <w:sz w:val="22"/>
          <w:szCs w:val="22"/>
        </w:rPr>
        <w:instrText>ADVANCE \u3</w:instrText>
      </w:r>
      <w:r w:rsidRPr="001D32F3">
        <w:rPr>
          <w:sz w:val="22"/>
          <w:szCs w:val="22"/>
        </w:rPr>
        <w:fldChar w:fldCharType="end"/>
      </w:r>
      <w:r w:rsidRPr="001D32F3">
        <w:rPr>
          <w:sz w:val="22"/>
          <w:szCs w:val="22"/>
        </w:rPr>
        <w:t xml:space="preserve"> Source: Schedule E1, Page 3 of 3 (Exhibit CDY-3, Page 3 of  8).</w:t>
      </w:r>
    </w:p>
    <w:p w:rsidR="001912AC" w:rsidRPr="00172533" w:rsidRDefault="001912AC" w:rsidP="001912AC"/>
    <w:p w:rsidR="001912AC" w:rsidRPr="00A71CFB" w:rsidRDefault="001912AC" w:rsidP="001912AC">
      <w:pPr>
        <w:ind w:left="1440" w:hanging="1440"/>
        <w:jc w:val="both"/>
      </w:pPr>
    </w:p>
    <w:p w:rsidR="001912AC" w:rsidRPr="002869C4" w:rsidRDefault="001912AC" w:rsidP="001912AC">
      <w:pPr>
        <w:keepNext/>
        <w:keepLines/>
        <w:tabs>
          <w:tab w:val="left" w:pos="-720"/>
        </w:tabs>
        <w:suppressAutoHyphens/>
        <w:ind w:left="1440" w:hanging="1440"/>
        <w:jc w:val="both"/>
      </w:pPr>
      <w:r w:rsidRPr="00777C7E">
        <w:rPr>
          <w:b/>
        </w:rPr>
        <w:t>TECO:</w:t>
      </w:r>
      <w:r w:rsidRPr="002869C4">
        <w:tab/>
        <w:t>The appropriate fuel cost recovery factors for each rate class/delivery voltage level class adjusted for line losses for the period January 2022 through December 2022, are shown in Table 22-7 below:</w:t>
      </w:r>
    </w:p>
    <w:p w:rsidR="001912AC" w:rsidRDefault="001912AC" w:rsidP="001912AC"/>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1912AC" w:rsidRPr="002869C4" w:rsidTr="003B4907">
        <w:trPr>
          <w:tblHeader/>
        </w:trPr>
        <w:tc>
          <w:tcPr>
            <w:tcW w:w="9360" w:type="dxa"/>
            <w:gridSpan w:val="5"/>
            <w:tcBorders>
              <w:top w:val="nil"/>
              <w:left w:val="nil"/>
              <w:bottom w:val="nil"/>
              <w:right w:val="nil"/>
            </w:tcBorders>
            <w:vAlign w:val="center"/>
          </w:tcPr>
          <w:p w:rsidR="001912AC" w:rsidRPr="002869C4" w:rsidRDefault="001912AC" w:rsidP="003B4907">
            <w:pPr>
              <w:ind w:left="1440" w:hanging="1440"/>
              <w:jc w:val="center"/>
              <w:rPr>
                <w:rFonts w:ascii="Arial" w:hAnsi="Arial" w:cs="Arial"/>
                <w:b/>
              </w:rPr>
            </w:pPr>
            <w:r w:rsidRPr="002869C4">
              <w:rPr>
                <w:rFonts w:ascii="Arial" w:hAnsi="Arial" w:cs="Arial"/>
                <w:b/>
              </w:rPr>
              <w:t>Table 22-7</w:t>
            </w:r>
          </w:p>
        </w:tc>
      </w:tr>
      <w:tr w:rsidR="001912AC" w:rsidRPr="002869C4" w:rsidTr="003B4907">
        <w:trPr>
          <w:tblHeader/>
        </w:trPr>
        <w:tc>
          <w:tcPr>
            <w:tcW w:w="9360" w:type="dxa"/>
            <w:gridSpan w:val="5"/>
            <w:tcBorders>
              <w:top w:val="nil"/>
              <w:left w:val="nil"/>
              <w:right w:val="nil"/>
            </w:tcBorders>
            <w:vAlign w:val="center"/>
          </w:tcPr>
          <w:p w:rsidR="001912AC" w:rsidRPr="002869C4" w:rsidRDefault="001912AC" w:rsidP="003B4907">
            <w:pPr>
              <w:keepNext/>
              <w:keepLines/>
              <w:ind w:left="720" w:hanging="720"/>
              <w:jc w:val="center"/>
            </w:pPr>
            <w:r w:rsidRPr="002869C4">
              <w:rPr>
                <w:rFonts w:ascii="Arial" w:hAnsi="Arial" w:cs="Arial"/>
                <w:b/>
              </w:rPr>
              <w:t>TECO Fuel Cost Recovery Factors for the period January-December, 2022</w:t>
            </w:r>
          </w:p>
        </w:tc>
      </w:tr>
      <w:tr w:rsidR="001912AC" w:rsidRPr="002869C4" w:rsidTr="003B4907">
        <w:tc>
          <w:tcPr>
            <w:tcW w:w="3780" w:type="dxa"/>
            <w:gridSpan w:val="2"/>
            <w:vMerge w:val="restart"/>
            <w:vAlign w:val="center"/>
          </w:tcPr>
          <w:p w:rsidR="001912AC" w:rsidRPr="002869C4" w:rsidRDefault="001912AC" w:rsidP="003B4907">
            <w:pPr>
              <w:pStyle w:val="Footer"/>
              <w:keepNext/>
              <w:keepLines/>
              <w:widowControl w:val="0"/>
              <w:tabs>
                <w:tab w:val="center" w:pos="5940"/>
                <w:tab w:val="center" w:pos="7380"/>
              </w:tabs>
              <w:suppressAutoHyphens/>
              <w:jc w:val="center"/>
            </w:pPr>
            <w:r w:rsidRPr="002869C4">
              <w:t>Metering Voltage Level</w:t>
            </w:r>
          </w:p>
        </w:tc>
        <w:tc>
          <w:tcPr>
            <w:tcW w:w="5580" w:type="dxa"/>
            <w:gridSpan w:val="3"/>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Fuel Cost Recovery Factors (cents per kWh)</w:t>
            </w:r>
          </w:p>
        </w:tc>
      </w:tr>
      <w:tr w:rsidR="001912AC" w:rsidRPr="002869C4" w:rsidTr="003B4907">
        <w:tc>
          <w:tcPr>
            <w:tcW w:w="3780" w:type="dxa"/>
            <w:gridSpan w:val="2"/>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1890" w:type="dxa"/>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Levelized Fuel Recovery Factor</w:t>
            </w:r>
          </w:p>
        </w:tc>
        <w:tc>
          <w:tcPr>
            <w:tcW w:w="1890" w:type="dxa"/>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 xml:space="preserve">First Tier </w:t>
            </w:r>
          </w:p>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(Up to 1,000 kWh)</w:t>
            </w:r>
          </w:p>
        </w:tc>
        <w:tc>
          <w:tcPr>
            <w:tcW w:w="1800" w:type="dxa"/>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 xml:space="preserve">Second Tier </w:t>
            </w:r>
          </w:p>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(Over 1,000 kWh)</w:t>
            </w:r>
          </w:p>
        </w:tc>
      </w:tr>
      <w:tr w:rsidR="001912AC" w:rsidRPr="002869C4" w:rsidTr="003B4907">
        <w:tc>
          <w:tcPr>
            <w:tcW w:w="9360" w:type="dxa"/>
            <w:gridSpan w:val="5"/>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STANDARD</w:t>
            </w:r>
          </w:p>
        </w:tc>
      </w:tr>
      <w:tr w:rsidR="001912AC" w:rsidRPr="002869C4" w:rsidTr="003B4907">
        <w:tc>
          <w:tcPr>
            <w:tcW w:w="270" w:type="dxa"/>
            <w:vMerge w:val="restart"/>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Distribution Secondary (RS only)</w:t>
            </w:r>
          </w:p>
        </w:tc>
        <w:tc>
          <w:tcPr>
            <w:tcW w:w="1890" w:type="dxa"/>
          </w:tcPr>
          <w:p w:rsidR="001912AC" w:rsidRPr="002869C4" w:rsidRDefault="001912AC" w:rsidP="003B4907">
            <w:pPr>
              <w:pStyle w:val="Footer"/>
              <w:keepNext/>
              <w:keepLines/>
              <w:widowControl w:val="0"/>
              <w:tabs>
                <w:tab w:val="center" w:pos="5940"/>
                <w:tab w:val="center" w:pos="7380"/>
              </w:tabs>
              <w:suppressAutoHyphens/>
              <w:jc w:val="center"/>
              <w:rPr>
                <w:bCs/>
              </w:rPr>
            </w:pPr>
            <w:r w:rsidRPr="002869C4">
              <w:rPr>
                <w:bCs/>
              </w:rPr>
              <w:t>--</w:t>
            </w:r>
          </w:p>
        </w:tc>
        <w:tc>
          <w:tcPr>
            <w:tcW w:w="189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2.745</w:t>
            </w:r>
          </w:p>
        </w:tc>
        <w:tc>
          <w:tcPr>
            <w:tcW w:w="180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3.745</w:t>
            </w: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Distribution Secondary</w:t>
            </w:r>
          </w:p>
        </w:tc>
        <w:tc>
          <w:tcPr>
            <w:tcW w:w="189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3.057</w:t>
            </w:r>
          </w:p>
        </w:tc>
        <w:tc>
          <w:tcPr>
            <w:tcW w:w="3690" w:type="dxa"/>
            <w:gridSpan w:val="2"/>
            <w:vMerge w:val="restart"/>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Distribution Primary</w:t>
            </w:r>
          </w:p>
        </w:tc>
        <w:tc>
          <w:tcPr>
            <w:tcW w:w="189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3.026</w:t>
            </w:r>
          </w:p>
        </w:tc>
        <w:tc>
          <w:tcPr>
            <w:tcW w:w="3690" w:type="dxa"/>
            <w:gridSpan w:val="2"/>
            <w:vMerge/>
          </w:tcPr>
          <w:p w:rsidR="001912AC" w:rsidRPr="002869C4" w:rsidRDefault="001912AC" w:rsidP="003B4907">
            <w:pPr>
              <w:pStyle w:val="Footer"/>
              <w:keepNext/>
              <w:keepLines/>
              <w:widowControl w:val="0"/>
              <w:tabs>
                <w:tab w:val="center" w:pos="5940"/>
                <w:tab w:val="center" w:pos="7380"/>
              </w:tabs>
              <w:suppressAutoHyphens/>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Transmission</w:t>
            </w:r>
          </w:p>
        </w:tc>
        <w:tc>
          <w:tcPr>
            <w:tcW w:w="189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2.996</w:t>
            </w:r>
          </w:p>
        </w:tc>
        <w:tc>
          <w:tcPr>
            <w:tcW w:w="3690" w:type="dxa"/>
            <w:gridSpan w:val="2"/>
            <w:vMerge/>
          </w:tcPr>
          <w:p w:rsidR="001912AC" w:rsidRPr="002869C4" w:rsidRDefault="001912AC" w:rsidP="003B4907">
            <w:pPr>
              <w:pStyle w:val="Footer"/>
              <w:keepNext/>
              <w:keepLines/>
              <w:widowControl w:val="0"/>
              <w:tabs>
                <w:tab w:val="center" w:pos="5940"/>
                <w:tab w:val="center" w:pos="7380"/>
              </w:tabs>
              <w:suppressAutoHyphens/>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Lighting Service</w:t>
            </w:r>
          </w:p>
        </w:tc>
        <w:tc>
          <w:tcPr>
            <w:tcW w:w="1890" w:type="dxa"/>
          </w:tcPr>
          <w:p w:rsidR="001912AC" w:rsidRPr="002869C4" w:rsidRDefault="001912AC" w:rsidP="003B4907">
            <w:pPr>
              <w:pStyle w:val="Footer"/>
              <w:keepNext/>
              <w:keepLines/>
              <w:widowControl w:val="0"/>
              <w:tabs>
                <w:tab w:val="center" w:pos="5940"/>
                <w:tab w:val="center" w:pos="7380"/>
              </w:tabs>
              <w:suppressAutoHyphens/>
              <w:jc w:val="right"/>
              <w:rPr>
                <w:bCs/>
              </w:rPr>
            </w:pPr>
            <w:r w:rsidRPr="002869C4">
              <w:rPr>
                <w:bCs/>
              </w:rPr>
              <w:t>3.008</w:t>
            </w:r>
          </w:p>
        </w:tc>
        <w:tc>
          <w:tcPr>
            <w:tcW w:w="3690" w:type="dxa"/>
            <w:gridSpan w:val="2"/>
            <w:vMerge/>
          </w:tcPr>
          <w:p w:rsidR="001912AC" w:rsidRPr="002869C4" w:rsidRDefault="001912AC" w:rsidP="003B4907">
            <w:pPr>
              <w:pStyle w:val="Footer"/>
              <w:keepNext/>
              <w:keepLines/>
              <w:widowControl w:val="0"/>
              <w:tabs>
                <w:tab w:val="center" w:pos="5940"/>
                <w:tab w:val="center" w:pos="7380"/>
              </w:tabs>
              <w:suppressAutoHyphens/>
              <w:jc w:val="center"/>
              <w:rPr>
                <w:bCs/>
              </w:rPr>
            </w:pPr>
          </w:p>
        </w:tc>
      </w:tr>
      <w:tr w:rsidR="001912AC" w:rsidRPr="002869C4" w:rsidTr="003B4907">
        <w:tc>
          <w:tcPr>
            <w:tcW w:w="9360" w:type="dxa"/>
            <w:gridSpan w:val="5"/>
          </w:tcPr>
          <w:p w:rsidR="001912AC" w:rsidRPr="002869C4" w:rsidRDefault="001912AC" w:rsidP="003B4907">
            <w:pPr>
              <w:pStyle w:val="Footer"/>
              <w:keepNext/>
              <w:keepLines/>
              <w:widowControl w:val="0"/>
              <w:tabs>
                <w:tab w:val="center" w:pos="5940"/>
                <w:tab w:val="center" w:pos="7380"/>
              </w:tabs>
              <w:suppressAutoHyphens/>
              <w:rPr>
                <w:bCs/>
              </w:rPr>
            </w:pPr>
            <w:r w:rsidRPr="002869C4">
              <w:rPr>
                <w:bCs/>
              </w:rPr>
              <w:t>TIME OF USE</w:t>
            </w:r>
          </w:p>
        </w:tc>
      </w:tr>
      <w:tr w:rsidR="001912AC" w:rsidRPr="002869C4" w:rsidTr="003B4907">
        <w:tc>
          <w:tcPr>
            <w:tcW w:w="270" w:type="dxa"/>
            <w:vMerge w:val="restart"/>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Distribution Secondary- On-Peak</w:t>
            </w:r>
          </w:p>
        </w:tc>
        <w:tc>
          <w:tcPr>
            <w:tcW w:w="1890" w:type="dxa"/>
          </w:tcPr>
          <w:p w:rsidR="001912AC" w:rsidRPr="002869C4" w:rsidRDefault="001912AC" w:rsidP="003B4907">
            <w:pPr>
              <w:jc w:val="right"/>
            </w:pPr>
            <w:r w:rsidRPr="002869C4">
              <w:t>3.318</w:t>
            </w:r>
          </w:p>
        </w:tc>
        <w:tc>
          <w:tcPr>
            <w:tcW w:w="3690" w:type="dxa"/>
            <w:gridSpan w:val="2"/>
            <w:vMerge w:val="restart"/>
            <w:vAlign w:val="center"/>
          </w:tcPr>
          <w:p w:rsidR="001912AC" w:rsidRPr="002869C4" w:rsidRDefault="001912AC" w:rsidP="003B4907">
            <w:pPr>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Distribution Secondary- Off-Peak</w:t>
            </w:r>
          </w:p>
        </w:tc>
        <w:tc>
          <w:tcPr>
            <w:tcW w:w="1890" w:type="dxa"/>
          </w:tcPr>
          <w:p w:rsidR="001912AC" w:rsidRPr="002869C4" w:rsidRDefault="001912AC" w:rsidP="003B4907">
            <w:pPr>
              <w:jc w:val="right"/>
            </w:pPr>
            <w:r w:rsidRPr="002869C4">
              <w:t>2.944</w:t>
            </w:r>
          </w:p>
        </w:tc>
        <w:tc>
          <w:tcPr>
            <w:tcW w:w="3690" w:type="dxa"/>
            <w:gridSpan w:val="2"/>
            <w:vMerge/>
          </w:tcPr>
          <w:p w:rsidR="001912AC" w:rsidRPr="002869C4" w:rsidRDefault="001912AC" w:rsidP="003B4907">
            <w:pPr>
              <w:jc w:val="center"/>
              <w:rPr>
                <w:bCs/>
              </w:rPr>
            </w:pPr>
          </w:p>
        </w:tc>
      </w:tr>
      <w:tr w:rsidR="001912AC" w:rsidRPr="002869C4" w:rsidTr="003B4907">
        <w:tc>
          <w:tcPr>
            <w:tcW w:w="270" w:type="dxa"/>
            <w:vMerge/>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Distribution Primary- On-Peak</w:t>
            </w:r>
          </w:p>
        </w:tc>
        <w:tc>
          <w:tcPr>
            <w:tcW w:w="1890" w:type="dxa"/>
          </w:tcPr>
          <w:p w:rsidR="001912AC" w:rsidRPr="002869C4" w:rsidRDefault="001912AC" w:rsidP="003B4907">
            <w:pPr>
              <w:jc w:val="right"/>
            </w:pPr>
            <w:r w:rsidRPr="002869C4">
              <w:t>3.285</w:t>
            </w:r>
          </w:p>
        </w:tc>
        <w:tc>
          <w:tcPr>
            <w:tcW w:w="3690" w:type="dxa"/>
            <w:gridSpan w:val="2"/>
            <w:vMerge/>
          </w:tcPr>
          <w:p w:rsidR="001912AC" w:rsidRPr="002869C4" w:rsidRDefault="001912AC" w:rsidP="003B4907">
            <w:pPr>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Distribution Primary- Off-Peak</w:t>
            </w:r>
          </w:p>
        </w:tc>
        <w:tc>
          <w:tcPr>
            <w:tcW w:w="1890" w:type="dxa"/>
          </w:tcPr>
          <w:p w:rsidR="001912AC" w:rsidRPr="002869C4" w:rsidRDefault="001912AC" w:rsidP="003B4907">
            <w:pPr>
              <w:jc w:val="right"/>
            </w:pPr>
            <w:r w:rsidRPr="002869C4">
              <w:t>2.915</w:t>
            </w:r>
          </w:p>
        </w:tc>
        <w:tc>
          <w:tcPr>
            <w:tcW w:w="3690" w:type="dxa"/>
            <w:gridSpan w:val="2"/>
            <w:vMerge/>
          </w:tcPr>
          <w:p w:rsidR="001912AC" w:rsidRPr="002869C4" w:rsidRDefault="001912AC" w:rsidP="003B4907">
            <w:pPr>
              <w:jc w:val="center"/>
              <w:rPr>
                <w:bCs/>
              </w:rPr>
            </w:pPr>
          </w:p>
        </w:tc>
      </w:tr>
      <w:tr w:rsidR="001912AC" w:rsidRPr="002869C4" w:rsidTr="003B4907">
        <w:tc>
          <w:tcPr>
            <w:tcW w:w="270" w:type="dxa"/>
            <w:vMerge/>
            <w:vAlign w:val="center"/>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Transmission – On-Peak</w:t>
            </w:r>
          </w:p>
        </w:tc>
        <w:tc>
          <w:tcPr>
            <w:tcW w:w="1890" w:type="dxa"/>
          </w:tcPr>
          <w:p w:rsidR="001912AC" w:rsidRPr="002869C4" w:rsidRDefault="001912AC" w:rsidP="003B4907">
            <w:pPr>
              <w:jc w:val="right"/>
            </w:pPr>
            <w:r w:rsidRPr="002869C4">
              <w:t>3.252</w:t>
            </w:r>
          </w:p>
        </w:tc>
        <w:tc>
          <w:tcPr>
            <w:tcW w:w="3690" w:type="dxa"/>
            <w:gridSpan w:val="2"/>
            <w:vMerge/>
          </w:tcPr>
          <w:p w:rsidR="001912AC" w:rsidRPr="002869C4" w:rsidRDefault="001912AC" w:rsidP="003B4907">
            <w:pPr>
              <w:jc w:val="center"/>
              <w:rPr>
                <w:bCs/>
              </w:rPr>
            </w:pPr>
          </w:p>
        </w:tc>
      </w:tr>
      <w:tr w:rsidR="001912AC" w:rsidRPr="002869C4" w:rsidTr="003B4907">
        <w:tc>
          <w:tcPr>
            <w:tcW w:w="270" w:type="dxa"/>
            <w:vMerge/>
          </w:tcPr>
          <w:p w:rsidR="001912AC" w:rsidRPr="002869C4" w:rsidRDefault="001912AC" w:rsidP="003B4907">
            <w:pPr>
              <w:pStyle w:val="Footer"/>
              <w:keepNext/>
              <w:keepLines/>
              <w:widowControl w:val="0"/>
              <w:tabs>
                <w:tab w:val="center" w:pos="5940"/>
                <w:tab w:val="center" w:pos="7380"/>
              </w:tabs>
              <w:suppressAutoHyphens/>
              <w:jc w:val="center"/>
              <w:rPr>
                <w:bCs/>
              </w:rPr>
            </w:pPr>
          </w:p>
        </w:tc>
        <w:tc>
          <w:tcPr>
            <w:tcW w:w="3510" w:type="dxa"/>
          </w:tcPr>
          <w:p w:rsidR="001912AC" w:rsidRPr="002869C4" w:rsidRDefault="001912AC" w:rsidP="003B4907">
            <w:r w:rsidRPr="002869C4">
              <w:t>Transmission – Off-Peak</w:t>
            </w:r>
          </w:p>
        </w:tc>
        <w:tc>
          <w:tcPr>
            <w:tcW w:w="1890" w:type="dxa"/>
          </w:tcPr>
          <w:p w:rsidR="001912AC" w:rsidRPr="002869C4" w:rsidRDefault="001912AC" w:rsidP="003B4907">
            <w:pPr>
              <w:jc w:val="right"/>
            </w:pPr>
            <w:r w:rsidRPr="002869C4">
              <w:t>2.885</w:t>
            </w:r>
          </w:p>
        </w:tc>
        <w:tc>
          <w:tcPr>
            <w:tcW w:w="3690" w:type="dxa"/>
            <w:gridSpan w:val="2"/>
            <w:vMerge/>
          </w:tcPr>
          <w:p w:rsidR="001912AC" w:rsidRPr="002869C4" w:rsidRDefault="001912AC" w:rsidP="003B4907">
            <w:pPr>
              <w:jc w:val="center"/>
              <w:rPr>
                <w:bCs/>
              </w:rPr>
            </w:pPr>
          </w:p>
        </w:tc>
      </w:tr>
    </w:tbl>
    <w:p w:rsidR="001912AC" w:rsidRDefault="001912AC" w:rsidP="001912AC">
      <w:pPr>
        <w:pStyle w:val="Footer"/>
        <w:keepNext/>
        <w:keepLines/>
        <w:widowControl w:val="0"/>
        <w:tabs>
          <w:tab w:val="center" w:pos="5940"/>
          <w:tab w:val="center" w:pos="7380"/>
        </w:tabs>
        <w:suppressAutoHyphens/>
        <w:rPr>
          <w:sz w:val="22"/>
          <w:szCs w:val="22"/>
        </w:rPr>
      </w:pPr>
      <w:r w:rsidRPr="002869C4">
        <w:rPr>
          <w:bCs/>
          <w:sz w:val="22"/>
          <w:szCs w:val="22"/>
        </w:rPr>
        <w:t xml:space="preserve">  </w:t>
      </w:r>
      <w:r w:rsidRPr="002869C4">
        <w:rPr>
          <w:sz w:val="22"/>
          <w:szCs w:val="22"/>
        </w:rPr>
        <w:t>Source: Schedule E1-E.</w:t>
      </w:r>
    </w:p>
    <w:p w:rsidR="001912AC" w:rsidRDefault="001912AC" w:rsidP="001912AC">
      <w:pPr>
        <w:rPr>
          <w:b/>
          <w:bCs/>
          <w:caps/>
          <w:u w:val="single"/>
        </w:rPr>
      </w:pPr>
    </w:p>
    <w:p w:rsidR="001912AC" w:rsidRPr="00BF6EBB" w:rsidRDefault="001912AC" w:rsidP="001912AC">
      <w:pPr>
        <w:rPr>
          <w:b/>
          <w:bCs/>
          <w:caps/>
          <w:u w:val="single"/>
        </w:rPr>
      </w:pPr>
      <w:r w:rsidRPr="00BF6EBB">
        <w:rPr>
          <w:b/>
          <w:bCs/>
          <w:caps/>
          <w:u w:val="single"/>
        </w:rPr>
        <w:t>II.</w:t>
      </w:r>
      <w:r w:rsidRPr="00BF6EBB">
        <w:rPr>
          <w:b/>
          <w:bCs/>
          <w:caps/>
        </w:rPr>
        <w:tab/>
      </w:r>
      <w:r w:rsidRPr="00BF6EBB">
        <w:rPr>
          <w:b/>
          <w:bCs/>
          <w:caps/>
          <w:u w:val="single"/>
        </w:rPr>
        <w:t>Capacity Issues</w:t>
      </w:r>
    </w:p>
    <w:p w:rsidR="001912AC" w:rsidRPr="00BF6EBB" w:rsidRDefault="001912AC" w:rsidP="001912AC">
      <w:pPr>
        <w:autoSpaceDE w:val="0"/>
        <w:autoSpaceDN w:val="0"/>
        <w:adjustRightInd w:val="0"/>
        <w:rPr>
          <w:b/>
          <w:bCs/>
        </w:rPr>
      </w:pPr>
    </w:p>
    <w:p w:rsidR="001912AC" w:rsidRPr="00BF6EBB" w:rsidRDefault="001912AC" w:rsidP="001912AC">
      <w:pPr>
        <w:autoSpaceDE w:val="0"/>
        <w:autoSpaceDN w:val="0"/>
        <w:adjustRightInd w:val="0"/>
        <w:rPr>
          <w:b/>
          <w:bCs/>
        </w:rPr>
      </w:pPr>
      <w:r w:rsidRPr="00BF6EBB">
        <w:rPr>
          <w:b/>
          <w:bCs/>
        </w:rPr>
        <w:t>COMPANY-SPECIFIC CAPACITY COST RECOVERY FACTOR ISSUES</w:t>
      </w:r>
    </w:p>
    <w:p w:rsidR="001912AC" w:rsidRDefault="001912AC" w:rsidP="001912AC">
      <w:pPr>
        <w:autoSpaceDE w:val="0"/>
        <w:autoSpaceDN w:val="0"/>
        <w:adjustRightInd w:val="0"/>
        <w:rPr>
          <w:b/>
          <w:bCs/>
        </w:rPr>
      </w:pPr>
    </w:p>
    <w:p w:rsidR="001912AC" w:rsidRDefault="001912AC" w:rsidP="001912AC">
      <w:pPr>
        <w:autoSpaceDE w:val="0"/>
        <w:autoSpaceDN w:val="0"/>
        <w:adjustRightInd w:val="0"/>
        <w:rPr>
          <w:b/>
          <w:bCs/>
        </w:rPr>
      </w:pPr>
      <w:r w:rsidRPr="00BF6EBB">
        <w:rPr>
          <w:b/>
          <w:bCs/>
        </w:rPr>
        <w:t>Duke Energy Florida, LLC.</w:t>
      </w:r>
    </w:p>
    <w:p w:rsidR="001912AC" w:rsidRDefault="001912AC" w:rsidP="001912AC">
      <w:pPr>
        <w:autoSpaceDE w:val="0"/>
        <w:autoSpaceDN w:val="0"/>
        <w:adjustRightInd w:val="0"/>
        <w:rPr>
          <w:b/>
          <w:bCs/>
        </w:rPr>
      </w:pPr>
    </w:p>
    <w:p w:rsidR="001912AC" w:rsidRDefault="001912AC" w:rsidP="001912AC">
      <w:pPr>
        <w:autoSpaceDE w:val="0"/>
        <w:autoSpaceDN w:val="0"/>
        <w:adjustRightInd w:val="0"/>
        <w:ind w:left="1440" w:hanging="1440"/>
        <w:jc w:val="both"/>
      </w:pPr>
      <w:r>
        <w:rPr>
          <w:b/>
          <w:u w:val="single"/>
        </w:rPr>
        <w:t>ISSUE 23A</w:t>
      </w:r>
      <w:r>
        <w:rPr>
          <w:b/>
        </w:rPr>
        <w:t>:</w:t>
      </w:r>
      <w:r>
        <w:rPr>
          <w:b/>
        </w:rPr>
        <w:tab/>
      </w:r>
      <w:r w:rsidRPr="00777C7E">
        <w:rPr>
          <w:b/>
        </w:rPr>
        <w:t>What adjustment amounts should the Commission approve to be refunded through the capacity clause in 2022 associated with the SoBRA III project, specifically Plants Santa Fe and Twin Rivers approved in Docket No. 20200245-EI?</w:t>
      </w:r>
    </w:p>
    <w:p w:rsidR="001912AC" w:rsidRDefault="001912AC" w:rsidP="001912AC">
      <w:pPr>
        <w:autoSpaceDE w:val="0"/>
        <w:autoSpaceDN w:val="0"/>
        <w:adjustRightInd w:val="0"/>
        <w:ind w:left="1440" w:hanging="1440"/>
        <w:rPr>
          <w:b/>
        </w:rPr>
      </w:pPr>
      <w:r>
        <w:rPr>
          <w:b/>
        </w:rPr>
        <w:t>Stipulation:</w:t>
      </w:r>
    </w:p>
    <w:p w:rsidR="001912AC" w:rsidRDefault="001912AC" w:rsidP="001912AC">
      <w:pPr>
        <w:autoSpaceDE w:val="0"/>
        <w:autoSpaceDN w:val="0"/>
        <w:adjustRightInd w:val="0"/>
        <w:ind w:left="1440" w:hanging="1440"/>
        <w:jc w:val="both"/>
      </w:pPr>
      <w:r>
        <w:tab/>
        <w:t>The Commission should approve credits of $257,563 and $355,679 through the capacity clause for the final cost true ups for the Santa Fe and Twin Rivers projects, respectively.  The Commission should also approve credits of $386,291 and $533,447 for the reduction of the revenue requirements for Santa Fe and Twin Rivers, respectively, in lieu of reflecting these reductions in base rates.  In addition, the Commission should approve $7,386,099 in credits for the unexpected delay in the Charlie Creek and Sandy Creek in-service dates.</w:t>
      </w:r>
    </w:p>
    <w:p w:rsidR="001912AC" w:rsidRPr="002869C4" w:rsidRDefault="001912AC" w:rsidP="001912AC">
      <w:pPr>
        <w:autoSpaceDE w:val="0"/>
        <w:autoSpaceDN w:val="0"/>
        <w:adjustRightInd w:val="0"/>
        <w:ind w:left="1440" w:hanging="1440"/>
        <w:rPr>
          <w:b/>
        </w:rPr>
      </w:pPr>
    </w:p>
    <w:p w:rsidR="001912AC" w:rsidRDefault="001912AC" w:rsidP="001912AC">
      <w:pPr>
        <w:autoSpaceDE w:val="0"/>
        <w:autoSpaceDN w:val="0"/>
        <w:adjustRightInd w:val="0"/>
        <w:ind w:left="1440" w:hanging="1440"/>
      </w:pPr>
      <w:r>
        <w:rPr>
          <w:b/>
          <w:u w:val="single"/>
        </w:rPr>
        <w:t>ISSUE 23B</w:t>
      </w:r>
      <w:r>
        <w:rPr>
          <w:b/>
        </w:rPr>
        <w:t>:</w:t>
      </w:r>
      <w:r>
        <w:rPr>
          <w:b/>
        </w:rPr>
        <w:tab/>
      </w:r>
      <w:r w:rsidRPr="00777C7E">
        <w:rPr>
          <w:b/>
        </w:rPr>
        <w:t>What is the appropriate amount of costs for the Independent Spent Fuel Storage Installation (ISFSI) that DEF should be allowed to recover through the capacity cost recovery clause pursuant to DEF’s 2017 Settlement?</w:t>
      </w:r>
    </w:p>
    <w:p w:rsidR="001912AC" w:rsidRDefault="001912AC" w:rsidP="001912AC">
      <w:pPr>
        <w:autoSpaceDE w:val="0"/>
        <w:autoSpaceDN w:val="0"/>
        <w:adjustRightInd w:val="0"/>
        <w:ind w:left="1440" w:hanging="1440"/>
      </w:pPr>
    </w:p>
    <w:p w:rsidR="001912AC" w:rsidRDefault="001912AC" w:rsidP="001912AC">
      <w:pPr>
        <w:autoSpaceDE w:val="0"/>
        <w:autoSpaceDN w:val="0"/>
        <w:adjustRightInd w:val="0"/>
        <w:ind w:left="1440" w:hanging="1440"/>
        <w:rPr>
          <w:b/>
        </w:rPr>
      </w:pPr>
      <w:r>
        <w:rPr>
          <w:b/>
        </w:rPr>
        <w:t>Stipulation:</w:t>
      </w:r>
    </w:p>
    <w:p w:rsidR="001912AC" w:rsidRDefault="001912AC" w:rsidP="001912AC">
      <w:pPr>
        <w:autoSpaceDE w:val="0"/>
        <w:autoSpaceDN w:val="0"/>
        <w:adjustRightInd w:val="0"/>
        <w:ind w:left="1440" w:hanging="1440"/>
        <w:rPr>
          <w:bCs/>
        </w:rPr>
      </w:pPr>
      <w:r>
        <w:rPr>
          <w:b/>
          <w:bCs/>
        </w:rPr>
        <w:tab/>
      </w:r>
      <w:r w:rsidRPr="00BB0CFD">
        <w:rPr>
          <w:bCs/>
        </w:rPr>
        <w:t>$6,885,232</w:t>
      </w:r>
      <w:r>
        <w:rPr>
          <w:bCs/>
        </w:rPr>
        <w:t>.</w:t>
      </w:r>
    </w:p>
    <w:p w:rsidR="001912AC" w:rsidRPr="00376766" w:rsidRDefault="001912AC" w:rsidP="001912AC">
      <w:pPr>
        <w:autoSpaceDE w:val="0"/>
        <w:autoSpaceDN w:val="0"/>
        <w:adjustRightInd w:val="0"/>
        <w:ind w:left="1440" w:hanging="1440"/>
      </w:pPr>
    </w:p>
    <w:p w:rsidR="001912AC" w:rsidRPr="00BF6EBB" w:rsidRDefault="001912AC" w:rsidP="001912AC">
      <w:pPr>
        <w:autoSpaceDE w:val="0"/>
        <w:autoSpaceDN w:val="0"/>
        <w:adjustRightInd w:val="0"/>
        <w:jc w:val="both"/>
        <w:rPr>
          <w:b/>
          <w:bCs/>
        </w:rPr>
      </w:pPr>
      <w:r w:rsidRPr="00BF6EBB">
        <w:rPr>
          <w:b/>
          <w:bCs/>
        </w:rPr>
        <w:t>Florida Power &amp; Light Company</w:t>
      </w:r>
    </w:p>
    <w:p w:rsidR="001912AC" w:rsidRPr="00BF6EBB" w:rsidRDefault="001912AC" w:rsidP="001912AC">
      <w:pPr>
        <w:autoSpaceDE w:val="0"/>
        <w:autoSpaceDN w:val="0"/>
        <w:adjustRightInd w:val="0"/>
        <w:jc w:val="both"/>
        <w:rPr>
          <w:bCs/>
        </w:rPr>
      </w:pPr>
    </w:p>
    <w:p w:rsidR="001912AC" w:rsidRPr="00BF6EBB" w:rsidRDefault="001912AC" w:rsidP="001912AC">
      <w:pPr>
        <w:ind w:left="1440" w:hanging="1440"/>
        <w:jc w:val="both"/>
      </w:pPr>
      <w:r w:rsidRPr="00BF6EBB">
        <w:rPr>
          <w:b/>
          <w:u w:val="single"/>
        </w:rPr>
        <w:t>ISSUE 24A</w:t>
      </w:r>
      <w:r w:rsidRPr="00BF6EBB">
        <w:rPr>
          <w:b/>
        </w:rPr>
        <w:t>:</w:t>
      </w:r>
      <w:r w:rsidRPr="00BF6EBB">
        <w:tab/>
      </w:r>
      <w:r w:rsidRPr="00777C7E">
        <w:rPr>
          <w:b/>
        </w:rPr>
        <w:t xml:space="preserve">What </w:t>
      </w:r>
      <w:r w:rsidRPr="00777C7E">
        <w:rPr>
          <w:b/>
          <w:bCs/>
        </w:rPr>
        <w:t>is the appropriate true-up adjustment amount</w:t>
      </w:r>
      <w:r w:rsidRPr="00777C7E">
        <w:rPr>
          <w:b/>
        </w:rPr>
        <w:t xml:space="preserve"> </w:t>
      </w:r>
      <w:r w:rsidRPr="00777C7E">
        <w:rPr>
          <w:b/>
          <w:bCs/>
        </w:rPr>
        <w:t xml:space="preserve">associated with </w:t>
      </w:r>
      <w:r w:rsidRPr="00777C7E">
        <w:rPr>
          <w:b/>
        </w:rPr>
        <w:t>the 2019 SOBRA projects to be refunded through the capacity clause in 2022?</w:t>
      </w:r>
    </w:p>
    <w:p w:rsidR="001912AC" w:rsidRDefault="001912AC" w:rsidP="001912AC">
      <w:pPr>
        <w:jc w:val="both"/>
      </w:pPr>
    </w:p>
    <w:p w:rsidR="001912AC" w:rsidRDefault="001912AC" w:rsidP="001912AC">
      <w:pPr>
        <w:jc w:val="both"/>
      </w:pPr>
      <w:r>
        <w:rPr>
          <w:b/>
        </w:rPr>
        <w:t>Stipulation:</w:t>
      </w:r>
      <w:r>
        <w:rPr>
          <w:b/>
        </w:rPr>
        <w:tab/>
      </w:r>
      <w:r>
        <w:t>$85,034.</w:t>
      </w:r>
    </w:p>
    <w:p w:rsidR="001912AC" w:rsidRPr="00376766" w:rsidRDefault="001912AC" w:rsidP="001912AC">
      <w:pPr>
        <w:jc w:val="both"/>
      </w:pPr>
    </w:p>
    <w:p w:rsidR="001912AC" w:rsidRPr="00BF6EBB" w:rsidRDefault="001912AC" w:rsidP="001912AC">
      <w:pPr>
        <w:ind w:left="1440" w:hanging="1440"/>
        <w:jc w:val="both"/>
      </w:pPr>
      <w:r w:rsidRPr="00520C62">
        <w:rPr>
          <w:b/>
          <w:u w:val="single"/>
        </w:rPr>
        <w:t>ISSUE 24</w:t>
      </w:r>
      <w:r>
        <w:rPr>
          <w:b/>
          <w:u w:val="single"/>
        </w:rPr>
        <w:t>B</w:t>
      </w:r>
      <w:r w:rsidRPr="00520C62">
        <w:rPr>
          <w:b/>
        </w:rPr>
        <w:t>:</w:t>
      </w:r>
      <w:r w:rsidRPr="00520C62">
        <w:rPr>
          <w:b/>
        </w:rPr>
        <w:tab/>
      </w:r>
      <w:r w:rsidRPr="00777C7E">
        <w:rPr>
          <w:b/>
        </w:rPr>
        <w:t xml:space="preserve">What </w:t>
      </w:r>
      <w:r w:rsidRPr="00777C7E">
        <w:rPr>
          <w:b/>
          <w:bCs/>
        </w:rPr>
        <w:t>is the appropriate true-up adjustment amount</w:t>
      </w:r>
      <w:r w:rsidRPr="00777C7E">
        <w:rPr>
          <w:b/>
        </w:rPr>
        <w:t xml:space="preserve"> </w:t>
      </w:r>
      <w:r w:rsidRPr="00777C7E">
        <w:rPr>
          <w:b/>
          <w:bCs/>
        </w:rPr>
        <w:t xml:space="preserve">associated with </w:t>
      </w:r>
      <w:r w:rsidRPr="00777C7E">
        <w:rPr>
          <w:b/>
        </w:rPr>
        <w:t>the 2020 SOBRA projects to be refunded through the capacity clause in 2022?</w:t>
      </w:r>
    </w:p>
    <w:p w:rsidR="001912AC" w:rsidRDefault="001912AC" w:rsidP="001912AC">
      <w:pPr>
        <w:jc w:val="both"/>
      </w:pPr>
    </w:p>
    <w:p w:rsidR="001912AC" w:rsidRDefault="001912AC" w:rsidP="001912AC">
      <w:pPr>
        <w:jc w:val="both"/>
      </w:pPr>
      <w:r>
        <w:rPr>
          <w:b/>
        </w:rPr>
        <w:t>Stipulation:</w:t>
      </w:r>
      <w:r>
        <w:rPr>
          <w:b/>
        </w:rPr>
        <w:tab/>
      </w:r>
      <w:r>
        <w:t>$119,716.</w:t>
      </w:r>
    </w:p>
    <w:p w:rsidR="001912AC" w:rsidRPr="00376766" w:rsidRDefault="001912AC" w:rsidP="001912AC">
      <w:pPr>
        <w:jc w:val="both"/>
      </w:pPr>
    </w:p>
    <w:p w:rsidR="001912AC" w:rsidRDefault="001912AC" w:rsidP="001912AC">
      <w:pPr>
        <w:ind w:left="1440" w:hanging="1440"/>
        <w:jc w:val="both"/>
      </w:pPr>
      <w:r w:rsidRPr="00520C62">
        <w:rPr>
          <w:b/>
          <w:u w:val="single"/>
        </w:rPr>
        <w:t>ISSUE 24</w:t>
      </w:r>
      <w:r>
        <w:rPr>
          <w:b/>
          <w:u w:val="single"/>
        </w:rPr>
        <w:t>C</w:t>
      </w:r>
      <w:r w:rsidRPr="00520C62">
        <w:rPr>
          <w:b/>
        </w:rPr>
        <w:t>:</w:t>
      </w:r>
      <w:r>
        <w:rPr>
          <w:b/>
        </w:rPr>
        <w:tab/>
      </w:r>
      <w:r w:rsidRPr="00777C7E">
        <w:rPr>
          <w:b/>
        </w:rPr>
        <w:t>What are the appropriate Indiantown non-fuel base revenue requirements to be recovered through the Capacity Clause pursuant to the Commission’s approval of the Indiantown transaction in Docket No. 160154-EI for 2022?</w:t>
      </w:r>
    </w:p>
    <w:p w:rsidR="001912AC" w:rsidRDefault="001912AC" w:rsidP="001912AC">
      <w:pPr>
        <w:ind w:left="1440" w:hanging="1440"/>
        <w:jc w:val="both"/>
      </w:pPr>
    </w:p>
    <w:p w:rsidR="001912AC" w:rsidRDefault="001912AC" w:rsidP="001912AC">
      <w:pPr>
        <w:ind w:left="1440" w:hanging="1440"/>
        <w:jc w:val="both"/>
        <w:rPr>
          <w:b/>
        </w:rPr>
      </w:pPr>
      <w:r>
        <w:rPr>
          <w:b/>
        </w:rPr>
        <w:t>Stipulation:</w:t>
      </w:r>
      <w:r>
        <w:rPr>
          <w:b/>
        </w:rPr>
        <w:tab/>
      </w:r>
      <w:r>
        <w:t xml:space="preserve">Per the rate Settlement Agreement proposed in Docket No. 20210015-EI, which proposes to discontinue the recovery of Indiantown non-fuel revenue requirements through the Capacity Clause and instead proposes to recover Indiantown site revenue requirements through base rates, FPL has not included Indiantown non-fuel base revenue requirements in the 2022 Capacity Clause.  </w:t>
      </w:r>
    </w:p>
    <w:p w:rsidR="001912AC" w:rsidRPr="00376766" w:rsidRDefault="001912AC" w:rsidP="001912AC">
      <w:pPr>
        <w:ind w:left="1440" w:hanging="1440"/>
        <w:jc w:val="both"/>
        <w:rPr>
          <w:b/>
        </w:rPr>
      </w:pPr>
    </w:p>
    <w:p w:rsidR="001912AC" w:rsidRDefault="001912AC" w:rsidP="001912AC">
      <w:pPr>
        <w:ind w:left="1440" w:hanging="1440"/>
        <w:jc w:val="both"/>
        <w:rPr>
          <w:b/>
        </w:rPr>
      </w:pPr>
      <w:r w:rsidRPr="00520C62">
        <w:rPr>
          <w:b/>
          <w:u w:val="single"/>
        </w:rPr>
        <w:lastRenderedPageBreak/>
        <w:t>ISSUE 24</w:t>
      </w:r>
      <w:r>
        <w:rPr>
          <w:b/>
          <w:u w:val="single"/>
        </w:rPr>
        <w:t>D</w:t>
      </w:r>
      <w:r w:rsidRPr="00520C62">
        <w:rPr>
          <w:b/>
        </w:rPr>
        <w:t>:</w:t>
      </w:r>
      <w:r>
        <w:rPr>
          <w:b/>
        </w:rPr>
        <w:tab/>
      </w:r>
      <w:r w:rsidRPr="00777C7E">
        <w:rPr>
          <w:b/>
        </w:rPr>
        <w:t>What is the appropriate true-up adjustment amount associated with Okeechobee Clean Energy Center Generation Limited Scope Adjustment as required by Order NO. PSC-2016-0560-AS-EI?</w:t>
      </w:r>
    </w:p>
    <w:p w:rsidR="001912AC" w:rsidRPr="00973EEA" w:rsidRDefault="001912AC" w:rsidP="001912AC">
      <w:pPr>
        <w:ind w:left="1440" w:hanging="1440"/>
        <w:jc w:val="both"/>
      </w:pPr>
    </w:p>
    <w:p w:rsidR="001912AC" w:rsidRDefault="001912AC" w:rsidP="001912AC">
      <w:r>
        <w:rPr>
          <w:b/>
        </w:rPr>
        <w:t>Stipulation:</w:t>
      </w:r>
      <w:r>
        <w:rPr>
          <w:b/>
        </w:rPr>
        <w:tab/>
      </w:r>
      <w:r>
        <w:t>$5,055,917.</w:t>
      </w:r>
    </w:p>
    <w:p w:rsidR="001912AC" w:rsidRPr="00376766" w:rsidRDefault="001912AC" w:rsidP="001912AC"/>
    <w:p w:rsidR="001912AC" w:rsidRPr="00BF6EBB" w:rsidRDefault="001912AC" w:rsidP="001912AC">
      <w:pPr>
        <w:autoSpaceDE w:val="0"/>
        <w:autoSpaceDN w:val="0"/>
        <w:adjustRightInd w:val="0"/>
        <w:ind w:left="1440" w:hanging="1440"/>
        <w:jc w:val="both"/>
        <w:rPr>
          <w:b/>
          <w:bCs/>
        </w:rPr>
      </w:pPr>
      <w:r w:rsidRPr="00BF6EBB">
        <w:rPr>
          <w:b/>
          <w:bCs/>
        </w:rPr>
        <w:t>Gulf Power Company</w:t>
      </w:r>
    </w:p>
    <w:p w:rsidR="001912AC" w:rsidRPr="00BF6EBB" w:rsidRDefault="001912AC" w:rsidP="001912AC">
      <w:pPr>
        <w:autoSpaceDE w:val="0"/>
        <w:autoSpaceDN w:val="0"/>
        <w:adjustRightInd w:val="0"/>
        <w:jc w:val="both"/>
      </w:pPr>
    </w:p>
    <w:p w:rsidR="001912AC" w:rsidRPr="00BF6EBB" w:rsidRDefault="001912AC" w:rsidP="001912AC">
      <w:pPr>
        <w:autoSpaceDE w:val="0"/>
        <w:autoSpaceDN w:val="0"/>
        <w:adjustRightInd w:val="0"/>
        <w:jc w:val="both"/>
      </w:pPr>
      <w:r w:rsidRPr="00BF6EBB">
        <w:t>No company-specific capacity cost recovery factor issues for Gulf Power Company have been identified at this time. If such issues are identified, they will be numbered 25A, 25B, 25C, and so forth, as appropriate.</w:t>
      </w:r>
    </w:p>
    <w:p w:rsidR="001912AC" w:rsidRPr="00BF6EBB" w:rsidRDefault="001912AC" w:rsidP="001912AC">
      <w:pPr>
        <w:autoSpaceDE w:val="0"/>
        <w:autoSpaceDN w:val="0"/>
        <w:adjustRightInd w:val="0"/>
        <w:jc w:val="both"/>
      </w:pPr>
    </w:p>
    <w:p w:rsidR="001912AC" w:rsidRPr="00BF6EBB" w:rsidRDefault="001912AC" w:rsidP="001912AC">
      <w:pPr>
        <w:rPr>
          <w:b/>
          <w:bCs/>
        </w:rPr>
      </w:pPr>
      <w:r w:rsidRPr="00BF6EBB">
        <w:rPr>
          <w:b/>
          <w:bCs/>
        </w:rPr>
        <w:t>Tampa Electric Company</w:t>
      </w:r>
    </w:p>
    <w:p w:rsidR="001912AC" w:rsidRPr="00BF6EBB" w:rsidRDefault="001912AC" w:rsidP="001912AC">
      <w:pPr>
        <w:autoSpaceDE w:val="0"/>
        <w:autoSpaceDN w:val="0"/>
        <w:adjustRightInd w:val="0"/>
        <w:jc w:val="both"/>
      </w:pPr>
    </w:p>
    <w:p w:rsidR="001912AC" w:rsidRPr="00BF6EBB" w:rsidRDefault="001912AC" w:rsidP="001912AC">
      <w:pPr>
        <w:autoSpaceDE w:val="0"/>
        <w:autoSpaceDN w:val="0"/>
        <w:adjustRightInd w:val="0"/>
        <w:jc w:val="both"/>
      </w:pPr>
      <w:r w:rsidRPr="00BF6EBB">
        <w:t>No company-specific capacity cost recovery factor issues for Tampa Electric Company have been identified at this time. If such issues are identified, they will be numbered 26A, 26B, 26C, and so forth, as appropriate.</w:t>
      </w:r>
    </w:p>
    <w:p w:rsidR="001912AC" w:rsidRPr="00BF6EBB" w:rsidRDefault="001912AC" w:rsidP="001912AC">
      <w:pPr>
        <w:rPr>
          <w:b/>
          <w:bCs/>
        </w:rPr>
      </w:pPr>
    </w:p>
    <w:p w:rsidR="001912AC" w:rsidRPr="00BF6EBB" w:rsidRDefault="001912AC" w:rsidP="001912AC">
      <w:pPr>
        <w:rPr>
          <w:b/>
          <w:bCs/>
        </w:rPr>
      </w:pPr>
      <w:r w:rsidRPr="00BF6EBB">
        <w:rPr>
          <w:b/>
          <w:bCs/>
        </w:rPr>
        <w:t>GENERIC CAPACITY COST RECOVERY FACTOR ISSUES</w:t>
      </w:r>
    </w:p>
    <w:p w:rsidR="001912AC" w:rsidRPr="00BF6EBB" w:rsidRDefault="001912AC" w:rsidP="001912AC">
      <w:pPr>
        <w:autoSpaceDE w:val="0"/>
        <w:autoSpaceDN w:val="0"/>
        <w:adjustRightInd w:val="0"/>
      </w:pPr>
    </w:p>
    <w:p w:rsidR="001912AC" w:rsidRPr="00BF6EBB" w:rsidRDefault="001912AC" w:rsidP="001912AC">
      <w:pPr>
        <w:autoSpaceDE w:val="0"/>
        <w:autoSpaceDN w:val="0"/>
        <w:adjustRightInd w:val="0"/>
        <w:ind w:left="1440" w:hanging="1440"/>
        <w:jc w:val="both"/>
      </w:pPr>
      <w:r w:rsidRPr="00BF6EBB">
        <w:rPr>
          <w:b/>
          <w:bCs/>
          <w:u w:val="single"/>
        </w:rPr>
        <w:t>ISSUE 27:</w:t>
      </w:r>
      <w:r w:rsidRPr="00BF6EBB">
        <w:tab/>
      </w:r>
      <w:r w:rsidRPr="00777C7E">
        <w:rPr>
          <w:b/>
        </w:rPr>
        <w:t xml:space="preserve">What are the appropriate final capacity cost recovery true-up amounts for the period January 2020 through December 2020? </w:t>
      </w:r>
    </w:p>
    <w:p w:rsidR="001912AC" w:rsidRDefault="001912AC" w:rsidP="001912AC"/>
    <w:p w:rsidR="001912AC" w:rsidRPr="00376766" w:rsidRDefault="001912AC" w:rsidP="001912AC">
      <w:r>
        <w:rPr>
          <w:b/>
        </w:rPr>
        <w:t>Stipulation:</w:t>
      </w:r>
      <w:r>
        <w:rPr>
          <w:b/>
        </w:rPr>
        <w:tab/>
      </w:r>
    </w:p>
    <w:p w:rsidR="001912AC" w:rsidRDefault="001912AC" w:rsidP="001912AC">
      <w:pPr>
        <w:ind w:left="1440" w:hanging="1440"/>
        <w:jc w:val="both"/>
      </w:pPr>
      <w:r>
        <w:rPr>
          <w:b/>
          <w:bCs/>
        </w:rPr>
        <w:t>DEF</w:t>
      </w:r>
      <w:r w:rsidRPr="00701945">
        <w:rPr>
          <w:b/>
          <w:bCs/>
        </w:rPr>
        <w:t>:</w:t>
      </w:r>
      <w:r>
        <w:rPr>
          <w:b/>
          <w:bCs/>
        </w:rPr>
        <w:tab/>
      </w:r>
      <w:r w:rsidRPr="000A1449">
        <w:t>$6,533,167 over-recovery</w:t>
      </w:r>
      <w:r>
        <w:t>.</w:t>
      </w:r>
      <w:r w:rsidRPr="00701945">
        <w:tab/>
      </w:r>
    </w:p>
    <w:p w:rsidR="001912AC" w:rsidRDefault="001912AC" w:rsidP="001912AC">
      <w:pPr>
        <w:ind w:left="1440" w:hanging="1440"/>
        <w:jc w:val="both"/>
      </w:pPr>
    </w:p>
    <w:p w:rsidR="001912AC" w:rsidRDefault="001912AC" w:rsidP="001912AC">
      <w:pPr>
        <w:ind w:left="1440" w:hanging="1440"/>
        <w:jc w:val="both"/>
      </w:pPr>
      <w:r>
        <w:rPr>
          <w:b/>
          <w:bCs/>
        </w:rPr>
        <w:t>FPL</w:t>
      </w:r>
      <w:r w:rsidRPr="005D4B47">
        <w:rPr>
          <w:b/>
          <w:bCs/>
        </w:rPr>
        <w:t>:</w:t>
      </w:r>
      <w:r>
        <w:rPr>
          <w:b/>
          <w:bCs/>
        </w:rPr>
        <w:tab/>
      </w:r>
      <w:r w:rsidRPr="0021218E">
        <w:rPr>
          <w:bCs/>
        </w:rPr>
        <w:t>$3,863,612 over-recovery.</w:t>
      </w:r>
      <w:r>
        <w:rPr>
          <w:b/>
          <w:bCs/>
        </w:rPr>
        <w:tab/>
      </w:r>
    </w:p>
    <w:p w:rsidR="001912AC" w:rsidRDefault="001912AC" w:rsidP="001912AC">
      <w:pPr>
        <w:jc w:val="both"/>
      </w:pPr>
    </w:p>
    <w:p w:rsidR="001912AC" w:rsidRPr="00701945" w:rsidRDefault="001912AC" w:rsidP="001912AC">
      <w:pPr>
        <w:ind w:left="1440" w:hanging="1440"/>
        <w:jc w:val="both"/>
      </w:pPr>
      <w:r>
        <w:rPr>
          <w:b/>
          <w:bCs/>
        </w:rPr>
        <w:t>GULF</w:t>
      </w:r>
      <w:r w:rsidRPr="00701945">
        <w:rPr>
          <w:b/>
          <w:bCs/>
        </w:rPr>
        <w:t>:</w:t>
      </w:r>
      <w:r w:rsidRPr="00701945">
        <w:tab/>
      </w:r>
      <w:r>
        <w:t xml:space="preserve">$838,127 over-recovery.  </w:t>
      </w:r>
    </w:p>
    <w:p w:rsidR="001912AC" w:rsidRPr="00701945" w:rsidRDefault="001912AC" w:rsidP="001912AC">
      <w:pPr>
        <w:jc w:val="both"/>
      </w:pPr>
    </w:p>
    <w:p w:rsidR="001912AC" w:rsidRDefault="001912AC" w:rsidP="001912AC">
      <w:pPr>
        <w:rPr>
          <w:bCs/>
        </w:rPr>
      </w:pPr>
      <w:r>
        <w:rPr>
          <w:b/>
          <w:bCs/>
        </w:rPr>
        <w:t>TECO</w:t>
      </w:r>
      <w:r w:rsidRPr="005D4B47">
        <w:rPr>
          <w:b/>
          <w:bCs/>
        </w:rPr>
        <w:t>:</w:t>
      </w:r>
      <w:r>
        <w:rPr>
          <w:b/>
          <w:bCs/>
        </w:rPr>
        <w:tab/>
      </w:r>
      <w:r w:rsidRPr="008A6152">
        <w:rPr>
          <w:bCs/>
        </w:rPr>
        <w:t>$</w:t>
      </w:r>
      <w:r w:rsidRPr="007C5BA6">
        <w:rPr>
          <w:bCs/>
        </w:rPr>
        <w:t>3,354,779</w:t>
      </w:r>
      <w:r w:rsidRPr="00402409">
        <w:rPr>
          <w:bCs/>
        </w:rPr>
        <w:t xml:space="preserve"> </w:t>
      </w:r>
      <w:r>
        <w:rPr>
          <w:bCs/>
        </w:rPr>
        <w:t>under-recovery.</w:t>
      </w:r>
    </w:p>
    <w:p w:rsidR="001912AC" w:rsidRPr="00376766" w:rsidRDefault="001912AC" w:rsidP="001912AC">
      <w:pPr>
        <w:rPr>
          <w:b/>
        </w:rPr>
      </w:pPr>
    </w:p>
    <w:p w:rsidR="001912AC" w:rsidRPr="00BF6EBB" w:rsidRDefault="001912AC" w:rsidP="001912AC">
      <w:pPr>
        <w:autoSpaceDE w:val="0"/>
        <w:autoSpaceDN w:val="0"/>
        <w:adjustRightInd w:val="0"/>
        <w:ind w:left="1440" w:hanging="1440"/>
        <w:jc w:val="both"/>
      </w:pPr>
      <w:r w:rsidRPr="00BF6EBB">
        <w:rPr>
          <w:b/>
          <w:bCs/>
          <w:u w:val="single"/>
        </w:rPr>
        <w:t>ISSUE 28</w:t>
      </w:r>
      <w:r w:rsidRPr="00BF6EBB">
        <w:t>:</w:t>
      </w:r>
      <w:r w:rsidRPr="00BF6EBB">
        <w:tab/>
      </w:r>
      <w:r w:rsidRPr="00777C7E">
        <w:rPr>
          <w:b/>
        </w:rPr>
        <w:t xml:space="preserve">What are the appropriate capacity cost recovery actual/estimated true-up amounts for the period January 2021 through December 2021?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Pr>
          <w:b/>
          <w:bCs/>
        </w:rPr>
        <w:tab/>
      </w:r>
      <w:r w:rsidRPr="000A1449">
        <w:t>$3,814,896 under-recovery</w:t>
      </w:r>
      <w:r>
        <w:t>.</w:t>
      </w:r>
      <w:r w:rsidRPr="00701945">
        <w:tab/>
      </w:r>
    </w:p>
    <w:p w:rsidR="001912AC" w:rsidRDefault="001912AC" w:rsidP="001912AC">
      <w:pPr>
        <w:ind w:left="1440" w:hanging="1440"/>
        <w:jc w:val="both"/>
      </w:pPr>
    </w:p>
    <w:p w:rsidR="001912AC" w:rsidRDefault="001912AC" w:rsidP="001912AC">
      <w:pPr>
        <w:ind w:left="1440" w:hanging="1440"/>
        <w:jc w:val="both"/>
      </w:pPr>
      <w:r>
        <w:rPr>
          <w:b/>
          <w:bCs/>
        </w:rPr>
        <w:t>FPL</w:t>
      </w:r>
      <w:r w:rsidRPr="005D4B47">
        <w:rPr>
          <w:b/>
          <w:bCs/>
        </w:rPr>
        <w:t>:</w:t>
      </w:r>
      <w:r>
        <w:rPr>
          <w:b/>
          <w:bCs/>
        </w:rPr>
        <w:tab/>
      </w:r>
      <w:r w:rsidRPr="0021218E">
        <w:rPr>
          <w:bCs/>
        </w:rPr>
        <w:t xml:space="preserve">$4,916,997 over-recovery.  </w:t>
      </w:r>
      <w:r>
        <w:rPr>
          <w:b/>
          <w:bCs/>
        </w:rPr>
        <w:tab/>
      </w:r>
    </w:p>
    <w:p w:rsidR="001912AC" w:rsidRDefault="001912AC" w:rsidP="001912AC">
      <w:pPr>
        <w:jc w:val="both"/>
      </w:pPr>
    </w:p>
    <w:p w:rsidR="001912AC" w:rsidRDefault="001912AC" w:rsidP="001912AC">
      <w:pPr>
        <w:ind w:left="1440" w:hanging="1440"/>
        <w:jc w:val="both"/>
        <w:rPr>
          <w:bCs/>
        </w:rPr>
      </w:pPr>
      <w:r>
        <w:rPr>
          <w:b/>
          <w:bCs/>
        </w:rPr>
        <w:t>GULF</w:t>
      </w:r>
      <w:r w:rsidRPr="00701945">
        <w:rPr>
          <w:b/>
          <w:bCs/>
        </w:rPr>
        <w:t>:</w:t>
      </w:r>
      <w:r>
        <w:rPr>
          <w:b/>
          <w:bCs/>
        </w:rPr>
        <w:tab/>
      </w:r>
      <w:r w:rsidRPr="0021218E">
        <w:rPr>
          <w:bCs/>
        </w:rPr>
        <w:t xml:space="preserve">$1,687,693 over-recovery. </w:t>
      </w:r>
    </w:p>
    <w:p w:rsidR="001912AC" w:rsidRPr="0021218E" w:rsidRDefault="001912AC" w:rsidP="001912AC">
      <w:pPr>
        <w:ind w:left="1440" w:hanging="1440"/>
        <w:jc w:val="both"/>
      </w:pPr>
    </w:p>
    <w:p w:rsidR="001912AC" w:rsidRDefault="001912AC" w:rsidP="001912AC">
      <w:pPr>
        <w:rPr>
          <w:bCs/>
        </w:rPr>
      </w:pPr>
      <w:r>
        <w:rPr>
          <w:b/>
          <w:bCs/>
        </w:rPr>
        <w:t>TECO</w:t>
      </w:r>
      <w:r w:rsidRPr="005D4B47">
        <w:rPr>
          <w:b/>
          <w:bCs/>
        </w:rPr>
        <w:t>:</w:t>
      </w:r>
      <w:r>
        <w:rPr>
          <w:b/>
          <w:bCs/>
        </w:rPr>
        <w:tab/>
      </w:r>
      <w:r w:rsidRPr="007C5BA6">
        <w:rPr>
          <w:bCs/>
        </w:rPr>
        <w:t>$</w:t>
      </w:r>
      <w:r w:rsidRPr="000A1498">
        <w:rPr>
          <w:bCs/>
        </w:rPr>
        <w:t xml:space="preserve"> 5,739,145</w:t>
      </w:r>
      <w:r>
        <w:rPr>
          <w:bCs/>
        </w:rPr>
        <w:t xml:space="preserve"> over</w:t>
      </w:r>
      <w:r w:rsidRPr="00402409">
        <w:rPr>
          <w:bCs/>
        </w:rPr>
        <w:t>-recovery.</w:t>
      </w:r>
    </w:p>
    <w:p w:rsidR="001912AC" w:rsidRPr="00520C62" w:rsidRDefault="001912AC" w:rsidP="001912AC"/>
    <w:p w:rsidR="001912AC" w:rsidRPr="00BF6EBB" w:rsidRDefault="001912AC" w:rsidP="001912AC">
      <w:pPr>
        <w:autoSpaceDE w:val="0"/>
        <w:autoSpaceDN w:val="0"/>
        <w:adjustRightInd w:val="0"/>
        <w:ind w:left="1440" w:hanging="1440"/>
        <w:jc w:val="both"/>
      </w:pPr>
      <w:r w:rsidRPr="00BF6EBB">
        <w:rPr>
          <w:b/>
          <w:bCs/>
          <w:u w:val="single"/>
        </w:rPr>
        <w:lastRenderedPageBreak/>
        <w:t>ISSUE 29</w:t>
      </w:r>
      <w:r w:rsidRPr="00BF6EBB">
        <w:t>:</w:t>
      </w:r>
      <w:r w:rsidRPr="00BF6EBB">
        <w:tab/>
      </w:r>
      <w:r w:rsidRPr="00777C7E">
        <w:rPr>
          <w:b/>
        </w:rPr>
        <w:t>What are the appropriate total capacity cost recovery true-up amounts to be collected/refunded during the period January 2022 through December 2022?</w:t>
      </w:r>
      <w:r w:rsidRPr="00BF6EBB">
        <w:t xml:space="preserve">  </w:t>
      </w:r>
    </w:p>
    <w:p w:rsidR="001912AC" w:rsidRDefault="001912AC" w:rsidP="001912AC"/>
    <w:p w:rsidR="001912AC" w:rsidRPr="00406FFC" w:rsidRDefault="001912AC" w:rsidP="001912AC">
      <w:pPr>
        <w:rPr>
          <w:b/>
        </w:rPr>
      </w:pPr>
      <w:r w:rsidRPr="00406FFC">
        <w:rPr>
          <w:b/>
        </w:rPr>
        <w:t>Stipulation:</w:t>
      </w:r>
    </w:p>
    <w:p w:rsidR="001912AC" w:rsidRDefault="001912AC" w:rsidP="001912AC">
      <w:pPr>
        <w:ind w:left="1440" w:hanging="1440"/>
        <w:jc w:val="both"/>
      </w:pPr>
      <w:r>
        <w:rPr>
          <w:b/>
          <w:bCs/>
        </w:rPr>
        <w:t>DEF</w:t>
      </w:r>
      <w:r w:rsidRPr="00701945">
        <w:rPr>
          <w:b/>
          <w:bCs/>
        </w:rPr>
        <w:t>:</w:t>
      </w:r>
      <w:r>
        <w:rPr>
          <w:b/>
          <w:bCs/>
        </w:rPr>
        <w:tab/>
      </w:r>
      <w:r w:rsidRPr="000A1449">
        <w:t>$2,718,273 over-recovery</w:t>
      </w:r>
      <w:r>
        <w:t>.</w:t>
      </w:r>
      <w:r w:rsidRPr="00701945">
        <w:tab/>
      </w:r>
    </w:p>
    <w:p w:rsidR="001912AC" w:rsidRDefault="001912AC" w:rsidP="001912AC">
      <w:pPr>
        <w:ind w:left="1440" w:hanging="1440"/>
        <w:jc w:val="both"/>
      </w:pPr>
    </w:p>
    <w:p w:rsidR="001912AC" w:rsidRDefault="001912AC" w:rsidP="001912AC">
      <w:pPr>
        <w:ind w:left="1440" w:hanging="1440"/>
        <w:jc w:val="both"/>
      </w:pPr>
      <w:r>
        <w:rPr>
          <w:b/>
          <w:bCs/>
        </w:rPr>
        <w:t>FPL/GULF</w:t>
      </w:r>
      <w:r w:rsidRPr="005D4B47">
        <w:rPr>
          <w:b/>
          <w:bCs/>
        </w:rPr>
        <w:t>:</w:t>
      </w:r>
      <w:r>
        <w:rPr>
          <w:b/>
          <w:bCs/>
        </w:rPr>
        <w:tab/>
      </w:r>
      <w:r w:rsidRPr="0021218E">
        <w:rPr>
          <w:bCs/>
        </w:rPr>
        <w:t>$11,306,429 over-recovery.</w:t>
      </w:r>
      <w:r>
        <w:rPr>
          <w:b/>
          <w:bCs/>
        </w:rPr>
        <w:tab/>
      </w:r>
    </w:p>
    <w:p w:rsidR="001912AC" w:rsidRDefault="001912AC" w:rsidP="001912AC">
      <w:pPr>
        <w:jc w:val="both"/>
      </w:pPr>
    </w:p>
    <w:p w:rsidR="001912AC" w:rsidRDefault="001912AC" w:rsidP="001912AC">
      <w:pPr>
        <w:rPr>
          <w:bCs/>
        </w:rPr>
      </w:pPr>
      <w:r>
        <w:rPr>
          <w:b/>
          <w:bCs/>
        </w:rPr>
        <w:t>TECO</w:t>
      </w:r>
      <w:r w:rsidRPr="005D4B47">
        <w:rPr>
          <w:b/>
          <w:bCs/>
        </w:rPr>
        <w:t>:</w:t>
      </w:r>
      <w:r>
        <w:rPr>
          <w:b/>
          <w:bCs/>
        </w:rPr>
        <w:tab/>
      </w:r>
      <w:r w:rsidRPr="004000B9">
        <w:rPr>
          <w:bCs/>
        </w:rPr>
        <w:t>$</w:t>
      </w:r>
      <w:r>
        <w:rPr>
          <w:bCs/>
        </w:rPr>
        <w:t>25,180 under</w:t>
      </w:r>
      <w:r w:rsidRPr="004000B9">
        <w:rPr>
          <w:bCs/>
        </w:rPr>
        <w:t>-recovery.</w:t>
      </w:r>
    </w:p>
    <w:p w:rsidR="001912AC" w:rsidRPr="00406FFC" w:rsidRDefault="001912AC" w:rsidP="001912AC"/>
    <w:p w:rsidR="001912AC" w:rsidRPr="00BF6EBB" w:rsidRDefault="001912AC" w:rsidP="001912AC">
      <w:pPr>
        <w:autoSpaceDE w:val="0"/>
        <w:autoSpaceDN w:val="0"/>
        <w:adjustRightInd w:val="0"/>
        <w:ind w:left="1440" w:hanging="1440"/>
        <w:jc w:val="both"/>
      </w:pPr>
      <w:r w:rsidRPr="00BF6EBB">
        <w:rPr>
          <w:b/>
          <w:bCs/>
          <w:caps/>
          <w:u w:val="single"/>
        </w:rPr>
        <w:t>Issue</w:t>
      </w:r>
      <w:r w:rsidRPr="00BF6EBB">
        <w:rPr>
          <w:b/>
          <w:bCs/>
          <w:u w:val="single"/>
        </w:rPr>
        <w:t xml:space="preserve"> 30</w:t>
      </w:r>
      <w:r w:rsidRPr="00BF6EBB">
        <w:rPr>
          <w:b/>
          <w:bCs/>
        </w:rPr>
        <w:t>:</w:t>
      </w:r>
      <w:r w:rsidRPr="00BF6EBB">
        <w:tab/>
      </w:r>
      <w:r w:rsidRPr="00777C7E">
        <w:rPr>
          <w:b/>
        </w:rPr>
        <w:t xml:space="preserve">What are the appropriate projected total capacity cost recovery amounts for the period January 2022 through December 2022? </w:t>
      </w:r>
      <w:r w:rsidRPr="00BF6EBB">
        <w:t xml:space="preserve">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Pr>
          <w:b/>
          <w:bCs/>
        </w:rPr>
        <w:tab/>
      </w:r>
      <w:r w:rsidRPr="000A1449">
        <w:t>$402,634,269</w:t>
      </w:r>
      <w:r>
        <w:t>.</w:t>
      </w:r>
      <w:r w:rsidRPr="00701945">
        <w:tab/>
      </w:r>
    </w:p>
    <w:p w:rsidR="001912AC" w:rsidRDefault="001912AC" w:rsidP="001912AC">
      <w:pPr>
        <w:ind w:left="1440" w:hanging="1440"/>
        <w:jc w:val="both"/>
      </w:pPr>
    </w:p>
    <w:p w:rsidR="001912AC" w:rsidRDefault="001912AC" w:rsidP="001912AC">
      <w:pPr>
        <w:ind w:left="1440" w:hanging="1440"/>
        <w:jc w:val="both"/>
      </w:pPr>
      <w:r>
        <w:rPr>
          <w:b/>
          <w:bCs/>
        </w:rPr>
        <w:t>FPL/GULF</w:t>
      </w:r>
      <w:r w:rsidRPr="005D4B47">
        <w:rPr>
          <w:b/>
          <w:bCs/>
        </w:rPr>
        <w:t>:</w:t>
      </w:r>
      <w:r>
        <w:rPr>
          <w:b/>
          <w:bCs/>
        </w:rPr>
        <w:tab/>
      </w:r>
      <w:r>
        <w:t>$291,876,857 unified for the period January 2022 through December 2022, excluding separate current and prior period true-ups for FPL and Gulf, the OCEC LSA and 2019 and 2020 SoBRA projects true-up credits.</w:t>
      </w:r>
      <w:r>
        <w:rPr>
          <w:b/>
          <w:bCs/>
        </w:rPr>
        <w:tab/>
      </w:r>
    </w:p>
    <w:p w:rsidR="001912AC" w:rsidRDefault="001912AC" w:rsidP="001912AC">
      <w:pPr>
        <w:jc w:val="both"/>
      </w:pPr>
    </w:p>
    <w:p w:rsidR="001912AC" w:rsidRDefault="001912AC" w:rsidP="001912AC">
      <w:pPr>
        <w:ind w:left="1440" w:hanging="1440"/>
        <w:rPr>
          <w:bCs/>
        </w:rPr>
      </w:pPr>
      <w:r>
        <w:rPr>
          <w:b/>
          <w:bCs/>
        </w:rPr>
        <w:t>TECO</w:t>
      </w:r>
      <w:r w:rsidRPr="005D4B47">
        <w:rPr>
          <w:b/>
          <w:bCs/>
        </w:rPr>
        <w:t>:</w:t>
      </w:r>
      <w:r>
        <w:rPr>
          <w:b/>
          <w:bCs/>
        </w:rPr>
        <w:tab/>
      </w:r>
      <w:r w:rsidRPr="004000B9">
        <w:t>The projected total capacity cost recovery amount</w:t>
      </w:r>
      <w:r>
        <w:t xml:space="preserve"> </w:t>
      </w:r>
      <w:r w:rsidRPr="004000B9">
        <w:t xml:space="preserve">for the period January </w:t>
      </w:r>
      <w:r>
        <w:t>2022</w:t>
      </w:r>
      <w:r w:rsidRPr="004000B9">
        <w:t xml:space="preserve"> through December </w:t>
      </w:r>
      <w:r>
        <w:t>2022</w:t>
      </w:r>
      <w:r w:rsidRPr="004000B9">
        <w:t xml:space="preserve"> is</w:t>
      </w:r>
      <w:r w:rsidRPr="004000B9">
        <w:rPr>
          <w:bCs/>
        </w:rPr>
        <w:t xml:space="preserve"> $</w:t>
      </w:r>
      <w:r>
        <w:rPr>
          <w:bCs/>
        </w:rPr>
        <w:t>5,184,806</w:t>
      </w:r>
      <w:r w:rsidRPr="004000B9">
        <w:rPr>
          <w:bCs/>
        </w:rPr>
        <w:t>.</w:t>
      </w:r>
    </w:p>
    <w:p w:rsidR="001912AC" w:rsidRPr="00406FFC" w:rsidRDefault="001912AC" w:rsidP="001912AC">
      <w:pPr>
        <w:ind w:left="1440" w:hanging="1440"/>
        <w:rPr>
          <w:b/>
        </w:rPr>
      </w:pPr>
    </w:p>
    <w:p w:rsidR="001912AC" w:rsidRDefault="001912AC" w:rsidP="001912AC">
      <w:pPr>
        <w:ind w:left="1440" w:hanging="1440"/>
        <w:jc w:val="both"/>
      </w:pPr>
      <w:r w:rsidRPr="00BF6EBB">
        <w:rPr>
          <w:b/>
          <w:bCs/>
          <w:u w:val="single"/>
        </w:rPr>
        <w:t>ISSUE 31</w:t>
      </w:r>
      <w:r w:rsidRPr="00BF6EBB">
        <w:t>:</w:t>
      </w:r>
      <w:r w:rsidRPr="00BF6EBB">
        <w:tab/>
      </w:r>
      <w:r w:rsidRPr="00777C7E">
        <w:rPr>
          <w:b/>
        </w:rPr>
        <w:t>What are the appropriate projected net purchased power capacity cost recovery amounts to be included in the recovery factor for the period January 2022 through December 2022?</w:t>
      </w:r>
    </w:p>
    <w:p w:rsidR="001912AC" w:rsidRPr="00BF6EBB" w:rsidRDefault="001912AC" w:rsidP="001912AC">
      <w:pPr>
        <w:ind w:left="1440" w:hanging="1440"/>
        <w:jc w:val="both"/>
      </w:pPr>
      <w:r w:rsidRPr="00777C7E">
        <w:t xml:space="preserve">  </w:t>
      </w:r>
      <w:r w:rsidRPr="00BF6EBB">
        <w:t xml:space="preserve">                                                                              </w:t>
      </w:r>
    </w:p>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Pr>
          <w:b/>
          <w:bCs/>
        </w:rPr>
        <w:tab/>
      </w:r>
      <w:r w:rsidRPr="000A1449">
        <w:t>$406,801,229</w:t>
      </w:r>
      <w:r>
        <w:t>.</w:t>
      </w:r>
    </w:p>
    <w:p w:rsidR="001912AC" w:rsidRDefault="001912AC" w:rsidP="001912AC">
      <w:pPr>
        <w:ind w:left="1440" w:hanging="1440"/>
        <w:jc w:val="both"/>
      </w:pPr>
    </w:p>
    <w:p w:rsidR="001912AC" w:rsidRDefault="001912AC" w:rsidP="001912AC">
      <w:pPr>
        <w:ind w:left="1440" w:hanging="1440"/>
        <w:jc w:val="both"/>
        <w:rPr>
          <w:bCs/>
        </w:rPr>
      </w:pPr>
      <w:r>
        <w:rPr>
          <w:b/>
          <w:bCs/>
        </w:rPr>
        <w:t>FPL/GULF</w:t>
      </w:r>
      <w:r w:rsidRPr="005D4B47">
        <w:rPr>
          <w:b/>
          <w:bCs/>
        </w:rPr>
        <w:t>:</w:t>
      </w:r>
      <w:r>
        <w:rPr>
          <w:b/>
          <w:bCs/>
        </w:rPr>
        <w:tab/>
      </w:r>
      <w:r>
        <w:rPr>
          <w:bCs/>
        </w:rPr>
        <w:t xml:space="preserve">The unified projected net purchased power capacity cost recovery amount to be recovered over the period January 2022 through December 2022 is $275,309,761, including current and prior period true-ups, </w:t>
      </w:r>
      <w:r>
        <w:t>the OCEC LSA and 2019 and 2020 SoBRA projects true-up credits.</w:t>
      </w:r>
      <w:r>
        <w:rPr>
          <w:bCs/>
        </w:rPr>
        <w:t xml:space="preserve"> </w:t>
      </w:r>
    </w:p>
    <w:p w:rsidR="001912AC" w:rsidRPr="00701945" w:rsidRDefault="001912AC" w:rsidP="001912AC">
      <w:pPr>
        <w:jc w:val="both"/>
      </w:pPr>
    </w:p>
    <w:p w:rsidR="001912AC" w:rsidRDefault="001912AC" w:rsidP="001912AC">
      <w:pPr>
        <w:ind w:left="1440" w:hanging="1440"/>
        <w:rPr>
          <w:b/>
        </w:rPr>
      </w:pPr>
      <w:r>
        <w:rPr>
          <w:b/>
          <w:bCs/>
        </w:rPr>
        <w:t>TECO</w:t>
      </w:r>
      <w:r w:rsidRPr="005D4B47">
        <w:rPr>
          <w:b/>
          <w:bCs/>
        </w:rPr>
        <w:t>:</w:t>
      </w:r>
      <w:r>
        <w:rPr>
          <w:b/>
          <w:bCs/>
        </w:rPr>
        <w:tab/>
      </w:r>
      <w:r w:rsidRPr="009113F3">
        <w:rPr>
          <w:bCs/>
        </w:rPr>
        <w:t>The total recoverable capacity cost recovery amount to be collected, including the true-up amount, adjusted for the revenue tax factor</w:t>
      </w:r>
      <w:r w:rsidRPr="004000B9">
        <w:rPr>
          <w:bCs/>
        </w:rPr>
        <w:t>, is $</w:t>
      </w:r>
      <w:r>
        <w:rPr>
          <w:bCs/>
        </w:rPr>
        <w:t>5,128,028</w:t>
      </w:r>
      <w:r w:rsidRPr="009113F3">
        <w:rPr>
          <w:bCs/>
        </w:rPr>
        <w:t>.</w:t>
      </w:r>
    </w:p>
    <w:p w:rsidR="001912AC" w:rsidRPr="00B862B6" w:rsidRDefault="001912AC" w:rsidP="001912AC">
      <w:pPr>
        <w:rPr>
          <w:b/>
        </w:rPr>
      </w:pPr>
    </w:p>
    <w:p w:rsidR="001912AC" w:rsidRPr="00BF6EBB" w:rsidRDefault="001912AC" w:rsidP="001912AC">
      <w:pPr>
        <w:autoSpaceDE w:val="0"/>
        <w:autoSpaceDN w:val="0"/>
        <w:adjustRightInd w:val="0"/>
        <w:ind w:left="1440" w:hanging="1440"/>
        <w:jc w:val="both"/>
      </w:pPr>
      <w:r w:rsidRPr="00BF6EBB">
        <w:rPr>
          <w:b/>
          <w:bCs/>
          <w:u w:val="single"/>
        </w:rPr>
        <w:t>ISSUE 32</w:t>
      </w:r>
      <w:r w:rsidRPr="00BF6EBB">
        <w:t>:</w:t>
      </w:r>
      <w:r w:rsidRPr="00BF6EBB">
        <w:tab/>
      </w:r>
      <w:r w:rsidRPr="00777C7E">
        <w:rPr>
          <w:b/>
        </w:rPr>
        <w:t>What are the appropriate jurisdictional separation factors for capacity revenues and costs to be included in the recovery factor for the period January 2022 through December 2022?</w:t>
      </w:r>
      <w:r w:rsidRPr="00BF6EBB">
        <w:t xml:space="preserve"> </w:t>
      </w:r>
    </w:p>
    <w:p w:rsidR="001912AC" w:rsidRDefault="001912AC" w:rsidP="001912AC"/>
    <w:p w:rsidR="001912AC" w:rsidRDefault="001912AC" w:rsidP="001912AC">
      <w:pPr>
        <w:rPr>
          <w:b/>
        </w:rPr>
      </w:pPr>
      <w:r>
        <w:rPr>
          <w:b/>
        </w:rPr>
        <w:t>Stipulation:</w:t>
      </w:r>
    </w:p>
    <w:p w:rsidR="001912AC" w:rsidRDefault="001912AC" w:rsidP="001912AC">
      <w:pPr>
        <w:ind w:left="1440" w:hanging="1440"/>
        <w:jc w:val="both"/>
      </w:pPr>
      <w:r>
        <w:rPr>
          <w:b/>
          <w:bCs/>
        </w:rPr>
        <w:t>DEF</w:t>
      </w:r>
      <w:r w:rsidRPr="00701945">
        <w:rPr>
          <w:b/>
          <w:bCs/>
        </w:rPr>
        <w:t>:</w:t>
      </w:r>
      <w:r>
        <w:rPr>
          <w:b/>
          <w:bCs/>
        </w:rPr>
        <w:tab/>
      </w:r>
      <w:r w:rsidRPr="000A1449">
        <w:t>Base – 92.865%, Intermediate – 88.321%, Peaking – 90.678%, consistent with the 2021 Settlement approved in Order No. PSC-20</w:t>
      </w:r>
      <w:r>
        <w:t>21-0202-AS-EI.</w:t>
      </w:r>
      <w:r w:rsidRPr="00701945">
        <w:tab/>
      </w:r>
    </w:p>
    <w:p w:rsidR="001912AC" w:rsidRPr="0012230A" w:rsidRDefault="001912AC" w:rsidP="001912AC">
      <w:pPr>
        <w:rPr>
          <w:b/>
        </w:rPr>
      </w:pPr>
      <w:r>
        <w:rPr>
          <w:b/>
        </w:rPr>
        <w:lastRenderedPageBreak/>
        <w:t>FPL/GULF:</w:t>
      </w:r>
    </w:p>
    <w:p w:rsidR="001912AC" w:rsidRPr="0012230A" w:rsidRDefault="001912AC" w:rsidP="001912AC">
      <w:pPr>
        <w:rPr>
          <w:u w:val="single"/>
        </w:rPr>
      </w:pPr>
      <w:r>
        <w:tab/>
      </w:r>
      <w:r>
        <w:tab/>
      </w:r>
      <w:r w:rsidRPr="0012230A">
        <w:rPr>
          <w:u w:val="single"/>
        </w:rPr>
        <w:t>ENERGY</w:t>
      </w:r>
    </w:p>
    <w:p w:rsidR="001912AC" w:rsidRDefault="001912AC" w:rsidP="001912AC">
      <w:pPr>
        <w:keepNext/>
        <w:ind w:left="720" w:firstLine="720"/>
        <w:jc w:val="both"/>
        <w:rPr>
          <w:bCs/>
        </w:rPr>
      </w:pPr>
      <w:r>
        <w:rPr>
          <w:bCs/>
        </w:rPr>
        <w:t>Retail Energy Jurisdictional Factor - Base/Solar</w:t>
      </w:r>
      <w:r>
        <w:rPr>
          <w:bCs/>
        </w:rPr>
        <w:tab/>
      </w:r>
      <w:r>
        <w:rPr>
          <w:bCs/>
        </w:rPr>
        <w:tab/>
        <w:t>95.8917%</w:t>
      </w:r>
    </w:p>
    <w:p w:rsidR="001912AC" w:rsidRDefault="001912AC" w:rsidP="001912AC">
      <w:pPr>
        <w:keepNext/>
        <w:ind w:left="720" w:firstLine="720"/>
        <w:jc w:val="both"/>
        <w:rPr>
          <w:bCs/>
        </w:rPr>
      </w:pPr>
      <w:r>
        <w:rPr>
          <w:bCs/>
        </w:rPr>
        <w:t xml:space="preserve">Retail Energy Jurisdictional Factor - Intermediate </w:t>
      </w:r>
      <w:r>
        <w:rPr>
          <w:bCs/>
        </w:rPr>
        <w:tab/>
      </w:r>
      <w:r>
        <w:rPr>
          <w:bCs/>
        </w:rPr>
        <w:tab/>
        <w:t>94.7558%</w:t>
      </w:r>
    </w:p>
    <w:p w:rsidR="001912AC" w:rsidRDefault="001912AC" w:rsidP="001912AC">
      <w:pPr>
        <w:keepNext/>
        <w:ind w:left="720" w:firstLine="720"/>
        <w:jc w:val="both"/>
        <w:rPr>
          <w:bCs/>
        </w:rPr>
      </w:pPr>
      <w:r>
        <w:rPr>
          <w:bCs/>
        </w:rPr>
        <w:t>Retail Energy Jurisdictional Factor - Peaking</w:t>
      </w:r>
      <w:r>
        <w:rPr>
          <w:bCs/>
        </w:rPr>
        <w:tab/>
        <w:t xml:space="preserve"> </w:t>
      </w:r>
      <w:r>
        <w:rPr>
          <w:bCs/>
        </w:rPr>
        <w:tab/>
        <w:t>95.7721%</w:t>
      </w:r>
    </w:p>
    <w:p w:rsidR="001912AC" w:rsidRDefault="001912AC" w:rsidP="001912AC">
      <w:pPr>
        <w:keepNext/>
        <w:ind w:left="720" w:firstLine="720"/>
        <w:jc w:val="both"/>
        <w:rPr>
          <w:bCs/>
          <w:u w:val="single"/>
        </w:rPr>
      </w:pPr>
    </w:p>
    <w:p w:rsidR="001912AC" w:rsidRDefault="001912AC" w:rsidP="001912AC">
      <w:pPr>
        <w:ind w:left="720" w:firstLine="720"/>
        <w:jc w:val="both"/>
        <w:rPr>
          <w:bCs/>
          <w:u w:val="single"/>
        </w:rPr>
      </w:pPr>
      <w:r>
        <w:rPr>
          <w:bCs/>
          <w:u w:val="single"/>
        </w:rPr>
        <w:t>DEMAND</w:t>
      </w:r>
    </w:p>
    <w:p w:rsidR="001912AC" w:rsidRDefault="001912AC" w:rsidP="001912AC">
      <w:pPr>
        <w:ind w:left="720" w:firstLine="720"/>
        <w:jc w:val="both"/>
        <w:rPr>
          <w:bCs/>
        </w:rPr>
      </w:pPr>
      <w:r>
        <w:rPr>
          <w:bCs/>
        </w:rPr>
        <w:t xml:space="preserve">Retail Demand Jurisdictional Factor - Transmission    </w:t>
      </w:r>
      <w:r>
        <w:rPr>
          <w:bCs/>
        </w:rPr>
        <w:tab/>
        <w:t>90.2581%</w:t>
      </w:r>
    </w:p>
    <w:p w:rsidR="001912AC" w:rsidRDefault="001912AC" w:rsidP="001912AC">
      <w:pPr>
        <w:ind w:left="720" w:firstLine="720"/>
        <w:jc w:val="both"/>
        <w:rPr>
          <w:bCs/>
        </w:rPr>
      </w:pPr>
      <w:r>
        <w:rPr>
          <w:bCs/>
        </w:rPr>
        <w:t xml:space="preserve">Retail Demand Jurisdictional Factor - Base/Solar      </w:t>
      </w:r>
      <w:r>
        <w:rPr>
          <w:bCs/>
        </w:rPr>
        <w:tab/>
        <w:t>95.9314%</w:t>
      </w:r>
    </w:p>
    <w:p w:rsidR="001912AC" w:rsidRDefault="001912AC" w:rsidP="001912AC">
      <w:pPr>
        <w:ind w:left="720" w:firstLine="720"/>
        <w:jc w:val="both"/>
        <w:rPr>
          <w:bCs/>
        </w:rPr>
      </w:pPr>
      <w:r>
        <w:rPr>
          <w:bCs/>
        </w:rPr>
        <w:t xml:space="preserve">Retail Demand Jurisdictional Factor - Intermediate     </w:t>
      </w:r>
      <w:r>
        <w:rPr>
          <w:bCs/>
        </w:rPr>
        <w:tab/>
        <w:t>95.4287%</w:t>
      </w:r>
    </w:p>
    <w:p w:rsidR="001912AC" w:rsidRDefault="001912AC" w:rsidP="001912AC">
      <w:pPr>
        <w:ind w:left="720" w:firstLine="720"/>
        <w:jc w:val="both"/>
        <w:rPr>
          <w:bCs/>
        </w:rPr>
      </w:pPr>
      <w:r>
        <w:rPr>
          <w:bCs/>
        </w:rPr>
        <w:t xml:space="preserve">Retail Demand Jurisdictional Factor - Peaking       </w:t>
      </w:r>
      <w:r>
        <w:rPr>
          <w:bCs/>
        </w:rPr>
        <w:tab/>
      </w:r>
      <w:r>
        <w:rPr>
          <w:bCs/>
        </w:rPr>
        <w:tab/>
        <w:t>95.1837%</w:t>
      </w:r>
    </w:p>
    <w:p w:rsidR="001912AC" w:rsidRDefault="001912AC" w:rsidP="001912AC">
      <w:pPr>
        <w:ind w:left="720" w:firstLine="720"/>
        <w:jc w:val="both"/>
        <w:rPr>
          <w:bCs/>
        </w:rPr>
      </w:pPr>
      <w:r>
        <w:rPr>
          <w:bCs/>
        </w:rPr>
        <w:t xml:space="preserve">Retail Demand Jurisdictional Factor - Distribution   </w:t>
      </w:r>
      <w:r>
        <w:rPr>
          <w:bCs/>
        </w:rPr>
        <w:tab/>
      </w:r>
      <w:r>
        <w:rPr>
          <w:bCs/>
        </w:rPr>
        <w:tab/>
        <w:t>100.0000%</w:t>
      </w:r>
    </w:p>
    <w:p w:rsidR="001912AC" w:rsidRDefault="001912AC" w:rsidP="001912AC">
      <w:pPr>
        <w:ind w:left="720" w:firstLine="720"/>
        <w:jc w:val="both"/>
        <w:rPr>
          <w:bCs/>
        </w:rPr>
      </w:pPr>
    </w:p>
    <w:p w:rsidR="001912AC" w:rsidRDefault="001912AC" w:rsidP="001912AC">
      <w:pPr>
        <w:ind w:left="720" w:firstLine="720"/>
        <w:jc w:val="both"/>
        <w:rPr>
          <w:bCs/>
          <w:u w:val="single"/>
        </w:rPr>
      </w:pPr>
      <w:r>
        <w:rPr>
          <w:bCs/>
          <w:u w:val="single"/>
        </w:rPr>
        <w:t>GENERAL PLANT</w:t>
      </w:r>
    </w:p>
    <w:p w:rsidR="001912AC" w:rsidRDefault="001912AC" w:rsidP="001912AC">
      <w:pPr>
        <w:ind w:left="720" w:firstLine="720"/>
        <w:jc w:val="both"/>
        <w:rPr>
          <w:bCs/>
        </w:rPr>
      </w:pPr>
      <w:r>
        <w:rPr>
          <w:bCs/>
        </w:rPr>
        <w:t>Retail General Plant Jurisdictional Factor - Labor</w:t>
      </w:r>
      <w:r>
        <w:rPr>
          <w:bCs/>
        </w:rPr>
        <w:tab/>
      </w:r>
      <w:r>
        <w:rPr>
          <w:bCs/>
        </w:rPr>
        <w:tab/>
        <w:t>96.9001%</w:t>
      </w:r>
    </w:p>
    <w:p w:rsidR="001912AC" w:rsidRPr="00701945" w:rsidRDefault="001912AC" w:rsidP="001912AC">
      <w:r>
        <w:tab/>
      </w:r>
    </w:p>
    <w:p w:rsidR="001912AC" w:rsidRDefault="001912AC" w:rsidP="001912AC">
      <w:pPr>
        <w:rPr>
          <w:bCs/>
        </w:rPr>
      </w:pPr>
      <w:r>
        <w:rPr>
          <w:b/>
          <w:bCs/>
        </w:rPr>
        <w:t>TECO</w:t>
      </w:r>
      <w:r w:rsidRPr="005D4B47">
        <w:rPr>
          <w:b/>
          <w:bCs/>
        </w:rPr>
        <w:t>:</w:t>
      </w:r>
      <w:r>
        <w:rPr>
          <w:b/>
          <w:bCs/>
        </w:rPr>
        <w:tab/>
      </w:r>
      <w:r w:rsidRPr="009113F3">
        <w:rPr>
          <w:rFonts w:cs="Arial"/>
          <w:bCs/>
        </w:rPr>
        <w:t xml:space="preserve">The </w:t>
      </w:r>
      <w:r>
        <w:rPr>
          <w:rFonts w:cs="Arial"/>
          <w:bCs/>
        </w:rPr>
        <w:t xml:space="preserve">appropriate </w:t>
      </w:r>
      <w:r w:rsidRPr="009113F3">
        <w:rPr>
          <w:rFonts w:cs="Arial"/>
          <w:bCs/>
        </w:rPr>
        <w:t>jurisdictional se</w:t>
      </w:r>
      <w:r>
        <w:rPr>
          <w:rFonts w:cs="Arial"/>
          <w:bCs/>
        </w:rPr>
        <w:t>par</w:t>
      </w:r>
      <w:r w:rsidRPr="009113F3">
        <w:rPr>
          <w:rFonts w:cs="Arial"/>
          <w:bCs/>
        </w:rPr>
        <w:t>ation factor</w:t>
      </w:r>
      <w:r>
        <w:rPr>
          <w:rFonts w:cs="Arial"/>
          <w:bCs/>
        </w:rPr>
        <w:t xml:space="preserve"> </w:t>
      </w:r>
      <w:r w:rsidRPr="009113F3">
        <w:rPr>
          <w:rFonts w:cs="Arial"/>
          <w:bCs/>
        </w:rPr>
        <w:t xml:space="preserve">is </w:t>
      </w:r>
      <w:r>
        <w:rPr>
          <w:rFonts w:cs="Arial"/>
          <w:bCs/>
        </w:rPr>
        <w:t>1.0000000</w:t>
      </w:r>
      <w:r w:rsidRPr="009113F3">
        <w:rPr>
          <w:bCs/>
        </w:rPr>
        <w:t>.</w:t>
      </w:r>
    </w:p>
    <w:p w:rsidR="00815620" w:rsidRDefault="001912AC" w:rsidP="00815620">
      <w:r w:rsidRPr="009113F3">
        <w:rPr>
          <w:bCs/>
        </w:rPr>
        <w:t xml:space="preserve"> </w:t>
      </w:r>
      <w:r w:rsidRPr="00520C62">
        <w:t xml:space="preserve">                                                                        </w:t>
      </w:r>
    </w:p>
    <w:p w:rsidR="00815620" w:rsidRDefault="00815620">
      <w:pPr>
        <w:rPr>
          <w:b/>
          <w:bCs/>
          <w:u w:val="single"/>
        </w:rPr>
      </w:pPr>
      <w:r>
        <w:rPr>
          <w:b/>
          <w:bCs/>
          <w:u w:val="single"/>
        </w:rPr>
        <w:br w:type="page"/>
      </w:r>
    </w:p>
    <w:p w:rsidR="001912AC" w:rsidRPr="00777C7E" w:rsidRDefault="001912AC" w:rsidP="00815620">
      <w:pPr>
        <w:rPr>
          <w:b/>
        </w:rPr>
      </w:pPr>
      <w:r w:rsidRPr="00520C62">
        <w:rPr>
          <w:b/>
          <w:bCs/>
          <w:u w:val="single"/>
        </w:rPr>
        <w:lastRenderedPageBreak/>
        <w:t>ISSUE 33</w:t>
      </w:r>
      <w:r w:rsidRPr="00520C62">
        <w:t>:</w:t>
      </w:r>
      <w:r w:rsidRPr="00520C62">
        <w:tab/>
      </w:r>
      <w:r w:rsidRPr="00777C7E">
        <w:rPr>
          <w:b/>
        </w:rPr>
        <w:t>What are the appropriate capacity cost recovery factors for the period January 2022 through December 2022?</w:t>
      </w:r>
    </w:p>
    <w:p w:rsidR="001912AC" w:rsidRDefault="001912AC" w:rsidP="001912AC"/>
    <w:p w:rsidR="001912AC" w:rsidRPr="003A10E8" w:rsidRDefault="001912AC" w:rsidP="001912AC">
      <w:pPr>
        <w:rPr>
          <w:b/>
        </w:rPr>
      </w:pPr>
      <w:r w:rsidRPr="003A10E8">
        <w:rPr>
          <w:b/>
        </w:rPr>
        <w:t>Stipulation:</w:t>
      </w:r>
    </w:p>
    <w:p w:rsidR="001912AC" w:rsidRPr="003A10E8" w:rsidRDefault="001912AC" w:rsidP="001912AC">
      <w:pPr>
        <w:ind w:left="1440" w:hanging="1440"/>
        <w:jc w:val="both"/>
        <w:rPr>
          <w:bCs/>
        </w:rPr>
      </w:pPr>
      <w:r w:rsidRPr="003A10E8">
        <w:rPr>
          <w:b/>
        </w:rPr>
        <w:t>DEF:</w:t>
      </w:r>
      <w:r w:rsidRPr="003A10E8">
        <w:tab/>
        <w:t xml:space="preserve">The appropriate capacity cost recovery factors for the period January 2022 through December 2022 is shown in </w:t>
      </w:r>
      <w:r w:rsidRPr="003A10E8">
        <w:rPr>
          <w:bCs/>
        </w:rPr>
        <w:t>Tables 33-1A and 33-1B below:</w:t>
      </w:r>
    </w:p>
    <w:p w:rsidR="001912AC" w:rsidRPr="003A10E8" w:rsidRDefault="001912AC" w:rsidP="001912AC">
      <w:pPr>
        <w:ind w:left="1440" w:hanging="1440"/>
        <w:jc w:val="both"/>
      </w:pPr>
    </w:p>
    <w:p w:rsidR="001912AC" w:rsidRPr="003A10E8" w:rsidRDefault="001912AC" w:rsidP="001912AC">
      <w:pPr>
        <w:ind w:left="1440" w:hanging="1440"/>
        <w:jc w:val="both"/>
      </w:pPr>
    </w:p>
    <w:p w:rsidR="001912AC" w:rsidRPr="003A10E8" w:rsidRDefault="001912AC" w:rsidP="001912AC">
      <w:pPr>
        <w:ind w:left="1440" w:hanging="1440"/>
        <w:jc w:val="center"/>
        <w:rPr>
          <w:rFonts w:ascii="Arial" w:hAnsi="Arial" w:cs="Arial"/>
          <w:b/>
        </w:rPr>
      </w:pPr>
      <w:r w:rsidRPr="003A10E8">
        <w:rPr>
          <w:rFonts w:ascii="Arial" w:hAnsi="Arial" w:cs="Arial"/>
          <w:b/>
        </w:rPr>
        <w:t>Table 33-1A</w:t>
      </w:r>
    </w:p>
    <w:p w:rsidR="001912AC" w:rsidRPr="003A10E8" w:rsidRDefault="001912AC" w:rsidP="001912AC">
      <w:pPr>
        <w:keepNext/>
        <w:keepLines/>
        <w:jc w:val="center"/>
      </w:pPr>
      <w:r w:rsidRPr="003A10E8">
        <w:rPr>
          <w:rFonts w:ascii="Arial" w:hAnsi="Arial" w:cs="Arial"/>
          <w:b/>
        </w:rPr>
        <w:t>DEF Capacity Cost Recovery Factors for the period January 2022 - April 2022</w:t>
      </w:r>
    </w:p>
    <w:tbl>
      <w:tblPr>
        <w:tblStyle w:val="TableGrid"/>
        <w:tblW w:w="0" w:type="auto"/>
        <w:tblLook w:val="04A0" w:firstRow="1" w:lastRow="0" w:firstColumn="1" w:lastColumn="0" w:noHBand="0" w:noVBand="1"/>
      </w:tblPr>
      <w:tblGrid>
        <w:gridCol w:w="1622"/>
        <w:gridCol w:w="4443"/>
        <w:gridCol w:w="1588"/>
        <w:gridCol w:w="1697"/>
      </w:tblGrid>
      <w:tr w:rsidR="001912AC" w:rsidRPr="003A10E8" w:rsidTr="003B4907">
        <w:tc>
          <w:tcPr>
            <w:tcW w:w="60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autoSpaceDE w:val="0"/>
              <w:autoSpaceDN w:val="0"/>
              <w:adjustRightInd w:val="0"/>
              <w:jc w:val="center"/>
              <w:rPr>
                <w:b/>
                <w:bCs/>
              </w:rPr>
            </w:pPr>
            <w:r w:rsidRPr="003A10E8">
              <w:rPr>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center"/>
              <w:rPr>
                <w:b/>
                <w:bCs/>
              </w:rPr>
            </w:pPr>
            <w:r w:rsidRPr="003A10E8">
              <w:rPr>
                <w:b/>
                <w:bCs/>
              </w:rPr>
              <w:t>Capacity and ISFSI</w:t>
            </w:r>
          </w:p>
          <w:p w:rsidR="001912AC" w:rsidRPr="003A10E8" w:rsidRDefault="001912AC" w:rsidP="003B4907">
            <w:pPr>
              <w:autoSpaceDE w:val="0"/>
              <w:autoSpaceDN w:val="0"/>
              <w:adjustRightInd w:val="0"/>
              <w:jc w:val="center"/>
              <w:rPr>
                <w:b/>
                <w:bCs/>
              </w:rPr>
            </w:pPr>
            <w:r w:rsidRPr="003A10E8">
              <w:rPr>
                <w:b/>
                <w:bCs/>
              </w:rPr>
              <w:t>Cost Recovery Factors</w:t>
            </w:r>
          </w:p>
        </w:tc>
      </w:tr>
      <w:tr w:rsidR="001912AC" w:rsidRPr="003A10E8" w:rsidTr="003B49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jc w:val="center"/>
              <w:rPr>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1912AC" w:rsidRPr="003A10E8" w:rsidRDefault="001912AC" w:rsidP="003B4907">
            <w:pPr>
              <w:autoSpaceDE w:val="0"/>
              <w:autoSpaceDN w:val="0"/>
              <w:adjustRightInd w:val="0"/>
              <w:jc w:val="center"/>
              <w:rPr>
                <w:bCs/>
              </w:rPr>
            </w:pPr>
            <w:r w:rsidRPr="003A10E8">
              <w:rPr>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1912AC" w:rsidRPr="003A10E8" w:rsidRDefault="001912AC" w:rsidP="003B4907">
            <w:pPr>
              <w:autoSpaceDE w:val="0"/>
              <w:autoSpaceDN w:val="0"/>
              <w:adjustRightInd w:val="0"/>
              <w:jc w:val="center"/>
              <w:rPr>
                <w:bCs/>
              </w:rPr>
            </w:pPr>
            <w:r w:rsidRPr="003A10E8">
              <w:rPr>
                <w:bCs/>
              </w:rPr>
              <w:t>$/kW-month</w:t>
            </w:r>
          </w:p>
        </w:tc>
      </w:tr>
      <w:tr w:rsidR="001912AC" w:rsidRPr="003A10E8" w:rsidTr="003B4907">
        <w:tc>
          <w:tcPr>
            <w:tcW w:w="6065"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Residential (RS-1, RST-1, RSL-1, RSL-2, RSS-1)</w:t>
            </w:r>
          </w:p>
          <w:p w:rsidR="001912AC" w:rsidRPr="003A10E8" w:rsidRDefault="001912AC" w:rsidP="003B4907">
            <w:pPr>
              <w:autoSpaceDE w:val="0"/>
              <w:autoSpaceDN w:val="0"/>
              <w:adjustRightInd w:val="0"/>
              <w:rPr>
                <w:bCs/>
              </w:rPr>
            </w:pPr>
            <w:r w:rsidRPr="003A10E8">
              <w:rPr>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rsidR="001912AC" w:rsidRPr="003A10E8" w:rsidRDefault="001912AC" w:rsidP="003B4907">
            <w:pPr>
              <w:autoSpaceDE w:val="0"/>
              <w:autoSpaceDN w:val="0"/>
              <w:adjustRightInd w:val="0"/>
              <w:jc w:val="right"/>
              <w:rPr>
                <w:bCs/>
              </w:rPr>
            </w:pPr>
            <w:r w:rsidRPr="003A10E8">
              <w:rPr>
                <w:bCs/>
              </w:rPr>
              <w:t>1.103</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r>
      <w:tr w:rsidR="001912AC" w:rsidRPr="003A10E8" w:rsidTr="003B4907">
        <w:tc>
          <w:tcPr>
            <w:tcW w:w="6065"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Non-Demand (GS-1, GST-1)</w:t>
            </w:r>
          </w:p>
        </w:tc>
        <w:tc>
          <w:tcPr>
            <w:tcW w:w="1588"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0.966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158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0.956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158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0.947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6065"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(GS-2)</w:t>
            </w:r>
          </w:p>
        </w:tc>
        <w:tc>
          <w:tcPr>
            <w:tcW w:w="158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0.683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6065" w:type="dxa"/>
            <w:gridSpan w:val="2"/>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rPr>
                <w:bCs/>
              </w:rPr>
            </w:pPr>
            <w:r w:rsidRPr="003A10E8">
              <w:rPr>
                <w:bCs/>
              </w:rPr>
              <w:t>Lighting (LS-1)</w:t>
            </w:r>
          </w:p>
        </w:tc>
        <w:tc>
          <w:tcPr>
            <w:tcW w:w="1588"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0.285</w:t>
            </w:r>
          </w:p>
        </w:tc>
        <w:tc>
          <w:tcPr>
            <w:tcW w:w="0" w:type="auto"/>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rPr>
                <w:bCs/>
              </w:rPr>
            </w:pPr>
          </w:p>
        </w:tc>
      </w:tr>
      <w:tr w:rsidR="001912AC" w:rsidRPr="003A10E8" w:rsidTr="003B4907">
        <w:tc>
          <w:tcPr>
            <w:tcW w:w="9350"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Demand (GSD-1, GSDT-1, SS-1)</w:t>
            </w: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2.85</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2.82</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2.79</w:t>
            </w:r>
          </w:p>
        </w:tc>
      </w:tr>
      <w:tr w:rsidR="001912AC" w:rsidRPr="003A10E8" w:rsidTr="003B4907">
        <w:tc>
          <w:tcPr>
            <w:tcW w:w="9350"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Curtailable (CS-1, CST-1, CS-2, CST-2, CS-3, CST-3, SS-3)</w:t>
            </w: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1.19</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1.18</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1.16</w:t>
            </w:r>
          </w:p>
        </w:tc>
      </w:tr>
      <w:tr w:rsidR="001912AC" w:rsidRPr="003A10E8" w:rsidTr="003B4907">
        <w:tc>
          <w:tcPr>
            <w:tcW w:w="9350"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Interruptible (IS-1, IST-1, IS-2, IST-2, SS-2)</w:t>
            </w: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2.26</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2.24</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2.21</w:t>
            </w:r>
          </w:p>
        </w:tc>
      </w:tr>
      <w:tr w:rsidR="001912AC" w:rsidRPr="003A10E8" w:rsidTr="003B4907">
        <w:tc>
          <w:tcPr>
            <w:tcW w:w="9350"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Standby Monthly (SS-1, 2, 3)</w:t>
            </w: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0.274</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0.271</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0.268</w:t>
            </w:r>
          </w:p>
        </w:tc>
      </w:tr>
      <w:tr w:rsidR="001912AC" w:rsidRPr="003A10E8" w:rsidTr="003B4907">
        <w:tc>
          <w:tcPr>
            <w:tcW w:w="9350"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Standby Daily (SS-1, 2, 3)</w:t>
            </w:r>
          </w:p>
        </w:tc>
      </w:tr>
      <w:tr w:rsidR="001912AC" w:rsidRPr="003A10E8" w:rsidTr="003B4907">
        <w:tc>
          <w:tcPr>
            <w:tcW w:w="1622"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0.130</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center"/>
              <w:rPr>
                <w:bCs/>
              </w:rPr>
            </w:pPr>
            <w:r w:rsidRPr="003A10E8">
              <w:rPr>
                <w:bCs/>
              </w:rPr>
              <w:t xml:space="preserve">0.129 </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443"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697"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center"/>
              <w:rPr>
                <w:bCs/>
              </w:rPr>
            </w:pPr>
            <w:r w:rsidRPr="003A10E8">
              <w:rPr>
                <w:bCs/>
              </w:rPr>
              <w:t>0.127</w:t>
            </w:r>
          </w:p>
        </w:tc>
      </w:tr>
    </w:tbl>
    <w:p w:rsidR="001912AC" w:rsidRPr="003A10E8" w:rsidRDefault="001912AC" w:rsidP="001912AC">
      <w:pPr>
        <w:autoSpaceDE w:val="0"/>
        <w:autoSpaceDN w:val="0"/>
        <w:adjustRightInd w:val="0"/>
        <w:jc w:val="both"/>
        <w:rPr>
          <w:sz w:val="22"/>
          <w:szCs w:val="22"/>
        </w:rPr>
      </w:pPr>
      <w:r w:rsidRPr="003A10E8">
        <w:rPr>
          <w:sz w:val="22"/>
          <w:szCs w:val="22"/>
        </w:rPr>
        <w:t xml:space="preserve">  Source: Schedule E12-E (Exhibit GPD-3, Part 3, Page 3 of 3).</w:t>
      </w:r>
    </w:p>
    <w:p w:rsidR="001912AC" w:rsidRPr="003A10E8" w:rsidRDefault="001912AC" w:rsidP="001912AC">
      <w:pPr>
        <w:ind w:left="1440" w:hanging="1440"/>
        <w:jc w:val="both"/>
      </w:pPr>
    </w:p>
    <w:p w:rsidR="001912AC" w:rsidRDefault="001912AC" w:rsidP="001912AC">
      <w:r>
        <w:br w:type="page"/>
      </w:r>
    </w:p>
    <w:p w:rsidR="001912AC" w:rsidRPr="003A10E8" w:rsidRDefault="001912AC" w:rsidP="001912AC">
      <w:pPr>
        <w:ind w:left="1440" w:hanging="1440"/>
        <w:jc w:val="both"/>
      </w:pPr>
    </w:p>
    <w:p w:rsidR="001912AC" w:rsidRPr="003A10E8" w:rsidRDefault="001912AC" w:rsidP="001912AC">
      <w:pPr>
        <w:ind w:left="1440" w:hanging="1440"/>
        <w:jc w:val="center"/>
        <w:rPr>
          <w:rFonts w:ascii="Arial" w:hAnsi="Arial" w:cs="Arial"/>
          <w:b/>
        </w:rPr>
      </w:pPr>
      <w:r w:rsidRPr="003A10E8">
        <w:rPr>
          <w:rFonts w:ascii="Arial" w:hAnsi="Arial" w:cs="Arial"/>
          <w:b/>
        </w:rPr>
        <w:t>Table 33-1B</w:t>
      </w:r>
    </w:p>
    <w:p w:rsidR="001912AC" w:rsidRPr="003A10E8" w:rsidRDefault="001912AC" w:rsidP="001912AC">
      <w:pPr>
        <w:keepNext/>
        <w:keepLines/>
        <w:jc w:val="center"/>
      </w:pPr>
      <w:r w:rsidRPr="003A10E8">
        <w:rPr>
          <w:rFonts w:ascii="Arial" w:hAnsi="Arial" w:cs="Arial"/>
          <w:b/>
        </w:rPr>
        <w:t>DEF Capacity Cost Recovery Factors for the period May 2022 - December 2022</w:t>
      </w:r>
    </w:p>
    <w:tbl>
      <w:tblPr>
        <w:tblStyle w:val="TableGrid"/>
        <w:tblW w:w="0" w:type="auto"/>
        <w:tblLook w:val="04A0" w:firstRow="1" w:lastRow="0" w:firstColumn="1" w:lastColumn="0" w:noHBand="0" w:noVBand="1"/>
      </w:tblPr>
      <w:tblGrid>
        <w:gridCol w:w="1673"/>
        <w:gridCol w:w="4555"/>
        <w:gridCol w:w="1620"/>
        <w:gridCol w:w="1728"/>
      </w:tblGrid>
      <w:tr w:rsidR="001912AC" w:rsidRPr="003A10E8" w:rsidTr="003B4907">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autoSpaceDE w:val="0"/>
              <w:autoSpaceDN w:val="0"/>
              <w:adjustRightInd w:val="0"/>
              <w:jc w:val="center"/>
              <w:rPr>
                <w:b/>
                <w:bCs/>
              </w:rPr>
            </w:pPr>
            <w:r w:rsidRPr="003A10E8">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center"/>
              <w:rPr>
                <w:b/>
                <w:bCs/>
              </w:rPr>
            </w:pPr>
            <w:r w:rsidRPr="003A10E8">
              <w:rPr>
                <w:b/>
                <w:bCs/>
              </w:rPr>
              <w:t>Capacity and ISFSI</w:t>
            </w:r>
          </w:p>
          <w:p w:rsidR="001912AC" w:rsidRPr="003A10E8" w:rsidRDefault="001912AC" w:rsidP="003B4907">
            <w:pPr>
              <w:autoSpaceDE w:val="0"/>
              <w:autoSpaceDN w:val="0"/>
              <w:adjustRightInd w:val="0"/>
              <w:jc w:val="center"/>
              <w:rPr>
                <w:b/>
                <w:bCs/>
              </w:rPr>
            </w:pPr>
            <w:r w:rsidRPr="003A10E8">
              <w:rPr>
                <w:b/>
                <w:bCs/>
              </w:rPr>
              <w:t>Cost Recovery Factors</w:t>
            </w:r>
          </w:p>
        </w:tc>
      </w:tr>
      <w:tr w:rsidR="001912AC" w:rsidRPr="003A10E8" w:rsidTr="003B49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jc w:val="center"/>
              <w:rPr>
                <w:b/>
                <w:bCs/>
              </w:rPr>
            </w:pPr>
          </w:p>
        </w:tc>
        <w:tc>
          <w:tcPr>
            <w:tcW w:w="1620"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center"/>
              <w:rPr>
                <w:bCs/>
              </w:rPr>
            </w:pPr>
            <w:r w:rsidRPr="003A10E8">
              <w:rPr>
                <w:bCs/>
              </w:rPr>
              <w:t>¢/kWh</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912AC" w:rsidRPr="003A10E8" w:rsidRDefault="001912AC" w:rsidP="003B4907">
            <w:pPr>
              <w:autoSpaceDE w:val="0"/>
              <w:autoSpaceDN w:val="0"/>
              <w:adjustRightInd w:val="0"/>
              <w:jc w:val="center"/>
              <w:rPr>
                <w:bCs/>
              </w:rPr>
            </w:pPr>
            <w:r w:rsidRPr="003A10E8">
              <w:rPr>
                <w:bCs/>
              </w:rPr>
              <w:t>$/kW-month</w:t>
            </w:r>
          </w:p>
        </w:tc>
      </w:tr>
      <w:tr w:rsidR="001912AC" w:rsidRPr="003A10E8" w:rsidTr="003B4907">
        <w:tc>
          <w:tcPr>
            <w:tcW w:w="6228"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Residential (RS-1, RST-1, RSL-1, RSL-2, RSS-1)</w:t>
            </w:r>
          </w:p>
          <w:p w:rsidR="001912AC" w:rsidRPr="003A10E8" w:rsidRDefault="001912AC" w:rsidP="003B4907">
            <w:pPr>
              <w:autoSpaceDE w:val="0"/>
              <w:autoSpaceDN w:val="0"/>
              <w:adjustRightInd w:val="0"/>
              <w:rPr>
                <w:bCs/>
              </w:rPr>
            </w:pPr>
            <w:r w:rsidRPr="003A10E8">
              <w:rPr>
                <w:bCs/>
              </w:rPr>
              <w:t xml:space="preserve">At Secondary Voltage </w:t>
            </w:r>
          </w:p>
        </w:tc>
        <w:tc>
          <w:tcPr>
            <w:tcW w:w="1620" w:type="dxa"/>
            <w:tcBorders>
              <w:top w:val="single" w:sz="4" w:space="0" w:color="auto"/>
              <w:left w:val="single" w:sz="4" w:space="0" w:color="auto"/>
              <w:bottom w:val="single" w:sz="4" w:space="0" w:color="auto"/>
              <w:right w:val="single" w:sz="4" w:space="0" w:color="auto"/>
            </w:tcBorders>
            <w:vAlign w:val="bottom"/>
            <w:hideMark/>
          </w:tcPr>
          <w:p w:rsidR="001912AC" w:rsidRPr="003A10E8" w:rsidRDefault="001912AC" w:rsidP="003B4907">
            <w:pPr>
              <w:autoSpaceDE w:val="0"/>
              <w:autoSpaceDN w:val="0"/>
              <w:adjustRightInd w:val="0"/>
              <w:jc w:val="right"/>
              <w:rPr>
                <w:bCs/>
              </w:rPr>
            </w:pPr>
            <w:r w:rsidRPr="003A10E8">
              <w:rPr>
                <w:bCs/>
              </w:rPr>
              <w:t>1.181</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r>
      <w:tr w:rsidR="001912AC" w:rsidRPr="003A10E8" w:rsidTr="003B4907">
        <w:tc>
          <w:tcPr>
            <w:tcW w:w="6228"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1.044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1.034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1.023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6228" w:type="dxa"/>
            <w:gridSpan w:val="2"/>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0.730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r>
      <w:tr w:rsidR="001912AC" w:rsidRPr="003A10E8" w:rsidTr="003B4907">
        <w:tc>
          <w:tcPr>
            <w:tcW w:w="6228" w:type="dxa"/>
            <w:gridSpan w:val="2"/>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rPr>
                <w:bCs/>
              </w:rPr>
            </w:pPr>
            <w:r w:rsidRPr="003A10E8">
              <w:rPr>
                <w:bCs/>
              </w:rPr>
              <w:t>Lighting (LS-1)</w:t>
            </w:r>
          </w:p>
        </w:tc>
        <w:tc>
          <w:tcPr>
            <w:tcW w:w="1620" w:type="dxa"/>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right"/>
              <w:rPr>
                <w:bCs/>
              </w:rPr>
            </w:pPr>
            <w:r w:rsidRPr="003A10E8">
              <w:rPr>
                <w:bCs/>
              </w:rPr>
              <w:t>0.304</w:t>
            </w:r>
          </w:p>
        </w:tc>
        <w:tc>
          <w:tcPr>
            <w:tcW w:w="0" w:type="auto"/>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rPr>
                <w:bCs/>
              </w:rPr>
            </w:pPr>
          </w:p>
        </w:tc>
      </w:tr>
      <w:tr w:rsidR="001912AC" w:rsidRPr="003A10E8" w:rsidTr="003B4907">
        <w:tc>
          <w:tcPr>
            <w:tcW w:w="9576"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General Service Demand (GSD-1, GSDT-1, SS-1)</w:t>
            </w: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3.04</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3.01 </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2.98 </w:t>
            </w:r>
          </w:p>
        </w:tc>
      </w:tr>
      <w:tr w:rsidR="001912AC" w:rsidRPr="003A10E8" w:rsidTr="003B4907">
        <w:tc>
          <w:tcPr>
            <w:tcW w:w="9576"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Curtailable (CS-1, CST-1, CS-2, CST-2, CS-3, CST-3, SS-3)</w:t>
            </w: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1.26</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1.25 </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1.23</w:t>
            </w:r>
          </w:p>
        </w:tc>
      </w:tr>
      <w:tr w:rsidR="001912AC" w:rsidRPr="003A10E8" w:rsidTr="003B4907">
        <w:tc>
          <w:tcPr>
            <w:tcW w:w="9576"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Interruptible (IS-1, IST-1, IS-2, IST-2, SS-2)</w:t>
            </w: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2.40</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2.38</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2.35</w:t>
            </w:r>
          </w:p>
        </w:tc>
      </w:tr>
      <w:tr w:rsidR="001912AC" w:rsidRPr="003A10E8" w:rsidTr="003B4907">
        <w:tc>
          <w:tcPr>
            <w:tcW w:w="9576"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Standby Monthly (SS-1, 2, 3)</w:t>
            </w: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0.292</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0.289 </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0.286</w:t>
            </w:r>
          </w:p>
        </w:tc>
      </w:tr>
      <w:tr w:rsidR="001912AC" w:rsidRPr="003A10E8" w:rsidTr="003B4907">
        <w:tc>
          <w:tcPr>
            <w:tcW w:w="9576" w:type="dxa"/>
            <w:gridSpan w:val="4"/>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Standby Daily (SS-1, 2, 3)</w:t>
            </w:r>
          </w:p>
        </w:tc>
      </w:tr>
      <w:tr w:rsidR="001912AC" w:rsidRPr="003A10E8" w:rsidTr="003B4907">
        <w:tc>
          <w:tcPr>
            <w:tcW w:w="1673"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912AC" w:rsidRPr="003A10E8" w:rsidRDefault="001912AC" w:rsidP="003B4907">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0.139</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 xml:space="preserve">0.138 </w:t>
            </w:r>
          </w:p>
        </w:tc>
      </w:tr>
      <w:tr w:rsidR="001912AC" w:rsidRPr="003A10E8" w:rsidTr="003B4907">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rPr>
                <w:bCs/>
              </w:rPr>
            </w:pPr>
            <w:r w:rsidRPr="003A10E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2AC" w:rsidRPr="003A10E8" w:rsidRDefault="001912AC" w:rsidP="003B4907">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912AC" w:rsidRPr="003A10E8" w:rsidRDefault="001912AC" w:rsidP="003B4907">
            <w:pPr>
              <w:autoSpaceDE w:val="0"/>
              <w:autoSpaceDN w:val="0"/>
              <w:adjustRightInd w:val="0"/>
              <w:jc w:val="right"/>
              <w:rPr>
                <w:bCs/>
              </w:rPr>
            </w:pPr>
            <w:r w:rsidRPr="003A10E8">
              <w:rPr>
                <w:bCs/>
              </w:rPr>
              <w:t>0.136</w:t>
            </w:r>
          </w:p>
        </w:tc>
      </w:tr>
    </w:tbl>
    <w:p w:rsidR="001912AC" w:rsidRPr="003A10E8" w:rsidRDefault="001912AC" w:rsidP="001912AC">
      <w:pPr>
        <w:autoSpaceDE w:val="0"/>
        <w:autoSpaceDN w:val="0"/>
        <w:adjustRightInd w:val="0"/>
        <w:jc w:val="both"/>
        <w:rPr>
          <w:sz w:val="22"/>
          <w:szCs w:val="22"/>
        </w:rPr>
      </w:pPr>
      <w:r w:rsidRPr="003A10E8">
        <w:rPr>
          <w:sz w:val="22"/>
          <w:szCs w:val="22"/>
        </w:rPr>
        <w:t xml:space="preserve">  Source: Schedule E12-E (Exhibit GPD-3, Part 3, Page 1 of 3).</w:t>
      </w:r>
    </w:p>
    <w:p w:rsidR="001912AC" w:rsidRPr="003A10E8" w:rsidRDefault="001912AC" w:rsidP="001912AC">
      <w:pPr>
        <w:autoSpaceDE w:val="0"/>
        <w:autoSpaceDN w:val="0"/>
        <w:adjustRightInd w:val="0"/>
        <w:jc w:val="both"/>
      </w:pPr>
    </w:p>
    <w:p w:rsidR="001912AC" w:rsidRDefault="001912AC" w:rsidP="001912AC">
      <w:r>
        <w:br w:type="page"/>
      </w:r>
    </w:p>
    <w:p w:rsidR="001912AC" w:rsidRPr="003A10E8" w:rsidRDefault="001912AC" w:rsidP="001912AC">
      <w:pPr>
        <w:ind w:left="1440" w:hanging="1440"/>
        <w:jc w:val="both"/>
        <w:rPr>
          <w:bCs/>
        </w:rPr>
      </w:pPr>
      <w:r w:rsidRPr="003A10E8">
        <w:rPr>
          <w:b/>
        </w:rPr>
        <w:lastRenderedPageBreak/>
        <w:t>FPL/GULF:</w:t>
      </w:r>
      <w:r w:rsidRPr="003A10E8">
        <w:tab/>
        <w:t xml:space="preserve">The appropriate capacity cost recovery factors for the period January 2022 through December 2022 is shown in </w:t>
      </w:r>
      <w:r w:rsidRPr="003A10E8">
        <w:rPr>
          <w:bCs/>
        </w:rPr>
        <w:t>Table 33-2 below:</w:t>
      </w:r>
    </w:p>
    <w:p w:rsidR="001912AC" w:rsidRPr="003A10E8" w:rsidRDefault="001912AC" w:rsidP="001912AC">
      <w:pPr>
        <w:ind w:left="1440" w:hanging="1440"/>
        <w:jc w:val="both"/>
      </w:pPr>
    </w:p>
    <w:p w:rsidR="001912AC" w:rsidRPr="003A10E8" w:rsidRDefault="001912AC" w:rsidP="001912AC">
      <w:pPr>
        <w:ind w:left="1440" w:hanging="1440"/>
        <w:jc w:val="center"/>
        <w:rPr>
          <w:rFonts w:ascii="Arial" w:hAnsi="Arial" w:cs="Arial"/>
          <w:b/>
        </w:rPr>
      </w:pPr>
      <w:r w:rsidRPr="003A10E8">
        <w:rPr>
          <w:rFonts w:ascii="Arial" w:hAnsi="Arial" w:cs="Arial"/>
          <w:b/>
        </w:rPr>
        <w:t>Table 33-2</w:t>
      </w:r>
    </w:p>
    <w:p w:rsidR="001912AC" w:rsidRPr="003A10E8" w:rsidRDefault="001912AC" w:rsidP="001912AC">
      <w:pPr>
        <w:keepNext/>
        <w:keepLines/>
        <w:jc w:val="center"/>
      </w:pPr>
      <w:r w:rsidRPr="003A10E8">
        <w:rPr>
          <w:rFonts w:ascii="Arial" w:hAnsi="Arial" w:cs="Arial"/>
          <w:b/>
        </w:rPr>
        <w:t>FPL Capacity Cost Recovery Factors for the period January-December, 2022</w:t>
      </w:r>
    </w:p>
    <w:tbl>
      <w:tblPr>
        <w:tblStyle w:val="TableGrid"/>
        <w:tblW w:w="0" w:type="auto"/>
        <w:jc w:val="center"/>
        <w:tblLook w:val="04A0" w:firstRow="1" w:lastRow="0" w:firstColumn="1" w:lastColumn="0" w:noHBand="0" w:noVBand="1"/>
      </w:tblPr>
      <w:tblGrid>
        <w:gridCol w:w="4710"/>
        <w:gridCol w:w="1127"/>
        <w:gridCol w:w="1093"/>
        <w:gridCol w:w="1425"/>
        <w:gridCol w:w="1221"/>
      </w:tblGrid>
      <w:tr w:rsidR="001912AC" w:rsidRPr="003A10E8" w:rsidTr="003B4907">
        <w:trPr>
          <w:jc w:val="center"/>
        </w:trPr>
        <w:tc>
          <w:tcPr>
            <w:tcW w:w="3888" w:type="dxa"/>
            <w:vMerge w:val="restart"/>
            <w:vAlign w:val="center"/>
          </w:tcPr>
          <w:p w:rsidR="001912AC" w:rsidRPr="003A10E8" w:rsidRDefault="001912AC" w:rsidP="003B4907">
            <w:pPr>
              <w:autoSpaceDE w:val="0"/>
              <w:autoSpaceDN w:val="0"/>
              <w:adjustRightInd w:val="0"/>
              <w:jc w:val="center"/>
              <w:rPr>
                <w:b/>
                <w:bCs/>
              </w:rPr>
            </w:pPr>
            <w:r w:rsidRPr="003A10E8">
              <w:rPr>
                <w:b/>
                <w:bCs/>
              </w:rPr>
              <w:t>Rate Schedule</w:t>
            </w:r>
          </w:p>
        </w:tc>
        <w:tc>
          <w:tcPr>
            <w:tcW w:w="5688" w:type="dxa"/>
            <w:gridSpan w:val="4"/>
          </w:tcPr>
          <w:p w:rsidR="001912AC" w:rsidRPr="003A10E8" w:rsidRDefault="001912AC" w:rsidP="003B4907">
            <w:pPr>
              <w:autoSpaceDE w:val="0"/>
              <w:autoSpaceDN w:val="0"/>
              <w:adjustRightInd w:val="0"/>
              <w:jc w:val="center"/>
              <w:rPr>
                <w:b/>
                <w:bCs/>
                <w:color w:val="FF0000"/>
              </w:rPr>
            </w:pPr>
            <w:r w:rsidRPr="003A10E8">
              <w:rPr>
                <w:b/>
                <w:bCs/>
              </w:rPr>
              <w:t xml:space="preserve">2022 Capacity Cost Recovery Factors </w:t>
            </w:r>
          </w:p>
        </w:tc>
      </w:tr>
      <w:tr w:rsidR="001912AC" w:rsidRPr="003A10E8" w:rsidTr="003B4907">
        <w:trPr>
          <w:jc w:val="center"/>
        </w:trPr>
        <w:tc>
          <w:tcPr>
            <w:tcW w:w="3888" w:type="dxa"/>
            <w:vMerge/>
          </w:tcPr>
          <w:p w:rsidR="001912AC" w:rsidRPr="003A10E8" w:rsidRDefault="001912AC" w:rsidP="003B4907">
            <w:pPr>
              <w:autoSpaceDE w:val="0"/>
              <w:autoSpaceDN w:val="0"/>
              <w:adjustRightInd w:val="0"/>
              <w:jc w:val="center"/>
              <w:rPr>
                <w:b/>
                <w:bCs/>
              </w:rPr>
            </w:pPr>
          </w:p>
        </w:tc>
        <w:tc>
          <w:tcPr>
            <w:tcW w:w="1350" w:type="dxa"/>
            <w:vAlign w:val="center"/>
          </w:tcPr>
          <w:p w:rsidR="001912AC" w:rsidRPr="003A10E8" w:rsidRDefault="001912AC" w:rsidP="003B4907">
            <w:pPr>
              <w:autoSpaceDE w:val="0"/>
              <w:autoSpaceDN w:val="0"/>
              <w:adjustRightInd w:val="0"/>
              <w:jc w:val="center"/>
              <w:rPr>
                <w:bCs/>
              </w:rPr>
            </w:pPr>
            <w:r w:rsidRPr="003A10E8">
              <w:rPr>
                <w:bCs/>
              </w:rPr>
              <w:t>$/kW</w:t>
            </w:r>
          </w:p>
        </w:tc>
        <w:tc>
          <w:tcPr>
            <w:tcW w:w="1260" w:type="dxa"/>
            <w:vAlign w:val="center"/>
          </w:tcPr>
          <w:p w:rsidR="001912AC" w:rsidRPr="003A10E8" w:rsidRDefault="001912AC" w:rsidP="003B4907">
            <w:pPr>
              <w:autoSpaceDE w:val="0"/>
              <w:autoSpaceDN w:val="0"/>
              <w:adjustRightInd w:val="0"/>
              <w:jc w:val="center"/>
              <w:rPr>
                <w:bCs/>
              </w:rPr>
            </w:pPr>
            <w:r w:rsidRPr="003A10E8">
              <w:rPr>
                <w:bCs/>
              </w:rPr>
              <w:t>$/kWh</w:t>
            </w:r>
          </w:p>
        </w:tc>
        <w:tc>
          <w:tcPr>
            <w:tcW w:w="1530" w:type="dxa"/>
            <w:vAlign w:val="center"/>
          </w:tcPr>
          <w:p w:rsidR="001912AC" w:rsidRPr="003A10E8" w:rsidRDefault="001912AC" w:rsidP="003B4907">
            <w:pPr>
              <w:autoSpaceDE w:val="0"/>
              <w:autoSpaceDN w:val="0"/>
              <w:adjustRightInd w:val="0"/>
              <w:jc w:val="center"/>
              <w:rPr>
                <w:bCs/>
              </w:rPr>
            </w:pPr>
            <w:r w:rsidRPr="003A10E8">
              <w:rPr>
                <w:bCs/>
              </w:rPr>
              <w:t>Reservation Demand Charge (RDC)</w:t>
            </w:r>
          </w:p>
          <w:p w:rsidR="001912AC" w:rsidRPr="003A10E8" w:rsidRDefault="001912AC" w:rsidP="003B4907">
            <w:pPr>
              <w:autoSpaceDE w:val="0"/>
              <w:autoSpaceDN w:val="0"/>
              <w:adjustRightInd w:val="0"/>
              <w:jc w:val="center"/>
              <w:rPr>
                <w:bCs/>
              </w:rPr>
            </w:pPr>
            <w:r w:rsidRPr="003A10E8">
              <w:rPr>
                <w:bCs/>
              </w:rPr>
              <w:t>$/kW</w:t>
            </w:r>
          </w:p>
        </w:tc>
        <w:tc>
          <w:tcPr>
            <w:tcW w:w="1548" w:type="dxa"/>
            <w:vAlign w:val="center"/>
          </w:tcPr>
          <w:p w:rsidR="001912AC" w:rsidRPr="003A10E8" w:rsidRDefault="001912AC" w:rsidP="003B4907">
            <w:pPr>
              <w:autoSpaceDE w:val="0"/>
              <w:autoSpaceDN w:val="0"/>
              <w:adjustRightInd w:val="0"/>
              <w:jc w:val="center"/>
              <w:rPr>
                <w:bCs/>
              </w:rPr>
            </w:pPr>
            <w:r w:rsidRPr="003A10E8">
              <w:rPr>
                <w:bCs/>
              </w:rPr>
              <w:t>Sum of Daily Demand Charge (SDD)</w:t>
            </w:r>
          </w:p>
          <w:p w:rsidR="001912AC" w:rsidRPr="003A10E8" w:rsidRDefault="001912AC" w:rsidP="003B4907">
            <w:pPr>
              <w:autoSpaceDE w:val="0"/>
              <w:autoSpaceDN w:val="0"/>
              <w:adjustRightInd w:val="0"/>
              <w:jc w:val="center"/>
              <w:rPr>
                <w:bCs/>
              </w:rPr>
            </w:pPr>
            <w:r w:rsidRPr="003A10E8">
              <w:rPr>
                <w:bCs/>
              </w:rPr>
              <w:t>$/kW</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RS1/RTR1</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0.00239</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GS1/GST1</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0.00248</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GSD1/GSDT1/HLFT1/GSD1-EV</w:t>
            </w:r>
          </w:p>
        </w:tc>
        <w:tc>
          <w:tcPr>
            <w:tcW w:w="1350" w:type="dxa"/>
          </w:tcPr>
          <w:p w:rsidR="001912AC" w:rsidRPr="003A10E8" w:rsidRDefault="001912AC" w:rsidP="003B4907">
            <w:pPr>
              <w:autoSpaceDE w:val="0"/>
              <w:autoSpaceDN w:val="0"/>
              <w:adjustRightInd w:val="0"/>
              <w:jc w:val="right"/>
              <w:rPr>
                <w:bCs/>
              </w:rPr>
            </w:pPr>
            <w:r w:rsidRPr="003A10E8">
              <w:rPr>
                <w:bCs/>
              </w:rPr>
              <w:t>0.81635</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OS2</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0.00144</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GSLD1/GSLDT1/CS1/CST1/HLFT2/GSLD1-EV</w:t>
            </w:r>
          </w:p>
        </w:tc>
        <w:tc>
          <w:tcPr>
            <w:tcW w:w="1350" w:type="dxa"/>
          </w:tcPr>
          <w:p w:rsidR="001912AC" w:rsidRPr="003A10E8" w:rsidRDefault="001912AC" w:rsidP="003B4907">
            <w:pPr>
              <w:autoSpaceDE w:val="0"/>
              <w:autoSpaceDN w:val="0"/>
              <w:adjustRightInd w:val="0"/>
              <w:jc w:val="right"/>
              <w:rPr>
                <w:bCs/>
              </w:rPr>
            </w:pPr>
            <w:r w:rsidRPr="003A10E8">
              <w:rPr>
                <w:bCs/>
              </w:rPr>
              <w:t>0.90050</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GSLD2/GSLDT2/CS2/CST2/HLFT3</w:t>
            </w:r>
          </w:p>
        </w:tc>
        <w:tc>
          <w:tcPr>
            <w:tcW w:w="1350" w:type="dxa"/>
          </w:tcPr>
          <w:p w:rsidR="001912AC" w:rsidRPr="003A10E8" w:rsidRDefault="001912AC" w:rsidP="003B4907">
            <w:pPr>
              <w:autoSpaceDE w:val="0"/>
              <w:autoSpaceDN w:val="0"/>
              <w:adjustRightInd w:val="0"/>
              <w:jc w:val="right"/>
              <w:rPr>
                <w:bCs/>
              </w:rPr>
            </w:pPr>
            <w:r w:rsidRPr="003A10E8">
              <w:rPr>
                <w:bCs/>
              </w:rPr>
              <w:t>0.90087</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GSLD3/GSLDT3/CS3/CST3</w:t>
            </w:r>
          </w:p>
        </w:tc>
        <w:tc>
          <w:tcPr>
            <w:tcW w:w="1350" w:type="dxa"/>
          </w:tcPr>
          <w:p w:rsidR="001912AC" w:rsidRPr="003A10E8" w:rsidRDefault="001912AC" w:rsidP="003B4907">
            <w:pPr>
              <w:autoSpaceDE w:val="0"/>
              <w:autoSpaceDN w:val="0"/>
              <w:adjustRightInd w:val="0"/>
              <w:jc w:val="right"/>
              <w:rPr>
                <w:bCs/>
              </w:rPr>
            </w:pPr>
            <w:r w:rsidRPr="003A10E8">
              <w:rPr>
                <w:bCs/>
              </w:rPr>
              <w:t>0.81843</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SST1T</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0.10</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0.05</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SST1D1/SST1D2/SST1D3</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0.11</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0.05</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CILC D/CILC G</w:t>
            </w:r>
          </w:p>
        </w:tc>
        <w:tc>
          <w:tcPr>
            <w:tcW w:w="1350" w:type="dxa"/>
          </w:tcPr>
          <w:p w:rsidR="001912AC" w:rsidRPr="003A10E8" w:rsidRDefault="001912AC" w:rsidP="003B4907">
            <w:pPr>
              <w:autoSpaceDE w:val="0"/>
              <w:autoSpaceDN w:val="0"/>
              <w:adjustRightInd w:val="0"/>
              <w:jc w:val="right"/>
              <w:rPr>
                <w:bCs/>
              </w:rPr>
            </w:pPr>
            <w:r w:rsidRPr="003A10E8">
              <w:rPr>
                <w:bCs/>
              </w:rPr>
              <w:t>0.91616</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CILC T</w:t>
            </w:r>
          </w:p>
        </w:tc>
        <w:tc>
          <w:tcPr>
            <w:tcW w:w="1350" w:type="dxa"/>
          </w:tcPr>
          <w:p w:rsidR="001912AC" w:rsidRPr="003A10E8" w:rsidRDefault="001912AC" w:rsidP="003B4907">
            <w:pPr>
              <w:autoSpaceDE w:val="0"/>
              <w:autoSpaceDN w:val="0"/>
              <w:adjustRightInd w:val="0"/>
              <w:jc w:val="right"/>
              <w:rPr>
                <w:bCs/>
              </w:rPr>
            </w:pPr>
            <w:r w:rsidRPr="003A10E8">
              <w:rPr>
                <w:bCs/>
              </w:rPr>
              <w:t>0.88907</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MET</w:t>
            </w:r>
          </w:p>
        </w:tc>
        <w:tc>
          <w:tcPr>
            <w:tcW w:w="1350" w:type="dxa"/>
          </w:tcPr>
          <w:p w:rsidR="001912AC" w:rsidRPr="003A10E8" w:rsidRDefault="001912AC" w:rsidP="003B4907">
            <w:pPr>
              <w:autoSpaceDE w:val="0"/>
              <w:autoSpaceDN w:val="0"/>
              <w:adjustRightInd w:val="0"/>
              <w:jc w:val="right"/>
              <w:rPr>
                <w:bCs/>
              </w:rPr>
            </w:pPr>
            <w:r w:rsidRPr="003A10E8">
              <w:rPr>
                <w:bCs/>
              </w:rPr>
              <w:t>0.77422</w:t>
            </w:r>
          </w:p>
        </w:tc>
        <w:tc>
          <w:tcPr>
            <w:tcW w:w="1260" w:type="dxa"/>
          </w:tcPr>
          <w:p w:rsidR="001912AC" w:rsidRPr="003A10E8" w:rsidRDefault="001912AC" w:rsidP="003B4907">
            <w:pPr>
              <w:autoSpaceDE w:val="0"/>
              <w:autoSpaceDN w:val="0"/>
              <w:adjustRightInd w:val="0"/>
              <w:jc w:val="right"/>
              <w:rPr>
                <w:bCs/>
              </w:rPr>
            </w:pPr>
            <w:r w:rsidRPr="003A10E8">
              <w:rPr>
                <w:bCs/>
              </w:rPr>
              <w:t>-</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OL1/SL1/SL1M/PL1/OSI/II</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0.00018</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rPr>
          <w:jc w:val="center"/>
        </w:trPr>
        <w:tc>
          <w:tcPr>
            <w:tcW w:w="3888" w:type="dxa"/>
          </w:tcPr>
          <w:p w:rsidR="001912AC" w:rsidRPr="003A10E8" w:rsidRDefault="001912AC" w:rsidP="003B4907">
            <w:pPr>
              <w:autoSpaceDE w:val="0"/>
              <w:autoSpaceDN w:val="0"/>
              <w:adjustRightInd w:val="0"/>
              <w:jc w:val="center"/>
              <w:rPr>
                <w:bCs/>
              </w:rPr>
            </w:pPr>
            <w:r w:rsidRPr="003A10E8">
              <w:rPr>
                <w:bCs/>
              </w:rPr>
              <w:t>SL2/SL2M/GSCU1</w:t>
            </w:r>
          </w:p>
        </w:tc>
        <w:tc>
          <w:tcPr>
            <w:tcW w:w="1350" w:type="dxa"/>
          </w:tcPr>
          <w:p w:rsidR="001912AC" w:rsidRPr="003A10E8" w:rsidRDefault="001912AC" w:rsidP="003B4907">
            <w:pPr>
              <w:autoSpaceDE w:val="0"/>
              <w:autoSpaceDN w:val="0"/>
              <w:adjustRightInd w:val="0"/>
              <w:jc w:val="right"/>
              <w:rPr>
                <w:bCs/>
              </w:rPr>
            </w:pPr>
            <w:r w:rsidRPr="003A10E8">
              <w:rPr>
                <w:bCs/>
              </w:rPr>
              <w:t>-</w:t>
            </w:r>
          </w:p>
        </w:tc>
        <w:tc>
          <w:tcPr>
            <w:tcW w:w="1260" w:type="dxa"/>
          </w:tcPr>
          <w:p w:rsidR="001912AC" w:rsidRPr="003A10E8" w:rsidRDefault="001912AC" w:rsidP="003B4907">
            <w:pPr>
              <w:autoSpaceDE w:val="0"/>
              <w:autoSpaceDN w:val="0"/>
              <w:adjustRightInd w:val="0"/>
              <w:jc w:val="right"/>
              <w:rPr>
                <w:bCs/>
              </w:rPr>
            </w:pPr>
            <w:r w:rsidRPr="003A10E8">
              <w:rPr>
                <w:bCs/>
              </w:rPr>
              <w:t>0.00160</w:t>
            </w:r>
          </w:p>
        </w:tc>
        <w:tc>
          <w:tcPr>
            <w:tcW w:w="1530" w:type="dxa"/>
            <w:shd w:val="clear" w:color="auto" w:fill="auto"/>
          </w:tcPr>
          <w:p w:rsidR="001912AC" w:rsidRPr="003A10E8" w:rsidRDefault="001912AC" w:rsidP="003B4907">
            <w:pPr>
              <w:autoSpaceDE w:val="0"/>
              <w:autoSpaceDN w:val="0"/>
              <w:adjustRightInd w:val="0"/>
              <w:jc w:val="right"/>
              <w:rPr>
                <w:bCs/>
              </w:rPr>
            </w:pPr>
            <w:r w:rsidRPr="003A10E8">
              <w:rPr>
                <w:bCs/>
              </w:rPr>
              <w:t>-</w:t>
            </w:r>
          </w:p>
        </w:tc>
        <w:tc>
          <w:tcPr>
            <w:tcW w:w="1548" w:type="dxa"/>
            <w:shd w:val="clear" w:color="auto" w:fill="auto"/>
          </w:tcPr>
          <w:p w:rsidR="001912AC" w:rsidRPr="003A10E8" w:rsidRDefault="001912AC" w:rsidP="003B4907">
            <w:pPr>
              <w:autoSpaceDE w:val="0"/>
              <w:autoSpaceDN w:val="0"/>
              <w:adjustRightInd w:val="0"/>
              <w:jc w:val="right"/>
              <w:rPr>
                <w:bCs/>
              </w:rPr>
            </w:pPr>
            <w:r w:rsidRPr="003A10E8">
              <w:rPr>
                <w:bCs/>
              </w:rPr>
              <w:t>-</w:t>
            </w:r>
          </w:p>
        </w:tc>
      </w:tr>
    </w:tbl>
    <w:p w:rsidR="001912AC" w:rsidRPr="003A10E8" w:rsidRDefault="001912AC" w:rsidP="001912AC">
      <w:pPr>
        <w:ind w:left="1440" w:hanging="1440"/>
        <w:rPr>
          <w:b/>
          <w:sz w:val="22"/>
          <w:szCs w:val="22"/>
        </w:rPr>
      </w:pPr>
      <w:r w:rsidRPr="003A10E8">
        <w:rPr>
          <w:color w:val="FF0000"/>
          <w:sz w:val="22"/>
          <w:szCs w:val="22"/>
        </w:rPr>
        <w:t xml:space="preserve">  </w:t>
      </w:r>
      <w:r w:rsidRPr="003A10E8">
        <w:rPr>
          <w:sz w:val="22"/>
          <w:szCs w:val="22"/>
        </w:rPr>
        <w:t>Source: Appendix IV – 2022 CCR Projections (Exhibit RBD-7, Page 4 of 30).</w:t>
      </w:r>
    </w:p>
    <w:p w:rsidR="001912AC" w:rsidRPr="003A10E8" w:rsidRDefault="001912AC" w:rsidP="001912AC">
      <w:pPr>
        <w:ind w:left="1440" w:hanging="1440"/>
        <w:rPr>
          <w:bCs/>
        </w:rPr>
      </w:pPr>
      <w:r>
        <w:rPr>
          <w:rFonts w:ascii="Arial" w:hAnsi="Arial" w:cs="Arial"/>
          <w:b/>
        </w:rPr>
        <w:br w:type="page"/>
      </w:r>
      <w:r w:rsidRPr="003A10E8">
        <w:rPr>
          <w:b/>
        </w:rPr>
        <w:lastRenderedPageBreak/>
        <w:t>TECO:</w:t>
      </w:r>
      <w:r>
        <w:rPr>
          <w:b/>
        </w:rPr>
        <w:tab/>
      </w:r>
      <w:r w:rsidRPr="003A10E8">
        <w:t xml:space="preserve">The appropriate capacity cost recovery factors for the period January 2022 through December 2022 is shown in </w:t>
      </w:r>
      <w:r w:rsidRPr="003A10E8">
        <w:rPr>
          <w:bCs/>
        </w:rPr>
        <w:t>Table 33-3 below:</w:t>
      </w:r>
    </w:p>
    <w:p w:rsidR="001912AC" w:rsidRPr="003A10E8" w:rsidRDefault="001912AC" w:rsidP="001912AC">
      <w:pPr>
        <w:ind w:left="1440" w:hanging="1440"/>
        <w:jc w:val="both"/>
      </w:pPr>
    </w:p>
    <w:p w:rsidR="001912AC" w:rsidRPr="003A10E8" w:rsidRDefault="001912AC" w:rsidP="001912AC">
      <w:pPr>
        <w:ind w:left="1440" w:hanging="1440"/>
        <w:jc w:val="both"/>
      </w:pPr>
    </w:p>
    <w:p w:rsidR="001912AC" w:rsidRPr="003A10E8" w:rsidRDefault="001912AC" w:rsidP="001912AC">
      <w:pPr>
        <w:ind w:left="1440" w:hanging="1440"/>
        <w:jc w:val="center"/>
        <w:rPr>
          <w:rFonts w:ascii="Arial" w:hAnsi="Arial" w:cs="Arial"/>
          <w:b/>
        </w:rPr>
      </w:pPr>
      <w:r w:rsidRPr="003A10E8">
        <w:rPr>
          <w:rFonts w:ascii="Arial" w:hAnsi="Arial" w:cs="Arial"/>
          <w:b/>
        </w:rPr>
        <w:t>Table 33-3</w:t>
      </w:r>
    </w:p>
    <w:p w:rsidR="001912AC" w:rsidRPr="003A10E8" w:rsidRDefault="001912AC" w:rsidP="001912AC">
      <w:pPr>
        <w:keepNext/>
        <w:keepLines/>
        <w:jc w:val="center"/>
      </w:pPr>
      <w:r w:rsidRPr="003A10E8">
        <w:rPr>
          <w:rFonts w:ascii="Arial" w:hAnsi="Arial" w:cs="Arial"/>
          <w:b/>
        </w:rPr>
        <w:t>TECO Capacity Cost Recovery Factors for the period January-December, 2022</w:t>
      </w:r>
    </w:p>
    <w:tbl>
      <w:tblPr>
        <w:tblStyle w:val="TableGrid"/>
        <w:tblW w:w="0" w:type="auto"/>
        <w:tblLook w:val="04A0" w:firstRow="1" w:lastRow="0" w:firstColumn="1" w:lastColumn="0" w:noHBand="0" w:noVBand="1"/>
      </w:tblPr>
      <w:tblGrid>
        <w:gridCol w:w="4417"/>
        <w:gridCol w:w="2491"/>
        <w:gridCol w:w="2668"/>
      </w:tblGrid>
      <w:tr w:rsidR="001912AC" w:rsidRPr="003A10E8" w:rsidTr="003B4907">
        <w:tc>
          <w:tcPr>
            <w:tcW w:w="4077" w:type="dxa"/>
            <w:vMerge w:val="restart"/>
            <w:vAlign w:val="center"/>
          </w:tcPr>
          <w:p w:rsidR="001912AC" w:rsidRPr="003A10E8" w:rsidRDefault="001912AC" w:rsidP="003B4907">
            <w:pPr>
              <w:autoSpaceDE w:val="0"/>
              <w:autoSpaceDN w:val="0"/>
              <w:adjustRightInd w:val="0"/>
              <w:jc w:val="center"/>
              <w:rPr>
                <w:b/>
                <w:bCs/>
              </w:rPr>
            </w:pPr>
            <w:r w:rsidRPr="003A10E8">
              <w:rPr>
                <w:b/>
                <w:bCs/>
              </w:rPr>
              <w:t>Rate Class and Metering Voltage</w:t>
            </w:r>
          </w:p>
        </w:tc>
        <w:tc>
          <w:tcPr>
            <w:tcW w:w="5273" w:type="dxa"/>
            <w:gridSpan w:val="2"/>
          </w:tcPr>
          <w:p w:rsidR="001912AC" w:rsidRPr="003A10E8" w:rsidRDefault="001912AC" w:rsidP="003B4907">
            <w:pPr>
              <w:autoSpaceDE w:val="0"/>
              <w:autoSpaceDN w:val="0"/>
              <w:adjustRightInd w:val="0"/>
              <w:jc w:val="center"/>
              <w:rPr>
                <w:b/>
                <w:bCs/>
              </w:rPr>
            </w:pPr>
            <w:r w:rsidRPr="003A10E8">
              <w:rPr>
                <w:b/>
                <w:bCs/>
              </w:rPr>
              <w:t xml:space="preserve">2022 Capacity Cost Recovery Factors </w:t>
            </w:r>
          </w:p>
        </w:tc>
      </w:tr>
      <w:tr w:rsidR="001912AC" w:rsidRPr="003A10E8" w:rsidTr="003B4907">
        <w:tc>
          <w:tcPr>
            <w:tcW w:w="4077" w:type="dxa"/>
            <w:vMerge/>
          </w:tcPr>
          <w:p w:rsidR="001912AC" w:rsidRPr="003A10E8" w:rsidRDefault="001912AC" w:rsidP="003B4907">
            <w:pPr>
              <w:autoSpaceDE w:val="0"/>
              <w:autoSpaceDN w:val="0"/>
              <w:adjustRightInd w:val="0"/>
              <w:jc w:val="center"/>
              <w:rPr>
                <w:b/>
                <w:bCs/>
                <w:u w:val="single"/>
              </w:rPr>
            </w:pPr>
          </w:p>
        </w:tc>
        <w:tc>
          <w:tcPr>
            <w:tcW w:w="2543" w:type="dxa"/>
          </w:tcPr>
          <w:p w:rsidR="001912AC" w:rsidRPr="003A10E8" w:rsidRDefault="001912AC" w:rsidP="003B4907">
            <w:pPr>
              <w:autoSpaceDE w:val="0"/>
              <w:autoSpaceDN w:val="0"/>
              <w:adjustRightInd w:val="0"/>
              <w:jc w:val="center"/>
              <w:rPr>
                <w:bCs/>
              </w:rPr>
            </w:pPr>
            <w:r w:rsidRPr="003A10E8">
              <w:rPr>
                <w:bCs/>
              </w:rPr>
              <w:t>¢/kWh</w:t>
            </w:r>
          </w:p>
        </w:tc>
        <w:tc>
          <w:tcPr>
            <w:tcW w:w="2730" w:type="dxa"/>
          </w:tcPr>
          <w:p w:rsidR="001912AC" w:rsidRPr="003A10E8" w:rsidRDefault="001912AC" w:rsidP="003B4907">
            <w:pPr>
              <w:autoSpaceDE w:val="0"/>
              <w:autoSpaceDN w:val="0"/>
              <w:adjustRightInd w:val="0"/>
              <w:jc w:val="center"/>
              <w:rPr>
                <w:bCs/>
              </w:rPr>
            </w:pPr>
            <w:r w:rsidRPr="003A10E8">
              <w:rPr>
                <w:bCs/>
              </w:rPr>
              <w:t>$/kW</w:t>
            </w: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RS</w:t>
            </w:r>
          </w:p>
        </w:tc>
        <w:tc>
          <w:tcPr>
            <w:tcW w:w="2543" w:type="dxa"/>
          </w:tcPr>
          <w:p w:rsidR="001912AC" w:rsidRPr="003A10E8" w:rsidRDefault="001912AC" w:rsidP="003B4907">
            <w:pPr>
              <w:autoSpaceDE w:val="0"/>
              <w:autoSpaceDN w:val="0"/>
              <w:adjustRightInd w:val="0"/>
              <w:jc w:val="right"/>
              <w:rPr>
                <w:bCs/>
              </w:rPr>
            </w:pPr>
            <w:r w:rsidRPr="003A10E8">
              <w:rPr>
                <w:bCs/>
              </w:rPr>
              <w:t>0.031</w:t>
            </w:r>
          </w:p>
        </w:tc>
        <w:tc>
          <w:tcPr>
            <w:tcW w:w="2730" w:type="dxa"/>
            <w:vMerge w:val="restart"/>
            <w:vAlign w:val="center"/>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GS and CS</w:t>
            </w:r>
          </w:p>
        </w:tc>
        <w:tc>
          <w:tcPr>
            <w:tcW w:w="2543" w:type="dxa"/>
          </w:tcPr>
          <w:p w:rsidR="001912AC" w:rsidRPr="003A10E8" w:rsidRDefault="001912AC" w:rsidP="003B4907">
            <w:pPr>
              <w:autoSpaceDE w:val="0"/>
              <w:autoSpaceDN w:val="0"/>
              <w:adjustRightInd w:val="0"/>
              <w:jc w:val="right"/>
              <w:rPr>
                <w:bCs/>
              </w:rPr>
            </w:pPr>
            <w:r w:rsidRPr="003A10E8">
              <w:rPr>
                <w:bCs/>
              </w:rPr>
              <w:t>0.027</w:t>
            </w:r>
          </w:p>
        </w:tc>
        <w:tc>
          <w:tcPr>
            <w:tcW w:w="2730" w:type="dxa"/>
            <w:vMerge/>
          </w:tcPr>
          <w:p w:rsidR="001912AC" w:rsidRPr="003A10E8" w:rsidRDefault="001912AC" w:rsidP="003B4907">
            <w:pPr>
              <w:autoSpaceDE w:val="0"/>
              <w:autoSpaceDN w:val="0"/>
              <w:adjustRightInd w:val="0"/>
              <w:jc w:val="right"/>
              <w:rPr>
                <w:bCs/>
              </w:rPr>
            </w:pPr>
          </w:p>
        </w:tc>
      </w:tr>
      <w:tr w:rsidR="001912AC" w:rsidRPr="003A10E8" w:rsidTr="003B4907">
        <w:tc>
          <w:tcPr>
            <w:tcW w:w="6620" w:type="dxa"/>
            <w:gridSpan w:val="2"/>
          </w:tcPr>
          <w:p w:rsidR="001912AC" w:rsidRPr="003A10E8" w:rsidRDefault="001912AC" w:rsidP="003B4907">
            <w:pPr>
              <w:autoSpaceDE w:val="0"/>
              <w:autoSpaceDN w:val="0"/>
              <w:adjustRightInd w:val="0"/>
              <w:rPr>
                <w:bCs/>
              </w:rPr>
            </w:pPr>
            <w:r w:rsidRPr="003A10E8">
              <w:rPr>
                <w:bCs/>
              </w:rPr>
              <w:t>GSD, RSD Standard</w:t>
            </w:r>
          </w:p>
        </w:tc>
        <w:tc>
          <w:tcPr>
            <w:tcW w:w="2730" w:type="dxa"/>
          </w:tcPr>
          <w:p w:rsidR="001912AC" w:rsidRPr="003A10E8" w:rsidRDefault="001912AC" w:rsidP="003B4907">
            <w:pPr>
              <w:autoSpaceDE w:val="0"/>
              <w:autoSpaceDN w:val="0"/>
              <w:adjustRightInd w:val="0"/>
              <w:jc w:val="right"/>
              <w:rPr>
                <w:bCs/>
              </w:rPr>
            </w:pP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Secondary</w:t>
            </w:r>
          </w:p>
        </w:tc>
        <w:tc>
          <w:tcPr>
            <w:tcW w:w="2543" w:type="dxa"/>
            <w:vMerge w:val="restart"/>
            <w:vAlign w:val="center"/>
          </w:tcPr>
          <w:p w:rsidR="001912AC" w:rsidRPr="003A10E8" w:rsidRDefault="001912AC" w:rsidP="003B4907">
            <w:pPr>
              <w:autoSpaceDE w:val="0"/>
              <w:autoSpaceDN w:val="0"/>
              <w:adjustRightInd w:val="0"/>
              <w:jc w:val="right"/>
              <w:rPr>
                <w:bCs/>
              </w:rPr>
            </w:pPr>
            <w:r w:rsidRPr="003A10E8">
              <w:rPr>
                <w:bCs/>
              </w:rPr>
              <w:t>-</w:t>
            </w:r>
          </w:p>
        </w:tc>
        <w:tc>
          <w:tcPr>
            <w:tcW w:w="2730" w:type="dxa"/>
          </w:tcPr>
          <w:p w:rsidR="001912AC" w:rsidRPr="003A10E8" w:rsidRDefault="001912AC" w:rsidP="003B4907">
            <w:pPr>
              <w:autoSpaceDE w:val="0"/>
              <w:autoSpaceDN w:val="0"/>
              <w:adjustRightInd w:val="0"/>
              <w:jc w:val="right"/>
              <w:rPr>
                <w:bCs/>
              </w:rPr>
            </w:pPr>
            <w:r w:rsidRPr="003A10E8">
              <w:rPr>
                <w:bCs/>
              </w:rPr>
              <w:t>0.09</w:t>
            </w: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Primary</w:t>
            </w:r>
          </w:p>
        </w:tc>
        <w:tc>
          <w:tcPr>
            <w:tcW w:w="2543" w:type="dxa"/>
            <w:vMerge/>
          </w:tcPr>
          <w:p w:rsidR="001912AC" w:rsidRPr="003A10E8" w:rsidRDefault="001912AC" w:rsidP="003B4907">
            <w:pPr>
              <w:autoSpaceDE w:val="0"/>
              <w:autoSpaceDN w:val="0"/>
              <w:adjustRightInd w:val="0"/>
              <w:jc w:val="center"/>
              <w:rPr>
                <w:bCs/>
              </w:rPr>
            </w:pPr>
          </w:p>
        </w:tc>
        <w:tc>
          <w:tcPr>
            <w:tcW w:w="2730" w:type="dxa"/>
          </w:tcPr>
          <w:p w:rsidR="001912AC" w:rsidRPr="003A10E8" w:rsidRDefault="001912AC" w:rsidP="003B4907">
            <w:pPr>
              <w:autoSpaceDE w:val="0"/>
              <w:autoSpaceDN w:val="0"/>
              <w:adjustRightInd w:val="0"/>
              <w:jc w:val="right"/>
              <w:rPr>
                <w:bCs/>
              </w:rPr>
            </w:pPr>
            <w:r w:rsidRPr="003A10E8">
              <w:rPr>
                <w:bCs/>
              </w:rPr>
              <w:t>0.09</w:t>
            </w: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Transmission</w:t>
            </w:r>
          </w:p>
        </w:tc>
        <w:tc>
          <w:tcPr>
            <w:tcW w:w="2543" w:type="dxa"/>
            <w:vMerge/>
          </w:tcPr>
          <w:p w:rsidR="001912AC" w:rsidRPr="003A10E8" w:rsidRDefault="001912AC" w:rsidP="003B4907">
            <w:pPr>
              <w:autoSpaceDE w:val="0"/>
              <w:autoSpaceDN w:val="0"/>
              <w:adjustRightInd w:val="0"/>
              <w:jc w:val="center"/>
              <w:rPr>
                <w:bCs/>
              </w:rPr>
            </w:pPr>
          </w:p>
        </w:tc>
        <w:tc>
          <w:tcPr>
            <w:tcW w:w="2730" w:type="dxa"/>
          </w:tcPr>
          <w:p w:rsidR="001912AC" w:rsidRPr="003A10E8" w:rsidRDefault="001912AC" w:rsidP="003B4907">
            <w:pPr>
              <w:autoSpaceDE w:val="0"/>
              <w:autoSpaceDN w:val="0"/>
              <w:adjustRightInd w:val="0"/>
              <w:jc w:val="right"/>
              <w:rPr>
                <w:bCs/>
              </w:rPr>
            </w:pPr>
            <w:r w:rsidRPr="003A10E8">
              <w:rPr>
                <w:bCs/>
              </w:rPr>
              <w:t>0.09</w:t>
            </w:r>
          </w:p>
        </w:tc>
      </w:tr>
      <w:tr w:rsidR="001912AC" w:rsidRPr="003A10E8" w:rsidTr="003B4907">
        <w:tc>
          <w:tcPr>
            <w:tcW w:w="6620" w:type="dxa"/>
            <w:gridSpan w:val="2"/>
          </w:tcPr>
          <w:p w:rsidR="001912AC" w:rsidRPr="003A10E8" w:rsidRDefault="001912AC" w:rsidP="003B4907">
            <w:pPr>
              <w:tabs>
                <w:tab w:val="left" w:pos="312"/>
                <w:tab w:val="center" w:pos="3197"/>
              </w:tabs>
              <w:autoSpaceDE w:val="0"/>
              <w:autoSpaceDN w:val="0"/>
              <w:adjustRightInd w:val="0"/>
              <w:jc w:val="both"/>
              <w:rPr>
                <w:bCs/>
              </w:rPr>
            </w:pPr>
            <w:r w:rsidRPr="003A10E8">
              <w:rPr>
                <w:bCs/>
              </w:rPr>
              <w:t>GSD Optional</w:t>
            </w:r>
          </w:p>
        </w:tc>
        <w:tc>
          <w:tcPr>
            <w:tcW w:w="2730" w:type="dxa"/>
          </w:tcPr>
          <w:p w:rsidR="001912AC" w:rsidRPr="003A10E8" w:rsidRDefault="001912AC" w:rsidP="003B4907">
            <w:pPr>
              <w:autoSpaceDE w:val="0"/>
              <w:autoSpaceDN w:val="0"/>
              <w:adjustRightInd w:val="0"/>
              <w:jc w:val="right"/>
              <w:rPr>
                <w:bCs/>
              </w:rPr>
            </w:pP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Secondary</w:t>
            </w:r>
          </w:p>
        </w:tc>
        <w:tc>
          <w:tcPr>
            <w:tcW w:w="2543" w:type="dxa"/>
          </w:tcPr>
          <w:p w:rsidR="001912AC" w:rsidRPr="003A10E8" w:rsidRDefault="001912AC" w:rsidP="003B4907">
            <w:pPr>
              <w:autoSpaceDE w:val="0"/>
              <w:autoSpaceDN w:val="0"/>
              <w:adjustRightInd w:val="0"/>
              <w:jc w:val="right"/>
              <w:rPr>
                <w:bCs/>
              </w:rPr>
            </w:pPr>
            <w:r w:rsidRPr="003A10E8">
              <w:rPr>
                <w:bCs/>
              </w:rPr>
              <w:t>0.022</w:t>
            </w:r>
          </w:p>
        </w:tc>
        <w:tc>
          <w:tcPr>
            <w:tcW w:w="2730" w:type="dxa"/>
            <w:vMerge w:val="restart"/>
            <w:vAlign w:val="center"/>
          </w:tcPr>
          <w:p w:rsidR="001912AC" w:rsidRPr="003A10E8" w:rsidRDefault="001912AC" w:rsidP="003B4907">
            <w:pPr>
              <w:autoSpaceDE w:val="0"/>
              <w:autoSpaceDN w:val="0"/>
              <w:adjustRightInd w:val="0"/>
              <w:jc w:val="right"/>
              <w:rPr>
                <w:bCs/>
              </w:rPr>
            </w:pPr>
            <w:r w:rsidRPr="003A10E8">
              <w:rPr>
                <w:bCs/>
              </w:rPr>
              <w:t>-</w:t>
            </w: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Primary</w:t>
            </w:r>
          </w:p>
        </w:tc>
        <w:tc>
          <w:tcPr>
            <w:tcW w:w="2543" w:type="dxa"/>
          </w:tcPr>
          <w:p w:rsidR="001912AC" w:rsidRPr="003A10E8" w:rsidRDefault="001912AC" w:rsidP="003B4907">
            <w:pPr>
              <w:autoSpaceDE w:val="0"/>
              <w:autoSpaceDN w:val="0"/>
              <w:adjustRightInd w:val="0"/>
              <w:jc w:val="right"/>
              <w:rPr>
                <w:bCs/>
              </w:rPr>
            </w:pPr>
            <w:r w:rsidRPr="003A10E8">
              <w:rPr>
                <w:bCs/>
              </w:rPr>
              <w:t>0.022</w:t>
            </w:r>
          </w:p>
        </w:tc>
        <w:tc>
          <w:tcPr>
            <w:tcW w:w="2730" w:type="dxa"/>
            <w:vMerge/>
          </w:tcPr>
          <w:p w:rsidR="001912AC" w:rsidRPr="003A10E8" w:rsidRDefault="001912AC" w:rsidP="003B4907">
            <w:pPr>
              <w:autoSpaceDE w:val="0"/>
              <w:autoSpaceDN w:val="0"/>
              <w:adjustRightInd w:val="0"/>
              <w:jc w:val="right"/>
              <w:rPr>
                <w:bCs/>
              </w:rPr>
            </w:pPr>
          </w:p>
        </w:tc>
      </w:tr>
      <w:tr w:rsidR="001912AC" w:rsidRPr="003A10E8" w:rsidTr="003B4907">
        <w:tc>
          <w:tcPr>
            <w:tcW w:w="4077" w:type="dxa"/>
          </w:tcPr>
          <w:p w:rsidR="001912AC" w:rsidRPr="003A10E8" w:rsidRDefault="001912AC" w:rsidP="003B4907">
            <w:pPr>
              <w:autoSpaceDE w:val="0"/>
              <w:autoSpaceDN w:val="0"/>
              <w:adjustRightInd w:val="0"/>
              <w:jc w:val="center"/>
              <w:rPr>
                <w:bCs/>
              </w:rPr>
            </w:pPr>
            <w:r w:rsidRPr="003A10E8">
              <w:rPr>
                <w:bCs/>
              </w:rPr>
              <w:t>Transmission</w:t>
            </w:r>
          </w:p>
        </w:tc>
        <w:tc>
          <w:tcPr>
            <w:tcW w:w="2543" w:type="dxa"/>
          </w:tcPr>
          <w:p w:rsidR="001912AC" w:rsidRPr="003A10E8" w:rsidRDefault="001912AC" w:rsidP="003B4907">
            <w:pPr>
              <w:autoSpaceDE w:val="0"/>
              <w:autoSpaceDN w:val="0"/>
              <w:adjustRightInd w:val="0"/>
              <w:jc w:val="right"/>
              <w:rPr>
                <w:bCs/>
              </w:rPr>
            </w:pPr>
            <w:r w:rsidRPr="003A10E8">
              <w:rPr>
                <w:bCs/>
              </w:rPr>
              <w:t>0.022</w:t>
            </w:r>
          </w:p>
        </w:tc>
        <w:tc>
          <w:tcPr>
            <w:tcW w:w="2730" w:type="dxa"/>
            <w:tcBorders>
              <w:bottom w:val="single" w:sz="4" w:space="0" w:color="auto"/>
            </w:tcBorders>
          </w:tcPr>
          <w:p w:rsidR="001912AC" w:rsidRPr="003A10E8" w:rsidRDefault="001912AC" w:rsidP="003B4907">
            <w:pPr>
              <w:autoSpaceDE w:val="0"/>
              <w:autoSpaceDN w:val="0"/>
              <w:adjustRightInd w:val="0"/>
              <w:jc w:val="right"/>
              <w:rPr>
                <w:bCs/>
              </w:rPr>
            </w:pPr>
          </w:p>
        </w:tc>
      </w:tr>
      <w:tr w:rsidR="001912AC" w:rsidRPr="003A10E8" w:rsidTr="003B4907">
        <w:tc>
          <w:tcPr>
            <w:tcW w:w="4077" w:type="dxa"/>
          </w:tcPr>
          <w:p w:rsidR="001912AC" w:rsidRPr="003A10E8" w:rsidRDefault="001912AC" w:rsidP="003B4907">
            <w:pPr>
              <w:autoSpaceDE w:val="0"/>
              <w:autoSpaceDN w:val="0"/>
              <w:adjustRightInd w:val="0"/>
              <w:rPr>
                <w:bCs/>
              </w:rPr>
            </w:pPr>
            <w:r w:rsidRPr="003A10E8">
              <w:rPr>
                <w:bCs/>
              </w:rPr>
              <w:t>GS</w:t>
            </w:r>
            <w:r>
              <w:rPr>
                <w:bCs/>
              </w:rPr>
              <w:t>L</w:t>
            </w:r>
            <w:r w:rsidRPr="003A10E8">
              <w:rPr>
                <w:bCs/>
              </w:rPr>
              <w:t>DPR/</w:t>
            </w:r>
            <w:r>
              <w:rPr>
                <w:bCs/>
              </w:rPr>
              <w:t>GSLDTPR/SBLDPR/</w:t>
            </w:r>
            <w:r w:rsidRPr="003A10E8">
              <w:rPr>
                <w:bCs/>
              </w:rPr>
              <w:t>SBLDTPR</w:t>
            </w:r>
          </w:p>
        </w:tc>
        <w:tc>
          <w:tcPr>
            <w:tcW w:w="2543" w:type="dxa"/>
            <w:vMerge w:val="restart"/>
            <w:vAlign w:val="center"/>
          </w:tcPr>
          <w:p w:rsidR="001912AC" w:rsidRPr="003A10E8" w:rsidRDefault="001912AC" w:rsidP="003B4907">
            <w:pPr>
              <w:autoSpaceDE w:val="0"/>
              <w:autoSpaceDN w:val="0"/>
              <w:adjustRightInd w:val="0"/>
              <w:jc w:val="right"/>
              <w:rPr>
                <w:bCs/>
              </w:rPr>
            </w:pPr>
            <w:r w:rsidRPr="003A10E8">
              <w:rPr>
                <w:bCs/>
              </w:rPr>
              <w:t>-</w:t>
            </w:r>
          </w:p>
        </w:tc>
        <w:tc>
          <w:tcPr>
            <w:tcW w:w="2730" w:type="dxa"/>
          </w:tcPr>
          <w:p w:rsidR="001912AC" w:rsidRPr="003A10E8" w:rsidRDefault="001912AC" w:rsidP="003B4907">
            <w:pPr>
              <w:autoSpaceDE w:val="0"/>
              <w:autoSpaceDN w:val="0"/>
              <w:adjustRightInd w:val="0"/>
              <w:jc w:val="right"/>
              <w:rPr>
                <w:bCs/>
              </w:rPr>
            </w:pPr>
            <w:r w:rsidRPr="003A10E8">
              <w:rPr>
                <w:bCs/>
              </w:rPr>
              <w:t>0.08</w:t>
            </w:r>
          </w:p>
        </w:tc>
      </w:tr>
      <w:tr w:rsidR="001912AC" w:rsidRPr="003A10E8" w:rsidTr="003B4907">
        <w:tc>
          <w:tcPr>
            <w:tcW w:w="4077" w:type="dxa"/>
          </w:tcPr>
          <w:p w:rsidR="001912AC" w:rsidRPr="003A10E8" w:rsidRDefault="001912AC" w:rsidP="003B4907">
            <w:pPr>
              <w:autoSpaceDE w:val="0"/>
              <w:autoSpaceDN w:val="0"/>
              <w:adjustRightInd w:val="0"/>
              <w:rPr>
                <w:bCs/>
              </w:rPr>
            </w:pPr>
            <w:r w:rsidRPr="003A10E8">
              <w:rPr>
                <w:bCs/>
              </w:rPr>
              <w:t>GS</w:t>
            </w:r>
            <w:r>
              <w:rPr>
                <w:bCs/>
              </w:rPr>
              <w:t>LDSU</w:t>
            </w:r>
            <w:r w:rsidRPr="003A10E8">
              <w:rPr>
                <w:bCs/>
              </w:rPr>
              <w:t>/</w:t>
            </w:r>
            <w:r>
              <w:rPr>
                <w:bCs/>
              </w:rPr>
              <w:t>GSLDTSU/SBLDSU/</w:t>
            </w:r>
            <w:r w:rsidRPr="003A10E8">
              <w:rPr>
                <w:bCs/>
              </w:rPr>
              <w:t>SBLDTSU</w:t>
            </w:r>
          </w:p>
        </w:tc>
        <w:tc>
          <w:tcPr>
            <w:tcW w:w="2543" w:type="dxa"/>
            <w:vMerge/>
          </w:tcPr>
          <w:p w:rsidR="001912AC" w:rsidRPr="003A10E8" w:rsidRDefault="001912AC" w:rsidP="003B4907">
            <w:pPr>
              <w:autoSpaceDE w:val="0"/>
              <w:autoSpaceDN w:val="0"/>
              <w:adjustRightInd w:val="0"/>
              <w:jc w:val="center"/>
              <w:rPr>
                <w:bCs/>
              </w:rPr>
            </w:pPr>
          </w:p>
        </w:tc>
        <w:tc>
          <w:tcPr>
            <w:tcW w:w="2730" w:type="dxa"/>
          </w:tcPr>
          <w:p w:rsidR="001912AC" w:rsidRPr="003A10E8" w:rsidRDefault="001912AC" w:rsidP="003B4907">
            <w:pPr>
              <w:autoSpaceDE w:val="0"/>
              <w:autoSpaceDN w:val="0"/>
              <w:adjustRightInd w:val="0"/>
              <w:jc w:val="right"/>
              <w:rPr>
                <w:bCs/>
              </w:rPr>
            </w:pPr>
            <w:r w:rsidRPr="003A10E8">
              <w:rPr>
                <w:bCs/>
              </w:rPr>
              <w:t>0.07</w:t>
            </w:r>
          </w:p>
        </w:tc>
      </w:tr>
      <w:tr w:rsidR="001912AC" w:rsidRPr="003A10E8" w:rsidTr="003B4907">
        <w:tc>
          <w:tcPr>
            <w:tcW w:w="4077" w:type="dxa"/>
          </w:tcPr>
          <w:p w:rsidR="001912AC" w:rsidRPr="003A10E8" w:rsidRDefault="001912AC" w:rsidP="003B4907">
            <w:pPr>
              <w:autoSpaceDE w:val="0"/>
              <w:autoSpaceDN w:val="0"/>
              <w:adjustRightInd w:val="0"/>
              <w:rPr>
                <w:bCs/>
              </w:rPr>
            </w:pPr>
            <w:r w:rsidRPr="003A10E8">
              <w:rPr>
                <w:bCs/>
              </w:rPr>
              <w:t>LS-1, LS-2</w:t>
            </w:r>
          </w:p>
        </w:tc>
        <w:tc>
          <w:tcPr>
            <w:tcW w:w="2543" w:type="dxa"/>
          </w:tcPr>
          <w:p w:rsidR="001912AC" w:rsidRPr="003A10E8" w:rsidRDefault="001912AC" w:rsidP="003B4907">
            <w:pPr>
              <w:autoSpaceDE w:val="0"/>
              <w:autoSpaceDN w:val="0"/>
              <w:adjustRightInd w:val="0"/>
              <w:jc w:val="right"/>
              <w:rPr>
                <w:bCs/>
              </w:rPr>
            </w:pPr>
            <w:r w:rsidRPr="003A10E8">
              <w:rPr>
                <w:bCs/>
              </w:rPr>
              <w:t>0.004</w:t>
            </w:r>
          </w:p>
        </w:tc>
        <w:tc>
          <w:tcPr>
            <w:tcW w:w="2730" w:type="dxa"/>
          </w:tcPr>
          <w:p w:rsidR="001912AC" w:rsidRPr="003A10E8" w:rsidRDefault="001912AC" w:rsidP="003B4907">
            <w:pPr>
              <w:autoSpaceDE w:val="0"/>
              <w:autoSpaceDN w:val="0"/>
              <w:adjustRightInd w:val="0"/>
              <w:jc w:val="right"/>
              <w:rPr>
                <w:bCs/>
              </w:rPr>
            </w:pPr>
            <w:r w:rsidRPr="003A10E8">
              <w:rPr>
                <w:bCs/>
              </w:rPr>
              <w:t>-</w:t>
            </w:r>
          </w:p>
        </w:tc>
      </w:tr>
    </w:tbl>
    <w:p w:rsidR="001912AC" w:rsidRPr="003A10E8" w:rsidRDefault="001912AC" w:rsidP="001912AC">
      <w:pPr>
        <w:pStyle w:val="Footer"/>
        <w:keepNext/>
        <w:keepLines/>
        <w:widowControl w:val="0"/>
        <w:tabs>
          <w:tab w:val="center" w:pos="5940"/>
          <w:tab w:val="center" w:pos="7380"/>
        </w:tabs>
        <w:suppressAutoHyphens/>
        <w:rPr>
          <w:bCs/>
          <w:sz w:val="22"/>
          <w:szCs w:val="22"/>
        </w:rPr>
      </w:pPr>
      <w:r w:rsidRPr="003A10E8">
        <w:rPr>
          <w:color w:val="FF0000"/>
          <w:sz w:val="22"/>
          <w:szCs w:val="22"/>
        </w:rPr>
        <w:t xml:space="preserve">   </w:t>
      </w:r>
      <w:r w:rsidRPr="003A10E8">
        <w:rPr>
          <w:sz w:val="22"/>
          <w:szCs w:val="22"/>
        </w:rPr>
        <w:t>Source: Exhibit MAS-3, Document Number 1, Page 3 of 4 (amended filing 10/1/2021).</w:t>
      </w:r>
    </w:p>
    <w:p w:rsidR="001912AC" w:rsidRPr="00520C62" w:rsidRDefault="001912AC" w:rsidP="001912AC">
      <w:r w:rsidRPr="00520C62">
        <w:t xml:space="preserve">                              </w:t>
      </w:r>
    </w:p>
    <w:p w:rsidR="001912AC" w:rsidRPr="00BF6EBB" w:rsidRDefault="001912AC" w:rsidP="00191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1912AC" w:rsidRPr="00BF6EBB" w:rsidRDefault="001912AC" w:rsidP="00191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1912AC" w:rsidRPr="00BF6EBB" w:rsidRDefault="001912AC" w:rsidP="001912AC">
      <w:pPr>
        <w:autoSpaceDE w:val="0"/>
        <w:autoSpaceDN w:val="0"/>
        <w:adjustRightInd w:val="0"/>
        <w:ind w:left="1440" w:hanging="1440"/>
        <w:jc w:val="both"/>
      </w:pPr>
      <w:r w:rsidRPr="00BF6EBB">
        <w:rPr>
          <w:b/>
          <w:bCs/>
          <w:u w:val="single"/>
        </w:rPr>
        <w:t>ISSUE 34</w:t>
      </w:r>
      <w:r w:rsidRPr="00BF6EBB">
        <w:t>:</w:t>
      </w:r>
      <w:r w:rsidRPr="00BF6EBB">
        <w:tab/>
      </w:r>
      <w:r w:rsidRPr="00777C7E">
        <w:rPr>
          <w:b/>
        </w:rPr>
        <w:t xml:space="preserve">What should be the effective date of the fuel adjustment factors and capacity cost recovery factors for billing purposes? </w:t>
      </w:r>
      <w:r w:rsidRPr="00BF6EBB">
        <w:t xml:space="preserve">                                                               </w:t>
      </w:r>
    </w:p>
    <w:p w:rsidR="001912AC" w:rsidRDefault="001912AC" w:rsidP="001912AC">
      <w:pPr>
        <w:jc w:val="both"/>
      </w:pPr>
    </w:p>
    <w:p w:rsidR="001912AC" w:rsidRDefault="001912AC" w:rsidP="001912AC">
      <w:pPr>
        <w:ind w:left="1440" w:hanging="1440"/>
        <w:jc w:val="both"/>
        <w:rPr>
          <w:b/>
        </w:rPr>
      </w:pPr>
      <w:r>
        <w:rPr>
          <w:b/>
        </w:rPr>
        <w:t>Stipulation:</w:t>
      </w:r>
      <w:r>
        <w:rPr>
          <w:b/>
        </w:rPr>
        <w:tab/>
      </w:r>
      <w:r w:rsidRPr="00786E08">
        <w:t xml:space="preserve">The new factors should be effective beginning with the first billing cycle for January </w:t>
      </w:r>
      <w:r>
        <w:t>2022</w:t>
      </w:r>
      <w:r w:rsidRPr="00786E08">
        <w:t xml:space="preserve"> through the last billing cycle for December </w:t>
      </w:r>
      <w:r>
        <w:t>2022</w:t>
      </w:r>
      <w:r w:rsidRPr="00786E08">
        <w:t xml:space="preserve">. The first billing cycle may start before January 1, </w:t>
      </w:r>
      <w:r>
        <w:t>2022</w:t>
      </w:r>
      <w:r w:rsidRPr="00786E08">
        <w:t xml:space="preserve">, and the last cycle may be read after December 31, </w:t>
      </w:r>
      <w:r>
        <w:t>2022</w:t>
      </w:r>
      <w:r w:rsidRPr="00786E08">
        <w:t>, so that each customer is billed for twelve months regardless of when the recovery factors became effective. The new factors shall continue in effect until modified by this Commission.</w:t>
      </w:r>
    </w:p>
    <w:p w:rsidR="001912AC" w:rsidRPr="003A10E8" w:rsidRDefault="001912AC" w:rsidP="001912AC">
      <w:pPr>
        <w:rPr>
          <w:b/>
        </w:rPr>
      </w:pPr>
    </w:p>
    <w:p w:rsidR="001912AC" w:rsidRDefault="001912AC" w:rsidP="001912AC">
      <w:pPr>
        <w:autoSpaceDE w:val="0"/>
        <w:autoSpaceDN w:val="0"/>
        <w:adjustRightInd w:val="0"/>
        <w:ind w:left="1440" w:hanging="1440"/>
        <w:jc w:val="both"/>
      </w:pPr>
      <w:r w:rsidRPr="00BF6EBB">
        <w:rPr>
          <w:b/>
          <w:u w:val="single"/>
        </w:rPr>
        <w:t>ISSUE 35:</w:t>
      </w:r>
      <w:r w:rsidRPr="00BF6EBB">
        <w:rPr>
          <w:b/>
        </w:rPr>
        <w:tab/>
      </w:r>
      <w:r w:rsidRPr="00777C7E">
        <w:rPr>
          <w:b/>
        </w:rPr>
        <w:t>Should the Commission approve revised tariffs reflecting the fuel adjustment factors and capacity cost recovery factors determined to be appropriate in this proceeding?</w:t>
      </w:r>
      <w:r w:rsidRPr="00BF6EBB">
        <w:t xml:space="preserve"> </w:t>
      </w:r>
    </w:p>
    <w:p w:rsidR="001912AC" w:rsidRDefault="001912AC" w:rsidP="001912AC">
      <w:pPr>
        <w:autoSpaceDE w:val="0"/>
        <w:autoSpaceDN w:val="0"/>
        <w:adjustRightInd w:val="0"/>
        <w:ind w:left="1440" w:hanging="1440"/>
        <w:jc w:val="both"/>
      </w:pPr>
    </w:p>
    <w:p w:rsidR="001912AC" w:rsidRPr="003A10E8" w:rsidRDefault="001912AC" w:rsidP="001912AC">
      <w:pPr>
        <w:autoSpaceDE w:val="0"/>
        <w:autoSpaceDN w:val="0"/>
        <w:adjustRightInd w:val="0"/>
        <w:ind w:left="1440" w:hanging="1440"/>
        <w:jc w:val="both"/>
        <w:rPr>
          <w:b/>
        </w:rPr>
      </w:pPr>
      <w:r>
        <w:rPr>
          <w:b/>
        </w:rPr>
        <w:t>Stipulation:</w:t>
      </w:r>
      <w:r>
        <w:rPr>
          <w:b/>
        </w:rPr>
        <w:tab/>
      </w:r>
      <w:r>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 decision.</w:t>
      </w:r>
    </w:p>
    <w:p w:rsidR="001912AC" w:rsidRDefault="001912AC" w:rsidP="001912AC">
      <w:pPr>
        <w:jc w:val="both"/>
        <w:rPr>
          <w:b/>
          <w:u w:val="single"/>
        </w:rPr>
      </w:pPr>
      <w:r>
        <w:rPr>
          <w:b/>
          <w:u w:val="single"/>
        </w:rPr>
        <w:br w:type="page"/>
      </w:r>
    </w:p>
    <w:p w:rsidR="001912AC" w:rsidRDefault="001912AC" w:rsidP="001912AC">
      <w:pPr>
        <w:autoSpaceDE w:val="0"/>
        <w:autoSpaceDN w:val="0"/>
        <w:adjustRightInd w:val="0"/>
        <w:ind w:left="1440" w:hanging="1440"/>
        <w:jc w:val="both"/>
      </w:pPr>
      <w:r>
        <w:rPr>
          <w:b/>
          <w:u w:val="single"/>
        </w:rPr>
        <w:lastRenderedPageBreak/>
        <w:t>ISSUE 36</w:t>
      </w:r>
      <w:r>
        <w:rPr>
          <w:b/>
        </w:rPr>
        <w:t>:</w:t>
      </w:r>
      <w:r>
        <w:rPr>
          <w:b/>
        </w:rPr>
        <w:tab/>
      </w:r>
      <w:r w:rsidRPr="00777C7E">
        <w:rPr>
          <w:b/>
        </w:rPr>
        <w:t>Should this docket be closed?</w:t>
      </w:r>
    </w:p>
    <w:p w:rsidR="001912AC" w:rsidRDefault="001912AC" w:rsidP="001912AC">
      <w:pPr>
        <w:pStyle w:val="OrderBody"/>
      </w:pPr>
    </w:p>
    <w:p w:rsidR="001912AC" w:rsidRDefault="001912AC" w:rsidP="001912AC">
      <w:pPr>
        <w:pStyle w:val="OrderBody"/>
      </w:pPr>
      <w:r>
        <w:rPr>
          <w:b/>
        </w:rPr>
        <w:t>Stipulation:</w:t>
      </w:r>
      <w:r>
        <w:rPr>
          <w:b/>
        </w:rPr>
        <w:tab/>
      </w:r>
      <w:r>
        <w:t>This is a continuing docket and should remain open.</w:t>
      </w: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1912AC" w:rsidRDefault="001912AC" w:rsidP="001912AC">
      <w:pPr>
        <w:pStyle w:val="OrderBody"/>
      </w:pPr>
    </w:p>
    <w:p w:rsidR="002E740F" w:rsidRDefault="002E740F" w:rsidP="002E740F">
      <w:pPr>
        <w:jc w:val="both"/>
      </w:pPr>
    </w:p>
    <w:sectPr w:rsidR="002E740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907" w:rsidRDefault="003B4907">
      <w:r>
        <w:separator/>
      </w:r>
    </w:p>
  </w:endnote>
  <w:endnote w:type="continuationSeparator" w:id="0">
    <w:p w:rsidR="003B4907" w:rsidRDefault="003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907" w:rsidRDefault="003B4907">
    <w:pPr>
      <w:pStyle w:val="Footer"/>
    </w:pPr>
  </w:p>
  <w:p w:rsidR="003B4907" w:rsidRDefault="003B4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907" w:rsidRDefault="003B4907">
      <w:r>
        <w:separator/>
      </w:r>
    </w:p>
  </w:footnote>
  <w:footnote w:type="continuationSeparator" w:id="0">
    <w:p w:rsidR="003B4907" w:rsidRDefault="003B4907">
      <w:r>
        <w:continuationSeparator/>
      </w:r>
    </w:p>
  </w:footnote>
  <w:footnote w:id="1">
    <w:p w:rsidR="003B4907" w:rsidRPr="00352071" w:rsidRDefault="003B4907">
      <w:pPr>
        <w:pStyle w:val="FootnoteText"/>
        <w:rPr>
          <w:i/>
        </w:rPr>
      </w:pPr>
      <w:r>
        <w:rPr>
          <w:rStyle w:val="FootnoteReference"/>
        </w:rPr>
        <w:footnoteRef/>
      </w:r>
      <w:r>
        <w:t xml:space="preserve"> Order No. PSC-2021-0425-FOF-EI, issued November 16, 2021, in Docket No. 20210158-EI, </w:t>
      </w:r>
      <w:r>
        <w:rPr>
          <w:i/>
        </w:rPr>
        <w:t>In re: Limited proceeding to consider Duke Energy Florida, LLC’s unopposed motion to approve rate mitigation agreement.</w:t>
      </w:r>
    </w:p>
  </w:footnote>
  <w:footnote w:id="2">
    <w:p w:rsidR="003B4907" w:rsidRDefault="003B4907" w:rsidP="002E740F">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rsidR="003B4907" w:rsidRDefault="003B4907" w:rsidP="002E740F">
      <w:pPr>
        <w:pStyle w:val="FootnoteText"/>
      </w:pPr>
    </w:p>
  </w:footnote>
  <w:footnote w:id="3">
    <w:p w:rsidR="003B4907" w:rsidRPr="008D4991" w:rsidRDefault="003B4907" w:rsidP="002E740F">
      <w:pPr>
        <w:jc w:val="both"/>
        <w:rPr>
          <w:sz w:val="20"/>
          <w:szCs w:val="20"/>
        </w:rPr>
      </w:pPr>
      <w:r>
        <w:rPr>
          <w:rStyle w:val="FootnoteReference"/>
        </w:rPr>
        <w:footnoteRef/>
      </w:r>
      <w:r>
        <w:t xml:space="preserve"> </w:t>
      </w:r>
      <w:r w:rsidRPr="008D4991">
        <w:rPr>
          <w:sz w:val="20"/>
          <w:szCs w:val="20"/>
        </w:rPr>
        <w:t xml:space="preserve">The OPC position on each Type 2 stipulation stated </w:t>
      </w:r>
      <w:r>
        <w:rPr>
          <w:sz w:val="20"/>
          <w:szCs w:val="20"/>
        </w:rPr>
        <w:t xml:space="preserve">herein </w:t>
      </w:r>
      <w:r w:rsidRPr="008D4991">
        <w:rPr>
          <w:sz w:val="20"/>
          <w:szCs w:val="20"/>
        </w:rPr>
        <w:t>is as follows:</w:t>
      </w:r>
    </w:p>
    <w:p w:rsidR="003B4907" w:rsidRDefault="003B4907" w:rsidP="002E740F">
      <w:pPr>
        <w:pStyle w:val="FootnoteText"/>
      </w:pPr>
      <w:r>
        <w:tab/>
      </w:r>
      <w:r w:rsidRPr="008D4991">
        <w:t>OPC takes no position on these issues nor does it have the burden of proof related</w:t>
      </w:r>
      <w:r>
        <w:t xml:space="preserve"> </w:t>
      </w:r>
      <w:r w:rsidRPr="008D4991">
        <w:t>to them. As such, the OPC represents that it will not contest or oppose the</w:t>
      </w:r>
      <w:r>
        <w:t xml:space="preserve"> </w:t>
      </w:r>
      <w:r w:rsidRPr="008D4991">
        <w:t>Commission taking action approving a proposed stipulation between the</w:t>
      </w:r>
      <w:r>
        <w:t xml:space="preserve"> </w:t>
      </w:r>
      <w:r w:rsidRPr="008D4991">
        <w:t>Company and another party or staff as a final resolution of these issues. No</w:t>
      </w:r>
      <w:r>
        <w:t xml:space="preserve"> </w:t>
      </w:r>
      <w:r w:rsidRPr="008D4991">
        <w:t>person is authorized to state that the OPC is a participant in, or party to, a</w:t>
      </w:r>
      <w:r>
        <w:t xml:space="preserve"> </w:t>
      </w:r>
      <w:r w:rsidRPr="008D4991">
        <w:t>stipulation on these issues, either in this docket, in an order of the Commission or</w:t>
      </w:r>
      <w:r>
        <w:t xml:space="preserve"> </w:t>
      </w:r>
      <w:r w:rsidRPr="008D4991">
        <w:t>in a representation to a Court.</w:t>
      </w:r>
    </w:p>
  </w:footnote>
  <w:footnote w:id="4">
    <w:p w:rsidR="003B4907" w:rsidRDefault="003B4907" w:rsidP="002E740F">
      <w:pPr>
        <w:pStyle w:val="FootnoteText"/>
      </w:pPr>
      <w:r>
        <w:rPr>
          <w:rStyle w:val="FootnoteReference"/>
        </w:rPr>
        <w:footnoteRef/>
      </w:r>
      <w:r>
        <w:t xml:space="preserve"> FPL and Gulf filed a single 2022 Risk Management Plan applicable to both utilities.  Document No. 11768-2021.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907" w:rsidRDefault="003B4907">
    <w:pPr>
      <w:pStyle w:val="OrderHeader"/>
    </w:pPr>
    <w:r>
      <w:t xml:space="preserve">ORDER NO. </w:t>
    </w:r>
    <w:fldSimple w:instr=" REF OrderNo0442 ">
      <w:r w:rsidR="006D5C41">
        <w:t>PSC-2021-0442-FOF-EI</w:t>
      </w:r>
    </w:fldSimple>
  </w:p>
  <w:p w:rsidR="003B4907" w:rsidRDefault="003B4907">
    <w:pPr>
      <w:pStyle w:val="OrderHeader"/>
    </w:pPr>
    <w:bookmarkStart w:id="10" w:name="HeaderDocketNo"/>
    <w:bookmarkEnd w:id="10"/>
    <w:r>
      <w:t>DOCKET NO. 20210001-EI</w:t>
    </w:r>
  </w:p>
  <w:p w:rsidR="003B4907" w:rsidRDefault="003B49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5C41">
      <w:rPr>
        <w:rStyle w:val="PageNumber"/>
        <w:noProof/>
      </w:rPr>
      <w:t>5</w:t>
    </w:r>
    <w:r>
      <w:rPr>
        <w:rStyle w:val="PageNumber"/>
      </w:rPr>
      <w:fldChar w:fldCharType="end"/>
    </w:r>
  </w:p>
  <w:p w:rsidR="003B4907" w:rsidRDefault="003B490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2F052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77DB4"/>
    <w:rsid w:val="00081AE4"/>
    <w:rsid w:val="0008247D"/>
    <w:rsid w:val="00087327"/>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160"/>
    <w:rsid w:val="00126593"/>
    <w:rsid w:val="00127136"/>
    <w:rsid w:val="00134177"/>
    <w:rsid w:val="00136087"/>
    <w:rsid w:val="00142A96"/>
    <w:rsid w:val="001513DE"/>
    <w:rsid w:val="00154A71"/>
    <w:rsid w:val="001655D4"/>
    <w:rsid w:val="00165803"/>
    <w:rsid w:val="00186C1A"/>
    <w:rsid w:val="00187E32"/>
    <w:rsid w:val="001912AC"/>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2746"/>
    <w:rsid w:val="00241CEF"/>
    <w:rsid w:val="0025124E"/>
    <w:rsid w:val="00252B30"/>
    <w:rsid w:val="002613E4"/>
    <w:rsid w:val="00262C43"/>
    <w:rsid w:val="0026544B"/>
    <w:rsid w:val="00270F89"/>
    <w:rsid w:val="00276CDC"/>
    <w:rsid w:val="00277655"/>
    <w:rsid w:val="002801B4"/>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740F"/>
    <w:rsid w:val="002F0523"/>
    <w:rsid w:val="002F2A9D"/>
    <w:rsid w:val="002F31C2"/>
    <w:rsid w:val="002F7BF6"/>
    <w:rsid w:val="00303FDE"/>
    <w:rsid w:val="00313C5B"/>
    <w:rsid w:val="003140E8"/>
    <w:rsid w:val="003207E5"/>
    <w:rsid w:val="003231C7"/>
    <w:rsid w:val="00323839"/>
    <w:rsid w:val="003270C4"/>
    <w:rsid w:val="00331ED0"/>
    <w:rsid w:val="00332B0A"/>
    <w:rsid w:val="00333A41"/>
    <w:rsid w:val="00345434"/>
    <w:rsid w:val="00352071"/>
    <w:rsid w:val="0035495B"/>
    <w:rsid w:val="00355A93"/>
    <w:rsid w:val="00361522"/>
    <w:rsid w:val="0037196E"/>
    <w:rsid w:val="003744F5"/>
    <w:rsid w:val="003875A9"/>
    <w:rsid w:val="00387BDE"/>
    <w:rsid w:val="00390DD8"/>
    <w:rsid w:val="00394DC6"/>
    <w:rsid w:val="00397C3E"/>
    <w:rsid w:val="003B1A09"/>
    <w:rsid w:val="003B4907"/>
    <w:rsid w:val="003C0431"/>
    <w:rsid w:val="003D3989"/>
    <w:rsid w:val="003D4CCA"/>
    <w:rsid w:val="003D52A6"/>
    <w:rsid w:val="003D6416"/>
    <w:rsid w:val="003E1D48"/>
    <w:rsid w:val="003E711F"/>
    <w:rsid w:val="003F1D2B"/>
    <w:rsid w:val="003F49A6"/>
    <w:rsid w:val="003F7445"/>
    <w:rsid w:val="00405035"/>
    <w:rsid w:val="00411DF2"/>
    <w:rsid w:val="00411E8F"/>
    <w:rsid w:val="004247F5"/>
    <w:rsid w:val="0042527B"/>
    <w:rsid w:val="00427EAC"/>
    <w:rsid w:val="004431B4"/>
    <w:rsid w:val="0045537F"/>
    <w:rsid w:val="00457DC7"/>
    <w:rsid w:val="00463D69"/>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11AF"/>
    <w:rsid w:val="00693483"/>
    <w:rsid w:val="006A0BF3"/>
    <w:rsid w:val="006B0036"/>
    <w:rsid w:val="006B0DA6"/>
    <w:rsid w:val="006C547E"/>
    <w:rsid w:val="006D2B51"/>
    <w:rsid w:val="006D5575"/>
    <w:rsid w:val="006D5C41"/>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045D"/>
    <w:rsid w:val="00801DAD"/>
    <w:rsid w:val="00803189"/>
    <w:rsid w:val="00804E7A"/>
    <w:rsid w:val="00805FBB"/>
    <w:rsid w:val="00814292"/>
    <w:rsid w:val="00815620"/>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1F5C"/>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C28"/>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3E3A"/>
    <w:rsid w:val="00CA71FF"/>
    <w:rsid w:val="00CB5276"/>
    <w:rsid w:val="00CB5BFC"/>
    <w:rsid w:val="00CB68D7"/>
    <w:rsid w:val="00CB785B"/>
    <w:rsid w:val="00CC6045"/>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2808"/>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7A84"/>
    <w:rsid w:val="00E72914"/>
    <w:rsid w:val="00E75AE0"/>
    <w:rsid w:val="00E7747D"/>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60F8"/>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7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basedOn w:val="DefaultParagraphFont"/>
    <w:uiPriority w:val="22"/>
    <w:qFormat/>
    <w:rsid w:val="002E740F"/>
    <w:rPr>
      <w:b/>
      <w:bCs/>
    </w:rPr>
  </w:style>
  <w:style w:type="character" w:customStyle="1" w:styleId="FootnoteTextChar">
    <w:name w:val="Footnote Text Char"/>
    <w:basedOn w:val="DefaultParagraphFont"/>
    <w:link w:val="FootnoteText"/>
    <w:uiPriority w:val="99"/>
    <w:rsid w:val="002E740F"/>
  </w:style>
  <w:style w:type="paragraph" w:styleId="BalloonText">
    <w:name w:val="Balloon Text"/>
    <w:basedOn w:val="Normal"/>
    <w:link w:val="BalloonTextChar"/>
    <w:semiHidden/>
    <w:unhideWhenUsed/>
    <w:rsid w:val="001912AC"/>
    <w:rPr>
      <w:rFonts w:ascii="Segoe UI" w:hAnsi="Segoe UI" w:cs="Segoe UI"/>
      <w:sz w:val="18"/>
      <w:szCs w:val="18"/>
    </w:rPr>
  </w:style>
  <w:style w:type="character" w:customStyle="1" w:styleId="BalloonTextChar">
    <w:name w:val="Balloon Text Char"/>
    <w:basedOn w:val="DefaultParagraphFont"/>
    <w:link w:val="BalloonText"/>
    <w:semiHidden/>
    <w:rsid w:val="001912AC"/>
    <w:rPr>
      <w:rFonts w:ascii="Segoe UI" w:hAnsi="Segoe UI" w:cs="Segoe UI"/>
      <w:sz w:val="18"/>
      <w:szCs w:val="18"/>
    </w:rPr>
  </w:style>
  <w:style w:type="character" w:customStyle="1" w:styleId="FooterChar">
    <w:name w:val="Footer Char"/>
    <w:basedOn w:val="DefaultParagraphFont"/>
    <w:link w:val="Footer"/>
    <w:uiPriority w:val="99"/>
    <w:rsid w:val="00191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30</Pages>
  <Words>7224</Words>
  <Characters>41182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2021-11-30T16:24:00Z</dcterms:created>
  <dcterms:modified xsi:type="dcterms:W3CDTF">2021-11-30T17:29:00Z</dcterms:modified>
</cp:coreProperties>
</file>