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A865D4">
            <w:pPr>
              <w:pStyle w:val="MemoHeading"/>
            </w:pPr>
            <w:bookmarkStart w:id="0" w:name="FilingDate"/>
            <w:r>
              <w:t>December 29</w:t>
            </w:r>
            <w:r w:rsidR="003A6724">
              <w:t>, 2021</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A6724" w:rsidRDefault="003A6724">
            <w:pPr>
              <w:pStyle w:val="MemoHeading"/>
            </w:pPr>
            <w:bookmarkStart w:id="1" w:name="From"/>
            <w:r>
              <w:t>Division of Economics (Bethea, Hudson)</w:t>
            </w:r>
          </w:p>
          <w:p w:rsidR="003A6724" w:rsidRDefault="003A6724">
            <w:pPr>
              <w:pStyle w:val="MemoHeading"/>
            </w:pPr>
            <w:r>
              <w:t>Division of Accounting and Finance (</w:t>
            </w:r>
            <w:r w:rsidR="00E906B4">
              <w:t xml:space="preserve">D. </w:t>
            </w:r>
            <w:r w:rsidR="00E14BDC">
              <w:t>Brown, Casper</w:t>
            </w:r>
            <w:r>
              <w:t>, Richards)</w:t>
            </w:r>
          </w:p>
          <w:p w:rsidR="003A6724" w:rsidRDefault="003A6724">
            <w:pPr>
              <w:pStyle w:val="MemoHeading"/>
            </w:pPr>
            <w:r>
              <w:t>Division of Engineering (Lewis, Ramos)</w:t>
            </w:r>
          </w:p>
          <w:p w:rsidR="007C0528" w:rsidRDefault="003A6724">
            <w:pPr>
              <w:pStyle w:val="MemoHeading"/>
            </w:pPr>
            <w:r>
              <w:t>Office of the General Counsel (Jones, Trierweiler)</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3A6724">
            <w:pPr>
              <w:pStyle w:val="MemoHeadingRe"/>
            </w:pPr>
            <w:bookmarkStart w:id="2" w:name="Re"/>
            <w:r>
              <w:t>Docket No. 20210055-WU – Application for staff-assisted rate case in Lake County by Brendenwood Waterworks, Inc.</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A35C0">
            <w:pPr>
              <w:pStyle w:val="MemoHeading"/>
            </w:pPr>
            <w:bookmarkStart w:id="3" w:name="AgendaDate"/>
            <w:r>
              <w:t>01/11</w:t>
            </w:r>
            <w:r w:rsidR="003A6724">
              <w:t>/22</w:t>
            </w:r>
            <w:bookmarkEnd w:id="3"/>
            <w:r w:rsidR="007C0528">
              <w:t xml:space="preserve"> – </w:t>
            </w:r>
            <w:bookmarkStart w:id="4" w:name="PermittedStatus"/>
            <w:r w:rsidR="003A6724">
              <w:t>Regular Agenda – Proposed Agen</w:t>
            </w:r>
            <w:r w:rsidR="00A865D4">
              <w:t>cy Action – Except for Issues 12, 13, and 14</w:t>
            </w:r>
            <w:r w:rsidR="003A6724">
              <w:t xml:space="preserve">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3A6724">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3A6724">
            <w:pPr>
              <w:pStyle w:val="MemoHeading"/>
            </w:pPr>
            <w:bookmarkStart w:id="6" w:name="PrehearingOfficer"/>
            <w:r>
              <w:t>La Rosa</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3A6724" w:rsidP="003A6724">
            <w:pPr>
              <w:pStyle w:val="MemoHeading"/>
            </w:pPr>
            <w:bookmarkStart w:id="8" w:name="CriticalDates"/>
            <w:r>
              <w:t>08/15/22 (15-Month Effective Date (SARC))</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3A6724">
            <w:pPr>
              <w:pStyle w:val="MemoHeading"/>
            </w:pPr>
            <w:bookmarkStart w:id="9" w:name="SpecialInstructions"/>
            <w:r>
              <w:t>None</w:t>
            </w:r>
            <w:bookmarkEnd w:id="9"/>
          </w:p>
        </w:tc>
      </w:tr>
    </w:tbl>
    <w:p w:rsidR="007C0528" w:rsidRDefault="007C0528">
      <w:pPr>
        <w:pStyle w:val="BodyText"/>
      </w:pPr>
    </w:p>
    <w:p w:rsidR="00776A46" w:rsidRDefault="00776A46" w:rsidP="00776A46">
      <w:pPr>
        <w:pStyle w:val="RecommendationMajorSectionHeading"/>
      </w:pPr>
      <w:bookmarkStart w:id="10" w:name="RecToC"/>
      <w:bookmarkEnd w:id="10"/>
      <w:r>
        <w:br w:type="page"/>
      </w:r>
      <w:r>
        <w:lastRenderedPageBreak/>
        <w:t>Table of Contents</w:t>
      </w:r>
    </w:p>
    <w:p w:rsidR="00776A46" w:rsidRDefault="00776A46">
      <w:pPr>
        <w:pStyle w:val="TOCColumnHeadings"/>
      </w:pPr>
      <w:r>
        <w:t>Issue</w:t>
      </w:r>
      <w:r>
        <w:tab/>
        <w:t>Description</w:t>
      </w:r>
      <w:r>
        <w:tab/>
        <w:t>Page</w:t>
      </w:r>
    </w:p>
    <w:p w:rsidR="002C2278" w:rsidRDefault="00776A46">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91658988" w:history="1">
        <w:r w:rsidR="002C2278" w:rsidRPr="006A0998">
          <w:rPr>
            <w:rStyle w:val="Hyperlink"/>
            <w:noProof/>
          </w:rPr>
          <w:tab/>
          <w:t>Case Background</w:t>
        </w:r>
        <w:r w:rsidR="002C2278">
          <w:rPr>
            <w:noProof/>
            <w:webHidden/>
          </w:rPr>
          <w:tab/>
        </w:r>
        <w:r w:rsidR="002C2278">
          <w:rPr>
            <w:noProof/>
            <w:webHidden/>
          </w:rPr>
          <w:fldChar w:fldCharType="begin"/>
        </w:r>
        <w:r w:rsidR="002C2278">
          <w:rPr>
            <w:noProof/>
            <w:webHidden/>
          </w:rPr>
          <w:instrText xml:space="preserve"> PAGEREF _Toc91658988 \h </w:instrText>
        </w:r>
        <w:r w:rsidR="002C2278">
          <w:rPr>
            <w:noProof/>
            <w:webHidden/>
          </w:rPr>
        </w:r>
        <w:r w:rsidR="002C2278">
          <w:rPr>
            <w:noProof/>
            <w:webHidden/>
          </w:rPr>
          <w:fldChar w:fldCharType="separate"/>
        </w:r>
        <w:r w:rsidR="002C2278">
          <w:rPr>
            <w:noProof/>
            <w:webHidden/>
          </w:rPr>
          <w:t>3</w:t>
        </w:r>
        <w:r w:rsidR="002C2278">
          <w:rPr>
            <w:noProof/>
            <w:webHidden/>
          </w:rPr>
          <w:fldChar w:fldCharType="end"/>
        </w:r>
      </w:hyperlink>
    </w:p>
    <w:p w:rsidR="002C2278" w:rsidRDefault="00E54EE3">
      <w:pPr>
        <w:pStyle w:val="TOC1"/>
        <w:rPr>
          <w:rFonts w:asciiTheme="minorHAnsi" w:eastAsiaTheme="minorEastAsia" w:hAnsiTheme="minorHAnsi" w:cstheme="minorBidi"/>
          <w:noProof/>
          <w:sz w:val="22"/>
          <w:szCs w:val="22"/>
        </w:rPr>
      </w:pPr>
      <w:hyperlink w:anchor="_Toc91658989" w:history="1">
        <w:r w:rsidR="002C2278" w:rsidRPr="006A0998">
          <w:rPr>
            <w:rStyle w:val="Hyperlink"/>
            <w:noProof/>
          </w:rPr>
          <w:t>1</w:t>
        </w:r>
        <w:r w:rsidR="002C2278" w:rsidRPr="006A0998">
          <w:rPr>
            <w:rStyle w:val="Hyperlink"/>
            <w:noProof/>
          </w:rPr>
          <w:tab/>
          <w:t>Quality of Service (Lewis)</w:t>
        </w:r>
        <w:r w:rsidR="002C2278">
          <w:rPr>
            <w:noProof/>
            <w:webHidden/>
          </w:rPr>
          <w:tab/>
        </w:r>
        <w:r w:rsidR="002C2278">
          <w:rPr>
            <w:noProof/>
            <w:webHidden/>
          </w:rPr>
          <w:fldChar w:fldCharType="begin"/>
        </w:r>
        <w:r w:rsidR="002C2278">
          <w:rPr>
            <w:noProof/>
            <w:webHidden/>
          </w:rPr>
          <w:instrText xml:space="preserve"> PAGEREF _Toc91658989 \h </w:instrText>
        </w:r>
        <w:r w:rsidR="002C2278">
          <w:rPr>
            <w:noProof/>
            <w:webHidden/>
          </w:rPr>
        </w:r>
        <w:r w:rsidR="002C2278">
          <w:rPr>
            <w:noProof/>
            <w:webHidden/>
          </w:rPr>
          <w:fldChar w:fldCharType="separate"/>
        </w:r>
        <w:r w:rsidR="002C2278">
          <w:rPr>
            <w:noProof/>
            <w:webHidden/>
          </w:rPr>
          <w:t>4</w:t>
        </w:r>
        <w:r w:rsidR="002C2278">
          <w:rPr>
            <w:noProof/>
            <w:webHidden/>
          </w:rPr>
          <w:fldChar w:fldCharType="end"/>
        </w:r>
      </w:hyperlink>
    </w:p>
    <w:p w:rsidR="002C2278" w:rsidRDefault="00E54EE3">
      <w:pPr>
        <w:pStyle w:val="TOC1"/>
        <w:rPr>
          <w:rFonts w:asciiTheme="minorHAnsi" w:eastAsiaTheme="minorEastAsia" w:hAnsiTheme="minorHAnsi" w:cstheme="minorBidi"/>
          <w:noProof/>
          <w:sz w:val="22"/>
          <w:szCs w:val="22"/>
        </w:rPr>
      </w:pPr>
      <w:hyperlink w:anchor="_Toc91658990" w:history="1">
        <w:r w:rsidR="002C2278" w:rsidRPr="006A0998">
          <w:rPr>
            <w:rStyle w:val="Hyperlink"/>
            <w:noProof/>
          </w:rPr>
          <w:t>2</w:t>
        </w:r>
        <w:r w:rsidR="002C2278" w:rsidRPr="006A0998">
          <w:rPr>
            <w:rStyle w:val="Hyperlink"/>
            <w:noProof/>
          </w:rPr>
          <w:tab/>
          <w:t>Operating Conditions (Lewis)</w:t>
        </w:r>
        <w:r w:rsidR="002C2278">
          <w:rPr>
            <w:noProof/>
            <w:webHidden/>
          </w:rPr>
          <w:tab/>
        </w:r>
        <w:r w:rsidR="002C2278">
          <w:rPr>
            <w:noProof/>
            <w:webHidden/>
          </w:rPr>
          <w:fldChar w:fldCharType="begin"/>
        </w:r>
        <w:r w:rsidR="002C2278">
          <w:rPr>
            <w:noProof/>
            <w:webHidden/>
          </w:rPr>
          <w:instrText xml:space="preserve"> PAGEREF _Toc91658990 \h </w:instrText>
        </w:r>
        <w:r w:rsidR="002C2278">
          <w:rPr>
            <w:noProof/>
            <w:webHidden/>
          </w:rPr>
        </w:r>
        <w:r w:rsidR="002C2278">
          <w:rPr>
            <w:noProof/>
            <w:webHidden/>
          </w:rPr>
          <w:fldChar w:fldCharType="separate"/>
        </w:r>
        <w:r w:rsidR="002C2278">
          <w:rPr>
            <w:noProof/>
            <w:webHidden/>
          </w:rPr>
          <w:t>6</w:t>
        </w:r>
        <w:r w:rsidR="002C2278">
          <w:rPr>
            <w:noProof/>
            <w:webHidden/>
          </w:rPr>
          <w:fldChar w:fldCharType="end"/>
        </w:r>
      </w:hyperlink>
    </w:p>
    <w:p w:rsidR="002C2278" w:rsidRDefault="00E54EE3">
      <w:pPr>
        <w:pStyle w:val="TOC1"/>
        <w:rPr>
          <w:rFonts w:asciiTheme="minorHAnsi" w:eastAsiaTheme="minorEastAsia" w:hAnsiTheme="minorHAnsi" w:cstheme="minorBidi"/>
          <w:noProof/>
          <w:sz w:val="22"/>
          <w:szCs w:val="22"/>
        </w:rPr>
      </w:pPr>
      <w:hyperlink w:anchor="_Toc91658991" w:history="1">
        <w:r w:rsidR="002C2278" w:rsidRPr="006A0998">
          <w:rPr>
            <w:rStyle w:val="Hyperlink"/>
            <w:noProof/>
          </w:rPr>
          <w:t>3</w:t>
        </w:r>
        <w:r w:rsidR="002C2278" w:rsidRPr="006A0998">
          <w:rPr>
            <w:rStyle w:val="Hyperlink"/>
            <w:noProof/>
          </w:rPr>
          <w:tab/>
          <w:t>Used and Useful (Lewis)</w:t>
        </w:r>
        <w:r w:rsidR="002C2278">
          <w:rPr>
            <w:noProof/>
            <w:webHidden/>
          </w:rPr>
          <w:tab/>
        </w:r>
        <w:r w:rsidR="002C2278">
          <w:rPr>
            <w:noProof/>
            <w:webHidden/>
          </w:rPr>
          <w:fldChar w:fldCharType="begin"/>
        </w:r>
        <w:r w:rsidR="002C2278">
          <w:rPr>
            <w:noProof/>
            <w:webHidden/>
          </w:rPr>
          <w:instrText xml:space="preserve"> PAGEREF _Toc91658991 \h </w:instrText>
        </w:r>
        <w:r w:rsidR="002C2278">
          <w:rPr>
            <w:noProof/>
            <w:webHidden/>
          </w:rPr>
        </w:r>
        <w:r w:rsidR="002C2278">
          <w:rPr>
            <w:noProof/>
            <w:webHidden/>
          </w:rPr>
          <w:fldChar w:fldCharType="separate"/>
        </w:r>
        <w:r w:rsidR="002C2278">
          <w:rPr>
            <w:noProof/>
            <w:webHidden/>
          </w:rPr>
          <w:t>7</w:t>
        </w:r>
        <w:r w:rsidR="002C2278">
          <w:rPr>
            <w:noProof/>
            <w:webHidden/>
          </w:rPr>
          <w:fldChar w:fldCharType="end"/>
        </w:r>
      </w:hyperlink>
    </w:p>
    <w:p w:rsidR="002C2278" w:rsidRDefault="00E54EE3">
      <w:pPr>
        <w:pStyle w:val="TOC1"/>
        <w:rPr>
          <w:rFonts w:asciiTheme="minorHAnsi" w:eastAsiaTheme="minorEastAsia" w:hAnsiTheme="minorHAnsi" w:cstheme="minorBidi"/>
          <w:noProof/>
          <w:sz w:val="22"/>
          <w:szCs w:val="22"/>
        </w:rPr>
      </w:pPr>
      <w:hyperlink w:anchor="_Toc91658992" w:history="1">
        <w:r w:rsidR="002C2278" w:rsidRPr="006A0998">
          <w:rPr>
            <w:rStyle w:val="Hyperlink"/>
            <w:noProof/>
          </w:rPr>
          <w:t>4</w:t>
        </w:r>
        <w:r w:rsidR="002C2278" w:rsidRPr="006A0998">
          <w:rPr>
            <w:rStyle w:val="Hyperlink"/>
            <w:noProof/>
          </w:rPr>
          <w:tab/>
          <w:t>Test Year Rate Base (D. Brown, Richards)</w:t>
        </w:r>
        <w:r w:rsidR="002C2278">
          <w:rPr>
            <w:noProof/>
            <w:webHidden/>
          </w:rPr>
          <w:tab/>
        </w:r>
        <w:r w:rsidR="002C2278">
          <w:rPr>
            <w:noProof/>
            <w:webHidden/>
          </w:rPr>
          <w:fldChar w:fldCharType="begin"/>
        </w:r>
        <w:r w:rsidR="002C2278">
          <w:rPr>
            <w:noProof/>
            <w:webHidden/>
          </w:rPr>
          <w:instrText xml:space="preserve"> PAGEREF _Toc91658992 \h </w:instrText>
        </w:r>
        <w:r w:rsidR="002C2278">
          <w:rPr>
            <w:noProof/>
            <w:webHidden/>
          </w:rPr>
        </w:r>
        <w:r w:rsidR="002C2278">
          <w:rPr>
            <w:noProof/>
            <w:webHidden/>
          </w:rPr>
          <w:fldChar w:fldCharType="separate"/>
        </w:r>
        <w:r w:rsidR="002C2278">
          <w:rPr>
            <w:noProof/>
            <w:webHidden/>
          </w:rPr>
          <w:t>8</w:t>
        </w:r>
        <w:r w:rsidR="002C2278">
          <w:rPr>
            <w:noProof/>
            <w:webHidden/>
          </w:rPr>
          <w:fldChar w:fldCharType="end"/>
        </w:r>
      </w:hyperlink>
    </w:p>
    <w:p w:rsidR="002C2278" w:rsidRDefault="00E54EE3">
      <w:pPr>
        <w:pStyle w:val="TOC1"/>
        <w:rPr>
          <w:rFonts w:asciiTheme="minorHAnsi" w:eastAsiaTheme="minorEastAsia" w:hAnsiTheme="minorHAnsi" w:cstheme="minorBidi"/>
          <w:noProof/>
          <w:sz w:val="22"/>
          <w:szCs w:val="22"/>
        </w:rPr>
      </w:pPr>
      <w:hyperlink w:anchor="_Toc91658993" w:history="1">
        <w:r w:rsidR="002C2278" w:rsidRPr="006A0998">
          <w:rPr>
            <w:rStyle w:val="Hyperlink"/>
            <w:noProof/>
          </w:rPr>
          <w:t>5</w:t>
        </w:r>
        <w:r w:rsidR="002C2278" w:rsidRPr="006A0998">
          <w:rPr>
            <w:rStyle w:val="Hyperlink"/>
            <w:noProof/>
          </w:rPr>
          <w:tab/>
          <w:t>Rate of Return (D. Brown, Richards)</w:t>
        </w:r>
        <w:r w:rsidR="002C2278">
          <w:rPr>
            <w:noProof/>
            <w:webHidden/>
          </w:rPr>
          <w:tab/>
        </w:r>
        <w:r w:rsidR="002C2278">
          <w:rPr>
            <w:noProof/>
            <w:webHidden/>
          </w:rPr>
          <w:fldChar w:fldCharType="begin"/>
        </w:r>
        <w:r w:rsidR="002C2278">
          <w:rPr>
            <w:noProof/>
            <w:webHidden/>
          </w:rPr>
          <w:instrText xml:space="preserve"> PAGEREF _Toc91658993 \h </w:instrText>
        </w:r>
        <w:r w:rsidR="002C2278">
          <w:rPr>
            <w:noProof/>
            <w:webHidden/>
          </w:rPr>
        </w:r>
        <w:r w:rsidR="002C2278">
          <w:rPr>
            <w:noProof/>
            <w:webHidden/>
          </w:rPr>
          <w:fldChar w:fldCharType="separate"/>
        </w:r>
        <w:r w:rsidR="002C2278">
          <w:rPr>
            <w:noProof/>
            <w:webHidden/>
          </w:rPr>
          <w:t>10</w:t>
        </w:r>
        <w:r w:rsidR="002C2278">
          <w:rPr>
            <w:noProof/>
            <w:webHidden/>
          </w:rPr>
          <w:fldChar w:fldCharType="end"/>
        </w:r>
      </w:hyperlink>
    </w:p>
    <w:p w:rsidR="002C2278" w:rsidRDefault="00E54EE3">
      <w:pPr>
        <w:pStyle w:val="TOC1"/>
        <w:rPr>
          <w:rFonts w:asciiTheme="minorHAnsi" w:eastAsiaTheme="minorEastAsia" w:hAnsiTheme="minorHAnsi" w:cstheme="minorBidi"/>
          <w:noProof/>
          <w:sz w:val="22"/>
          <w:szCs w:val="22"/>
        </w:rPr>
      </w:pPr>
      <w:hyperlink w:anchor="_Toc91658994" w:history="1">
        <w:r w:rsidR="002C2278" w:rsidRPr="006A0998">
          <w:rPr>
            <w:rStyle w:val="Hyperlink"/>
            <w:noProof/>
          </w:rPr>
          <w:t>6</w:t>
        </w:r>
        <w:r w:rsidR="002C2278" w:rsidRPr="006A0998">
          <w:rPr>
            <w:rStyle w:val="Hyperlink"/>
            <w:noProof/>
          </w:rPr>
          <w:tab/>
          <w:t>Test Year Revenues (Bethea)</w:t>
        </w:r>
        <w:r w:rsidR="002C2278">
          <w:rPr>
            <w:noProof/>
            <w:webHidden/>
          </w:rPr>
          <w:tab/>
        </w:r>
        <w:r w:rsidR="002C2278">
          <w:rPr>
            <w:noProof/>
            <w:webHidden/>
          </w:rPr>
          <w:fldChar w:fldCharType="begin"/>
        </w:r>
        <w:r w:rsidR="002C2278">
          <w:rPr>
            <w:noProof/>
            <w:webHidden/>
          </w:rPr>
          <w:instrText xml:space="preserve"> PAGEREF _Toc91658994 \h </w:instrText>
        </w:r>
        <w:r w:rsidR="002C2278">
          <w:rPr>
            <w:noProof/>
            <w:webHidden/>
          </w:rPr>
        </w:r>
        <w:r w:rsidR="002C2278">
          <w:rPr>
            <w:noProof/>
            <w:webHidden/>
          </w:rPr>
          <w:fldChar w:fldCharType="separate"/>
        </w:r>
        <w:r w:rsidR="002C2278">
          <w:rPr>
            <w:noProof/>
            <w:webHidden/>
          </w:rPr>
          <w:t>11</w:t>
        </w:r>
        <w:r w:rsidR="002C2278">
          <w:rPr>
            <w:noProof/>
            <w:webHidden/>
          </w:rPr>
          <w:fldChar w:fldCharType="end"/>
        </w:r>
      </w:hyperlink>
    </w:p>
    <w:p w:rsidR="002C2278" w:rsidRDefault="00E54EE3">
      <w:pPr>
        <w:pStyle w:val="TOC1"/>
        <w:rPr>
          <w:rFonts w:asciiTheme="minorHAnsi" w:eastAsiaTheme="minorEastAsia" w:hAnsiTheme="minorHAnsi" w:cstheme="minorBidi"/>
          <w:noProof/>
          <w:sz w:val="22"/>
          <w:szCs w:val="22"/>
        </w:rPr>
      </w:pPr>
      <w:hyperlink w:anchor="_Toc91658995" w:history="1">
        <w:r w:rsidR="002C2278" w:rsidRPr="006A0998">
          <w:rPr>
            <w:rStyle w:val="Hyperlink"/>
            <w:noProof/>
          </w:rPr>
          <w:t>7</w:t>
        </w:r>
        <w:r w:rsidR="002C2278" w:rsidRPr="006A0998">
          <w:rPr>
            <w:rStyle w:val="Hyperlink"/>
            <w:noProof/>
          </w:rPr>
          <w:tab/>
          <w:t>Operating Expenses (D. Brown, Richards)</w:t>
        </w:r>
        <w:r w:rsidR="002C2278">
          <w:rPr>
            <w:noProof/>
            <w:webHidden/>
          </w:rPr>
          <w:tab/>
        </w:r>
        <w:r w:rsidR="002C2278">
          <w:rPr>
            <w:noProof/>
            <w:webHidden/>
          </w:rPr>
          <w:fldChar w:fldCharType="begin"/>
        </w:r>
        <w:r w:rsidR="002C2278">
          <w:rPr>
            <w:noProof/>
            <w:webHidden/>
          </w:rPr>
          <w:instrText xml:space="preserve"> PAGEREF _Toc91658995 \h </w:instrText>
        </w:r>
        <w:r w:rsidR="002C2278">
          <w:rPr>
            <w:noProof/>
            <w:webHidden/>
          </w:rPr>
        </w:r>
        <w:r w:rsidR="002C2278">
          <w:rPr>
            <w:noProof/>
            <w:webHidden/>
          </w:rPr>
          <w:fldChar w:fldCharType="separate"/>
        </w:r>
        <w:r w:rsidR="002C2278">
          <w:rPr>
            <w:noProof/>
            <w:webHidden/>
          </w:rPr>
          <w:t>12</w:t>
        </w:r>
        <w:r w:rsidR="002C2278">
          <w:rPr>
            <w:noProof/>
            <w:webHidden/>
          </w:rPr>
          <w:fldChar w:fldCharType="end"/>
        </w:r>
      </w:hyperlink>
    </w:p>
    <w:p w:rsidR="002C2278" w:rsidRDefault="00E54EE3">
      <w:pPr>
        <w:pStyle w:val="TOC1"/>
        <w:rPr>
          <w:rFonts w:asciiTheme="minorHAnsi" w:eastAsiaTheme="minorEastAsia" w:hAnsiTheme="minorHAnsi" w:cstheme="minorBidi"/>
          <w:noProof/>
          <w:sz w:val="22"/>
          <w:szCs w:val="22"/>
        </w:rPr>
      </w:pPr>
      <w:hyperlink w:anchor="_Toc91658996" w:history="1">
        <w:r w:rsidR="002C2278" w:rsidRPr="006A0998">
          <w:rPr>
            <w:rStyle w:val="Hyperlink"/>
            <w:noProof/>
          </w:rPr>
          <w:t>8</w:t>
        </w:r>
        <w:r w:rsidR="002C2278" w:rsidRPr="006A0998">
          <w:rPr>
            <w:rStyle w:val="Hyperlink"/>
            <w:noProof/>
          </w:rPr>
          <w:tab/>
          <w:t>Revenue Requirement (Bethea, D. Brown)</w:t>
        </w:r>
        <w:r w:rsidR="002C2278">
          <w:rPr>
            <w:noProof/>
            <w:webHidden/>
          </w:rPr>
          <w:tab/>
        </w:r>
        <w:r w:rsidR="002C2278">
          <w:rPr>
            <w:noProof/>
            <w:webHidden/>
          </w:rPr>
          <w:fldChar w:fldCharType="begin"/>
        </w:r>
        <w:r w:rsidR="002C2278">
          <w:rPr>
            <w:noProof/>
            <w:webHidden/>
          </w:rPr>
          <w:instrText xml:space="preserve"> PAGEREF _Toc91658996 \h </w:instrText>
        </w:r>
        <w:r w:rsidR="002C2278">
          <w:rPr>
            <w:noProof/>
            <w:webHidden/>
          </w:rPr>
        </w:r>
        <w:r w:rsidR="002C2278">
          <w:rPr>
            <w:noProof/>
            <w:webHidden/>
          </w:rPr>
          <w:fldChar w:fldCharType="separate"/>
        </w:r>
        <w:r w:rsidR="002C2278">
          <w:rPr>
            <w:noProof/>
            <w:webHidden/>
          </w:rPr>
          <w:t>17</w:t>
        </w:r>
        <w:r w:rsidR="002C2278">
          <w:rPr>
            <w:noProof/>
            <w:webHidden/>
          </w:rPr>
          <w:fldChar w:fldCharType="end"/>
        </w:r>
      </w:hyperlink>
    </w:p>
    <w:p w:rsidR="002C2278" w:rsidRDefault="00E54EE3">
      <w:pPr>
        <w:pStyle w:val="TOC1"/>
        <w:rPr>
          <w:rFonts w:asciiTheme="minorHAnsi" w:eastAsiaTheme="minorEastAsia" w:hAnsiTheme="minorHAnsi" w:cstheme="minorBidi"/>
          <w:noProof/>
          <w:sz w:val="22"/>
          <w:szCs w:val="22"/>
        </w:rPr>
      </w:pPr>
      <w:hyperlink w:anchor="_Toc91658997" w:history="1">
        <w:r w:rsidR="002C2278" w:rsidRPr="006A0998">
          <w:rPr>
            <w:rStyle w:val="Hyperlink"/>
            <w:noProof/>
          </w:rPr>
          <w:t>9</w:t>
        </w:r>
        <w:r w:rsidR="002C2278" w:rsidRPr="006A0998">
          <w:rPr>
            <w:rStyle w:val="Hyperlink"/>
            <w:noProof/>
          </w:rPr>
          <w:tab/>
          <w:t>Rate Structure and Rates (Bethea)</w:t>
        </w:r>
        <w:r w:rsidR="002C2278">
          <w:rPr>
            <w:noProof/>
            <w:webHidden/>
          </w:rPr>
          <w:tab/>
        </w:r>
        <w:r w:rsidR="002C2278">
          <w:rPr>
            <w:noProof/>
            <w:webHidden/>
          </w:rPr>
          <w:fldChar w:fldCharType="begin"/>
        </w:r>
        <w:r w:rsidR="002C2278">
          <w:rPr>
            <w:noProof/>
            <w:webHidden/>
          </w:rPr>
          <w:instrText xml:space="preserve"> PAGEREF _Toc91658997 \h </w:instrText>
        </w:r>
        <w:r w:rsidR="002C2278">
          <w:rPr>
            <w:noProof/>
            <w:webHidden/>
          </w:rPr>
        </w:r>
        <w:r w:rsidR="002C2278">
          <w:rPr>
            <w:noProof/>
            <w:webHidden/>
          </w:rPr>
          <w:fldChar w:fldCharType="separate"/>
        </w:r>
        <w:r w:rsidR="002C2278">
          <w:rPr>
            <w:noProof/>
            <w:webHidden/>
          </w:rPr>
          <w:t>18</w:t>
        </w:r>
        <w:r w:rsidR="002C2278">
          <w:rPr>
            <w:noProof/>
            <w:webHidden/>
          </w:rPr>
          <w:fldChar w:fldCharType="end"/>
        </w:r>
      </w:hyperlink>
    </w:p>
    <w:p w:rsidR="002C2278" w:rsidRDefault="00E54EE3">
      <w:pPr>
        <w:pStyle w:val="TOC1"/>
        <w:rPr>
          <w:rFonts w:asciiTheme="minorHAnsi" w:eastAsiaTheme="minorEastAsia" w:hAnsiTheme="minorHAnsi" w:cstheme="minorBidi"/>
          <w:noProof/>
          <w:sz w:val="22"/>
          <w:szCs w:val="22"/>
        </w:rPr>
      </w:pPr>
      <w:hyperlink w:anchor="_Toc91658998" w:history="1">
        <w:r w:rsidR="002C2278" w:rsidRPr="006A0998">
          <w:rPr>
            <w:rStyle w:val="Hyperlink"/>
            <w:noProof/>
          </w:rPr>
          <w:t>10</w:t>
        </w:r>
        <w:r w:rsidR="002C2278" w:rsidRPr="006A0998">
          <w:rPr>
            <w:rStyle w:val="Hyperlink"/>
            <w:noProof/>
          </w:rPr>
          <w:tab/>
          <w:t>Initial Customer Deposits (Bethea)</w:t>
        </w:r>
        <w:r w:rsidR="002C2278">
          <w:rPr>
            <w:noProof/>
            <w:webHidden/>
          </w:rPr>
          <w:tab/>
        </w:r>
        <w:r w:rsidR="002C2278">
          <w:rPr>
            <w:noProof/>
            <w:webHidden/>
          </w:rPr>
          <w:fldChar w:fldCharType="begin"/>
        </w:r>
        <w:r w:rsidR="002C2278">
          <w:rPr>
            <w:noProof/>
            <w:webHidden/>
          </w:rPr>
          <w:instrText xml:space="preserve"> PAGEREF _Toc91658998 \h </w:instrText>
        </w:r>
        <w:r w:rsidR="002C2278">
          <w:rPr>
            <w:noProof/>
            <w:webHidden/>
          </w:rPr>
        </w:r>
        <w:r w:rsidR="002C2278">
          <w:rPr>
            <w:noProof/>
            <w:webHidden/>
          </w:rPr>
          <w:fldChar w:fldCharType="separate"/>
        </w:r>
        <w:r w:rsidR="002C2278">
          <w:rPr>
            <w:noProof/>
            <w:webHidden/>
          </w:rPr>
          <w:t>20</w:t>
        </w:r>
        <w:r w:rsidR="002C2278">
          <w:rPr>
            <w:noProof/>
            <w:webHidden/>
          </w:rPr>
          <w:fldChar w:fldCharType="end"/>
        </w:r>
      </w:hyperlink>
    </w:p>
    <w:p w:rsidR="002C2278" w:rsidRDefault="00E54EE3">
      <w:pPr>
        <w:pStyle w:val="TOC1"/>
        <w:rPr>
          <w:rFonts w:asciiTheme="minorHAnsi" w:eastAsiaTheme="minorEastAsia" w:hAnsiTheme="minorHAnsi" w:cstheme="minorBidi"/>
          <w:noProof/>
          <w:sz w:val="22"/>
          <w:szCs w:val="22"/>
        </w:rPr>
      </w:pPr>
      <w:hyperlink w:anchor="_Toc91658999" w:history="1">
        <w:r w:rsidR="002C2278" w:rsidRPr="006A0998">
          <w:rPr>
            <w:rStyle w:val="Hyperlink"/>
            <w:noProof/>
          </w:rPr>
          <w:t>11</w:t>
        </w:r>
        <w:r w:rsidR="002C2278" w:rsidRPr="006A0998">
          <w:rPr>
            <w:rStyle w:val="Hyperlink"/>
            <w:noProof/>
          </w:rPr>
          <w:tab/>
          <w:t>Amended Miscellaneous Service Charges (Bethea)</w:t>
        </w:r>
        <w:r w:rsidR="002C2278">
          <w:rPr>
            <w:noProof/>
            <w:webHidden/>
          </w:rPr>
          <w:tab/>
        </w:r>
        <w:r w:rsidR="002C2278">
          <w:rPr>
            <w:noProof/>
            <w:webHidden/>
          </w:rPr>
          <w:fldChar w:fldCharType="begin"/>
        </w:r>
        <w:r w:rsidR="002C2278">
          <w:rPr>
            <w:noProof/>
            <w:webHidden/>
          </w:rPr>
          <w:instrText xml:space="preserve"> PAGEREF _Toc91658999 \h </w:instrText>
        </w:r>
        <w:r w:rsidR="002C2278">
          <w:rPr>
            <w:noProof/>
            <w:webHidden/>
          </w:rPr>
        </w:r>
        <w:r w:rsidR="002C2278">
          <w:rPr>
            <w:noProof/>
            <w:webHidden/>
          </w:rPr>
          <w:fldChar w:fldCharType="separate"/>
        </w:r>
        <w:r w:rsidR="002C2278">
          <w:rPr>
            <w:noProof/>
            <w:webHidden/>
          </w:rPr>
          <w:t>21</w:t>
        </w:r>
        <w:r w:rsidR="002C2278">
          <w:rPr>
            <w:noProof/>
            <w:webHidden/>
          </w:rPr>
          <w:fldChar w:fldCharType="end"/>
        </w:r>
      </w:hyperlink>
    </w:p>
    <w:p w:rsidR="002C2278" w:rsidRDefault="00E54EE3">
      <w:pPr>
        <w:pStyle w:val="TOC1"/>
        <w:rPr>
          <w:rFonts w:asciiTheme="minorHAnsi" w:eastAsiaTheme="minorEastAsia" w:hAnsiTheme="minorHAnsi" w:cstheme="minorBidi"/>
          <w:noProof/>
          <w:sz w:val="22"/>
          <w:szCs w:val="22"/>
        </w:rPr>
      </w:pPr>
      <w:hyperlink w:anchor="_Toc91659000" w:history="1">
        <w:r w:rsidR="002C2278" w:rsidRPr="006A0998">
          <w:rPr>
            <w:rStyle w:val="Hyperlink"/>
            <w:noProof/>
          </w:rPr>
          <w:t>12</w:t>
        </w:r>
        <w:r w:rsidR="002C2278" w:rsidRPr="006A0998">
          <w:rPr>
            <w:rStyle w:val="Hyperlink"/>
            <w:noProof/>
          </w:rPr>
          <w:tab/>
          <w:t>Four-Year Rate Reduction (Bethea, Casper)</w:t>
        </w:r>
        <w:r w:rsidR="002C2278">
          <w:rPr>
            <w:noProof/>
            <w:webHidden/>
          </w:rPr>
          <w:tab/>
        </w:r>
        <w:r w:rsidR="002C2278">
          <w:rPr>
            <w:noProof/>
            <w:webHidden/>
          </w:rPr>
          <w:fldChar w:fldCharType="begin"/>
        </w:r>
        <w:r w:rsidR="002C2278">
          <w:rPr>
            <w:noProof/>
            <w:webHidden/>
          </w:rPr>
          <w:instrText xml:space="preserve"> PAGEREF _Toc91659000 \h </w:instrText>
        </w:r>
        <w:r w:rsidR="002C2278">
          <w:rPr>
            <w:noProof/>
            <w:webHidden/>
          </w:rPr>
        </w:r>
        <w:r w:rsidR="002C2278">
          <w:rPr>
            <w:noProof/>
            <w:webHidden/>
          </w:rPr>
          <w:fldChar w:fldCharType="separate"/>
        </w:r>
        <w:r w:rsidR="002C2278">
          <w:rPr>
            <w:noProof/>
            <w:webHidden/>
          </w:rPr>
          <w:t>23</w:t>
        </w:r>
        <w:r w:rsidR="002C2278">
          <w:rPr>
            <w:noProof/>
            <w:webHidden/>
          </w:rPr>
          <w:fldChar w:fldCharType="end"/>
        </w:r>
      </w:hyperlink>
    </w:p>
    <w:p w:rsidR="002C2278" w:rsidRDefault="00E54EE3">
      <w:pPr>
        <w:pStyle w:val="TOC1"/>
        <w:rPr>
          <w:rFonts w:asciiTheme="minorHAnsi" w:eastAsiaTheme="minorEastAsia" w:hAnsiTheme="minorHAnsi" w:cstheme="minorBidi"/>
          <w:noProof/>
          <w:sz w:val="22"/>
          <w:szCs w:val="22"/>
        </w:rPr>
      </w:pPr>
      <w:hyperlink w:anchor="_Toc91659001" w:history="1">
        <w:r w:rsidR="002C2278" w:rsidRPr="006A0998">
          <w:rPr>
            <w:rStyle w:val="Hyperlink"/>
            <w:noProof/>
          </w:rPr>
          <w:t>13</w:t>
        </w:r>
        <w:r w:rsidR="002C2278" w:rsidRPr="006A0998">
          <w:rPr>
            <w:rStyle w:val="Hyperlink"/>
            <w:noProof/>
          </w:rPr>
          <w:tab/>
          <w:t>Recommended Rates on a Temporary Basis (Casper)</w:t>
        </w:r>
        <w:r w:rsidR="002C2278">
          <w:rPr>
            <w:noProof/>
            <w:webHidden/>
          </w:rPr>
          <w:tab/>
        </w:r>
        <w:r w:rsidR="002C2278">
          <w:rPr>
            <w:noProof/>
            <w:webHidden/>
          </w:rPr>
          <w:fldChar w:fldCharType="begin"/>
        </w:r>
        <w:r w:rsidR="002C2278">
          <w:rPr>
            <w:noProof/>
            <w:webHidden/>
          </w:rPr>
          <w:instrText xml:space="preserve"> PAGEREF _Toc91659001 \h </w:instrText>
        </w:r>
        <w:r w:rsidR="002C2278">
          <w:rPr>
            <w:noProof/>
            <w:webHidden/>
          </w:rPr>
        </w:r>
        <w:r w:rsidR="002C2278">
          <w:rPr>
            <w:noProof/>
            <w:webHidden/>
          </w:rPr>
          <w:fldChar w:fldCharType="separate"/>
        </w:r>
        <w:r w:rsidR="002C2278">
          <w:rPr>
            <w:noProof/>
            <w:webHidden/>
          </w:rPr>
          <w:t>24</w:t>
        </w:r>
        <w:r w:rsidR="002C2278">
          <w:rPr>
            <w:noProof/>
            <w:webHidden/>
          </w:rPr>
          <w:fldChar w:fldCharType="end"/>
        </w:r>
      </w:hyperlink>
    </w:p>
    <w:p w:rsidR="002C2278" w:rsidRDefault="00E54EE3">
      <w:pPr>
        <w:pStyle w:val="TOC1"/>
        <w:rPr>
          <w:rFonts w:asciiTheme="minorHAnsi" w:eastAsiaTheme="minorEastAsia" w:hAnsiTheme="minorHAnsi" w:cstheme="minorBidi"/>
          <w:noProof/>
          <w:sz w:val="22"/>
          <w:szCs w:val="22"/>
        </w:rPr>
      </w:pPr>
      <w:hyperlink w:anchor="_Toc91659002" w:history="1">
        <w:r w:rsidR="002C2278" w:rsidRPr="006A0998">
          <w:rPr>
            <w:rStyle w:val="Hyperlink"/>
            <w:noProof/>
          </w:rPr>
          <w:t>14</w:t>
        </w:r>
        <w:r w:rsidR="002C2278" w:rsidRPr="006A0998">
          <w:rPr>
            <w:rStyle w:val="Hyperlink"/>
            <w:noProof/>
          </w:rPr>
          <w:tab/>
          <w:t>Adjustment of Books (Casper)</w:t>
        </w:r>
        <w:r w:rsidR="002C2278">
          <w:rPr>
            <w:noProof/>
            <w:webHidden/>
          </w:rPr>
          <w:tab/>
        </w:r>
        <w:r w:rsidR="002C2278">
          <w:rPr>
            <w:noProof/>
            <w:webHidden/>
          </w:rPr>
          <w:fldChar w:fldCharType="begin"/>
        </w:r>
        <w:r w:rsidR="002C2278">
          <w:rPr>
            <w:noProof/>
            <w:webHidden/>
          </w:rPr>
          <w:instrText xml:space="preserve"> PAGEREF _Toc91659002 \h </w:instrText>
        </w:r>
        <w:r w:rsidR="002C2278">
          <w:rPr>
            <w:noProof/>
            <w:webHidden/>
          </w:rPr>
        </w:r>
        <w:r w:rsidR="002C2278">
          <w:rPr>
            <w:noProof/>
            <w:webHidden/>
          </w:rPr>
          <w:fldChar w:fldCharType="separate"/>
        </w:r>
        <w:r w:rsidR="002C2278">
          <w:rPr>
            <w:noProof/>
            <w:webHidden/>
          </w:rPr>
          <w:t>26</w:t>
        </w:r>
        <w:r w:rsidR="002C2278">
          <w:rPr>
            <w:noProof/>
            <w:webHidden/>
          </w:rPr>
          <w:fldChar w:fldCharType="end"/>
        </w:r>
      </w:hyperlink>
    </w:p>
    <w:p w:rsidR="002C2278" w:rsidRDefault="00E54EE3">
      <w:pPr>
        <w:pStyle w:val="TOC1"/>
        <w:rPr>
          <w:rFonts w:asciiTheme="minorHAnsi" w:eastAsiaTheme="minorEastAsia" w:hAnsiTheme="minorHAnsi" w:cstheme="minorBidi"/>
          <w:noProof/>
          <w:sz w:val="22"/>
          <w:szCs w:val="22"/>
        </w:rPr>
      </w:pPr>
      <w:hyperlink w:anchor="_Toc91659003" w:history="1">
        <w:r w:rsidR="002C2278" w:rsidRPr="006A0998">
          <w:rPr>
            <w:rStyle w:val="Hyperlink"/>
            <w:noProof/>
          </w:rPr>
          <w:t>15</w:t>
        </w:r>
        <w:r w:rsidR="002C2278" w:rsidRPr="006A0998">
          <w:rPr>
            <w:rStyle w:val="Hyperlink"/>
            <w:noProof/>
          </w:rPr>
          <w:tab/>
          <w:t>Close Docket (Jones)</w:t>
        </w:r>
        <w:r w:rsidR="002C2278">
          <w:rPr>
            <w:noProof/>
            <w:webHidden/>
          </w:rPr>
          <w:tab/>
        </w:r>
        <w:r w:rsidR="002C2278">
          <w:rPr>
            <w:noProof/>
            <w:webHidden/>
          </w:rPr>
          <w:fldChar w:fldCharType="begin"/>
        </w:r>
        <w:r w:rsidR="002C2278">
          <w:rPr>
            <w:noProof/>
            <w:webHidden/>
          </w:rPr>
          <w:instrText xml:space="preserve"> PAGEREF _Toc91659003 \h </w:instrText>
        </w:r>
        <w:r w:rsidR="002C2278">
          <w:rPr>
            <w:noProof/>
            <w:webHidden/>
          </w:rPr>
        </w:r>
        <w:r w:rsidR="002C2278">
          <w:rPr>
            <w:noProof/>
            <w:webHidden/>
          </w:rPr>
          <w:fldChar w:fldCharType="separate"/>
        </w:r>
        <w:r w:rsidR="002C2278">
          <w:rPr>
            <w:noProof/>
            <w:webHidden/>
          </w:rPr>
          <w:t>27</w:t>
        </w:r>
        <w:r w:rsidR="002C2278">
          <w:rPr>
            <w:noProof/>
            <w:webHidden/>
          </w:rPr>
          <w:fldChar w:fldCharType="end"/>
        </w:r>
      </w:hyperlink>
    </w:p>
    <w:p w:rsidR="002C2278" w:rsidRDefault="00E54EE3">
      <w:pPr>
        <w:pStyle w:val="TOC1"/>
        <w:rPr>
          <w:rFonts w:asciiTheme="minorHAnsi" w:eastAsiaTheme="minorEastAsia" w:hAnsiTheme="minorHAnsi" w:cstheme="minorBidi"/>
          <w:noProof/>
          <w:sz w:val="22"/>
          <w:szCs w:val="22"/>
        </w:rPr>
      </w:pPr>
      <w:hyperlink w:anchor="_Toc91659004" w:history="1">
        <w:r w:rsidR="002C2278" w:rsidRPr="006A0998">
          <w:rPr>
            <w:rStyle w:val="Hyperlink"/>
            <w:noProof/>
          </w:rPr>
          <w:tab/>
          <w:t>Schedule No. 1-A Rate Base</w:t>
        </w:r>
        <w:r w:rsidR="002C2278">
          <w:rPr>
            <w:noProof/>
            <w:webHidden/>
          </w:rPr>
          <w:tab/>
        </w:r>
        <w:r w:rsidR="002C2278">
          <w:rPr>
            <w:noProof/>
            <w:webHidden/>
          </w:rPr>
          <w:fldChar w:fldCharType="begin"/>
        </w:r>
        <w:r w:rsidR="002C2278">
          <w:rPr>
            <w:noProof/>
            <w:webHidden/>
          </w:rPr>
          <w:instrText xml:space="preserve"> PAGEREF _Toc91659004 \h </w:instrText>
        </w:r>
        <w:r w:rsidR="002C2278">
          <w:rPr>
            <w:noProof/>
            <w:webHidden/>
          </w:rPr>
        </w:r>
        <w:r w:rsidR="002C2278">
          <w:rPr>
            <w:noProof/>
            <w:webHidden/>
          </w:rPr>
          <w:fldChar w:fldCharType="separate"/>
        </w:r>
        <w:r w:rsidR="002C2278">
          <w:rPr>
            <w:noProof/>
            <w:webHidden/>
          </w:rPr>
          <w:t>28</w:t>
        </w:r>
        <w:r w:rsidR="002C2278">
          <w:rPr>
            <w:noProof/>
            <w:webHidden/>
          </w:rPr>
          <w:fldChar w:fldCharType="end"/>
        </w:r>
      </w:hyperlink>
    </w:p>
    <w:p w:rsidR="002C2278" w:rsidRDefault="00E54EE3">
      <w:pPr>
        <w:pStyle w:val="TOC1"/>
        <w:rPr>
          <w:rFonts w:asciiTheme="minorHAnsi" w:eastAsiaTheme="minorEastAsia" w:hAnsiTheme="minorHAnsi" w:cstheme="minorBidi"/>
          <w:noProof/>
          <w:sz w:val="22"/>
          <w:szCs w:val="22"/>
        </w:rPr>
      </w:pPr>
      <w:hyperlink w:anchor="_Toc91659005" w:history="1">
        <w:r w:rsidR="002C2278" w:rsidRPr="006A0998">
          <w:rPr>
            <w:rStyle w:val="Hyperlink"/>
            <w:noProof/>
          </w:rPr>
          <w:tab/>
          <w:t>Schedule No. 1-B Adjustments to Rate Base</w:t>
        </w:r>
        <w:r w:rsidR="002C2278">
          <w:rPr>
            <w:noProof/>
            <w:webHidden/>
          </w:rPr>
          <w:tab/>
        </w:r>
        <w:r w:rsidR="002C2278">
          <w:rPr>
            <w:noProof/>
            <w:webHidden/>
          </w:rPr>
          <w:fldChar w:fldCharType="begin"/>
        </w:r>
        <w:r w:rsidR="002C2278">
          <w:rPr>
            <w:noProof/>
            <w:webHidden/>
          </w:rPr>
          <w:instrText xml:space="preserve"> PAGEREF _Toc91659005 \h </w:instrText>
        </w:r>
        <w:r w:rsidR="002C2278">
          <w:rPr>
            <w:noProof/>
            <w:webHidden/>
          </w:rPr>
        </w:r>
        <w:r w:rsidR="002C2278">
          <w:rPr>
            <w:noProof/>
            <w:webHidden/>
          </w:rPr>
          <w:fldChar w:fldCharType="separate"/>
        </w:r>
        <w:r w:rsidR="002C2278">
          <w:rPr>
            <w:noProof/>
            <w:webHidden/>
          </w:rPr>
          <w:t>29</w:t>
        </w:r>
        <w:r w:rsidR="002C2278">
          <w:rPr>
            <w:noProof/>
            <w:webHidden/>
          </w:rPr>
          <w:fldChar w:fldCharType="end"/>
        </w:r>
      </w:hyperlink>
    </w:p>
    <w:p w:rsidR="002C2278" w:rsidRDefault="00E54EE3">
      <w:pPr>
        <w:pStyle w:val="TOC1"/>
        <w:rPr>
          <w:rFonts w:asciiTheme="minorHAnsi" w:eastAsiaTheme="minorEastAsia" w:hAnsiTheme="minorHAnsi" w:cstheme="minorBidi"/>
          <w:noProof/>
          <w:sz w:val="22"/>
          <w:szCs w:val="22"/>
        </w:rPr>
      </w:pPr>
      <w:hyperlink w:anchor="_Toc91659006" w:history="1">
        <w:r w:rsidR="002C2278" w:rsidRPr="006A0998">
          <w:rPr>
            <w:rStyle w:val="Hyperlink"/>
            <w:noProof/>
          </w:rPr>
          <w:tab/>
          <w:t>Schedule No. 2 Capital Structure</w:t>
        </w:r>
        <w:r w:rsidR="002C2278">
          <w:rPr>
            <w:noProof/>
            <w:webHidden/>
          </w:rPr>
          <w:tab/>
        </w:r>
        <w:r w:rsidR="002C2278">
          <w:rPr>
            <w:noProof/>
            <w:webHidden/>
          </w:rPr>
          <w:fldChar w:fldCharType="begin"/>
        </w:r>
        <w:r w:rsidR="002C2278">
          <w:rPr>
            <w:noProof/>
            <w:webHidden/>
          </w:rPr>
          <w:instrText xml:space="preserve"> PAGEREF _Toc91659006 \h </w:instrText>
        </w:r>
        <w:r w:rsidR="002C2278">
          <w:rPr>
            <w:noProof/>
            <w:webHidden/>
          </w:rPr>
        </w:r>
        <w:r w:rsidR="002C2278">
          <w:rPr>
            <w:noProof/>
            <w:webHidden/>
          </w:rPr>
          <w:fldChar w:fldCharType="separate"/>
        </w:r>
        <w:r w:rsidR="002C2278">
          <w:rPr>
            <w:noProof/>
            <w:webHidden/>
          </w:rPr>
          <w:t>30</w:t>
        </w:r>
        <w:r w:rsidR="002C2278">
          <w:rPr>
            <w:noProof/>
            <w:webHidden/>
          </w:rPr>
          <w:fldChar w:fldCharType="end"/>
        </w:r>
      </w:hyperlink>
    </w:p>
    <w:p w:rsidR="002C2278" w:rsidRDefault="00E54EE3">
      <w:pPr>
        <w:pStyle w:val="TOC1"/>
        <w:rPr>
          <w:rFonts w:asciiTheme="minorHAnsi" w:eastAsiaTheme="minorEastAsia" w:hAnsiTheme="minorHAnsi" w:cstheme="minorBidi"/>
          <w:noProof/>
          <w:sz w:val="22"/>
          <w:szCs w:val="22"/>
        </w:rPr>
      </w:pPr>
      <w:hyperlink w:anchor="_Toc91659007" w:history="1">
        <w:r w:rsidR="002C2278" w:rsidRPr="006A0998">
          <w:rPr>
            <w:rStyle w:val="Hyperlink"/>
            <w:noProof/>
          </w:rPr>
          <w:tab/>
          <w:t>Schedule No. 3-A Water NOI</w:t>
        </w:r>
        <w:r w:rsidR="002C2278">
          <w:rPr>
            <w:noProof/>
            <w:webHidden/>
          </w:rPr>
          <w:tab/>
        </w:r>
        <w:r w:rsidR="002C2278">
          <w:rPr>
            <w:noProof/>
            <w:webHidden/>
          </w:rPr>
          <w:fldChar w:fldCharType="begin"/>
        </w:r>
        <w:r w:rsidR="002C2278">
          <w:rPr>
            <w:noProof/>
            <w:webHidden/>
          </w:rPr>
          <w:instrText xml:space="preserve"> PAGEREF _Toc91659007 \h </w:instrText>
        </w:r>
        <w:r w:rsidR="002C2278">
          <w:rPr>
            <w:noProof/>
            <w:webHidden/>
          </w:rPr>
        </w:r>
        <w:r w:rsidR="002C2278">
          <w:rPr>
            <w:noProof/>
            <w:webHidden/>
          </w:rPr>
          <w:fldChar w:fldCharType="separate"/>
        </w:r>
        <w:r w:rsidR="002C2278">
          <w:rPr>
            <w:noProof/>
            <w:webHidden/>
          </w:rPr>
          <w:t>31</w:t>
        </w:r>
        <w:r w:rsidR="002C2278">
          <w:rPr>
            <w:noProof/>
            <w:webHidden/>
          </w:rPr>
          <w:fldChar w:fldCharType="end"/>
        </w:r>
      </w:hyperlink>
    </w:p>
    <w:p w:rsidR="002C2278" w:rsidRDefault="00E54EE3">
      <w:pPr>
        <w:pStyle w:val="TOC1"/>
        <w:rPr>
          <w:rFonts w:asciiTheme="minorHAnsi" w:eastAsiaTheme="minorEastAsia" w:hAnsiTheme="minorHAnsi" w:cstheme="minorBidi"/>
          <w:noProof/>
          <w:sz w:val="22"/>
          <w:szCs w:val="22"/>
        </w:rPr>
      </w:pPr>
      <w:hyperlink w:anchor="_Toc91659008" w:history="1">
        <w:r w:rsidR="002C2278" w:rsidRPr="006A0998">
          <w:rPr>
            <w:rStyle w:val="Hyperlink"/>
            <w:noProof/>
          </w:rPr>
          <w:tab/>
          <w:t>Schedule No. 3-B Adjustments to NOI</w:t>
        </w:r>
        <w:r w:rsidR="002C2278">
          <w:rPr>
            <w:noProof/>
            <w:webHidden/>
          </w:rPr>
          <w:tab/>
        </w:r>
        <w:r w:rsidR="002C2278">
          <w:rPr>
            <w:noProof/>
            <w:webHidden/>
          </w:rPr>
          <w:fldChar w:fldCharType="begin"/>
        </w:r>
        <w:r w:rsidR="002C2278">
          <w:rPr>
            <w:noProof/>
            <w:webHidden/>
          </w:rPr>
          <w:instrText xml:space="preserve"> PAGEREF _Toc91659008 \h </w:instrText>
        </w:r>
        <w:r w:rsidR="002C2278">
          <w:rPr>
            <w:noProof/>
            <w:webHidden/>
          </w:rPr>
        </w:r>
        <w:r w:rsidR="002C2278">
          <w:rPr>
            <w:noProof/>
            <w:webHidden/>
          </w:rPr>
          <w:fldChar w:fldCharType="separate"/>
        </w:r>
        <w:r w:rsidR="002C2278">
          <w:rPr>
            <w:noProof/>
            <w:webHidden/>
          </w:rPr>
          <w:t>32</w:t>
        </w:r>
        <w:r w:rsidR="002C2278">
          <w:rPr>
            <w:noProof/>
            <w:webHidden/>
          </w:rPr>
          <w:fldChar w:fldCharType="end"/>
        </w:r>
      </w:hyperlink>
    </w:p>
    <w:p w:rsidR="002C2278" w:rsidRDefault="00E54EE3">
      <w:pPr>
        <w:pStyle w:val="TOC1"/>
        <w:rPr>
          <w:rFonts w:asciiTheme="minorHAnsi" w:eastAsiaTheme="minorEastAsia" w:hAnsiTheme="minorHAnsi" w:cstheme="minorBidi"/>
          <w:noProof/>
          <w:sz w:val="22"/>
          <w:szCs w:val="22"/>
        </w:rPr>
      </w:pPr>
      <w:hyperlink w:anchor="_Toc91659009" w:history="1">
        <w:r w:rsidR="002C2278" w:rsidRPr="006A0998">
          <w:rPr>
            <w:rStyle w:val="Hyperlink"/>
            <w:noProof/>
          </w:rPr>
          <w:tab/>
          <w:t>Schedule No. 3-C Water Operation and Maintenance Expense</w:t>
        </w:r>
        <w:r w:rsidR="002C2278">
          <w:rPr>
            <w:noProof/>
            <w:webHidden/>
          </w:rPr>
          <w:tab/>
        </w:r>
        <w:r w:rsidR="002C2278">
          <w:rPr>
            <w:noProof/>
            <w:webHidden/>
          </w:rPr>
          <w:fldChar w:fldCharType="begin"/>
        </w:r>
        <w:r w:rsidR="002C2278">
          <w:rPr>
            <w:noProof/>
            <w:webHidden/>
          </w:rPr>
          <w:instrText xml:space="preserve"> PAGEREF _Toc91659009 \h </w:instrText>
        </w:r>
        <w:r w:rsidR="002C2278">
          <w:rPr>
            <w:noProof/>
            <w:webHidden/>
          </w:rPr>
        </w:r>
        <w:r w:rsidR="002C2278">
          <w:rPr>
            <w:noProof/>
            <w:webHidden/>
          </w:rPr>
          <w:fldChar w:fldCharType="separate"/>
        </w:r>
        <w:r w:rsidR="002C2278">
          <w:rPr>
            <w:noProof/>
            <w:webHidden/>
          </w:rPr>
          <w:t>33</w:t>
        </w:r>
        <w:r w:rsidR="002C2278">
          <w:rPr>
            <w:noProof/>
            <w:webHidden/>
          </w:rPr>
          <w:fldChar w:fldCharType="end"/>
        </w:r>
      </w:hyperlink>
    </w:p>
    <w:p w:rsidR="002C2278" w:rsidRDefault="00E54EE3">
      <w:pPr>
        <w:pStyle w:val="TOC1"/>
        <w:rPr>
          <w:rFonts w:asciiTheme="minorHAnsi" w:eastAsiaTheme="minorEastAsia" w:hAnsiTheme="minorHAnsi" w:cstheme="minorBidi"/>
          <w:noProof/>
          <w:sz w:val="22"/>
          <w:szCs w:val="22"/>
        </w:rPr>
      </w:pPr>
      <w:hyperlink w:anchor="_Toc91659010" w:history="1">
        <w:r w:rsidR="002C2278" w:rsidRPr="006A0998">
          <w:rPr>
            <w:rStyle w:val="Hyperlink"/>
            <w:noProof/>
          </w:rPr>
          <w:tab/>
          <w:t>Schedule No. 4 Monthly Water Rates</w:t>
        </w:r>
        <w:r w:rsidR="002C2278">
          <w:rPr>
            <w:noProof/>
            <w:webHidden/>
          </w:rPr>
          <w:tab/>
        </w:r>
        <w:r w:rsidR="002C2278">
          <w:rPr>
            <w:noProof/>
            <w:webHidden/>
          </w:rPr>
          <w:fldChar w:fldCharType="begin"/>
        </w:r>
        <w:r w:rsidR="002C2278">
          <w:rPr>
            <w:noProof/>
            <w:webHidden/>
          </w:rPr>
          <w:instrText xml:space="preserve"> PAGEREF _Toc91659010 \h </w:instrText>
        </w:r>
        <w:r w:rsidR="002C2278">
          <w:rPr>
            <w:noProof/>
            <w:webHidden/>
          </w:rPr>
        </w:r>
        <w:r w:rsidR="002C2278">
          <w:rPr>
            <w:noProof/>
            <w:webHidden/>
          </w:rPr>
          <w:fldChar w:fldCharType="separate"/>
        </w:r>
        <w:r w:rsidR="002C2278">
          <w:rPr>
            <w:noProof/>
            <w:webHidden/>
          </w:rPr>
          <w:t>34</w:t>
        </w:r>
        <w:r w:rsidR="002C2278">
          <w:rPr>
            <w:noProof/>
            <w:webHidden/>
          </w:rPr>
          <w:fldChar w:fldCharType="end"/>
        </w:r>
      </w:hyperlink>
    </w:p>
    <w:p w:rsidR="00776A46" w:rsidRDefault="00776A46">
      <w:pPr>
        <w:pStyle w:val="TOCColumnHeadings"/>
      </w:pPr>
      <w:r>
        <w:fldChar w:fldCharType="end"/>
      </w:r>
    </w:p>
    <w:p w:rsidR="007C0528" w:rsidRDefault="00776A46">
      <w:pPr>
        <w:pStyle w:val="RecommendationMajorSectionHeading"/>
      </w:pPr>
      <w:r>
        <w:br w:type="page"/>
      </w:r>
      <w:r w:rsidR="007C0528">
        <w:t xml:space="preserve"> </w:t>
      </w:r>
      <w:bookmarkStart w:id="11" w:name="CaseBackground"/>
      <w:r w:rsidR="007C0528">
        <w:t>Case Background</w:t>
      </w:r>
      <w:r w:rsidR="007C0528">
        <w:fldChar w:fldCharType="begin"/>
      </w:r>
      <w:r w:rsidR="007C0528">
        <w:instrText xml:space="preserve"> TC  "</w:instrText>
      </w:r>
      <w:bookmarkStart w:id="12" w:name="_Toc91658988"/>
      <w:r w:rsidR="007C0528">
        <w:tab/>
        <w:instrText>Case Background</w:instrText>
      </w:r>
      <w:bookmarkEnd w:id="12"/>
      <w:r w:rsidR="007C0528">
        <w:instrText xml:space="preserve">" \l 1 </w:instrText>
      </w:r>
      <w:r w:rsidR="007C0528">
        <w:fldChar w:fldCharType="end"/>
      </w:r>
    </w:p>
    <w:p w:rsidR="003A6724" w:rsidRDefault="003A6724" w:rsidP="003A6724">
      <w:pPr>
        <w:pStyle w:val="BodyText"/>
      </w:pPr>
      <w:r>
        <w:t>Brendenwood Waterworks</w:t>
      </w:r>
      <w:r w:rsidR="009072DD">
        <w:t>,</w:t>
      </w:r>
      <w:r>
        <w:t xml:space="preserve"> Inc. (Brendenwood or utility) is a Class C utility which is currently providing water service to 59 customers. Brendenwood is located in the St. Johns River Water Management District (SJRWMD). According to the utility's 2020 Annual Report, Brendenwood’s operating revenues were $28,510 and operating expenses were $27,370. </w:t>
      </w:r>
    </w:p>
    <w:p w:rsidR="003A6724" w:rsidRDefault="003A6724" w:rsidP="003A6724">
      <w:pPr>
        <w:pStyle w:val="BodyText"/>
      </w:pPr>
      <w:r w:rsidRPr="00530A34">
        <w:t>Certificate No. 339-W was originally granted in 1981.</w:t>
      </w:r>
      <w:r w:rsidRPr="00530A34">
        <w:rPr>
          <w:vertAlign w:val="superscript"/>
        </w:rPr>
        <w:footnoteReference w:id="1"/>
      </w:r>
      <w:r>
        <w:t xml:space="preserve"> </w:t>
      </w:r>
      <w:r w:rsidRPr="00530A34">
        <w:t>In 1990, the Commission approved a transfer of majority organizational control</w:t>
      </w:r>
      <w:r w:rsidRPr="00530A34">
        <w:rPr>
          <w:rStyle w:val="FootnoteReference"/>
        </w:rPr>
        <w:footnoteReference w:id="2"/>
      </w:r>
      <w:r w:rsidRPr="00530A34">
        <w:t xml:space="preserve"> and an amendment to include additional territory.</w:t>
      </w:r>
      <w:r w:rsidRPr="00530A34">
        <w:rPr>
          <w:rStyle w:val="FootnoteReference"/>
        </w:rPr>
        <w:footnoteReference w:id="3"/>
      </w:r>
      <w:r w:rsidRPr="00530A34">
        <w:t xml:space="preserve"> In 2003, the Commission approved a name change from Brendenwood Water System to Brendenwood Water Systems, Inc.</w:t>
      </w:r>
      <w:r w:rsidRPr="00530A34">
        <w:rPr>
          <w:rStyle w:val="FootnoteReference"/>
        </w:rPr>
        <w:footnoteReference w:id="4"/>
      </w:r>
      <w:r>
        <w:t xml:space="preserve"> </w:t>
      </w:r>
      <w:r w:rsidRPr="00530A34">
        <w:t>In 2004, the Commission approved a transfer of majority organizational control.</w:t>
      </w:r>
      <w:r w:rsidRPr="00530A34">
        <w:rPr>
          <w:vertAlign w:val="superscript"/>
        </w:rPr>
        <w:footnoteReference w:id="5"/>
      </w:r>
      <w:r>
        <w:t xml:space="preserve"> </w:t>
      </w:r>
      <w:r w:rsidRPr="00530A34">
        <w:t>In 2005, the Commission approved an amendment to include additional territory.</w:t>
      </w:r>
      <w:r w:rsidRPr="00530A34">
        <w:rPr>
          <w:rStyle w:val="FootnoteReference"/>
        </w:rPr>
        <w:footnoteReference w:id="6"/>
      </w:r>
      <w:r>
        <w:t xml:space="preserve"> </w:t>
      </w:r>
      <w:r w:rsidRPr="00530A34">
        <w:t xml:space="preserve">In 2011, the Commission approved an application to transfer the </w:t>
      </w:r>
      <w:r>
        <w:t>u</w:t>
      </w:r>
      <w:r w:rsidRPr="00530A34">
        <w:t>tility from Brendenwood Water Systems, Inc. to Brendenwood Utilities, LLC.</w:t>
      </w:r>
      <w:r w:rsidRPr="00530A34">
        <w:rPr>
          <w:vertAlign w:val="superscript"/>
        </w:rPr>
        <w:footnoteReference w:id="7"/>
      </w:r>
      <w:r>
        <w:t xml:space="preserve"> In 2015, the Commission approved an application to transfer the utility from Brendenwood Utilities, LLC. to Brendenwood Waterworks, Inc. In 2017, the utility’s rates were reduced as a result of an overearnings investigation.</w:t>
      </w:r>
      <w:r>
        <w:rPr>
          <w:rStyle w:val="FootnoteReference"/>
        </w:rPr>
        <w:footnoteReference w:id="8"/>
      </w:r>
      <w:r>
        <w:t xml:space="preserve"> Subsequent to the reduction in rates, Brendenwood’s rates have been increased by two price index rate adjustments in 2018 and 2019. On March 16, 2021, Brendenwood filed an application for a staff-assisted rate case (SARC) and paid the appropriate filing fee on April 26, 2021.</w:t>
      </w:r>
      <w:r>
        <w:rPr>
          <w:rStyle w:val="FootnoteReference"/>
        </w:rPr>
        <w:footnoteReference w:id="9"/>
      </w:r>
      <w:r>
        <w:t xml:space="preserve"> The test year is established as the year ended December 31, 2020.</w:t>
      </w:r>
    </w:p>
    <w:p w:rsidR="0068481F" w:rsidRDefault="003A6724" w:rsidP="003A6724">
      <w:pPr>
        <w:pStyle w:val="BodyText"/>
      </w:pPr>
      <w:r w:rsidRPr="00C00C95">
        <w:t xml:space="preserve">The Commission has jurisdiction pursuant to </w:t>
      </w:r>
      <w:r>
        <w:t>Sections 367.011, 367.081</w:t>
      </w:r>
      <w:r w:rsidRPr="00C00C95">
        <w:t>,</w:t>
      </w:r>
      <w:r>
        <w:t xml:space="preserve"> 367.0812, 367.0814, 367.091 and 367.121, </w:t>
      </w:r>
      <w:r w:rsidRPr="00C00C95">
        <w:t>Florida Statutes (F.S</w:t>
      </w:r>
      <w:r>
        <w:t>.).</w:t>
      </w:r>
    </w:p>
    <w:bookmarkEnd w:id="11"/>
    <w:p w:rsidR="00EA2273" w:rsidRDefault="00EA2273" w:rsidP="00776A46">
      <w:pPr>
        <w:pStyle w:val="RecommendationMajorSectionHeading"/>
        <w:jc w:val="left"/>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7" w:name="DiscussionOfIssues"/>
      <w:r>
        <w:t>Discussion of Issues</w:t>
      </w:r>
    </w:p>
    <w:bookmarkEnd w:id="17"/>
    <w:p w:rsidR="003A6724" w:rsidRDefault="003A6724">
      <w:pPr>
        <w:pStyle w:val="IssueHeading"/>
        <w:rPr>
          <w:vanish/>
          <w:specVanish/>
        </w:rPr>
      </w:pPr>
      <w:r w:rsidRPr="004C3641">
        <w:t xml:space="preserve">Issue </w:t>
      </w:r>
      <w:r w:rsidR="00E54EE3">
        <w:fldChar w:fldCharType="begin"/>
      </w:r>
      <w:r w:rsidR="00E54EE3">
        <w:instrText xml:space="preserve"> SEQ Issue \* MERGEFORMAT </w:instrText>
      </w:r>
      <w:r w:rsidR="00E54EE3">
        <w:fldChar w:fldCharType="separate"/>
      </w:r>
      <w:r w:rsidR="004D1728">
        <w:rPr>
          <w:noProof/>
        </w:rPr>
        <w:t>1</w:t>
      </w:r>
      <w:r w:rsidR="00E54EE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8" w:name="_Toc91658989"/>
      <w:r w:rsidR="004D1728">
        <w:rPr>
          <w:noProof/>
        </w:rPr>
        <w:instrText>1</w:instrText>
      </w:r>
      <w:r>
        <w:fldChar w:fldCharType="end"/>
      </w:r>
      <w:r>
        <w:tab/>
        <w:instrText>Quality of Service</w:instrText>
      </w:r>
      <w:r w:rsidR="0071317B">
        <w:instrText xml:space="preserve"> </w:instrText>
      </w:r>
      <w:r>
        <w:instrText>(Lewis)</w:instrText>
      </w:r>
      <w:bookmarkEnd w:id="18"/>
      <w:r>
        <w:instrText xml:space="preserve">" \l 1 </w:instrText>
      </w:r>
      <w:r>
        <w:fldChar w:fldCharType="end"/>
      </w:r>
      <w:r>
        <w:t> </w:t>
      </w:r>
    </w:p>
    <w:p w:rsidR="003A6724" w:rsidRDefault="003A6724">
      <w:pPr>
        <w:pStyle w:val="BodyText"/>
      </w:pPr>
      <w:r>
        <w:t> Is the quality of service provided by Brendenwood satisfactory?</w:t>
      </w:r>
    </w:p>
    <w:p w:rsidR="003A6724" w:rsidRPr="004C3641" w:rsidRDefault="003A6724">
      <w:pPr>
        <w:pStyle w:val="IssueSubsectionHeading"/>
        <w:rPr>
          <w:vanish/>
          <w:specVanish/>
        </w:rPr>
      </w:pPr>
      <w:r w:rsidRPr="004C3641">
        <w:t>Recommendation: </w:t>
      </w:r>
    </w:p>
    <w:p w:rsidR="003A6724" w:rsidRDefault="003A6724">
      <w:pPr>
        <w:pStyle w:val="BodyText"/>
      </w:pPr>
      <w:r>
        <w:t xml:space="preserve"> Yes. </w:t>
      </w:r>
      <w:r w:rsidR="00650EAF">
        <w:t>The u</w:t>
      </w:r>
      <w:r w:rsidRPr="00593CE2">
        <w:t>tility is passing all DEP primary and secondary standards and has been responsive to its customer complaints. Therefore, the quality of service provided by Brendenwood should be considered satisfactory.</w:t>
      </w:r>
      <w:r>
        <w:t xml:space="preserve"> (Lewis)</w:t>
      </w:r>
    </w:p>
    <w:p w:rsidR="003A6724" w:rsidRPr="004C3641" w:rsidRDefault="003A6724">
      <w:pPr>
        <w:pStyle w:val="IssueSubsectionHeading"/>
        <w:rPr>
          <w:vanish/>
          <w:specVanish/>
        </w:rPr>
      </w:pPr>
      <w:r w:rsidRPr="004C3641">
        <w:t>Staff Analysis: </w:t>
      </w:r>
    </w:p>
    <w:p w:rsidR="003A6724" w:rsidRPr="00787B5A" w:rsidRDefault="003A6724" w:rsidP="003A6724">
      <w:pPr>
        <w:pStyle w:val="BodyText"/>
      </w:pPr>
      <w:r>
        <w:t> </w:t>
      </w:r>
      <w:r w:rsidRPr="00787B5A">
        <w:t>Pursuant to Section 367.081(2)(a), F.S., and Rule 25-30.433(1), Florida Administrative Code (F.A.C.), the Commission, in every rate case, shall make a determination of the quality of service provided by the utility by evaluating the quality of the utility’s product (water) and the utility’s attempt to address customer satisfaction (water and wastewater). The Rule states that the most recent chemical analyses, outstanding citations, violations, and consent orders on file with the state’s Department of Environmental Protection (DEP) and the county health departments, along with any DEP and county health department officials’ testimony concerning quality of service shall be considered. In addition, any customer testimony, comments, or complaints shall also be considered. The operating condition of the water system is addressed in Issue 2.</w:t>
      </w:r>
    </w:p>
    <w:p w:rsidR="003A6724" w:rsidRPr="00787B5A" w:rsidRDefault="003A6724" w:rsidP="003A6724">
      <w:pPr>
        <w:jc w:val="both"/>
        <w:rPr>
          <w:rFonts w:ascii="Arial" w:hAnsi="Arial" w:cs="Arial"/>
          <w:b/>
        </w:rPr>
      </w:pPr>
      <w:r w:rsidRPr="00787B5A">
        <w:rPr>
          <w:rFonts w:ascii="Arial" w:hAnsi="Arial" w:cs="Arial"/>
          <w:b/>
        </w:rPr>
        <w:t>Quality of Product</w:t>
      </w:r>
    </w:p>
    <w:p w:rsidR="003A6724" w:rsidRPr="00787B5A" w:rsidRDefault="003A6724" w:rsidP="003A6724">
      <w:pPr>
        <w:spacing w:after="240"/>
        <w:jc w:val="both"/>
      </w:pPr>
      <w:r w:rsidRPr="00787B5A">
        <w:t>In evaluating Brendenwood’s product quality, staff reviewed the utility's compliance with the DEP primary and secondary drinking water standards. Primary standards protect public health, while secondary standards regulate contaminants that may impact the taste, odor, and color of drinking water. The most recent chemical analyses were performed on February 24, 2021, and the results were in compliance with the DEP’s standards. These chemical analyses are performed every three years; therefore, the next scheduled analysis should be completed in 2024.</w:t>
      </w:r>
    </w:p>
    <w:p w:rsidR="003A6724" w:rsidRPr="00787B5A" w:rsidRDefault="003A6724" w:rsidP="003A6724">
      <w:pPr>
        <w:jc w:val="both"/>
        <w:rPr>
          <w:rFonts w:ascii="Arial" w:hAnsi="Arial" w:cs="Arial"/>
          <w:b/>
        </w:rPr>
      </w:pPr>
      <w:r w:rsidRPr="00787B5A">
        <w:rPr>
          <w:rFonts w:ascii="Arial" w:hAnsi="Arial" w:cs="Arial"/>
          <w:b/>
        </w:rPr>
        <w:t>The Utility’s Attempt to Address Customer Satisfaction</w:t>
      </w:r>
    </w:p>
    <w:p w:rsidR="003A6724" w:rsidRPr="00787B5A" w:rsidRDefault="003A6724" w:rsidP="003A6724">
      <w:pPr>
        <w:jc w:val="both"/>
      </w:pPr>
      <w:r w:rsidRPr="00787B5A">
        <w:t xml:space="preserve">Staff reviewed the complaints filed in the Commission’s Consumer Activity Tracking System for the test year and four years prior. The Commission received one complaint in August 2016, regarding a higher than expected bill. The utility responded to the customer, conducted a meter test, which indicated the meter was working properly, and offered to adjust the customer’s bill, which the customer accepted. As a result, this complaint was closed. The DEP received one customer inquiry during the same five-year period in February 2020, regarding the utility’s compliance with drinking water standards. The customer was provided instructions on how to search the DEP’s website in order to review the utility’s compliance history and the inquiry was subsequently closed.  </w:t>
      </w:r>
    </w:p>
    <w:p w:rsidR="003A6724" w:rsidRPr="00787B5A" w:rsidRDefault="003A6724" w:rsidP="003A6724">
      <w:pPr>
        <w:jc w:val="both"/>
      </w:pPr>
    </w:p>
    <w:p w:rsidR="003A6724" w:rsidRPr="00787B5A" w:rsidRDefault="003A6724" w:rsidP="003A6724">
      <w:pPr>
        <w:spacing w:after="240"/>
        <w:jc w:val="both"/>
      </w:pPr>
      <w:r w:rsidRPr="00787B5A">
        <w:t>The utility reported receiving fifty-one complaints directly from its customers during the five- year period. The complaints concerned issues with: meter readings (7), condition of the meter (3), low water pressure or no water (19), water main breaks (2), leaks at the meter or on the customer’s side (15), and water quality (5). The complaints were investigated and closed by the utility.</w:t>
      </w:r>
    </w:p>
    <w:p w:rsidR="003A6724" w:rsidRPr="00787B5A" w:rsidRDefault="003A6724" w:rsidP="003A6724">
      <w:pPr>
        <w:spacing w:after="240"/>
        <w:jc w:val="both"/>
        <w:outlineLvl w:val="0"/>
      </w:pPr>
      <w:r w:rsidRPr="00787B5A">
        <w:t>Staff conducted a virtual customer meeting on October 20, 2021. No customers attended the customer mee</w:t>
      </w:r>
      <w:r w:rsidR="00650EAF">
        <w:t>ting. Representatives from the u</w:t>
      </w:r>
      <w:r w:rsidRPr="00787B5A">
        <w:t>tility and OPC were in attendance. No customer comments have been filed in the docket file.</w:t>
      </w:r>
    </w:p>
    <w:p w:rsidR="003A6724" w:rsidRPr="00787B5A" w:rsidRDefault="003A6724" w:rsidP="004D1728">
      <w:pPr>
        <w:jc w:val="both"/>
        <w:outlineLvl w:val="0"/>
        <w:rPr>
          <w:rFonts w:ascii="Arial" w:hAnsi="Arial" w:cs="Arial"/>
          <w:b/>
        </w:rPr>
      </w:pPr>
      <w:r w:rsidRPr="00787B5A">
        <w:rPr>
          <w:rFonts w:ascii="Arial" w:hAnsi="Arial" w:cs="Arial"/>
          <w:b/>
        </w:rPr>
        <w:t>Conclusion</w:t>
      </w:r>
    </w:p>
    <w:p w:rsidR="003A6724" w:rsidRDefault="00650EAF" w:rsidP="003A6724">
      <w:pPr>
        <w:pStyle w:val="BodyText"/>
      </w:pPr>
      <w:r>
        <w:rPr>
          <w:rFonts w:eastAsiaTheme="minorHAnsi"/>
        </w:rPr>
        <w:t>The u</w:t>
      </w:r>
      <w:r w:rsidR="003A6724" w:rsidRPr="00787B5A">
        <w:rPr>
          <w:rFonts w:eastAsiaTheme="minorHAnsi"/>
        </w:rPr>
        <w:t>tility is passing all DEP primary and secondary standards and has been responsive to its customer complaints. Therefore, the quality of service provided by Brendenwood should be considered satisfactory.</w:t>
      </w:r>
    </w:p>
    <w:p w:rsidR="003A6724" w:rsidRDefault="003A6724">
      <w:pPr>
        <w:pStyle w:val="IssueHeading"/>
        <w:rPr>
          <w:vanish/>
          <w:specVanish/>
        </w:rPr>
      </w:pPr>
      <w:r w:rsidRPr="004C3641">
        <w:rPr>
          <w:b w:val="0"/>
          <w:i w:val="0"/>
        </w:rPr>
        <w:br w:type="page"/>
      </w:r>
      <w:r w:rsidRPr="004C3641">
        <w:t xml:space="preserve">Issue </w:t>
      </w:r>
      <w:r w:rsidR="00E54EE3">
        <w:fldChar w:fldCharType="begin"/>
      </w:r>
      <w:r w:rsidR="00E54EE3">
        <w:instrText xml:space="preserve"> </w:instrText>
      </w:r>
      <w:r w:rsidR="00E54EE3">
        <w:instrText xml:space="preserve">SEQ Issue \* MERGEFORMAT </w:instrText>
      </w:r>
      <w:r w:rsidR="00E54EE3">
        <w:fldChar w:fldCharType="separate"/>
      </w:r>
      <w:r w:rsidR="004D1728">
        <w:rPr>
          <w:noProof/>
        </w:rPr>
        <w:t>2</w:t>
      </w:r>
      <w:r w:rsidR="00E54EE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9" w:name="_Toc91658990"/>
      <w:r w:rsidR="004D1728">
        <w:rPr>
          <w:noProof/>
        </w:rPr>
        <w:instrText>2</w:instrText>
      </w:r>
      <w:r>
        <w:fldChar w:fldCharType="end"/>
      </w:r>
      <w:r>
        <w:tab/>
        <w:instrText>Operating Conditions</w:instrText>
      </w:r>
      <w:r w:rsidR="0071317B">
        <w:instrText xml:space="preserve"> </w:instrText>
      </w:r>
      <w:r>
        <w:instrText>(Lewis)</w:instrText>
      </w:r>
      <w:bookmarkEnd w:id="19"/>
      <w:r>
        <w:instrText xml:space="preserve">" \l 1 </w:instrText>
      </w:r>
      <w:r>
        <w:fldChar w:fldCharType="end"/>
      </w:r>
      <w:r>
        <w:t> </w:t>
      </w:r>
    </w:p>
    <w:p w:rsidR="003A6724" w:rsidRDefault="003A6724">
      <w:pPr>
        <w:pStyle w:val="BodyText"/>
      </w:pPr>
      <w:r>
        <w:t> Are the infrastructure and operating condition of Brendenwood's wat</w:t>
      </w:r>
      <w:r w:rsidR="00341566">
        <w:t>er system in compliance with</w:t>
      </w:r>
      <w:r>
        <w:t xml:space="preserve"> DEP regulations?</w:t>
      </w:r>
    </w:p>
    <w:p w:rsidR="003A6724" w:rsidRPr="004C3641" w:rsidRDefault="003A6724">
      <w:pPr>
        <w:pStyle w:val="IssueSubsectionHeading"/>
        <w:rPr>
          <w:vanish/>
          <w:specVanish/>
        </w:rPr>
      </w:pPr>
      <w:r w:rsidRPr="004C3641">
        <w:t>Recommendation: </w:t>
      </w:r>
    </w:p>
    <w:p w:rsidR="003A6724" w:rsidRDefault="003A6724">
      <w:pPr>
        <w:pStyle w:val="BodyText"/>
      </w:pPr>
      <w:r>
        <w:t xml:space="preserve"> Yes. </w:t>
      </w:r>
      <w:r w:rsidRPr="00813726">
        <w:t>Bren</w:t>
      </w:r>
      <w:r>
        <w:t>den</w:t>
      </w:r>
      <w:r w:rsidRPr="00813726">
        <w:t xml:space="preserve">wood’s water </w:t>
      </w:r>
      <w:r>
        <w:t xml:space="preserve">system is currently </w:t>
      </w:r>
      <w:r w:rsidRPr="00813726">
        <w:t>in compliance with DEP regulations.</w:t>
      </w:r>
      <w:r>
        <w:t xml:space="preserve"> (Lewis)</w:t>
      </w:r>
    </w:p>
    <w:p w:rsidR="003A6724" w:rsidRPr="004C3641" w:rsidRDefault="003A6724">
      <w:pPr>
        <w:pStyle w:val="IssueSubsectionHeading"/>
        <w:rPr>
          <w:vanish/>
          <w:specVanish/>
        </w:rPr>
      </w:pPr>
      <w:r w:rsidRPr="004C3641">
        <w:t>Staff Analysis: </w:t>
      </w:r>
    </w:p>
    <w:p w:rsidR="003A6724" w:rsidRPr="00787B5A" w:rsidRDefault="003A6724" w:rsidP="003A6724">
      <w:pPr>
        <w:pStyle w:val="BodyText"/>
      </w:pPr>
      <w:r>
        <w:t> </w:t>
      </w:r>
      <w:r w:rsidRPr="00787B5A">
        <w:t>Rule 25-30.225(2), F.A.C., requires each water and wastewater utility to maintain and operate its plant and facilities by employing qualified operators in accordance with the rules of the DEP. Rule 25-30.433(2), F.A.C., requires consideration of whether the infrastructure and operating conditions of the plant and facilities are in compliance with Rule 25-30.225, F.A.C. In making this determination, the Commission must consider testimony of the DEP and county health department officials, sanitary surveys for water systems and compliance evaluation inspections for wastewater systems, citations, violations, and consent orders issued to the utility, customer testimony, comments, and complaints, and utility testimony and responses to the aforementioned items.</w:t>
      </w:r>
    </w:p>
    <w:p w:rsidR="003A6724" w:rsidRPr="00787B5A" w:rsidRDefault="003A6724" w:rsidP="003A6724">
      <w:pPr>
        <w:jc w:val="both"/>
        <w:rPr>
          <w:rFonts w:ascii="Arial" w:hAnsi="Arial" w:cs="Arial"/>
          <w:b/>
        </w:rPr>
      </w:pPr>
      <w:r w:rsidRPr="00787B5A">
        <w:rPr>
          <w:rFonts w:ascii="Arial" w:hAnsi="Arial" w:cs="Arial"/>
          <w:b/>
        </w:rPr>
        <w:t>Water System Operating Conditions</w:t>
      </w:r>
    </w:p>
    <w:p w:rsidR="003A6724" w:rsidRPr="00787B5A" w:rsidRDefault="003A6724" w:rsidP="003A6724">
      <w:pPr>
        <w:spacing w:after="240"/>
        <w:jc w:val="both"/>
      </w:pPr>
      <w:r w:rsidRPr="00787B5A">
        <w:t xml:space="preserve">Brendenwood’s water system has a permitted design capacity of 108,000 gallons per day (gpd). The utility’s water system is supplied by one well with a rated pumping capacity of 150 gallons per minute (gpm). The treated water is pumped into a 3,000 gallon hydropneumatic storage tank before entering the distribution system. Staff reviewed the Sanitary Survey conducted by the DEP on January 30, 2019. The water treatment plant (WTP) was in compliance with no deficiencies indicated. A review of DEP’s records did not show any warning letters or consent orders issued to the utility. </w:t>
      </w:r>
    </w:p>
    <w:p w:rsidR="003A6724" w:rsidRPr="00787B5A" w:rsidRDefault="003A6724" w:rsidP="003A6724">
      <w:pPr>
        <w:jc w:val="both"/>
        <w:rPr>
          <w:rFonts w:ascii="Arial" w:hAnsi="Arial" w:cs="Arial"/>
          <w:b/>
        </w:rPr>
      </w:pPr>
      <w:r w:rsidRPr="00787B5A">
        <w:rPr>
          <w:rFonts w:ascii="Arial" w:hAnsi="Arial" w:cs="Arial"/>
          <w:b/>
        </w:rPr>
        <w:t>Conclusion</w:t>
      </w:r>
    </w:p>
    <w:p w:rsidR="003A6724" w:rsidRDefault="003A6724" w:rsidP="003A6724">
      <w:pPr>
        <w:pStyle w:val="BodyText"/>
      </w:pPr>
      <w:r w:rsidRPr="00787B5A">
        <w:rPr>
          <w:rFonts w:eastAsiaTheme="minorHAnsi" w:cstheme="minorBidi"/>
          <w:szCs w:val="22"/>
        </w:rPr>
        <w:t>Based on the above, Brendenwood’s water system is currently in compliance with DEP regulations.</w:t>
      </w:r>
    </w:p>
    <w:p w:rsidR="00C42B27" w:rsidRDefault="00C42B27">
      <w:pPr>
        <w:pStyle w:val="IssueHeading"/>
        <w:rPr>
          <w:vanish/>
          <w:specVanish/>
        </w:rPr>
      </w:pPr>
      <w:r w:rsidRPr="004C3641">
        <w:rPr>
          <w:b w:val="0"/>
          <w:i w:val="0"/>
        </w:rPr>
        <w:br w:type="page"/>
      </w:r>
      <w:r w:rsidRPr="004C3641">
        <w:t xml:space="preserve">Issue </w:t>
      </w:r>
      <w:r w:rsidR="00E54EE3">
        <w:fldChar w:fldCharType="begin"/>
      </w:r>
      <w:r w:rsidR="00E54EE3">
        <w:instrText xml:space="preserve"> SEQ Issue \* MERGEFORMAT </w:instrText>
      </w:r>
      <w:r w:rsidR="00E54EE3">
        <w:fldChar w:fldCharType="separate"/>
      </w:r>
      <w:r w:rsidR="004D1728">
        <w:rPr>
          <w:noProof/>
        </w:rPr>
        <w:t>3</w:t>
      </w:r>
      <w:r w:rsidR="00E54EE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0" w:name="_Toc91658991"/>
      <w:r w:rsidR="004D1728">
        <w:rPr>
          <w:noProof/>
        </w:rPr>
        <w:instrText>3</w:instrText>
      </w:r>
      <w:r>
        <w:fldChar w:fldCharType="end"/>
      </w:r>
      <w:r>
        <w:tab/>
        <w:instrText>Used and Useful</w:instrText>
      </w:r>
      <w:r w:rsidR="0071317B">
        <w:instrText xml:space="preserve"> </w:instrText>
      </w:r>
      <w:r>
        <w:instrText>(Lewis)</w:instrText>
      </w:r>
      <w:bookmarkEnd w:id="20"/>
      <w:r>
        <w:instrText xml:space="preserve">" \l 1 </w:instrText>
      </w:r>
      <w:r>
        <w:fldChar w:fldCharType="end"/>
      </w:r>
      <w:r>
        <w:t> </w:t>
      </w:r>
    </w:p>
    <w:p w:rsidR="00C42B27" w:rsidRDefault="00C42B27">
      <w:pPr>
        <w:pStyle w:val="BodyText"/>
      </w:pPr>
      <w:r>
        <w:t> What are the used and useful (U&amp;U) percentages for Brendenwood's WTP and water distribution system?</w:t>
      </w:r>
    </w:p>
    <w:p w:rsidR="00C42B27" w:rsidRPr="004C3641" w:rsidRDefault="00C42B27">
      <w:pPr>
        <w:pStyle w:val="IssueSubsectionHeading"/>
        <w:rPr>
          <w:vanish/>
          <w:specVanish/>
        </w:rPr>
      </w:pPr>
      <w:r w:rsidRPr="004C3641">
        <w:t>Recommendation: </w:t>
      </w:r>
    </w:p>
    <w:p w:rsidR="00C42B27" w:rsidRDefault="00C42B27">
      <w:pPr>
        <w:pStyle w:val="BodyText"/>
      </w:pPr>
      <w:r>
        <w:t> </w:t>
      </w:r>
      <w:r w:rsidRPr="00A23392">
        <w:t>Brendenwood’s WTP and water distribution system should be considered 100 percent U&amp;U. Additionally, there appears to be no excessive unaccounted for water (EUW); therefore, staff recommends that no adjustment be made to operating expenses for chemic</w:t>
      </w:r>
      <w:r>
        <w:t>als and purchased power. (Lewis)</w:t>
      </w:r>
    </w:p>
    <w:p w:rsidR="00C42B27" w:rsidRPr="004C3641" w:rsidRDefault="00C42B27">
      <w:pPr>
        <w:pStyle w:val="IssueSubsectionHeading"/>
        <w:rPr>
          <w:vanish/>
          <w:specVanish/>
        </w:rPr>
      </w:pPr>
      <w:r w:rsidRPr="004C3641">
        <w:t>Staff Analysis: </w:t>
      </w:r>
    </w:p>
    <w:p w:rsidR="00C42B27" w:rsidRPr="00CF2B96" w:rsidRDefault="00C42B27" w:rsidP="00C42B27">
      <w:pPr>
        <w:pStyle w:val="BodyText"/>
      </w:pPr>
      <w:r>
        <w:t> </w:t>
      </w:r>
      <w:r w:rsidRPr="00CF2B96">
        <w:t>Brendenwood’s WTP consists of one well at a rated pumping capacity of 150 gpm. The utility’s water system does not have a storage tank, but has one hydropneumatic tank totaling 3,000 gallons in capacity. The distribution system is composed of approximately 3,550 feet of 2 inch and 3,350 feet of 4 inch polyvinyl chloride pipes.</w:t>
      </w:r>
    </w:p>
    <w:p w:rsidR="00C42B27" w:rsidRPr="00CF2B96" w:rsidRDefault="00C42B27" w:rsidP="00C42B27">
      <w:pPr>
        <w:jc w:val="both"/>
        <w:rPr>
          <w:rFonts w:ascii="Arial" w:hAnsi="Arial" w:cs="Arial"/>
          <w:b/>
        </w:rPr>
      </w:pPr>
      <w:r w:rsidRPr="00CF2B96">
        <w:rPr>
          <w:rFonts w:ascii="Arial" w:hAnsi="Arial" w:cs="Arial"/>
          <w:b/>
        </w:rPr>
        <w:t>Water Treatment Plant Used &amp; Useful</w:t>
      </w:r>
    </w:p>
    <w:p w:rsidR="00C42B27" w:rsidRPr="00CF2B96" w:rsidRDefault="00C42B27" w:rsidP="00C42B27">
      <w:pPr>
        <w:spacing w:after="240"/>
        <w:jc w:val="both"/>
      </w:pPr>
      <w:r w:rsidRPr="00CF2B96">
        <w:t>Rule 25-30.4325(4), F.A.C., states that a water treatment system is considered 100 percent used and useful if the service territory the system is designed to serve is built out and there is no apparent potential for expansion of the service territory or the system is served by a single well. The utility has shown no growth in customers and appears to be built out. Brendenwood is also served by a single well. Further, in the utility’s previous rate case, the Commission deemed the water treatment plant 100 percent U&amp;U.</w:t>
      </w:r>
    </w:p>
    <w:p w:rsidR="00C42B27" w:rsidRPr="00CF2B96" w:rsidRDefault="00C42B27" w:rsidP="00C42B27">
      <w:pPr>
        <w:jc w:val="both"/>
        <w:rPr>
          <w:rFonts w:ascii="Arial" w:hAnsi="Arial" w:cs="Arial"/>
          <w:b/>
        </w:rPr>
      </w:pPr>
      <w:r w:rsidRPr="00CF2B96">
        <w:rPr>
          <w:rFonts w:ascii="Arial" w:hAnsi="Arial" w:cs="Arial"/>
          <w:b/>
        </w:rPr>
        <w:t>Water Distribution System Used and Useful</w:t>
      </w:r>
    </w:p>
    <w:p w:rsidR="00C42B27" w:rsidRPr="00CF2B96" w:rsidRDefault="00C42B27" w:rsidP="00C42B27">
      <w:pPr>
        <w:spacing w:after="240"/>
        <w:jc w:val="both"/>
      </w:pPr>
      <w:r w:rsidRPr="00CF2B96">
        <w:t>The water distribution system is evaluated based on ERCs consisting of growth, customer demand, and system capacity. During the test year, 59 customers were being served. The utility provided system maps that indicated there are only 59 lots in the development/service territory. Therefore, the service territory should be considered built out. The Commission previously deemed the U&amp;U of the distribution system as 100 percent. Considering all of the water mains are required to adequately serve the existing customers, and consistent with prior Commission practice, staff recommends the distribution system</w:t>
      </w:r>
      <w:r>
        <w:t xml:space="preserve"> be considered 100 percent U&amp;U.</w:t>
      </w:r>
    </w:p>
    <w:p w:rsidR="00C42B27" w:rsidRPr="00CF2B96" w:rsidRDefault="00C42B27" w:rsidP="00C42B27">
      <w:pPr>
        <w:jc w:val="both"/>
        <w:outlineLvl w:val="3"/>
        <w:rPr>
          <w:rFonts w:ascii="Arial" w:hAnsi="Arial" w:cs="Arial"/>
          <w:b/>
          <w:bCs/>
          <w:iCs/>
          <w:szCs w:val="28"/>
        </w:rPr>
      </w:pPr>
      <w:r w:rsidRPr="00CF2B96">
        <w:rPr>
          <w:rFonts w:ascii="Arial" w:hAnsi="Arial" w:cs="Arial"/>
          <w:b/>
          <w:bCs/>
          <w:iCs/>
          <w:szCs w:val="28"/>
        </w:rPr>
        <w:t>Excessive Unaccounted for Water</w:t>
      </w:r>
    </w:p>
    <w:p w:rsidR="00C42B27" w:rsidRPr="00CF2B96" w:rsidRDefault="00C42B27" w:rsidP="00C42B27">
      <w:pPr>
        <w:spacing w:after="240"/>
        <w:jc w:val="both"/>
      </w:pPr>
      <w:r w:rsidRPr="00CF2B96">
        <w:t>Rule 25-30.4325, F.A.C., additionally provides factors to be considered in determining whether adjustments to operating expenses are necessary for EUW. EUW is defined as "unaccounted for water in excess of 10 percent of the amount produced." Unaccounted for water is all water produced that is not sold, metered, or accounted for in the records of the utility. A review of the utility’s Monthly Operating Reports, 2020 Annual Report, and audited billing data indicate that Brendenwood treated 7,596,497 gallons and sold 6,895,000 gallons with 353,000 gallons used for flushing during the test year. The resulting calculation ([7,596,497 – 6,895,000 – 353,000]/ 7,596,497) for unaccounted for water is approximately 4.6 percent; the</w:t>
      </w:r>
      <w:r w:rsidR="007C3DBB">
        <w:t>refore, there is no EUW. Staff</w:t>
      </w:r>
      <w:r w:rsidRPr="00CF2B96">
        <w:t xml:space="preserve"> recommends that no adjustments should be made to purchased power and chemicals.</w:t>
      </w:r>
    </w:p>
    <w:p w:rsidR="00C42B27" w:rsidRPr="00CF2B96" w:rsidRDefault="00C42B27" w:rsidP="00C42B27">
      <w:pPr>
        <w:jc w:val="both"/>
        <w:rPr>
          <w:rFonts w:ascii="Arial" w:hAnsi="Arial" w:cs="Arial"/>
          <w:b/>
        </w:rPr>
      </w:pPr>
      <w:r w:rsidRPr="00CF2B96">
        <w:rPr>
          <w:rFonts w:ascii="Arial" w:hAnsi="Arial" w:cs="Arial"/>
          <w:b/>
        </w:rPr>
        <w:t xml:space="preserve">Conclusion </w:t>
      </w:r>
    </w:p>
    <w:p w:rsidR="00C42B27" w:rsidRDefault="00C42B27">
      <w:pPr>
        <w:pStyle w:val="IssueHeading"/>
        <w:rPr>
          <w:vanish/>
          <w:specVanish/>
        </w:rPr>
      </w:pPr>
      <w:r w:rsidRPr="00C42B27">
        <w:rPr>
          <w:rFonts w:ascii="Times New Roman" w:eastAsiaTheme="minorHAnsi" w:hAnsi="Times New Roman" w:cs="Times New Roman"/>
          <w:b w:val="0"/>
          <w:i w:val="0"/>
          <w:szCs w:val="22"/>
        </w:rPr>
        <w:t>Brendenwood’s WTP and water distribution system should both be considered 100 percent U&amp;U. Additionally, there appears to be no EUW; therefore, staff recommends that no adjustment be made to operating expenses for chemicals and purchased power.</w:t>
      </w:r>
      <w:r w:rsidRPr="004C3641">
        <w:rPr>
          <w:b w:val="0"/>
          <w:i w:val="0"/>
        </w:rPr>
        <w:br w:type="page"/>
      </w:r>
      <w:r w:rsidRPr="004C3641">
        <w:t xml:space="preserve">Issue </w:t>
      </w:r>
      <w:r w:rsidR="00E54EE3">
        <w:fldChar w:fldCharType="begin"/>
      </w:r>
      <w:r w:rsidR="00E54EE3">
        <w:instrText xml:space="preserve"> SEQ Issue \* MERGEFORMAT </w:instrText>
      </w:r>
      <w:r w:rsidR="00E54EE3">
        <w:fldChar w:fldCharType="separate"/>
      </w:r>
      <w:r w:rsidR="004D1728">
        <w:rPr>
          <w:noProof/>
        </w:rPr>
        <w:t>4</w:t>
      </w:r>
      <w:r w:rsidR="00E54EE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1" w:name="_Toc91658992"/>
      <w:r w:rsidR="004D1728">
        <w:rPr>
          <w:noProof/>
        </w:rPr>
        <w:instrText>4</w:instrText>
      </w:r>
      <w:r>
        <w:fldChar w:fldCharType="end"/>
      </w:r>
      <w:r>
        <w:tab/>
        <w:instrText>Test Year Rate Base</w:instrText>
      </w:r>
      <w:r w:rsidR="0071317B">
        <w:instrText xml:space="preserve"> </w:instrText>
      </w:r>
      <w:r w:rsidR="00DE430E">
        <w:instrText>(D. Brown, Richards)</w:instrText>
      </w:r>
      <w:bookmarkEnd w:id="21"/>
      <w:r>
        <w:instrText xml:space="preserve">" \l 1 </w:instrText>
      </w:r>
      <w:r>
        <w:fldChar w:fldCharType="end"/>
      </w:r>
      <w:r>
        <w:t> </w:t>
      </w:r>
    </w:p>
    <w:p w:rsidR="00C42B27" w:rsidRDefault="00C42B27">
      <w:pPr>
        <w:pStyle w:val="BodyText"/>
      </w:pPr>
      <w:r>
        <w:t> What is the appropriate average test year rate base for Brendenwood?</w:t>
      </w:r>
    </w:p>
    <w:p w:rsidR="00C42B27" w:rsidRPr="004C3641" w:rsidRDefault="00C42B27">
      <w:pPr>
        <w:pStyle w:val="IssueSubsectionHeading"/>
        <w:rPr>
          <w:vanish/>
          <w:specVanish/>
        </w:rPr>
      </w:pPr>
      <w:r w:rsidRPr="004C3641">
        <w:t>Recommendation: </w:t>
      </w:r>
    </w:p>
    <w:p w:rsidR="00C42B27" w:rsidRDefault="00C42B27">
      <w:pPr>
        <w:pStyle w:val="BodyText"/>
      </w:pPr>
      <w:r>
        <w:t> </w:t>
      </w:r>
      <w:r w:rsidRPr="004B2010">
        <w:t xml:space="preserve">The appropriate average test year rate base for Brendenwood is </w:t>
      </w:r>
      <w:r w:rsidRPr="000D385E">
        <w:t>$38,4</w:t>
      </w:r>
      <w:r>
        <w:t>4</w:t>
      </w:r>
      <w:r w:rsidRPr="000D385E">
        <w:t>7</w:t>
      </w:r>
      <w:r w:rsidRPr="004B2010">
        <w:t>.</w:t>
      </w:r>
      <w:r>
        <w:t xml:space="preserve"> (D. Brown, Richards)</w:t>
      </w:r>
    </w:p>
    <w:p w:rsidR="00C42B27" w:rsidRPr="004C3641" w:rsidRDefault="00C42B27">
      <w:pPr>
        <w:pStyle w:val="IssueSubsectionHeading"/>
        <w:rPr>
          <w:vanish/>
          <w:specVanish/>
        </w:rPr>
      </w:pPr>
      <w:r w:rsidRPr="004C3641">
        <w:t>Staff Analysis: </w:t>
      </w:r>
    </w:p>
    <w:p w:rsidR="00C42B27" w:rsidRPr="00BD2CEB" w:rsidRDefault="00C42B27" w:rsidP="00C42B27">
      <w:pPr>
        <w:spacing w:after="240"/>
        <w:jc w:val="both"/>
      </w:pPr>
      <w:r>
        <w:t> </w:t>
      </w:r>
      <w:r w:rsidRPr="00BD2CEB">
        <w:t xml:space="preserve">The appropriate components of the utility’s rate base include utility plant in service (UPIS), land, accumulated depreciation, contributions-in-aid-of-construction (CIAC), accumulated amortization of CIAC, and working capital. </w:t>
      </w:r>
      <w:r w:rsidRPr="00BD2CEB">
        <w:rPr>
          <w:rFonts w:eastAsiaTheme="minorHAnsi" w:cstheme="minorBidi"/>
          <w:szCs w:val="22"/>
        </w:rPr>
        <w:t>The utility’s rate base was established as part of its transfer proceeding, in Docket No. 20140120-WU.</w:t>
      </w:r>
      <w:r w:rsidRPr="00BD2CEB">
        <w:rPr>
          <w:rFonts w:eastAsiaTheme="minorHAnsi" w:cstheme="minorBidi"/>
          <w:szCs w:val="22"/>
          <w:vertAlign w:val="superscript"/>
        </w:rPr>
        <w:footnoteReference w:id="10"/>
      </w:r>
      <w:r w:rsidRPr="00BD2CEB">
        <w:t xml:space="preserve"> Staff selected the test year ended December 31, 2020</w:t>
      </w:r>
      <w:r w:rsidR="00D83783">
        <w:t>,</w:t>
      </w:r>
      <w:r w:rsidRPr="00BD2CEB">
        <w:t xml:space="preserve"> for the instant rate case. Commission audit staff determined that the utility's books and records are in compliance with the National Association of Regulatory Utility Commissioners' Uniform System of Accounts (NARUC USOA). A summary of each component and staff’s recommended adjustments are discussed below.</w:t>
      </w:r>
    </w:p>
    <w:p w:rsidR="00C42B27" w:rsidRPr="00BD2CEB" w:rsidRDefault="00C42B27" w:rsidP="00C42B27">
      <w:pPr>
        <w:jc w:val="both"/>
        <w:rPr>
          <w:rFonts w:ascii="Arial" w:hAnsi="Arial" w:cs="Arial"/>
          <w:b/>
        </w:rPr>
      </w:pPr>
      <w:r w:rsidRPr="00BD2CEB">
        <w:rPr>
          <w:rFonts w:ascii="Arial" w:hAnsi="Arial" w:cs="Arial"/>
          <w:b/>
        </w:rPr>
        <w:t>Utility Plant in Service (UPIS)</w:t>
      </w:r>
    </w:p>
    <w:p w:rsidR="00C42B27" w:rsidRPr="00BD2CEB" w:rsidRDefault="00C42B27" w:rsidP="00C42B27">
      <w:pPr>
        <w:jc w:val="both"/>
      </w:pPr>
      <w:r w:rsidRPr="00BD2CEB">
        <w:t>The utility recorded $48,200 for UPIS. Staff decreased UPIS by $28 to reflect an averaging adjustment. Therefore, staff recommends a UPIS balance of $48,172 ($48,200 - $28).</w:t>
      </w:r>
    </w:p>
    <w:p w:rsidR="00C42B27" w:rsidRPr="00BD2CEB" w:rsidRDefault="00C42B27" w:rsidP="00C42B27">
      <w:pPr>
        <w:jc w:val="both"/>
      </w:pPr>
    </w:p>
    <w:p w:rsidR="00C42B27" w:rsidRPr="00BD2CEB" w:rsidRDefault="00C42B27" w:rsidP="00C42B27">
      <w:pPr>
        <w:jc w:val="both"/>
        <w:rPr>
          <w:rFonts w:ascii="Arial" w:hAnsi="Arial" w:cs="Arial"/>
          <w:b/>
        </w:rPr>
      </w:pPr>
      <w:r w:rsidRPr="00BD2CEB">
        <w:rPr>
          <w:rFonts w:ascii="Arial" w:hAnsi="Arial" w:cs="Arial"/>
          <w:b/>
        </w:rPr>
        <w:t>Land &amp; Land Rights</w:t>
      </w:r>
    </w:p>
    <w:p w:rsidR="00C42B27" w:rsidRPr="00BD2CEB" w:rsidRDefault="00C42B27" w:rsidP="00C42B27">
      <w:pPr>
        <w:spacing w:after="240"/>
        <w:jc w:val="both"/>
      </w:pPr>
      <w:r w:rsidRPr="00BD2CEB">
        <w:t xml:space="preserve">The utility recorded a test year land value of $1,100. </w:t>
      </w:r>
      <w:r w:rsidRPr="00BD2CEB">
        <w:rPr>
          <w:rFonts w:eastAsiaTheme="minorHAnsi"/>
        </w:rPr>
        <w:t>The Commission approved a land balance of $1,100 in the utility's 2014 transfer docket.</w:t>
      </w:r>
      <w:r w:rsidRPr="00BD2CEB">
        <w:rPr>
          <w:rFonts w:eastAsiaTheme="minorHAnsi"/>
          <w:vertAlign w:val="superscript"/>
        </w:rPr>
        <w:footnoteReference w:id="11"/>
      </w:r>
      <w:r w:rsidRPr="00BD2CEB">
        <w:t xml:space="preserve"> There have been no additions to land since the transfer; therefore, no adjustments are necessary. Staff recommends a land and land rights balance of $1,100.</w:t>
      </w:r>
    </w:p>
    <w:p w:rsidR="00C42B27" w:rsidRPr="00BD2CEB" w:rsidRDefault="00C42B27" w:rsidP="00C42B27">
      <w:pPr>
        <w:jc w:val="both"/>
        <w:rPr>
          <w:rFonts w:ascii="Arial" w:hAnsi="Arial" w:cs="Arial"/>
          <w:b/>
        </w:rPr>
      </w:pPr>
      <w:r w:rsidRPr="00BD2CEB">
        <w:rPr>
          <w:rFonts w:ascii="Arial" w:hAnsi="Arial" w:cs="Arial"/>
          <w:b/>
        </w:rPr>
        <w:t>Used &amp; Useful</w:t>
      </w:r>
    </w:p>
    <w:p w:rsidR="00C42B27" w:rsidRPr="00BD2CEB" w:rsidRDefault="00C42B27" w:rsidP="00C42B27">
      <w:pPr>
        <w:jc w:val="both"/>
      </w:pPr>
      <w:r w:rsidRPr="00BD2CEB">
        <w:t>As discussed in Issue 3, Brendenwood’s WTP and distribution system are considered 100 percent U&amp;U. Therefore, no U&amp;U adjustments are necessary.</w:t>
      </w:r>
    </w:p>
    <w:p w:rsidR="00C42B27" w:rsidRPr="00BD2CEB" w:rsidRDefault="00C42B27" w:rsidP="00C42B27">
      <w:pPr>
        <w:jc w:val="both"/>
      </w:pPr>
    </w:p>
    <w:p w:rsidR="00C42B27" w:rsidRPr="00BD2CEB" w:rsidRDefault="00C42B27" w:rsidP="00C42B27">
      <w:pPr>
        <w:jc w:val="both"/>
        <w:rPr>
          <w:rFonts w:ascii="Arial" w:hAnsi="Arial" w:cs="Arial"/>
          <w:b/>
        </w:rPr>
      </w:pPr>
      <w:r w:rsidRPr="00BD2CEB">
        <w:rPr>
          <w:rFonts w:ascii="Arial" w:hAnsi="Arial" w:cs="Arial"/>
          <w:b/>
        </w:rPr>
        <w:t>Accumulated Depreciation</w:t>
      </w:r>
    </w:p>
    <w:p w:rsidR="00C42B27" w:rsidRPr="00BD2CEB" w:rsidRDefault="00C42B27" w:rsidP="00C42B27">
      <w:pPr>
        <w:jc w:val="both"/>
      </w:pPr>
      <w:r w:rsidRPr="00BD2CEB">
        <w:t>Brendenwood recorded an accumulated depreciation balance of $14,563. As a result of the staff audit, staff increased accumulated depreciation by $1,414 to reflect the recalculation of accumulated depreciation using audited UPIS plant balances. Staff decreased accumulated depreciation by $1,335 to reflect an adjustment to remove over depreciation of Account 320 – Water Treatment Equipment. Additionally, staff decreased accumulated depreciation by $365 to reflect an averaging adjustment. Staff's adjustments to this account result in a net decrease of $286 ($1,414 - $1,335 - $365). Therefore, staff recommends an accumulated depreciation balance of $14,277 ($14,563 - $286).</w:t>
      </w:r>
    </w:p>
    <w:p w:rsidR="00C42B27" w:rsidRPr="00BD2CEB" w:rsidRDefault="00C42B27" w:rsidP="00C42B27">
      <w:pPr>
        <w:jc w:val="both"/>
      </w:pPr>
    </w:p>
    <w:p w:rsidR="00C42B27" w:rsidRPr="00BD2CEB" w:rsidRDefault="00C42B27" w:rsidP="00C42B27">
      <w:pPr>
        <w:spacing w:line="276" w:lineRule="auto"/>
        <w:jc w:val="both"/>
        <w:rPr>
          <w:rFonts w:ascii="Arial" w:eastAsiaTheme="minorHAnsi" w:hAnsi="Arial" w:cs="Arial"/>
          <w:szCs w:val="22"/>
        </w:rPr>
      </w:pPr>
      <w:r w:rsidRPr="00BD2CEB">
        <w:rPr>
          <w:rFonts w:ascii="Arial" w:eastAsiaTheme="minorHAnsi" w:hAnsi="Arial" w:cs="Arial"/>
          <w:b/>
          <w:szCs w:val="22"/>
        </w:rPr>
        <w:t>Contributions in Aid of Construction (CIAC)</w:t>
      </w:r>
    </w:p>
    <w:p w:rsidR="00C42B27" w:rsidRPr="00BD2CEB" w:rsidRDefault="00C42B27" w:rsidP="00C42B27">
      <w:pPr>
        <w:jc w:val="both"/>
        <w:rPr>
          <w:rFonts w:eastAsiaTheme="minorHAnsi" w:cstheme="minorBidi"/>
          <w:szCs w:val="22"/>
        </w:rPr>
      </w:pPr>
      <w:r w:rsidRPr="00BD2CEB">
        <w:rPr>
          <w:rFonts w:eastAsiaTheme="minorHAnsi" w:cstheme="minorBidi"/>
          <w:szCs w:val="22"/>
        </w:rPr>
        <w:t>The utility recorded a test year CIAC balance of $1,577. The Commission approved a CIAC balance of $1,577 in the utility’s 2014 transfer docket.</w:t>
      </w:r>
      <w:r w:rsidRPr="00BD2CEB">
        <w:rPr>
          <w:rFonts w:eastAsiaTheme="minorHAnsi" w:cstheme="minorBidi"/>
          <w:szCs w:val="22"/>
          <w:vertAlign w:val="superscript"/>
        </w:rPr>
        <w:footnoteReference w:id="12"/>
      </w:r>
      <w:r w:rsidRPr="00BD2CEB">
        <w:rPr>
          <w:rFonts w:eastAsiaTheme="minorHAnsi" w:cstheme="minorBidi"/>
          <w:szCs w:val="22"/>
        </w:rPr>
        <w:t xml:space="preserve"> There have been no additions to CIAC since the transfer; therefore, no adjustments are necessary. Staff recommends a CIAC balance of $1,577. </w:t>
      </w:r>
    </w:p>
    <w:p w:rsidR="00C42B27" w:rsidRPr="00BD2CEB" w:rsidRDefault="00C42B27" w:rsidP="00C42B27">
      <w:pPr>
        <w:spacing w:line="276" w:lineRule="auto"/>
        <w:jc w:val="both"/>
        <w:rPr>
          <w:rFonts w:ascii="Arial" w:eastAsiaTheme="minorHAnsi" w:hAnsi="Arial" w:cs="Arial"/>
          <w:b/>
          <w:szCs w:val="22"/>
        </w:rPr>
      </w:pPr>
    </w:p>
    <w:p w:rsidR="00C42B27" w:rsidRPr="00BD2CEB" w:rsidRDefault="00C42B27" w:rsidP="00C42B27">
      <w:pPr>
        <w:jc w:val="both"/>
        <w:rPr>
          <w:rFonts w:ascii="Arial" w:eastAsiaTheme="minorHAnsi" w:hAnsi="Arial" w:cs="Arial"/>
          <w:b/>
          <w:szCs w:val="22"/>
        </w:rPr>
      </w:pPr>
      <w:r w:rsidRPr="00BD2CEB">
        <w:rPr>
          <w:rFonts w:ascii="Arial" w:eastAsiaTheme="minorHAnsi" w:hAnsi="Arial" w:cs="Arial"/>
          <w:b/>
          <w:szCs w:val="22"/>
        </w:rPr>
        <w:t>Accumulated Amortization of CIAC</w:t>
      </w:r>
    </w:p>
    <w:p w:rsidR="00C42B27" w:rsidRPr="00BD2CEB" w:rsidRDefault="00C42B27" w:rsidP="00C42B27">
      <w:pPr>
        <w:spacing w:after="240"/>
        <w:jc w:val="both"/>
      </w:pPr>
      <w:r w:rsidRPr="00BD2CEB">
        <w:rPr>
          <w:rFonts w:eastAsiaTheme="minorHAnsi" w:cstheme="minorBidi"/>
          <w:szCs w:val="22"/>
        </w:rPr>
        <w:t xml:space="preserve">Brendenwood recorded accumulated amortization of CIAC of $1,577. The Commission approved an accumulated amortization of CIAC balance of $1,577 in the utility’s 2014 </w:t>
      </w:r>
      <w:r w:rsidRPr="00BD2CEB">
        <w:rPr>
          <w:rFonts w:eastAsiaTheme="minorHAnsi"/>
        </w:rPr>
        <w:t>transfer docket.</w:t>
      </w:r>
      <w:r w:rsidRPr="00BD2CEB">
        <w:rPr>
          <w:rFonts w:eastAsiaTheme="minorHAnsi"/>
          <w:vertAlign w:val="superscript"/>
        </w:rPr>
        <w:footnoteReference w:id="13"/>
      </w:r>
      <w:r w:rsidRPr="00BD2CEB">
        <w:rPr>
          <w:rFonts w:eastAsiaTheme="minorHAnsi" w:cstheme="minorBidi"/>
          <w:szCs w:val="22"/>
        </w:rPr>
        <w:t xml:space="preserve"> There have been no additions to accumulated amortization of CIAC since the transfer; therefore, no adjustments are necessary. Staff recommends an accumulated amortization CIAC balance of $1,577.</w:t>
      </w:r>
      <w:r w:rsidRPr="00BD2CEB">
        <w:t xml:space="preserve"> </w:t>
      </w:r>
    </w:p>
    <w:p w:rsidR="00C42B27" w:rsidRPr="00BD2CEB" w:rsidRDefault="00C42B27" w:rsidP="00C42B27">
      <w:pPr>
        <w:jc w:val="both"/>
        <w:rPr>
          <w:rFonts w:ascii="Arial" w:hAnsi="Arial" w:cs="Arial"/>
          <w:b/>
        </w:rPr>
      </w:pPr>
      <w:r w:rsidRPr="00BD2CEB">
        <w:rPr>
          <w:rFonts w:ascii="Arial" w:hAnsi="Arial" w:cs="Arial"/>
          <w:b/>
        </w:rPr>
        <w:t>Working Capital Allowance</w:t>
      </w:r>
    </w:p>
    <w:p w:rsidR="00C42B27" w:rsidRPr="00BD2CEB" w:rsidRDefault="00C42B27" w:rsidP="00C42B27">
      <w:pPr>
        <w:spacing w:after="240"/>
        <w:jc w:val="both"/>
      </w:pPr>
      <w:r w:rsidRPr="00BD2CEB">
        <w:t>Working capital is defined as the short-term investor-supplied funds that are necessary to meet operating expenses. Consistent with Rule 25-30.433(3), F.A.C., staff used one-eighth of the operation and maintenance expense (less rate case expense) formula for calculating the working capital allowance. Section 367.081(9), F.S., prohibits a utility from earning a return on the unamortized balance of rate case expense. As such, staff removed the rate case expense balance of $288 for this calculation resulting in an adjusted O&amp;M expense balance of $27,614 ($27,902 - $288). Applying this formula, staff recommends a working capital allowance of $3,452 ($27,614 ÷ 8).</w:t>
      </w:r>
    </w:p>
    <w:p w:rsidR="00C42B27" w:rsidRPr="00BD2CEB" w:rsidRDefault="00C42B27" w:rsidP="00C42B27">
      <w:pPr>
        <w:jc w:val="both"/>
        <w:rPr>
          <w:rFonts w:ascii="Arial" w:hAnsi="Arial" w:cs="Arial"/>
          <w:b/>
        </w:rPr>
      </w:pPr>
      <w:r w:rsidRPr="00BD2CEB">
        <w:rPr>
          <w:rFonts w:ascii="Arial" w:hAnsi="Arial" w:cs="Arial"/>
          <w:b/>
        </w:rPr>
        <w:t>Rate Base Summary</w:t>
      </w:r>
    </w:p>
    <w:p w:rsidR="00C42B27" w:rsidRDefault="00C42B27" w:rsidP="00C42B27">
      <w:pPr>
        <w:pStyle w:val="BodyText"/>
      </w:pPr>
      <w:r w:rsidRPr="00BD2CEB">
        <w:t>Based on the foregoing, staff recommends that the appropriate average test year rate base is $38,447. Rate base is shown on Schedule No. 1-A. The related adjustments are shown on Schedule No. 1-B.</w:t>
      </w:r>
    </w:p>
    <w:p w:rsidR="00C42B27" w:rsidRDefault="00C42B27">
      <w:pPr>
        <w:pStyle w:val="IssueHeading"/>
        <w:rPr>
          <w:vanish/>
          <w:specVanish/>
        </w:rPr>
      </w:pPr>
      <w:r w:rsidRPr="004C3641">
        <w:rPr>
          <w:b w:val="0"/>
          <w:i w:val="0"/>
        </w:rPr>
        <w:br w:type="page"/>
      </w:r>
      <w:r w:rsidRPr="004C3641">
        <w:t xml:space="preserve">Issue </w:t>
      </w:r>
      <w:r w:rsidR="00E54EE3">
        <w:fldChar w:fldCharType="begin"/>
      </w:r>
      <w:r w:rsidR="00E54EE3">
        <w:instrText xml:space="preserve"> SEQ Issue \* MERGEFORMAT </w:instrText>
      </w:r>
      <w:r w:rsidR="00E54EE3">
        <w:fldChar w:fldCharType="separate"/>
      </w:r>
      <w:r w:rsidR="004D1728">
        <w:rPr>
          <w:noProof/>
        </w:rPr>
        <w:t>5</w:t>
      </w:r>
      <w:r w:rsidR="00E54EE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2" w:name="_Toc91658993"/>
      <w:r w:rsidR="004D1728">
        <w:rPr>
          <w:noProof/>
        </w:rPr>
        <w:instrText>5</w:instrText>
      </w:r>
      <w:r>
        <w:fldChar w:fldCharType="end"/>
      </w:r>
      <w:r>
        <w:tab/>
        <w:instrText>Rate of Return</w:instrText>
      </w:r>
      <w:r w:rsidR="0071317B">
        <w:instrText xml:space="preserve"> </w:instrText>
      </w:r>
      <w:r>
        <w:instrText>(D. Brown, Richards)</w:instrText>
      </w:r>
      <w:bookmarkEnd w:id="22"/>
      <w:r>
        <w:instrText xml:space="preserve">" \l 1 </w:instrText>
      </w:r>
      <w:r>
        <w:fldChar w:fldCharType="end"/>
      </w:r>
      <w:r>
        <w:t> </w:t>
      </w:r>
    </w:p>
    <w:p w:rsidR="00C42B27" w:rsidRDefault="00C42B27">
      <w:pPr>
        <w:pStyle w:val="BodyText"/>
      </w:pPr>
      <w:r>
        <w:t> What is the appropriate return on equity and overall rate of return for Brendenwood?</w:t>
      </w:r>
    </w:p>
    <w:p w:rsidR="00C42B27" w:rsidRPr="004C3641" w:rsidRDefault="00C42B27">
      <w:pPr>
        <w:pStyle w:val="IssueSubsectionHeading"/>
        <w:rPr>
          <w:vanish/>
          <w:specVanish/>
        </w:rPr>
      </w:pPr>
      <w:r w:rsidRPr="004C3641">
        <w:t>Recommendation: </w:t>
      </w:r>
    </w:p>
    <w:p w:rsidR="00C42B27" w:rsidRDefault="00C42B27">
      <w:pPr>
        <w:pStyle w:val="BodyText"/>
      </w:pPr>
      <w:r>
        <w:t> </w:t>
      </w:r>
      <w:r w:rsidRPr="003E5869">
        <w:t>The appropriate return on equity (ROE) is 7.85 percent with a range of 6.85 percent to 8.85 percent. The appropriate overall rate of return is 7.85 percent.</w:t>
      </w:r>
      <w:r>
        <w:t xml:space="preserve"> (D. Brown, Richards)</w:t>
      </w:r>
    </w:p>
    <w:p w:rsidR="00C42B27" w:rsidRPr="004C3641" w:rsidRDefault="00C42B27">
      <w:pPr>
        <w:pStyle w:val="IssueSubsectionHeading"/>
        <w:rPr>
          <w:vanish/>
          <w:specVanish/>
        </w:rPr>
      </w:pPr>
      <w:r w:rsidRPr="004C3641">
        <w:t>Staff Analysis: </w:t>
      </w:r>
    </w:p>
    <w:p w:rsidR="00C42B27" w:rsidRPr="00BD2CEB" w:rsidRDefault="00C42B27" w:rsidP="00C42B27">
      <w:pPr>
        <w:spacing w:after="240"/>
        <w:jc w:val="both"/>
        <w:rPr>
          <w:rFonts w:eastAsiaTheme="minorHAnsi" w:cstheme="minorBidi"/>
          <w:szCs w:val="22"/>
        </w:rPr>
      </w:pPr>
      <w:r>
        <w:t> </w:t>
      </w:r>
      <w:r w:rsidRPr="00BD2CEB">
        <w:rPr>
          <w:rFonts w:eastAsiaTheme="minorHAnsi" w:cstheme="minorBidi"/>
          <w:szCs w:val="22"/>
        </w:rPr>
        <w:t xml:space="preserve">Brendenwood’s reported capital structure consists of $30,645 in common equity. The utility has no customer deposits. </w:t>
      </w:r>
    </w:p>
    <w:p w:rsidR="00C42B27" w:rsidRDefault="00C42B27" w:rsidP="00C42B27">
      <w:pPr>
        <w:pStyle w:val="BodyText"/>
      </w:pPr>
      <w:r w:rsidRPr="00BD2CEB">
        <w:rPr>
          <w:rFonts w:eastAsiaTheme="minorHAnsi" w:cstheme="minorBidi"/>
          <w:szCs w:val="22"/>
        </w:rPr>
        <w:t>The utility’s capital structure has been reconciled with staff’s recommended rate base. The appropriate ROE is 7.85 percent based upon the Commission-approved leverage formula currently in effect.</w:t>
      </w:r>
      <w:r w:rsidRPr="00BD2CEB">
        <w:rPr>
          <w:rFonts w:eastAsiaTheme="minorHAnsi" w:cstheme="minorBidi"/>
          <w:szCs w:val="22"/>
          <w:vertAlign w:val="superscript"/>
        </w:rPr>
        <w:footnoteReference w:id="14"/>
      </w:r>
      <w:r w:rsidRPr="00BD2CEB">
        <w:rPr>
          <w:rFonts w:eastAsiaTheme="minorHAnsi" w:cstheme="minorBidi"/>
          <w:szCs w:val="22"/>
        </w:rPr>
        <w:t xml:space="preserve"> Staff recommends a ROE of 7.85 percent, with a range of 6.85 percent to 8.85 percent, and an overall rate of return of 7.85 percent. The ROE and overall rate of return are shown on Schedule No. 2.</w:t>
      </w:r>
    </w:p>
    <w:p w:rsidR="00AC18AE" w:rsidRDefault="00AC18AE">
      <w:pPr>
        <w:pStyle w:val="IssueHeading"/>
        <w:rPr>
          <w:vanish/>
          <w:specVanish/>
        </w:rPr>
      </w:pPr>
      <w:r w:rsidRPr="004C3641">
        <w:rPr>
          <w:b w:val="0"/>
          <w:i w:val="0"/>
        </w:rPr>
        <w:br w:type="page"/>
      </w:r>
      <w:r w:rsidRPr="004C3641">
        <w:t xml:space="preserve">Issue </w:t>
      </w:r>
      <w:r w:rsidR="00E54EE3">
        <w:fldChar w:fldCharType="begin"/>
      </w:r>
      <w:r w:rsidR="00E54EE3">
        <w:instrText xml:space="preserve"> SE</w:instrText>
      </w:r>
      <w:r w:rsidR="00E54EE3">
        <w:instrText xml:space="preserve">Q Issue \* MERGEFORMAT </w:instrText>
      </w:r>
      <w:r w:rsidR="00E54EE3">
        <w:fldChar w:fldCharType="separate"/>
      </w:r>
      <w:r w:rsidR="004D1728">
        <w:rPr>
          <w:noProof/>
        </w:rPr>
        <w:t>6</w:t>
      </w:r>
      <w:r w:rsidR="00E54EE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3" w:name="_Toc91658994"/>
      <w:r w:rsidR="004D1728">
        <w:rPr>
          <w:noProof/>
        </w:rPr>
        <w:instrText>6</w:instrText>
      </w:r>
      <w:r>
        <w:fldChar w:fldCharType="end"/>
      </w:r>
      <w:r>
        <w:tab/>
        <w:instrText>Test Year Revenues</w:instrText>
      </w:r>
      <w:r w:rsidR="0071317B">
        <w:instrText xml:space="preserve"> </w:instrText>
      </w:r>
      <w:r>
        <w:instrText>(Bethea)</w:instrText>
      </w:r>
      <w:bookmarkEnd w:id="23"/>
      <w:r>
        <w:instrText xml:space="preserve">" \l 1 </w:instrText>
      </w:r>
      <w:r>
        <w:fldChar w:fldCharType="end"/>
      </w:r>
      <w:r>
        <w:t> </w:t>
      </w:r>
    </w:p>
    <w:p w:rsidR="00AC18AE" w:rsidRDefault="00AC18AE">
      <w:pPr>
        <w:pStyle w:val="BodyText"/>
      </w:pPr>
      <w:r>
        <w:t> What are the appropriate amount of test year revenues for Brendenwood's water system?</w:t>
      </w:r>
    </w:p>
    <w:p w:rsidR="00AC18AE" w:rsidRPr="004C3641" w:rsidRDefault="00AC18AE">
      <w:pPr>
        <w:pStyle w:val="IssueSubsectionHeading"/>
        <w:rPr>
          <w:vanish/>
          <w:specVanish/>
        </w:rPr>
      </w:pPr>
      <w:r w:rsidRPr="004C3641">
        <w:t>Recommendation: </w:t>
      </w:r>
    </w:p>
    <w:p w:rsidR="00AC18AE" w:rsidRDefault="00AC18AE">
      <w:pPr>
        <w:pStyle w:val="BodyText"/>
      </w:pPr>
      <w:r>
        <w:t> </w:t>
      </w:r>
      <w:r w:rsidRPr="00A23392">
        <w:t xml:space="preserve">The appropriate test year revenues for </w:t>
      </w:r>
      <w:r>
        <w:t>Brenden</w:t>
      </w:r>
      <w:r w:rsidRPr="00A23392">
        <w:t>wood’s water system are $29,939.</w:t>
      </w:r>
      <w:r>
        <w:t xml:space="preserve"> (Bethea)</w:t>
      </w:r>
    </w:p>
    <w:p w:rsidR="00AC18AE" w:rsidRPr="004C3641" w:rsidRDefault="00AC18AE">
      <w:pPr>
        <w:pStyle w:val="IssueSubsectionHeading"/>
        <w:rPr>
          <w:vanish/>
          <w:specVanish/>
        </w:rPr>
      </w:pPr>
      <w:r w:rsidRPr="004C3641">
        <w:t>Staff Analysis: </w:t>
      </w:r>
    </w:p>
    <w:p w:rsidR="00AC18AE" w:rsidRDefault="00AC18AE">
      <w:pPr>
        <w:pStyle w:val="BodyText"/>
      </w:pPr>
      <w:r>
        <w:t> </w:t>
      </w:r>
      <w:r w:rsidRPr="00A23392">
        <w:t>Brende</w:t>
      </w:r>
      <w:r>
        <w:t>n</w:t>
      </w:r>
      <w:r w:rsidRPr="00A23392">
        <w:t>wood recorded test year revenues of $28,510. The water revenues included $27,951 of service revenues and $559 of miscellaneous revenues. Staff annualized service revenues by applying the number of billing determinants to the rates in effect as of June 9, 2019. As a result, staff determined that service revenues should be $29,</w:t>
      </w:r>
      <w:r>
        <w:t>380</w:t>
      </w:r>
      <w:r w:rsidRPr="00A23392">
        <w:t>, which is an increase of $1,429. Staff determined that miscellaneous revenues should be $559. Based on the above, the appropriate test year revenues for Brendenwood water system, including miscellaneous revenues are $29,939 ($29,380 +</w:t>
      </w:r>
      <w:r w:rsidR="00084858">
        <w:t xml:space="preserve"> </w:t>
      </w:r>
      <w:r w:rsidRPr="00A23392">
        <w:t>$559).</w:t>
      </w:r>
    </w:p>
    <w:p w:rsidR="00AC18AE" w:rsidRDefault="00AC18AE">
      <w:pPr>
        <w:pStyle w:val="IssueHeading"/>
        <w:rPr>
          <w:vanish/>
          <w:specVanish/>
        </w:rPr>
      </w:pPr>
      <w:r w:rsidRPr="004C3641">
        <w:rPr>
          <w:b w:val="0"/>
          <w:i w:val="0"/>
        </w:rPr>
        <w:br w:type="page"/>
      </w:r>
      <w:r w:rsidRPr="004C3641">
        <w:t xml:space="preserve">Issue </w:t>
      </w:r>
      <w:r w:rsidR="00E54EE3">
        <w:fldChar w:fldCharType="begin"/>
      </w:r>
      <w:r w:rsidR="00E54EE3">
        <w:instrText xml:space="preserve"> SEQ Issue \* MERGEFORMAT </w:instrText>
      </w:r>
      <w:r w:rsidR="00E54EE3">
        <w:fldChar w:fldCharType="separate"/>
      </w:r>
      <w:r w:rsidR="004D1728">
        <w:rPr>
          <w:noProof/>
        </w:rPr>
        <w:t>7</w:t>
      </w:r>
      <w:r w:rsidR="00E54EE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4" w:name="_Toc91658995"/>
      <w:r w:rsidR="004D1728">
        <w:rPr>
          <w:noProof/>
        </w:rPr>
        <w:instrText>7</w:instrText>
      </w:r>
      <w:r>
        <w:fldChar w:fldCharType="end"/>
      </w:r>
      <w:r>
        <w:tab/>
        <w:instrText>Operating Expenses</w:instrText>
      </w:r>
      <w:r w:rsidR="0071317B">
        <w:instrText xml:space="preserve"> </w:instrText>
      </w:r>
      <w:r>
        <w:instrText>(D. Brown, Richards)</w:instrText>
      </w:r>
      <w:bookmarkEnd w:id="24"/>
      <w:r>
        <w:instrText xml:space="preserve">" \l 1 </w:instrText>
      </w:r>
      <w:r>
        <w:fldChar w:fldCharType="end"/>
      </w:r>
      <w:r>
        <w:t> </w:t>
      </w:r>
    </w:p>
    <w:p w:rsidR="00AC18AE" w:rsidRDefault="00AC18AE">
      <w:pPr>
        <w:pStyle w:val="BodyText"/>
      </w:pPr>
      <w:r>
        <w:t> What is the appropriate test year operating expense for Brendenwood?</w:t>
      </w:r>
    </w:p>
    <w:p w:rsidR="00AC18AE" w:rsidRPr="004C3641" w:rsidRDefault="00AC18AE">
      <w:pPr>
        <w:pStyle w:val="IssueSubsectionHeading"/>
        <w:rPr>
          <w:vanish/>
          <w:specVanish/>
        </w:rPr>
      </w:pPr>
      <w:r w:rsidRPr="004C3641">
        <w:t>Recommendation: </w:t>
      </w:r>
    </w:p>
    <w:p w:rsidR="00AC18AE" w:rsidRDefault="00AC18AE">
      <w:pPr>
        <w:pStyle w:val="BodyText"/>
      </w:pPr>
      <w:r>
        <w:t> </w:t>
      </w:r>
      <w:r w:rsidRPr="00A91A01">
        <w:t xml:space="preserve">The appropriate amount of operating expense for Brendenwood is </w:t>
      </w:r>
      <w:r w:rsidRPr="000D385E">
        <w:t>$32,0</w:t>
      </w:r>
      <w:r>
        <w:t>34</w:t>
      </w:r>
      <w:r w:rsidRPr="00A91A01">
        <w:t>.</w:t>
      </w:r>
      <w:r>
        <w:t xml:space="preserve"> (D. Brown, Richards)</w:t>
      </w:r>
    </w:p>
    <w:p w:rsidR="00AC18AE" w:rsidRPr="004C3641" w:rsidRDefault="00AC18AE">
      <w:pPr>
        <w:pStyle w:val="IssueSubsectionHeading"/>
        <w:rPr>
          <w:vanish/>
          <w:specVanish/>
        </w:rPr>
      </w:pPr>
      <w:r w:rsidRPr="004C3641">
        <w:t>Staff Analysis: </w:t>
      </w:r>
    </w:p>
    <w:p w:rsidR="00AC18AE" w:rsidRPr="00BD2CEB" w:rsidRDefault="00AC18AE" w:rsidP="00AC18AE">
      <w:pPr>
        <w:jc w:val="both"/>
        <w:rPr>
          <w:rFonts w:eastAsiaTheme="minorHAnsi" w:cstheme="minorBidi"/>
          <w:szCs w:val="22"/>
        </w:rPr>
      </w:pPr>
      <w:r>
        <w:t> </w:t>
      </w:r>
      <w:r w:rsidRPr="00BD2CEB">
        <w:rPr>
          <w:rFonts w:eastAsiaTheme="minorHAnsi" w:cstheme="minorBidi"/>
          <w:szCs w:val="22"/>
        </w:rPr>
        <w:t>The utility recorded operating expense of $31,679. The test year operation and maintenance (O&amp;M) expenses have been reviewed by staff, including invoices and other supporting documentation. Staff has made several adjustments to the utility’s operating expenses as discussed below.</w:t>
      </w:r>
    </w:p>
    <w:p w:rsidR="00AC18AE" w:rsidRPr="00BD2CEB" w:rsidRDefault="00AC18AE" w:rsidP="00AC18AE">
      <w:pPr>
        <w:jc w:val="both"/>
        <w:rPr>
          <w:rFonts w:eastAsiaTheme="minorHAnsi" w:cstheme="minorBidi"/>
          <w:szCs w:val="22"/>
        </w:rPr>
      </w:pPr>
    </w:p>
    <w:p w:rsidR="00AC18AE" w:rsidRPr="00BD2CEB" w:rsidRDefault="00AC18AE" w:rsidP="00AC18AE">
      <w:pPr>
        <w:jc w:val="both"/>
        <w:rPr>
          <w:rFonts w:ascii="Arial" w:eastAsiaTheme="minorHAnsi" w:hAnsi="Arial" w:cs="Arial"/>
          <w:szCs w:val="22"/>
        </w:rPr>
      </w:pPr>
      <w:r w:rsidRPr="00BD2CEB">
        <w:rPr>
          <w:rFonts w:ascii="Arial" w:eastAsiaTheme="minorHAnsi" w:hAnsi="Arial" w:cs="Arial"/>
          <w:b/>
          <w:szCs w:val="22"/>
        </w:rPr>
        <w:t>Operation and Maintenance Expenses</w:t>
      </w:r>
    </w:p>
    <w:p w:rsidR="00AC18AE" w:rsidRPr="00BD2CEB" w:rsidRDefault="00AC18AE" w:rsidP="00AC18AE">
      <w:pPr>
        <w:jc w:val="both"/>
        <w:rPr>
          <w:rFonts w:eastAsiaTheme="minorHAnsi" w:cstheme="minorBidi"/>
          <w:color w:val="FF0000"/>
          <w:szCs w:val="22"/>
        </w:rPr>
      </w:pPr>
      <w:r w:rsidRPr="00BD2CEB">
        <w:rPr>
          <w:rFonts w:eastAsiaTheme="minorHAnsi" w:cstheme="minorBidi"/>
          <w:color w:val="FF0000"/>
          <w:szCs w:val="22"/>
        </w:rPr>
        <w:tab/>
      </w:r>
    </w:p>
    <w:p w:rsidR="00AC18AE" w:rsidRPr="00BD2CEB" w:rsidRDefault="00AC18AE" w:rsidP="00AC18AE">
      <w:pPr>
        <w:jc w:val="both"/>
        <w:rPr>
          <w:rFonts w:ascii="Arial" w:eastAsia="Arial" w:hAnsi="Arial" w:cs="Arial"/>
        </w:rPr>
      </w:pPr>
      <w:r w:rsidRPr="00BD2CEB">
        <w:rPr>
          <w:color w:val="FF0000"/>
        </w:rPr>
        <w:tab/>
      </w:r>
      <w:r w:rsidRPr="00BD2CEB">
        <w:rPr>
          <w:rFonts w:ascii="Arial" w:eastAsia="Arial" w:hAnsi="Arial" w:cs="Arial"/>
          <w:b/>
          <w:i/>
        </w:rPr>
        <w:t>Salaries and Wages – Officers and Directors (603)</w:t>
      </w:r>
    </w:p>
    <w:p w:rsidR="00AC18AE" w:rsidRPr="00BD2CEB" w:rsidRDefault="00AC18AE" w:rsidP="00AC18AE">
      <w:pPr>
        <w:autoSpaceDE w:val="0"/>
        <w:autoSpaceDN w:val="0"/>
        <w:adjustRightInd w:val="0"/>
        <w:jc w:val="both"/>
      </w:pPr>
      <w:r w:rsidRPr="00BD2CEB">
        <w:t xml:space="preserve">The utility recorded salaries and wages expense for officers and directors of $2,650. </w:t>
      </w:r>
      <w:r w:rsidRPr="00BD2CEB">
        <w:rPr>
          <w:rFonts w:eastAsiaTheme="minorHAnsi"/>
        </w:rPr>
        <w:t xml:space="preserve">According to the utility's 2020 Annual Report, Brendenwood's officers also include an accounting manager who does not receive a salary. In response to audit staff, the utility indicated that the president only receives compensation through distribution of retained earnings if there are any net operating profits from operations that are not used for continuing operations or capital improvements. </w:t>
      </w:r>
      <w:r w:rsidRPr="00BD2CEB">
        <w:t>Staff made no adjustments, and therefore recommends salaries and wages expense for officers and directors of $2,650.</w:t>
      </w:r>
    </w:p>
    <w:p w:rsidR="00AC18AE" w:rsidRPr="00BD2CEB" w:rsidRDefault="00AC18AE" w:rsidP="00AC18AE">
      <w:pPr>
        <w:autoSpaceDE w:val="0"/>
        <w:autoSpaceDN w:val="0"/>
        <w:adjustRightInd w:val="0"/>
        <w:jc w:val="both"/>
      </w:pPr>
    </w:p>
    <w:p w:rsidR="00AC18AE" w:rsidRPr="00BD2CEB" w:rsidRDefault="00AC18AE" w:rsidP="00AC18AE">
      <w:pPr>
        <w:jc w:val="both"/>
        <w:rPr>
          <w:rFonts w:ascii="Arial" w:eastAsia="Arial" w:hAnsi="Arial" w:cs="Arial"/>
        </w:rPr>
      </w:pPr>
      <w:r w:rsidRPr="00BD2CEB">
        <w:rPr>
          <w:color w:val="FF0000"/>
        </w:rPr>
        <w:tab/>
      </w:r>
      <w:r w:rsidRPr="00BD2CEB">
        <w:rPr>
          <w:rFonts w:ascii="Arial" w:eastAsia="Arial" w:hAnsi="Arial" w:cs="Arial"/>
          <w:b/>
          <w:i/>
        </w:rPr>
        <w:t>Purchased Power (615)</w:t>
      </w:r>
    </w:p>
    <w:p w:rsidR="00AC18AE" w:rsidRPr="00BD2CEB" w:rsidRDefault="00AC18AE" w:rsidP="00AC18AE">
      <w:pPr>
        <w:spacing w:after="240"/>
        <w:jc w:val="both"/>
      </w:pPr>
      <w:r w:rsidRPr="00BD2CEB">
        <w:t xml:space="preserve">Brendenwood recorded purchased power expense of $1,878. </w:t>
      </w:r>
      <w:r w:rsidRPr="00BD2CEB">
        <w:rPr>
          <w:rFonts w:eastAsiaTheme="minorHAnsi" w:cstheme="minorBidi"/>
          <w:szCs w:val="22"/>
        </w:rPr>
        <w:t xml:space="preserve">Supporting documentation confirming the purchased power expense was provided and reviewed by staff. </w:t>
      </w:r>
      <w:r w:rsidRPr="00BD2CEB">
        <w:t>Staff made no adjustments, and therefore recommends purchased power expense of $1,878.</w:t>
      </w:r>
    </w:p>
    <w:p w:rsidR="00AC18AE" w:rsidRPr="00BD2CEB" w:rsidRDefault="00AC18AE" w:rsidP="00AC18AE">
      <w:pPr>
        <w:jc w:val="both"/>
        <w:rPr>
          <w:rFonts w:ascii="Arial" w:eastAsia="Arial" w:hAnsi="Arial" w:cs="Arial"/>
        </w:rPr>
      </w:pPr>
      <w:r w:rsidRPr="00BD2CEB">
        <w:rPr>
          <w:color w:val="FF0000"/>
        </w:rPr>
        <w:tab/>
      </w:r>
      <w:r w:rsidRPr="00BD2CEB">
        <w:rPr>
          <w:rFonts w:ascii="Arial" w:eastAsia="Arial" w:hAnsi="Arial" w:cs="Arial"/>
          <w:b/>
          <w:i/>
        </w:rPr>
        <w:t>Chemicals (618)</w:t>
      </w:r>
    </w:p>
    <w:p w:rsidR="00AC18AE" w:rsidRPr="00BD2CEB" w:rsidRDefault="00AC18AE" w:rsidP="00AC18AE">
      <w:pPr>
        <w:jc w:val="both"/>
        <w:rPr>
          <w:color w:val="FF0000"/>
        </w:rPr>
      </w:pPr>
      <w:r w:rsidRPr="00BD2CEB">
        <w:t xml:space="preserve">The utility recorded chemicals expense of $182. </w:t>
      </w:r>
      <w:r w:rsidRPr="00BD2CEB">
        <w:rPr>
          <w:rFonts w:eastAsiaTheme="minorHAnsi" w:cstheme="minorBidi"/>
          <w:szCs w:val="22"/>
        </w:rPr>
        <w:t xml:space="preserve">Supporting documentation confirming the chemicals expense was provided and reviewed by staff. </w:t>
      </w:r>
      <w:r w:rsidRPr="00BD2CEB">
        <w:t>Staff made no adjustments, and therefore recommends chemicals expense of $182.</w:t>
      </w:r>
    </w:p>
    <w:p w:rsidR="00AC18AE" w:rsidRPr="00BD2CEB" w:rsidRDefault="00AC18AE" w:rsidP="00AC18AE">
      <w:pPr>
        <w:jc w:val="both"/>
        <w:rPr>
          <w:color w:val="FF0000"/>
        </w:rPr>
      </w:pPr>
    </w:p>
    <w:p w:rsidR="00AC18AE" w:rsidRPr="00BD2CEB" w:rsidRDefault="00AC18AE" w:rsidP="00AC18AE">
      <w:pPr>
        <w:ind w:firstLine="720"/>
        <w:jc w:val="both"/>
        <w:rPr>
          <w:rFonts w:ascii="Arial" w:eastAsia="Arial" w:hAnsi="Arial" w:cs="Arial"/>
          <w:b/>
          <w:i/>
        </w:rPr>
      </w:pPr>
      <w:r w:rsidRPr="00BD2CEB">
        <w:rPr>
          <w:rFonts w:ascii="Arial" w:eastAsia="Arial" w:hAnsi="Arial" w:cs="Arial"/>
          <w:b/>
          <w:i/>
        </w:rPr>
        <w:t>Contractual Services – Accounting (632)</w:t>
      </w:r>
    </w:p>
    <w:p w:rsidR="00AC18AE" w:rsidRPr="00BD2CEB" w:rsidRDefault="00AC18AE" w:rsidP="00AC18AE">
      <w:pPr>
        <w:jc w:val="both"/>
        <w:rPr>
          <w:color w:val="FF0000"/>
        </w:rPr>
      </w:pPr>
      <w:r w:rsidRPr="00BD2CEB">
        <w:t xml:space="preserve">Brendenwood recorded contractual services - accounting expense of $400. </w:t>
      </w:r>
      <w:r w:rsidRPr="00BD2CEB">
        <w:rPr>
          <w:rFonts w:eastAsiaTheme="minorHAnsi" w:cstheme="minorBidi"/>
          <w:szCs w:val="22"/>
        </w:rPr>
        <w:t xml:space="preserve">Supporting documentation confirming the accounting expense was for preparing and filing the 2019 corporate tax return was provided. </w:t>
      </w:r>
      <w:r w:rsidRPr="00BD2CEB">
        <w:t>Staff made no adjustments, and therefore recommends contractual services - accounting expense of $400.</w:t>
      </w:r>
    </w:p>
    <w:p w:rsidR="00AC18AE" w:rsidRPr="00BD2CEB" w:rsidRDefault="00AC18AE" w:rsidP="00AC18AE">
      <w:pPr>
        <w:jc w:val="both"/>
        <w:rPr>
          <w:color w:val="FF0000"/>
        </w:rPr>
      </w:pPr>
    </w:p>
    <w:p w:rsidR="00AC18AE" w:rsidRPr="00BD2CEB" w:rsidRDefault="00AC18AE" w:rsidP="00AC18AE">
      <w:pPr>
        <w:ind w:firstLine="720"/>
        <w:jc w:val="both"/>
        <w:rPr>
          <w:rFonts w:ascii="Arial" w:eastAsia="Arial" w:hAnsi="Arial" w:cs="Arial"/>
        </w:rPr>
      </w:pPr>
      <w:r w:rsidRPr="00BD2CEB">
        <w:rPr>
          <w:rFonts w:ascii="Arial" w:eastAsia="Arial" w:hAnsi="Arial" w:cs="Arial"/>
          <w:b/>
          <w:i/>
        </w:rPr>
        <w:t xml:space="preserve">Contractual Services </w:t>
      </w:r>
      <w:r w:rsidR="0072663F" w:rsidRPr="0072663F">
        <w:rPr>
          <w:rFonts w:ascii="Arial" w:eastAsia="Arial" w:hAnsi="Arial" w:cs="Arial"/>
          <w:b/>
          <w:i/>
        </w:rPr>
        <w:t>–</w:t>
      </w:r>
      <w:r w:rsidRPr="00BD2CEB">
        <w:rPr>
          <w:rFonts w:ascii="Arial" w:eastAsia="Arial" w:hAnsi="Arial" w:cs="Arial"/>
          <w:b/>
          <w:i/>
        </w:rPr>
        <w:t xml:space="preserve"> Legal (633)</w:t>
      </w:r>
    </w:p>
    <w:p w:rsidR="00650EAF" w:rsidRDefault="00AC18AE" w:rsidP="00AC18AE">
      <w:pPr>
        <w:jc w:val="both"/>
        <w:rPr>
          <w:color w:val="FF0000"/>
        </w:rPr>
      </w:pPr>
      <w:r w:rsidRPr="00BD2CEB">
        <w:t xml:space="preserve">The utility recorded contractual services - legal expense of $300. </w:t>
      </w:r>
      <w:r w:rsidRPr="00BD2CEB">
        <w:rPr>
          <w:rFonts w:eastAsiaTheme="minorHAnsi" w:cstheme="minorBidi"/>
          <w:szCs w:val="22"/>
        </w:rPr>
        <w:t xml:space="preserve">Supporting documentation was provided by the utility indicating the legal fees are for filing with the Florida Secretary of State, and to prepare shareholder and director annual minutes. </w:t>
      </w:r>
      <w:r w:rsidRPr="00BD2CEB">
        <w:t>Staff made no adjustments, and therefore recommends contractual services - legal expense of $300.</w:t>
      </w:r>
    </w:p>
    <w:p w:rsidR="00650EAF" w:rsidRDefault="00650EAF" w:rsidP="00AC18AE">
      <w:pPr>
        <w:jc w:val="both"/>
        <w:rPr>
          <w:color w:val="FF0000"/>
        </w:rPr>
      </w:pPr>
    </w:p>
    <w:p w:rsidR="00650EAF" w:rsidRDefault="00650EAF" w:rsidP="00AC18AE">
      <w:pPr>
        <w:jc w:val="both"/>
        <w:rPr>
          <w:color w:val="FF0000"/>
        </w:rPr>
      </w:pPr>
    </w:p>
    <w:p w:rsidR="00650EAF" w:rsidRPr="00BD2CEB" w:rsidRDefault="00650EAF" w:rsidP="00AC18AE">
      <w:pPr>
        <w:jc w:val="both"/>
        <w:rPr>
          <w:color w:val="FF0000"/>
        </w:rPr>
      </w:pPr>
    </w:p>
    <w:p w:rsidR="00AC18AE" w:rsidRPr="00BD2CEB" w:rsidRDefault="00AC18AE" w:rsidP="00AC18AE">
      <w:pPr>
        <w:ind w:firstLine="720"/>
        <w:jc w:val="both"/>
        <w:rPr>
          <w:rFonts w:ascii="Arial" w:eastAsia="Arial" w:hAnsi="Arial" w:cs="Arial"/>
          <w:b/>
          <w:i/>
        </w:rPr>
      </w:pPr>
    </w:p>
    <w:p w:rsidR="00AC18AE" w:rsidRPr="00BD2CEB" w:rsidRDefault="00AC18AE" w:rsidP="00AC18AE">
      <w:pPr>
        <w:ind w:firstLine="720"/>
        <w:jc w:val="both"/>
        <w:rPr>
          <w:rFonts w:ascii="Arial" w:eastAsia="Arial" w:hAnsi="Arial" w:cs="Arial"/>
          <w:b/>
          <w:i/>
        </w:rPr>
      </w:pPr>
      <w:r w:rsidRPr="00BD2CEB">
        <w:rPr>
          <w:rFonts w:ascii="Arial" w:eastAsia="Arial" w:hAnsi="Arial" w:cs="Arial"/>
          <w:b/>
          <w:i/>
        </w:rPr>
        <w:t>Contractual Services – Testing (635)</w:t>
      </w:r>
    </w:p>
    <w:p w:rsidR="00AC18AE" w:rsidRPr="00BD2CEB" w:rsidRDefault="00AC18AE" w:rsidP="00AC18AE">
      <w:pPr>
        <w:jc w:val="both"/>
        <w:outlineLvl w:val="3"/>
      </w:pPr>
      <w:r w:rsidRPr="00BD2CEB">
        <w:t xml:space="preserve">Brendenwood recorded contractual services – testing expense of $31. </w:t>
      </w:r>
      <w:r w:rsidRPr="00BD2CEB">
        <w:rPr>
          <w:rFonts w:eastAsiaTheme="minorHAnsi" w:cstheme="minorBidi"/>
          <w:szCs w:val="22"/>
        </w:rPr>
        <w:t xml:space="preserve">This expense reflects the cost of boil water clearance testing on two occasions in January 2020. </w:t>
      </w:r>
      <w:r w:rsidRPr="00BD2CEB">
        <w:t>Staff made no adjustments, and therefore recommends contractual services - testing expense of $31.</w:t>
      </w:r>
    </w:p>
    <w:p w:rsidR="00AC18AE" w:rsidRPr="00BE0B3C" w:rsidRDefault="00AC18AE" w:rsidP="00BE0B3C"/>
    <w:p w:rsidR="00AC18AE" w:rsidRPr="00BD2CEB" w:rsidRDefault="00AC18AE" w:rsidP="00AC18AE">
      <w:pPr>
        <w:ind w:left="720"/>
        <w:jc w:val="both"/>
        <w:outlineLvl w:val="3"/>
        <w:rPr>
          <w:rFonts w:ascii="Arial" w:hAnsi="Arial" w:cs="Arial"/>
          <w:b/>
          <w:bCs/>
          <w:i/>
          <w:iCs/>
          <w:szCs w:val="28"/>
        </w:rPr>
      </w:pPr>
      <w:r w:rsidRPr="00BD2CEB">
        <w:rPr>
          <w:rFonts w:ascii="Arial" w:hAnsi="Arial" w:cs="Arial"/>
          <w:b/>
          <w:bCs/>
          <w:i/>
          <w:iCs/>
          <w:szCs w:val="28"/>
        </w:rPr>
        <w:t>Contractual Services – Other (636)</w:t>
      </w:r>
    </w:p>
    <w:p w:rsidR="00AC18AE" w:rsidRPr="00BD2CEB" w:rsidRDefault="00AC18AE" w:rsidP="00AC18AE">
      <w:pPr>
        <w:jc w:val="both"/>
      </w:pPr>
      <w:r>
        <w:t>The u</w:t>
      </w:r>
      <w:r w:rsidRPr="00BD2CEB">
        <w:t xml:space="preserve">tility recorded contractual services – other expense of $19,965. Brendenwood receives all of its operational and administrative services under a contract with an affiliated company, U.S. Water Services Corporation (USWSC or U.S. Water). Pursuant to the contract, USWSC performs various functions: administrative management, operations, maintenance, </w:t>
      </w:r>
      <w:r>
        <w:t>and billing/collection for the u</w:t>
      </w:r>
      <w:r w:rsidRPr="00BD2CEB">
        <w:t xml:space="preserve">tility. USWSC’s president and majority shareholder has been in the water utility management and operations industry for over 30 years. Brendenwood specifically contracts with USWSC for the following services: </w:t>
      </w:r>
    </w:p>
    <w:p w:rsidR="00AC18AE" w:rsidRPr="00BD2CEB" w:rsidRDefault="00AC18AE" w:rsidP="00AC18AE">
      <w:pPr>
        <w:jc w:val="both"/>
      </w:pPr>
    </w:p>
    <w:p w:rsidR="00AC18AE" w:rsidRPr="00BD2CEB" w:rsidRDefault="00AC18AE" w:rsidP="00AC18AE">
      <w:pPr>
        <w:numPr>
          <w:ilvl w:val="0"/>
          <w:numId w:val="11"/>
        </w:numPr>
        <w:spacing w:after="200" w:line="276" w:lineRule="auto"/>
        <w:contextualSpacing/>
        <w:jc w:val="both"/>
        <w:rPr>
          <w:rFonts w:eastAsiaTheme="minorHAnsi" w:cstheme="minorBidi"/>
          <w:szCs w:val="22"/>
        </w:rPr>
      </w:pPr>
      <w:r w:rsidRPr="00BD2CEB">
        <w:rPr>
          <w:rFonts w:eastAsiaTheme="minorHAnsi" w:cstheme="minorBidi"/>
          <w:szCs w:val="22"/>
        </w:rPr>
        <w:t>Water Operations</w:t>
      </w:r>
    </w:p>
    <w:p w:rsidR="00AC18AE" w:rsidRPr="00BD2CEB" w:rsidRDefault="00AC18AE" w:rsidP="00AC18AE">
      <w:pPr>
        <w:numPr>
          <w:ilvl w:val="0"/>
          <w:numId w:val="11"/>
        </w:numPr>
        <w:spacing w:after="200" w:line="276" w:lineRule="auto"/>
        <w:contextualSpacing/>
        <w:jc w:val="both"/>
        <w:rPr>
          <w:rFonts w:eastAsiaTheme="minorHAnsi" w:cstheme="minorBidi"/>
          <w:szCs w:val="22"/>
        </w:rPr>
      </w:pPr>
      <w:r w:rsidRPr="00BD2CEB">
        <w:rPr>
          <w:rFonts w:eastAsiaTheme="minorHAnsi" w:cstheme="minorBidi"/>
          <w:szCs w:val="22"/>
        </w:rPr>
        <w:t>Meter Reading</w:t>
      </w:r>
    </w:p>
    <w:p w:rsidR="00AC18AE" w:rsidRPr="00BD2CEB" w:rsidRDefault="00AC18AE" w:rsidP="00AC18AE">
      <w:pPr>
        <w:numPr>
          <w:ilvl w:val="0"/>
          <w:numId w:val="11"/>
        </w:numPr>
        <w:spacing w:after="200" w:line="276" w:lineRule="auto"/>
        <w:contextualSpacing/>
        <w:jc w:val="both"/>
        <w:rPr>
          <w:rFonts w:eastAsiaTheme="minorHAnsi" w:cstheme="minorBidi"/>
          <w:szCs w:val="22"/>
        </w:rPr>
      </w:pPr>
      <w:r w:rsidRPr="00BD2CEB">
        <w:rPr>
          <w:rFonts w:eastAsiaTheme="minorHAnsi" w:cstheme="minorBidi"/>
          <w:szCs w:val="22"/>
        </w:rPr>
        <w:t>System Maintenance and Repairs</w:t>
      </w:r>
    </w:p>
    <w:p w:rsidR="00AC18AE" w:rsidRPr="00BD2CEB" w:rsidRDefault="00AC18AE" w:rsidP="00AC18AE">
      <w:pPr>
        <w:numPr>
          <w:ilvl w:val="0"/>
          <w:numId w:val="11"/>
        </w:numPr>
        <w:spacing w:after="200" w:line="276" w:lineRule="auto"/>
        <w:contextualSpacing/>
        <w:jc w:val="both"/>
        <w:rPr>
          <w:rFonts w:eastAsiaTheme="minorHAnsi" w:cstheme="minorBidi"/>
          <w:szCs w:val="22"/>
        </w:rPr>
      </w:pPr>
      <w:r w:rsidRPr="00BD2CEB">
        <w:rPr>
          <w:rFonts w:eastAsiaTheme="minorHAnsi" w:cstheme="minorBidi"/>
          <w:szCs w:val="22"/>
        </w:rPr>
        <w:t>Billing and Collections</w:t>
      </w:r>
    </w:p>
    <w:p w:rsidR="00AC18AE" w:rsidRPr="00BD2CEB" w:rsidRDefault="00AC18AE" w:rsidP="00AC18AE">
      <w:pPr>
        <w:numPr>
          <w:ilvl w:val="0"/>
          <w:numId w:val="11"/>
        </w:numPr>
        <w:spacing w:after="200" w:line="276" w:lineRule="auto"/>
        <w:contextualSpacing/>
        <w:jc w:val="both"/>
        <w:rPr>
          <w:rFonts w:eastAsiaTheme="minorHAnsi" w:cstheme="minorBidi"/>
          <w:szCs w:val="22"/>
        </w:rPr>
      </w:pPr>
      <w:r w:rsidRPr="00BD2CEB">
        <w:rPr>
          <w:rFonts w:eastAsiaTheme="minorHAnsi" w:cstheme="minorBidi"/>
          <w:szCs w:val="22"/>
        </w:rPr>
        <w:t>Customer Service</w:t>
      </w:r>
    </w:p>
    <w:p w:rsidR="00AC18AE" w:rsidRPr="00BD2CEB" w:rsidRDefault="00AC18AE" w:rsidP="00AC18AE">
      <w:pPr>
        <w:numPr>
          <w:ilvl w:val="0"/>
          <w:numId w:val="11"/>
        </w:numPr>
        <w:spacing w:after="200" w:line="276" w:lineRule="auto"/>
        <w:contextualSpacing/>
        <w:jc w:val="both"/>
        <w:rPr>
          <w:rFonts w:eastAsiaTheme="minorHAnsi" w:cstheme="minorBidi"/>
          <w:szCs w:val="22"/>
        </w:rPr>
      </w:pPr>
      <w:r w:rsidRPr="00BD2CEB">
        <w:rPr>
          <w:rFonts w:eastAsiaTheme="minorHAnsi" w:cstheme="minorBidi"/>
          <w:szCs w:val="22"/>
        </w:rPr>
        <w:t>Regulatory Affairs</w:t>
      </w:r>
    </w:p>
    <w:p w:rsidR="00AC18AE" w:rsidRPr="00BD2CEB" w:rsidRDefault="00AC18AE" w:rsidP="00AC18AE">
      <w:pPr>
        <w:numPr>
          <w:ilvl w:val="0"/>
          <w:numId w:val="11"/>
        </w:numPr>
        <w:spacing w:after="200" w:line="276" w:lineRule="auto"/>
        <w:contextualSpacing/>
        <w:jc w:val="both"/>
        <w:rPr>
          <w:rFonts w:eastAsiaTheme="minorHAnsi" w:cstheme="minorBidi"/>
          <w:szCs w:val="22"/>
        </w:rPr>
      </w:pPr>
      <w:r w:rsidRPr="00BD2CEB">
        <w:rPr>
          <w:rFonts w:eastAsiaTheme="minorHAnsi" w:cstheme="minorBidi"/>
          <w:szCs w:val="22"/>
        </w:rPr>
        <w:t>Testing</w:t>
      </w:r>
    </w:p>
    <w:p w:rsidR="00AC18AE" w:rsidRPr="00BD2CEB" w:rsidRDefault="00AC18AE" w:rsidP="00AC18AE">
      <w:pPr>
        <w:numPr>
          <w:ilvl w:val="0"/>
          <w:numId w:val="11"/>
        </w:numPr>
        <w:spacing w:after="200" w:line="276" w:lineRule="auto"/>
        <w:contextualSpacing/>
        <w:jc w:val="both"/>
        <w:rPr>
          <w:rFonts w:eastAsiaTheme="minorHAnsi" w:cstheme="minorBidi"/>
          <w:szCs w:val="22"/>
        </w:rPr>
      </w:pPr>
      <w:r w:rsidRPr="00BD2CEB">
        <w:rPr>
          <w:rFonts w:eastAsiaTheme="minorHAnsi" w:cstheme="minorBidi"/>
          <w:szCs w:val="22"/>
        </w:rPr>
        <w:t>Accounting</w:t>
      </w:r>
    </w:p>
    <w:p w:rsidR="00AC18AE" w:rsidRPr="00BD2CEB" w:rsidRDefault="00AC18AE" w:rsidP="00AC18AE">
      <w:pPr>
        <w:numPr>
          <w:ilvl w:val="0"/>
          <w:numId w:val="11"/>
        </w:numPr>
        <w:spacing w:after="200" w:line="276" w:lineRule="auto"/>
        <w:contextualSpacing/>
        <w:jc w:val="both"/>
        <w:rPr>
          <w:rFonts w:eastAsiaTheme="minorHAnsi" w:cstheme="minorBidi"/>
          <w:szCs w:val="22"/>
        </w:rPr>
      </w:pPr>
      <w:r w:rsidRPr="00BD2CEB">
        <w:rPr>
          <w:rFonts w:eastAsiaTheme="minorHAnsi" w:cstheme="minorBidi"/>
          <w:szCs w:val="22"/>
        </w:rPr>
        <w:t>Office Space and Equipment</w:t>
      </w:r>
    </w:p>
    <w:p w:rsidR="00AC18AE" w:rsidRPr="00BD2CEB" w:rsidRDefault="00AC18AE" w:rsidP="00AC18AE">
      <w:pPr>
        <w:ind w:left="720"/>
        <w:contextualSpacing/>
        <w:jc w:val="both"/>
        <w:rPr>
          <w:rFonts w:eastAsiaTheme="minorHAnsi" w:cstheme="minorBidi"/>
          <w:szCs w:val="22"/>
        </w:rPr>
      </w:pPr>
    </w:p>
    <w:p w:rsidR="00AC18AE" w:rsidRPr="00BD2CEB" w:rsidRDefault="00AC18AE" w:rsidP="00AC18AE">
      <w:pPr>
        <w:jc w:val="both"/>
      </w:pPr>
      <w:r w:rsidRPr="00BD2CEB">
        <w:t xml:space="preserve">The current USWSC contract, which took effect on April 1, 2017, established a cost </w:t>
      </w:r>
      <w:r w:rsidR="00444FF9">
        <w:t xml:space="preserve">of </w:t>
      </w:r>
      <w:r w:rsidRPr="00BD2CEB">
        <w:t>$18,913 annually. With a current cost of $19,965, this represents a 5.56 percent increase over three years (($19,965 - $18,913) ÷ $18,913). This is below the compound annual Commission approved index increase of 5.91 percent over the same period.</w:t>
      </w:r>
      <w:r w:rsidRPr="00BD2CEB">
        <w:rPr>
          <w:vertAlign w:val="superscript"/>
        </w:rPr>
        <w:footnoteReference w:id="15"/>
      </w:r>
      <w:r w:rsidRPr="00BD2CEB">
        <w:t xml:space="preserve"> </w:t>
      </w:r>
    </w:p>
    <w:p w:rsidR="00AC18AE" w:rsidRPr="00BD2CEB" w:rsidRDefault="00AC18AE" w:rsidP="00AC18AE">
      <w:pPr>
        <w:jc w:val="both"/>
      </w:pPr>
    </w:p>
    <w:p w:rsidR="00AC18AE" w:rsidRPr="00BD2CEB" w:rsidRDefault="00AC18AE" w:rsidP="00AC18AE">
      <w:pPr>
        <w:jc w:val="both"/>
      </w:pPr>
      <w:r w:rsidRPr="00BD2CEB">
        <w:t>Due to the low number of cust</w:t>
      </w:r>
      <w:r w:rsidR="00444FF9">
        <w:t>omers (59</w:t>
      </w:r>
      <w:r>
        <w:t xml:space="preserve"> ERCs) served by this u</w:t>
      </w:r>
      <w:r w:rsidRPr="00BD2CEB">
        <w:t>tility, the cost of the USWSC contract for Brendenwood equates to $350 per ERC ($19,965 ÷ 57 ERCs). Despite the higher cost on a per ERC basis, staff believes Brendenwood’s contractual services agreement with USWSC is reasonable and beneficial to the utility and its customers. In previous dockets, U.S. Water has indicated, “if the actual costs were recovered through the actual number of ERCs, the amount per ERC would be higher.”</w:t>
      </w:r>
      <w:r w:rsidRPr="00BD2CEB">
        <w:rPr>
          <w:vertAlign w:val="superscript"/>
        </w:rPr>
        <w:footnoteReference w:id="16"/>
      </w:r>
      <w:r w:rsidRPr="00BD2CEB">
        <w:t xml:space="preserve"> Staff believes that USWSC and its employees bring considerable management and operational experience at a comp</w:t>
      </w:r>
      <w:r>
        <w:t>aratively reasonable cost; the u</w:t>
      </w:r>
      <w:r w:rsidRPr="00BD2CEB">
        <w:t xml:space="preserve">tility’s customers are experiencing operational benefits that might not be realized if Brendenwood operated on a stand-alone basis. If Brendenwood were required to establish a stand-alone utility with personnel for maintenance, customer service, accounting, regulatory compliance, etc., the cost would likely exceed that of the current USWSC contract. For example, it would be highly impractical to assume that all of these operational, administrative, and managerial services could be performed by a single individual for only $19,965 a year. By virtue of the USWSC contract, the customers of Brendenwood benefit from the services of multiple qualified employees on a fractional basis, which is cost prohibitive on a stand-alone system. </w:t>
      </w:r>
    </w:p>
    <w:p w:rsidR="009B610F" w:rsidRDefault="009B610F" w:rsidP="00AC18AE">
      <w:pPr>
        <w:jc w:val="both"/>
      </w:pPr>
    </w:p>
    <w:p w:rsidR="00AC18AE" w:rsidRPr="00BD2CEB" w:rsidRDefault="00AC18AE" w:rsidP="00AC18AE">
      <w:pPr>
        <w:jc w:val="both"/>
      </w:pPr>
      <w:r w:rsidRPr="00BD2CEB">
        <w:t xml:space="preserve">In regard to the appropriateness of utility contracts with affiliated companies, staff cites </w:t>
      </w:r>
      <w:r w:rsidRPr="00BD2CEB">
        <w:rPr>
          <w:i/>
        </w:rPr>
        <w:t>GTE v Deason</w:t>
      </w:r>
      <w:r w:rsidRPr="00BD2CEB">
        <w:t>, 642 So. 2d 545 (Fla. 1994), in which the Florida Supreme Court found:</w:t>
      </w:r>
    </w:p>
    <w:p w:rsidR="00AC18AE" w:rsidRPr="00BD2CEB" w:rsidRDefault="00AC18AE" w:rsidP="00AC18AE">
      <w:pPr>
        <w:jc w:val="both"/>
      </w:pPr>
    </w:p>
    <w:p w:rsidR="00AC18AE" w:rsidRPr="00BD2CEB" w:rsidRDefault="00AC18AE" w:rsidP="00AC18AE">
      <w:pPr>
        <w:ind w:left="720" w:right="720"/>
        <w:jc w:val="both"/>
      </w:pPr>
      <w:r w:rsidRPr="00BD2CEB">
        <w:t xml:space="preserve">The mere fact that a utility is doing business with an affiliate does not mean that unfair or excess profits are being generated, without more. Charles F. Phillips, Jr., </w:t>
      </w:r>
      <w:r w:rsidRPr="00BD2CEB">
        <w:rPr>
          <w:i/>
        </w:rPr>
        <w:t xml:space="preserve">The Regulation of Public Utilities </w:t>
      </w:r>
      <w:r w:rsidRPr="00BD2CEB">
        <w:t>254-255 (1988). We believe the standard must be whether the transactions exceed the going market rate or otherwise inherently unfair  . . .  [i]f the answer is “no”, then the PSC may not reject the utility’s position.</w:t>
      </w:r>
    </w:p>
    <w:p w:rsidR="00AC18AE" w:rsidRPr="00BD2CEB" w:rsidRDefault="00AC18AE" w:rsidP="00AC18AE">
      <w:pPr>
        <w:ind w:left="720" w:right="720"/>
        <w:jc w:val="both"/>
      </w:pPr>
    </w:p>
    <w:p w:rsidR="00AC18AE" w:rsidRPr="00BD2CEB" w:rsidRDefault="00AC18AE" w:rsidP="00AC18AE">
      <w:pPr>
        <w:jc w:val="both"/>
      </w:pPr>
      <w:r w:rsidRPr="00BD2CEB">
        <w:t>Staff notes that in prior cases involving seven of Brendenwood’s sister utilities over the past five years, the Commission approved similar USWSC agreements and associated costs.</w:t>
      </w:r>
      <w:r w:rsidRPr="00BD2CEB">
        <w:rPr>
          <w:vertAlign w:val="superscript"/>
        </w:rPr>
        <w:footnoteReference w:id="17"/>
      </w:r>
      <w:r w:rsidRPr="00BD2CEB">
        <w:t xml:space="preserve"> In those cases, the cost of the USWSC contract on a per ERC basis ranged from $152 to $427. </w:t>
      </w:r>
    </w:p>
    <w:p w:rsidR="00AC18AE" w:rsidRPr="00BD2CEB" w:rsidRDefault="00AC18AE" w:rsidP="00AC18AE">
      <w:pPr>
        <w:jc w:val="both"/>
      </w:pPr>
    </w:p>
    <w:p w:rsidR="00AC18AE" w:rsidRPr="00BD2CEB" w:rsidRDefault="00AC18AE" w:rsidP="00AC18AE">
      <w:pPr>
        <w:spacing w:after="240"/>
        <w:jc w:val="both"/>
      </w:pPr>
      <w:r w:rsidRPr="00BD2CEB">
        <w:t>In the instant case, staff believes that the contract reflect</w:t>
      </w:r>
      <w:r>
        <w:t>s the market conditions of the u</w:t>
      </w:r>
      <w:r w:rsidRPr="00BD2CEB">
        <w:t xml:space="preserve">tility’s service area. Absent the USWSC contract, staff believes the costs to provide service would be higher. For the reasons discussed </w:t>
      </w:r>
      <w:r>
        <w:t>above, staff believes that the u</w:t>
      </w:r>
      <w:r w:rsidRPr="00BD2CEB">
        <w:t>tility’s contract with USWSC is reasonable and the cost should b</w:t>
      </w:r>
      <w:r>
        <w:t>e included for recovery of the u</w:t>
      </w:r>
      <w:r w:rsidRPr="00BD2CEB">
        <w:t>tility’s proposed rates. Therefore, staff recommends test year contractual services – other expense of $19,965.</w:t>
      </w:r>
    </w:p>
    <w:p w:rsidR="00AC18AE" w:rsidRPr="00BD2CEB" w:rsidRDefault="00AC18AE" w:rsidP="00AC18AE">
      <w:pPr>
        <w:ind w:firstLine="720"/>
        <w:jc w:val="both"/>
        <w:rPr>
          <w:rFonts w:ascii="Arial" w:eastAsiaTheme="minorHAnsi" w:hAnsi="Arial" w:cs="Arial"/>
          <w:b/>
          <w:i/>
          <w:szCs w:val="22"/>
        </w:rPr>
      </w:pPr>
      <w:r w:rsidRPr="00BD2CEB">
        <w:rPr>
          <w:rFonts w:ascii="Arial" w:eastAsiaTheme="minorHAnsi" w:hAnsi="Arial" w:cs="Arial"/>
          <w:b/>
          <w:i/>
          <w:szCs w:val="22"/>
        </w:rPr>
        <w:t>Insurance Expense – General Liability (657)</w:t>
      </w:r>
    </w:p>
    <w:p w:rsidR="00AC18AE" w:rsidRPr="00BD2CEB" w:rsidRDefault="00AC18AE" w:rsidP="00AC18AE">
      <w:pPr>
        <w:jc w:val="both"/>
        <w:rPr>
          <w:rFonts w:eastAsiaTheme="minorHAnsi"/>
          <w:szCs w:val="22"/>
        </w:rPr>
      </w:pPr>
      <w:r w:rsidRPr="00BD2CEB">
        <w:rPr>
          <w:rFonts w:eastAsiaTheme="minorHAnsi"/>
          <w:szCs w:val="22"/>
        </w:rPr>
        <w:t xml:space="preserve">The utility recorded insurance expense of $1,184 for the test year. </w:t>
      </w:r>
      <w:r>
        <w:rPr>
          <w:rFonts w:eastAsiaTheme="minorHAnsi" w:cstheme="minorBidi"/>
          <w:szCs w:val="22"/>
        </w:rPr>
        <w:t>On October 20, 2021, the u</w:t>
      </w:r>
      <w:r w:rsidRPr="00BD2CEB">
        <w:rPr>
          <w:rFonts w:eastAsiaTheme="minorHAnsi" w:cstheme="minorBidi"/>
          <w:szCs w:val="22"/>
        </w:rPr>
        <w:t>tility provided an updated invoice reflecting a premium of $1,343 for the period October 2021 through October 2022.</w:t>
      </w:r>
      <w:r w:rsidRPr="00BD2CEB">
        <w:rPr>
          <w:rFonts w:eastAsiaTheme="minorHAnsi" w:cstheme="minorBidi"/>
          <w:szCs w:val="22"/>
          <w:vertAlign w:val="superscript"/>
        </w:rPr>
        <w:footnoteReference w:id="18"/>
      </w:r>
      <w:r w:rsidRPr="00BD2CEB">
        <w:rPr>
          <w:rFonts w:eastAsiaTheme="minorHAnsi" w:cstheme="minorBidi"/>
          <w:szCs w:val="22"/>
        </w:rPr>
        <w:t xml:space="preserve"> To reflect the increase in premium, staff increased this account by $159 ($1,343 - $1,184).</w:t>
      </w:r>
      <w:r w:rsidRPr="00BD2CEB">
        <w:rPr>
          <w:rFonts w:eastAsiaTheme="minorHAnsi"/>
          <w:szCs w:val="22"/>
        </w:rPr>
        <w:t xml:space="preserve"> Staff believes including the adjustment is appropriate because the increased premium is known, measurable, and already in effect. As such, staff recommends insurance expense for the test year of $1,343 ($1,184 + $159).</w:t>
      </w:r>
    </w:p>
    <w:p w:rsidR="00AC18AE" w:rsidRPr="00BD2CEB" w:rsidRDefault="00AC18AE" w:rsidP="00AC18AE">
      <w:pPr>
        <w:spacing w:line="276" w:lineRule="auto"/>
        <w:rPr>
          <w:rFonts w:eastAsiaTheme="minorHAnsi"/>
          <w:color w:val="FF0000"/>
          <w:szCs w:val="22"/>
        </w:rPr>
      </w:pPr>
    </w:p>
    <w:p w:rsidR="00AC18AE" w:rsidRPr="00BD2CEB" w:rsidRDefault="00AC18AE" w:rsidP="00765117">
      <w:pPr>
        <w:spacing w:line="276" w:lineRule="auto"/>
        <w:jc w:val="both"/>
        <w:rPr>
          <w:rFonts w:ascii="Arial" w:eastAsiaTheme="minorHAnsi" w:hAnsi="Arial" w:cs="Arial"/>
          <w:b/>
          <w:i/>
          <w:szCs w:val="22"/>
        </w:rPr>
      </w:pPr>
      <w:r w:rsidRPr="00BD2CEB">
        <w:rPr>
          <w:rFonts w:eastAsiaTheme="minorHAnsi" w:cstheme="minorBidi"/>
          <w:color w:val="FF0000"/>
          <w:szCs w:val="22"/>
        </w:rPr>
        <w:tab/>
      </w:r>
      <w:r w:rsidRPr="00BD2CEB">
        <w:rPr>
          <w:rFonts w:ascii="Arial" w:eastAsiaTheme="minorHAnsi" w:hAnsi="Arial" w:cs="Arial"/>
          <w:b/>
          <w:i/>
          <w:szCs w:val="22"/>
        </w:rPr>
        <w:t>Regulatory Commission Expense (665)</w:t>
      </w:r>
    </w:p>
    <w:p w:rsidR="00AC18AE" w:rsidRPr="00BD2CEB" w:rsidRDefault="00AC18AE" w:rsidP="00AC18AE">
      <w:pPr>
        <w:jc w:val="both"/>
        <w:rPr>
          <w:rFonts w:eastAsiaTheme="minorHAnsi" w:cstheme="minorBidi"/>
          <w:szCs w:val="22"/>
        </w:rPr>
      </w:pPr>
      <w:r w:rsidRPr="00BD2CEB">
        <w:rPr>
          <w:rFonts w:eastAsiaTheme="minorHAnsi" w:cstheme="minorBidi"/>
          <w:szCs w:val="22"/>
        </w:rPr>
        <w:t>Per Brendenwood’s filed application, the utility estimated regulatory expense</w:t>
      </w:r>
      <w:r w:rsidR="00765117">
        <w:rPr>
          <w:rFonts w:eastAsiaTheme="minorHAnsi" w:cstheme="minorBidi"/>
          <w:szCs w:val="22"/>
        </w:rPr>
        <w:t xml:space="preserve"> to be $280 for the test year. </w:t>
      </w:r>
      <w:r w:rsidRPr="00BD2CEB">
        <w:rPr>
          <w:rFonts w:eastAsiaTheme="minorHAnsi" w:cstheme="minorBidi"/>
          <w:szCs w:val="22"/>
        </w:rPr>
        <w:t>Regarding the instant case, the utility is required by Rule 25-22.0407, F.A.C., to provide notices of the customer meeting, final rates, and four-year rate reduction. Staff calculated noticing costs to be $171. Additionally, the utility paid a $500 filing fee.</w:t>
      </w:r>
      <w:r w:rsidRPr="00BD2CEB">
        <w:rPr>
          <w:rFonts w:eastAsiaTheme="minorHAnsi" w:cstheme="minorBidi"/>
          <w:szCs w:val="22"/>
          <w:vertAlign w:val="superscript"/>
        </w:rPr>
        <w:footnoteReference w:id="19"/>
      </w:r>
      <w:r w:rsidRPr="00BD2CEB">
        <w:rPr>
          <w:rFonts w:eastAsiaTheme="minorHAnsi" w:cstheme="minorBidi"/>
          <w:szCs w:val="22"/>
        </w:rPr>
        <w:t xml:space="preserve"> Using the 2021 IRS mileage rate, at 428 miles round-trip, staff calculated travel to the Commission Conference to be $240.</w:t>
      </w:r>
      <w:r w:rsidRPr="00BD2CEB">
        <w:rPr>
          <w:rFonts w:eastAsiaTheme="minorHAnsi" w:cstheme="minorBidi"/>
          <w:szCs w:val="22"/>
          <w:vertAlign w:val="superscript"/>
        </w:rPr>
        <w:footnoteReference w:id="20"/>
      </w:r>
      <w:r w:rsidRPr="00BD2CEB">
        <w:rPr>
          <w:rFonts w:eastAsiaTheme="minorHAnsi" w:cstheme="minorBidi"/>
          <w:szCs w:val="22"/>
        </w:rPr>
        <w:t xml:space="preserve"> Staff did not include any travel to the customer meeting, since it was held remotely. Additionally, staff estimated $240 for lodging expense for two utility representatives, using the average lodging rate for Tallahassee. Staff recommends noticing costs, filing fee, and travel expenses of $1,151 ($171 + $500 + $240 + $240), which amortized over four years is $288 ($1,151 ÷ 4 years) per year. This represents an $8 increase to the utility’s recorded expense of $280. Therefore, staff recommends regulatory commission expense of $288 ($280 + $8).</w:t>
      </w:r>
    </w:p>
    <w:p w:rsidR="00AC18AE" w:rsidRPr="00BD2CEB" w:rsidRDefault="00AC18AE" w:rsidP="00AC18AE">
      <w:pPr>
        <w:jc w:val="both"/>
        <w:rPr>
          <w:rFonts w:eastAsiaTheme="minorHAnsi" w:cstheme="minorBidi"/>
          <w:color w:val="FF0000"/>
          <w:szCs w:val="22"/>
        </w:rPr>
      </w:pPr>
    </w:p>
    <w:p w:rsidR="00AC18AE" w:rsidRPr="00BD2CEB" w:rsidRDefault="00AC18AE" w:rsidP="00AC18AE">
      <w:pPr>
        <w:spacing w:line="276" w:lineRule="auto"/>
        <w:jc w:val="both"/>
        <w:rPr>
          <w:rFonts w:ascii="Arial" w:eastAsiaTheme="minorHAnsi" w:hAnsi="Arial" w:cs="Arial"/>
          <w:szCs w:val="22"/>
        </w:rPr>
      </w:pPr>
      <w:r w:rsidRPr="00BD2CEB">
        <w:rPr>
          <w:rFonts w:eastAsiaTheme="minorHAnsi" w:cstheme="minorBidi"/>
          <w:color w:val="FF0000"/>
          <w:szCs w:val="22"/>
        </w:rPr>
        <w:tab/>
      </w:r>
      <w:r w:rsidRPr="00BD2CEB">
        <w:rPr>
          <w:rFonts w:ascii="Arial" w:eastAsiaTheme="minorHAnsi" w:hAnsi="Arial" w:cs="Arial"/>
          <w:b/>
          <w:i/>
          <w:szCs w:val="22"/>
        </w:rPr>
        <w:t>Bad Debt Expense (670)</w:t>
      </w:r>
    </w:p>
    <w:p w:rsidR="00AC18AE" w:rsidRPr="00BD2CEB" w:rsidRDefault="00AC18AE" w:rsidP="00AC18AE">
      <w:pPr>
        <w:jc w:val="both"/>
        <w:rPr>
          <w:rFonts w:eastAsiaTheme="minorHAnsi" w:cstheme="minorBidi"/>
          <w:szCs w:val="22"/>
        </w:rPr>
      </w:pPr>
      <w:r w:rsidRPr="00BD2CEB">
        <w:rPr>
          <w:rFonts w:eastAsiaTheme="minorHAnsi" w:cstheme="minorBidi"/>
          <w:szCs w:val="22"/>
        </w:rPr>
        <w:t>Brendenwood recorded bad debt expense of $89 for the test year. Staff notes that it is Commission practice to calculate bad debt expense using a three-year average when the information is available. Based on the utility’s Annual Reports, Brendenwood recorded bad debt expense of $2,027, $280, and $89, for the years 2018, 2019, and 2020, respectively. Staff believes that the 2018 amount of $2,027 is an anomaly, and therefore requested the utility provide updated bad debt expense for 2021. In response, the utility reported bad debt expense of $99 through August 2021.</w:t>
      </w:r>
      <w:r w:rsidRPr="00BD2CEB">
        <w:rPr>
          <w:rFonts w:eastAsiaTheme="minorHAnsi" w:cstheme="minorBidi"/>
          <w:szCs w:val="22"/>
          <w:vertAlign w:val="superscript"/>
        </w:rPr>
        <w:footnoteReference w:id="21"/>
      </w:r>
      <w:r w:rsidRPr="00BD2CEB">
        <w:rPr>
          <w:rFonts w:eastAsiaTheme="minorHAnsi" w:cstheme="minorBidi"/>
          <w:szCs w:val="22"/>
        </w:rPr>
        <w:t xml:space="preserve"> Staff annualized this amount, resulting in 2021 annualized bad debt expense of $149. Staff used a three-year average of $280, $89, and $149 to calculate bad debt expense of $173 (($280 + $89 + $149) ÷ 3). This repres</w:t>
      </w:r>
      <w:r w:rsidR="00203A9E">
        <w:rPr>
          <w:rFonts w:eastAsiaTheme="minorHAnsi" w:cstheme="minorBidi"/>
          <w:szCs w:val="22"/>
        </w:rPr>
        <w:t>ents an increase of $84 to the u</w:t>
      </w:r>
      <w:r w:rsidRPr="00BD2CEB">
        <w:rPr>
          <w:rFonts w:eastAsiaTheme="minorHAnsi" w:cstheme="minorBidi"/>
          <w:szCs w:val="22"/>
        </w:rPr>
        <w:t>tility’s recorded expense of $89. Therefore, staff recommends bad debt expense of $173 ($89 + $84).</w:t>
      </w:r>
    </w:p>
    <w:p w:rsidR="00AC18AE" w:rsidRPr="00BD2CEB" w:rsidRDefault="00AC18AE" w:rsidP="00AC18AE">
      <w:pPr>
        <w:jc w:val="both"/>
        <w:rPr>
          <w:rFonts w:eastAsiaTheme="minorHAnsi" w:cstheme="minorBidi"/>
          <w:szCs w:val="22"/>
        </w:rPr>
      </w:pPr>
    </w:p>
    <w:p w:rsidR="00AC18AE" w:rsidRPr="00BD2CEB" w:rsidRDefault="00AC18AE" w:rsidP="00AC18AE">
      <w:pPr>
        <w:ind w:firstLine="720"/>
        <w:jc w:val="both"/>
        <w:rPr>
          <w:rFonts w:ascii="Arial" w:eastAsia="Arial" w:hAnsi="Arial" w:cs="Arial"/>
          <w:b/>
          <w:i/>
        </w:rPr>
      </w:pPr>
      <w:r w:rsidRPr="00BD2CEB">
        <w:rPr>
          <w:rFonts w:ascii="Arial" w:eastAsia="Arial" w:hAnsi="Arial" w:cs="Arial"/>
          <w:b/>
          <w:i/>
        </w:rPr>
        <w:t>Miscellaneous Expense (675)</w:t>
      </w:r>
    </w:p>
    <w:p w:rsidR="00AC18AE" w:rsidRPr="00BD2CEB" w:rsidRDefault="00AC18AE" w:rsidP="00AC18AE">
      <w:pPr>
        <w:spacing w:after="240"/>
        <w:jc w:val="both"/>
      </w:pPr>
      <w:r w:rsidRPr="00BD2CEB">
        <w:t xml:space="preserve">The utility recorded miscellaneous expense of $692. This expense </w:t>
      </w:r>
      <w:r w:rsidR="002867CB">
        <w:t xml:space="preserve">is </w:t>
      </w:r>
      <w:r w:rsidRPr="00BD2CEB">
        <w:t>the 2020 Drinking Water Annual Operating License fee paid to the Florida Department of Environmental Protection. Staff made no adjustments, and therefore recommends miscellaneous expense of $692.</w:t>
      </w:r>
    </w:p>
    <w:p w:rsidR="00AC18AE" w:rsidRPr="00BD2CEB" w:rsidRDefault="00AC18AE" w:rsidP="00AC18AE">
      <w:pPr>
        <w:jc w:val="both"/>
        <w:rPr>
          <w:rFonts w:ascii="Arial" w:eastAsiaTheme="minorHAnsi" w:hAnsi="Arial" w:cs="Arial"/>
          <w:b/>
          <w:szCs w:val="22"/>
        </w:rPr>
      </w:pPr>
    </w:p>
    <w:p w:rsidR="00AC18AE" w:rsidRPr="00BD2CEB" w:rsidRDefault="00AC18AE" w:rsidP="00AC18AE">
      <w:pPr>
        <w:spacing w:line="276" w:lineRule="auto"/>
        <w:jc w:val="both"/>
        <w:rPr>
          <w:rFonts w:ascii="Arial" w:eastAsiaTheme="minorHAnsi" w:hAnsi="Arial" w:cs="Arial"/>
          <w:szCs w:val="22"/>
        </w:rPr>
      </w:pPr>
      <w:r w:rsidRPr="00BD2CEB">
        <w:rPr>
          <w:rFonts w:ascii="Arial" w:eastAsiaTheme="minorHAnsi" w:hAnsi="Arial" w:cs="Arial"/>
          <w:b/>
          <w:szCs w:val="22"/>
        </w:rPr>
        <w:t>Operation and Maintenance Expense Summary</w:t>
      </w:r>
    </w:p>
    <w:p w:rsidR="00AC18AE" w:rsidRPr="00BD2CEB" w:rsidRDefault="00AC18AE" w:rsidP="00AC18AE">
      <w:pPr>
        <w:autoSpaceDE w:val="0"/>
        <w:autoSpaceDN w:val="0"/>
        <w:adjustRightInd w:val="0"/>
        <w:jc w:val="both"/>
        <w:rPr>
          <w:rFonts w:eastAsiaTheme="minorHAnsi" w:cstheme="minorBidi"/>
        </w:rPr>
      </w:pPr>
      <w:r w:rsidRPr="00BD2CEB">
        <w:rPr>
          <w:rFonts w:eastAsiaTheme="minorHAnsi" w:cstheme="minorBidi"/>
        </w:rPr>
        <w:t xml:space="preserve">The utility recorded O&amp;M expenses of $27,651 for the test year. Based on the above adjustments, staff recommends that the O&amp;M expense balance be increased by $251, resulting in a total O&amp;M expense of $27,902 ($27,651 + $251). </w:t>
      </w:r>
      <w:r w:rsidRPr="00BD2CEB">
        <w:rPr>
          <w:rFonts w:eastAsiaTheme="minorHAnsi"/>
        </w:rPr>
        <w:t>Staff’s recommended adjustments to O&amp;M expense are shown on Schedule No. 3-C.</w:t>
      </w:r>
    </w:p>
    <w:p w:rsidR="00AC18AE" w:rsidRPr="00BD2CEB" w:rsidRDefault="00AC18AE" w:rsidP="00AC18AE">
      <w:pPr>
        <w:spacing w:line="276" w:lineRule="auto"/>
        <w:jc w:val="both"/>
        <w:rPr>
          <w:rFonts w:eastAsiaTheme="minorHAnsi" w:cstheme="minorBidi"/>
          <w:szCs w:val="22"/>
        </w:rPr>
      </w:pPr>
    </w:p>
    <w:p w:rsidR="00AC18AE" w:rsidRPr="00BD2CEB" w:rsidRDefault="00AC18AE" w:rsidP="00AC18AE">
      <w:pPr>
        <w:spacing w:line="276" w:lineRule="auto"/>
        <w:jc w:val="both"/>
        <w:rPr>
          <w:rFonts w:ascii="Arial" w:eastAsiaTheme="minorHAnsi" w:hAnsi="Arial" w:cs="Arial"/>
          <w:szCs w:val="22"/>
        </w:rPr>
      </w:pPr>
      <w:r w:rsidRPr="00BD2CEB">
        <w:rPr>
          <w:rFonts w:ascii="Arial" w:eastAsiaTheme="minorHAnsi" w:hAnsi="Arial" w:cs="Arial"/>
          <w:b/>
          <w:szCs w:val="22"/>
        </w:rPr>
        <w:t>Depreciation Expense</w:t>
      </w:r>
    </w:p>
    <w:p w:rsidR="00AC18AE" w:rsidRPr="00BD2CEB" w:rsidRDefault="00AC18AE" w:rsidP="00AC18AE">
      <w:pPr>
        <w:autoSpaceDE w:val="0"/>
        <w:autoSpaceDN w:val="0"/>
        <w:adjustRightInd w:val="0"/>
        <w:jc w:val="both"/>
        <w:rPr>
          <w:rFonts w:eastAsiaTheme="minorHAnsi" w:cstheme="minorBidi"/>
        </w:rPr>
      </w:pPr>
      <w:r w:rsidRPr="00BD2CEB">
        <w:rPr>
          <w:rFonts w:eastAsiaTheme="minorHAnsi"/>
        </w:rPr>
        <w:t>The utility’s records reflect test year depreciation expense of $2,095. As a result of the staff audit, an adjustment was made to increase depreciation expense by $133. This increase to depreciation expense impacted Acct. 320 – Water Treatment Equipment, which as discussed in Issue 4, was already over-depreciated. Staff calculated depreciation expense using the prescribed rates set forth in Rule 25-30.140, F.A.C., and removed the auditor’s adjustment. Therefore, staff recommends net depreciation expense of $2,095.</w:t>
      </w:r>
    </w:p>
    <w:p w:rsidR="00AC18AE" w:rsidRPr="00BD2CEB" w:rsidRDefault="00AC18AE" w:rsidP="00AC18AE">
      <w:pPr>
        <w:spacing w:line="276" w:lineRule="auto"/>
        <w:jc w:val="both"/>
        <w:rPr>
          <w:rFonts w:ascii="Arial" w:eastAsiaTheme="minorHAnsi" w:hAnsi="Arial" w:cs="Arial"/>
          <w:b/>
          <w:szCs w:val="22"/>
        </w:rPr>
      </w:pPr>
    </w:p>
    <w:p w:rsidR="00AC18AE" w:rsidRPr="00BD2CEB" w:rsidRDefault="00AC18AE" w:rsidP="00AC18AE">
      <w:pPr>
        <w:spacing w:line="276" w:lineRule="auto"/>
        <w:jc w:val="both"/>
        <w:rPr>
          <w:rFonts w:ascii="Arial" w:eastAsiaTheme="minorHAnsi" w:hAnsi="Arial" w:cs="Arial"/>
          <w:szCs w:val="22"/>
        </w:rPr>
      </w:pPr>
      <w:r w:rsidRPr="00BD2CEB">
        <w:rPr>
          <w:rFonts w:ascii="Arial" w:eastAsiaTheme="minorHAnsi" w:hAnsi="Arial" w:cs="Arial"/>
          <w:b/>
          <w:szCs w:val="22"/>
        </w:rPr>
        <w:t>Taxes Other Than Income (TOTI)</w:t>
      </w:r>
    </w:p>
    <w:p w:rsidR="00AC18AE" w:rsidRPr="00BD2CEB" w:rsidRDefault="00AC18AE" w:rsidP="00AC18AE">
      <w:pPr>
        <w:jc w:val="both"/>
        <w:rPr>
          <w:rFonts w:eastAsiaTheme="minorHAnsi" w:cstheme="minorBidi"/>
          <w:szCs w:val="22"/>
        </w:rPr>
      </w:pPr>
      <w:r w:rsidRPr="00BD2CEB">
        <w:rPr>
          <w:rFonts w:eastAsiaTheme="minorHAnsi" w:cstheme="minorBidi"/>
          <w:szCs w:val="22"/>
        </w:rPr>
        <w:t xml:space="preserve">Brendenwood recorded TOTI of $1,933 for the test year. As a result of the staff audit, an adjustment was made to decrease this amount by $131 to reflect the audited amounts paid in 2020. Staff increased TOTI by $64 to reflect the appropriate </w:t>
      </w:r>
      <w:r w:rsidRPr="00BD2CEB">
        <w:rPr>
          <w:rFonts w:eastAsiaTheme="minorHAnsi"/>
        </w:rPr>
        <w:t>Regulatory Assessment Fees</w:t>
      </w:r>
      <w:r w:rsidR="00203A9E">
        <w:rPr>
          <w:rFonts w:eastAsiaTheme="minorHAnsi" w:cstheme="minorBidi"/>
          <w:szCs w:val="22"/>
        </w:rPr>
        <w:t xml:space="preserve"> (RAFs) based on corrected u</w:t>
      </w:r>
      <w:r w:rsidRPr="00BD2CEB">
        <w:rPr>
          <w:rFonts w:eastAsiaTheme="minorHAnsi" w:cstheme="minorBidi"/>
          <w:szCs w:val="22"/>
        </w:rPr>
        <w:t>tility test year revenues. Staff reviewed the 2021 Lake County Tax records and decrea</w:t>
      </w:r>
      <w:r w:rsidR="00203A9E">
        <w:rPr>
          <w:rFonts w:eastAsiaTheme="minorHAnsi" w:cstheme="minorBidi"/>
          <w:szCs w:val="22"/>
        </w:rPr>
        <w:t>sed TOTI by $59 to reflect the u</w:t>
      </w:r>
      <w:r w:rsidRPr="00BD2CEB">
        <w:rPr>
          <w:rFonts w:eastAsiaTheme="minorHAnsi" w:cstheme="minorBidi"/>
          <w:szCs w:val="22"/>
        </w:rPr>
        <w:t>tility’s 2021 property taxes.</w:t>
      </w:r>
      <w:r w:rsidRPr="00BD2CEB">
        <w:rPr>
          <w:rFonts w:eastAsiaTheme="minorHAnsi" w:cstheme="minorBidi"/>
          <w:szCs w:val="22"/>
          <w:vertAlign w:val="superscript"/>
        </w:rPr>
        <w:footnoteReference w:id="22"/>
      </w:r>
      <w:r w:rsidRPr="00BD2CEB">
        <w:rPr>
          <w:rFonts w:eastAsiaTheme="minorHAnsi" w:cstheme="minorBidi"/>
          <w:szCs w:val="22"/>
        </w:rPr>
        <w:t xml:space="preserve"> Staff’s adjustment reflects the four percent discount for early payment that is typically recognized by the Commission.</w:t>
      </w:r>
    </w:p>
    <w:p w:rsidR="00AC18AE" w:rsidRPr="00BD2CEB" w:rsidRDefault="00AC18AE" w:rsidP="00AC18AE">
      <w:pPr>
        <w:jc w:val="both"/>
        <w:rPr>
          <w:rFonts w:eastAsiaTheme="minorHAnsi"/>
        </w:rPr>
      </w:pPr>
    </w:p>
    <w:p w:rsidR="00AC18AE" w:rsidRPr="00BD2CEB" w:rsidRDefault="00AC18AE" w:rsidP="00AC18AE">
      <w:pPr>
        <w:jc w:val="both"/>
        <w:rPr>
          <w:rFonts w:eastAsiaTheme="minorHAnsi" w:cstheme="minorBidi"/>
        </w:rPr>
      </w:pPr>
      <w:r w:rsidRPr="00BD2CEB">
        <w:rPr>
          <w:rFonts w:eastAsiaTheme="minorHAnsi"/>
        </w:rPr>
        <w:t xml:space="preserve">As discussed in Issue 6, water revenues have been increased by $5,774 to reflect the change in revenue required to cover expenses and allow an opportunity to earn the recommended rate of return. As a result, TOTI should be increased by $230 to reflect RAFs of 4.5 percent of the change in revenues. </w:t>
      </w:r>
      <w:r w:rsidRPr="00BD2CEB">
        <w:rPr>
          <w:rFonts w:eastAsiaTheme="minorHAnsi" w:cstheme="minorBidi"/>
        </w:rPr>
        <w:t>Therefore, staff is recommending TOTI of $2,037 ($1,933 - $131 + $64 -</w:t>
      </w:r>
      <w:r w:rsidR="00D72EE8">
        <w:rPr>
          <w:rFonts w:eastAsiaTheme="minorHAnsi" w:cstheme="minorBidi"/>
        </w:rPr>
        <w:t xml:space="preserve"> </w:t>
      </w:r>
      <w:r w:rsidRPr="00BD2CEB">
        <w:rPr>
          <w:rFonts w:eastAsiaTheme="minorHAnsi" w:cstheme="minorBidi"/>
        </w:rPr>
        <w:t>$59 + $230).</w:t>
      </w:r>
    </w:p>
    <w:p w:rsidR="00AC18AE" w:rsidRPr="00BD2CEB" w:rsidRDefault="00AC18AE" w:rsidP="00AC18AE">
      <w:pPr>
        <w:jc w:val="both"/>
        <w:rPr>
          <w:rFonts w:eastAsiaTheme="minorHAnsi" w:cstheme="minorBidi"/>
        </w:rPr>
      </w:pPr>
    </w:p>
    <w:p w:rsidR="00AC18AE" w:rsidRPr="00BD2CEB" w:rsidRDefault="00AC18AE" w:rsidP="00AC18AE">
      <w:pPr>
        <w:jc w:val="both"/>
        <w:outlineLvl w:val="2"/>
        <w:rPr>
          <w:rFonts w:ascii="Arial" w:hAnsi="Arial" w:cs="Arial"/>
          <w:b/>
          <w:bCs/>
          <w:iCs/>
          <w:szCs w:val="28"/>
        </w:rPr>
      </w:pPr>
      <w:r w:rsidRPr="00BD2CEB">
        <w:rPr>
          <w:rFonts w:ascii="Arial" w:hAnsi="Arial" w:cs="Arial"/>
          <w:b/>
          <w:bCs/>
          <w:iCs/>
          <w:szCs w:val="28"/>
        </w:rPr>
        <w:t>Income Tax</w:t>
      </w:r>
    </w:p>
    <w:p w:rsidR="00AC18AE" w:rsidRPr="00BD2CEB" w:rsidRDefault="00203A9E" w:rsidP="00AC18AE">
      <w:pPr>
        <w:jc w:val="both"/>
        <w:rPr>
          <w:rFonts w:eastAsiaTheme="minorHAnsi" w:cstheme="minorBidi"/>
        </w:rPr>
      </w:pPr>
      <w:r>
        <w:rPr>
          <w:rFonts w:eastAsiaTheme="minorHAnsi" w:cstheme="minorBidi"/>
          <w:szCs w:val="22"/>
        </w:rPr>
        <w:t>The u</w:t>
      </w:r>
      <w:r w:rsidR="00AC18AE" w:rsidRPr="00BD2CEB">
        <w:rPr>
          <w:rFonts w:eastAsiaTheme="minorHAnsi" w:cstheme="minorBidi"/>
          <w:szCs w:val="22"/>
        </w:rPr>
        <w:t>tility is a Subchapter S Corporation and therefore did not record any income tax expense for the test year. As such, no adjustment to income tax expense is required.</w:t>
      </w:r>
    </w:p>
    <w:p w:rsidR="00AC18AE" w:rsidRPr="00BD2CEB" w:rsidRDefault="00AC18AE" w:rsidP="00AC18AE">
      <w:pPr>
        <w:jc w:val="both"/>
        <w:rPr>
          <w:rFonts w:eastAsiaTheme="minorHAnsi" w:cstheme="minorBidi"/>
          <w:color w:val="FF0000"/>
          <w:szCs w:val="22"/>
        </w:rPr>
      </w:pPr>
    </w:p>
    <w:p w:rsidR="00AC18AE" w:rsidRPr="00BD2CEB" w:rsidRDefault="00AC18AE" w:rsidP="00AC18AE">
      <w:pPr>
        <w:spacing w:line="276" w:lineRule="auto"/>
        <w:jc w:val="both"/>
        <w:rPr>
          <w:rFonts w:ascii="Arial" w:eastAsiaTheme="minorHAnsi" w:hAnsi="Arial" w:cs="Arial"/>
          <w:szCs w:val="22"/>
        </w:rPr>
      </w:pPr>
      <w:r w:rsidRPr="00BD2CEB">
        <w:rPr>
          <w:rFonts w:ascii="Arial" w:eastAsiaTheme="minorHAnsi" w:hAnsi="Arial" w:cs="Arial"/>
          <w:b/>
          <w:szCs w:val="22"/>
        </w:rPr>
        <w:t>Operating Expenses Summary</w:t>
      </w:r>
    </w:p>
    <w:p w:rsidR="00AC18AE" w:rsidRDefault="00AC18AE" w:rsidP="00AC18AE">
      <w:pPr>
        <w:pStyle w:val="BodyText"/>
      </w:pPr>
      <w:r w:rsidRPr="00BD2CEB">
        <w:rPr>
          <w:rFonts w:eastAsiaTheme="minorHAnsi" w:cstheme="minorBidi"/>
          <w:szCs w:val="22"/>
        </w:rPr>
        <w:t xml:space="preserve">The application of staff’s </w:t>
      </w:r>
      <w:r w:rsidR="00203A9E">
        <w:rPr>
          <w:rFonts w:eastAsiaTheme="minorHAnsi" w:cstheme="minorBidi"/>
          <w:szCs w:val="22"/>
        </w:rPr>
        <w:t>recommended adjustments to the u</w:t>
      </w:r>
      <w:r w:rsidRPr="00BD2CEB">
        <w:rPr>
          <w:rFonts w:eastAsiaTheme="minorHAnsi" w:cstheme="minorBidi"/>
          <w:szCs w:val="22"/>
        </w:rPr>
        <w:t>tility’s test year operating expenses result in a total operating expense of $32,034. Operating expenses are shown on Schedule No. 3- and the related adjustments are shown on Schedule No. 3-B.</w:t>
      </w:r>
    </w:p>
    <w:p w:rsidR="00AC18AE" w:rsidRDefault="00AC18AE">
      <w:pPr>
        <w:pStyle w:val="IssueHeading"/>
        <w:rPr>
          <w:vanish/>
          <w:specVanish/>
        </w:rPr>
      </w:pPr>
      <w:r w:rsidRPr="004C3641">
        <w:rPr>
          <w:b w:val="0"/>
          <w:i w:val="0"/>
        </w:rPr>
        <w:br w:type="page"/>
      </w:r>
      <w:r w:rsidRPr="004C3641">
        <w:t xml:space="preserve">Issue </w:t>
      </w:r>
      <w:r w:rsidR="00E54EE3">
        <w:fldChar w:fldCharType="begin"/>
      </w:r>
      <w:r w:rsidR="00E54EE3">
        <w:instrText xml:space="preserve"> SEQ Issue \* MERGEFORMAT </w:instrText>
      </w:r>
      <w:r w:rsidR="00E54EE3">
        <w:fldChar w:fldCharType="separate"/>
      </w:r>
      <w:r w:rsidR="004D1728">
        <w:rPr>
          <w:noProof/>
        </w:rPr>
        <w:t>8</w:t>
      </w:r>
      <w:r w:rsidR="00E54EE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5" w:name="_Toc91658996"/>
      <w:r w:rsidR="004D1728">
        <w:rPr>
          <w:noProof/>
        </w:rPr>
        <w:instrText>8</w:instrText>
      </w:r>
      <w:r>
        <w:fldChar w:fldCharType="end"/>
      </w:r>
      <w:r>
        <w:tab/>
        <w:instrText>Revenue Requirement</w:instrText>
      </w:r>
      <w:r w:rsidR="0071317B">
        <w:instrText xml:space="preserve"> </w:instrText>
      </w:r>
      <w:r>
        <w:instrText>(Bethea</w:instrText>
      </w:r>
      <w:r w:rsidR="0071317B">
        <w:instrText>, D. Brown</w:instrText>
      </w:r>
      <w:r>
        <w:instrText>)</w:instrText>
      </w:r>
      <w:bookmarkEnd w:id="25"/>
      <w:r>
        <w:instrText xml:space="preserve">" \l 1 </w:instrText>
      </w:r>
      <w:r>
        <w:fldChar w:fldCharType="end"/>
      </w:r>
      <w:r>
        <w:t> </w:t>
      </w:r>
    </w:p>
    <w:p w:rsidR="00AC18AE" w:rsidRDefault="00AC18AE">
      <w:pPr>
        <w:pStyle w:val="BodyText"/>
      </w:pPr>
      <w:r>
        <w:t> </w:t>
      </w:r>
      <w:r w:rsidR="00805696">
        <w:t>What is the appropriate revenue requirement for Brendenwood?</w:t>
      </w:r>
    </w:p>
    <w:p w:rsidR="00AC18AE" w:rsidRPr="004C3641" w:rsidRDefault="00AC18AE">
      <w:pPr>
        <w:pStyle w:val="IssueSubsectionHeading"/>
        <w:rPr>
          <w:vanish/>
          <w:specVanish/>
        </w:rPr>
      </w:pPr>
      <w:r w:rsidRPr="004C3641">
        <w:t>Recommendation: </w:t>
      </w:r>
    </w:p>
    <w:p w:rsidR="00AC18AE" w:rsidRDefault="00AC18AE">
      <w:pPr>
        <w:pStyle w:val="BodyText"/>
      </w:pPr>
      <w:r>
        <w:t> </w:t>
      </w:r>
      <w:r w:rsidR="00805696" w:rsidRPr="00EB0531">
        <w:t xml:space="preserve">The appropriate revenue requirement is </w:t>
      </w:r>
      <w:r w:rsidR="00805696" w:rsidRPr="000D385E">
        <w:t>$35,</w:t>
      </w:r>
      <w:r w:rsidR="00805696">
        <w:t>052</w:t>
      </w:r>
      <w:r w:rsidR="00805696" w:rsidRPr="000D385E">
        <w:t xml:space="preserve"> resulting in an annual increase of $5,1</w:t>
      </w:r>
      <w:r w:rsidR="00805696">
        <w:t>13</w:t>
      </w:r>
      <w:r w:rsidR="00805696" w:rsidRPr="000D385E">
        <w:t xml:space="preserve"> (17.</w:t>
      </w:r>
      <w:r w:rsidR="00805696">
        <w:t>08</w:t>
      </w:r>
      <w:r w:rsidR="00805696" w:rsidRPr="000D385E">
        <w:t xml:space="preserve"> percent).</w:t>
      </w:r>
      <w:r>
        <w:t xml:space="preserve"> (Bethea</w:t>
      </w:r>
      <w:r w:rsidR="0071317B">
        <w:t>, D. Brown</w:t>
      </w:r>
      <w:r>
        <w:t>)</w:t>
      </w:r>
    </w:p>
    <w:p w:rsidR="00AC18AE" w:rsidRPr="004C3641" w:rsidRDefault="00AC18AE">
      <w:pPr>
        <w:pStyle w:val="IssueSubsectionHeading"/>
        <w:rPr>
          <w:vanish/>
          <w:specVanish/>
        </w:rPr>
      </w:pPr>
      <w:r w:rsidRPr="004C3641">
        <w:t>Staff Analysis: </w:t>
      </w:r>
    </w:p>
    <w:p w:rsidR="00805696" w:rsidRPr="00BD2CEB" w:rsidRDefault="00AC18AE" w:rsidP="00805696">
      <w:pPr>
        <w:jc w:val="both"/>
      </w:pPr>
      <w:r>
        <w:t> </w:t>
      </w:r>
      <w:r w:rsidR="00805696" w:rsidRPr="00BD2CEB">
        <w:t>Brendenwood should be allowed an annual increase of $5,113 (17.08 percent). This should allow the utility the opportunity to recover its expenses and a 7.85 percent rate of return on its investment. The c</w:t>
      </w:r>
      <w:r w:rsidR="00805696">
        <w:t>alculations are shown in Table 8</w:t>
      </w:r>
      <w:r w:rsidR="00805696" w:rsidRPr="00BD2CEB">
        <w:t>-1:</w:t>
      </w:r>
    </w:p>
    <w:p w:rsidR="00805696" w:rsidRPr="00BD2CEB" w:rsidRDefault="00805696" w:rsidP="00805696">
      <w:pPr>
        <w:jc w:val="both"/>
      </w:pPr>
    </w:p>
    <w:p w:rsidR="00805696" w:rsidRPr="00BD2CEB" w:rsidRDefault="00805696" w:rsidP="00805696">
      <w:pPr>
        <w:jc w:val="center"/>
        <w:rPr>
          <w:rFonts w:ascii="Arial" w:hAnsi="Arial" w:cs="Arial"/>
          <w:b/>
        </w:rPr>
      </w:pPr>
      <w:r w:rsidRPr="00BD2CEB">
        <w:rPr>
          <w:rFonts w:ascii="Arial" w:hAnsi="Arial" w:cs="Arial"/>
          <w:b/>
        </w:rPr>
        <w:t>Table 8-1</w:t>
      </w:r>
    </w:p>
    <w:p w:rsidR="00805696" w:rsidRPr="00BD2CEB" w:rsidRDefault="00805696" w:rsidP="00805696">
      <w:pPr>
        <w:jc w:val="center"/>
        <w:rPr>
          <w:rFonts w:ascii="Arial" w:hAnsi="Arial" w:cs="Arial"/>
          <w:b/>
        </w:rPr>
      </w:pPr>
      <w:r w:rsidRPr="00BD2CEB">
        <w:rPr>
          <w:rFonts w:ascii="Arial" w:hAnsi="Arial" w:cs="Arial"/>
          <w:b/>
        </w:rPr>
        <w:t>Revenue Requirement</w:t>
      </w:r>
    </w:p>
    <w:tbl>
      <w:tblPr>
        <w:tblW w:w="0" w:type="auto"/>
        <w:jc w:val="center"/>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3681"/>
        <w:gridCol w:w="260"/>
        <w:gridCol w:w="1762"/>
      </w:tblGrid>
      <w:tr w:rsidR="00805696" w:rsidRPr="00BD2CEB" w:rsidTr="00650EAF">
        <w:trPr>
          <w:cantSplit/>
          <w:jc w:val="center"/>
        </w:trPr>
        <w:tc>
          <w:tcPr>
            <w:tcW w:w="3681" w:type="dxa"/>
          </w:tcPr>
          <w:p w:rsidR="00805696" w:rsidRPr="00BD2CEB" w:rsidRDefault="00805696" w:rsidP="00650EAF">
            <w:pPr>
              <w:spacing w:before="116" w:after="44"/>
            </w:pPr>
            <w:r w:rsidRPr="00BD2CEB">
              <w:t>Rate Base</w:t>
            </w:r>
            <w:r w:rsidRPr="00BD2CEB">
              <w:rPr>
                <w:strike/>
              </w:rPr>
              <w:t xml:space="preserve"> </w:t>
            </w:r>
          </w:p>
        </w:tc>
        <w:tc>
          <w:tcPr>
            <w:tcW w:w="260" w:type="dxa"/>
          </w:tcPr>
          <w:p w:rsidR="00805696" w:rsidRPr="00BD2CEB" w:rsidRDefault="00805696" w:rsidP="00650EAF">
            <w:pPr>
              <w:spacing w:before="116" w:after="44"/>
              <w:jc w:val="center"/>
            </w:pPr>
          </w:p>
        </w:tc>
        <w:tc>
          <w:tcPr>
            <w:tcW w:w="1762" w:type="dxa"/>
            <w:tcBorders>
              <w:bottom w:val="nil"/>
            </w:tcBorders>
          </w:tcPr>
          <w:p w:rsidR="00805696" w:rsidRPr="00BD2CEB" w:rsidRDefault="00805696" w:rsidP="00650EAF">
            <w:pPr>
              <w:spacing w:before="116" w:after="44"/>
              <w:jc w:val="right"/>
            </w:pPr>
            <w:r w:rsidRPr="00BD2CEB">
              <w:t>$38,447</w:t>
            </w:r>
          </w:p>
        </w:tc>
      </w:tr>
      <w:tr w:rsidR="00805696" w:rsidRPr="00BD2CEB" w:rsidTr="00650EAF">
        <w:trPr>
          <w:cantSplit/>
          <w:jc w:val="center"/>
        </w:trPr>
        <w:tc>
          <w:tcPr>
            <w:tcW w:w="3681" w:type="dxa"/>
          </w:tcPr>
          <w:p w:rsidR="00805696" w:rsidRPr="00BD2CEB" w:rsidRDefault="00805696" w:rsidP="00650EAF">
            <w:pPr>
              <w:spacing w:before="116" w:after="44"/>
            </w:pPr>
            <w:r w:rsidRPr="00BD2CEB">
              <w:rPr>
                <w:rFonts w:eastAsiaTheme="minorHAnsi"/>
              </w:rPr>
              <w:t>Rate of Return</w:t>
            </w:r>
            <w:r w:rsidRPr="00BD2CEB">
              <w:t xml:space="preserve"> (%)</w:t>
            </w:r>
          </w:p>
        </w:tc>
        <w:tc>
          <w:tcPr>
            <w:tcW w:w="260" w:type="dxa"/>
          </w:tcPr>
          <w:p w:rsidR="00805696" w:rsidRPr="00BD2CEB" w:rsidRDefault="00805696" w:rsidP="00650EAF">
            <w:pPr>
              <w:spacing w:before="116" w:after="44"/>
              <w:jc w:val="center"/>
            </w:pPr>
          </w:p>
        </w:tc>
        <w:tc>
          <w:tcPr>
            <w:tcW w:w="1762" w:type="dxa"/>
            <w:tcBorders>
              <w:top w:val="nil"/>
              <w:bottom w:val="nil"/>
              <w:right w:val="single" w:sz="4" w:space="0" w:color="auto"/>
            </w:tcBorders>
          </w:tcPr>
          <w:p w:rsidR="00805696" w:rsidRPr="00BD2CEB" w:rsidRDefault="00805696" w:rsidP="00650EAF">
            <w:pPr>
              <w:spacing w:before="116" w:after="44"/>
              <w:jc w:val="right"/>
              <w:rPr>
                <w:u w:val="single"/>
              </w:rPr>
            </w:pPr>
            <w:r w:rsidRPr="00BD2CEB">
              <w:rPr>
                <w:u w:val="single"/>
              </w:rPr>
              <w:t>x 7.85%</w:t>
            </w:r>
          </w:p>
        </w:tc>
      </w:tr>
      <w:tr w:rsidR="00805696" w:rsidRPr="00BD2CEB" w:rsidTr="00650EAF">
        <w:trPr>
          <w:cantSplit/>
          <w:jc w:val="center"/>
        </w:trPr>
        <w:tc>
          <w:tcPr>
            <w:tcW w:w="3681" w:type="dxa"/>
          </w:tcPr>
          <w:p w:rsidR="00805696" w:rsidRPr="00BD2CEB" w:rsidRDefault="00805696" w:rsidP="00650EAF">
            <w:pPr>
              <w:spacing w:before="116" w:after="44"/>
            </w:pPr>
            <w:r w:rsidRPr="00BD2CEB">
              <w:rPr>
                <w:rFonts w:eastAsiaTheme="minorHAnsi"/>
              </w:rPr>
              <w:t>Return on Rate Base</w:t>
            </w:r>
          </w:p>
        </w:tc>
        <w:tc>
          <w:tcPr>
            <w:tcW w:w="260" w:type="dxa"/>
          </w:tcPr>
          <w:p w:rsidR="00805696" w:rsidRPr="00BD2CEB" w:rsidRDefault="00805696" w:rsidP="00650EAF">
            <w:pPr>
              <w:spacing w:before="116" w:after="44"/>
              <w:jc w:val="center"/>
            </w:pPr>
          </w:p>
        </w:tc>
        <w:tc>
          <w:tcPr>
            <w:tcW w:w="1762" w:type="dxa"/>
            <w:tcBorders>
              <w:top w:val="nil"/>
            </w:tcBorders>
          </w:tcPr>
          <w:p w:rsidR="00805696" w:rsidRPr="00BD2CEB" w:rsidRDefault="00805696" w:rsidP="00650EAF">
            <w:pPr>
              <w:spacing w:before="116" w:after="44"/>
              <w:jc w:val="right"/>
            </w:pPr>
            <w:r w:rsidRPr="00BD2CEB">
              <w:t>$3,018</w:t>
            </w:r>
          </w:p>
        </w:tc>
      </w:tr>
      <w:tr w:rsidR="00805696" w:rsidRPr="00BD2CEB" w:rsidTr="00650EAF">
        <w:trPr>
          <w:cantSplit/>
          <w:jc w:val="center"/>
        </w:trPr>
        <w:tc>
          <w:tcPr>
            <w:tcW w:w="3681" w:type="dxa"/>
          </w:tcPr>
          <w:p w:rsidR="00805696" w:rsidRPr="00BD2CEB" w:rsidRDefault="00805696" w:rsidP="00650EAF">
            <w:pPr>
              <w:spacing w:before="116" w:after="44"/>
            </w:pPr>
            <w:r w:rsidRPr="00BD2CEB">
              <w:t>O&amp;M Expense</w:t>
            </w:r>
          </w:p>
        </w:tc>
        <w:tc>
          <w:tcPr>
            <w:tcW w:w="260" w:type="dxa"/>
          </w:tcPr>
          <w:p w:rsidR="00805696" w:rsidRPr="00BD2CEB" w:rsidRDefault="00805696" w:rsidP="00650EAF">
            <w:pPr>
              <w:spacing w:before="116" w:after="44"/>
              <w:jc w:val="center"/>
            </w:pPr>
          </w:p>
        </w:tc>
        <w:tc>
          <w:tcPr>
            <w:tcW w:w="1762" w:type="dxa"/>
          </w:tcPr>
          <w:p w:rsidR="00805696" w:rsidRPr="00BD2CEB" w:rsidRDefault="00805696" w:rsidP="00650EAF">
            <w:pPr>
              <w:spacing w:before="116" w:after="44"/>
              <w:jc w:val="right"/>
            </w:pPr>
            <w:r w:rsidRPr="00BD2CEB">
              <w:t>27,902</w:t>
            </w:r>
          </w:p>
        </w:tc>
      </w:tr>
      <w:tr w:rsidR="00805696" w:rsidRPr="00BD2CEB" w:rsidTr="00650EAF">
        <w:trPr>
          <w:cantSplit/>
          <w:jc w:val="center"/>
        </w:trPr>
        <w:tc>
          <w:tcPr>
            <w:tcW w:w="3681" w:type="dxa"/>
          </w:tcPr>
          <w:p w:rsidR="00805696" w:rsidRPr="00BD2CEB" w:rsidRDefault="00805696" w:rsidP="00650EAF">
            <w:pPr>
              <w:spacing w:before="116" w:after="44"/>
            </w:pPr>
            <w:r w:rsidRPr="00BD2CEB">
              <w:t xml:space="preserve">Depreciation Expense (Net) </w:t>
            </w:r>
          </w:p>
        </w:tc>
        <w:tc>
          <w:tcPr>
            <w:tcW w:w="260" w:type="dxa"/>
          </w:tcPr>
          <w:p w:rsidR="00805696" w:rsidRPr="00BD2CEB" w:rsidRDefault="00805696" w:rsidP="00650EAF">
            <w:pPr>
              <w:spacing w:before="116" w:after="44"/>
              <w:jc w:val="center"/>
            </w:pPr>
          </w:p>
        </w:tc>
        <w:tc>
          <w:tcPr>
            <w:tcW w:w="1762" w:type="dxa"/>
            <w:tcBorders>
              <w:bottom w:val="nil"/>
            </w:tcBorders>
          </w:tcPr>
          <w:p w:rsidR="00805696" w:rsidRPr="00BD2CEB" w:rsidRDefault="00805696" w:rsidP="00650EAF">
            <w:pPr>
              <w:spacing w:before="116" w:after="44"/>
              <w:jc w:val="right"/>
            </w:pPr>
            <w:r w:rsidRPr="00BD2CEB">
              <w:t>2,095</w:t>
            </w:r>
          </w:p>
        </w:tc>
      </w:tr>
      <w:tr w:rsidR="00805696" w:rsidRPr="00BD2CEB" w:rsidTr="00650EAF">
        <w:trPr>
          <w:cantSplit/>
          <w:jc w:val="center"/>
        </w:trPr>
        <w:tc>
          <w:tcPr>
            <w:tcW w:w="3681" w:type="dxa"/>
          </w:tcPr>
          <w:p w:rsidR="00805696" w:rsidRPr="00BD2CEB" w:rsidRDefault="00805696" w:rsidP="00650EAF">
            <w:pPr>
              <w:spacing w:before="116" w:after="44"/>
            </w:pPr>
            <w:r w:rsidRPr="00BD2CEB">
              <w:t>Taxes Other Than Income</w:t>
            </w:r>
          </w:p>
        </w:tc>
        <w:tc>
          <w:tcPr>
            <w:tcW w:w="260" w:type="dxa"/>
          </w:tcPr>
          <w:p w:rsidR="00805696" w:rsidRPr="00BD2CEB" w:rsidRDefault="00805696" w:rsidP="00650EAF">
            <w:pPr>
              <w:spacing w:before="116" w:after="44"/>
              <w:jc w:val="center"/>
            </w:pPr>
          </w:p>
        </w:tc>
        <w:tc>
          <w:tcPr>
            <w:tcW w:w="1762" w:type="dxa"/>
            <w:tcBorders>
              <w:top w:val="nil"/>
              <w:bottom w:val="nil"/>
              <w:right w:val="single" w:sz="4" w:space="0" w:color="auto"/>
            </w:tcBorders>
          </w:tcPr>
          <w:p w:rsidR="00805696" w:rsidRPr="00BD2CEB" w:rsidRDefault="00805696" w:rsidP="00650EAF">
            <w:pPr>
              <w:spacing w:before="116" w:after="44"/>
              <w:jc w:val="right"/>
              <w:rPr>
                <w:u w:val="single"/>
              </w:rPr>
            </w:pPr>
            <w:r w:rsidRPr="00BD2CEB">
              <w:rPr>
                <w:u w:val="single"/>
              </w:rPr>
              <w:t>2,037</w:t>
            </w:r>
          </w:p>
        </w:tc>
      </w:tr>
      <w:tr w:rsidR="00805696" w:rsidRPr="00BD2CEB" w:rsidTr="00650EAF">
        <w:trPr>
          <w:cantSplit/>
          <w:jc w:val="center"/>
        </w:trPr>
        <w:tc>
          <w:tcPr>
            <w:tcW w:w="3681" w:type="dxa"/>
          </w:tcPr>
          <w:p w:rsidR="00805696" w:rsidRPr="00BD2CEB" w:rsidRDefault="00805696" w:rsidP="00650EAF">
            <w:pPr>
              <w:spacing w:before="116" w:after="44"/>
            </w:pPr>
            <w:r w:rsidRPr="00BD2CEB">
              <w:t xml:space="preserve">Revenue Requirement </w:t>
            </w:r>
          </w:p>
        </w:tc>
        <w:tc>
          <w:tcPr>
            <w:tcW w:w="260" w:type="dxa"/>
          </w:tcPr>
          <w:p w:rsidR="00805696" w:rsidRPr="00BD2CEB" w:rsidRDefault="00805696" w:rsidP="00650EAF">
            <w:pPr>
              <w:spacing w:before="116" w:after="44"/>
              <w:jc w:val="center"/>
            </w:pPr>
          </w:p>
        </w:tc>
        <w:tc>
          <w:tcPr>
            <w:tcW w:w="1762" w:type="dxa"/>
            <w:tcBorders>
              <w:top w:val="nil"/>
              <w:bottom w:val="nil"/>
              <w:right w:val="single" w:sz="4" w:space="0" w:color="auto"/>
            </w:tcBorders>
          </w:tcPr>
          <w:p w:rsidR="00805696" w:rsidRPr="00BD2CEB" w:rsidRDefault="00805696" w:rsidP="00650EAF">
            <w:pPr>
              <w:spacing w:before="116" w:after="44"/>
              <w:jc w:val="right"/>
              <w:rPr>
                <w:u w:val="double"/>
              </w:rPr>
            </w:pPr>
            <w:r w:rsidRPr="00BD2CEB">
              <w:rPr>
                <w:u w:val="double"/>
              </w:rPr>
              <w:t>$35,052</w:t>
            </w:r>
          </w:p>
        </w:tc>
      </w:tr>
      <w:tr w:rsidR="00805696" w:rsidRPr="00BD2CEB" w:rsidTr="00650EAF">
        <w:trPr>
          <w:cantSplit/>
          <w:jc w:val="center"/>
        </w:trPr>
        <w:tc>
          <w:tcPr>
            <w:tcW w:w="3681" w:type="dxa"/>
          </w:tcPr>
          <w:p w:rsidR="00805696" w:rsidRPr="00BD2CEB" w:rsidRDefault="00805696" w:rsidP="00650EAF">
            <w:pPr>
              <w:spacing w:before="116" w:after="44"/>
            </w:pPr>
            <w:r w:rsidRPr="00BD2CEB">
              <w:t>Less Adjusted Test Year Revenues</w:t>
            </w:r>
          </w:p>
        </w:tc>
        <w:tc>
          <w:tcPr>
            <w:tcW w:w="260" w:type="dxa"/>
          </w:tcPr>
          <w:p w:rsidR="00805696" w:rsidRPr="00BD2CEB" w:rsidRDefault="00805696" w:rsidP="00650EAF">
            <w:pPr>
              <w:spacing w:before="116" w:after="44"/>
              <w:jc w:val="center"/>
            </w:pPr>
          </w:p>
        </w:tc>
        <w:tc>
          <w:tcPr>
            <w:tcW w:w="1762" w:type="dxa"/>
            <w:tcBorders>
              <w:top w:val="nil"/>
              <w:bottom w:val="nil"/>
              <w:right w:val="single" w:sz="4" w:space="0" w:color="auto"/>
            </w:tcBorders>
          </w:tcPr>
          <w:p w:rsidR="00805696" w:rsidRPr="00BD2CEB" w:rsidRDefault="00805696" w:rsidP="00650EAF">
            <w:pPr>
              <w:spacing w:before="116" w:after="44"/>
              <w:jc w:val="right"/>
              <w:rPr>
                <w:u w:val="single"/>
              </w:rPr>
            </w:pPr>
            <w:r w:rsidRPr="00BD2CEB">
              <w:rPr>
                <w:u w:val="single"/>
              </w:rPr>
              <w:t>29,939</w:t>
            </w:r>
          </w:p>
        </w:tc>
      </w:tr>
      <w:tr w:rsidR="00805696" w:rsidRPr="00BD2CEB" w:rsidTr="00650EAF">
        <w:trPr>
          <w:cantSplit/>
          <w:jc w:val="center"/>
        </w:trPr>
        <w:tc>
          <w:tcPr>
            <w:tcW w:w="3681" w:type="dxa"/>
          </w:tcPr>
          <w:p w:rsidR="00805696" w:rsidRPr="00BD2CEB" w:rsidRDefault="00805696" w:rsidP="00650EAF">
            <w:pPr>
              <w:spacing w:before="116" w:after="44"/>
            </w:pPr>
            <w:r w:rsidRPr="00BD2CEB">
              <w:t>Annual Increase</w:t>
            </w:r>
          </w:p>
        </w:tc>
        <w:tc>
          <w:tcPr>
            <w:tcW w:w="260" w:type="dxa"/>
          </w:tcPr>
          <w:p w:rsidR="00805696" w:rsidRPr="00BD2CEB" w:rsidRDefault="00805696" w:rsidP="00650EAF">
            <w:pPr>
              <w:spacing w:before="116" w:after="44"/>
              <w:jc w:val="center"/>
            </w:pPr>
          </w:p>
        </w:tc>
        <w:tc>
          <w:tcPr>
            <w:tcW w:w="1762" w:type="dxa"/>
            <w:tcBorders>
              <w:top w:val="nil"/>
            </w:tcBorders>
          </w:tcPr>
          <w:p w:rsidR="00805696" w:rsidRPr="00BD2CEB" w:rsidRDefault="00805696" w:rsidP="00650EAF">
            <w:pPr>
              <w:spacing w:before="116" w:after="44"/>
              <w:jc w:val="right"/>
            </w:pPr>
            <w:r w:rsidRPr="00BD2CEB">
              <w:rPr>
                <w:u w:val="double"/>
              </w:rPr>
              <w:t>$5,113</w:t>
            </w:r>
          </w:p>
        </w:tc>
      </w:tr>
      <w:tr w:rsidR="00805696" w:rsidRPr="00BD2CEB" w:rsidTr="00650EAF">
        <w:trPr>
          <w:cantSplit/>
          <w:jc w:val="center"/>
        </w:trPr>
        <w:tc>
          <w:tcPr>
            <w:tcW w:w="3681" w:type="dxa"/>
          </w:tcPr>
          <w:p w:rsidR="00805696" w:rsidRPr="00BD2CEB" w:rsidRDefault="00805696" w:rsidP="00650EAF">
            <w:pPr>
              <w:spacing w:before="116" w:after="44"/>
            </w:pPr>
            <w:r w:rsidRPr="00BD2CEB">
              <w:t>Percent Increase</w:t>
            </w:r>
          </w:p>
        </w:tc>
        <w:tc>
          <w:tcPr>
            <w:tcW w:w="260" w:type="dxa"/>
          </w:tcPr>
          <w:p w:rsidR="00805696" w:rsidRPr="00BD2CEB" w:rsidRDefault="00805696" w:rsidP="00650EAF">
            <w:pPr>
              <w:spacing w:before="116" w:after="44"/>
              <w:jc w:val="center"/>
            </w:pPr>
          </w:p>
        </w:tc>
        <w:tc>
          <w:tcPr>
            <w:tcW w:w="1762" w:type="dxa"/>
          </w:tcPr>
          <w:p w:rsidR="00805696" w:rsidRPr="00BD2CEB" w:rsidRDefault="00805696" w:rsidP="00650EAF">
            <w:pPr>
              <w:spacing w:before="116" w:after="44"/>
              <w:jc w:val="right"/>
              <w:rPr>
                <w:u w:val="double"/>
              </w:rPr>
            </w:pPr>
            <w:r w:rsidRPr="00BD2CEB">
              <w:rPr>
                <w:u w:val="double"/>
              </w:rPr>
              <w:t>17.08%</w:t>
            </w:r>
          </w:p>
        </w:tc>
      </w:tr>
    </w:tbl>
    <w:p w:rsidR="00805696" w:rsidRDefault="00805696">
      <w:pPr>
        <w:pStyle w:val="IssueHeading"/>
        <w:rPr>
          <w:vanish/>
          <w:specVanish/>
        </w:rPr>
      </w:pPr>
      <w:r w:rsidRPr="004C3641">
        <w:rPr>
          <w:b w:val="0"/>
          <w:i w:val="0"/>
        </w:rPr>
        <w:br w:type="page"/>
      </w:r>
      <w:r w:rsidRPr="004C3641">
        <w:t xml:space="preserve">Issue </w:t>
      </w:r>
      <w:r w:rsidR="00E54EE3">
        <w:fldChar w:fldCharType="begin"/>
      </w:r>
      <w:r w:rsidR="00E54EE3">
        <w:instrText xml:space="preserve"> SEQ Issue \* MERGEFORMAT </w:instrText>
      </w:r>
      <w:r w:rsidR="00E54EE3">
        <w:fldChar w:fldCharType="separate"/>
      </w:r>
      <w:r w:rsidR="004D1728">
        <w:rPr>
          <w:noProof/>
        </w:rPr>
        <w:t>9</w:t>
      </w:r>
      <w:r w:rsidR="00E54EE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6" w:name="_Toc91658997"/>
      <w:r w:rsidR="004D1728">
        <w:rPr>
          <w:noProof/>
        </w:rPr>
        <w:instrText>9</w:instrText>
      </w:r>
      <w:r>
        <w:fldChar w:fldCharType="end"/>
      </w:r>
      <w:r>
        <w:tab/>
        <w:instrText>Rate Structure and Rates</w:instrText>
      </w:r>
      <w:r w:rsidR="0071317B">
        <w:instrText xml:space="preserve"> </w:instrText>
      </w:r>
      <w:r>
        <w:instrText>(Bethea)</w:instrText>
      </w:r>
      <w:bookmarkEnd w:id="26"/>
      <w:r>
        <w:instrText xml:space="preserve">" \l 1 </w:instrText>
      </w:r>
      <w:r>
        <w:fldChar w:fldCharType="end"/>
      </w:r>
      <w:r>
        <w:t> </w:t>
      </w:r>
    </w:p>
    <w:p w:rsidR="00805696" w:rsidRDefault="00805696">
      <w:pPr>
        <w:pStyle w:val="BodyText"/>
      </w:pPr>
      <w:r>
        <w:t> What are the appropriate rate structure and rates for Brendenwood's water system?</w:t>
      </w:r>
    </w:p>
    <w:p w:rsidR="00805696" w:rsidRPr="004C3641" w:rsidRDefault="00805696">
      <w:pPr>
        <w:pStyle w:val="IssueSubsectionHeading"/>
        <w:rPr>
          <w:vanish/>
          <w:specVanish/>
        </w:rPr>
      </w:pPr>
      <w:r w:rsidRPr="004C3641">
        <w:t>Recommendation: </w:t>
      </w:r>
    </w:p>
    <w:p w:rsidR="00805696" w:rsidRDefault="00805696">
      <w:pPr>
        <w:pStyle w:val="BodyText"/>
      </w:pPr>
      <w:r>
        <w:t> </w:t>
      </w:r>
      <w:r w:rsidRPr="006F38B0">
        <w:t>The recommended rate structure and monthly water rates ar</w:t>
      </w:r>
      <w:r>
        <w:t>e shown on Schedule No. 4. The u</w:t>
      </w:r>
      <w:r w:rsidRPr="006F38B0">
        <w:t>tility should file revised tariff sheets and a proposed customer notice to reflect the Commission-approved rates. The approved rates should be effective for service rendered on or after the stamped approval date on the tariff sheet</w:t>
      </w:r>
      <w:r>
        <w:t>s</w:t>
      </w:r>
      <w:r w:rsidRPr="006F38B0">
        <w:t xml:space="preserve"> pursuant to Rule 25-30.475(1), F.A.C. In addition, the approved rates should not be implemented until staff has approved the proposed customer notice and the notice has been </w:t>
      </w:r>
      <w:r>
        <w:t>received by the customers. The u</w:t>
      </w:r>
      <w:r w:rsidRPr="006F38B0">
        <w:t>tility should provide proof of the date notice was given wi</w:t>
      </w:r>
      <w:r>
        <w:t>thin 10 days of the date of the</w:t>
      </w:r>
      <w:r w:rsidRPr="006F38B0">
        <w:t xml:space="preserve"> notice.</w:t>
      </w:r>
      <w:r>
        <w:t xml:space="preserve"> (Bethea)</w:t>
      </w:r>
    </w:p>
    <w:p w:rsidR="00805696" w:rsidRPr="004C3641" w:rsidRDefault="00805696">
      <w:pPr>
        <w:pStyle w:val="IssueSubsectionHeading"/>
        <w:rPr>
          <w:vanish/>
          <w:specVanish/>
        </w:rPr>
      </w:pPr>
      <w:r w:rsidRPr="004C3641">
        <w:t>Staff Analysis: </w:t>
      </w:r>
    </w:p>
    <w:p w:rsidR="00805696" w:rsidRPr="00855F60" w:rsidRDefault="00805696" w:rsidP="00805696">
      <w:pPr>
        <w:jc w:val="both"/>
        <w:rPr>
          <w:rFonts w:eastAsiaTheme="minorHAnsi" w:cstheme="minorBidi"/>
          <w:szCs w:val="22"/>
        </w:rPr>
      </w:pPr>
      <w:r>
        <w:t> </w:t>
      </w:r>
      <w:r w:rsidRPr="00855F60">
        <w:rPr>
          <w:rFonts w:eastAsiaTheme="minorHAnsi" w:cstheme="minorBidi"/>
          <w:szCs w:val="22"/>
        </w:rPr>
        <w:t xml:space="preserve">Brendenwood is located in Lake County within the </w:t>
      </w:r>
      <w:r>
        <w:rPr>
          <w:rFonts w:eastAsiaTheme="minorHAnsi" w:cstheme="minorBidi"/>
          <w:szCs w:val="22"/>
        </w:rPr>
        <w:t>SJRWMD</w:t>
      </w:r>
      <w:r w:rsidRPr="00855F60">
        <w:rPr>
          <w:rFonts w:eastAsiaTheme="minorHAnsi" w:cstheme="minorBidi"/>
          <w:szCs w:val="22"/>
        </w:rPr>
        <w:t>. This area has been designated as a wate</w:t>
      </w:r>
      <w:r>
        <w:rPr>
          <w:rFonts w:eastAsiaTheme="minorHAnsi" w:cstheme="minorBidi"/>
          <w:szCs w:val="22"/>
        </w:rPr>
        <w:t>r use caution area. The u</w:t>
      </w:r>
      <w:r w:rsidRPr="00855F60">
        <w:rPr>
          <w:rFonts w:eastAsiaTheme="minorHAnsi" w:cstheme="minorBidi"/>
          <w:szCs w:val="22"/>
        </w:rPr>
        <w:t xml:space="preserve">tility provides water service to 58 residential customers and one general service customer. Approximately 7 percent of the residential customer bills during the test year had zero gallons, indicating a non-seasonal customer base. The average residential water demand is 10,001 gallons per month. The average water demand excluding zero gallon bills is 10,703 gallons per month. Currently, the utility’s water rate structure consists of a monthly base facility charge (BFC) </w:t>
      </w:r>
      <w:r>
        <w:rPr>
          <w:rFonts w:eastAsiaTheme="minorHAnsi" w:cstheme="minorBidi"/>
          <w:szCs w:val="22"/>
        </w:rPr>
        <w:t>and</w:t>
      </w:r>
      <w:r w:rsidRPr="00855F60">
        <w:t xml:space="preserve"> a three-tier inclining block rate structure, which includes separate gallonage charges for discretionary and non-discretionary usage for residential water customers. The rate blocks are: (1) 0-5,000 gallons; (2) 5,001-10,000 gallons; </w:t>
      </w:r>
      <w:r w:rsidR="002867CB">
        <w:t xml:space="preserve">and </w:t>
      </w:r>
      <w:r w:rsidRPr="00855F60">
        <w:t>(3) all usage in excess of 10,000 gallons per month.</w:t>
      </w:r>
      <w:r w:rsidRPr="00855F60">
        <w:rPr>
          <w:rFonts w:eastAsiaTheme="minorHAnsi" w:cstheme="minorBidi"/>
          <w:szCs w:val="22"/>
        </w:rPr>
        <w:t xml:space="preserve"> General service rate structure consists of a monthly BFC and a gallonage charge. </w:t>
      </w:r>
    </w:p>
    <w:p w:rsidR="00805696" w:rsidRPr="00855F60" w:rsidRDefault="00805696" w:rsidP="00805696">
      <w:pPr>
        <w:jc w:val="both"/>
        <w:rPr>
          <w:rFonts w:eastAsiaTheme="minorHAnsi" w:cstheme="minorBidi"/>
          <w:szCs w:val="22"/>
        </w:rPr>
      </w:pPr>
    </w:p>
    <w:p w:rsidR="00805696" w:rsidRPr="00855F60" w:rsidRDefault="00805696" w:rsidP="00805696">
      <w:pPr>
        <w:jc w:val="both"/>
        <w:rPr>
          <w:rFonts w:eastAsiaTheme="minorHAnsi" w:cstheme="minorBidi"/>
          <w:szCs w:val="22"/>
        </w:rPr>
      </w:pPr>
      <w:r w:rsidRPr="00855F60">
        <w:rPr>
          <w:rFonts w:eastAsiaTheme="minorHAnsi" w:cstheme="minorBidi"/>
          <w:szCs w:val="22"/>
        </w:rPr>
        <w:t>Staf</w:t>
      </w:r>
      <w:r>
        <w:rPr>
          <w:rFonts w:eastAsiaTheme="minorHAnsi" w:cstheme="minorBidi"/>
          <w:szCs w:val="22"/>
        </w:rPr>
        <w:t>f performed an analysis of the u</w:t>
      </w:r>
      <w:r w:rsidRPr="00855F60">
        <w:rPr>
          <w:rFonts w:eastAsiaTheme="minorHAnsi" w:cstheme="minorBidi"/>
          <w:szCs w:val="22"/>
        </w:rPr>
        <w:t xml:space="preserve">tility’s billing in order to evaluate the appropriate rate structure for the residential water customers. The goal of the evaluation was to select the rate design parameters that: </w:t>
      </w:r>
      <w:r>
        <w:rPr>
          <w:rFonts w:eastAsiaTheme="minorHAnsi" w:cstheme="minorBidi"/>
          <w:szCs w:val="22"/>
        </w:rPr>
        <w:t>(</w:t>
      </w:r>
      <w:r w:rsidRPr="00855F60">
        <w:rPr>
          <w:rFonts w:eastAsiaTheme="minorHAnsi" w:cstheme="minorBidi"/>
          <w:szCs w:val="22"/>
        </w:rPr>
        <w:t xml:space="preserve">1) produce the recommended revenue requirement; </w:t>
      </w:r>
      <w:r>
        <w:rPr>
          <w:rFonts w:eastAsiaTheme="minorHAnsi" w:cstheme="minorBidi"/>
          <w:szCs w:val="22"/>
        </w:rPr>
        <w:t>(</w:t>
      </w:r>
      <w:r w:rsidRPr="00855F60">
        <w:rPr>
          <w:rFonts w:eastAsiaTheme="minorHAnsi" w:cstheme="minorBidi"/>
          <w:szCs w:val="22"/>
        </w:rPr>
        <w:t>2) equitably dist</w:t>
      </w:r>
      <w:r>
        <w:rPr>
          <w:rFonts w:eastAsiaTheme="minorHAnsi" w:cstheme="minorBidi"/>
          <w:szCs w:val="22"/>
        </w:rPr>
        <w:t>ribute cost recovery among the u</w:t>
      </w:r>
      <w:r w:rsidRPr="00855F60">
        <w:rPr>
          <w:rFonts w:eastAsiaTheme="minorHAnsi" w:cstheme="minorBidi"/>
          <w:szCs w:val="22"/>
        </w:rPr>
        <w:t xml:space="preserve">tility’s customers; </w:t>
      </w:r>
      <w:r>
        <w:rPr>
          <w:rFonts w:eastAsiaTheme="minorHAnsi" w:cstheme="minorBidi"/>
          <w:szCs w:val="22"/>
        </w:rPr>
        <w:t>(</w:t>
      </w:r>
      <w:r w:rsidRPr="00855F60">
        <w:rPr>
          <w:rFonts w:eastAsiaTheme="minorHAnsi" w:cstheme="minorBidi"/>
          <w:szCs w:val="22"/>
        </w:rPr>
        <w:t xml:space="preserve">3) establish the appropriate non-discretionary usage threshold for restricting repression; and </w:t>
      </w:r>
      <w:r>
        <w:rPr>
          <w:rFonts w:eastAsiaTheme="minorHAnsi" w:cstheme="minorBidi"/>
          <w:szCs w:val="22"/>
        </w:rPr>
        <w:t>(</w:t>
      </w:r>
      <w:r w:rsidRPr="00855F60">
        <w:rPr>
          <w:rFonts w:eastAsiaTheme="minorHAnsi" w:cstheme="minorBidi"/>
          <w:szCs w:val="22"/>
        </w:rPr>
        <w:t>4) implement, where appropriate, water conserving rate structures consistent with Commission practice.</w:t>
      </w:r>
    </w:p>
    <w:p w:rsidR="00805696" w:rsidRPr="00855F60" w:rsidRDefault="00805696" w:rsidP="00805696">
      <w:pPr>
        <w:jc w:val="both"/>
        <w:rPr>
          <w:rFonts w:eastAsiaTheme="minorHAnsi" w:cstheme="minorBidi"/>
          <w:szCs w:val="22"/>
        </w:rPr>
      </w:pPr>
    </w:p>
    <w:p w:rsidR="00805696" w:rsidRDefault="00805696" w:rsidP="00805696">
      <w:pPr>
        <w:jc w:val="both"/>
      </w:pPr>
      <w:r w:rsidRPr="00855F60">
        <w:t>In this case, staff recommends that 30 percent of the water revenues be generated from the BFC, which will provide sufficient revenues to design gallonage charges that send pricing signals to customers using above the non-discretionary level. The average people per household served by the water system is 2.5; therefore, based on the number of people per household, 50 gallons per day per person, and the number of days per month, the non-discretionary usage threshold should be 4,000 gallons per month.</w:t>
      </w:r>
      <w:r w:rsidRPr="00855F60">
        <w:rPr>
          <w:vertAlign w:val="superscript"/>
        </w:rPr>
        <w:footnoteReference w:id="23"/>
      </w:r>
      <w:r w:rsidRPr="00855F60">
        <w:t xml:space="preserve"> Staff’s review of the billing analysis indicates that the discretionary usage above 4,000</w:t>
      </w:r>
      <w:r>
        <w:t xml:space="preserve"> gallons</w:t>
      </w:r>
      <w:r w:rsidRPr="00855F60">
        <w:t xml:space="preserve"> represents </w:t>
      </w:r>
      <w:r>
        <w:t>58</w:t>
      </w:r>
      <w:r w:rsidRPr="00855F60">
        <w:t xml:space="preserve"> percent of the bills, wh</w:t>
      </w:r>
      <w:r>
        <w:t>ich account for approximately 68</w:t>
      </w:r>
      <w:r w:rsidRPr="00855F60">
        <w:t xml:space="preserve"> percent of the water demand. This is considered high discretionary usage for this customer base. </w:t>
      </w:r>
    </w:p>
    <w:p w:rsidR="00805696" w:rsidRDefault="00805696" w:rsidP="00805696">
      <w:pPr>
        <w:jc w:val="both"/>
      </w:pPr>
    </w:p>
    <w:p w:rsidR="00805696" w:rsidRPr="00855F60" w:rsidRDefault="00805696" w:rsidP="00805696">
      <w:pPr>
        <w:jc w:val="both"/>
      </w:pPr>
      <w:r>
        <w:t>In addition to the BFC allocation, s</w:t>
      </w:r>
      <w:r w:rsidRPr="00855F60">
        <w:t>taff also recommends a BFC and a three-tier inclining block rate structure, which includes separate gallonage charges for discretionary and non-discretionary usage for residential water custome</w:t>
      </w:r>
      <w:r>
        <w:t>rs. The rate blocks are: (1) 0-4</w:t>
      </w:r>
      <w:r w:rsidRPr="00855F60">
        <w:t>,000 ga</w:t>
      </w:r>
      <w:r>
        <w:t>llons; (2) 4</w:t>
      </w:r>
      <w:r w:rsidRPr="00855F60">
        <w:t xml:space="preserve">,001-10,000 gallons; </w:t>
      </w:r>
      <w:r w:rsidR="002867CB">
        <w:t xml:space="preserve">and </w:t>
      </w:r>
      <w:r w:rsidRPr="00855F60">
        <w:t>(3) all usage in excess of 10,000 gallons per month. This rate structure sends the appropriate pricing signals because it targets customers with high consumption levels and minimizes price increases for customers at non-discretionary levels. In addition, the third tier provides an additional pricing signal to customers using in excess of 10,000 gallons of water per month, w</w:t>
      </w:r>
      <w:r>
        <w:t>hich represents approximately 39</w:t>
      </w:r>
      <w:r w:rsidRPr="00855F60">
        <w:t xml:space="preserve"> percent of the usage. General service customers should be billed a BFC and a gallonage charge. </w:t>
      </w:r>
    </w:p>
    <w:p w:rsidR="00805696" w:rsidRPr="00855F60" w:rsidRDefault="00805696" w:rsidP="00805696">
      <w:pPr>
        <w:jc w:val="both"/>
      </w:pPr>
    </w:p>
    <w:p w:rsidR="00805696" w:rsidRPr="00855F60" w:rsidRDefault="00805696" w:rsidP="00805696">
      <w:pPr>
        <w:spacing w:after="240"/>
        <w:jc w:val="both"/>
      </w:pPr>
      <w:r w:rsidRPr="00855F60">
        <w:t>Based on staff’s reco</w:t>
      </w:r>
      <w:r>
        <w:t>mmended revenue increase of 17.4</w:t>
      </w:r>
      <w:r w:rsidRPr="00855F60">
        <w:t xml:space="preserve"> percent, which excludes miscellaneous revenues, the residential consumption c</w:t>
      </w:r>
      <w:r>
        <w:t>an be expected to decline by 445</w:t>
      </w:r>
      <w:r w:rsidRPr="00855F60">
        <w:t>,000 gallons resulting in anticipated ave</w:t>
      </w:r>
      <w:r w:rsidR="000A35C0">
        <w:t>rage residential demand of 9,352</w:t>
      </w:r>
      <w:r w:rsidRPr="00855F60">
        <w:t xml:space="preserve"> gallons per month.</w:t>
      </w:r>
      <w:r w:rsidR="00E80B91">
        <w:t xml:space="preserve"> </w:t>
      </w:r>
      <w:r>
        <w:t>Staff recommends a 6.5</w:t>
      </w:r>
      <w:r w:rsidRPr="00855F60">
        <w:t xml:space="preserve"> percent reduction in test year residential gallons for ratesetting purposes. As a result, the corresponding reductions for purchased power </w:t>
      </w:r>
      <w:r>
        <w:t>expense is $121, $12</w:t>
      </w:r>
      <w:r w:rsidRPr="00855F60">
        <w:t xml:space="preserve"> for chemicals</w:t>
      </w:r>
      <w:r>
        <w:t xml:space="preserve"> expense, and $6</w:t>
      </w:r>
      <w:r w:rsidRPr="00855F60">
        <w:t xml:space="preserve"> for RAFs to reflect the anticipated repression, which results in a post repressio</w:t>
      </w:r>
      <w:r>
        <w:t>n revenue requirement of $34,354</w:t>
      </w:r>
      <w:r w:rsidRPr="00855F60">
        <w:t>.</w:t>
      </w:r>
    </w:p>
    <w:p w:rsidR="00BE0B3C" w:rsidRDefault="00805696" w:rsidP="00BE0B3C">
      <w:pPr>
        <w:spacing w:after="240"/>
        <w:jc w:val="both"/>
      </w:pPr>
      <w:r w:rsidRPr="00650EAF">
        <w:t>The recommended rate structures and monthly water rates are shown on Schedule No. 4. The utility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w:t>
      </w:r>
    </w:p>
    <w:p w:rsidR="00805696" w:rsidRDefault="00805696" w:rsidP="00BE0B3C">
      <w:pPr>
        <w:pStyle w:val="IssueHeading"/>
        <w:rPr>
          <w:vanish/>
          <w:specVanish/>
        </w:rPr>
      </w:pPr>
      <w:r w:rsidRPr="004C3641">
        <w:br w:type="page"/>
      </w:r>
      <w:r w:rsidRPr="00BE0B3C">
        <w:t xml:space="preserve">Issue </w:t>
      </w:r>
      <w:r w:rsidR="00E54EE3" w:rsidRPr="00BE0B3C">
        <w:fldChar w:fldCharType="begin"/>
      </w:r>
      <w:r w:rsidR="00E54EE3" w:rsidRPr="00BE0B3C">
        <w:instrText xml:space="preserve"> SEQ Issue \* MERGEFORMAT </w:instrText>
      </w:r>
      <w:r w:rsidR="00E54EE3" w:rsidRPr="00BE0B3C">
        <w:fldChar w:fldCharType="separate"/>
      </w:r>
      <w:r w:rsidR="004D1728" w:rsidRPr="00BE0B3C">
        <w:t>10</w:t>
      </w:r>
      <w:r w:rsidR="00E54EE3" w:rsidRPr="00BE0B3C">
        <w:fldChar w:fldCharType="end"/>
      </w:r>
      <w:r w:rsidRPr="00BE0B3C">
        <w:t>:</w:t>
      </w:r>
      <w:r w:rsidRPr="00BE0B3C">
        <w:fldChar w:fldCharType="begin"/>
      </w:r>
      <w:r w:rsidRPr="00BE0B3C">
        <w:instrText xml:space="preserve"> TC "</w:instrText>
      </w:r>
      <w:r w:rsidRPr="00BE0B3C">
        <w:fldChar w:fldCharType="begin"/>
      </w:r>
      <w:r w:rsidRPr="00BE0B3C">
        <w:instrText xml:space="preserve"> SEQ issue \c </w:instrText>
      </w:r>
      <w:r w:rsidRPr="00BE0B3C">
        <w:fldChar w:fldCharType="separate"/>
      </w:r>
      <w:bookmarkStart w:id="27" w:name="_Toc91658998"/>
      <w:r w:rsidR="004D1728" w:rsidRPr="00BE0B3C">
        <w:instrText>10</w:instrText>
      </w:r>
      <w:r w:rsidRPr="00BE0B3C">
        <w:fldChar w:fldCharType="end"/>
      </w:r>
      <w:r w:rsidRPr="00BE0B3C">
        <w:tab/>
        <w:instrText>Initial Customer Deposits (Bethea)</w:instrText>
      </w:r>
      <w:bookmarkEnd w:id="27"/>
      <w:r w:rsidRPr="00BE0B3C">
        <w:instrText xml:space="preserve">" \l 1 </w:instrText>
      </w:r>
      <w:r w:rsidRPr="00BE0B3C">
        <w:fldChar w:fldCharType="end"/>
      </w:r>
      <w:r>
        <w:t> </w:t>
      </w:r>
    </w:p>
    <w:p w:rsidR="00805696" w:rsidRPr="00BE0B3C" w:rsidRDefault="00805696" w:rsidP="00BE0B3C">
      <w:pPr>
        <w:pStyle w:val="BodyText"/>
      </w:pPr>
      <w:r w:rsidRPr="00BE0B3C">
        <w:t> Should the requested initial customer deposits for Brendenwood be approved?</w:t>
      </w:r>
    </w:p>
    <w:p w:rsidR="00805696" w:rsidRPr="004C3641" w:rsidRDefault="00805696">
      <w:pPr>
        <w:pStyle w:val="IssueSubsectionHeading"/>
        <w:rPr>
          <w:vanish/>
          <w:specVanish/>
        </w:rPr>
      </w:pPr>
      <w:r w:rsidRPr="004C3641">
        <w:t>Recommendation: </w:t>
      </w:r>
    </w:p>
    <w:p w:rsidR="00805696" w:rsidRDefault="00805696">
      <w:pPr>
        <w:pStyle w:val="BodyText"/>
      </w:pPr>
      <w:r>
        <w:t> </w:t>
      </w:r>
      <w:r w:rsidRPr="006F38B0">
        <w:t>The appropriate initial</w:t>
      </w:r>
      <w:r>
        <w:t xml:space="preserve"> customer deposit should be $84</w:t>
      </w:r>
      <w:r w:rsidRPr="006F38B0">
        <w:t xml:space="preserve"> for the single family residential 5/8 inch x 3/4 inch meter size for water. The initial customer deposit for all other residential meter sizes and all general service meter sizes should be two times the average estimated bill for water. The approved initial customer deposits should be effective for connections made on or after the stamped approval date on the tariff sheets pursuant</w:t>
      </w:r>
      <w:r>
        <w:t xml:space="preserve"> to Rule 25-30.475, F.A.C. The u</w:t>
      </w:r>
      <w:r w:rsidRPr="006F38B0">
        <w:t>tility should be required to collect the approved deposits until authorized to change them by the Commission in a subsequent proceeding.</w:t>
      </w:r>
      <w:r>
        <w:t xml:space="preserve"> (Bethea)</w:t>
      </w:r>
    </w:p>
    <w:p w:rsidR="00805696" w:rsidRPr="004C3641" w:rsidRDefault="00805696">
      <w:pPr>
        <w:pStyle w:val="IssueSubsectionHeading"/>
        <w:rPr>
          <w:vanish/>
          <w:specVanish/>
        </w:rPr>
      </w:pPr>
      <w:r w:rsidRPr="004C3641">
        <w:t>Staff Analysis: </w:t>
      </w:r>
    </w:p>
    <w:p w:rsidR="00805696" w:rsidRDefault="00805696" w:rsidP="00BE0B3C">
      <w:pPr>
        <w:pStyle w:val="BodyText"/>
      </w:pPr>
      <w:r>
        <w:t> </w:t>
      </w:r>
      <w:r w:rsidRPr="00BE0B3C">
        <w:rPr>
          <w:rStyle w:val="BodyTextChar"/>
        </w:rPr>
        <w:t xml:space="preserve">Rule 25-30.311, F.A.C., </w:t>
      </w:r>
      <w:r>
        <w:t>contains the criteria for collecting, administering, and refunding customer deposits. Customer deposits are designed to minimize the exposure of bad debt expense for the utility and ultimately, the general body of ratepayers. Historically, the Commission has set initial customer deposits equal to two times the average estimated bill.</w:t>
      </w:r>
      <w:r>
        <w:rPr>
          <w:vertAlign w:val="superscript"/>
        </w:rPr>
        <w:footnoteReference w:id="24"/>
      </w:r>
      <w:r>
        <w:t xml:space="preserve">  Currently, the utility does not have initial customer deposits. Based on the staff recommended water rates and the post repression ave</w:t>
      </w:r>
      <w:r w:rsidR="000A35C0">
        <w:t>rage residential demand of 9,352</w:t>
      </w:r>
      <w:r>
        <w:t>, the appropriate initia</w:t>
      </w:r>
      <w:r w:rsidR="002867CB">
        <w:t xml:space="preserve">l </w:t>
      </w:r>
      <w:r w:rsidR="00D17FA4">
        <w:t>customer deposit</w:t>
      </w:r>
      <w:r w:rsidR="002867CB">
        <w:t xml:space="preserve"> should be $84 </w:t>
      </w:r>
      <w:r>
        <w:t>to reflect an average residentia</w:t>
      </w:r>
      <w:r w:rsidR="002867CB">
        <w:t>l customer bill for two months.</w:t>
      </w:r>
      <w:r w:rsidR="006C28AB">
        <w:t xml:space="preserve"> Under staff’s recommended rates, t</w:t>
      </w:r>
      <w:r w:rsidR="00D17FA4">
        <w:t xml:space="preserve">he monthly average residential bill is $42. </w:t>
      </w:r>
    </w:p>
    <w:p w:rsidR="00BE0B3C" w:rsidRDefault="00805696" w:rsidP="00BE0B3C">
      <w:pPr>
        <w:pStyle w:val="BodyText"/>
        <w:rPr>
          <w:b/>
          <w:i/>
        </w:rPr>
      </w:pPr>
      <w:r w:rsidRPr="00650EAF">
        <w:t>Staff recommends that the appropriate initial customer deposit should be $84 for the single family residential 5/8 inch x 3/4 inch meter size for water. The initial customer deposits for all other residential meter sizes and all general service meter sizes should be two times the average estimated bill for water. The approved initial customer deposits should be effective for connections made on or after the stamped approval date on the tariff sheets pursuant to Rule 25-30.475, F.A.C.</w:t>
      </w:r>
      <w:r w:rsidRPr="00650EAF">
        <w:rPr>
          <w:rFonts w:eastAsiaTheme="minorHAnsi"/>
        </w:rPr>
        <w:t xml:space="preserve"> </w:t>
      </w:r>
      <w:r w:rsidRPr="00650EAF">
        <w:t>The utility should be required to collect the approved deposits until authorized to change them by the Commission in a subsequent proceeding.</w:t>
      </w:r>
    </w:p>
    <w:p w:rsidR="00805696" w:rsidRDefault="00805696">
      <w:pPr>
        <w:pStyle w:val="IssueHeading"/>
        <w:rPr>
          <w:vanish/>
          <w:specVanish/>
        </w:rPr>
      </w:pPr>
      <w:r w:rsidRPr="004C3641">
        <w:rPr>
          <w:b w:val="0"/>
          <w:i w:val="0"/>
        </w:rPr>
        <w:br w:type="page"/>
      </w:r>
      <w:r w:rsidRPr="004C3641">
        <w:t xml:space="preserve">Issue </w:t>
      </w:r>
      <w:r w:rsidR="00E54EE3">
        <w:fldChar w:fldCharType="begin"/>
      </w:r>
      <w:r w:rsidR="00E54EE3">
        <w:instrText xml:space="preserve"> SEQ Issue \* MERGEFORMAT </w:instrText>
      </w:r>
      <w:r w:rsidR="00E54EE3">
        <w:fldChar w:fldCharType="separate"/>
      </w:r>
      <w:r w:rsidR="004D1728">
        <w:rPr>
          <w:noProof/>
        </w:rPr>
        <w:t>11</w:t>
      </w:r>
      <w:r w:rsidR="00E54EE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8" w:name="_Toc91658999"/>
      <w:r w:rsidR="004D1728">
        <w:rPr>
          <w:noProof/>
        </w:rPr>
        <w:instrText>11</w:instrText>
      </w:r>
      <w:r>
        <w:fldChar w:fldCharType="end"/>
      </w:r>
      <w:r>
        <w:tab/>
        <w:instrText>Amended Miscellaneous Service Charge</w:instrText>
      </w:r>
      <w:r w:rsidR="00341566">
        <w:instrText>s</w:instrText>
      </w:r>
      <w:r w:rsidR="0071317B">
        <w:instrText xml:space="preserve"> </w:instrText>
      </w:r>
      <w:r>
        <w:instrText>(Bethea)</w:instrText>
      </w:r>
      <w:bookmarkEnd w:id="28"/>
      <w:r>
        <w:instrText xml:space="preserve">" \l 1 </w:instrText>
      </w:r>
      <w:r>
        <w:fldChar w:fldCharType="end"/>
      </w:r>
      <w:r>
        <w:t> </w:t>
      </w:r>
    </w:p>
    <w:p w:rsidR="00805696" w:rsidRDefault="00805696">
      <w:pPr>
        <w:pStyle w:val="BodyText"/>
      </w:pPr>
      <w:r>
        <w:t> Should the miscellaneous service charges be revised to conform to amended Rule 25-30.460, F.A.C.?</w:t>
      </w:r>
    </w:p>
    <w:p w:rsidR="00805696" w:rsidRPr="004C3641" w:rsidRDefault="00805696">
      <w:pPr>
        <w:pStyle w:val="IssueSubsectionHeading"/>
        <w:rPr>
          <w:vanish/>
          <w:specVanish/>
        </w:rPr>
      </w:pPr>
      <w:r w:rsidRPr="004C3641">
        <w:t>Recommendation: </w:t>
      </w:r>
    </w:p>
    <w:p w:rsidR="00805696" w:rsidRDefault="00805696">
      <w:pPr>
        <w:pStyle w:val="BodyText"/>
      </w:pPr>
      <w:r>
        <w:t> </w:t>
      </w:r>
      <w:r w:rsidRPr="00C44090">
        <w:t xml:space="preserve">Yes. </w:t>
      </w:r>
      <w:r>
        <w:t>Staff recommends the miscellaneous service charges be revised to conform to the recent amendment to Rule 25-30.460, F.A.C. The tariff should be revised to reflect the removal of initial connection and normal reconnection charges. Brendenwood</w:t>
      </w:r>
      <w:r w:rsidRPr="00C44090">
        <w:t xml:space="preserve"> should be required to file a proposed customer notice to reflect the Commission-approved charge</w:t>
      </w:r>
      <w:r>
        <w:t>s</w:t>
      </w:r>
      <w:r w:rsidRPr="00C44090">
        <w:t>. The approved charge</w:t>
      </w:r>
      <w:r>
        <w:t>s</w:t>
      </w:r>
      <w:r w:rsidRPr="00C44090">
        <w:t xml:space="preserve"> should be effective on or after the stamped approval date on the tariff sheet pursuant to Rule 25-30.475(1), F.A.C. In addition, the approved charge should not be implemented until staff has approved the proposed customer notice and the notice has been received by customers. The </w:t>
      </w:r>
      <w:r w:rsidR="00203A9E">
        <w:t>u</w:t>
      </w:r>
      <w:r w:rsidRPr="00C44090">
        <w:t>tility should provide proof of the date notice was given no less than 10 days after the date of the notice.</w:t>
      </w:r>
      <w:r>
        <w:t xml:space="preserve"> (Bethea)</w:t>
      </w:r>
    </w:p>
    <w:p w:rsidR="00805696" w:rsidRPr="004C3641" w:rsidRDefault="00805696">
      <w:pPr>
        <w:pStyle w:val="IssueSubsectionHeading"/>
        <w:rPr>
          <w:vanish/>
          <w:specVanish/>
        </w:rPr>
      </w:pPr>
      <w:r w:rsidRPr="004C3641">
        <w:t>Staff Analysis: </w:t>
      </w:r>
    </w:p>
    <w:p w:rsidR="00805696" w:rsidRDefault="00805696" w:rsidP="00684723">
      <w:pPr>
        <w:spacing w:after="240"/>
        <w:jc w:val="both"/>
      </w:pPr>
      <w:r>
        <w:t> </w:t>
      </w:r>
      <w:r w:rsidRPr="00CB698B">
        <w:t>Effective June 24, 2021, Rule 25-30.460, F.A.C., was amended to remove initial connection and normal reconnection charges.</w:t>
      </w:r>
      <w:r w:rsidRPr="00CB698B">
        <w:rPr>
          <w:vertAlign w:val="superscript"/>
        </w:rPr>
        <w:footnoteReference w:id="25"/>
      </w:r>
      <w:r w:rsidRPr="00CB698B">
        <w:t xml:space="preserve"> The definitions for initial connection charges and normal reconnection charges were subsumed in the definition of the premises visit charge. It was envisioned that </w:t>
      </w:r>
      <w:r w:rsidRPr="00CB698B">
        <w:rPr>
          <w:rFonts w:eastAsiaTheme="minorHAnsi" w:cstheme="minorBidi"/>
          <w:szCs w:val="22"/>
        </w:rPr>
        <w:t xml:space="preserve">the utility tariffs would be reviewed by staff on a prospective basis to ensure conformance with the amended rule. </w:t>
      </w:r>
      <w:r>
        <w:t>Brendenwood</w:t>
      </w:r>
      <w:r w:rsidRPr="00CB698B">
        <w:t xml:space="preserve"> miscellaneous service charges consist of initial connection an</w:t>
      </w:r>
      <w:r w:rsidR="00D1018B">
        <w:t xml:space="preserve">d normal reconnection charges. </w:t>
      </w:r>
      <w:r w:rsidRPr="00CB698B">
        <w:t xml:space="preserve">These charges are </w:t>
      </w:r>
      <w:r w:rsidR="00684723">
        <w:t xml:space="preserve">more than the </w:t>
      </w:r>
      <w:r w:rsidRPr="00CB698B">
        <w:t xml:space="preserve">premises visit charge. </w:t>
      </w:r>
      <w:r w:rsidR="00684723">
        <w:t xml:space="preserve">Since the premises visit entails a broader range of tasks, staff believes the premises visit should reflect the amount of normal reconnection charges of $15.56. </w:t>
      </w:r>
      <w:r w:rsidRPr="00CB698B">
        <w:t xml:space="preserve">Therefore, </w:t>
      </w:r>
      <w:r w:rsidR="00684723">
        <w:t xml:space="preserve">staff recommends that the initial connection and normal reconnection charges be removed, the premises visit be revised to $15.56 and the definition for the premises visit charge be updated </w:t>
      </w:r>
      <w:r w:rsidRPr="00CB698B">
        <w:t>to comply with amended Rule 25-30.460, F.A.C.</w:t>
      </w:r>
      <w:r w:rsidR="00684723">
        <w:t xml:space="preserve"> The existing and staff recommended miscellaneous service charges are </w:t>
      </w:r>
      <w:r>
        <w:t>reflected below.</w:t>
      </w:r>
    </w:p>
    <w:p w:rsidR="00805696" w:rsidRDefault="00805696" w:rsidP="00805696">
      <w:pPr>
        <w:spacing w:after="240"/>
        <w:jc w:val="both"/>
      </w:pPr>
    </w:p>
    <w:p w:rsidR="00805696" w:rsidRPr="00BB5AB0" w:rsidRDefault="00805696" w:rsidP="00805696">
      <w:pPr>
        <w:jc w:val="center"/>
        <w:rPr>
          <w:b/>
        </w:rPr>
      </w:pPr>
      <w:r w:rsidRPr="00BB5AB0">
        <w:rPr>
          <w:b/>
        </w:rPr>
        <w:t>Existing</w:t>
      </w:r>
    </w:p>
    <w:p w:rsidR="00805696" w:rsidRPr="00BB5AB0" w:rsidRDefault="00805696" w:rsidP="00805696">
      <w:pPr>
        <w:jc w:val="center"/>
        <w:rPr>
          <w:b/>
          <w:u w:val="single"/>
        </w:rPr>
      </w:pPr>
      <w:r w:rsidRPr="00BB5AB0">
        <w:rPr>
          <w:b/>
          <w:u w:val="single"/>
        </w:rPr>
        <w:t>Miscellaneous Service Charges</w:t>
      </w:r>
    </w:p>
    <w:p w:rsidR="00805696" w:rsidRPr="00BB5AB0" w:rsidRDefault="00805696" w:rsidP="00805696">
      <w:pPr>
        <w:jc w:val="center"/>
        <w:rPr>
          <w:b/>
          <w:u w:val="single"/>
        </w:rPr>
      </w:pPr>
    </w:p>
    <w:tbl>
      <w:tblPr>
        <w:tblStyle w:val="TableGrid12"/>
        <w:tblW w:w="0" w:type="auto"/>
        <w:jc w:val="center"/>
        <w:tblLook w:val="04A0" w:firstRow="1" w:lastRow="0" w:firstColumn="1" w:lastColumn="0" w:noHBand="0" w:noVBand="1"/>
      </w:tblPr>
      <w:tblGrid>
        <w:gridCol w:w="4185"/>
        <w:gridCol w:w="130"/>
        <w:gridCol w:w="3560"/>
      </w:tblGrid>
      <w:tr w:rsidR="00805696" w:rsidRPr="00BB5AB0" w:rsidTr="00650EAF">
        <w:trPr>
          <w:jc w:val="center"/>
        </w:trPr>
        <w:tc>
          <w:tcPr>
            <w:tcW w:w="4315" w:type="dxa"/>
            <w:gridSpan w:val="2"/>
            <w:tcBorders>
              <w:top w:val="nil"/>
              <w:left w:val="nil"/>
              <w:bottom w:val="nil"/>
              <w:right w:val="nil"/>
            </w:tcBorders>
          </w:tcPr>
          <w:p w:rsidR="00805696" w:rsidRPr="00BB5AB0" w:rsidRDefault="00805696" w:rsidP="00650EAF">
            <w:pPr>
              <w:rPr>
                <w:rFonts w:ascii="Times New Roman" w:hAnsi="Times New Roman" w:cs="Times New Roman"/>
              </w:rPr>
            </w:pPr>
          </w:p>
        </w:tc>
        <w:tc>
          <w:tcPr>
            <w:tcW w:w="3560" w:type="dxa"/>
            <w:tcBorders>
              <w:top w:val="nil"/>
              <w:left w:val="nil"/>
              <w:bottom w:val="nil"/>
              <w:right w:val="nil"/>
            </w:tcBorders>
          </w:tcPr>
          <w:p w:rsidR="00805696" w:rsidRPr="00BB5AB0" w:rsidRDefault="00805696" w:rsidP="00650EAF">
            <w:pPr>
              <w:jc w:val="center"/>
              <w:rPr>
                <w:rFonts w:ascii="Times New Roman" w:hAnsi="Times New Roman" w:cs="Times New Roman"/>
                <w:u w:val="single"/>
              </w:rPr>
            </w:pPr>
            <w:r w:rsidRPr="00BB5AB0">
              <w:rPr>
                <w:rFonts w:ascii="Times New Roman" w:hAnsi="Times New Roman" w:cs="Times New Roman"/>
                <w:u w:val="single"/>
              </w:rPr>
              <w:t>Normal Hours</w:t>
            </w:r>
          </w:p>
        </w:tc>
      </w:tr>
      <w:tr w:rsidR="00805696" w:rsidRPr="00BB5AB0" w:rsidTr="00650EAF">
        <w:trPr>
          <w:jc w:val="center"/>
        </w:trPr>
        <w:tc>
          <w:tcPr>
            <w:tcW w:w="4315" w:type="dxa"/>
            <w:gridSpan w:val="2"/>
            <w:tcBorders>
              <w:top w:val="nil"/>
              <w:left w:val="nil"/>
              <w:bottom w:val="nil"/>
              <w:right w:val="nil"/>
            </w:tcBorders>
          </w:tcPr>
          <w:p w:rsidR="00805696" w:rsidRPr="00BB5AB0" w:rsidRDefault="00805696" w:rsidP="00650EAF">
            <w:pPr>
              <w:rPr>
                <w:rFonts w:ascii="Times New Roman" w:hAnsi="Times New Roman" w:cs="Times New Roman"/>
              </w:rPr>
            </w:pPr>
            <w:r w:rsidRPr="00BB5AB0">
              <w:rPr>
                <w:rFonts w:ascii="Times New Roman" w:hAnsi="Times New Roman" w:cs="Times New Roman"/>
              </w:rPr>
              <w:t>Initial Connection Charge</w:t>
            </w:r>
          </w:p>
        </w:tc>
        <w:tc>
          <w:tcPr>
            <w:tcW w:w="3560" w:type="dxa"/>
            <w:tcBorders>
              <w:top w:val="nil"/>
              <w:left w:val="nil"/>
              <w:bottom w:val="nil"/>
              <w:right w:val="nil"/>
            </w:tcBorders>
          </w:tcPr>
          <w:p w:rsidR="00805696" w:rsidRPr="00BB5AB0" w:rsidRDefault="00805696" w:rsidP="00650EAF">
            <w:pPr>
              <w:jc w:val="center"/>
              <w:rPr>
                <w:rFonts w:ascii="Times New Roman" w:hAnsi="Times New Roman" w:cs="Times New Roman"/>
              </w:rPr>
            </w:pPr>
            <w:r>
              <w:rPr>
                <w:rFonts w:ascii="Times New Roman" w:hAnsi="Times New Roman" w:cs="Times New Roman"/>
              </w:rPr>
              <w:t>$15.56</w:t>
            </w:r>
          </w:p>
        </w:tc>
      </w:tr>
      <w:tr w:rsidR="00805696" w:rsidRPr="00BB5AB0" w:rsidTr="00650EAF">
        <w:trPr>
          <w:jc w:val="center"/>
        </w:trPr>
        <w:tc>
          <w:tcPr>
            <w:tcW w:w="4315" w:type="dxa"/>
            <w:gridSpan w:val="2"/>
            <w:tcBorders>
              <w:top w:val="nil"/>
              <w:left w:val="nil"/>
              <w:bottom w:val="nil"/>
              <w:right w:val="nil"/>
            </w:tcBorders>
          </w:tcPr>
          <w:p w:rsidR="00805696" w:rsidRPr="00BB5AB0" w:rsidRDefault="00805696" w:rsidP="00650EAF">
            <w:pPr>
              <w:rPr>
                <w:rFonts w:ascii="Times New Roman" w:hAnsi="Times New Roman" w:cs="Times New Roman"/>
              </w:rPr>
            </w:pPr>
            <w:r w:rsidRPr="00BB5AB0">
              <w:rPr>
                <w:rFonts w:ascii="Times New Roman" w:hAnsi="Times New Roman" w:cs="Times New Roman"/>
              </w:rPr>
              <w:t>Normal Reconnection Charge</w:t>
            </w:r>
          </w:p>
        </w:tc>
        <w:tc>
          <w:tcPr>
            <w:tcW w:w="3560" w:type="dxa"/>
            <w:tcBorders>
              <w:top w:val="nil"/>
              <w:left w:val="nil"/>
              <w:bottom w:val="nil"/>
              <w:right w:val="nil"/>
            </w:tcBorders>
          </w:tcPr>
          <w:p w:rsidR="00805696" w:rsidRPr="00BB5AB0" w:rsidRDefault="00805696" w:rsidP="00650EAF">
            <w:pPr>
              <w:jc w:val="center"/>
              <w:rPr>
                <w:rFonts w:ascii="Times New Roman" w:hAnsi="Times New Roman" w:cs="Times New Roman"/>
              </w:rPr>
            </w:pPr>
            <w:r>
              <w:rPr>
                <w:rFonts w:ascii="Times New Roman" w:hAnsi="Times New Roman" w:cs="Times New Roman"/>
              </w:rPr>
              <w:t>$15.56</w:t>
            </w:r>
          </w:p>
        </w:tc>
      </w:tr>
      <w:tr w:rsidR="00805696" w:rsidRPr="00BB5AB0" w:rsidTr="00650EAF">
        <w:trPr>
          <w:jc w:val="center"/>
        </w:trPr>
        <w:tc>
          <w:tcPr>
            <w:tcW w:w="4315" w:type="dxa"/>
            <w:gridSpan w:val="2"/>
            <w:tcBorders>
              <w:top w:val="nil"/>
              <w:left w:val="nil"/>
              <w:bottom w:val="nil"/>
              <w:right w:val="nil"/>
            </w:tcBorders>
          </w:tcPr>
          <w:p w:rsidR="00805696" w:rsidRPr="00BB5AB0" w:rsidRDefault="00805696" w:rsidP="00650EAF">
            <w:pPr>
              <w:rPr>
                <w:rFonts w:ascii="Times New Roman" w:hAnsi="Times New Roman" w:cs="Times New Roman"/>
              </w:rPr>
            </w:pPr>
            <w:r w:rsidRPr="00BB5AB0">
              <w:rPr>
                <w:rFonts w:ascii="Times New Roman" w:hAnsi="Times New Roman" w:cs="Times New Roman"/>
              </w:rPr>
              <w:t>Violation Reconnection Charge</w:t>
            </w:r>
          </w:p>
        </w:tc>
        <w:tc>
          <w:tcPr>
            <w:tcW w:w="3560" w:type="dxa"/>
            <w:tcBorders>
              <w:top w:val="nil"/>
              <w:left w:val="nil"/>
              <w:bottom w:val="nil"/>
              <w:right w:val="nil"/>
            </w:tcBorders>
          </w:tcPr>
          <w:p w:rsidR="00805696" w:rsidRPr="00BB5AB0" w:rsidRDefault="00805696" w:rsidP="00650EAF">
            <w:pPr>
              <w:jc w:val="center"/>
              <w:rPr>
                <w:rFonts w:ascii="Times New Roman" w:hAnsi="Times New Roman" w:cs="Times New Roman"/>
              </w:rPr>
            </w:pPr>
            <w:r>
              <w:rPr>
                <w:rFonts w:ascii="Times New Roman" w:hAnsi="Times New Roman" w:cs="Times New Roman"/>
              </w:rPr>
              <w:t>$15.56</w:t>
            </w:r>
          </w:p>
        </w:tc>
      </w:tr>
      <w:tr w:rsidR="00805696" w:rsidRPr="00BB5AB0" w:rsidTr="00650EAF">
        <w:trPr>
          <w:jc w:val="center"/>
        </w:trPr>
        <w:tc>
          <w:tcPr>
            <w:tcW w:w="4315" w:type="dxa"/>
            <w:gridSpan w:val="2"/>
            <w:tcBorders>
              <w:top w:val="nil"/>
              <w:left w:val="nil"/>
              <w:bottom w:val="nil"/>
              <w:right w:val="nil"/>
            </w:tcBorders>
          </w:tcPr>
          <w:p w:rsidR="00805696" w:rsidRPr="00BB5AB0" w:rsidRDefault="00805696" w:rsidP="00650EAF">
            <w:pPr>
              <w:rPr>
                <w:rFonts w:ascii="Times New Roman" w:hAnsi="Times New Roman" w:cs="Times New Roman"/>
              </w:rPr>
            </w:pPr>
            <w:r w:rsidRPr="00BB5AB0">
              <w:rPr>
                <w:rFonts w:ascii="Times New Roman" w:hAnsi="Times New Roman" w:cs="Times New Roman"/>
              </w:rPr>
              <w:t>Premises Visit Charge</w:t>
            </w:r>
          </w:p>
        </w:tc>
        <w:tc>
          <w:tcPr>
            <w:tcW w:w="3560" w:type="dxa"/>
            <w:tcBorders>
              <w:top w:val="nil"/>
              <w:left w:val="nil"/>
              <w:bottom w:val="nil"/>
              <w:right w:val="nil"/>
            </w:tcBorders>
          </w:tcPr>
          <w:p w:rsidR="00805696" w:rsidRPr="00BB5AB0" w:rsidRDefault="00805696" w:rsidP="00650EAF">
            <w:pPr>
              <w:jc w:val="center"/>
              <w:rPr>
                <w:rFonts w:ascii="Times New Roman" w:hAnsi="Times New Roman" w:cs="Times New Roman"/>
              </w:rPr>
            </w:pPr>
            <w:r>
              <w:rPr>
                <w:rFonts w:ascii="Times New Roman" w:hAnsi="Times New Roman" w:cs="Times New Roman"/>
              </w:rPr>
              <w:t>$10.38</w:t>
            </w:r>
          </w:p>
        </w:tc>
      </w:tr>
      <w:tr w:rsidR="00805696" w:rsidRPr="00BB5AB0" w:rsidTr="00650EAF">
        <w:trPr>
          <w:gridAfter w:val="1"/>
          <w:wAfter w:w="3560" w:type="dxa"/>
          <w:jc w:val="center"/>
        </w:trPr>
        <w:tc>
          <w:tcPr>
            <w:tcW w:w="4315" w:type="dxa"/>
            <w:gridSpan w:val="2"/>
            <w:tcBorders>
              <w:top w:val="nil"/>
              <w:left w:val="nil"/>
              <w:bottom w:val="nil"/>
              <w:right w:val="nil"/>
            </w:tcBorders>
          </w:tcPr>
          <w:p w:rsidR="00805696" w:rsidRPr="00BB5AB0" w:rsidRDefault="00805696" w:rsidP="00650EAF">
            <w:pPr>
              <w:rPr>
                <w:rFonts w:ascii="Times New Roman" w:hAnsi="Times New Roman" w:cs="Times New Roman"/>
              </w:rPr>
            </w:pPr>
            <w:r w:rsidRPr="00BB5AB0">
              <w:rPr>
                <w:rFonts w:ascii="Times New Roman" w:hAnsi="Times New Roman" w:cs="Times New Roman"/>
              </w:rPr>
              <w:t>(in lieu of disconnection)</w:t>
            </w:r>
          </w:p>
        </w:tc>
      </w:tr>
      <w:tr w:rsidR="00805696" w:rsidRPr="00AC5322" w:rsidTr="00650EAF">
        <w:trPr>
          <w:jc w:val="center"/>
        </w:trPr>
        <w:tc>
          <w:tcPr>
            <w:tcW w:w="4185" w:type="dxa"/>
            <w:tcBorders>
              <w:top w:val="nil"/>
              <w:left w:val="nil"/>
              <w:bottom w:val="nil"/>
              <w:right w:val="nil"/>
            </w:tcBorders>
          </w:tcPr>
          <w:p w:rsidR="00805696" w:rsidRPr="00AC5322" w:rsidRDefault="00805696" w:rsidP="00650EAF">
            <w:pPr>
              <w:rPr>
                <w:rFonts w:ascii="Times New Roman" w:hAnsi="Times New Roman" w:cs="Times New Roman"/>
              </w:rPr>
            </w:pPr>
            <w:r w:rsidRPr="00AC5322">
              <w:rPr>
                <w:rFonts w:ascii="Times New Roman" w:hAnsi="Times New Roman" w:cs="Times New Roman"/>
              </w:rPr>
              <w:t>Late Payment Charge</w:t>
            </w:r>
          </w:p>
        </w:tc>
        <w:tc>
          <w:tcPr>
            <w:tcW w:w="3690" w:type="dxa"/>
            <w:gridSpan w:val="2"/>
            <w:tcBorders>
              <w:top w:val="nil"/>
              <w:left w:val="nil"/>
              <w:bottom w:val="nil"/>
              <w:right w:val="nil"/>
            </w:tcBorders>
          </w:tcPr>
          <w:p w:rsidR="00805696" w:rsidRPr="00AC5322" w:rsidRDefault="00805696" w:rsidP="00650EAF">
            <w:pPr>
              <w:jc w:val="center"/>
              <w:rPr>
                <w:rFonts w:ascii="Times New Roman" w:hAnsi="Times New Roman" w:cs="Times New Roman"/>
              </w:rPr>
            </w:pPr>
            <w:r w:rsidRPr="00AC5322">
              <w:rPr>
                <w:rFonts w:ascii="Times New Roman" w:hAnsi="Times New Roman" w:cs="Times New Roman"/>
              </w:rPr>
              <w:t>$5.18</w:t>
            </w:r>
          </w:p>
        </w:tc>
      </w:tr>
      <w:tr w:rsidR="00805696" w:rsidRPr="00AC5322" w:rsidTr="00650EAF">
        <w:trPr>
          <w:jc w:val="center"/>
        </w:trPr>
        <w:tc>
          <w:tcPr>
            <w:tcW w:w="4185" w:type="dxa"/>
            <w:tcBorders>
              <w:top w:val="nil"/>
              <w:left w:val="nil"/>
              <w:bottom w:val="nil"/>
              <w:right w:val="nil"/>
            </w:tcBorders>
          </w:tcPr>
          <w:p w:rsidR="00805696" w:rsidRPr="00AC5322" w:rsidRDefault="00805696" w:rsidP="00650EAF">
            <w:pPr>
              <w:rPr>
                <w:rFonts w:ascii="Times New Roman" w:hAnsi="Times New Roman" w:cs="Times New Roman"/>
              </w:rPr>
            </w:pPr>
            <w:r w:rsidRPr="00AC5322">
              <w:rPr>
                <w:rFonts w:ascii="Times New Roman" w:hAnsi="Times New Roman" w:cs="Times New Roman"/>
              </w:rPr>
              <w:t>NSF Charges</w:t>
            </w:r>
          </w:p>
        </w:tc>
        <w:tc>
          <w:tcPr>
            <w:tcW w:w="3690" w:type="dxa"/>
            <w:gridSpan w:val="2"/>
            <w:tcBorders>
              <w:top w:val="nil"/>
              <w:left w:val="nil"/>
              <w:bottom w:val="nil"/>
              <w:right w:val="nil"/>
            </w:tcBorders>
          </w:tcPr>
          <w:p w:rsidR="00805696" w:rsidRPr="00AC5322" w:rsidRDefault="00805696" w:rsidP="00650EAF">
            <w:pPr>
              <w:jc w:val="center"/>
              <w:rPr>
                <w:rFonts w:ascii="Times New Roman" w:hAnsi="Times New Roman" w:cs="Times New Roman"/>
              </w:rPr>
            </w:pPr>
            <w:r w:rsidRPr="00AC5322">
              <w:rPr>
                <w:rFonts w:ascii="Times New Roman" w:hAnsi="Times New Roman" w:cs="Times New Roman"/>
              </w:rPr>
              <w:t>Pursuant to Section 68.065, F.S</w:t>
            </w:r>
            <w:r w:rsidR="002867CB">
              <w:rPr>
                <w:rFonts w:ascii="Times New Roman" w:hAnsi="Times New Roman" w:cs="Times New Roman"/>
              </w:rPr>
              <w:t>.</w:t>
            </w:r>
          </w:p>
        </w:tc>
      </w:tr>
      <w:tr w:rsidR="00805696" w:rsidRPr="00AC5322" w:rsidTr="00650EAF">
        <w:trPr>
          <w:jc w:val="center"/>
        </w:trPr>
        <w:tc>
          <w:tcPr>
            <w:tcW w:w="4185" w:type="dxa"/>
            <w:tcBorders>
              <w:top w:val="nil"/>
              <w:left w:val="nil"/>
              <w:bottom w:val="nil"/>
              <w:right w:val="nil"/>
            </w:tcBorders>
          </w:tcPr>
          <w:p w:rsidR="00805696" w:rsidRPr="00AC5322" w:rsidRDefault="00805696" w:rsidP="00650EAF">
            <w:pPr>
              <w:rPr>
                <w:rFonts w:ascii="Times New Roman" w:hAnsi="Times New Roman" w:cs="Times New Roman"/>
              </w:rPr>
            </w:pPr>
            <w:r w:rsidRPr="00AC5322">
              <w:rPr>
                <w:rFonts w:ascii="Times New Roman" w:hAnsi="Times New Roman" w:cs="Times New Roman"/>
              </w:rPr>
              <w:t>Convenience Charge</w:t>
            </w:r>
          </w:p>
        </w:tc>
        <w:tc>
          <w:tcPr>
            <w:tcW w:w="3690" w:type="dxa"/>
            <w:gridSpan w:val="2"/>
            <w:tcBorders>
              <w:top w:val="nil"/>
              <w:left w:val="nil"/>
              <w:bottom w:val="nil"/>
              <w:right w:val="nil"/>
            </w:tcBorders>
          </w:tcPr>
          <w:p w:rsidR="00805696" w:rsidRPr="00AC5322" w:rsidRDefault="00805696" w:rsidP="00650EAF">
            <w:pPr>
              <w:jc w:val="center"/>
              <w:rPr>
                <w:rFonts w:ascii="Times New Roman" w:hAnsi="Times New Roman" w:cs="Times New Roman"/>
              </w:rPr>
            </w:pPr>
            <w:r w:rsidRPr="00AC5322">
              <w:rPr>
                <w:rFonts w:ascii="Times New Roman" w:hAnsi="Times New Roman" w:cs="Times New Roman"/>
              </w:rPr>
              <w:t>$2.70</w:t>
            </w:r>
          </w:p>
        </w:tc>
      </w:tr>
    </w:tbl>
    <w:p w:rsidR="00805696" w:rsidRDefault="00805696" w:rsidP="00805696">
      <w:pPr>
        <w:spacing w:after="240"/>
        <w:jc w:val="both"/>
        <w:rPr>
          <w:rFonts w:eastAsiaTheme="minorHAnsi"/>
        </w:rPr>
      </w:pPr>
    </w:p>
    <w:p w:rsidR="00805696" w:rsidRDefault="00805696" w:rsidP="00805696">
      <w:pPr>
        <w:spacing w:after="240"/>
        <w:jc w:val="both"/>
        <w:rPr>
          <w:rFonts w:eastAsiaTheme="minorHAnsi"/>
        </w:rPr>
      </w:pPr>
    </w:p>
    <w:p w:rsidR="00805696" w:rsidRPr="00AC5322" w:rsidRDefault="00805696" w:rsidP="00805696">
      <w:pPr>
        <w:jc w:val="center"/>
        <w:rPr>
          <w:b/>
          <w:bCs/>
        </w:rPr>
      </w:pPr>
      <w:r w:rsidRPr="00AC5322">
        <w:rPr>
          <w:b/>
          <w:bCs/>
        </w:rPr>
        <w:t>Staff Recommended</w:t>
      </w:r>
    </w:p>
    <w:p w:rsidR="00805696" w:rsidRPr="00AC5322" w:rsidRDefault="00805696" w:rsidP="00805696">
      <w:pPr>
        <w:jc w:val="center"/>
        <w:rPr>
          <w:b/>
          <w:u w:val="single"/>
        </w:rPr>
      </w:pPr>
      <w:r w:rsidRPr="00AC5322">
        <w:rPr>
          <w:b/>
          <w:u w:val="single"/>
        </w:rPr>
        <w:t>Miscellaneous Service Charges</w:t>
      </w:r>
    </w:p>
    <w:p w:rsidR="00805696" w:rsidRPr="00AC5322" w:rsidRDefault="00805696" w:rsidP="00805696">
      <w:pPr>
        <w:jc w:val="center"/>
        <w:rPr>
          <w:b/>
          <w:bCs/>
          <w:u w:val="single"/>
        </w:rPr>
      </w:pPr>
    </w:p>
    <w:tbl>
      <w:tblPr>
        <w:tblStyle w:val="TableGrid12"/>
        <w:tblW w:w="0" w:type="auto"/>
        <w:jc w:val="center"/>
        <w:tblLook w:val="04A0" w:firstRow="1" w:lastRow="0" w:firstColumn="1" w:lastColumn="0" w:noHBand="0" w:noVBand="1"/>
      </w:tblPr>
      <w:tblGrid>
        <w:gridCol w:w="4296"/>
        <w:gridCol w:w="3575"/>
      </w:tblGrid>
      <w:tr w:rsidR="00805696" w:rsidRPr="00AC5322" w:rsidTr="00650EAF">
        <w:trPr>
          <w:jc w:val="center"/>
        </w:trPr>
        <w:tc>
          <w:tcPr>
            <w:tcW w:w="4296" w:type="dxa"/>
            <w:tcBorders>
              <w:top w:val="nil"/>
              <w:left w:val="nil"/>
              <w:bottom w:val="nil"/>
              <w:right w:val="nil"/>
            </w:tcBorders>
          </w:tcPr>
          <w:p w:rsidR="00805696" w:rsidRPr="00AC5322" w:rsidRDefault="00805696" w:rsidP="00650EAF">
            <w:pPr>
              <w:rPr>
                <w:rFonts w:ascii="Times New Roman" w:hAnsi="Times New Roman" w:cs="Times New Roman"/>
              </w:rPr>
            </w:pPr>
          </w:p>
        </w:tc>
        <w:tc>
          <w:tcPr>
            <w:tcW w:w="3575" w:type="dxa"/>
            <w:tcBorders>
              <w:top w:val="nil"/>
              <w:left w:val="nil"/>
              <w:bottom w:val="nil"/>
              <w:right w:val="nil"/>
            </w:tcBorders>
          </w:tcPr>
          <w:p w:rsidR="00805696" w:rsidRPr="00AC5322" w:rsidRDefault="00805696" w:rsidP="00650EAF">
            <w:pPr>
              <w:jc w:val="center"/>
              <w:rPr>
                <w:rFonts w:ascii="Times New Roman" w:hAnsi="Times New Roman" w:cs="Times New Roman"/>
                <w:u w:val="single"/>
              </w:rPr>
            </w:pPr>
            <w:r w:rsidRPr="00AC5322">
              <w:rPr>
                <w:rFonts w:ascii="Times New Roman" w:hAnsi="Times New Roman" w:cs="Times New Roman"/>
                <w:u w:val="single"/>
              </w:rPr>
              <w:t>Normal Hours</w:t>
            </w:r>
          </w:p>
        </w:tc>
      </w:tr>
      <w:tr w:rsidR="00805696" w:rsidRPr="00AC5322" w:rsidTr="00650EAF">
        <w:trPr>
          <w:jc w:val="center"/>
        </w:trPr>
        <w:tc>
          <w:tcPr>
            <w:tcW w:w="4296" w:type="dxa"/>
            <w:tcBorders>
              <w:top w:val="nil"/>
              <w:left w:val="nil"/>
              <w:bottom w:val="nil"/>
              <w:right w:val="nil"/>
            </w:tcBorders>
          </w:tcPr>
          <w:p w:rsidR="00805696" w:rsidRPr="00AC5322" w:rsidRDefault="00805696" w:rsidP="00650EAF">
            <w:pPr>
              <w:rPr>
                <w:rFonts w:ascii="Times New Roman" w:hAnsi="Times New Roman" w:cs="Times New Roman"/>
              </w:rPr>
            </w:pPr>
            <w:r w:rsidRPr="00AC5322">
              <w:rPr>
                <w:rFonts w:ascii="Times New Roman" w:hAnsi="Times New Roman" w:cs="Times New Roman"/>
              </w:rPr>
              <w:t>Premises Visit Charge</w:t>
            </w:r>
          </w:p>
        </w:tc>
        <w:tc>
          <w:tcPr>
            <w:tcW w:w="3575" w:type="dxa"/>
            <w:tcBorders>
              <w:top w:val="nil"/>
              <w:left w:val="nil"/>
              <w:bottom w:val="nil"/>
              <w:right w:val="nil"/>
            </w:tcBorders>
          </w:tcPr>
          <w:p w:rsidR="00805696" w:rsidRPr="00AC5322" w:rsidRDefault="00805696" w:rsidP="00650EAF">
            <w:pPr>
              <w:jc w:val="center"/>
              <w:rPr>
                <w:rFonts w:ascii="Times New Roman" w:hAnsi="Times New Roman" w:cs="Times New Roman"/>
              </w:rPr>
            </w:pPr>
            <w:r>
              <w:rPr>
                <w:rFonts w:ascii="Times New Roman" w:hAnsi="Times New Roman" w:cs="Times New Roman"/>
              </w:rPr>
              <w:t>$15.56</w:t>
            </w:r>
          </w:p>
        </w:tc>
      </w:tr>
      <w:tr w:rsidR="00805696" w:rsidRPr="00AC5322" w:rsidTr="00650EAF">
        <w:trPr>
          <w:jc w:val="center"/>
        </w:trPr>
        <w:tc>
          <w:tcPr>
            <w:tcW w:w="4296" w:type="dxa"/>
            <w:tcBorders>
              <w:top w:val="nil"/>
              <w:left w:val="nil"/>
              <w:bottom w:val="nil"/>
              <w:right w:val="nil"/>
            </w:tcBorders>
          </w:tcPr>
          <w:p w:rsidR="00805696" w:rsidRPr="00AC5322" w:rsidRDefault="00805696" w:rsidP="00650EAF">
            <w:pPr>
              <w:rPr>
                <w:rFonts w:ascii="Times New Roman" w:hAnsi="Times New Roman" w:cs="Times New Roman"/>
              </w:rPr>
            </w:pPr>
            <w:r w:rsidRPr="00AC5322">
              <w:rPr>
                <w:rFonts w:ascii="Times New Roman" w:hAnsi="Times New Roman" w:cs="Times New Roman"/>
              </w:rPr>
              <w:t>Violation Reconnection Charge</w:t>
            </w:r>
          </w:p>
        </w:tc>
        <w:tc>
          <w:tcPr>
            <w:tcW w:w="3575" w:type="dxa"/>
            <w:tcBorders>
              <w:top w:val="nil"/>
              <w:left w:val="nil"/>
              <w:bottom w:val="nil"/>
              <w:right w:val="nil"/>
            </w:tcBorders>
          </w:tcPr>
          <w:p w:rsidR="00805696" w:rsidRPr="00AC5322" w:rsidRDefault="00805696" w:rsidP="00650EAF">
            <w:pPr>
              <w:jc w:val="center"/>
              <w:rPr>
                <w:rFonts w:ascii="Times New Roman" w:hAnsi="Times New Roman" w:cs="Times New Roman"/>
              </w:rPr>
            </w:pPr>
            <w:r>
              <w:rPr>
                <w:rFonts w:ascii="Times New Roman" w:hAnsi="Times New Roman" w:cs="Times New Roman"/>
              </w:rPr>
              <w:t>$15.56</w:t>
            </w:r>
          </w:p>
        </w:tc>
      </w:tr>
      <w:tr w:rsidR="00805696" w:rsidRPr="00AC5322" w:rsidTr="00650EAF">
        <w:trPr>
          <w:jc w:val="center"/>
        </w:trPr>
        <w:tc>
          <w:tcPr>
            <w:tcW w:w="4296" w:type="dxa"/>
            <w:tcBorders>
              <w:top w:val="nil"/>
              <w:left w:val="nil"/>
              <w:bottom w:val="nil"/>
              <w:right w:val="nil"/>
            </w:tcBorders>
          </w:tcPr>
          <w:p w:rsidR="00805696" w:rsidRPr="00AC5322" w:rsidRDefault="00805696" w:rsidP="00650EAF">
            <w:pPr>
              <w:rPr>
                <w:rFonts w:ascii="Times New Roman" w:hAnsi="Times New Roman" w:cs="Times New Roman"/>
              </w:rPr>
            </w:pPr>
            <w:r w:rsidRPr="00AC5322">
              <w:rPr>
                <w:rFonts w:ascii="Times New Roman" w:hAnsi="Times New Roman" w:cs="Times New Roman"/>
              </w:rPr>
              <w:t>Late Payment Charge</w:t>
            </w:r>
          </w:p>
        </w:tc>
        <w:tc>
          <w:tcPr>
            <w:tcW w:w="3575" w:type="dxa"/>
            <w:tcBorders>
              <w:top w:val="nil"/>
              <w:left w:val="nil"/>
              <w:bottom w:val="nil"/>
              <w:right w:val="nil"/>
            </w:tcBorders>
          </w:tcPr>
          <w:p w:rsidR="00805696" w:rsidRPr="00AC5322" w:rsidRDefault="00805696" w:rsidP="00650EAF">
            <w:pPr>
              <w:jc w:val="center"/>
              <w:rPr>
                <w:rFonts w:ascii="Times New Roman" w:hAnsi="Times New Roman" w:cs="Times New Roman"/>
              </w:rPr>
            </w:pPr>
            <w:r w:rsidRPr="00AC5322">
              <w:rPr>
                <w:rFonts w:ascii="Times New Roman" w:hAnsi="Times New Roman" w:cs="Times New Roman"/>
              </w:rPr>
              <w:t>$5.18</w:t>
            </w:r>
          </w:p>
        </w:tc>
      </w:tr>
      <w:tr w:rsidR="00805696" w:rsidRPr="00AC5322" w:rsidTr="00650EAF">
        <w:trPr>
          <w:jc w:val="center"/>
        </w:trPr>
        <w:tc>
          <w:tcPr>
            <w:tcW w:w="4296" w:type="dxa"/>
            <w:tcBorders>
              <w:top w:val="nil"/>
              <w:left w:val="nil"/>
              <w:bottom w:val="nil"/>
              <w:right w:val="nil"/>
            </w:tcBorders>
          </w:tcPr>
          <w:p w:rsidR="00805696" w:rsidRPr="00AC5322" w:rsidRDefault="00805696" w:rsidP="00650EAF">
            <w:pPr>
              <w:rPr>
                <w:rFonts w:ascii="Times New Roman" w:hAnsi="Times New Roman" w:cs="Times New Roman"/>
              </w:rPr>
            </w:pPr>
            <w:r w:rsidRPr="00AC5322">
              <w:rPr>
                <w:rFonts w:ascii="Times New Roman" w:hAnsi="Times New Roman" w:cs="Times New Roman"/>
              </w:rPr>
              <w:t>NSF Charges</w:t>
            </w:r>
          </w:p>
        </w:tc>
        <w:tc>
          <w:tcPr>
            <w:tcW w:w="3575" w:type="dxa"/>
            <w:tcBorders>
              <w:top w:val="nil"/>
              <w:left w:val="nil"/>
              <w:bottom w:val="nil"/>
              <w:right w:val="nil"/>
            </w:tcBorders>
          </w:tcPr>
          <w:p w:rsidR="00805696" w:rsidRPr="00AC5322" w:rsidRDefault="00805696" w:rsidP="00650EAF">
            <w:pPr>
              <w:jc w:val="center"/>
              <w:rPr>
                <w:rFonts w:ascii="Times New Roman" w:hAnsi="Times New Roman" w:cs="Times New Roman"/>
              </w:rPr>
            </w:pPr>
            <w:r w:rsidRPr="00AC5322">
              <w:rPr>
                <w:rFonts w:ascii="Times New Roman" w:hAnsi="Times New Roman" w:cs="Times New Roman"/>
              </w:rPr>
              <w:t>Pursuant to Section 68.065, F.S</w:t>
            </w:r>
            <w:r w:rsidR="002867CB">
              <w:rPr>
                <w:rFonts w:ascii="Times New Roman" w:hAnsi="Times New Roman" w:cs="Times New Roman"/>
              </w:rPr>
              <w:t>.</w:t>
            </w:r>
          </w:p>
        </w:tc>
      </w:tr>
      <w:tr w:rsidR="00805696" w:rsidRPr="00AC5322" w:rsidTr="00650EAF">
        <w:trPr>
          <w:jc w:val="center"/>
        </w:trPr>
        <w:tc>
          <w:tcPr>
            <w:tcW w:w="4296" w:type="dxa"/>
            <w:tcBorders>
              <w:top w:val="nil"/>
              <w:left w:val="nil"/>
              <w:bottom w:val="nil"/>
              <w:right w:val="nil"/>
            </w:tcBorders>
          </w:tcPr>
          <w:p w:rsidR="00805696" w:rsidRPr="00AC5322" w:rsidRDefault="00805696" w:rsidP="00650EAF">
            <w:pPr>
              <w:rPr>
                <w:rFonts w:ascii="Times New Roman" w:hAnsi="Times New Roman" w:cs="Times New Roman"/>
              </w:rPr>
            </w:pPr>
            <w:r w:rsidRPr="00AC5322">
              <w:rPr>
                <w:rFonts w:ascii="Times New Roman" w:hAnsi="Times New Roman" w:cs="Times New Roman"/>
              </w:rPr>
              <w:t>Convenience Charge</w:t>
            </w:r>
          </w:p>
        </w:tc>
        <w:tc>
          <w:tcPr>
            <w:tcW w:w="3575" w:type="dxa"/>
            <w:tcBorders>
              <w:top w:val="nil"/>
              <w:left w:val="nil"/>
              <w:bottom w:val="nil"/>
              <w:right w:val="nil"/>
            </w:tcBorders>
          </w:tcPr>
          <w:p w:rsidR="00805696" w:rsidRPr="00AC5322" w:rsidRDefault="00805696" w:rsidP="00650EAF">
            <w:pPr>
              <w:jc w:val="center"/>
              <w:rPr>
                <w:rFonts w:ascii="Times New Roman" w:hAnsi="Times New Roman" w:cs="Times New Roman"/>
              </w:rPr>
            </w:pPr>
            <w:r w:rsidRPr="00AC5322">
              <w:rPr>
                <w:rFonts w:ascii="Times New Roman" w:hAnsi="Times New Roman" w:cs="Times New Roman"/>
              </w:rPr>
              <w:t>$2.70</w:t>
            </w:r>
          </w:p>
        </w:tc>
      </w:tr>
    </w:tbl>
    <w:p w:rsidR="00805696" w:rsidRPr="00CB698B" w:rsidRDefault="00805696" w:rsidP="00805696">
      <w:pPr>
        <w:spacing w:after="240"/>
        <w:jc w:val="both"/>
        <w:rPr>
          <w:rFonts w:eastAsiaTheme="minorHAnsi"/>
        </w:rPr>
      </w:pPr>
    </w:p>
    <w:p w:rsidR="00805696" w:rsidRPr="00CB698B" w:rsidRDefault="00805696" w:rsidP="00805696">
      <w:pPr>
        <w:rPr>
          <w:rFonts w:ascii="Arial" w:hAnsi="Arial" w:cs="Arial"/>
          <w:b/>
          <w:bCs/>
        </w:rPr>
      </w:pPr>
      <w:r w:rsidRPr="00CB698B">
        <w:rPr>
          <w:rFonts w:ascii="Arial" w:hAnsi="Arial" w:cs="Arial"/>
          <w:b/>
          <w:bCs/>
        </w:rPr>
        <w:t>Conclusion</w:t>
      </w:r>
    </w:p>
    <w:p w:rsidR="00BE0B3C" w:rsidRDefault="00805696" w:rsidP="00BE0B3C">
      <w:pPr>
        <w:pStyle w:val="BodyText"/>
        <w:rPr>
          <w:b/>
          <w:i/>
        </w:rPr>
      </w:pPr>
      <w:r w:rsidRPr="00203A9E">
        <w:t>Staff recommends the miscellaneous service charges be revised to conform to the recent revision to Rule 25-30.460, F.A.C. The recommended miscellaneous service charges are shown on Schedule No. 1-B. Brendenwood should be required to file a proposed customer notice to reflect the Commission-approved charges. The approved charges should be effective on or after the stamped approval date on the tariff sheet pursuant to Rule 25-30.475(1), F.A.C. In addition, the approved charge should not be implemented until staff has approved the proposed customer notice and the notice has been received by customers. The utility should provide proof of the date notice was given no less than 10 days after the date of the notice.</w:t>
      </w:r>
    </w:p>
    <w:p w:rsidR="00805696" w:rsidRDefault="00805696">
      <w:pPr>
        <w:pStyle w:val="IssueHeading"/>
        <w:rPr>
          <w:vanish/>
          <w:specVanish/>
        </w:rPr>
      </w:pPr>
      <w:r w:rsidRPr="004C3641">
        <w:rPr>
          <w:b w:val="0"/>
          <w:i w:val="0"/>
        </w:rPr>
        <w:br w:type="page"/>
      </w:r>
      <w:r w:rsidRPr="004C3641">
        <w:t xml:space="preserve">Issue </w:t>
      </w:r>
      <w:r w:rsidR="00E54EE3">
        <w:fldChar w:fldCharType="begin"/>
      </w:r>
      <w:r w:rsidR="00E54EE3">
        <w:instrText xml:space="preserve"> SEQ Issue \* MERGEFORMAT </w:instrText>
      </w:r>
      <w:r w:rsidR="00E54EE3">
        <w:fldChar w:fldCharType="separate"/>
      </w:r>
      <w:r w:rsidR="004D1728">
        <w:rPr>
          <w:noProof/>
        </w:rPr>
        <w:t>12</w:t>
      </w:r>
      <w:r w:rsidR="00E54EE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0" w:name="_Toc91659000"/>
      <w:r w:rsidR="004D1728">
        <w:rPr>
          <w:noProof/>
        </w:rPr>
        <w:instrText>12</w:instrText>
      </w:r>
      <w:r>
        <w:fldChar w:fldCharType="end"/>
      </w:r>
      <w:r>
        <w:tab/>
        <w:instrText>Four</w:instrText>
      </w:r>
      <w:r w:rsidR="00836A6D">
        <w:instrText xml:space="preserve">-Year </w:instrText>
      </w:r>
      <w:r>
        <w:instrText>Rate Reduction</w:instrText>
      </w:r>
      <w:r w:rsidR="0071317B">
        <w:instrText xml:space="preserve"> </w:instrText>
      </w:r>
      <w:r>
        <w:instrText>(Bethea, Casper)</w:instrText>
      </w:r>
      <w:bookmarkEnd w:id="30"/>
      <w:r>
        <w:instrText xml:space="preserve">" \l 1 </w:instrText>
      </w:r>
      <w:r>
        <w:fldChar w:fldCharType="end"/>
      </w:r>
      <w:r>
        <w:t> </w:t>
      </w:r>
    </w:p>
    <w:p w:rsidR="00805696" w:rsidRDefault="00805696">
      <w:pPr>
        <w:pStyle w:val="BodyText"/>
      </w:pPr>
      <w:r>
        <w:t> What is the appropriate amount by which rates should be reduced four years after the published effective date to reflect the removal of the amortized rate case expense as required by Section 367.081(8)</w:t>
      </w:r>
      <w:r w:rsidR="002867CB">
        <w:t xml:space="preserve">, </w:t>
      </w:r>
      <w:r>
        <w:t>F.S.?</w:t>
      </w:r>
    </w:p>
    <w:p w:rsidR="00805696" w:rsidRPr="004C3641" w:rsidRDefault="00805696">
      <w:pPr>
        <w:pStyle w:val="IssueSubsectionHeading"/>
        <w:rPr>
          <w:vanish/>
          <w:specVanish/>
        </w:rPr>
      </w:pPr>
      <w:r w:rsidRPr="004C3641">
        <w:t>Recommendation: </w:t>
      </w:r>
    </w:p>
    <w:p w:rsidR="00805696" w:rsidRDefault="00805696">
      <w:pPr>
        <w:pStyle w:val="BodyText"/>
      </w:pPr>
      <w:r>
        <w:t> </w:t>
      </w:r>
      <w:r w:rsidRPr="006F38B0">
        <w:t xml:space="preserve">The rates should be reduced as shown on Schedule </w:t>
      </w:r>
      <w:r w:rsidRPr="00BD2CEB">
        <w:t>No. 4</w:t>
      </w:r>
      <w:r w:rsidRPr="006F38B0">
        <w:t>, to remove rate case expense grossed-up for RAFs and amortized over a four-year period. Pursuant to Section 367.081(8), F.S., the decrease in rates should become effective immediately following the expiration of the rate case expense recovery period. Brendenwood should be required to file revised tariffs and a proposed customer notice setting forth the lower rates and rationale no later than one month prior to the effective</w:t>
      </w:r>
      <w:r>
        <w:t xml:space="preserve"> date of the new rates. If the u</w:t>
      </w:r>
      <w:r w:rsidRPr="006F38B0">
        <w:t>tility files revised tariffs reflecting this reduction in conjunction with a price index or pass-through rate adjustment, separate data should be filed for the price index and/or pass-through increase or decrease and the reduction in the rates due to the amortized rate case expense.</w:t>
      </w:r>
      <w:r>
        <w:t xml:space="preserve"> (Bethea, Casper)</w:t>
      </w:r>
      <w:r w:rsidRPr="00805696">
        <w:t xml:space="preserve"> </w:t>
      </w:r>
      <w:r w:rsidRPr="006F38B0">
        <w:t>(Procedural Agency Action)</w:t>
      </w:r>
    </w:p>
    <w:p w:rsidR="00805696" w:rsidRPr="004C3641" w:rsidRDefault="00805696">
      <w:pPr>
        <w:pStyle w:val="IssueSubsectionHeading"/>
        <w:rPr>
          <w:vanish/>
          <w:specVanish/>
        </w:rPr>
      </w:pPr>
      <w:r w:rsidRPr="004C3641">
        <w:t>Staff Analysis: </w:t>
      </w:r>
    </w:p>
    <w:p w:rsidR="00B7742D" w:rsidRDefault="00805696" w:rsidP="00B7742D">
      <w:pPr>
        <w:pStyle w:val="BodyText"/>
      </w:pPr>
      <w:r>
        <w:t> </w:t>
      </w:r>
      <w:r w:rsidR="00B7742D">
        <w:t xml:space="preserve">Section 367.081(8), F.S., requires that the rates be reduced by the amount of the rate case expense previously included in rates immediately following the expiration of the recovery period. With respect to Brendenwood, the reduction will reflect the removal of revenue associated with the amortization of rate case expense and the gross-up for RAFs. The total reduction is </w:t>
      </w:r>
      <w:r w:rsidR="00B7742D" w:rsidRPr="00BD2CEB">
        <w:t>$301</w:t>
      </w:r>
      <w:r w:rsidR="00B7742D">
        <w:t>.</w:t>
      </w:r>
    </w:p>
    <w:p w:rsidR="00BE0B3C" w:rsidRDefault="00B7742D" w:rsidP="00BE0B3C">
      <w:pPr>
        <w:pStyle w:val="BodyText"/>
        <w:rPr>
          <w:b/>
          <w:i/>
        </w:rPr>
      </w:pPr>
      <w:r w:rsidRPr="00203A9E">
        <w:t>Staff recommends that the rates should be reduced as shown on Schedule No. 4, to remove rate case expense grossed-up for RAFs and amortized over a four-year period. Pursuant to Section 367.081(8), F.S., the decrease in rates should become effective immediately following the expiration of the rate case expense recovery period. Brendenwood should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should be filed for the price index and/or pass-through increase or decrease and the reduction in the rates due to the amortized rate case expense.</w:t>
      </w:r>
    </w:p>
    <w:p w:rsidR="00B7742D" w:rsidRDefault="00B7742D">
      <w:pPr>
        <w:pStyle w:val="IssueHeading"/>
        <w:rPr>
          <w:vanish/>
          <w:specVanish/>
        </w:rPr>
      </w:pPr>
      <w:r w:rsidRPr="004C3641">
        <w:rPr>
          <w:b w:val="0"/>
          <w:i w:val="0"/>
        </w:rPr>
        <w:br w:type="page"/>
      </w:r>
      <w:r w:rsidRPr="004C3641">
        <w:t xml:space="preserve">Issue </w:t>
      </w:r>
      <w:r w:rsidR="00E54EE3">
        <w:fldChar w:fldCharType="begin"/>
      </w:r>
      <w:r w:rsidR="00E54EE3">
        <w:instrText xml:space="preserve"> SEQ Issue \* MERGEFORMAT </w:instrText>
      </w:r>
      <w:r w:rsidR="00E54EE3">
        <w:fldChar w:fldCharType="separate"/>
      </w:r>
      <w:r w:rsidR="004D1728">
        <w:rPr>
          <w:noProof/>
        </w:rPr>
        <w:t>13</w:t>
      </w:r>
      <w:r w:rsidR="00E54EE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1" w:name="_Toc91659001"/>
      <w:r w:rsidR="004D1728">
        <w:rPr>
          <w:noProof/>
        </w:rPr>
        <w:instrText>13</w:instrText>
      </w:r>
      <w:r>
        <w:fldChar w:fldCharType="end"/>
      </w:r>
      <w:r>
        <w:tab/>
        <w:instrText>Recommended Rates on a Temporary Basis</w:instrText>
      </w:r>
      <w:r w:rsidR="0071317B">
        <w:instrText xml:space="preserve"> </w:instrText>
      </w:r>
      <w:r>
        <w:instrText>(Casper)</w:instrText>
      </w:r>
      <w:bookmarkEnd w:id="31"/>
      <w:r>
        <w:instrText xml:space="preserve">" \l 1 </w:instrText>
      </w:r>
      <w:r>
        <w:fldChar w:fldCharType="end"/>
      </w:r>
      <w:r>
        <w:t> </w:t>
      </w:r>
    </w:p>
    <w:p w:rsidR="00B7742D" w:rsidRDefault="00B7742D">
      <w:pPr>
        <w:pStyle w:val="BodyText"/>
      </w:pPr>
      <w:r>
        <w:t> Should the recommended rates be approved for Brendenwood on a temporary basis, subject to refund with interest, in the event of a protest filed by a party other than the utility?</w:t>
      </w:r>
    </w:p>
    <w:p w:rsidR="00B7742D" w:rsidRPr="004C3641" w:rsidRDefault="00B7742D">
      <w:pPr>
        <w:pStyle w:val="IssueSubsectionHeading"/>
        <w:rPr>
          <w:vanish/>
          <w:specVanish/>
        </w:rPr>
      </w:pPr>
      <w:r w:rsidRPr="004C3641">
        <w:t>Recommendation: </w:t>
      </w:r>
    </w:p>
    <w:p w:rsidR="00B7742D" w:rsidRDefault="00B7742D" w:rsidP="00B7742D">
      <w:pPr>
        <w:pStyle w:val="BodyText"/>
      </w:pPr>
      <w:r>
        <w:t xml:space="preserve"> Yes. Pursuant to Section 367.0814(7), F.S., the recommended rates should be approved for the utility on a temporary basis, subject to refund with interest, in the event of a protest filed by a party other than the utility. Brendenwood should file revised tariff sheets and a proposed customer notice reflecting the Commission-approved rates. The approved rates should be effective for services rendered on or after the stamped approval date on the tariff sheet, pursuant to Rule 25-30.475(1), F.A.C. In addition, the temporary rates should not be implemented until staff has approved the proposed notice, and the notice has been received by the customers. Further, prior to implementing any temporary rates, the utility should provide appropriate financial security. </w:t>
      </w:r>
    </w:p>
    <w:p w:rsidR="00B7742D" w:rsidRDefault="00B7742D" w:rsidP="00B7742D">
      <w:pPr>
        <w:pStyle w:val="BodyText"/>
      </w:pPr>
      <w:r>
        <w:t>If the recommended rates are approved on a temporary basis, the rates collected by the utility should be subject to the refund provisions discussed below in the staff analysis. In addition, after the increased rates are in effect, pursuant to Rule 25-30.360(6), F.A.C., the utility should file reports with the Commission’s Office of Commission Clerk no later than the 20th of each month indicating both the current monthly and total amount subject to refund at the end of the preceding month. The report filed should also indicate the status of the security being used to guarantee repayment of any potential refund. (Casper)</w:t>
      </w:r>
      <w:r w:rsidRPr="00B7742D">
        <w:t xml:space="preserve"> </w:t>
      </w:r>
      <w:r>
        <w:t>(Procedural Agency Action)</w:t>
      </w:r>
    </w:p>
    <w:p w:rsidR="00B7742D" w:rsidRPr="004C3641" w:rsidRDefault="00B7742D">
      <w:pPr>
        <w:pStyle w:val="IssueSubsectionHeading"/>
        <w:rPr>
          <w:vanish/>
          <w:specVanish/>
        </w:rPr>
      </w:pPr>
      <w:r w:rsidRPr="004C3641">
        <w:t>Staff Analysis: </w:t>
      </w:r>
    </w:p>
    <w:p w:rsidR="00B7742D" w:rsidRDefault="00B7742D" w:rsidP="00B7742D">
      <w:pPr>
        <w:pStyle w:val="BodyText"/>
      </w:pPr>
      <w:r>
        <w:t> This recommendation proposes an increase in rates. A timely protest might delay a rate increase resulting in an unrecoverable loss of revenue to the utility. Therefore, pursuant to Section 367.0814(7), F.S., in the event of a protest filed by a party other than the utility, staff recommends that the proposed rates be approved on a temporary basis. Brendenwood should file revised tariff sheets and a proposed customer notice reflecting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it has been received by the customers. The additional revenue produced by staff’s recommended rates and collected by the utility should be subject to the refund provisions discussed below.</w:t>
      </w:r>
    </w:p>
    <w:p w:rsidR="00B7742D" w:rsidRDefault="00B7742D" w:rsidP="00B7742D">
      <w:pPr>
        <w:pStyle w:val="BodyText"/>
      </w:pPr>
      <w:r>
        <w:t>Brendenwood should be authorized to initiate the temporary rates upon staff’s approval of an appropriate security for the potential refund and cost of the proposed customer notice. Security should be in the form of either a bond or letter of credit in the amount of $4,046. Alternatively, the utility may establish an escrow agreement with an independent financial institution.</w:t>
      </w:r>
    </w:p>
    <w:p w:rsidR="00B7742D" w:rsidRDefault="00B7742D" w:rsidP="00B7742D">
      <w:pPr>
        <w:pStyle w:val="BodyText"/>
      </w:pPr>
      <w:r>
        <w:t>If the utility chooses a bond for securing the potential refund, the bond should contain wording to the effect that it will be terminated only under the following conditions:</w:t>
      </w:r>
    </w:p>
    <w:p w:rsidR="00B7742D" w:rsidRDefault="00B7742D" w:rsidP="00C12D66">
      <w:pPr>
        <w:pStyle w:val="BodyText"/>
        <w:spacing w:after="0"/>
        <w:ind w:left="720"/>
      </w:pPr>
      <w:r>
        <w:t>1.</w:t>
      </w:r>
      <w:r>
        <w:tab/>
        <w:t>The Commission approves the rate increase; or,</w:t>
      </w:r>
    </w:p>
    <w:p w:rsidR="00B7742D" w:rsidRDefault="00B7742D" w:rsidP="005E3234">
      <w:pPr>
        <w:pStyle w:val="BodyText"/>
        <w:ind w:left="1440" w:hanging="720"/>
      </w:pPr>
      <w:r>
        <w:t>2.</w:t>
      </w:r>
      <w:r>
        <w:tab/>
        <w:t>If the Commission denies the increase, the utility shall refund the amount collected that is attributable to the increase.</w:t>
      </w:r>
    </w:p>
    <w:p w:rsidR="00B7742D" w:rsidRDefault="00B7742D" w:rsidP="00B7742D">
      <w:pPr>
        <w:pStyle w:val="BodyText"/>
      </w:pPr>
      <w:r>
        <w:t>If the utility chooses a letter of credit for securing the potential refund, the letter of credit should contain the following conditions:</w:t>
      </w:r>
    </w:p>
    <w:p w:rsidR="00B7742D" w:rsidRDefault="00B7742D" w:rsidP="00C12D66">
      <w:pPr>
        <w:pStyle w:val="BodyText"/>
        <w:spacing w:after="0"/>
        <w:ind w:left="1440" w:hanging="720"/>
      </w:pPr>
      <w:r>
        <w:t>1.</w:t>
      </w:r>
      <w:r>
        <w:tab/>
        <w:t>The letter of credit is irrevocable for the period it is in effect.</w:t>
      </w:r>
    </w:p>
    <w:p w:rsidR="00B7742D" w:rsidRDefault="00B7742D" w:rsidP="00C12D66">
      <w:pPr>
        <w:pStyle w:val="BodyText"/>
        <w:spacing w:after="0"/>
        <w:ind w:left="1440" w:hanging="720"/>
      </w:pPr>
      <w:r>
        <w:t>2.</w:t>
      </w:r>
      <w:r>
        <w:tab/>
        <w:t>The letter of credit will be in effect until a final Commission order is rendered, either approving or denying the rate increase.</w:t>
      </w:r>
    </w:p>
    <w:p w:rsidR="00250C24" w:rsidRDefault="00250C24" w:rsidP="00250C24">
      <w:pPr>
        <w:pStyle w:val="BodyText"/>
        <w:spacing w:after="0"/>
        <w:ind w:left="720" w:hanging="720"/>
      </w:pPr>
    </w:p>
    <w:p w:rsidR="00B7742D" w:rsidRDefault="00B7742D" w:rsidP="00B7742D">
      <w:pPr>
        <w:pStyle w:val="BodyText"/>
      </w:pPr>
      <w:r>
        <w:t>If security is provided through an escrow agreement, the following conditions should be part of the agreement:</w:t>
      </w:r>
    </w:p>
    <w:p w:rsidR="00B7742D" w:rsidRDefault="00B7742D" w:rsidP="00C12D66">
      <w:pPr>
        <w:pStyle w:val="BodyText"/>
        <w:spacing w:after="0"/>
        <w:ind w:left="1440" w:hanging="720"/>
      </w:pPr>
      <w:r>
        <w:t>1.</w:t>
      </w:r>
      <w:r>
        <w:tab/>
        <w:t>The Commission Clerk, or his or her designee, must be a signatory to the escrow agreement.</w:t>
      </w:r>
    </w:p>
    <w:p w:rsidR="00B7742D" w:rsidRDefault="00B7742D" w:rsidP="00C12D66">
      <w:pPr>
        <w:pStyle w:val="BodyText"/>
        <w:spacing w:after="0"/>
        <w:ind w:left="1440" w:hanging="720"/>
      </w:pPr>
      <w:r>
        <w:t>2.</w:t>
      </w:r>
      <w:r>
        <w:tab/>
        <w:t xml:space="preserve">No monies in the escrow account may be withdrawn by the utility without the prior written authorization of the Commission Clerk, or his or her designee. </w:t>
      </w:r>
    </w:p>
    <w:p w:rsidR="00B7742D" w:rsidRDefault="00B7742D" w:rsidP="00C12D66">
      <w:pPr>
        <w:pStyle w:val="BodyText"/>
        <w:spacing w:after="0"/>
        <w:ind w:left="1440" w:hanging="720"/>
      </w:pPr>
      <w:r>
        <w:t>3.</w:t>
      </w:r>
      <w:r>
        <w:tab/>
        <w:t>The escrow account shall be an interest bearing account.</w:t>
      </w:r>
    </w:p>
    <w:p w:rsidR="00B7742D" w:rsidRDefault="00B7742D" w:rsidP="00C12D66">
      <w:pPr>
        <w:pStyle w:val="BodyText"/>
        <w:spacing w:after="0"/>
        <w:ind w:left="1440" w:hanging="720"/>
      </w:pPr>
      <w:r>
        <w:t>4.</w:t>
      </w:r>
      <w:r>
        <w:tab/>
        <w:t>If a refund to the customers is required, all interest earned by the escrow account shall be distributed to the customers.</w:t>
      </w:r>
    </w:p>
    <w:p w:rsidR="00B7742D" w:rsidRDefault="00B7742D" w:rsidP="00C12D66">
      <w:pPr>
        <w:pStyle w:val="BodyText"/>
        <w:spacing w:after="0"/>
        <w:ind w:left="1440" w:hanging="720"/>
      </w:pPr>
      <w:r>
        <w:t>5.</w:t>
      </w:r>
      <w:r>
        <w:tab/>
        <w:t>If a refund to the customers is not required, the interest earned by the escrow account shall revert to the utility.</w:t>
      </w:r>
    </w:p>
    <w:p w:rsidR="00B7742D" w:rsidRDefault="00B7742D" w:rsidP="00C12D66">
      <w:pPr>
        <w:pStyle w:val="BodyText"/>
        <w:spacing w:after="0"/>
        <w:ind w:left="1440" w:hanging="720"/>
      </w:pPr>
      <w:r>
        <w:t>6.</w:t>
      </w:r>
      <w:r>
        <w:tab/>
        <w:t>All information on the escrow account shall be available from the holder of the escrow account to a Commission representative at all times.</w:t>
      </w:r>
    </w:p>
    <w:p w:rsidR="00B7742D" w:rsidRDefault="00B7742D" w:rsidP="00C12D66">
      <w:pPr>
        <w:pStyle w:val="BodyText"/>
        <w:spacing w:after="0"/>
        <w:ind w:left="1440" w:hanging="720"/>
      </w:pPr>
      <w:r>
        <w:t>7.</w:t>
      </w:r>
      <w:r>
        <w:tab/>
        <w:t>The amount of revenue subject to refund shall be deposited in the escrow account within seven days of receipt.</w:t>
      </w:r>
    </w:p>
    <w:p w:rsidR="00B7742D" w:rsidRDefault="00B7742D" w:rsidP="00C12D66">
      <w:pPr>
        <w:pStyle w:val="BodyText"/>
        <w:spacing w:after="0"/>
        <w:ind w:left="1440" w:hanging="720"/>
      </w:pPr>
      <w:r>
        <w:t>8.</w:t>
      </w:r>
      <w:r>
        <w:tab/>
        <w:t>This escrow account is established by the direction of the Florida Public Service Commission for the purpose(s) set forth in its order requiring such account. Pursuant to Cosentino v. Elson, 263 So. 2d 253 (Fla. 3d DCA 1972), escrow accounts are not subject to garnishments.</w:t>
      </w:r>
    </w:p>
    <w:p w:rsidR="00B7742D" w:rsidRDefault="00B7742D" w:rsidP="00C12D66">
      <w:pPr>
        <w:pStyle w:val="BodyText"/>
        <w:spacing w:after="0"/>
        <w:ind w:left="1440" w:hanging="720"/>
      </w:pPr>
      <w:r>
        <w:t>9.</w:t>
      </w:r>
      <w:r>
        <w:tab/>
        <w:t>The account must specify by whom and on whose behalf such monies were paid.</w:t>
      </w:r>
    </w:p>
    <w:p w:rsidR="00250C24" w:rsidRDefault="00250C24" w:rsidP="00250C24">
      <w:pPr>
        <w:pStyle w:val="BodyText"/>
        <w:spacing w:after="0"/>
        <w:ind w:left="720" w:hanging="720"/>
      </w:pPr>
    </w:p>
    <w:p w:rsidR="00B7742D" w:rsidRDefault="00B7742D" w:rsidP="00B7742D">
      <w:pPr>
        <w:pStyle w:val="BodyText"/>
      </w:pPr>
      <w:r>
        <w:t>In no instance should the maintenance and administrative costs associated with the refund be borne by the customers. These costs are the responsibility of, and should be borne by, the utility. Irrespective of the form of security chosen by the utility, an account of all monies received as a result of the rate increase should be maintained by the utility. If a refund is ultimately required, it should be paid with interest calculated pursuant to Rule 25-30.360(4), F.A.C.</w:t>
      </w:r>
    </w:p>
    <w:p w:rsidR="00BE0B3C" w:rsidRDefault="00B7742D" w:rsidP="00BE0B3C">
      <w:pPr>
        <w:pStyle w:val="BodyText"/>
        <w:rPr>
          <w:b/>
          <w:i/>
        </w:rPr>
      </w:pPr>
      <w:r w:rsidRPr="00203A9E">
        <w:t>The utility should maintain a record of the amount of the bond, and the amount of revenues that are subject to refund. In addition, after the increased rates are in effect, pursuant to Rule 25-30.360(6), F.A.C., the utility should file reports with the Commission Clerk’s office no later than the 20th of every month indicating the monthly and total amount of money subject to refund at the end of the preceding month. The report filed should also indicate the status of the security being used to guarantee repayment of any potential refund.</w:t>
      </w:r>
    </w:p>
    <w:p w:rsidR="00B7742D" w:rsidRDefault="00B7742D">
      <w:pPr>
        <w:pStyle w:val="IssueHeading"/>
        <w:rPr>
          <w:vanish/>
          <w:specVanish/>
        </w:rPr>
      </w:pPr>
      <w:r w:rsidRPr="004C3641">
        <w:rPr>
          <w:b w:val="0"/>
          <w:i w:val="0"/>
        </w:rPr>
        <w:br w:type="page"/>
      </w:r>
      <w:r w:rsidRPr="004C3641">
        <w:t xml:space="preserve">Issue </w:t>
      </w:r>
      <w:r w:rsidR="00E54EE3">
        <w:fldChar w:fldCharType="begin"/>
      </w:r>
      <w:r w:rsidR="00E54EE3">
        <w:instrText xml:space="preserve"> SEQ Issue \* MERGEFORMAT </w:instrText>
      </w:r>
      <w:r w:rsidR="00E54EE3">
        <w:fldChar w:fldCharType="separate"/>
      </w:r>
      <w:r w:rsidR="004D1728">
        <w:rPr>
          <w:noProof/>
        </w:rPr>
        <w:t>14</w:t>
      </w:r>
      <w:r w:rsidR="00E54EE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2" w:name="_Toc91659002"/>
      <w:r w:rsidR="004D1728">
        <w:rPr>
          <w:noProof/>
        </w:rPr>
        <w:instrText>14</w:instrText>
      </w:r>
      <w:r>
        <w:fldChar w:fldCharType="end"/>
      </w:r>
      <w:r>
        <w:tab/>
        <w:instrText>Adjustment of Books</w:instrText>
      </w:r>
      <w:r w:rsidR="0071317B">
        <w:instrText xml:space="preserve"> </w:instrText>
      </w:r>
      <w:r>
        <w:instrText>(Casper)</w:instrText>
      </w:r>
      <w:bookmarkEnd w:id="32"/>
      <w:r>
        <w:instrText xml:space="preserve">" \l 1 </w:instrText>
      </w:r>
      <w:r>
        <w:fldChar w:fldCharType="end"/>
      </w:r>
      <w:r>
        <w:t> </w:t>
      </w:r>
    </w:p>
    <w:p w:rsidR="00B7742D" w:rsidRDefault="00B7742D">
      <w:pPr>
        <w:pStyle w:val="BodyText"/>
      </w:pPr>
      <w:r>
        <w:t> Should Brendenwood be required to notify the Commission within 90 days of an effective order finalizing this docket, that it has adjusted its books for all the applicable National Association of Regulatory utility Commissioners (NARUC) Uniform System of Accounts (USOA) associated with the Commission approved adjustments?</w:t>
      </w:r>
    </w:p>
    <w:p w:rsidR="00B7742D" w:rsidRPr="004C3641" w:rsidRDefault="00B7742D">
      <w:pPr>
        <w:pStyle w:val="IssueSubsectionHeading"/>
        <w:rPr>
          <w:vanish/>
          <w:specVanish/>
        </w:rPr>
      </w:pPr>
      <w:r w:rsidRPr="004C3641">
        <w:t>Recommendation: </w:t>
      </w:r>
    </w:p>
    <w:p w:rsidR="00B7742D" w:rsidRDefault="00B7742D">
      <w:pPr>
        <w:pStyle w:val="BodyText"/>
      </w:pPr>
      <w:r>
        <w:t> </w:t>
      </w:r>
      <w:r w:rsidRPr="002B6345">
        <w:t xml:space="preserve">Yes. Brendenwood should be required to notify the Commission, in writing, that it has adjusted its books in accordance with the Commission’s decision. Brendenwood should submit a letter within 90 days of the Commission’s final order in this docket, confirming that the adjustments to all applicable NARUC USOA primary </w:t>
      </w:r>
      <w:r>
        <w:t>accounts have been made to the u</w:t>
      </w:r>
      <w:r w:rsidRPr="002B6345">
        <w:t>tility’s books</w:t>
      </w:r>
      <w:r>
        <w:t xml:space="preserve"> and records. In the event the u</w:t>
      </w:r>
      <w:r w:rsidRPr="002B6345">
        <w:t>tility needs additional time to complete the adjustments, a notice providing good cause should be filed not less than seven days prior to the deadline. Upon providing a notice of good cause, staff should be given administrative authority to grant an extension of up to 60 days.</w:t>
      </w:r>
      <w:r>
        <w:t xml:space="preserve"> (Casper)</w:t>
      </w:r>
      <w:r w:rsidRPr="00B7742D">
        <w:t xml:space="preserve"> </w:t>
      </w:r>
      <w:r w:rsidRPr="002B6345">
        <w:t>(Procedural Agency Action)</w:t>
      </w:r>
    </w:p>
    <w:p w:rsidR="00B7742D" w:rsidRPr="004C3641" w:rsidRDefault="00B7742D">
      <w:pPr>
        <w:pStyle w:val="IssueSubsectionHeading"/>
        <w:rPr>
          <w:vanish/>
          <w:specVanish/>
        </w:rPr>
      </w:pPr>
      <w:r w:rsidRPr="004C3641">
        <w:t>Staff Analysis: </w:t>
      </w:r>
    </w:p>
    <w:p w:rsidR="00BE0B3C" w:rsidRDefault="00B7742D" w:rsidP="00BE0B3C">
      <w:pPr>
        <w:pStyle w:val="BodyText"/>
        <w:rPr>
          <w:b/>
          <w:i/>
        </w:rPr>
      </w:pPr>
      <w:r>
        <w:t> </w:t>
      </w:r>
      <w:r w:rsidRPr="00B7742D">
        <w:t>Brendenwood should be required to notify the Commission, in writing, that it has adjusted its books in accordance with the Commission’s decision. Brendenwood should submit a letter within 90 days of the Commission’s final order in this docket, confirming that the adjustments to all the applicable NARUC USOA primary accounts have been made to the utility’s books and records. In the event the utility needs additional time to complete the adjustments, a notice providing good cause should be filed not less than seven days prior to the deadline. Upon providing a notice of good cause, staff should be given administrative authority to grant an extension of up to 60 days.</w:t>
      </w:r>
    </w:p>
    <w:p w:rsidR="00B7742D" w:rsidRDefault="00B7742D">
      <w:pPr>
        <w:pStyle w:val="IssueHeading"/>
        <w:rPr>
          <w:vanish/>
          <w:specVanish/>
        </w:rPr>
      </w:pPr>
      <w:r w:rsidRPr="004C3641">
        <w:rPr>
          <w:b w:val="0"/>
          <w:i w:val="0"/>
        </w:rPr>
        <w:br w:type="page"/>
      </w:r>
      <w:r w:rsidRPr="004C3641">
        <w:t xml:space="preserve">Issue </w:t>
      </w:r>
      <w:r w:rsidR="00E54EE3">
        <w:fldChar w:fldCharType="begin"/>
      </w:r>
      <w:r w:rsidR="00E54EE3">
        <w:instrText xml:space="preserve"> SEQ Issue \* MERGEFORMAT </w:instrText>
      </w:r>
      <w:r w:rsidR="00E54EE3">
        <w:fldChar w:fldCharType="separate"/>
      </w:r>
      <w:r w:rsidR="004D1728">
        <w:rPr>
          <w:noProof/>
        </w:rPr>
        <w:t>15</w:t>
      </w:r>
      <w:r w:rsidR="00E54EE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3" w:name="_Toc91659003"/>
      <w:r w:rsidR="004D1728">
        <w:rPr>
          <w:noProof/>
        </w:rPr>
        <w:instrText>15</w:instrText>
      </w:r>
      <w:r>
        <w:fldChar w:fldCharType="end"/>
      </w:r>
      <w:r>
        <w:tab/>
        <w:instrText>Close Docket</w:instrText>
      </w:r>
      <w:r w:rsidR="0071317B">
        <w:instrText xml:space="preserve"> </w:instrText>
      </w:r>
      <w:r w:rsidR="004A77C8">
        <w:instrText>(Jones)</w:instrText>
      </w:r>
      <w:bookmarkEnd w:id="33"/>
      <w:r>
        <w:instrText xml:space="preserve">" \l 1 </w:instrText>
      </w:r>
      <w:r>
        <w:fldChar w:fldCharType="end"/>
      </w:r>
      <w:r>
        <w:t> </w:t>
      </w:r>
    </w:p>
    <w:p w:rsidR="00B7742D" w:rsidRDefault="00B7742D">
      <w:pPr>
        <w:pStyle w:val="BodyText"/>
      </w:pPr>
      <w:r>
        <w:t> Should this docket be closed?</w:t>
      </w:r>
    </w:p>
    <w:p w:rsidR="00B7742D" w:rsidRPr="004C3641" w:rsidRDefault="00B7742D">
      <w:pPr>
        <w:pStyle w:val="IssueSubsectionHeading"/>
        <w:rPr>
          <w:vanish/>
          <w:specVanish/>
        </w:rPr>
      </w:pPr>
      <w:r w:rsidRPr="004C3641">
        <w:t>Recommendation: </w:t>
      </w:r>
    </w:p>
    <w:p w:rsidR="00B7742D" w:rsidRDefault="00B7742D">
      <w:pPr>
        <w:pStyle w:val="BodyText"/>
      </w:pPr>
      <w:r>
        <w:t> No. If no person whose substantial interests are affected by the proposed agency action files a protest within 21 days of the issuance of the Proposed Agency Action Order, a consummating order should be issued. This docket should remain open for staff’s verification that the revised tariff sheets and customer notices have been filed by the utility and approved by staff. Also, the docket should remain open to allow the utility to provide the recommended reporting information. Upon staff’s approval of the tariff sheets and customer notices, along with staff’s co</w:t>
      </w:r>
      <w:bookmarkStart w:id="34" w:name="_GoBack"/>
      <w:bookmarkEnd w:id="34"/>
      <w:r>
        <w:t xml:space="preserve">mpletion of its review of the recommended reporting information, this docket should be closed administratively if no adjustments are necessary. </w:t>
      </w:r>
      <w:r w:rsidR="004A77C8">
        <w:t>(Jones)</w:t>
      </w:r>
    </w:p>
    <w:p w:rsidR="00B7742D" w:rsidRPr="004C3641" w:rsidRDefault="00B7742D">
      <w:pPr>
        <w:pStyle w:val="IssueSubsectionHeading"/>
        <w:rPr>
          <w:vanish/>
          <w:specVanish/>
        </w:rPr>
      </w:pPr>
      <w:r w:rsidRPr="004C3641">
        <w:t>Staff Analysis: </w:t>
      </w:r>
    </w:p>
    <w:p w:rsidR="00B7742D" w:rsidRDefault="00B7742D" w:rsidP="00E275D8">
      <w:pPr>
        <w:pStyle w:val="BodyText"/>
      </w:pPr>
      <w:r>
        <w:t> </w:t>
      </w:r>
      <w:r w:rsidRPr="005E7FD9">
        <w:t>If no person whose substantial interests are affected by the proposed agency action files a protest within 21 days of the issuance of the Proposed Agency Action Order, a consummating order should be issued. This docket should remain open for staff’s verification that the revised tariff sheets and customer notices have been filed by the utility and approved by staff. Also, the docket should remain open to allow the utility to provide the recommended reporting information. Upon staff’s approval of the tariff sheets and customer notices, along with staff’s completion of its review of the recommended reporting information, this docket should be closed administratively if no adjustments are necessary.</w:t>
      </w:r>
    </w:p>
    <w:p w:rsidR="00C7181A" w:rsidRDefault="00C7181A" w:rsidP="00E275D8">
      <w:pPr>
        <w:pStyle w:val="BodyText"/>
      </w:pPr>
    </w:p>
    <w:p w:rsidR="00C7181A" w:rsidRDefault="00C7181A" w:rsidP="00E275D8">
      <w:pPr>
        <w:pStyle w:val="BodyText"/>
        <w:sectPr w:rsidR="00C7181A"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tbl>
      <w:tblPr>
        <w:tblStyle w:val="TableGrid13"/>
        <w:tblW w:w="5186" w:type="pct"/>
        <w:tblBorders>
          <w:insideH w:val="none" w:sz="0" w:space="0" w:color="auto"/>
          <w:insideV w:val="none" w:sz="0" w:space="0" w:color="auto"/>
        </w:tblBorders>
        <w:tblLayout w:type="fixed"/>
        <w:tblLook w:val="04A0" w:firstRow="1" w:lastRow="0" w:firstColumn="1" w:lastColumn="0" w:noHBand="0" w:noVBand="1"/>
      </w:tblPr>
      <w:tblGrid>
        <w:gridCol w:w="417"/>
        <w:gridCol w:w="5032"/>
        <w:gridCol w:w="1474"/>
        <w:gridCol w:w="1283"/>
        <w:gridCol w:w="1476"/>
        <w:gridCol w:w="250"/>
      </w:tblGrid>
      <w:tr w:rsidR="00960E7D" w:rsidRPr="00F77095" w:rsidTr="00650EAF">
        <w:trPr>
          <w:trHeight w:val="277"/>
        </w:trPr>
        <w:tc>
          <w:tcPr>
            <w:tcW w:w="210" w:type="pct"/>
            <w:tcBorders>
              <w:top w:val="single" w:sz="4" w:space="0" w:color="auto"/>
              <w:bottom w:val="nil"/>
            </w:tcBorders>
          </w:tcPr>
          <w:p w:rsidR="00960E7D" w:rsidRPr="00F77095" w:rsidRDefault="00960E7D" w:rsidP="00650EAF">
            <w:pPr>
              <w:jc w:val="both"/>
              <w:rPr>
                <w:rFonts w:ascii="Times New Roman" w:hAnsi="Times New Roman" w:cs="Times New Roman"/>
                <w:sz w:val="20"/>
                <w:szCs w:val="20"/>
              </w:rPr>
            </w:pPr>
          </w:p>
        </w:tc>
        <w:tc>
          <w:tcPr>
            <w:tcW w:w="2533" w:type="pct"/>
            <w:tcBorders>
              <w:top w:val="single" w:sz="4" w:space="0" w:color="auto"/>
              <w:bottom w:val="nil"/>
            </w:tcBorders>
          </w:tcPr>
          <w:p w:rsidR="00960E7D" w:rsidRPr="00F77095" w:rsidRDefault="00960E7D" w:rsidP="00650EAF">
            <w:pPr>
              <w:jc w:val="both"/>
              <w:rPr>
                <w:rFonts w:ascii="Times New Roman" w:hAnsi="Times New Roman" w:cs="Times New Roman"/>
                <w:b/>
                <w:sz w:val="20"/>
                <w:szCs w:val="20"/>
              </w:rPr>
            </w:pPr>
            <w:r w:rsidRPr="00F77095">
              <w:rPr>
                <w:rFonts w:ascii="Times New Roman" w:hAnsi="Times New Roman" w:cs="Times New Roman"/>
                <w:b/>
                <w:sz w:val="20"/>
                <w:szCs w:val="20"/>
              </w:rPr>
              <w:t xml:space="preserve">BRENDENWOOD WATERWORKS, INC. </w:t>
            </w:r>
          </w:p>
        </w:tc>
        <w:tc>
          <w:tcPr>
            <w:tcW w:w="2131" w:type="pct"/>
            <w:gridSpan w:val="3"/>
            <w:tcBorders>
              <w:top w:val="single" w:sz="4" w:space="0" w:color="auto"/>
              <w:bottom w:val="nil"/>
            </w:tcBorders>
          </w:tcPr>
          <w:p w:rsidR="00960E7D" w:rsidRPr="00F77095" w:rsidRDefault="00960E7D" w:rsidP="00650EAF">
            <w:pPr>
              <w:jc w:val="right"/>
              <w:rPr>
                <w:rFonts w:ascii="Times New Roman" w:hAnsi="Times New Roman" w:cs="Times New Roman"/>
                <w:b/>
                <w:sz w:val="20"/>
                <w:szCs w:val="20"/>
              </w:rPr>
            </w:pPr>
            <w:r w:rsidRPr="00F77095">
              <w:rPr>
                <w:rFonts w:ascii="Times New Roman" w:hAnsi="Times New Roman" w:cs="Times New Roman"/>
                <w:b/>
                <w:sz w:val="20"/>
                <w:szCs w:val="20"/>
              </w:rPr>
              <w:t>SCHEDULE NO. 1-A</w:t>
            </w:r>
          </w:p>
        </w:tc>
        <w:tc>
          <w:tcPr>
            <w:tcW w:w="126" w:type="pct"/>
            <w:tcBorders>
              <w:top w:val="single" w:sz="4" w:space="0" w:color="auto"/>
              <w:bottom w:val="nil"/>
            </w:tcBorders>
          </w:tcPr>
          <w:p w:rsidR="00960E7D" w:rsidRPr="00F77095" w:rsidRDefault="00960E7D" w:rsidP="00650EAF">
            <w:pPr>
              <w:jc w:val="both"/>
              <w:rPr>
                <w:rFonts w:ascii="Times New Roman" w:hAnsi="Times New Roman" w:cs="Times New Roman"/>
                <w:sz w:val="20"/>
                <w:szCs w:val="20"/>
              </w:rPr>
            </w:pPr>
          </w:p>
        </w:tc>
      </w:tr>
      <w:tr w:rsidR="00960E7D" w:rsidRPr="00F77095" w:rsidTr="00650EAF">
        <w:trPr>
          <w:trHeight w:val="260"/>
        </w:trPr>
        <w:tc>
          <w:tcPr>
            <w:tcW w:w="210" w:type="pct"/>
            <w:tcBorders>
              <w:top w:val="nil"/>
              <w:bottom w:val="nil"/>
            </w:tcBorders>
          </w:tcPr>
          <w:p w:rsidR="00960E7D" w:rsidRPr="00F77095" w:rsidRDefault="00960E7D" w:rsidP="00650EAF">
            <w:pPr>
              <w:jc w:val="both"/>
              <w:rPr>
                <w:rFonts w:ascii="Times New Roman" w:hAnsi="Times New Roman" w:cs="Times New Roman"/>
                <w:sz w:val="20"/>
                <w:szCs w:val="20"/>
              </w:rPr>
            </w:pPr>
          </w:p>
        </w:tc>
        <w:tc>
          <w:tcPr>
            <w:tcW w:w="2533" w:type="pct"/>
            <w:tcBorders>
              <w:top w:val="nil"/>
              <w:bottom w:val="nil"/>
            </w:tcBorders>
          </w:tcPr>
          <w:p w:rsidR="00960E7D" w:rsidRPr="00F77095" w:rsidRDefault="00960E7D" w:rsidP="00650EAF">
            <w:pPr>
              <w:jc w:val="both"/>
              <w:rPr>
                <w:rFonts w:ascii="Times New Roman" w:hAnsi="Times New Roman" w:cs="Times New Roman"/>
                <w:b/>
                <w:sz w:val="20"/>
                <w:szCs w:val="20"/>
              </w:rPr>
            </w:pPr>
            <w:r w:rsidRPr="00F77095">
              <w:rPr>
                <w:rFonts w:ascii="Times New Roman" w:hAnsi="Times New Roman" w:cs="Times New Roman"/>
                <w:b/>
                <w:sz w:val="20"/>
                <w:szCs w:val="20"/>
              </w:rPr>
              <w:t>TEST YEAR ENDED 12/31/2020</w:t>
            </w:r>
          </w:p>
        </w:tc>
        <w:tc>
          <w:tcPr>
            <w:tcW w:w="2131" w:type="pct"/>
            <w:gridSpan w:val="3"/>
            <w:tcBorders>
              <w:top w:val="nil"/>
              <w:bottom w:val="nil"/>
            </w:tcBorders>
          </w:tcPr>
          <w:p w:rsidR="00960E7D" w:rsidRPr="00F77095" w:rsidRDefault="00960E7D" w:rsidP="00650EAF">
            <w:pPr>
              <w:jc w:val="right"/>
              <w:rPr>
                <w:rFonts w:ascii="Times New Roman" w:hAnsi="Times New Roman" w:cs="Times New Roman"/>
                <w:b/>
                <w:sz w:val="20"/>
                <w:szCs w:val="20"/>
              </w:rPr>
            </w:pPr>
            <w:r w:rsidRPr="00F77095">
              <w:rPr>
                <w:rFonts w:ascii="Times New Roman" w:hAnsi="Times New Roman" w:cs="Times New Roman"/>
                <w:b/>
                <w:sz w:val="20"/>
                <w:szCs w:val="20"/>
              </w:rPr>
              <w:t>DOCKET NO. 20210055-WU</w:t>
            </w:r>
          </w:p>
        </w:tc>
        <w:tc>
          <w:tcPr>
            <w:tcW w:w="126" w:type="pct"/>
            <w:tcBorders>
              <w:top w:val="nil"/>
              <w:bottom w:val="nil"/>
            </w:tcBorders>
          </w:tcPr>
          <w:p w:rsidR="00960E7D" w:rsidRPr="00F77095" w:rsidRDefault="00960E7D" w:rsidP="00650EAF">
            <w:pPr>
              <w:jc w:val="both"/>
              <w:rPr>
                <w:rFonts w:ascii="Times New Roman" w:hAnsi="Times New Roman" w:cs="Times New Roman"/>
                <w:sz w:val="20"/>
                <w:szCs w:val="20"/>
              </w:rPr>
            </w:pPr>
          </w:p>
        </w:tc>
      </w:tr>
      <w:tr w:rsidR="00960E7D" w:rsidRPr="00F77095" w:rsidTr="00650EAF">
        <w:trPr>
          <w:trHeight w:val="277"/>
        </w:trPr>
        <w:tc>
          <w:tcPr>
            <w:tcW w:w="210" w:type="pct"/>
            <w:tcBorders>
              <w:top w:val="nil"/>
              <w:bottom w:val="single" w:sz="4" w:space="0" w:color="auto"/>
            </w:tcBorders>
          </w:tcPr>
          <w:p w:rsidR="00960E7D" w:rsidRPr="00F77095" w:rsidRDefault="00960E7D" w:rsidP="00650EAF">
            <w:pPr>
              <w:jc w:val="both"/>
              <w:rPr>
                <w:rFonts w:ascii="Times New Roman" w:hAnsi="Times New Roman" w:cs="Times New Roman"/>
                <w:sz w:val="20"/>
                <w:szCs w:val="20"/>
              </w:rPr>
            </w:pPr>
          </w:p>
        </w:tc>
        <w:tc>
          <w:tcPr>
            <w:tcW w:w="2533" w:type="pct"/>
            <w:tcBorders>
              <w:top w:val="nil"/>
              <w:bottom w:val="single" w:sz="4" w:space="0" w:color="auto"/>
            </w:tcBorders>
          </w:tcPr>
          <w:p w:rsidR="00960E7D" w:rsidRPr="00F77095" w:rsidRDefault="00960E7D" w:rsidP="00650EAF">
            <w:pPr>
              <w:jc w:val="both"/>
              <w:rPr>
                <w:rFonts w:ascii="Times New Roman" w:hAnsi="Times New Roman" w:cs="Times New Roman"/>
                <w:b/>
                <w:sz w:val="20"/>
                <w:szCs w:val="20"/>
              </w:rPr>
            </w:pPr>
            <w:r w:rsidRPr="00F77095">
              <w:rPr>
                <w:rFonts w:ascii="Times New Roman" w:hAnsi="Times New Roman" w:cs="Times New Roman"/>
                <w:b/>
                <w:sz w:val="20"/>
                <w:szCs w:val="20"/>
              </w:rPr>
              <w:t>SCHEDULE OF WATER RATE BASE</w:t>
            </w:r>
          </w:p>
        </w:tc>
        <w:tc>
          <w:tcPr>
            <w:tcW w:w="2131" w:type="pct"/>
            <w:gridSpan w:val="3"/>
            <w:tcBorders>
              <w:top w:val="nil"/>
              <w:bottom w:val="single" w:sz="4" w:space="0" w:color="auto"/>
            </w:tcBorders>
          </w:tcPr>
          <w:p w:rsidR="00960E7D" w:rsidRPr="00F77095" w:rsidRDefault="00960E7D" w:rsidP="00650EAF">
            <w:pPr>
              <w:jc w:val="both"/>
              <w:rPr>
                <w:rFonts w:ascii="Times New Roman" w:hAnsi="Times New Roman" w:cs="Times New Roman"/>
                <w:b/>
                <w:sz w:val="20"/>
                <w:szCs w:val="20"/>
              </w:rPr>
            </w:pPr>
          </w:p>
        </w:tc>
        <w:tc>
          <w:tcPr>
            <w:tcW w:w="126" w:type="pct"/>
            <w:tcBorders>
              <w:top w:val="nil"/>
              <w:bottom w:val="single" w:sz="4" w:space="0" w:color="auto"/>
            </w:tcBorders>
          </w:tcPr>
          <w:p w:rsidR="00960E7D" w:rsidRPr="00F77095" w:rsidRDefault="00960E7D" w:rsidP="00650EAF">
            <w:pPr>
              <w:jc w:val="both"/>
              <w:rPr>
                <w:rFonts w:ascii="Times New Roman" w:hAnsi="Times New Roman" w:cs="Times New Roman"/>
                <w:sz w:val="20"/>
                <w:szCs w:val="20"/>
              </w:rPr>
            </w:pPr>
          </w:p>
        </w:tc>
      </w:tr>
      <w:tr w:rsidR="00960E7D" w:rsidRPr="00F77095" w:rsidTr="00650EAF">
        <w:trPr>
          <w:trHeight w:val="277"/>
        </w:trPr>
        <w:tc>
          <w:tcPr>
            <w:tcW w:w="210" w:type="pct"/>
            <w:tcBorders>
              <w:top w:val="single" w:sz="4" w:space="0" w:color="auto"/>
              <w:bottom w:val="nil"/>
            </w:tcBorders>
          </w:tcPr>
          <w:p w:rsidR="00960E7D" w:rsidRPr="00F77095" w:rsidRDefault="00960E7D" w:rsidP="00650EAF">
            <w:pPr>
              <w:jc w:val="both"/>
              <w:rPr>
                <w:rFonts w:ascii="Times New Roman" w:hAnsi="Times New Roman" w:cs="Times New Roman"/>
                <w:sz w:val="20"/>
                <w:szCs w:val="20"/>
              </w:rPr>
            </w:pPr>
          </w:p>
        </w:tc>
        <w:tc>
          <w:tcPr>
            <w:tcW w:w="2533" w:type="pct"/>
            <w:tcBorders>
              <w:top w:val="single" w:sz="4" w:space="0" w:color="auto"/>
              <w:bottom w:val="nil"/>
            </w:tcBorders>
          </w:tcPr>
          <w:p w:rsidR="00960E7D" w:rsidRPr="00F77095" w:rsidRDefault="00960E7D" w:rsidP="00650EAF">
            <w:pPr>
              <w:jc w:val="both"/>
              <w:rPr>
                <w:rFonts w:ascii="Times New Roman" w:hAnsi="Times New Roman" w:cs="Times New Roman"/>
                <w:b/>
                <w:sz w:val="20"/>
                <w:szCs w:val="20"/>
              </w:rPr>
            </w:pPr>
          </w:p>
        </w:tc>
        <w:tc>
          <w:tcPr>
            <w:tcW w:w="742" w:type="pct"/>
            <w:tcBorders>
              <w:top w:val="single" w:sz="4" w:space="0" w:color="auto"/>
              <w:bottom w:val="nil"/>
            </w:tcBorders>
          </w:tcPr>
          <w:p w:rsidR="00960E7D" w:rsidRPr="00F77095" w:rsidRDefault="00960E7D" w:rsidP="00650EAF">
            <w:pPr>
              <w:jc w:val="center"/>
              <w:rPr>
                <w:rFonts w:ascii="Times New Roman" w:hAnsi="Times New Roman" w:cs="Times New Roman"/>
                <w:b/>
                <w:sz w:val="20"/>
                <w:szCs w:val="20"/>
              </w:rPr>
            </w:pPr>
            <w:r w:rsidRPr="00F77095">
              <w:rPr>
                <w:rFonts w:ascii="Times New Roman" w:hAnsi="Times New Roman" w:cs="Times New Roman"/>
                <w:b/>
                <w:sz w:val="20"/>
                <w:szCs w:val="20"/>
              </w:rPr>
              <w:t>BALANCE</w:t>
            </w:r>
          </w:p>
        </w:tc>
        <w:tc>
          <w:tcPr>
            <w:tcW w:w="646" w:type="pct"/>
            <w:tcBorders>
              <w:top w:val="single" w:sz="4" w:space="0" w:color="auto"/>
              <w:bottom w:val="nil"/>
            </w:tcBorders>
          </w:tcPr>
          <w:p w:rsidR="00960E7D" w:rsidRPr="00F77095" w:rsidRDefault="00960E7D" w:rsidP="00650EAF">
            <w:pPr>
              <w:jc w:val="center"/>
              <w:rPr>
                <w:rFonts w:ascii="Times New Roman" w:hAnsi="Times New Roman" w:cs="Times New Roman"/>
                <w:b/>
                <w:sz w:val="20"/>
                <w:szCs w:val="20"/>
              </w:rPr>
            </w:pPr>
          </w:p>
        </w:tc>
        <w:tc>
          <w:tcPr>
            <w:tcW w:w="743" w:type="pct"/>
            <w:tcBorders>
              <w:top w:val="single" w:sz="4" w:space="0" w:color="auto"/>
              <w:bottom w:val="nil"/>
            </w:tcBorders>
          </w:tcPr>
          <w:p w:rsidR="00960E7D" w:rsidRPr="00F77095" w:rsidRDefault="00960E7D" w:rsidP="00650EAF">
            <w:pPr>
              <w:jc w:val="center"/>
              <w:rPr>
                <w:rFonts w:ascii="Times New Roman" w:hAnsi="Times New Roman" w:cs="Times New Roman"/>
                <w:b/>
                <w:sz w:val="20"/>
                <w:szCs w:val="20"/>
              </w:rPr>
            </w:pPr>
            <w:r w:rsidRPr="00F77095">
              <w:rPr>
                <w:rFonts w:ascii="Times New Roman" w:hAnsi="Times New Roman" w:cs="Times New Roman"/>
                <w:b/>
                <w:sz w:val="20"/>
                <w:szCs w:val="20"/>
              </w:rPr>
              <w:t>BALANCE</w:t>
            </w:r>
          </w:p>
        </w:tc>
        <w:tc>
          <w:tcPr>
            <w:tcW w:w="126" w:type="pct"/>
            <w:tcBorders>
              <w:top w:val="single" w:sz="4" w:space="0" w:color="auto"/>
              <w:bottom w:val="nil"/>
            </w:tcBorders>
          </w:tcPr>
          <w:p w:rsidR="00960E7D" w:rsidRPr="00F77095" w:rsidRDefault="00960E7D" w:rsidP="00650EAF">
            <w:pPr>
              <w:jc w:val="both"/>
              <w:rPr>
                <w:rFonts w:ascii="Times New Roman" w:hAnsi="Times New Roman" w:cs="Times New Roman"/>
                <w:sz w:val="20"/>
                <w:szCs w:val="20"/>
              </w:rPr>
            </w:pPr>
          </w:p>
        </w:tc>
      </w:tr>
      <w:tr w:rsidR="00960E7D" w:rsidRPr="00F77095" w:rsidTr="00650EAF">
        <w:trPr>
          <w:trHeight w:val="277"/>
        </w:trPr>
        <w:tc>
          <w:tcPr>
            <w:tcW w:w="210" w:type="pct"/>
            <w:tcBorders>
              <w:top w:val="nil"/>
              <w:bottom w:val="nil"/>
            </w:tcBorders>
          </w:tcPr>
          <w:p w:rsidR="00960E7D" w:rsidRPr="00F77095" w:rsidRDefault="00960E7D" w:rsidP="00650EAF">
            <w:pPr>
              <w:jc w:val="both"/>
              <w:rPr>
                <w:rFonts w:ascii="Times New Roman" w:hAnsi="Times New Roman" w:cs="Times New Roman"/>
                <w:sz w:val="20"/>
                <w:szCs w:val="20"/>
              </w:rPr>
            </w:pPr>
          </w:p>
        </w:tc>
        <w:tc>
          <w:tcPr>
            <w:tcW w:w="2533" w:type="pct"/>
            <w:tcBorders>
              <w:top w:val="nil"/>
              <w:bottom w:val="nil"/>
            </w:tcBorders>
          </w:tcPr>
          <w:p w:rsidR="00960E7D" w:rsidRPr="00F77095" w:rsidRDefault="00960E7D" w:rsidP="00650EAF">
            <w:pPr>
              <w:jc w:val="both"/>
              <w:rPr>
                <w:rFonts w:ascii="Times New Roman" w:hAnsi="Times New Roman" w:cs="Times New Roman"/>
                <w:b/>
                <w:sz w:val="20"/>
                <w:szCs w:val="20"/>
              </w:rPr>
            </w:pPr>
          </w:p>
        </w:tc>
        <w:tc>
          <w:tcPr>
            <w:tcW w:w="742" w:type="pct"/>
            <w:tcBorders>
              <w:top w:val="nil"/>
              <w:bottom w:val="nil"/>
            </w:tcBorders>
          </w:tcPr>
          <w:p w:rsidR="00960E7D" w:rsidRPr="00F77095" w:rsidRDefault="00960E7D" w:rsidP="00650EAF">
            <w:pPr>
              <w:jc w:val="center"/>
              <w:rPr>
                <w:rFonts w:ascii="Times New Roman" w:hAnsi="Times New Roman" w:cs="Times New Roman"/>
                <w:b/>
                <w:sz w:val="20"/>
                <w:szCs w:val="20"/>
              </w:rPr>
            </w:pPr>
            <w:r w:rsidRPr="00F77095">
              <w:rPr>
                <w:rFonts w:ascii="Times New Roman" w:hAnsi="Times New Roman" w:cs="Times New Roman"/>
                <w:b/>
                <w:sz w:val="20"/>
                <w:szCs w:val="20"/>
              </w:rPr>
              <w:t>PER</w:t>
            </w:r>
          </w:p>
        </w:tc>
        <w:tc>
          <w:tcPr>
            <w:tcW w:w="646" w:type="pct"/>
            <w:tcBorders>
              <w:top w:val="nil"/>
              <w:bottom w:val="nil"/>
            </w:tcBorders>
          </w:tcPr>
          <w:p w:rsidR="00960E7D" w:rsidRPr="00F77095" w:rsidRDefault="00960E7D" w:rsidP="00650EAF">
            <w:pPr>
              <w:jc w:val="center"/>
              <w:rPr>
                <w:rFonts w:ascii="Times New Roman" w:hAnsi="Times New Roman" w:cs="Times New Roman"/>
                <w:b/>
                <w:sz w:val="20"/>
                <w:szCs w:val="20"/>
              </w:rPr>
            </w:pPr>
            <w:r w:rsidRPr="00F77095">
              <w:rPr>
                <w:rFonts w:ascii="Times New Roman" w:hAnsi="Times New Roman" w:cs="Times New Roman"/>
                <w:b/>
                <w:sz w:val="20"/>
                <w:szCs w:val="20"/>
              </w:rPr>
              <w:t>STAFF</w:t>
            </w:r>
          </w:p>
        </w:tc>
        <w:tc>
          <w:tcPr>
            <w:tcW w:w="743" w:type="pct"/>
            <w:tcBorders>
              <w:top w:val="nil"/>
              <w:bottom w:val="nil"/>
            </w:tcBorders>
          </w:tcPr>
          <w:p w:rsidR="00960E7D" w:rsidRPr="00F77095" w:rsidRDefault="00960E7D" w:rsidP="00650EAF">
            <w:pPr>
              <w:jc w:val="center"/>
              <w:rPr>
                <w:rFonts w:ascii="Times New Roman" w:hAnsi="Times New Roman" w:cs="Times New Roman"/>
                <w:b/>
                <w:sz w:val="20"/>
                <w:szCs w:val="20"/>
              </w:rPr>
            </w:pPr>
            <w:r w:rsidRPr="00F77095">
              <w:rPr>
                <w:rFonts w:ascii="Times New Roman" w:hAnsi="Times New Roman" w:cs="Times New Roman"/>
                <w:b/>
                <w:sz w:val="20"/>
                <w:szCs w:val="20"/>
              </w:rPr>
              <w:t>PER</w:t>
            </w:r>
          </w:p>
        </w:tc>
        <w:tc>
          <w:tcPr>
            <w:tcW w:w="126" w:type="pct"/>
            <w:tcBorders>
              <w:top w:val="nil"/>
              <w:bottom w:val="nil"/>
            </w:tcBorders>
          </w:tcPr>
          <w:p w:rsidR="00960E7D" w:rsidRPr="00F77095" w:rsidRDefault="00960E7D" w:rsidP="00650EAF">
            <w:pPr>
              <w:jc w:val="both"/>
              <w:rPr>
                <w:rFonts w:ascii="Times New Roman" w:hAnsi="Times New Roman" w:cs="Times New Roman"/>
                <w:sz w:val="20"/>
                <w:szCs w:val="20"/>
              </w:rPr>
            </w:pPr>
          </w:p>
        </w:tc>
      </w:tr>
      <w:tr w:rsidR="00960E7D" w:rsidRPr="00F77095" w:rsidTr="00650EAF">
        <w:trPr>
          <w:trHeight w:val="277"/>
        </w:trPr>
        <w:tc>
          <w:tcPr>
            <w:tcW w:w="210" w:type="pct"/>
            <w:tcBorders>
              <w:top w:val="nil"/>
              <w:bottom w:val="single" w:sz="4" w:space="0" w:color="auto"/>
            </w:tcBorders>
          </w:tcPr>
          <w:p w:rsidR="00960E7D" w:rsidRPr="00F77095" w:rsidRDefault="00960E7D" w:rsidP="00650EAF">
            <w:pPr>
              <w:jc w:val="both"/>
              <w:rPr>
                <w:rFonts w:ascii="Times New Roman" w:hAnsi="Times New Roman" w:cs="Times New Roman"/>
                <w:sz w:val="20"/>
                <w:szCs w:val="20"/>
              </w:rPr>
            </w:pPr>
          </w:p>
        </w:tc>
        <w:tc>
          <w:tcPr>
            <w:tcW w:w="2533" w:type="pct"/>
            <w:tcBorders>
              <w:top w:val="nil"/>
              <w:bottom w:val="single" w:sz="4" w:space="0" w:color="auto"/>
            </w:tcBorders>
          </w:tcPr>
          <w:p w:rsidR="00960E7D" w:rsidRPr="00F77095" w:rsidRDefault="00960E7D" w:rsidP="00650EAF">
            <w:pPr>
              <w:jc w:val="both"/>
              <w:rPr>
                <w:rFonts w:ascii="Times New Roman" w:hAnsi="Times New Roman" w:cs="Times New Roman"/>
                <w:b/>
                <w:sz w:val="20"/>
                <w:szCs w:val="20"/>
              </w:rPr>
            </w:pPr>
            <w:r w:rsidRPr="00F77095">
              <w:rPr>
                <w:rFonts w:ascii="Times New Roman" w:hAnsi="Times New Roman" w:cs="Times New Roman"/>
                <w:b/>
                <w:sz w:val="20"/>
                <w:szCs w:val="20"/>
              </w:rPr>
              <w:t>DESCRIPTION</w:t>
            </w:r>
          </w:p>
        </w:tc>
        <w:tc>
          <w:tcPr>
            <w:tcW w:w="742" w:type="pct"/>
            <w:tcBorders>
              <w:top w:val="nil"/>
              <w:bottom w:val="single" w:sz="4" w:space="0" w:color="auto"/>
            </w:tcBorders>
          </w:tcPr>
          <w:p w:rsidR="00960E7D" w:rsidRPr="00F77095" w:rsidRDefault="00960E7D" w:rsidP="00650EAF">
            <w:pPr>
              <w:jc w:val="center"/>
              <w:rPr>
                <w:rFonts w:ascii="Times New Roman" w:hAnsi="Times New Roman" w:cs="Times New Roman"/>
                <w:b/>
                <w:sz w:val="20"/>
                <w:szCs w:val="20"/>
              </w:rPr>
            </w:pPr>
            <w:r w:rsidRPr="00F77095">
              <w:rPr>
                <w:rFonts w:ascii="Times New Roman" w:hAnsi="Times New Roman" w:cs="Times New Roman"/>
                <w:b/>
                <w:sz w:val="20"/>
                <w:szCs w:val="20"/>
              </w:rPr>
              <w:t>UTILITY</w:t>
            </w:r>
          </w:p>
        </w:tc>
        <w:tc>
          <w:tcPr>
            <w:tcW w:w="646" w:type="pct"/>
            <w:tcBorders>
              <w:top w:val="nil"/>
              <w:bottom w:val="single" w:sz="4" w:space="0" w:color="auto"/>
            </w:tcBorders>
          </w:tcPr>
          <w:p w:rsidR="00960E7D" w:rsidRPr="00F77095" w:rsidRDefault="00960E7D" w:rsidP="00650EAF">
            <w:pPr>
              <w:jc w:val="center"/>
              <w:rPr>
                <w:rFonts w:ascii="Times New Roman" w:hAnsi="Times New Roman" w:cs="Times New Roman"/>
                <w:b/>
                <w:sz w:val="20"/>
                <w:szCs w:val="20"/>
              </w:rPr>
            </w:pPr>
            <w:r w:rsidRPr="00F77095">
              <w:rPr>
                <w:rFonts w:ascii="Times New Roman" w:hAnsi="Times New Roman" w:cs="Times New Roman"/>
                <w:b/>
                <w:sz w:val="20"/>
                <w:szCs w:val="20"/>
              </w:rPr>
              <w:t>ADJUST.</w:t>
            </w:r>
          </w:p>
        </w:tc>
        <w:tc>
          <w:tcPr>
            <w:tcW w:w="743" w:type="pct"/>
            <w:tcBorders>
              <w:top w:val="nil"/>
              <w:bottom w:val="single" w:sz="4" w:space="0" w:color="auto"/>
            </w:tcBorders>
          </w:tcPr>
          <w:p w:rsidR="00960E7D" w:rsidRPr="00F77095" w:rsidRDefault="00960E7D" w:rsidP="00650EAF">
            <w:pPr>
              <w:jc w:val="center"/>
              <w:rPr>
                <w:rFonts w:ascii="Times New Roman" w:hAnsi="Times New Roman" w:cs="Times New Roman"/>
                <w:b/>
                <w:sz w:val="20"/>
                <w:szCs w:val="20"/>
              </w:rPr>
            </w:pPr>
            <w:r w:rsidRPr="00F77095">
              <w:rPr>
                <w:rFonts w:ascii="Times New Roman" w:hAnsi="Times New Roman" w:cs="Times New Roman"/>
                <w:b/>
                <w:sz w:val="20"/>
                <w:szCs w:val="20"/>
              </w:rPr>
              <w:t>STAFF</w:t>
            </w:r>
          </w:p>
        </w:tc>
        <w:tc>
          <w:tcPr>
            <w:tcW w:w="126" w:type="pct"/>
            <w:tcBorders>
              <w:top w:val="nil"/>
              <w:bottom w:val="single" w:sz="4" w:space="0" w:color="auto"/>
            </w:tcBorders>
          </w:tcPr>
          <w:p w:rsidR="00960E7D" w:rsidRPr="00F77095" w:rsidRDefault="00960E7D" w:rsidP="00650EAF">
            <w:pPr>
              <w:jc w:val="both"/>
              <w:rPr>
                <w:rFonts w:ascii="Times New Roman" w:hAnsi="Times New Roman" w:cs="Times New Roman"/>
                <w:sz w:val="20"/>
                <w:szCs w:val="20"/>
              </w:rPr>
            </w:pPr>
          </w:p>
        </w:tc>
      </w:tr>
      <w:tr w:rsidR="00960E7D" w:rsidRPr="00F77095" w:rsidTr="00650EAF">
        <w:trPr>
          <w:trHeight w:val="260"/>
        </w:trPr>
        <w:tc>
          <w:tcPr>
            <w:tcW w:w="210" w:type="pct"/>
            <w:tcBorders>
              <w:top w:val="single" w:sz="4" w:space="0" w:color="auto"/>
            </w:tcBorders>
          </w:tcPr>
          <w:p w:rsidR="00960E7D" w:rsidRPr="00F77095" w:rsidRDefault="00960E7D" w:rsidP="00650EAF">
            <w:pPr>
              <w:jc w:val="both"/>
              <w:rPr>
                <w:rFonts w:ascii="Times New Roman" w:hAnsi="Times New Roman" w:cs="Times New Roman"/>
                <w:sz w:val="20"/>
                <w:szCs w:val="20"/>
              </w:rPr>
            </w:pPr>
          </w:p>
        </w:tc>
        <w:tc>
          <w:tcPr>
            <w:tcW w:w="2533" w:type="pct"/>
            <w:tcBorders>
              <w:top w:val="single" w:sz="4" w:space="0" w:color="auto"/>
            </w:tcBorders>
          </w:tcPr>
          <w:p w:rsidR="00960E7D" w:rsidRPr="00F77095" w:rsidRDefault="00960E7D" w:rsidP="00650EAF">
            <w:pPr>
              <w:jc w:val="both"/>
              <w:rPr>
                <w:rFonts w:ascii="Times New Roman" w:hAnsi="Times New Roman" w:cs="Times New Roman"/>
                <w:sz w:val="20"/>
                <w:szCs w:val="20"/>
              </w:rPr>
            </w:pPr>
          </w:p>
        </w:tc>
        <w:tc>
          <w:tcPr>
            <w:tcW w:w="742" w:type="pct"/>
            <w:tcBorders>
              <w:top w:val="single" w:sz="4" w:space="0" w:color="auto"/>
            </w:tcBorders>
          </w:tcPr>
          <w:p w:rsidR="00960E7D" w:rsidRPr="00F77095" w:rsidRDefault="00960E7D" w:rsidP="00650EAF">
            <w:pPr>
              <w:jc w:val="both"/>
              <w:rPr>
                <w:rFonts w:ascii="Times New Roman" w:hAnsi="Times New Roman" w:cs="Times New Roman"/>
                <w:sz w:val="20"/>
                <w:szCs w:val="20"/>
              </w:rPr>
            </w:pPr>
          </w:p>
        </w:tc>
        <w:tc>
          <w:tcPr>
            <w:tcW w:w="646" w:type="pct"/>
            <w:tcBorders>
              <w:top w:val="single" w:sz="4" w:space="0" w:color="auto"/>
            </w:tcBorders>
          </w:tcPr>
          <w:p w:rsidR="00960E7D" w:rsidRPr="00F77095" w:rsidRDefault="00960E7D" w:rsidP="00650EAF">
            <w:pPr>
              <w:jc w:val="both"/>
              <w:rPr>
                <w:rFonts w:ascii="Times New Roman" w:hAnsi="Times New Roman" w:cs="Times New Roman"/>
                <w:sz w:val="20"/>
                <w:szCs w:val="20"/>
              </w:rPr>
            </w:pPr>
          </w:p>
        </w:tc>
        <w:tc>
          <w:tcPr>
            <w:tcW w:w="743" w:type="pct"/>
            <w:tcBorders>
              <w:top w:val="single" w:sz="4" w:space="0" w:color="auto"/>
            </w:tcBorders>
          </w:tcPr>
          <w:p w:rsidR="00960E7D" w:rsidRPr="00F77095" w:rsidRDefault="00960E7D" w:rsidP="00650EAF">
            <w:pPr>
              <w:jc w:val="both"/>
              <w:rPr>
                <w:rFonts w:ascii="Times New Roman" w:hAnsi="Times New Roman" w:cs="Times New Roman"/>
                <w:sz w:val="20"/>
                <w:szCs w:val="20"/>
              </w:rPr>
            </w:pPr>
          </w:p>
        </w:tc>
        <w:tc>
          <w:tcPr>
            <w:tcW w:w="126" w:type="pct"/>
            <w:tcBorders>
              <w:top w:val="single" w:sz="4" w:space="0" w:color="auto"/>
            </w:tcBorders>
          </w:tcPr>
          <w:p w:rsidR="00960E7D" w:rsidRPr="00F77095" w:rsidRDefault="00960E7D" w:rsidP="00650EAF">
            <w:pPr>
              <w:jc w:val="both"/>
              <w:rPr>
                <w:rFonts w:ascii="Times New Roman" w:hAnsi="Times New Roman" w:cs="Times New Roman"/>
                <w:sz w:val="20"/>
                <w:szCs w:val="20"/>
              </w:rPr>
            </w:pPr>
          </w:p>
        </w:tc>
      </w:tr>
      <w:tr w:rsidR="00960E7D" w:rsidRPr="00F77095" w:rsidTr="00650EAF">
        <w:trPr>
          <w:trHeight w:val="277"/>
        </w:trPr>
        <w:tc>
          <w:tcPr>
            <w:tcW w:w="210" w:type="pct"/>
          </w:tcPr>
          <w:p w:rsidR="00960E7D" w:rsidRPr="00F77095" w:rsidRDefault="00960E7D" w:rsidP="00650EAF">
            <w:pPr>
              <w:jc w:val="both"/>
              <w:rPr>
                <w:rFonts w:ascii="Times New Roman" w:hAnsi="Times New Roman" w:cs="Times New Roman"/>
                <w:sz w:val="20"/>
                <w:szCs w:val="20"/>
              </w:rPr>
            </w:pPr>
            <w:r w:rsidRPr="00F77095">
              <w:rPr>
                <w:rFonts w:ascii="Times New Roman" w:hAnsi="Times New Roman" w:cs="Times New Roman"/>
                <w:sz w:val="20"/>
                <w:szCs w:val="20"/>
              </w:rPr>
              <w:t>1.</w:t>
            </w:r>
          </w:p>
        </w:tc>
        <w:tc>
          <w:tcPr>
            <w:tcW w:w="2533" w:type="pct"/>
          </w:tcPr>
          <w:p w:rsidR="00960E7D" w:rsidRPr="00F77095" w:rsidRDefault="00960E7D" w:rsidP="00650EAF">
            <w:pPr>
              <w:jc w:val="both"/>
              <w:rPr>
                <w:rFonts w:ascii="Times New Roman" w:hAnsi="Times New Roman" w:cs="Times New Roman"/>
                <w:sz w:val="20"/>
                <w:szCs w:val="20"/>
              </w:rPr>
            </w:pPr>
            <w:r w:rsidRPr="00F77095">
              <w:rPr>
                <w:rFonts w:ascii="Times New Roman" w:hAnsi="Times New Roman" w:cs="Times New Roman"/>
                <w:sz w:val="20"/>
                <w:szCs w:val="20"/>
              </w:rPr>
              <w:t>UTILITY PLANT IN SERVICE</w:t>
            </w:r>
          </w:p>
        </w:tc>
        <w:tc>
          <w:tcPr>
            <w:tcW w:w="742" w:type="pct"/>
          </w:tcPr>
          <w:p w:rsidR="00960E7D" w:rsidRPr="00F77095" w:rsidRDefault="00960E7D" w:rsidP="00650EAF">
            <w:pPr>
              <w:jc w:val="right"/>
              <w:rPr>
                <w:rFonts w:ascii="Times New Roman" w:hAnsi="Times New Roman" w:cs="Times New Roman"/>
                <w:sz w:val="20"/>
                <w:szCs w:val="20"/>
              </w:rPr>
            </w:pPr>
            <w:r w:rsidRPr="00F77095">
              <w:rPr>
                <w:rFonts w:ascii="Times New Roman" w:hAnsi="Times New Roman" w:cs="Times New Roman"/>
                <w:sz w:val="20"/>
                <w:szCs w:val="20"/>
              </w:rPr>
              <w:t>$48,200</w:t>
            </w:r>
          </w:p>
        </w:tc>
        <w:tc>
          <w:tcPr>
            <w:tcW w:w="646" w:type="pct"/>
          </w:tcPr>
          <w:p w:rsidR="00960E7D" w:rsidRPr="00F77095" w:rsidRDefault="00960E7D" w:rsidP="00650EAF">
            <w:pPr>
              <w:jc w:val="right"/>
              <w:rPr>
                <w:rFonts w:ascii="Times New Roman" w:hAnsi="Times New Roman" w:cs="Times New Roman"/>
                <w:sz w:val="20"/>
                <w:szCs w:val="20"/>
              </w:rPr>
            </w:pPr>
            <w:r w:rsidRPr="00F77095">
              <w:rPr>
                <w:rFonts w:ascii="Times New Roman" w:hAnsi="Times New Roman" w:cs="Times New Roman"/>
                <w:sz w:val="20"/>
                <w:szCs w:val="20"/>
              </w:rPr>
              <w:t>($28)</w:t>
            </w:r>
          </w:p>
        </w:tc>
        <w:tc>
          <w:tcPr>
            <w:tcW w:w="743" w:type="pct"/>
          </w:tcPr>
          <w:p w:rsidR="00960E7D" w:rsidRPr="00F77095" w:rsidRDefault="00960E7D" w:rsidP="00650EAF">
            <w:pPr>
              <w:jc w:val="right"/>
              <w:rPr>
                <w:rFonts w:ascii="Times New Roman" w:hAnsi="Times New Roman" w:cs="Times New Roman"/>
                <w:sz w:val="20"/>
                <w:szCs w:val="20"/>
              </w:rPr>
            </w:pPr>
            <w:r w:rsidRPr="00F77095">
              <w:rPr>
                <w:rFonts w:ascii="Times New Roman" w:hAnsi="Times New Roman" w:cs="Times New Roman"/>
                <w:sz w:val="20"/>
                <w:szCs w:val="20"/>
              </w:rPr>
              <w:t>$48,172</w:t>
            </w:r>
          </w:p>
        </w:tc>
        <w:tc>
          <w:tcPr>
            <w:tcW w:w="126" w:type="pct"/>
          </w:tcPr>
          <w:p w:rsidR="00960E7D" w:rsidRPr="00F77095" w:rsidRDefault="00960E7D" w:rsidP="00650EAF">
            <w:pPr>
              <w:jc w:val="both"/>
              <w:rPr>
                <w:rFonts w:ascii="Times New Roman" w:hAnsi="Times New Roman" w:cs="Times New Roman"/>
                <w:sz w:val="20"/>
                <w:szCs w:val="20"/>
              </w:rPr>
            </w:pPr>
          </w:p>
        </w:tc>
      </w:tr>
      <w:tr w:rsidR="00960E7D" w:rsidRPr="00F77095" w:rsidTr="00650EAF">
        <w:trPr>
          <w:trHeight w:val="277"/>
        </w:trPr>
        <w:tc>
          <w:tcPr>
            <w:tcW w:w="210" w:type="pct"/>
          </w:tcPr>
          <w:p w:rsidR="00960E7D" w:rsidRPr="00F77095" w:rsidRDefault="00960E7D" w:rsidP="00650EAF">
            <w:pPr>
              <w:jc w:val="both"/>
              <w:rPr>
                <w:rFonts w:ascii="Times New Roman" w:hAnsi="Times New Roman" w:cs="Times New Roman"/>
                <w:sz w:val="20"/>
                <w:szCs w:val="20"/>
              </w:rPr>
            </w:pPr>
          </w:p>
        </w:tc>
        <w:tc>
          <w:tcPr>
            <w:tcW w:w="2533" w:type="pct"/>
          </w:tcPr>
          <w:p w:rsidR="00960E7D" w:rsidRPr="00F77095" w:rsidRDefault="00960E7D" w:rsidP="00650EAF">
            <w:pPr>
              <w:jc w:val="both"/>
              <w:rPr>
                <w:rFonts w:ascii="Times New Roman" w:hAnsi="Times New Roman" w:cs="Times New Roman"/>
                <w:sz w:val="20"/>
                <w:szCs w:val="20"/>
              </w:rPr>
            </w:pPr>
          </w:p>
        </w:tc>
        <w:tc>
          <w:tcPr>
            <w:tcW w:w="742" w:type="pct"/>
          </w:tcPr>
          <w:p w:rsidR="00960E7D" w:rsidRPr="00F77095" w:rsidRDefault="00960E7D" w:rsidP="00650EAF">
            <w:pPr>
              <w:jc w:val="right"/>
              <w:rPr>
                <w:rFonts w:ascii="Times New Roman" w:hAnsi="Times New Roman" w:cs="Times New Roman"/>
                <w:sz w:val="20"/>
                <w:szCs w:val="20"/>
              </w:rPr>
            </w:pPr>
          </w:p>
        </w:tc>
        <w:tc>
          <w:tcPr>
            <w:tcW w:w="646" w:type="pct"/>
          </w:tcPr>
          <w:p w:rsidR="00960E7D" w:rsidRPr="00F77095" w:rsidRDefault="00960E7D" w:rsidP="00650EAF">
            <w:pPr>
              <w:jc w:val="right"/>
              <w:rPr>
                <w:rFonts w:ascii="Times New Roman" w:hAnsi="Times New Roman" w:cs="Times New Roman"/>
                <w:sz w:val="20"/>
                <w:szCs w:val="20"/>
              </w:rPr>
            </w:pPr>
          </w:p>
        </w:tc>
        <w:tc>
          <w:tcPr>
            <w:tcW w:w="743" w:type="pct"/>
          </w:tcPr>
          <w:p w:rsidR="00960E7D" w:rsidRPr="00F77095" w:rsidRDefault="00960E7D" w:rsidP="00650EAF">
            <w:pPr>
              <w:jc w:val="right"/>
              <w:rPr>
                <w:rFonts w:ascii="Times New Roman" w:hAnsi="Times New Roman" w:cs="Times New Roman"/>
                <w:sz w:val="20"/>
                <w:szCs w:val="20"/>
              </w:rPr>
            </w:pPr>
          </w:p>
        </w:tc>
        <w:tc>
          <w:tcPr>
            <w:tcW w:w="126" w:type="pct"/>
          </w:tcPr>
          <w:p w:rsidR="00960E7D" w:rsidRPr="00F77095" w:rsidRDefault="00960E7D" w:rsidP="00650EAF">
            <w:pPr>
              <w:jc w:val="both"/>
              <w:rPr>
                <w:rFonts w:ascii="Times New Roman" w:hAnsi="Times New Roman" w:cs="Times New Roman"/>
                <w:sz w:val="20"/>
                <w:szCs w:val="20"/>
              </w:rPr>
            </w:pPr>
          </w:p>
        </w:tc>
      </w:tr>
      <w:tr w:rsidR="00960E7D" w:rsidRPr="00F77095" w:rsidTr="00650EAF">
        <w:trPr>
          <w:trHeight w:val="277"/>
        </w:trPr>
        <w:tc>
          <w:tcPr>
            <w:tcW w:w="210" w:type="pct"/>
          </w:tcPr>
          <w:p w:rsidR="00960E7D" w:rsidRPr="00F77095" w:rsidRDefault="00960E7D" w:rsidP="00650EAF">
            <w:pPr>
              <w:jc w:val="both"/>
              <w:rPr>
                <w:rFonts w:ascii="Times New Roman" w:hAnsi="Times New Roman" w:cs="Times New Roman"/>
                <w:sz w:val="20"/>
                <w:szCs w:val="20"/>
              </w:rPr>
            </w:pPr>
            <w:r w:rsidRPr="00F77095">
              <w:rPr>
                <w:rFonts w:ascii="Times New Roman" w:hAnsi="Times New Roman" w:cs="Times New Roman"/>
                <w:sz w:val="20"/>
                <w:szCs w:val="20"/>
              </w:rPr>
              <w:t>2.</w:t>
            </w:r>
          </w:p>
        </w:tc>
        <w:tc>
          <w:tcPr>
            <w:tcW w:w="2533" w:type="pct"/>
          </w:tcPr>
          <w:p w:rsidR="00960E7D" w:rsidRPr="00F77095" w:rsidRDefault="00960E7D" w:rsidP="00650EAF">
            <w:pPr>
              <w:jc w:val="both"/>
              <w:rPr>
                <w:rFonts w:ascii="Times New Roman" w:hAnsi="Times New Roman" w:cs="Times New Roman"/>
                <w:sz w:val="20"/>
                <w:szCs w:val="20"/>
              </w:rPr>
            </w:pPr>
            <w:r w:rsidRPr="00F77095">
              <w:rPr>
                <w:rFonts w:ascii="Times New Roman" w:hAnsi="Times New Roman" w:cs="Times New Roman"/>
                <w:sz w:val="20"/>
                <w:szCs w:val="20"/>
              </w:rPr>
              <w:t>LAND &amp; LAND RIGHTS</w:t>
            </w:r>
          </w:p>
        </w:tc>
        <w:tc>
          <w:tcPr>
            <w:tcW w:w="742" w:type="pct"/>
          </w:tcPr>
          <w:p w:rsidR="00960E7D" w:rsidRPr="00F77095" w:rsidRDefault="00960E7D" w:rsidP="00650EAF">
            <w:pPr>
              <w:jc w:val="right"/>
              <w:rPr>
                <w:rFonts w:ascii="Times New Roman" w:hAnsi="Times New Roman" w:cs="Times New Roman"/>
                <w:sz w:val="20"/>
                <w:szCs w:val="20"/>
              </w:rPr>
            </w:pPr>
            <w:r w:rsidRPr="00F77095">
              <w:rPr>
                <w:rFonts w:ascii="Times New Roman" w:hAnsi="Times New Roman" w:cs="Times New Roman"/>
                <w:sz w:val="20"/>
                <w:szCs w:val="20"/>
              </w:rPr>
              <w:t>1,100</w:t>
            </w:r>
          </w:p>
        </w:tc>
        <w:tc>
          <w:tcPr>
            <w:tcW w:w="646" w:type="pct"/>
          </w:tcPr>
          <w:p w:rsidR="00960E7D" w:rsidRPr="00F77095" w:rsidRDefault="00960E7D" w:rsidP="00650EAF">
            <w:pPr>
              <w:jc w:val="right"/>
              <w:rPr>
                <w:rFonts w:ascii="Times New Roman" w:hAnsi="Times New Roman" w:cs="Times New Roman"/>
                <w:sz w:val="20"/>
                <w:szCs w:val="20"/>
              </w:rPr>
            </w:pPr>
            <w:r w:rsidRPr="00F77095">
              <w:rPr>
                <w:rFonts w:ascii="Times New Roman" w:hAnsi="Times New Roman" w:cs="Times New Roman"/>
                <w:sz w:val="20"/>
                <w:szCs w:val="20"/>
              </w:rPr>
              <w:t>0</w:t>
            </w:r>
          </w:p>
        </w:tc>
        <w:tc>
          <w:tcPr>
            <w:tcW w:w="743" w:type="pct"/>
          </w:tcPr>
          <w:p w:rsidR="00960E7D" w:rsidRPr="00F77095" w:rsidRDefault="00960E7D" w:rsidP="00650EAF">
            <w:pPr>
              <w:jc w:val="right"/>
              <w:rPr>
                <w:rFonts w:ascii="Times New Roman" w:hAnsi="Times New Roman" w:cs="Times New Roman"/>
                <w:sz w:val="20"/>
                <w:szCs w:val="20"/>
              </w:rPr>
            </w:pPr>
            <w:r w:rsidRPr="00F77095">
              <w:rPr>
                <w:rFonts w:ascii="Times New Roman" w:hAnsi="Times New Roman" w:cs="Times New Roman"/>
                <w:sz w:val="20"/>
                <w:szCs w:val="20"/>
              </w:rPr>
              <w:t>1,100</w:t>
            </w:r>
          </w:p>
        </w:tc>
        <w:tc>
          <w:tcPr>
            <w:tcW w:w="126" w:type="pct"/>
          </w:tcPr>
          <w:p w:rsidR="00960E7D" w:rsidRPr="00F77095" w:rsidRDefault="00960E7D" w:rsidP="00650EAF">
            <w:pPr>
              <w:jc w:val="both"/>
              <w:rPr>
                <w:rFonts w:ascii="Times New Roman" w:hAnsi="Times New Roman" w:cs="Times New Roman"/>
                <w:sz w:val="20"/>
                <w:szCs w:val="20"/>
              </w:rPr>
            </w:pPr>
          </w:p>
        </w:tc>
      </w:tr>
      <w:tr w:rsidR="00960E7D" w:rsidRPr="00F77095" w:rsidTr="00650EAF">
        <w:trPr>
          <w:trHeight w:val="277"/>
        </w:trPr>
        <w:tc>
          <w:tcPr>
            <w:tcW w:w="210" w:type="pct"/>
          </w:tcPr>
          <w:p w:rsidR="00960E7D" w:rsidRPr="00F77095" w:rsidRDefault="00960E7D" w:rsidP="00650EAF">
            <w:pPr>
              <w:jc w:val="both"/>
              <w:rPr>
                <w:rFonts w:ascii="Times New Roman" w:hAnsi="Times New Roman" w:cs="Times New Roman"/>
                <w:sz w:val="20"/>
                <w:szCs w:val="20"/>
              </w:rPr>
            </w:pPr>
          </w:p>
        </w:tc>
        <w:tc>
          <w:tcPr>
            <w:tcW w:w="2533" w:type="pct"/>
          </w:tcPr>
          <w:p w:rsidR="00960E7D" w:rsidRPr="00F77095" w:rsidRDefault="00960E7D" w:rsidP="00650EAF">
            <w:pPr>
              <w:jc w:val="both"/>
              <w:rPr>
                <w:rFonts w:ascii="Times New Roman" w:hAnsi="Times New Roman" w:cs="Times New Roman"/>
                <w:sz w:val="20"/>
                <w:szCs w:val="20"/>
              </w:rPr>
            </w:pPr>
          </w:p>
        </w:tc>
        <w:tc>
          <w:tcPr>
            <w:tcW w:w="742" w:type="pct"/>
          </w:tcPr>
          <w:p w:rsidR="00960E7D" w:rsidRPr="00F77095" w:rsidRDefault="00960E7D" w:rsidP="00650EAF">
            <w:pPr>
              <w:jc w:val="right"/>
              <w:rPr>
                <w:rFonts w:ascii="Times New Roman" w:hAnsi="Times New Roman" w:cs="Times New Roman"/>
                <w:sz w:val="20"/>
                <w:szCs w:val="20"/>
              </w:rPr>
            </w:pPr>
          </w:p>
        </w:tc>
        <w:tc>
          <w:tcPr>
            <w:tcW w:w="646" w:type="pct"/>
          </w:tcPr>
          <w:p w:rsidR="00960E7D" w:rsidRPr="00F77095" w:rsidRDefault="00960E7D" w:rsidP="00650EAF">
            <w:pPr>
              <w:jc w:val="right"/>
              <w:rPr>
                <w:rFonts w:ascii="Times New Roman" w:hAnsi="Times New Roman" w:cs="Times New Roman"/>
                <w:sz w:val="20"/>
                <w:szCs w:val="20"/>
              </w:rPr>
            </w:pPr>
          </w:p>
        </w:tc>
        <w:tc>
          <w:tcPr>
            <w:tcW w:w="743" w:type="pct"/>
          </w:tcPr>
          <w:p w:rsidR="00960E7D" w:rsidRPr="00F77095" w:rsidRDefault="00960E7D" w:rsidP="00650EAF">
            <w:pPr>
              <w:jc w:val="right"/>
              <w:rPr>
                <w:rFonts w:ascii="Times New Roman" w:hAnsi="Times New Roman" w:cs="Times New Roman"/>
                <w:sz w:val="20"/>
                <w:szCs w:val="20"/>
              </w:rPr>
            </w:pPr>
          </w:p>
        </w:tc>
        <w:tc>
          <w:tcPr>
            <w:tcW w:w="126" w:type="pct"/>
          </w:tcPr>
          <w:p w:rsidR="00960E7D" w:rsidRPr="00F77095" w:rsidRDefault="00960E7D" w:rsidP="00650EAF">
            <w:pPr>
              <w:jc w:val="both"/>
              <w:rPr>
                <w:rFonts w:ascii="Times New Roman" w:hAnsi="Times New Roman" w:cs="Times New Roman"/>
                <w:sz w:val="20"/>
                <w:szCs w:val="20"/>
              </w:rPr>
            </w:pPr>
          </w:p>
        </w:tc>
      </w:tr>
      <w:tr w:rsidR="00960E7D" w:rsidRPr="00F77095" w:rsidTr="00650EAF">
        <w:trPr>
          <w:trHeight w:val="260"/>
        </w:trPr>
        <w:tc>
          <w:tcPr>
            <w:tcW w:w="210" w:type="pct"/>
          </w:tcPr>
          <w:p w:rsidR="00960E7D" w:rsidRPr="00F77095" w:rsidRDefault="00960E7D" w:rsidP="00650EAF">
            <w:pPr>
              <w:jc w:val="both"/>
              <w:rPr>
                <w:rFonts w:ascii="Times New Roman" w:hAnsi="Times New Roman" w:cs="Times New Roman"/>
                <w:sz w:val="20"/>
                <w:szCs w:val="20"/>
              </w:rPr>
            </w:pPr>
            <w:r w:rsidRPr="00F77095">
              <w:rPr>
                <w:rFonts w:ascii="Times New Roman" w:hAnsi="Times New Roman" w:cs="Times New Roman"/>
                <w:sz w:val="20"/>
                <w:szCs w:val="20"/>
              </w:rPr>
              <w:t>3.</w:t>
            </w:r>
          </w:p>
        </w:tc>
        <w:tc>
          <w:tcPr>
            <w:tcW w:w="2533" w:type="pct"/>
          </w:tcPr>
          <w:p w:rsidR="00960E7D" w:rsidRPr="00F77095" w:rsidRDefault="00960E7D" w:rsidP="00650EAF">
            <w:pPr>
              <w:jc w:val="both"/>
              <w:rPr>
                <w:rFonts w:ascii="Times New Roman" w:hAnsi="Times New Roman" w:cs="Times New Roman"/>
                <w:sz w:val="20"/>
                <w:szCs w:val="20"/>
              </w:rPr>
            </w:pPr>
            <w:r w:rsidRPr="00F77095">
              <w:rPr>
                <w:rFonts w:ascii="Times New Roman" w:hAnsi="Times New Roman" w:cs="Times New Roman"/>
                <w:sz w:val="20"/>
                <w:szCs w:val="20"/>
              </w:rPr>
              <w:t>ACCUMULATED DEPRECIATION</w:t>
            </w:r>
          </w:p>
        </w:tc>
        <w:tc>
          <w:tcPr>
            <w:tcW w:w="742" w:type="pct"/>
          </w:tcPr>
          <w:p w:rsidR="00960E7D" w:rsidRPr="00F77095" w:rsidRDefault="00960E7D" w:rsidP="00650EAF">
            <w:pPr>
              <w:jc w:val="right"/>
              <w:rPr>
                <w:rFonts w:ascii="Times New Roman" w:hAnsi="Times New Roman" w:cs="Times New Roman"/>
                <w:sz w:val="20"/>
                <w:szCs w:val="20"/>
              </w:rPr>
            </w:pPr>
            <w:r w:rsidRPr="00F77095">
              <w:rPr>
                <w:rFonts w:ascii="Times New Roman" w:hAnsi="Times New Roman" w:cs="Times New Roman"/>
                <w:sz w:val="20"/>
                <w:szCs w:val="20"/>
              </w:rPr>
              <w:t>(14,563)</w:t>
            </w:r>
          </w:p>
        </w:tc>
        <w:tc>
          <w:tcPr>
            <w:tcW w:w="646" w:type="pct"/>
          </w:tcPr>
          <w:p w:rsidR="00960E7D" w:rsidRPr="00F77095" w:rsidRDefault="00960E7D" w:rsidP="00650EAF">
            <w:pPr>
              <w:jc w:val="right"/>
              <w:rPr>
                <w:rFonts w:ascii="Times New Roman" w:hAnsi="Times New Roman" w:cs="Times New Roman"/>
                <w:sz w:val="20"/>
                <w:szCs w:val="20"/>
              </w:rPr>
            </w:pPr>
            <w:r w:rsidRPr="00F77095">
              <w:rPr>
                <w:rFonts w:ascii="Times New Roman" w:hAnsi="Times New Roman" w:cs="Times New Roman"/>
                <w:sz w:val="20"/>
                <w:szCs w:val="20"/>
              </w:rPr>
              <w:t>286</w:t>
            </w:r>
          </w:p>
        </w:tc>
        <w:tc>
          <w:tcPr>
            <w:tcW w:w="743" w:type="pct"/>
          </w:tcPr>
          <w:p w:rsidR="00960E7D" w:rsidRPr="00F77095" w:rsidRDefault="00960E7D" w:rsidP="00650EAF">
            <w:pPr>
              <w:jc w:val="right"/>
              <w:rPr>
                <w:rFonts w:ascii="Times New Roman" w:hAnsi="Times New Roman" w:cs="Times New Roman"/>
                <w:sz w:val="20"/>
                <w:szCs w:val="20"/>
              </w:rPr>
            </w:pPr>
            <w:r w:rsidRPr="00F77095">
              <w:rPr>
                <w:rFonts w:ascii="Times New Roman" w:hAnsi="Times New Roman" w:cs="Times New Roman"/>
                <w:sz w:val="20"/>
                <w:szCs w:val="20"/>
              </w:rPr>
              <w:t>(14,277)</w:t>
            </w:r>
          </w:p>
        </w:tc>
        <w:tc>
          <w:tcPr>
            <w:tcW w:w="126" w:type="pct"/>
          </w:tcPr>
          <w:p w:rsidR="00960E7D" w:rsidRPr="00F77095" w:rsidRDefault="00960E7D" w:rsidP="00650EAF">
            <w:pPr>
              <w:jc w:val="both"/>
              <w:rPr>
                <w:rFonts w:ascii="Times New Roman" w:hAnsi="Times New Roman" w:cs="Times New Roman"/>
                <w:sz w:val="20"/>
                <w:szCs w:val="20"/>
              </w:rPr>
            </w:pPr>
          </w:p>
        </w:tc>
      </w:tr>
      <w:tr w:rsidR="00960E7D" w:rsidRPr="00F77095" w:rsidTr="00650EAF">
        <w:trPr>
          <w:trHeight w:val="277"/>
        </w:trPr>
        <w:tc>
          <w:tcPr>
            <w:tcW w:w="210" w:type="pct"/>
          </w:tcPr>
          <w:p w:rsidR="00960E7D" w:rsidRPr="00F77095" w:rsidRDefault="00960E7D" w:rsidP="00650EAF">
            <w:pPr>
              <w:jc w:val="both"/>
              <w:rPr>
                <w:rFonts w:ascii="Times New Roman" w:hAnsi="Times New Roman" w:cs="Times New Roman"/>
                <w:sz w:val="20"/>
                <w:szCs w:val="20"/>
              </w:rPr>
            </w:pPr>
          </w:p>
        </w:tc>
        <w:tc>
          <w:tcPr>
            <w:tcW w:w="2533" w:type="pct"/>
          </w:tcPr>
          <w:p w:rsidR="00960E7D" w:rsidRPr="00F77095" w:rsidRDefault="00960E7D" w:rsidP="00650EAF">
            <w:pPr>
              <w:jc w:val="both"/>
              <w:rPr>
                <w:rFonts w:ascii="Times New Roman" w:hAnsi="Times New Roman" w:cs="Times New Roman"/>
                <w:sz w:val="20"/>
                <w:szCs w:val="20"/>
              </w:rPr>
            </w:pPr>
          </w:p>
        </w:tc>
        <w:tc>
          <w:tcPr>
            <w:tcW w:w="742" w:type="pct"/>
          </w:tcPr>
          <w:p w:rsidR="00960E7D" w:rsidRPr="00F77095" w:rsidRDefault="00960E7D" w:rsidP="00650EAF">
            <w:pPr>
              <w:jc w:val="right"/>
              <w:rPr>
                <w:rFonts w:ascii="Times New Roman" w:hAnsi="Times New Roman" w:cs="Times New Roman"/>
                <w:sz w:val="20"/>
                <w:szCs w:val="20"/>
              </w:rPr>
            </w:pPr>
          </w:p>
        </w:tc>
        <w:tc>
          <w:tcPr>
            <w:tcW w:w="646" w:type="pct"/>
          </w:tcPr>
          <w:p w:rsidR="00960E7D" w:rsidRPr="00F77095" w:rsidRDefault="00960E7D" w:rsidP="00650EAF">
            <w:pPr>
              <w:jc w:val="right"/>
              <w:rPr>
                <w:rFonts w:ascii="Times New Roman" w:hAnsi="Times New Roman" w:cs="Times New Roman"/>
                <w:sz w:val="20"/>
                <w:szCs w:val="20"/>
              </w:rPr>
            </w:pPr>
          </w:p>
        </w:tc>
        <w:tc>
          <w:tcPr>
            <w:tcW w:w="743" w:type="pct"/>
          </w:tcPr>
          <w:p w:rsidR="00960E7D" w:rsidRPr="00F77095" w:rsidRDefault="00960E7D" w:rsidP="00650EAF">
            <w:pPr>
              <w:jc w:val="right"/>
              <w:rPr>
                <w:rFonts w:ascii="Times New Roman" w:hAnsi="Times New Roman" w:cs="Times New Roman"/>
                <w:sz w:val="20"/>
                <w:szCs w:val="20"/>
              </w:rPr>
            </w:pPr>
          </w:p>
        </w:tc>
        <w:tc>
          <w:tcPr>
            <w:tcW w:w="126" w:type="pct"/>
          </w:tcPr>
          <w:p w:rsidR="00960E7D" w:rsidRPr="00F77095" w:rsidRDefault="00960E7D" w:rsidP="00650EAF">
            <w:pPr>
              <w:jc w:val="both"/>
              <w:rPr>
                <w:rFonts w:ascii="Times New Roman" w:hAnsi="Times New Roman" w:cs="Times New Roman"/>
                <w:sz w:val="20"/>
                <w:szCs w:val="20"/>
              </w:rPr>
            </w:pPr>
          </w:p>
        </w:tc>
      </w:tr>
      <w:tr w:rsidR="00960E7D" w:rsidRPr="00F77095" w:rsidTr="00650EAF">
        <w:trPr>
          <w:trHeight w:val="277"/>
        </w:trPr>
        <w:tc>
          <w:tcPr>
            <w:tcW w:w="210" w:type="pct"/>
          </w:tcPr>
          <w:p w:rsidR="00960E7D" w:rsidRPr="00F77095" w:rsidRDefault="00960E7D" w:rsidP="00650EAF">
            <w:pPr>
              <w:jc w:val="both"/>
              <w:rPr>
                <w:rFonts w:ascii="Times New Roman" w:hAnsi="Times New Roman" w:cs="Times New Roman"/>
                <w:sz w:val="20"/>
                <w:szCs w:val="20"/>
              </w:rPr>
            </w:pPr>
            <w:r w:rsidRPr="00F77095">
              <w:rPr>
                <w:rFonts w:ascii="Times New Roman" w:hAnsi="Times New Roman" w:cs="Times New Roman"/>
                <w:sz w:val="20"/>
                <w:szCs w:val="20"/>
              </w:rPr>
              <w:t>4.</w:t>
            </w:r>
          </w:p>
        </w:tc>
        <w:tc>
          <w:tcPr>
            <w:tcW w:w="2533" w:type="pct"/>
          </w:tcPr>
          <w:p w:rsidR="00960E7D" w:rsidRPr="00F77095" w:rsidRDefault="00960E7D" w:rsidP="00650EAF">
            <w:pPr>
              <w:jc w:val="both"/>
              <w:rPr>
                <w:rFonts w:ascii="Times New Roman" w:hAnsi="Times New Roman" w:cs="Times New Roman"/>
                <w:sz w:val="20"/>
                <w:szCs w:val="20"/>
              </w:rPr>
            </w:pPr>
            <w:r w:rsidRPr="00F77095">
              <w:rPr>
                <w:rFonts w:ascii="Times New Roman" w:hAnsi="Times New Roman" w:cs="Times New Roman"/>
                <w:sz w:val="20"/>
                <w:szCs w:val="20"/>
              </w:rPr>
              <w:t>CIAC</w:t>
            </w:r>
          </w:p>
        </w:tc>
        <w:tc>
          <w:tcPr>
            <w:tcW w:w="742" w:type="pct"/>
          </w:tcPr>
          <w:p w:rsidR="00960E7D" w:rsidRPr="00F77095" w:rsidRDefault="00960E7D" w:rsidP="00650EAF">
            <w:pPr>
              <w:jc w:val="right"/>
              <w:rPr>
                <w:rFonts w:ascii="Times New Roman" w:hAnsi="Times New Roman" w:cs="Times New Roman"/>
                <w:sz w:val="20"/>
                <w:szCs w:val="20"/>
              </w:rPr>
            </w:pPr>
            <w:r w:rsidRPr="00F77095">
              <w:rPr>
                <w:rFonts w:ascii="Times New Roman" w:hAnsi="Times New Roman" w:cs="Times New Roman"/>
                <w:sz w:val="20"/>
                <w:szCs w:val="20"/>
              </w:rPr>
              <w:t>(1,577)</w:t>
            </w:r>
          </w:p>
        </w:tc>
        <w:tc>
          <w:tcPr>
            <w:tcW w:w="646" w:type="pct"/>
          </w:tcPr>
          <w:p w:rsidR="00960E7D" w:rsidRPr="00F77095" w:rsidRDefault="00960E7D" w:rsidP="00650EAF">
            <w:pPr>
              <w:jc w:val="right"/>
              <w:rPr>
                <w:rFonts w:ascii="Times New Roman" w:hAnsi="Times New Roman" w:cs="Times New Roman"/>
                <w:sz w:val="20"/>
                <w:szCs w:val="20"/>
              </w:rPr>
            </w:pPr>
            <w:r w:rsidRPr="00F77095">
              <w:rPr>
                <w:rFonts w:ascii="Times New Roman" w:hAnsi="Times New Roman" w:cs="Times New Roman"/>
                <w:sz w:val="20"/>
                <w:szCs w:val="20"/>
              </w:rPr>
              <w:t>0</w:t>
            </w:r>
          </w:p>
        </w:tc>
        <w:tc>
          <w:tcPr>
            <w:tcW w:w="743" w:type="pct"/>
          </w:tcPr>
          <w:p w:rsidR="00960E7D" w:rsidRPr="00F77095" w:rsidRDefault="00960E7D" w:rsidP="00650EAF">
            <w:pPr>
              <w:jc w:val="right"/>
              <w:rPr>
                <w:rFonts w:ascii="Times New Roman" w:hAnsi="Times New Roman" w:cs="Times New Roman"/>
                <w:sz w:val="20"/>
                <w:szCs w:val="20"/>
              </w:rPr>
            </w:pPr>
            <w:r w:rsidRPr="00F77095">
              <w:rPr>
                <w:rFonts w:ascii="Times New Roman" w:hAnsi="Times New Roman" w:cs="Times New Roman"/>
                <w:sz w:val="20"/>
                <w:szCs w:val="20"/>
              </w:rPr>
              <w:t>(1,577)</w:t>
            </w:r>
          </w:p>
        </w:tc>
        <w:tc>
          <w:tcPr>
            <w:tcW w:w="126" w:type="pct"/>
          </w:tcPr>
          <w:p w:rsidR="00960E7D" w:rsidRPr="00F77095" w:rsidRDefault="00960E7D" w:rsidP="00650EAF">
            <w:pPr>
              <w:jc w:val="both"/>
              <w:rPr>
                <w:rFonts w:ascii="Times New Roman" w:hAnsi="Times New Roman" w:cs="Times New Roman"/>
                <w:sz w:val="20"/>
                <w:szCs w:val="20"/>
              </w:rPr>
            </w:pPr>
          </w:p>
        </w:tc>
      </w:tr>
      <w:tr w:rsidR="00960E7D" w:rsidRPr="00F77095" w:rsidTr="00650EAF">
        <w:trPr>
          <w:trHeight w:val="277"/>
        </w:trPr>
        <w:tc>
          <w:tcPr>
            <w:tcW w:w="210" w:type="pct"/>
          </w:tcPr>
          <w:p w:rsidR="00960E7D" w:rsidRPr="00F77095" w:rsidRDefault="00960E7D" w:rsidP="00650EAF">
            <w:pPr>
              <w:jc w:val="both"/>
              <w:rPr>
                <w:rFonts w:ascii="Times New Roman" w:hAnsi="Times New Roman" w:cs="Times New Roman"/>
                <w:sz w:val="20"/>
                <w:szCs w:val="20"/>
              </w:rPr>
            </w:pPr>
          </w:p>
        </w:tc>
        <w:tc>
          <w:tcPr>
            <w:tcW w:w="2533" w:type="pct"/>
          </w:tcPr>
          <w:p w:rsidR="00960E7D" w:rsidRPr="00F77095" w:rsidRDefault="00960E7D" w:rsidP="00650EAF">
            <w:pPr>
              <w:jc w:val="both"/>
              <w:rPr>
                <w:rFonts w:ascii="Times New Roman" w:hAnsi="Times New Roman" w:cs="Times New Roman"/>
                <w:sz w:val="20"/>
                <w:szCs w:val="20"/>
              </w:rPr>
            </w:pPr>
          </w:p>
        </w:tc>
        <w:tc>
          <w:tcPr>
            <w:tcW w:w="742" w:type="pct"/>
          </w:tcPr>
          <w:p w:rsidR="00960E7D" w:rsidRPr="00F77095" w:rsidRDefault="00960E7D" w:rsidP="00650EAF">
            <w:pPr>
              <w:jc w:val="right"/>
              <w:rPr>
                <w:rFonts w:ascii="Times New Roman" w:hAnsi="Times New Roman" w:cs="Times New Roman"/>
                <w:sz w:val="20"/>
                <w:szCs w:val="20"/>
              </w:rPr>
            </w:pPr>
          </w:p>
        </w:tc>
        <w:tc>
          <w:tcPr>
            <w:tcW w:w="646" w:type="pct"/>
          </w:tcPr>
          <w:p w:rsidR="00960E7D" w:rsidRPr="00F77095" w:rsidRDefault="00960E7D" w:rsidP="00650EAF">
            <w:pPr>
              <w:jc w:val="right"/>
              <w:rPr>
                <w:rFonts w:ascii="Times New Roman" w:hAnsi="Times New Roman" w:cs="Times New Roman"/>
                <w:sz w:val="20"/>
                <w:szCs w:val="20"/>
              </w:rPr>
            </w:pPr>
          </w:p>
        </w:tc>
        <w:tc>
          <w:tcPr>
            <w:tcW w:w="743" w:type="pct"/>
          </w:tcPr>
          <w:p w:rsidR="00960E7D" w:rsidRPr="00F77095" w:rsidRDefault="00960E7D" w:rsidP="00650EAF">
            <w:pPr>
              <w:jc w:val="right"/>
              <w:rPr>
                <w:rFonts w:ascii="Times New Roman" w:hAnsi="Times New Roman" w:cs="Times New Roman"/>
                <w:sz w:val="20"/>
                <w:szCs w:val="20"/>
              </w:rPr>
            </w:pPr>
          </w:p>
        </w:tc>
        <w:tc>
          <w:tcPr>
            <w:tcW w:w="126" w:type="pct"/>
          </w:tcPr>
          <w:p w:rsidR="00960E7D" w:rsidRPr="00F77095" w:rsidRDefault="00960E7D" w:rsidP="00650EAF">
            <w:pPr>
              <w:jc w:val="both"/>
              <w:rPr>
                <w:rFonts w:ascii="Times New Roman" w:hAnsi="Times New Roman" w:cs="Times New Roman"/>
                <w:sz w:val="20"/>
                <w:szCs w:val="20"/>
              </w:rPr>
            </w:pPr>
          </w:p>
        </w:tc>
      </w:tr>
      <w:tr w:rsidR="00960E7D" w:rsidRPr="00F77095" w:rsidTr="00650EAF">
        <w:trPr>
          <w:trHeight w:val="277"/>
        </w:trPr>
        <w:tc>
          <w:tcPr>
            <w:tcW w:w="210" w:type="pct"/>
          </w:tcPr>
          <w:p w:rsidR="00960E7D" w:rsidRPr="00F77095" w:rsidRDefault="00960E7D" w:rsidP="00650EAF">
            <w:pPr>
              <w:jc w:val="both"/>
              <w:rPr>
                <w:rFonts w:ascii="Times New Roman" w:hAnsi="Times New Roman" w:cs="Times New Roman"/>
                <w:sz w:val="20"/>
                <w:szCs w:val="20"/>
              </w:rPr>
            </w:pPr>
            <w:r w:rsidRPr="00F77095">
              <w:rPr>
                <w:rFonts w:ascii="Times New Roman" w:hAnsi="Times New Roman" w:cs="Times New Roman"/>
                <w:sz w:val="20"/>
                <w:szCs w:val="20"/>
              </w:rPr>
              <w:t>5.</w:t>
            </w:r>
          </w:p>
        </w:tc>
        <w:tc>
          <w:tcPr>
            <w:tcW w:w="2533" w:type="pct"/>
          </w:tcPr>
          <w:p w:rsidR="00960E7D" w:rsidRPr="00F77095" w:rsidRDefault="00960E7D" w:rsidP="00650EAF">
            <w:pPr>
              <w:jc w:val="both"/>
              <w:rPr>
                <w:rFonts w:ascii="Times New Roman" w:hAnsi="Times New Roman" w:cs="Times New Roman"/>
                <w:sz w:val="20"/>
                <w:szCs w:val="20"/>
              </w:rPr>
            </w:pPr>
            <w:r w:rsidRPr="00F77095">
              <w:rPr>
                <w:rFonts w:ascii="Times New Roman" w:hAnsi="Times New Roman" w:cs="Times New Roman"/>
                <w:sz w:val="20"/>
                <w:szCs w:val="20"/>
              </w:rPr>
              <w:t>ACCUMULATED AMORTIZATION OF CIAC</w:t>
            </w:r>
          </w:p>
        </w:tc>
        <w:tc>
          <w:tcPr>
            <w:tcW w:w="742" w:type="pct"/>
          </w:tcPr>
          <w:p w:rsidR="00960E7D" w:rsidRPr="00F77095" w:rsidRDefault="00960E7D" w:rsidP="00650EAF">
            <w:pPr>
              <w:jc w:val="right"/>
              <w:rPr>
                <w:rFonts w:ascii="Times New Roman" w:hAnsi="Times New Roman" w:cs="Times New Roman"/>
                <w:sz w:val="20"/>
                <w:szCs w:val="20"/>
              </w:rPr>
            </w:pPr>
            <w:r w:rsidRPr="00F77095">
              <w:rPr>
                <w:rFonts w:ascii="Times New Roman" w:hAnsi="Times New Roman" w:cs="Times New Roman"/>
                <w:sz w:val="20"/>
                <w:szCs w:val="20"/>
              </w:rPr>
              <w:t>1,577</w:t>
            </w:r>
          </w:p>
        </w:tc>
        <w:tc>
          <w:tcPr>
            <w:tcW w:w="646" w:type="pct"/>
          </w:tcPr>
          <w:p w:rsidR="00960E7D" w:rsidRPr="00F77095" w:rsidRDefault="00960E7D" w:rsidP="00650EAF">
            <w:pPr>
              <w:jc w:val="right"/>
              <w:rPr>
                <w:rFonts w:ascii="Times New Roman" w:hAnsi="Times New Roman" w:cs="Times New Roman"/>
                <w:sz w:val="20"/>
                <w:szCs w:val="20"/>
              </w:rPr>
            </w:pPr>
            <w:r w:rsidRPr="00F77095">
              <w:rPr>
                <w:rFonts w:ascii="Times New Roman" w:hAnsi="Times New Roman" w:cs="Times New Roman"/>
                <w:sz w:val="20"/>
                <w:szCs w:val="20"/>
              </w:rPr>
              <w:t>0</w:t>
            </w:r>
          </w:p>
        </w:tc>
        <w:tc>
          <w:tcPr>
            <w:tcW w:w="743" w:type="pct"/>
          </w:tcPr>
          <w:p w:rsidR="00960E7D" w:rsidRPr="00F77095" w:rsidRDefault="00960E7D" w:rsidP="00650EAF">
            <w:pPr>
              <w:jc w:val="right"/>
              <w:rPr>
                <w:rFonts w:ascii="Times New Roman" w:hAnsi="Times New Roman" w:cs="Times New Roman"/>
                <w:sz w:val="20"/>
                <w:szCs w:val="20"/>
              </w:rPr>
            </w:pPr>
            <w:r w:rsidRPr="00F77095">
              <w:rPr>
                <w:rFonts w:ascii="Times New Roman" w:hAnsi="Times New Roman" w:cs="Times New Roman"/>
                <w:sz w:val="20"/>
                <w:szCs w:val="20"/>
              </w:rPr>
              <w:t>1,577</w:t>
            </w:r>
          </w:p>
        </w:tc>
        <w:tc>
          <w:tcPr>
            <w:tcW w:w="126" w:type="pct"/>
          </w:tcPr>
          <w:p w:rsidR="00960E7D" w:rsidRPr="00F77095" w:rsidRDefault="00960E7D" w:rsidP="00650EAF">
            <w:pPr>
              <w:jc w:val="both"/>
              <w:rPr>
                <w:rFonts w:ascii="Times New Roman" w:hAnsi="Times New Roman" w:cs="Times New Roman"/>
                <w:sz w:val="20"/>
                <w:szCs w:val="20"/>
              </w:rPr>
            </w:pPr>
          </w:p>
        </w:tc>
      </w:tr>
      <w:tr w:rsidR="00960E7D" w:rsidRPr="00F77095" w:rsidTr="00650EAF">
        <w:trPr>
          <w:trHeight w:val="277"/>
        </w:trPr>
        <w:tc>
          <w:tcPr>
            <w:tcW w:w="210" w:type="pct"/>
          </w:tcPr>
          <w:p w:rsidR="00960E7D" w:rsidRPr="00F77095" w:rsidRDefault="00960E7D" w:rsidP="00650EAF">
            <w:pPr>
              <w:jc w:val="both"/>
              <w:rPr>
                <w:rFonts w:ascii="Times New Roman" w:hAnsi="Times New Roman" w:cs="Times New Roman"/>
                <w:sz w:val="20"/>
                <w:szCs w:val="20"/>
              </w:rPr>
            </w:pPr>
          </w:p>
        </w:tc>
        <w:tc>
          <w:tcPr>
            <w:tcW w:w="2533" w:type="pct"/>
          </w:tcPr>
          <w:p w:rsidR="00960E7D" w:rsidRPr="00F77095" w:rsidRDefault="00960E7D" w:rsidP="00650EAF">
            <w:pPr>
              <w:jc w:val="both"/>
              <w:rPr>
                <w:rFonts w:ascii="Times New Roman" w:hAnsi="Times New Roman" w:cs="Times New Roman"/>
                <w:sz w:val="20"/>
                <w:szCs w:val="20"/>
              </w:rPr>
            </w:pPr>
          </w:p>
        </w:tc>
        <w:tc>
          <w:tcPr>
            <w:tcW w:w="742" w:type="pct"/>
          </w:tcPr>
          <w:p w:rsidR="00960E7D" w:rsidRPr="00F77095" w:rsidRDefault="00960E7D" w:rsidP="00650EAF">
            <w:pPr>
              <w:jc w:val="right"/>
              <w:rPr>
                <w:rFonts w:ascii="Times New Roman" w:hAnsi="Times New Roman" w:cs="Times New Roman"/>
                <w:sz w:val="20"/>
                <w:szCs w:val="20"/>
              </w:rPr>
            </w:pPr>
          </w:p>
        </w:tc>
        <w:tc>
          <w:tcPr>
            <w:tcW w:w="646" w:type="pct"/>
          </w:tcPr>
          <w:p w:rsidR="00960E7D" w:rsidRPr="00F77095" w:rsidRDefault="00960E7D" w:rsidP="00650EAF">
            <w:pPr>
              <w:jc w:val="right"/>
              <w:rPr>
                <w:rFonts w:ascii="Times New Roman" w:hAnsi="Times New Roman" w:cs="Times New Roman"/>
                <w:sz w:val="20"/>
                <w:szCs w:val="20"/>
              </w:rPr>
            </w:pPr>
          </w:p>
        </w:tc>
        <w:tc>
          <w:tcPr>
            <w:tcW w:w="743" w:type="pct"/>
          </w:tcPr>
          <w:p w:rsidR="00960E7D" w:rsidRPr="00F77095" w:rsidRDefault="00960E7D" w:rsidP="00650EAF">
            <w:pPr>
              <w:jc w:val="right"/>
              <w:rPr>
                <w:rFonts w:ascii="Times New Roman" w:hAnsi="Times New Roman" w:cs="Times New Roman"/>
                <w:sz w:val="20"/>
                <w:szCs w:val="20"/>
              </w:rPr>
            </w:pPr>
          </w:p>
        </w:tc>
        <w:tc>
          <w:tcPr>
            <w:tcW w:w="126" w:type="pct"/>
          </w:tcPr>
          <w:p w:rsidR="00960E7D" w:rsidRPr="00F77095" w:rsidRDefault="00960E7D" w:rsidP="00650EAF">
            <w:pPr>
              <w:jc w:val="both"/>
              <w:rPr>
                <w:rFonts w:ascii="Times New Roman" w:hAnsi="Times New Roman" w:cs="Times New Roman"/>
                <w:sz w:val="20"/>
                <w:szCs w:val="20"/>
              </w:rPr>
            </w:pPr>
          </w:p>
        </w:tc>
      </w:tr>
      <w:tr w:rsidR="00960E7D" w:rsidRPr="00F77095" w:rsidTr="00650EAF">
        <w:trPr>
          <w:trHeight w:val="277"/>
        </w:trPr>
        <w:tc>
          <w:tcPr>
            <w:tcW w:w="210" w:type="pct"/>
          </w:tcPr>
          <w:p w:rsidR="00960E7D" w:rsidRPr="00F77095" w:rsidRDefault="00960E7D" w:rsidP="00650EAF">
            <w:pPr>
              <w:jc w:val="both"/>
              <w:rPr>
                <w:rFonts w:ascii="Times New Roman" w:hAnsi="Times New Roman" w:cs="Times New Roman"/>
                <w:sz w:val="20"/>
                <w:szCs w:val="20"/>
              </w:rPr>
            </w:pPr>
            <w:r w:rsidRPr="00F77095">
              <w:rPr>
                <w:rFonts w:ascii="Times New Roman" w:hAnsi="Times New Roman" w:cs="Times New Roman"/>
                <w:sz w:val="20"/>
                <w:szCs w:val="20"/>
              </w:rPr>
              <w:t>6.</w:t>
            </w:r>
          </w:p>
        </w:tc>
        <w:tc>
          <w:tcPr>
            <w:tcW w:w="2533" w:type="pct"/>
          </w:tcPr>
          <w:p w:rsidR="00960E7D" w:rsidRPr="00F77095" w:rsidRDefault="00960E7D" w:rsidP="00650EAF">
            <w:pPr>
              <w:jc w:val="both"/>
              <w:rPr>
                <w:rFonts w:ascii="Times New Roman" w:hAnsi="Times New Roman" w:cs="Times New Roman"/>
                <w:sz w:val="20"/>
                <w:szCs w:val="20"/>
              </w:rPr>
            </w:pPr>
            <w:r w:rsidRPr="00F77095">
              <w:rPr>
                <w:rFonts w:ascii="Times New Roman" w:hAnsi="Times New Roman" w:cs="Times New Roman"/>
                <w:sz w:val="20"/>
                <w:szCs w:val="20"/>
              </w:rPr>
              <w:t>WORKING CAPITAL ALLOWANCE</w:t>
            </w:r>
          </w:p>
        </w:tc>
        <w:tc>
          <w:tcPr>
            <w:tcW w:w="742" w:type="pct"/>
          </w:tcPr>
          <w:p w:rsidR="00960E7D" w:rsidRPr="00F77095" w:rsidRDefault="00960E7D" w:rsidP="00650EAF">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0</w:t>
            </w:r>
          </w:p>
        </w:tc>
        <w:tc>
          <w:tcPr>
            <w:tcW w:w="646" w:type="pct"/>
          </w:tcPr>
          <w:p w:rsidR="00960E7D" w:rsidRPr="00F77095" w:rsidRDefault="00960E7D" w:rsidP="00650EAF">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3,452</w:t>
            </w:r>
          </w:p>
        </w:tc>
        <w:tc>
          <w:tcPr>
            <w:tcW w:w="743" w:type="pct"/>
          </w:tcPr>
          <w:p w:rsidR="00960E7D" w:rsidRPr="00F77095" w:rsidRDefault="00960E7D" w:rsidP="00650EAF">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3,452</w:t>
            </w:r>
          </w:p>
        </w:tc>
        <w:tc>
          <w:tcPr>
            <w:tcW w:w="126" w:type="pct"/>
          </w:tcPr>
          <w:p w:rsidR="00960E7D" w:rsidRPr="00F77095" w:rsidRDefault="00960E7D" w:rsidP="00650EAF">
            <w:pPr>
              <w:jc w:val="both"/>
              <w:rPr>
                <w:rFonts w:ascii="Times New Roman" w:hAnsi="Times New Roman" w:cs="Times New Roman"/>
                <w:sz w:val="20"/>
                <w:szCs w:val="20"/>
              </w:rPr>
            </w:pPr>
          </w:p>
        </w:tc>
      </w:tr>
      <w:tr w:rsidR="00960E7D" w:rsidRPr="00F77095" w:rsidTr="00650EAF">
        <w:trPr>
          <w:trHeight w:val="260"/>
        </w:trPr>
        <w:tc>
          <w:tcPr>
            <w:tcW w:w="210" w:type="pct"/>
          </w:tcPr>
          <w:p w:rsidR="00960E7D" w:rsidRPr="00F77095" w:rsidRDefault="00960E7D" w:rsidP="00650EAF">
            <w:pPr>
              <w:jc w:val="both"/>
              <w:rPr>
                <w:rFonts w:ascii="Times New Roman" w:hAnsi="Times New Roman" w:cs="Times New Roman"/>
                <w:sz w:val="20"/>
                <w:szCs w:val="20"/>
              </w:rPr>
            </w:pPr>
          </w:p>
        </w:tc>
        <w:tc>
          <w:tcPr>
            <w:tcW w:w="2533" w:type="pct"/>
          </w:tcPr>
          <w:p w:rsidR="00960E7D" w:rsidRPr="00F77095" w:rsidRDefault="00960E7D" w:rsidP="00650EAF">
            <w:pPr>
              <w:jc w:val="both"/>
              <w:rPr>
                <w:rFonts w:ascii="Times New Roman" w:hAnsi="Times New Roman" w:cs="Times New Roman"/>
                <w:sz w:val="20"/>
                <w:szCs w:val="20"/>
              </w:rPr>
            </w:pPr>
          </w:p>
        </w:tc>
        <w:tc>
          <w:tcPr>
            <w:tcW w:w="742" w:type="pct"/>
          </w:tcPr>
          <w:p w:rsidR="00960E7D" w:rsidRPr="00F77095" w:rsidRDefault="00960E7D" w:rsidP="00650EAF">
            <w:pPr>
              <w:jc w:val="right"/>
              <w:rPr>
                <w:rFonts w:ascii="Times New Roman" w:hAnsi="Times New Roman" w:cs="Times New Roman"/>
                <w:sz w:val="20"/>
                <w:szCs w:val="20"/>
              </w:rPr>
            </w:pPr>
          </w:p>
        </w:tc>
        <w:tc>
          <w:tcPr>
            <w:tcW w:w="646" w:type="pct"/>
          </w:tcPr>
          <w:p w:rsidR="00960E7D" w:rsidRPr="00F77095" w:rsidRDefault="00960E7D" w:rsidP="00650EAF">
            <w:pPr>
              <w:jc w:val="right"/>
              <w:rPr>
                <w:rFonts w:ascii="Times New Roman" w:hAnsi="Times New Roman" w:cs="Times New Roman"/>
                <w:sz w:val="20"/>
                <w:szCs w:val="20"/>
              </w:rPr>
            </w:pPr>
          </w:p>
        </w:tc>
        <w:tc>
          <w:tcPr>
            <w:tcW w:w="743" w:type="pct"/>
          </w:tcPr>
          <w:p w:rsidR="00960E7D" w:rsidRPr="00F77095" w:rsidRDefault="00960E7D" w:rsidP="00650EAF">
            <w:pPr>
              <w:jc w:val="right"/>
              <w:rPr>
                <w:rFonts w:ascii="Times New Roman" w:hAnsi="Times New Roman" w:cs="Times New Roman"/>
                <w:sz w:val="20"/>
                <w:szCs w:val="20"/>
              </w:rPr>
            </w:pPr>
          </w:p>
        </w:tc>
        <w:tc>
          <w:tcPr>
            <w:tcW w:w="126" w:type="pct"/>
          </w:tcPr>
          <w:p w:rsidR="00960E7D" w:rsidRPr="00F77095" w:rsidRDefault="00960E7D" w:rsidP="00650EAF">
            <w:pPr>
              <w:jc w:val="both"/>
              <w:rPr>
                <w:rFonts w:ascii="Times New Roman" w:hAnsi="Times New Roman" w:cs="Times New Roman"/>
                <w:sz w:val="20"/>
                <w:szCs w:val="20"/>
              </w:rPr>
            </w:pPr>
          </w:p>
        </w:tc>
      </w:tr>
      <w:tr w:rsidR="00960E7D" w:rsidRPr="00F77095" w:rsidTr="00650EAF">
        <w:trPr>
          <w:trHeight w:val="277"/>
        </w:trPr>
        <w:tc>
          <w:tcPr>
            <w:tcW w:w="210" w:type="pct"/>
          </w:tcPr>
          <w:p w:rsidR="00960E7D" w:rsidRPr="00F77095" w:rsidRDefault="00960E7D" w:rsidP="00650EAF">
            <w:pPr>
              <w:jc w:val="both"/>
              <w:rPr>
                <w:rFonts w:ascii="Times New Roman" w:hAnsi="Times New Roman" w:cs="Times New Roman"/>
                <w:sz w:val="20"/>
                <w:szCs w:val="20"/>
              </w:rPr>
            </w:pPr>
            <w:r w:rsidRPr="00F77095">
              <w:rPr>
                <w:rFonts w:ascii="Times New Roman" w:hAnsi="Times New Roman" w:cs="Times New Roman"/>
                <w:sz w:val="20"/>
                <w:szCs w:val="20"/>
              </w:rPr>
              <w:t>7.</w:t>
            </w:r>
          </w:p>
        </w:tc>
        <w:tc>
          <w:tcPr>
            <w:tcW w:w="2533" w:type="pct"/>
          </w:tcPr>
          <w:p w:rsidR="00960E7D" w:rsidRPr="00F77095" w:rsidRDefault="00960E7D" w:rsidP="00650EAF">
            <w:pPr>
              <w:jc w:val="both"/>
              <w:rPr>
                <w:rFonts w:ascii="Times New Roman" w:hAnsi="Times New Roman" w:cs="Times New Roman"/>
                <w:sz w:val="20"/>
                <w:szCs w:val="20"/>
              </w:rPr>
            </w:pPr>
            <w:r w:rsidRPr="00F77095">
              <w:rPr>
                <w:rFonts w:ascii="Times New Roman" w:hAnsi="Times New Roman" w:cs="Times New Roman"/>
                <w:sz w:val="20"/>
                <w:szCs w:val="20"/>
              </w:rPr>
              <w:t>WATER RATE BASE</w:t>
            </w:r>
          </w:p>
        </w:tc>
        <w:tc>
          <w:tcPr>
            <w:tcW w:w="742" w:type="pct"/>
          </w:tcPr>
          <w:p w:rsidR="00960E7D" w:rsidRPr="00F77095" w:rsidRDefault="00960E7D" w:rsidP="00650EAF">
            <w:pPr>
              <w:jc w:val="right"/>
              <w:rPr>
                <w:rFonts w:ascii="Times New Roman" w:hAnsi="Times New Roman" w:cs="Times New Roman"/>
                <w:sz w:val="20"/>
                <w:szCs w:val="20"/>
                <w:u w:val="double"/>
              </w:rPr>
            </w:pPr>
            <w:r w:rsidRPr="00F77095">
              <w:rPr>
                <w:rFonts w:ascii="Times New Roman" w:hAnsi="Times New Roman" w:cs="Times New Roman"/>
                <w:sz w:val="20"/>
                <w:szCs w:val="20"/>
                <w:u w:val="double"/>
              </w:rPr>
              <w:t>$34,737</w:t>
            </w:r>
          </w:p>
        </w:tc>
        <w:tc>
          <w:tcPr>
            <w:tcW w:w="646" w:type="pct"/>
          </w:tcPr>
          <w:p w:rsidR="00960E7D" w:rsidRPr="00F77095" w:rsidRDefault="00960E7D" w:rsidP="00650EAF">
            <w:pPr>
              <w:jc w:val="right"/>
              <w:rPr>
                <w:rFonts w:ascii="Times New Roman" w:hAnsi="Times New Roman" w:cs="Times New Roman"/>
                <w:sz w:val="20"/>
                <w:szCs w:val="20"/>
                <w:u w:val="double"/>
              </w:rPr>
            </w:pPr>
            <w:r w:rsidRPr="00F77095">
              <w:rPr>
                <w:rFonts w:ascii="Times New Roman" w:hAnsi="Times New Roman" w:cs="Times New Roman"/>
                <w:sz w:val="20"/>
                <w:szCs w:val="20"/>
                <w:u w:val="double"/>
              </w:rPr>
              <w:t>$3,710</w:t>
            </w:r>
          </w:p>
        </w:tc>
        <w:tc>
          <w:tcPr>
            <w:tcW w:w="743" w:type="pct"/>
          </w:tcPr>
          <w:p w:rsidR="00960E7D" w:rsidRPr="00F77095" w:rsidRDefault="00960E7D" w:rsidP="00650EAF">
            <w:pPr>
              <w:jc w:val="right"/>
              <w:rPr>
                <w:rFonts w:ascii="Times New Roman" w:hAnsi="Times New Roman" w:cs="Times New Roman"/>
                <w:sz w:val="20"/>
                <w:szCs w:val="20"/>
                <w:u w:val="double"/>
              </w:rPr>
            </w:pPr>
            <w:r w:rsidRPr="00F77095">
              <w:rPr>
                <w:rFonts w:ascii="Times New Roman" w:hAnsi="Times New Roman" w:cs="Times New Roman"/>
                <w:sz w:val="20"/>
                <w:szCs w:val="20"/>
                <w:u w:val="double"/>
              </w:rPr>
              <w:t>$38,447</w:t>
            </w:r>
          </w:p>
        </w:tc>
        <w:tc>
          <w:tcPr>
            <w:tcW w:w="126" w:type="pct"/>
          </w:tcPr>
          <w:p w:rsidR="00960E7D" w:rsidRPr="00F77095" w:rsidRDefault="00960E7D" w:rsidP="00650EAF">
            <w:pPr>
              <w:jc w:val="both"/>
              <w:rPr>
                <w:rFonts w:ascii="Times New Roman" w:hAnsi="Times New Roman" w:cs="Times New Roman"/>
                <w:sz w:val="20"/>
                <w:szCs w:val="20"/>
              </w:rPr>
            </w:pPr>
          </w:p>
        </w:tc>
      </w:tr>
      <w:tr w:rsidR="00960E7D" w:rsidRPr="00F77095" w:rsidTr="00650EAF">
        <w:trPr>
          <w:trHeight w:val="277"/>
        </w:trPr>
        <w:tc>
          <w:tcPr>
            <w:tcW w:w="210" w:type="pct"/>
          </w:tcPr>
          <w:p w:rsidR="00960E7D" w:rsidRPr="00F77095" w:rsidRDefault="00960E7D" w:rsidP="00650EAF">
            <w:pPr>
              <w:jc w:val="both"/>
              <w:rPr>
                <w:rFonts w:ascii="Times New Roman" w:hAnsi="Times New Roman" w:cs="Times New Roman"/>
                <w:sz w:val="20"/>
                <w:szCs w:val="20"/>
              </w:rPr>
            </w:pPr>
          </w:p>
        </w:tc>
        <w:tc>
          <w:tcPr>
            <w:tcW w:w="2533" w:type="pct"/>
          </w:tcPr>
          <w:p w:rsidR="00960E7D" w:rsidRPr="00F77095" w:rsidRDefault="00960E7D" w:rsidP="00650EAF">
            <w:pPr>
              <w:jc w:val="both"/>
              <w:rPr>
                <w:rFonts w:ascii="Times New Roman" w:hAnsi="Times New Roman" w:cs="Times New Roman"/>
                <w:sz w:val="20"/>
                <w:szCs w:val="20"/>
              </w:rPr>
            </w:pPr>
            <w:r w:rsidRPr="00F77095">
              <w:fldChar w:fldCharType="begin"/>
            </w:r>
            <w:r w:rsidRPr="00F77095">
              <w:instrText xml:space="preserve"> TC "</w:instrText>
            </w:r>
            <w:bookmarkStart w:id="35" w:name="_Toc82175408"/>
            <w:bookmarkStart w:id="36" w:name="_Toc82430612"/>
            <w:bookmarkStart w:id="37" w:name="_Toc90302750"/>
            <w:bookmarkStart w:id="38" w:name="_Toc90478771"/>
            <w:bookmarkStart w:id="39" w:name="_Toc90549979"/>
            <w:bookmarkStart w:id="40" w:name="_Toc91659004"/>
            <w:r w:rsidRPr="00F77095">
              <w:tab/>
              <w:instrText>Schedule No. 1-A Rate Base</w:instrText>
            </w:r>
            <w:bookmarkEnd w:id="35"/>
            <w:bookmarkEnd w:id="36"/>
            <w:bookmarkEnd w:id="37"/>
            <w:bookmarkEnd w:id="38"/>
            <w:bookmarkEnd w:id="39"/>
            <w:bookmarkEnd w:id="40"/>
            <w:r w:rsidRPr="00F77095">
              <w:instrText xml:space="preserve">" \l 1 </w:instrText>
            </w:r>
            <w:r w:rsidRPr="00F77095">
              <w:fldChar w:fldCharType="end"/>
            </w:r>
          </w:p>
        </w:tc>
        <w:tc>
          <w:tcPr>
            <w:tcW w:w="742" w:type="pct"/>
          </w:tcPr>
          <w:p w:rsidR="00960E7D" w:rsidRPr="00F77095" w:rsidRDefault="00960E7D" w:rsidP="00650EAF">
            <w:pPr>
              <w:jc w:val="right"/>
              <w:rPr>
                <w:rFonts w:ascii="Times New Roman" w:hAnsi="Times New Roman" w:cs="Times New Roman"/>
                <w:sz w:val="20"/>
                <w:szCs w:val="20"/>
                <w:u w:val="double"/>
              </w:rPr>
            </w:pPr>
          </w:p>
        </w:tc>
        <w:tc>
          <w:tcPr>
            <w:tcW w:w="646" w:type="pct"/>
          </w:tcPr>
          <w:p w:rsidR="00960E7D" w:rsidRPr="00F77095" w:rsidRDefault="00960E7D" w:rsidP="00650EAF">
            <w:pPr>
              <w:jc w:val="right"/>
              <w:rPr>
                <w:rFonts w:ascii="Times New Roman" w:hAnsi="Times New Roman" w:cs="Times New Roman"/>
                <w:sz w:val="20"/>
                <w:szCs w:val="20"/>
                <w:u w:val="double"/>
              </w:rPr>
            </w:pPr>
          </w:p>
        </w:tc>
        <w:tc>
          <w:tcPr>
            <w:tcW w:w="743" w:type="pct"/>
          </w:tcPr>
          <w:p w:rsidR="00960E7D" w:rsidRPr="00F77095" w:rsidRDefault="00960E7D" w:rsidP="00650EAF">
            <w:pPr>
              <w:jc w:val="right"/>
              <w:rPr>
                <w:rFonts w:ascii="Times New Roman" w:hAnsi="Times New Roman" w:cs="Times New Roman"/>
                <w:sz w:val="20"/>
                <w:szCs w:val="20"/>
                <w:u w:val="double"/>
              </w:rPr>
            </w:pPr>
          </w:p>
        </w:tc>
        <w:tc>
          <w:tcPr>
            <w:tcW w:w="126" w:type="pct"/>
          </w:tcPr>
          <w:p w:rsidR="00960E7D" w:rsidRPr="00F77095" w:rsidRDefault="00960E7D" w:rsidP="00650EAF">
            <w:pPr>
              <w:jc w:val="both"/>
              <w:rPr>
                <w:rFonts w:ascii="Times New Roman" w:hAnsi="Times New Roman" w:cs="Times New Roman"/>
                <w:sz w:val="20"/>
                <w:szCs w:val="20"/>
              </w:rPr>
            </w:pPr>
          </w:p>
        </w:tc>
      </w:tr>
    </w:tbl>
    <w:p w:rsidR="00960E7D" w:rsidRDefault="00960E7D" w:rsidP="00960E7D">
      <w:pPr>
        <w:pStyle w:val="BodyText"/>
        <w:jc w:val="center"/>
        <w:sectPr w:rsidR="00960E7D" w:rsidSect="0068481F">
          <w:headerReference w:type="default" r:id="rId14"/>
          <w:pgSz w:w="12240" w:h="15840" w:code="1"/>
          <w:pgMar w:top="1584" w:right="1440" w:bottom="1440" w:left="1440" w:header="720" w:footer="720" w:gutter="0"/>
          <w:cols w:space="720"/>
          <w:formProt w:val="0"/>
          <w:docGrid w:linePitch="360"/>
        </w:sectPr>
      </w:pPr>
    </w:p>
    <w:tbl>
      <w:tblPr>
        <w:tblStyle w:val="TableGrid13"/>
        <w:tblW w:w="9810" w:type="dxa"/>
        <w:tblBorders>
          <w:insideH w:val="none" w:sz="0" w:space="0" w:color="auto"/>
          <w:insideV w:val="none" w:sz="0" w:space="0" w:color="auto"/>
        </w:tblBorders>
        <w:tblLook w:val="04A0" w:firstRow="1" w:lastRow="0" w:firstColumn="1" w:lastColumn="0" w:noHBand="0" w:noVBand="1"/>
      </w:tblPr>
      <w:tblGrid>
        <w:gridCol w:w="454"/>
        <w:gridCol w:w="5373"/>
        <w:gridCol w:w="1672"/>
        <w:gridCol w:w="2056"/>
        <w:gridCol w:w="255"/>
      </w:tblGrid>
      <w:tr w:rsidR="00960E7D" w:rsidRPr="00F77095" w:rsidTr="00650EAF">
        <w:trPr>
          <w:trHeight w:val="290"/>
        </w:trPr>
        <w:tc>
          <w:tcPr>
            <w:tcW w:w="0" w:type="auto"/>
            <w:tcBorders>
              <w:top w:val="single" w:sz="4" w:space="0" w:color="auto"/>
              <w:bottom w:val="nil"/>
            </w:tcBorders>
          </w:tcPr>
          <w:p w:rsidR="00960E7D" w:rsidRPr="00F77095" w:rsidRDefault="00960E7D" w:rsidP="00650EAF">
            <w:pPr>
              <w:jc w:val="both"/>
              <w:rPr>
                <w:rFonts w:ascii="Times New Roman" w:hAnsi="Times New Roman" w:cs="Times New Roman"/>
              </w:rPr>
            </w:pPr>
          </w:p>
        </w:tc>
        <w:tc>
          <w:tcPr>
            <w:tcW w:w="0" w:type="auto"/>
            <w:tcBorders>
              <w:top w:val="single" w:sz="4" w:space="0" w:color="auto"/>
              <w:bottom w:val="nil"/>
            </w:tcBorders>
          </w:tcPr>
          <w:p w:rsidR="00960E7D" w:rsidRPr="00F77095" w:rsidRDefault="00960E7D" w:rsidP="00650EAF">
            <w:pPr>
              <w:jc w:val="both"/>
              <w:rPr>
                <w:rFonts w:ascii="Times New Roman" w:hAnsi="Times New Roman" w:cs="Times New Roman"/>
                <w:b/>
              </w:rPr>
            </w:pPr>
            <w:r w:rsidRPr="00F77095">
              <w:rPr>
                <w:rFonts w:ascii="Times New Roman" w:hAnsi="Times New Roman" w:cs="Times New Roman"/>
                <w:b/>
              </w:rPr>
              <w:t>BRENDENWOOD WATERWORKS, INC.</w:t>
            </w:r>
          </w:p>
        </w:tc>
        <w:tc>
          <w:tcPr>
            <w:tcW w:w="0" w:type="auto"/>
            <w:gridSpan w:val="2"/>
            <w:tcBorders>
              <w:top w:val="single" w:sz="4" w:space="0" w:color="auto"/>
              <w:bottom w:val="nil"/>
            </w:tcBorders>
          </w:tcPr>
          <w:p w:rsidR="00960E7D" w:rsidRPr="00F77095" w:rsidRDefault="00960E7D" w:rsidP="00650EAF">
            <w:pPr>
              <w:jc w:val="right"/>
              <w:rPr>
                <w:rFonts w:ascii="Times New Roman" w:hAnsi="Times New Roman" w:cs="Times New Roman"/>
                <w:b/>
              </w:rPr>
            </w:pPr>
            <w:r w:rsidRPr="00F77095">
              <w:rPr>
                <w:rFonts w:ascii="Times New Roman" w:hAnsi="Times New Roman" w:cs="Times New Roman"/>
                <w:b/>
              </w:rPr>
              <w:t>SCHEDULE NO. 1-B</w:t>
            </w:r>
          </w:p>
        </w:tc>
        <w:tc>
          <w:tcPr>
            <w:tcW w:w="0" w:type="auto"/>
            <w:tcBorders>
              <w:top w:val="single" w:sz="4" w:space="0" w:color="auto"/>
              <w:bottom w:val="nil"/>
            </w:tcBorders>
          </w:tcPr>
          <w:p w:rsidR="00960E7D" w:rsidRPr="00F77095" w:rsidRDefault="00960E7D" w:rsidP="00650EAF">
            <w:pPr>
              <w:jc w:val="both"/>
              <w:rPr>
                <w:rFonts w:ascii="Times New Roman" w:hAnsi="Times New Roman" w:cs="Times New Roman"/>
              </w:rPr>
            </w:pPr>
          </w:p>
        </w:tc>
      </w:tr>
      <w:tr w:rsidR="00960E7D" w:rsidRPr="00F77095" w:rsidTr="00650EAF">
        <w:trPr>
          <w:trHeight w:val="290"/>
        </w:trPr>
        <w:tc>
          <w:tcPr>
            <w:tcW w:w="0" w:type="auto"/>
            <w:tcBorders>
              <w:top w:val="nil"/>
              <w:bottom w:val="nil"/>
            </w:tcBorders>
          </w:tcPr>
          <w:p w:rsidR="00960E7D" w:rsidRPr="00F77095" w:rsidRDefault="00960E7D" w:rsidP="00650EAF">
            <w:pPr>
              <w:jc w:val="both"/>
              <w:rPr>
                <w:rFonts w:ascii="Times New Roman" w:hAnsi="Times New Roman" w:cs="Times New Roman"/>
              </w:rPr>
            </w:pPr>
          </w:p>
        </w:tc>
        <w:tc>
          <w:tcPr>
            <w:tcW w:w="0" w:type="auto"/>
            <w:tcBorders>
              <w:top w:val="nil"/>
              <w:bottom w:val="nil"/>
            </w:tcBorders>
          </w:tcPr>
          <w:p w:rsidR="00960E7D" w:rsidRPr="00F77095" w:rsidRDefault="00960E7D" w:rsidP="00650EAF">
            <w:pPr>
              <w:jc w:val="both"/>
              <w:rPr>
                <w:rFonts w:ascii="Times New Roman" w:hAnsi="Times New Roman" w:cs="Times New Roman"/>
                <w:b/>
              </w:rPr>
            </w:pPr>
            <w:r w:rsidRPr="00F77095">
              <w:rPr>
                <w:rFonts w:ascii="Times New Roman" w:hAnsi="Times New Roman" w:cs="Times New Roman"/>
                <w:b/>
              </w:rPr>
              <w:t>TEST YEAR ENDED 12/31/2019</w:t>
            </w:r>
          </w:p>
        </w:tc>
        <w:tc>
          <w:tcPr>
            <w:tcW w:w="0" w:type="auto"/>
            <w:gridSpan w:val="2"/>
            <w:tcBorders>
              <w:top w:val="nil"/>
              <w:bottom w:val="nil"/>
            </w:tcBorders>
          </w:tcPr>
          <w:p w:rsidR="00960E7D" w:rsidRPr="00F77095" w:rsidRDefault="00960E7D" w:rsidP="00650EAF">
            <w:pPr>
              <w:jc w:val="right"/>
              <w:rPr>
                <w:rFonts w:ascii="Times New Roman" w:hAnsi="Times New Roman" w:cs="Times New Roman"/>
                <w:b/>
              </w:rPr>
            </w:pPr>
            <w:r w:rsidRPr="00F77095">
              <w:rPr>
                <w:rFonts w:ascii="Times New Roman" w:hAnsi="Times New Roman" w:cs="Times New Roman"/>
                <w:b/>
              </w:rPr>
              <w:t>DOCKET NO. 20210055-WU</w:t>
            </w:r>
          </w:p>
        </w:tc>
        <w:tc>
          <w:tcPr>
            <w:tcW w:w="0" w:type="auto"/>
            <w:tcBorders>
              <w:top w:val="nil"/>
              <w:bottom w:val="nil"/>
            </w:tcBorders>
          </w:tcPr>
          <w:p w:rsidR="00960E7D" w:rsidRPr="00F77095" w:rsidRDefault="00960E7D" w:rsidP="00650EAF">
            <w:pPr>
              <w:jc w:val="both"/>
              <w:rPr>
                <w:rFonts w:ascii="Times New Roman" w:hAnsi="Times New Roman" w:cs="Times New Roman"/>
              </w:rPr>
            </w:pPr>
          </w:p>
        </w:tc>
      </w:tr>
      <w:tr w:rsidR="00960E7D" w:rsidRPr="00F77095" w:rsidTr="00650EAF">
        <w:trPr>
          <w:trHeight w:val="306"/>
        </w:trPr>
        <w:tc>
          <w:tcPr>
            <w:tcW w:w="0" w:type="auto"/>
            <w:tcBorders>
              <w:top w:val="nil"/>
              <w:bottom w:val="single" w:sz="4" w:space="0" w:color="auto"/>
            </w:tcBorders>
          </w:tcPr>
          <w:p w:rsidR="00960E7D" w:rsidRPr="00F77095" w:rsidRDefault="00960E7D" w:rsidP="00650EAF">
            <w:pPr>
              <w:jc w:val="both"/>
              <w:rPr>
                <w:rFonts w:ascii="Times New Roman" w:hAnsi="Times New Roman" w:cs="Times New Roman"/>
              </w:rPr>
            </w:pPr>
          </w:p>
        </w:tc>
        <w:tc>
          <w:tcPr>
            <w:tcW w:w="0" w:type="auto"/>
            <w:tcBorders>
              <w:top w:val="nil"/>
              <w:bottom w:val="single" w:sz="4" w:space="0" w:color="auto"/>
            </w:tcBorders>
          </w:tcPr>
          <w:p w:rsidR="00960E7D" w:rsidRPr="00F77095" w:rsidRDefault="00960E7D" w:rsidP="00650EAF">
            <w:pPr>
              <w:jc w:val="both"/>
              <w:rPr>
                <w:rFonts w:ascii="Times New Roman" w:hAnsi="Times New Roman" w:cs="Times New Roman"/>
                <w:b/>
              </w:rPr>
            </w:pPr>
            <w:r w:rsidRPr="00F77095">
              <w:rPr>
                <w:rFonts w:ascii="Times New Roman" w:hAnsi="Times New Roman" w:cs="Times New Roman"/>
                <w:b/>
              </w:rPr>
              <w:t>ADJUSTMENTS TO RATE BASE</w:t>
            </w:r>
          </w:p>
        </w:tc>
        <w:tc>
          <w:tcPr>
            <w:tcW w:w="1672" w:type="dxa"/>
            <w:tcBorders>
              <w:top w:val="nil"/>
              <w:bottom w:val="single" w:sz="4" w:space="0" w:color="auto"/>
            </w:tcBorders>
          </w:tcPr>
          <w:p w:rsidR="00960E7D" w:rsidRPr="00F77095" w:rsidRDefault="00960E7D" w:rsidP="00650EAF">
            <w:pPr>
              <w:jc w:val="both"/>
              <w:rPr>
                <w:rFonts w:ascii="Times New Roman" w:hAnsi="Times New Roman" w:cs="Times New Roman"/>
                <w:b/>
              </w:rPr>
            </w:pPr>
          </w:p>
        </w:tc>
        <w:tc>
          <w:tcPr>
            <w:tcW w:w="2056" w:type="dxa"/>
            <w:tcBorders>
              <w:top w:val="nil"/>
              <w:bottom w:val="single" w:sz="4" w:space="0" w:color="auto"/>
            </w:tcBorders>
          </w:tcPr>
          <w:p w:rsidR="00960E7D" w:rsidRPr="00F77095" w:rsidRDefault="00960E7D" w:rsidP="00650EAF">
            <w:pPr>
              <w:jc w:val="both"/>
              <w:rPr>
                <w:rFonts w:ascii="Times New Roman" w:hAnsi="Times New Roman" w:cs="Times New Roman"/>
                <w:b/>
              </w:rPr>
            </w:pPr>
          </w:p>
        </w:tc>
        <w:tc>
          <w:tcPr>
            <w:tcW w:w="0" w:type="auto"/>
            <w:tcBorders>
              <w:top w:val="nil"/>
              <w:bottom w:val="single" w:sz="4" w:space="0" w:color="auto"/>
            </w:tcBorders>
          </w:tcPr>
          <w:p w:rsidR="00960E7D" w:rsidRPr="00F77095" w:rsidRDefault="00960E7D" w:rsidP="00650EAF">
            <w:pPr>
              <w:jc w:val="both"/>
              <w:rPr>
                <w:rFonts w:ascii="Times New Roman" w:hAnsi="Times New Roman" w:cs="Times New Roman"/>
              </w:rPr>
            </w:pPr>
          </w:p>
        </w:tc>
      </w:tr>
      <w:tr w:rsidR="00960E7D" w:rsidRPr="00F77095" w:rsidTr="00650EAF">
        <w:trPr>
          <w:trHeight w:val="290"/>
        </w:trPr>
        <w:tc>
          <w:tcPr>
            <w:tcW w:w="0" w:type="auto"/>
            <w:tcBorders>
              <w:top w:val="single" w:sz="4" w:space="0" w:color="auto"/>
            </w:tcBorders>
          </w:tcPr>
          <w:p w:rsidR="00960E7D" w:rsidRPr="00F77095" w:rsidRDefault="00960E7D" w:rsidP="00650EAF">
            <w:pPr>
              <w:jc w:val="both"/>
              <w:rPr>
                <w:rFonts w:ascii="Times New Roman" w:hAnsi="Times New Roman" w:cs="Times New Roman"/>
              </w:rPr>
            </w:pPr>
          </w:p>
        </w:tc>
        <w:tc>
          <w:tcPr>
            <w:tcW w:w="0" w:type="auto"/>
            <w:tcBorders>
              <w:top w:val="single" w:sz="4" w:space="0" w:color="auto"/>
            </w:tcBorders>
          </w:tcPr>
          <w:p w:rsidR="00960E7D" w:rsidRPr="00F77095" w:rsidRDefault="00960E7D" w:rsidP="00650EAF">
            <w:pPr>
              <w:jc w:val="both"/>
              <w:rPr>
                <w:rFonts w:ascii="Times New Roman" w:hAnsi="Times New Roman" w:cs="Times New Roman"/>
              </w:rPr>
            </w:pPr>
          </w:p>
        </w:tc>
        <w:tc>
          <w:tcPr>
            <w:tcW w:w="1672" w:type="dxa"/>
            <w:tcBorders>
              <w:top w:val="single" w:sz="4" w:space="0" w:color="auto"/>
            </w:tcBorders>
          </w:tcPr>
          <w:p w:rsidR="00960E7D" w:rsidRPr="00F77095" w:rsidRDefault="00960E7D" w:rsidP="00650EAF">
            <w:pPr>
              <w:jc w:val="both"/>
              <w:rPr>
                <w:rFonts w:ascii="Times New Roman" w:hAnsi="Times New Roman" w:cs="Times New Roman"/>
              </w:rPr>
            </w:pPr>
          </w:p>
        </w:tc>
        <w:tc>
          <w:tcPr>
            <w:tcW w:w="2056" w:type="dxa"/>
            <w:tcBorders>
              <w:top w:val="single" w:sz="4" w:space="0" w:color="auto"/>
            </w:tcBorders>
          </w:tcPr>
          <w:p w:rsidR="00960E7D" w:rsidRPr="00F77095" w:rsidRDefault="00960E7D" w:rsidP="00650EAF">
            <w:pPr>
              <w:jc w:val="both"/>
              <w:rPr>
                <w:rFonts w:ascii="Times New Roman" w:hAnsi="Times New Roman" w:cs="Times New Roman"/>
              </w:rPr>
            </w:pPr>
          </w:p>
        </w:tc>
        <w:tc>
          <w:tcPr>
            <w:tcW w:w="0" w:type="auto"/>
            <w:tcBorders>
              <w:top w:val="single" w:sz="4" w:space="0" w:color="auto"/>
            </w:tcBorders>
          </w:tcPr>
          <w:p w:rsidR="00960E7D" w:rsidRPr="00F77095" w:rsidRDefault="00960E7D" w:rsidP="00650EAF">
            <w:pPr>
              <w:jc w:val="both"/>
              <w:rPr>
                <w:rFonts w:ascii="Times New Roman" w:hAnsi="Times New Roman" w:cs="Times New Roman"/>
              </w:rPr>
            </w:pPr>
          </w:p>
        </w:tc>
      </w:tr>
      <w:tr w:rsidR="00960E7D" w:rsidRPr="00F77095" w:rsidTr="00650EAF">
        <w:trPr>
          <w:trHeight w:val="290"/>
        </w:trPr>
        <w:tc>
          <w:tcPr>
            <w:tcW w:w="0" w:type="auto"/>
          </w:tcPr>
          <w:p w:rsidR="00960E7D" w:rsidRPr="00F77095" w:rsidRDefault="00960E7D" w:rsidP="00650EAF">
            <w:pPr>
              <w:jc w:val="both"/>
              <w:rPr>
                <w:rFonts w:ascii="Times New Roman" w:hAnsi="Times New Roman" w:cs="Times New Roman"/>
              </w:rPr>
            </w:pPr>
          </w:p>
        </w:tc>
        <w:tc>
          <w:tcPr>
            <w:tcW w:w="0" w:type="auto"/>
          </w:tcPr>
          <w:p w:rsidR="00960E7D" w:rsidRPr="00F77095" w:rsidRDefault="00960E7D" w:rsidP="00650EAF">
            <w:pPr>
              <w:jc w:val="both"/>
              <w:rPr>
                <w:rFonts w:ascii="Times New Roman" w:hAnsi="Times New Roman" w:cs="Times New Roman"/>
              </w:rPr>
            </w:pPr>
          </w:p>
        </w:tc>
        <w:tc>
          <w:tcPr>
            <w:tcW w:w="1672" w:type="dxa"/>
          </w:tcPr>
          <w:p w:rsidR="00960E7D" w:rsidRPr="00F77095" w:rsidRDefault="00960E7D" w:rsidP="00650EAF">
            <w:pPr>
              <w:jc w:val="both"/>
              <w:rPr>
                <w:rFonts w:ascii="Times New Roman" w:hAnsi="Times New Roman" w:cs="Times New Roman"/>
              </w:rPr>
            </w:pPr>
          </w:p>
        </w:tc>
        <w:tc>
          <w:tcPr>
            <w:tcW w:w="2056" w:type="dxa"/>
          </w:tcPr>
          <w:p w:rsidR="00960E7D" w:rsidRPr="00F77095" w:rsidRDefault="00960E7D" w:rsidP="00650EAF">
            <w:pPr>
              <w:jc w:val="center"/>
              <w:rPr>
                <w:rFonts w:ascii="Times New Roman" w:hAnsi="Times New Roman" w:cs="Times New Roman"/>
                <w:b/>
                <w:u w:val="single"/>
              </w:rPr>
            </w:pPr>
            <w:r w:rsidRPr="00F77095">
              <w:rPr>
                <w:rFonts w:ascii="Times New Roman" w:hAnsi="Times New Roman" w:cs="Times New Roman"/>
                <w:b/>
                <w:u w:val="single"/>
              </w:rPr>
              <w:t>WATER</w:t>
            </w:r>
          </w:p>
        </w:tc>
        <w:tc>
          <w:tcPr>
            <w:tcW w:w="0" w:type="auto"/>
          </w:tcPr>
          <w:p w:rsidR="00960E7D" w:rsidRPr="00F77095" w:rsidRDefault="00960E7D" w:rsidP="00650EAF">
            <w:pPr>
              <w:jc w:val="both"/>
              <w:rPr>
                <w:rFonts w:ascii="Times New Roman" w:hAnsi="Times New Roman" w:cs="Times New Roman"/>
              </w:rPr>
            </w:pPr>
          </w:p>
        </w:tc>
      </w:tr>
      <w:tr w:rsidR="00960E7D" w:rsidRPr="00F77095" w:rsidTr="00650EAF">
        <w:trPr>
          <w:trHeight w:val="306"/>
        </w:trPr>
        <w:tc>
          <w:tcPr>
            <w:tcW w:w="0" w:type="auto"/>
          </w:tcPr>
          <w:p w:rsidR="00960E7D" w:rsidRPr="00F77095" w:rsidRDefault="00960E7D" w:rsidP="00650EAF">
            <w:pPr>
              <w:jc w:val="both"/>
              <w:rPr>
                <w:rFonts w:ascii="Times New Roman" w:hAnsi="Times New Roman" w:cs="Times New Roman"/>
              </w:rPr>
            </w:pPr>
          </w:p>
        </w:tc>
        <w:tc>
          <w:tcPr>
            <w:tcW w:w="0" w:type="auto"/>
          </w:tcPr>
          <w:p w:rsidR="00960E7D" w:rsidRPr="00F77095" w:rsidRDefault="00960E7D" w:rsidP="00650EAF">
            <w:pPr>
              <w:jc w:val="both"/>
              <w:rPr>
                <w:rFonts w:ascii="Times New Roman" w:hAnsi="Times New Roman" w:cs="Times New Roman"/>
                <w:b/>
                <w:u w:val="single"/>
              </w:rPr>
            </w:pPr>
            <w:r w:rsidRPr="00F77095">
              <w:rPr>
                <w:rFonts w:ascii="Times New Roman" w:hAnsi="Times New Roman" w:cs="Times New Roman"/>
                <w:b/>
                <w:u w:val="single"/>
              </w:rPr>
              <w:t>UTILITY PLANT IN SERVICE</w:t>
            </w:r>
          </w:p>
        </w:tc>
        <w:tc>
          <w:tcPr>
            <w:tcW w:w="1672" w:type="dxa"/>
          </w:tcPr>
          <w:p w:rsidR="00960E7D" w:rsidRPr="00F77095" w:rsidRDefault="00960E7D" w:rsidP="00650EAF">
            <w:pPr>
              <w:jc w:val="both"/>
              <w:rPr>
                <w:rFonts w:ascii="Times New Roman" w:hAnsi="Times New Roman" w:cs="Times New Roman"/>
              </w:rPr>
            </w:pPr>
          </w:p>
        </w:tc>
        <w:tc>
          <w:tcPr>
            <w:tcW w:w="2056" w:type="dxa"/>
          </w:tcPr>
          <w:p w:rsidR="00960E7D" w:rsidRPr="00F77095" w:rsidRDefault="00960E7D" w:rsidP="00650EAF">
            <w:pPr>
              <w:jc w:val="both"/>
              <w:rPr>
                <w:rFonts w:ascii="Times New Roman" w:hAnsi="Times New Roman" w:cs="Times New Roman"/>
              </w:rPr>
            </w:pPr>
          </w:p>
        </w:tc>
        <w:tc>
          <w:tcPr>
            <w:tcW w:w="0" w:type="auto"/>
          </w:tcPr>
          <w:p w:rsidR="00960E7D" w:rsidRPr="00F77095" w:rsidRDefault="00960E7D" w:rsidP="00650EAF">
            <w:pPr>
              <w:jc w:val="both"/>
              <w:rPr>
                <w:rFonts w:ascii="Times New Roman" w:hAnsi="Times New Roman" w:cs="Times New Roman"/>
              </w:rPr>
            </w:pPr>
          </w:p>
        </w:tc>
      </w:tr>
      <w:tr w:rsidR="00960E7D" w:rsidRPr="00F77095" w:rsidTr="00650EAF">
        <w:trPr>
          <w:trHeight w:val="290"/>
        </w:trPr>
        <w:tc>
          <w:tcPr>
            <w:tcW w:w="0" w:type="auto"/>
          </w:tcPr>
          <w:p w:rsidR="00960E7D" w:rsidRPr="00F77095" w:rsidRDefault="00960E7D" w:rsidP="00650EAF">
            <w:pPr>
              <w:jc w:val="both"/>
              <w:rPr>
                <w:rFonts w:ascii="Times New Roman" w:hAnsi="Times New Roman" w:cs="Times New Roman"/>
              </w:rPr>
            </w:pPr>
          </w:p>
        </w:tc>
        <w:tc>
          <w:tcPr>
            <w:tcW w:w="0" w:type="auto"/>
          </w:tcPr>
          <w:p w:rsidR="00960E7D" w:rsidRPr="00F77095" w:rsidRDefault="00960E7D" w:rsidP="00650EAF">
            <w:pPr>
              <w:jc w:val="both"/>
              <w:rPr>
                <w:rFonts w:ascii="Times New Roman" w:hAnsi="Times New Roman" w:cs="Times New Roman"/>
              </w:rPr>
            </w:pPr>
            <w:r w:rsidRPr="00F77095">
              <w:rPr>
                <w:rFonts w:ascii="Times New Roman" w:hAnsi="Times New Roman" w:cs="Times New Roman"/>
              </w:rPr>
              <w:t>To reflect an averaging adjustment.</w:t>
            </w:r>
          </w:p>
        </w:tc>
        <w:tc>
          <w:tcPr>
            <w:tcW w:w="1672" w:type="dxa"/>
          </w:tcPr>
          <w:p w:rsidR="00960E7D" w:rsidRPr="00F77095" w:rsidRDefault="00960E7D" w:rsidP="00650EAF">
            <w:pPr>
              <w:jc w:val="both"/>
              <w:rPr>
                <w:rFonts w:ascii="Times New Roman" w:hAnsi="Times New Roman" w:cs="Times New Roman"/>
              </w:rPr>
            </w:pPr>
          </w:p>
        </w:tc>
        <w:tc>
          <w:tcPr>
            <w:tcW w:w="2056" w:type="dxa"/>
          </w:tcPr>
          <w:p w:rsidR="00960E7D" w:rsidRPr="00F77095" w:rsidRDefault="00960E7D" w:rsidP="00650EAF">
            <w:pPr>
              <w:jc w:val="right"/>
              <w:rPr>
                <w:rFonts w:ascii="Times New Roman" w:hAnsi="Times New Roman" w:cs="Times New Roman"/>
                <w:u w:val="double"/>
              </w:rPr>
            </w:pPr>
            <w:r w:rsidRPr="00F77095">
              <w:rPr>
                <w:rFonts w:ascii="Times New Roman" w:hAnsi="Times New Roman" w:cs="Times New Roman"/>
                <w:u w:val="double"/>
              </w:rPr>
              <w:t>($28)</w:t>
            </w:r>
          </w:p>
        </w:tc>
        <w:tc>
          <w:tcPr>
            <w:tcW w:w="0" w:type="auto"/>
          </w:tcPr>
          <w:p w:rsidR="00960E7D" w:rsidRPr="00F77095" w:rsidRDefault="00960E7D" w:rsidP="00650EAF">
            <w:pPr>
              <w:jc w:val="both"/>
              <w:rPr>
                <w:rFonts w:ascii="Times New Roman" w:hAnsi="Times New Roman" w:cs="Times New Roman"/>
              </w:rPr>
            </w:pPr>
          </w:p>
        </w:tc>
      </w:tr>
      <w:tr w:rsidR="00960E7D" w:rsidRPr="00F77095" w:rsidTr="00650EAF">
        <w:trPr>
          <w:trHeight w:val="306"/>
        </w:trPr>
        <w:tc>
          <w:tcPr>
            <w:tcW w:w="0" w:type="auto"/>
          </w:tcPr>
          <w:p w:rsidR="00960E7D" w:rsidRPr="00F77095" w:rsidRDefault="00960E7D" w:rsidP="00650EAF">
            <w:pPr>
              <w:jc w:val="both"/>
              <w:rPr>
                <w:rFonts w:ascii="Times New Roman" w:hAnsi="Times New Roman" w:cs="Times New Roman"/>
              </w:rPr>
            </w:pPr>
          </w:p>
        </w:tc>
        <w:tc>
          <w:tcPr>
            <w:tcW w:w="0" w:type="auto"/>
          </w:tcPr>
          <w:p w:rsidR="00960E7D" w:rsidRPr="00F77095" w:rsidRDefault="00960E7D" w:rsidP="00650EAF">
            <w:pPr>
              <w:jc w:val="both"/>
              <w:rPr>
                <w:rFonts w:ascii="Times New Roman" w:hAnsi="Times New Roman" w:cs="Times New Roman"/>
              </w:rPr>
            </w:pPr>
          </w:p>
        </w:tc>
        <w:tc>
          <w:tcPr>
            <w:tcW w:w="1672" w:type="dxa"/>
          </w:tcPr>
          <w:p w:rsidR="00960E7D" w:rsidRPr="00F77095" w:rsidRDefault="00960E7D" w:rsidP="00650EAF">
            <w:pPr>
              <w:jc w:val="both"/>
              <w:rPr>
                <w:rFonts w:ascii="Times New Roman" w:hAnsi="Times New Roman" w:cs="Times New Roman"/>
              </w:rPr>
            </w:pPr>
          </w:p>
        </w:tc>
        <w:tc>
          <w:tcPr>
            <w:tcW w:w="2056" w:type="dxa"/>
          </w:tcPr>
          <w:p w:rsidR="00960E7D" w:rsidRPr="00F77095" w:rsidRDefault="00960E7D" w:rsidP="00650EAF">
            <w:pPr>
              <w:jc w:val="right"/>
              <w:rPr>
                <w:rFonts w:ascii="Times New Roman" w:hAnsi="Times New Roman" w:cs="Times New Roman"/>
                <w:u w:val="double"/>
              </w:rPr>
            </w:pPr>
          </w:p>
        </w:tc>
        <w:tc>
          <w:tcPr>
            <w:tcW w:w="0" w:type="auto"/>
          </w:tcPr>
          <w:p w:rsidR="00960E7D" w:rsidRPr="00F77095" w:rsidRDefault="00960E7D" w:rsidP="00650EAF">
            <w:pPr>
              <w:jc w:val="both"/>
              <w:rPr>
                <w:rFonts w:ascii="Times New Roman" w:hAnsi="Times New Roman" w:cs="Times New Roman"/>
              </w:rPr>
            </w:pPr>
          </w:p>
        </w:tc>
      </w:tr>
      <w:tr w:rsidR="00960E7D" w:rsidRPr="00F77095" w:rsidTr="00650EAF">
        <w:trPr>
          <w:trHeight w:val="290"/>
        </w:trPr>
        <w:tc>
          <w:tcPr>
            <w:tcW w:w="0" w:type="auto"/>
          </w:tcPr>
          <w:p w:rsidR="00960E7D" w:rsidRPr="00F77095" w:rsidRDefault="00960E7D" w:rsidP="00650EAF">
            <w:pPr>
              <w:jc w:val="both"/>
              <w:rPr>
                <w:rFonts w:ascii="Times New Roman" w:hAnsi="Times New Roman" w:cs="Times New Roman"/>
              </w:rPr>
            </w:pPr>
          </w:p>
        </w:tc>
        <w:tc>
          <w:tcPr>
            <w:tcW w:w="0" w:type="auto"/>
          </w:tcPr>
          <w:p w:rsidR="00960E7D" w:rsidRPr="00F77095" w:rsidRDefault="00960E7D" w:rsidP="00650EAF">
            <w:pPr>
              <w:jc w:val="both"/>
              <w:rPr>
                <w:rFonts w:ascii="Times New Roman" w:hAnsi="Times New Roman" w:cs="Times New Roman"/>
              </w:rPr>
            </w:pPr>
          </w:p>
        </w:tc>
        <w:tc>
          <w:tcPr>
            <w:tcW w:w="1672" w:type="dxa"/>
          </w:tcPr>
          <w:p w:rsidR="00960E7D" w:rsidRPr="00F77095" w:rsidRDefault="00960E7D" w:rsidP="00650EAF">
            <w:pPr>
              <w:jc w:val="both"/>
              <w:rPr>
                <w:rFonts w:ascii="Times New Roman" w:hAnsi="Times New Roman" w:cs="Times New Roman"/>
              </w:rPr>
            </w:pPr>
          </w:p>
        </w:tc>
        <w:tc>
          <w:tcPr>
            <w:tcW w:w="2056" w:type="dxa"/>
          </w:tcPr>
          <w:p w:rsidR="00960E7D" w:rsidRPr="00F77095" w:rsidRDefault="00960E7D" w:rsidP="00650EAF">
            <w:pPr>
              <w:jc w:val="right"/>
              <w:rPr>
                <w:rFonts w:ascii="Times New Roman" w:hAnsi="Times New Roman" w:cs="Times New Roman"/>
              </w:rPr>
            </w:pPr>
          </w:p>
        </w:tc>
        <w:tc>
          <w:tcPr>
            <w:tcW w:w="0" w:type="auto"/>
          </w:tcPr>
          <w:p w:rsidR="00960E7D" w:rsidRPr="00F77095" w:rsidRDefault="00960E7D" w:rsidP="00650EAF">
            <w:pPr>
              <w:jc w:val="both"/>
              <w:rPr>
                <w:rFonts w:ascii="Times New Roman" w:hAnsi="Times New Roman" w:cs="Times New Roman"/>
              </w:rPr>
            </w:pPr>
          </w:p>
        </w:tc>
      </w:tr>
      <w:tr w:rsidR="00960E7D" w:rsidRPr="00F77095" w:rsidTr="00650EAF">
        <w:trPr>
          <w:trHeight w:val="290"/>
        </w:trPr>
        <w:tc>
          <w:tcPr>
            <w:tcW w:w="0" w:type="auto"/>
          </w:tcPr>
          <w:p w:rsidR="00960E7D" w:rsidRPr="00F77095" w:rsidRDefault="00960E7D" w:rsidP="00650EAF">
            <w:pPr>
              <w:jc w:val="both"/>
              <w:rPr>
                <w:rFonts w:ascii="Times New Roman" w:hAnsi="Times New Roman" w:cs="Times New Roman"/>
              </w:rPr>
            </w:pPr>
          </w:p>
        </w:tc>
        <w:tc>
          <w:tcPr>
            <w:tcW w:w="0" w:type="auto"/>
          </w:tcPr>
          <w:p w:rsidR="00960E7D" w:rsidRPr="00F77095" w:rsidRDefault="00960E7D" w:rsidP="00650EAF">
            <w:pPr>
              <w:jc w:val="both"/>
              <w:rPr>
                <w:rFonts w:ascii="Times New Roman" w:hAnsi="Times New Roman" w:cs="Times New Roman"/>
                <w:b/>
                <w:u w:val="single"/>
              </w:rPr>
            </w:pPr>
            <w:r w:rsidRPr="00F77095">
              <w:rPr>
                <w:rFonts w:ascii="Times New Roman" w:hAnsi="Times New Roman" w:cs="Times New Roman"/>
                <w:b/>
                <w:u w:val="single"/>
              </w:rPr>
              <w:t>ACCUMULATED DEPRECIATION</w:t>
            </w:r>
          </w:p>
        </w:tc>
        <w:tc>
          <w:tcPr>
            <w:tcW w:w="1672" w:type="dxa"/>
          </w:tcPr>
          <w:p w:rsidR="00960E7D" w:rsidRPr="00F77095" w:rsidRDefault="00960E7D" w:rsidP="00650EAF">
            <w:pPr>
              <w:jc w:val="both"/>
              <w:rPr>
                <w:rFonts w:ascii="Times New Roman" w:hAnsi="Times New Roman" w:cs="Times New Roman"/>
              </w:rPr>
            </w:pPr>
          </w:p>
        </w:tc>
        <w:tc>
          <w:tcPr>
            <w:tcW w:w="2056" w:type="dxa"/>
          </w:tcPr>
          <w:p w:rsidR="00960E7D" w:rsidRPr="00F77095" w:rsidRDefault="00960E7D" w:rsidP="00650EAF">
            <w:pPr>
              <w:jc w:val="right"/>
              <w:rPr>
                <w:rFonts w:ascii="Times New Roman" w:hAnsi="Times New Roman" w:cs="Times New Roman"/>
              </w:rPr>
            </w:pPr>
          </w:p>
        </w:tc>
        <w:tc>
          <w:tcPr>
            <w:tcW w:w="0" w:type="auto"/>
          </w:tcPr>
          <w:p w:rsidR="00960E7D" w:rsidRPr="00F77095" w:rsidRDefault="00960E7D" w:rsidP="00650EAF">
            <w:pPr>
              <w:jc w:val="both"/>
              <w:rPr>
                <w:rFonts w:ascii="Times New Roman" w:hAnsi="Times New Roman" w:cs="Times New Roman"/>
              </w:rPr>
            </w:pPr>
          </w:p>
        </w:tc>
      </w:tr>
      <w:tr w:rsidR="00960E7D" w:rsidRPr="00F77095" w:rsidTr="00650EAF">
        <w:trPr>
          <w:trHeight w:val="306"/>
        </w:trPr>
        <w:tc>
          <w:tcPr>
            <w:tcW w:w="0" w:type="auto"/>
          </w:tcPr>
          <w:p w:rsidR="00960E7D" w:rsidRPr="00F77095" w:rsidRDefault="00960E7D" w:rsidP="00650EAF">
            <w:pPr>
              <w:jc w:val="both"/>
              <w:rPr>
                <w:rFonts w:ascii="Times New Roman" w:hAnsi="Times New Roman" w:cs="Times New Roman"/>
              </w:rPr>
            </w:pPr>
            <w:r w:rsidRPr="00F77095">
              <w:rPr>
                <w:rFonts w:ascii="Times New Roman" w:hAnsi="Times New Roman" w:cs="Times New Roman"/>
              </w:rPr>
              <w:t>1.</w:t>
            </w:r>
          </w:p>
        </w:tc>
        <w:tc>
          <w:tcPr>
            <w:tcW w:w="0" w:type="auto"/>
          </w:tcPr>
          <w:p w:rsidR="00960E7D" w:rsidRPr="00F77095" w:rsidRDefault="00960E7D" w:rsidP="00650EAF">
            <w:pPr>
              <w:jc w:val="both"/>
              <w:rPr>
                <w:rFonts w:ascii="Times New Roman" w:hAnsi="Times New Roman" w:cs="Times New Roman"/>
              </w:rPr>
            </w:pPr>
            <w:r w:rsidRPr="00F77095">
              <w:rPr>
                <w:rFonts w:ascii="Times New Roman" w:hAnsi="Times New Roman" w:cs="Times New Roman"/>
              </w:rPr>
              <w:t>To reflect an auditing adjustment.</w:t>
            </w:r>
          </w:p>
        </w:tc>
        <w:tc>
          <w:tcPr>
            <w:tcW w:w="1672" w:type="dxa"/>
          </w:tcPr>
          <w:p w:rsidR="00960E7D" w:rsidRPr="00F77095" w:rsidRDefault="00960E7D" w:rsidP="00650EAF">
            <w:pPr>
              <w:jc w:val="both"/>
              <w:rPr>
                <w:rFonts w:ascii="Times New Roman" w:hAnsi="Times New Roman" w:cs="Times New Roman"/>
              </w:rPr>
            </w:pPr>
          </w:p>
        </w:tc>
        <w:tc>
          <w:tcPr>
            <w:tcW w:w="2056" w:type="dxa"/>
          </w:tcPr>
          <w:p w:rsidR="00960E7D" w:rsidRPr="00F77095" w:rsidRDefault="00960E7D" w:rsidP="00650EAF">
            <w:pPr>
              <w:jc w:val="right"/>
              <w:rPr>
                <w:rFonts w:ascii="Times New Roman" w:hAnsi="Times New Roman" w:cs="Times New Roman"/>
              </w:rPr>
            </w:pPr>
            <w:r w:rsidRPr="00F77095">
              <w:rPr>
                <w:rFonts w:ascii="Times New Roman" w:hAnsi="Times New Roman" w:cs="Times New Roman"/>
              </w:rPr>
              <w:t>($1,414)</w:t>
            </w:r>
          </w:p>
        </w:tc>
        <w:tc>
          <w:tcPr>
            <w:tcW w:w="0" w:type="auto"/>
          </w:tcPr>
          <w:p w:rsidR="00960E7D" w:rsidRPr="00F77095" w:rsidRDefault="00960E7D" w:rsidP="00650EAF">
            <w:pPr>
              <w:jc w:val="both"/>
              <w:rPr>
                <w:rFonts w:ascii="Times New Roman" w:hAnsi="Times New Roman" w:cs="Times New Roman"/>
              </w:rPr>
            </w:pPr>
          </w:p>
        </w:tc>
      </w:tr>
      <w:tr w:rsidR="00960E7D" w:rsidRPr="00F77095" w:rsidTr="00650EAF">
        <w:trPr>
          <w:trHeight w:val="290"/>
        </w:trPr>
        <w:tc>
          <w:tcPr>
            <w:tcW w:w="0" w:type="auto"/>
          </w:tcPr>
          <w:p w:rsidR="00960E7D" w:rsidRPr="00F77095" w:rsidRDefault="00960E7D" w:rsidP="00650EAF">
            <w:pPr>
              <w:jc w:val="both"/>
              <w:rPr>
                <w:rFonts w:ascii="Times New Roman" w:hAnsi="Times New Roman" w:cs="Times New Roman"/>
              </w:rPr>
            </w:pPr>
            <w:r w:rsidRPr="00F77095">
              <w:rPr>
                <w:rFonts w:ascii="Times New Roman" w:hAnsi="Times New Roman" w:cs="Times New Roman"/>
              </w:rPr>
              <w:t>2.</w:t>
            </w:r>
          </w:p>
        </w:tc>
        <w:tc>
          <w:tcPr>
            <w:tcW w:w="0" w:type="auto"/>
          </w:tcPr>
          <w:p w:rsidR="00960E7D" w:rsidRPr="00F77095" w:rsidRDefault="00960E7D" w:rsidP="00650EAF">
            <w:pPr>
              <w:jc w:val="both"/>
              <w:rPr>
                <w:rFonts w:ascii="Times New Roman" w:hAnsi="Times New Roman" w:cs="Times New Roman"/>
              </w:rPr>
            </w:pPr>
            <w:r w:rsidRPr="00F77095">
              <w:rPr>
                <w:rFonts w:ascii="Times New Roman" w:hAnsi="Times New Roman" w:cs="Times New Roman"/>
              </w:rPr>
              <w:t>To reflect a staff adjustment.</w:t>
            </w:r>
          </w:p>
        </w:tc>
        <w:tc>
          <w:tcPr>
            <w:tcW w:w="1672" w:type="dxa"/>
          </w:tcPr>
          <w:p w:rsidR="00960E7D" w:rsidRPr="00F77095" w:rsidRDefault="00960E7D" w:rsidP="00650EAF">
            <w:pPr>
              <w:jc w:val="both"/>
              <w:rPr>
                <w:rFonts w:ascii="Times New Roman" w:hAnsi="Times New Roman" w:cs="Times New Roman"/>
              </w:rPr>
            </w:pPr>
          </w:p>
        </w:tc>
        <w:tc>
          <w:tcPr>
            <w:tcW w:w="2056" w:type="dxa"/>
          </w:tcPr>
          <w:p w:rsidR="00960E7D" w:rsidRPr="00F77095" w:rsidRDefault="00960E7D" w:rsidP="00650EAF">
            <w:pPr>
              <w:jc w:val="right"/>
              <w:rPr>
                <w:rFonts w:ascii="Times New Roman" w:hAnsi="Times New Roman" w:cs="Times New Roman"/>
              </w:rPr>
            </w:pPr>
            <w:r w:rsidRPr="00F77095">
              <w:rPr>
                <w:rFonts w:ascii="Times New Roman" w:hAnsi="Times New Roman" w:cs="Times New Roman"/>
              </w:rPr>
              <w:t>1,335</w:t>
            </w:r>
          </w:p>
        </w:tc>
        <w:tc>
          <w:tcPr>
            <w:tcW w:w="0" w:type="auto"/>
          </w:tcPr>
          <w:p w:rsidR="00960E7D" w:rsidRPr="00F77095" w:rsidRDefault="00960E7D" w:rsidP="00650EAF">
            <w:pPr>
              <w:jc w:val="both"/>
              <w:rPr>
                <w:rFonts w:ascii="Times New Roman" w:hAnsi="Times New Roman" w:cs="Times New Roman"/>
              </w:rPr>
            </w:pPr>
          </w:p>
        </w:tc>
      </w:tr>
      <w:tr w:rsidR="00960E7D" w:rsidRPr="00F77095" w:rsidTr="00650EAF">
        <w:trPr>
          <w:trHeight w:val="306"/>
        </w:trPr>
        <w:tc>
          <w:tcPr>
            <w:tcW w:w="0" w:type="auto"/>
          </w:tcPr>
          <w:p w:rsidR="00960E7D" w:rsidRPr="00F77095" w:rsidRDefault="00960E7D" w:rsidP="00650EAF">
            <w:pPr>
              <w:jc w:val="both"/>
              <w:rPr>
                <w:rFonts w:ascii="Times New Roman" w:hAnsi="Times New Roman" w:cs="Times New Roman"/>
              </w:rPr>
            </w:pPr>
            <w:r w:rsidRPr="00F77095">
              <w:rPr>
                <w:rFonts w:ascii="Times New Roman" w:hAnsi="Times New Roman" w:cs="Times New Roman"/>
              </w:rPr>
              <w:t>3.</w:t>
            </w:r>
          </w:p>
        </w:tc>
        <w:tc>
          <w:tcPr>
            <w:tcW w:w="0" w:type="auto"/>
          </w:tcPr>
          <w:p w:rsidR="00960E7D" w:rsidRPr="00F77095" w:rsidRDefault="00960E7D" w:rsidP="00650EAF">
            <w:pPr>
              <w:jc w:val="both"/>
              <w:rPr>
                <w:rFonts w:ascii="Times New Roman" w:hAnsi="Times New Roman" w:cs="Times New Roman"/>
              </w:rPr>
            </w:pPr>
            <w:r w:rsidRPr="00F77095">
              <w:rPr>
                <w:rFonts w:ascii="Times New Roman" w:hAnsi="Times New Roman" w:cs="Times New Roman"/>
              </w:rPr>
              <w:t>To reflect an averaging adjustment.</w:t>
            </w:r>
          </w:p>
        </w:tc>
        <w:tc>
          <w:tcPr>
            <w:tcW w:w="1672" w:type="dxa"/>
          </w:tcPr>
          <w:p w:rsidR="00960E7D" w:rsidRPr="00F77095" w:rsidRDefault="00960E7D" w:rsidP="00650EAF">
            <w:pPr>
              <w:jc w:val="both"/>
              <w:rPr>
                <w:rFonts w:ascii="Times New Roman" w:hAnsi="Times New Roman" w:cs="Times New Roman"/>
              </w:rPr>
            </w:pPr>
          </w:p>
        </w:tc>
        <w:tc>
          <w:tcPr>
            <w:tcW w:w="2056" w:type="dxa"/>
          </w:tcPr>
          <w:p w:rsidR="00960E7D" w:rsidRPr="00F77095" w:rsidRDefault="00960E7D" w:rsidP="00650EAF">
            <w:pPr>
              <w:jc w:val="right"/>
              <w:rPr>
                <w:rFonts w:ascii="Times New Roman" w:hAnsi="Times New Roman" w:cs="Times New Roman"/>
                <w:u w:val="single"/>
              </w:rPr>
            </w:pPr>
            <w:r w:rsidRPr="00F77095">
              <w:rPr>
                <w:rFonts w:ascii="Times New Roman" w:hAnsi="Times New Roman" w:cs="Times New Roman"/>
                <w:u w:val="single"/>
              </w:rPr>
              <w:t>365</w:t>
            </w:r>
          </w:p>
        </w:tc>
        <w:tc>
          <w:tcPr>
            <w:tcW w:w="0" w:type="auto"/>
          </w:tcPr>
          <w:p w:rsidR="00960E7D" w:rsidRPr="00F77095" w:rsidRDefault="00960E7D" w:rsidP="00650EAF">
            <w:pPr>
              <w:jc w:val="both"/>
              <w:rPr>
                <w:rFonts w:ascii="Times New Roman" w:hAnsi="Times New Roman" w:cs="Times New Roman"/>
              </w:rPr>
            </w:pPr>
          </w:p>
        </w:tc>
      </w:tr>
      <w:tr w:rsidR="00960E7D" w:rsidRPr="00F77095" w:rsidTr="00650EAF">
        <w:trPr>
          <w:trHeight w:val="290"/>
        </w:trPr>
        <w:tc>
          <w:tcPr>
            <w:tcW w:w="0" w:type="auto"/>
          </w:tcPr>
          <w:p w:rsidR="00960E7D" w:rsidRPr="00F77095" w:rsidRDefault="00960E7D" w:rsidP="00650EAF">
            <w:pPr>
              <w:jc w:val="both"/>
              <w:rPr>
                <w:rFonts w:ascii="Times New Roman" w:hAnsi="Times New Roman" w:cs="Times New Roman"/>
              </w:rPr>
            </w:pPr>
          </w:p>
        </w:tc>
        <w:tc>
          <w:tcPr>
            <w:tcW w:w="0" w:type="auto"/>
          </w:tcPr>
          <w:p w:rsidR="00960E7D" w:rsidRPr="00F77095" w:rsidRDefault="00960E7D" w:rsidP="00650EAF">
            <w:pPr>
              <w:jc w:val="both"/>
              <w:rPr>
                <w:rFonts w:ascii="Times New Roman" w:hAnsi="Times New Roman" w:cs="Times New Roman"/>
              </w:rPr>
            </w:pPr>
            <w:r w:rsidRPr="00F77095">
              <w:rPr>
                <w:rFonts w:ascii="Times New Roman" w:hAnsi="Times New Roman" w:cs="Times New Roman"/>
              </w:rPr>
              <w:t xml:space="preserve">   Total</w:t>
            </w:r>
          </w:p>
        </w:tc>
        <w:tc>
          <w:tcPr>
            <w:tcW w:w="1672" w:type="dxa"/>
          </w:tcPr>
          <w:p w:rsidR="00960E7D" w:rsidRPr="00F77095" w:rsidRDefault="00960E7D" w:rsidP="00650EAF">
            <w:pPr>
              <w:jc w:val="both"/>
              <w:rPr>
                <w:rFonts w:ascii="Times New Roman" w:hAnsi="Times New Roman" w:cs="Times New Roman"/>
              </w:rPr>
            </w:pPr>
          </w:p>
        </w:tc>
        <w:tc>
          <w:tcPr>
            <w:tcW w:w="2056" w:type="dxa"/>
          </w:tcPr>
          <w:p w:rsidR="00960E7D" w:rsidRPr="00F77095" w:rsidRDefault="00960E7D" w:rsidP="00650EAF">
            <w:pPr>
              <w:jc w:val="right"/>
              <w:rPr>
                <w:rFonts w:ascii="Times New Roman" w:hAnsi="Times New Roman" w:cs="Times New Roman"/>
                <w:u w:val="double"/>
              </w:rPr>
            </w:pPr>
            <w:r w:rsidRPr="00F77095">
              <w:rPr>
                <w:rFonts w:ascii="Times New Roman" w:hAnsi="Times New Roman" w:cs="Times New Roman"/>
                <w:u w:val="double"/>
              </w:rPr>
              <w:t>$286</w:t>
            </w:r>
          </w:p>
        </w:tc>
        <w:tc>
          <w:tcPr>
            <w:tcW w:w="0" w:type="auto"/>
          </w:tcPr>
          <w:p w:rsidR="00960E7D" w:rsidRPr="00F77095" w:rsidRDefault="00960E7D" w:rsidP="00650EAF">
            <w:pPr>
              <w:jc w:val="both"/>
              <w:rPr>
                <w:rFonts w:ascii="Times New Roman" w:hAnsi="Times New Roman" w:cs="Times New Roman"/>
              </w:rPr>
            </w:pPr>
          </w:p>
        </w:tc>
      </w:tr>
      <w:tr w:rsidR="00960E7D" w:rsidRPr="00F77095" w:rsidTr="00650EAF">
        <w:trPr>
          <w:trHeight w:val="290"/>
        </w:trPr>
        <w:tc>
          <w:tcPr>
            <w:tcW w:w="0" w:type="auto"/>
          </w:tcPr>
          <w:p w:rsidR="00960E7D" w:rsidRPr="00F77095" w:rsidRDefault="00960E7D" w:rsidP="00650EAF">
            <w:pPr>
              <w:jc w:val="both"/>
              <w:rPr>
                <w:rFonts w:ascii="Times New Roman" w:hAnsi="Times New Roman" w:cs="Times New Roman"/>
              </w:rPr>
            </w:pPr>
          </w:p>
        </w:tc>
        <w:tc>
          <w:tcPr>
            <w:tcW w:w="0" w:type="auto"/>
          </w:tcPr>
          <w:p w:rsidR="00960E7D" w:rsidRPr="00F77095" w:rsidRDefault="00960E7D" w:rsidP="00650EAF">
            <w:pPr>
              <w:jc w:val="both"/>
              <w:rPr>
                <w:rFonts w:ascii="Times New Roman" w:hAnsi="Times New Roman" w:cs="Times New Roman"/>
              </w:rPr>
            </w:pPr>
          </w:p>
        </w:tc>
        <w:tc>
          <w:tcPr>
            <w:tcW w:w="1672" w:type="dxa"/>
          </w:tcPr>
          <w:p w:rsidR="00960E7D" w:rsidRPr="00F77095" w:rsidRDefault="00960E7D" w:rsidP="00650EAF">
            <w:pPr>
              <w:jc w:val="both"/>
              <w:rPr>
                <w:rFonts w:ascii="Times New Roman" w:hAnsi="Times New Roman" w:cs="Times New Roman"/>
              </w:rPr>
            </w:pPr>
          </w:p>
        </w:tc>
        <w:tc>
          <w:tcPr>
            <w:tcW w:w="2056" w:type="dxa"/>
          </w:tcPr>
          <w:p w:rsidR="00960E7D" w:rsidRPr="00F77095" w:rsidRDefault="00960E7D" w:rsidP="00650EAF">
            <w:pPr>
              <w:jc w:val="right"/>
              <w:rPr>
                <w:rFonts w:ascii="Times New Roman" w:hAnsi="Times New Roman" w:cs="Times New Roman"/>
              </w:rPr>
            </w:pPr>
          </w:p>
        </w:tc>
        <w:tc>
          <w:tcPr>
            <w:tcW w:w="0" w:type="auto"/>
          </w:tcPr>
          <w:p w:rsidR="00960E7D" w:rsidRPr="00F77095" w:rsidRDefault="00960E7D" w:rsidP="00650EAF">
            <w:pPr>
              <w:jc w:val="both"/>
              <w:rPr>
                <w:rFonts w:ascii="Times New Roman" w:hAnsi="Times New Roman" w:cs="Times New Roman"/>
              </w:rPr>
            </w:pPr>
          </w:p>
        </w:tc>
      </w:tr>
      <w:tr w:rsidR="00960E7D" w:rsidRPr="00F77095" w:rsidTr="00650EAF">
        <w:trPr>
          <w:trHeight w:val="306"/>
        </w:trPr>
        <w:tc>
          <w:tcPr>
            <w:tcW w:w="0" w:type="auto"/>
          </w:tcPr>
          <w:p w:rsidR="00960E7D" w:rsidRPr="00F77095" w:rsidRDefault="00960E7D" w:rsidP="00650EAF">
            <w:pPr>
              <w:jc w:val="both"/>
              <w:rPr>
                <w:rFonts w:ascii="Times New Roman" w:hAnsi="Times New Roman" w:cs="Times New Roman"/>
              </w:rPr>
            </w:pPr>
          </w:p>
        </w:tc>
        <w:tc>
          <w:tcPr>
            <w:tcW w:w="0" w:type="auto"/>
          </w:tcPr>
          <w:p w:rsidR="00960E7D" w:rsidRPr="00F77095" w:rsidRDefault="00960E7D" w:rsidP="00650EAF">
            <w:pPr>
              <w:jc w:val="both"/>
              <w:rPr>
                <w:rFonts w:ascii="Times New Roman" w:hAnsi="Times New Roman" w:cs="Times New Roman"/>
              </w:rPr>
            </w:pPr>
          </w:p>
        </w:tc>
        <w:tc>
          <w:tcPr>
            <w:tcW w:w="1672" w:type="dxa"/>
          </w:tcPr>
          <w:p w:rsidR="00960E7D" w:rsidRPr="00F77095" w:rsidRDefault="00960E7D" w:rsidP="00650EAF">
            <w:pPr>
              <w:jc w:val="both"/>
              <w:rPr>
                <w:rFonts w:ascii="Times New Roman" w:hAnsi="Times New Roman" w:cs="Times New Roman"/>
              </w:rPr>
            </w:pPr>
          </w:p>
        </w:tc>
        <w:tc>
          <w:tcPr>
            <w:tcW w:w="2056" w:type="dxa"/>
          </w:tcPr>
          <w:p w:rsidR="00960E7D" w:rsidRPr="00F77095" w:rsidRDefault="00960E7D" w:rsidP="00650EAF">
            <w:pPr>
              <w:jc w:val="right"/>
              <w:rPr>
                <w:rFonts w:ascii="Times New Roman" w:hAnsi="Times New Roman" w:cs="Times New Roman"/>
              </w:rPr>
            </w:pPr>
          </w:p>
        </w:tc>
        <w:tc>
          <w:tcPr>
            <w:tcW w:w="0" w:type="auto"/>
          </w:tcPr>
          <w:p w:rsidR="00960E7D" w:rsidRPr="00F77095" w:rsidRDefault="00960E7D" w:rsidP="00650EAF">
            <w:pPr>
              <w:jc w:val="both"/>
              <w:rPr>
                <w:rFonts w:ascii="Times New Roman" w:hAnsi="Times New Roman" w:cs="Times New Roman"/>
              </w:rPr>
            </w:pPr>
          </w:p>
        </w:tc>
      </w:tr>
      <w:tr w:rsidR="00960E7D" w:rsidRPr="00F77095" w:rsidTr="00650EAF">
        <w:trPr>
          <w:trHeight w:val="290"/>
        </w:trPr>
        <w:tc>
          <w:tcPr>
            <w:tcW w:w="0" w:type="auto"/>
          </w:tcPr>
          <w:p w:rsidR="00960E7D" w:rsidRPr="00F77095" w:rsidRDefault="00960E7D" w:rsidP="00650EAF">
            <w:pPr>
              <w:jc w:val="both"/>
              <w:rPr>
                <w:rFonts w:ascii="Times New Roman" w:hAnsi="Times New Roman" w:cs="Times New Roman"/>
              </w:rPr>
            </w:pPr>
          </w:p>
        </w:tc>
        <w:tc>
          <w:tcPr>
            <w:tcW w:w="0" w:type="auto"/>
          </w:tcPr>
          <w:p w:rsidR="00960E7D" w:rsidRPr="00F77095" w:rsidRDefault="00960E7D" w:rsidP="00650EAF">
            <w:pPr>
              <w:jc w:val="both"/>
              <w:rPr>
                <w:rFonts w:ascii="Times New Roman" w:hAnsi="Times New Roman" w:cs="Times New Roman"/>
                <w:b/>
                <w:u w:val="single"/>
              </w:rPr>
            </w:pPr>
            <w:r w:rsidRPr="00F77095">
              <w:rPr>
                <w:rFonts w:ascii="Times New Roman" w:hAnsi="Times New Roman" w:cs="Times New Roman"/>
                <w:b/>
                <w:u w:val="single"/>
              </w:rPr>
              <w:t>WORKING CAPITAL ALLOWANCE</w:t>
            </w:r>
          </w:p>
        </w:tc>
        <w:tc>
          <w:tcPr>
            <w:tcW w:w="1672" w:type="dxa"/>
          </w:tcPr>
          <w:p w:rsidR="00960E7D" w:rsidRPr="00F77095" w:rsidRDefault="00960E7D" w:rsidP="00650EAF">
            <w:pPr>
              <w:jc w:val="both"/>
              <w:rPr>
                <w:rFonts w:ascii="Times New Roman" w:hAnsi="Times New Roman" w:cs="Times New Roman"/>
              </w:rPr>
            </w:pPr>
          </w:p>
        </w:tc>
        <w:tc>
          <w:tcPr>
            <w:tcW w:w="2056" w:type="dxa"/>
          </w:tcPr>
          <w:p w:rsidR="00960E7D" w:rsidRPr="00F77095" w:rsidRDefault="00960E7D" w:rsidP="00650EAF">
            <w:pPr>
              <w:jc w:val="right"/>
              <w:rPr>
                <w:rFonts w:ascii="Times New Roman" w:hAnsi="Times New Roman" w:cs="Times New Roman"/>
              </w:rPr>
            </w:pPr>
          </w:p>
        </w:tc>
        <w:tc>
          <w:tcPr>
            <w:tcW w:w="0" w:type="auto"/>
          </w:tcPr>
          <w:p w:rsidR="00960E7D" w:rsidRPr="00F77095" w:rsidRDefault="00960E7D" w:rsidP="00650EAF">
            <w:pPr>
              <w:jc w:val="both"/>
              <w:rPr>
                <w:rFonts w:ascii="Times New Roman" w:hAnsi="Times New Roman" w:cs="Times New Roman"/>
              </w:rPr>
            </w:pPr>
          </w:p>
        </w:tc>
      </w:tr>
      <w:tr w:rsidR="00960E7D" w:rsidRPr="00F77095" w:rsidTr="00650EAF">
        <w:trPr>
          <w:trHeight w:val="306"/>
        </w:trPr>
        <w:tc>
          <w:tcPr>
            <w:tcW w:w="0" w:type="auto"/>
          </w:tcPr>
          <w:p w:rsidR="00960E7D" w:rsidRPr="00F77095" w:rsidRDefault="00960E7D" w:rsidP="00650EAF">
            <w:pPr>
              <w:jc w:val="both"/>
              <w:rPr>
                <w:rFonts w:ascii="Times New Roman" w:hAnsi="Times New Roman" w:cs="Times New Roman"/>
              </w:rPr>
            </w:pPr>
          </w:p>
        </w:tc>
        <w:tc>
          <w:tcPr>
            <w:tcW w:w="0" w:type="auto"/>
          </w:tcPr>
          <w:p w:rsidR="00960E7D" w:rsidRPr="00F77095" w:rsidRDefault="00960E7D" w:rsidP="00650EAF">
            <w:pPr>
              <w:jc w:val="both"/>
              <w:rPr>
                <w:rFonts w:ascii="Times New Roman" w:hAnsi="Times New Roman" w:cs="Times New Roman"/>
              </w:rPr>
            </w:pPr>
            <w:r w:rsidRPr="00F77095">
              <w:rPr>
                <w:rFonts w:ascii="Times New Roman" w:hAnsi="Times New Roman" w:cs="Times New Roman"/>
              </w:rPr>
              <w:t>To reflect 1/8 of test year O&amp;M expenses.</w:t>
            </w:r>
          </w:p>
        </w:tc>
        <w:tc>
          <w:tcPr>
            <w:tcW w:w="1672" w:type="dxa"/>
          </w:tcPr>
          <w:p w:rsidR="00960E7D" w:rsidRPr="00F77095" w:rsidRDefault="00960E7D" w:rsidP="00650EAF">
            <w:pPr>
              <w:jc w:val="both"/>
              <w:rPr>
                <w:rFonts w:ascii="Times New Roman" w:hAnsi="Times New Roman" w:cs="Times New Roman"/>
              </w:rPr>
            </w:pPr>
          </w:p>
        </w:tc>
        <w:tc>
          <w:tcPr>
            <w:tcW w:w="2056" w:type="dxa"/>
          </w:tcPr>
          <w:p w:rsidR="00960E7D" w:rsidRPr="00F77095" w:rsidRDefault="00960E7D" w:rsidP="00650EAF">
            <w:pPr>
              <w:jc w:val="right"/>
              <w:rPr>
                <w:rFonts w:ascii="Times New Roman" w:hAnsi="Times New Roman" w:cs="Times New Roman"/>
                <w:highlight w:val="yellow"/>
                <w:u w:val="double"/>
              </w:rPr>
            </w:pPr>
            <w:r w:rsidRPr="00F77095">
              <w:rPr>
                <w:rFonts w:ascii="Times New Roman" w:hAnsi="Times New Roman" w:cs="Times New Roman"/>
                <w:u w:val="double"/>
              </w:rPr>
              <w:t>$3,452</w:t>
            </w:r>
          </w:p>
        </w:tc>
        <w:tc>
          <w:tcPr>
            <w:tcW w:w="0" w:type="auto"/>
          </w:tcPr>
          <w:p w:rsidR="00960E7D" w:rsidRPr="00F77095" w:rsidRDefault="00960E7D" w:rsidP="00650EAF">
            <w:pPr>
              <w:jc w:val="both"/>
              <w:rPr>
                <w:rFonts w:ascii="Times New Roman" w:hAnsi="Times New Roman" w:cs="Times New Roman"/>
                <w:highlight w:val="yellow"/>
              </w:rPr>
            </w:pPr>
          </w:p>
        </w:tc>
      </w:tr>
      <w:tr w:rsidR="00960E7D" w:rsidRPr="00F77095" w:rsidTr="00650EAF">
        <w:trPr>
          <w:trHeight w:val="290"/>
        </w:trPr>
        <w:tc>
          <w:tcPr>
            <w:tcW w:w="0" w:type="auto"/>
          </w:tcPr>
          <w:p w:rsidR="00960E7D" w:rsidRPr="00F77095" w:rsidRDefault="00960E7D" w:rsidP="00650EAF">
            <w:pPr>
              <w:jc w:val="both"/>
              <w:rPr>
                <w:rFonts w:ascii="Times New Roman" w:hAnsi="Times New Roman" w:cs="Times New Roman"/>
              </w:rPr>
            </w:pPr>
          </w:p>
        </w:tc>
        <w:tc>
          <w:tcPr>
            <w:tcW w:w="0" w:type="auto"/>
          </w:tcPr>
          <w:p w:rsidR="00960E7D" w:rsidRPr="00F77095" w:rsidRDefault="00960E7D" w:rsidP="00650EAF">
            <w:pPr>
              <w:jc w:val="both"/>
              <w:rPr>
                <w:rFonts w:ascii="Times New Roman" w:hAnsi="Times New Roman" w:cs="Times New Roman"/>
              </w:rPr>
            </w:pPr>
            <w:r w:rsidRPr="00F77095">
              <w:fldChar w:fldCharType="begin"/>
            </w:r>
            <w:r w:rsidRPr="00F77095">
              <w:instrText xml:space="preserve"> TC "</w:instrText>
            </w:r>
            <w:bookmarkStart w:id="41" w:name="_Toc433269942"/>
            <w:bookmarkStart w:id="42" w:name="_Toc448761992"/>
            <w:bookmarkStart w:id="43" w:name="_Toc21427544"/>
            <w:bookmarkStart w:id="44" w:name="_Toc82175409"/>
            <w:bookmarkStart w:id="45" w:name="_Toc82430613"/>
            <w:bookmarkStart w:id="46" w:name="_Toc90302751"/>
            <w:bookmarkStart w:id="47" w:name="_Toc90478772"/>
            <w:bookmarkStart w:id="48" w:name="_Toc90549980"/>
            <w:bookmarkStart w:id="49" w:name="_Toc91659005"/>
            <w:r w:rsidRPr="00F77095">
              <w:tab/>
              <w:instrText xml:space="preserve">Schedule No. 1-B </w:instrText>
            </w:r>
            <w:r w:rsidR="005453B1">
              <w:instrText xml:space="preserve">Adjustments to </w:instrText>
            </w:r>
            <w:r w:rsidRPr="00F77095">
              <w:instrText>Rate Base</w:instrText>
            </w:r>
            <w:bookmarkEnd w:id="41"/>
            <w:bookmarkEnd w:id="42"/>
            <w:bookmarkEnd w:id="43"/>
            <w:bookmarkEnd w:id="44"/>
            <w:bookmarkEnd w:id="45"/>
            <w:bookmarkEnd w:id="46"/>
            <w:bookmarkEnd w:id="47"/>
            <w:bookmarkEnd w:id="48"/>
            <w:bookmarkEnd w:id="49"/>
            <w:r w:rsidRPr="00F77095">
              <w:instrText xml:space="preserve">" \l 1 </w:instrText>
            </w:r>
            <w:r w:rsidRPr="00F77095">
              <w:fldChar w:fldCharType="end"/>
            </w:r>
          </w:p>
        </w:tc>
        <w:tc>
          <w:tcPr>
            <w:tcW w:w="1672" w:type="dxa"/>
          </w:tcPr>
          <w:p w:rsidR="00960E7D" w:rsidRPr="00F77095" w:rsidRDefault="00960E7D" w:rsidP="00650EAF">
            <w:pPr>
              <w:jc w:val="both"/>
              <w:rPr>
                <w:rFonts w:ascii="Times New Roman" w:hAnsi="Times New Roman" w:cs="Times New Roman"/>
              </w:rPr>
            </w:pPr>
          </w:p>
        </w:tc>
        <w:tc>
          <w:tcPr>
            <w:tcW w:w="2056" w:type="dxa"/>
          </w:tcPr>
          <w:p w:rsidR="00960E7D" w:rsidRPr="00F77095" w:rsidRDefault="00960E7D" w:rsidP="00650EAF">
            <w:pPr>
              <w:jc w:val="right"/>
              <w:rPr>
                <w:rFonts w:ascii="Times New Roman" w:hAnsi="Times New Roman" w:cs="Times New Roman"/>
                <w:u w:val="double"/>
              </w:rPr>
            </w:pPr>
          </w:p>
        </w:tc>
        <w:tc>
          <w:tcPr>
            <w:tcW w:w="0" w:type="auto"/>
          </w:tcPr>
          <w:p w:rsidR="00960E7D" w:rsidRPr="00F77095" w:rsidRDefault="00960E7D" w:rsidP="00650EAF">
            <w:pPr>
              <w:jc w:val="both"/>
              <w:rPr>
                <w:rFonts w:ascii="Times New Roman" w:hAnsi="Times New Roman" w:cs="Times New Roman"/>
              </w:rPr>
            </w:pPr>
          </w:p>
        </w:tc>
      </w:tr>
    </w:tbl>
    <w:p w:rsidR="00960E7D" w:rsidRDefault="00960E7D" w:rsidP="00960E7D">
      <w:pPr>
        <w:pStyle w:val="BodyText"/>
        <w:jc w:val="center"/>
        <w:sectPr w:rsidR="00960E7D" w:rsidSect="0068481F">
          <w:headerReference w:type="default" r:id="rId15"/>
          <w:pgSz w:w="12240" w:h="15840" w:code="1"/>
          <w:pgMar w:top="1584" w:right="1440" w:bottom="1440" w:left="1440" w:header="720" w:footer="720" w:gutter="0"/>
          <w:cols w:space="720"/>
          <w:formProt w:val="0"/>
          <w:docGrid w:linePitch="360"/>
        </w:sectPr>
      </w:pPr>
    </w:p>
    <w:tbl>
      <w:tblPr>
        <w:tblStyle w:val="TableGrid111"/>
        <w:tblW w:w="5000" w:type="pct"/>
        <w:tblLook w:val="04A0" w:firstRow="1" w:lastRow="0" w:firstColumn="1" w:lastColumn="0" w:noHBand="0" w:noVBand="1"/>
      </w:tblPr>
      <w:tblGrid>
        <w:gridCol w:w="397"/>
        <w:gridCol w:w="3507"/>
        <w:gridCol w:w="1230"/>
        <w:gridCol w:w="1462"/>
        <w:gridCol w:w="1668"/>
        <w:gridCol w:w="1634"/>
        <w:gridCol w:w="1004"/>
        <w:gridCol w:w="1908"/>
        <w:gridCol w:w="222"/>
      </w:tblGrid>
      <w:tr w:rsidR="009B5CD6" w:rsidRPr="00F77095" w:rsidTr="00650EAF">
        <w:tc>
          <w:tcPr>
            <w:tcW w:w="201" w:type="pct"/>
            <w:tcBorders>
              <w:top w:val="single" w:sz="4" w:space="0" w:color="auto"/>
              <w:left w:val="single" w:sz="4" w:space="0" w:color="auto"/>
              <w:bottom w:val="nil"/>
              <w:right w:val="nil"/>
            </w:tcBorders>
          </w:tcPr>
          <w:p w:rsidR="009B5CD6" w:rsidRPr="00F77095" w:rsidRDefault="009B5CD6" w:rsidP="00650EAF">
            <w:pPr>
              <w:jc w:val="both"/>
            </w:pPr>
          </w:p>
        </w:tc>
        <w:tc>
          <w:tcPr>
            <w:tcW w:w="1500" w:type="pct"/>
            <w:gridSpan w:val="2"/>
            <w:tcBorders>
              <w:top w:val="single" w:sz="4" w:space="0" w:color="auto"/>
              <w:left w:val="nil"/>
              <w:bottom w:val="nil"/>
              <w:right w:val="nil"/>
            </w:tcBorders>
          </w:tcPr>
          <w:p w:rsidR="009B5CD6" w:rsidRPr="00F77095" w:rsidRDefault="009B5CD6" w:rsidP="00650EAF">
            <w:pPr>
              <w:jc w:val="both"/>
              <w:rPr>
                <w:b/>
              </w:rPr>
            </w:pPr>
            <w:r w:rsidRPr="00F77095">
              <w:rPr>
                <w:b/>
              </w:rPr>
              <w:t>BRENDENWOOD WATERWORKS, INC.</w:t>
            </w:r>
          </w:p>
        </w:tc>
        <w:tc>
          <w:tcPr>
            <w:tcW w:w="609" w:type="pct"/>
            <w:tcBorders>
              <w:top w:val="single" w:sz="4" w:space="0" w:color="auto"/>
              <w:left w:val="nil"/>
              <w:bottom w:val="nil"/>
              <w:right w:val="nil"/>
            </w:tcBorders>
          </w:tcPr>
          <w:p w:rsidR="009B5CD6" w:rsidRPr="00F77095" w:rsidRDefault="009B5CD6" w:rsidP="00650EAF">
            <w:pPr>
              <w:jc w:val="both"/>
              <w:rPr>
                <w:b/>
              </w:rPr>
            </w:pPr>
          </w:p>
        </w:tc>
        <w:tc>
          <w:tcPr>
            <w:tcW w:w="688" w:type="pct"/>
            <w:tcBorders>
              <w:top w:val="single" w:sz="4" w:space="0" w:color="auto"/>
              <w:left w:val="nil"/>
              <w:bottom w:val="nil"/>
              <w:right w:val="nil"/>
            </w:tcBorders>
          </w:tcPr>
          <w:p w:rsidR="009B5CD6" w:rsidRPr="00F77095" w:rsidRDefault="009B5CD6" w:rsidP="00650EAF">
            <w:pPr>
              <w:jc w:val="both"/>
              <w:rPr>
                <w:b/>
              </w:rPr>
            </w:pPr>
          </w:p>
        </w:tc>
        <w:tc>
          <w:tcPr>
            <w:tcW w:w="1888" w:type="pct"/>
            <w:gridSpan w:val="3"/>
            <w:tcBorders>
              <w:top w:val="single" w:sz="4" w:space="0" w:color="auto"/>
              <w:left w:val="nil"/>
              <w:bottom w:val="nil"/>
              <w:right w:val="nil"/>
            </w:tcBorders>
          </w:tcPr>
          <w:p w:rsidR="009B5CD6" w:rsidRPr="00F77095" w:rsidRDefault="009B5CD6" w:rsidP="00650EAF">
            <w:pPr>
              <w:jc w:val="right"/>
              <w:rPr>
                <w:b/>
              </w:rPr>
            </w:pPr>
            <w:r w:rsidRPr="00F77095">
              <w:rPr>
                <w:b/>
              </w:rPr>
              <w:t>SCHEDULE NO. 2</w:t>
            </w:r>
          </w:p>
        </w:tc>
        <w:tc>
          <w:tcPr>
            <w:tcW w:w="114" w:type="pct"/>
            <w:tcBorders>
              <w:top w:val="single" w:sz="4" w:space="0" w:color="auto"/>
              <w:left w:val="nil"/>
              <w:bottom w:val="nil"/>
              <w:right w:val="single" w:sz="4" w:space="0" w:color="auto"/>
            </w:tcBorders>
          </w:tcPr>
          <w:p w:rsidR="009B5CD6" w:rsidRPr="00F77095" w:rsidRDefault="009B5CD6" w:rsidP="00650EAF">
            <w:pPr>
              <w:jc w:val="both"/>
            </w:pPr>
          </w:p>
        </w:tc>
      </w:tr>
      <w:tr w:rsidR="009B5CD6" w:rsidRPr="00F77095" w:rsidTr="00650EAF">
        <w:tc>
          <w:tcPr>
            <w:tcW w:w="201" w:type="pct"/>
            <w:tcBorders>
              <w:top w:val="nil"/>
              <w:left w:val="single" w:sz="4" w:space="0" w:color="auto"/>
              <w:bottom w:val="nil"/>
              <w:right w:val="nil"/>
            </w:tcBorders>
          </w:tcPr>
          <w:p w:rsidR="009B5CD6" w:rsidRPr="00F77095" w:rsidRDefault="009B5CD6" w:rsidP="00650EAF">
            <w:pPr>
              <w:jc w:val="both"/>
            </w:pPr>
          </w:p>
        </w:tc>
        <w:tc>
          <w:tcPr>
            <w:tcW w:w="1500" w:type="pct"/>
            <w:gridSpan w:val="2"/>
            <w:tcBorders>
              <w:top w:val="nil"/>
              <w:left w:val="nil"/>
              <w:bottom w:val="nil"/>
              <w:right w:val="nil"/>
            </w:tcBorders>
          </w:tcPr>
          <w:p w:rsidR="009B5CD6" w:rsidRPr="00F77095" w:rsidRDefault="009B5CD6" w:rsidP="00650EAF">
            <w:pPr>
              <w:jc w:val="both"/>
              <w:rPr>
                <w:b/>
              </w:rPr>
            </w:pPr>
            <w:r w:rsidRPr="00F77095">
              <w:rPr>
                <w:b/>
              </w:rPr>
              <w:t>TEST YEAR ENDED 12/31/2020</w:t>
            </w:r>
          </w:p>
        </w:tc>
        <w:tc>
          <w:tcPr>
            <w:tcW w:w="609" w:type="pct"/>
            <w:tcBorders>
              <w:top w:val="nil"/>
              <w:left w:val="nil"/>
              <w:bottom w:val="nil"/>
              <w:right w:val="nil"/>
            </w:tcBorders>
          </w:tcPr>
          <w:p w:rsidR="009B5CD6" w:rsidRPr="00F77095" w:rsidRDefault="009B5CD6" w:rsidP="00650EAF">
            <w:pPr>
              <w:jc w:val="both"/>
              <w:rPr>
                <w:b/>
              </w:rPr>
            </w:pPr>
          </w:p>
        </w:tc>
        <w:tc>
          <w:tcPr>
            <w:tcW w:w="688" w:type="pct"/>
            <w:tcBorders>
              <w:top w:val="nil"/>
              <w:left w:val="nil"/>
              <w:bottom w:val="nil"/>
              <w:right w:val="nil"/>
            </w:tcBorders>
          </w:tcPr>
          <w:p w:rsidR="009B5CD6" w:rsidRPr="00F77095" w:rsidRDefault="009B5CD6" w:rsidP="00650EAF">
            <w:pPr>
              <w:jc w:val="both"/>
              <w:rPr>
                <w:b/>
              </w:rPr>
            </w:pPr>
          </w:p>
        </w:tc>
        <w:tc>
          <w:tcPr>
            <w:tcW w:w="1888" w:type="pct"/>
            <w:gridSpan w:val="3"/>
            <w:tcBorders>
              <w:top w:val="nil"/>
              <w:left w:val="nil"/>
              <w:bottom w:val="nil"/>
              <w:right w:val="nil"/>
            </w:tcBorders>
          </w:tcPr>
          <w:p w:rsidR="009B5CD6" w:rsidRPr="00F77095" w:rsidRDefault="009B5CD6" w:rsidP="00650EAF">
            <w:pPr>
              <w:jc w:val="right"/>
              <w:rPr>
                <w:b/>
              </w:rPr>
            </w:pPr>
            <w:r w:rsidRPr="00F77095">
              <w:rPr>
                <w:b/>
              </w:rPr>
              <w:t>DOCKET NO. 20210055-WU</w:t>
            </w:r>
          </w:p>
        </w:tc>
        <w:tc>
          <w:tcPr>
            <w:tcW w:w="114" w:type="pct"/>
            <w:tcBorders>
              <w:top w:val="nil"/>
              <w:left w:val="nil"/>
              <w:bottom w:val="nil"/>
              <w:right w:val="single" w:sz="4" w:space="0" w:color="auto"/>
            </w:tcBorders>
          </w:tcPr>
          <w:p w:rsidR="009B5CD6" w:rsidRPr="00F77095" w:rsidRDefault="009B5CD6" w:rsidP="00650EAF">
            <w:pPr>
              <w:jc w:val="both"/>
            </w:pPr>
          </w:p>
        </w:tc>
      </w:tr>
      <w:tr w:rsidR="009B5CD6" w:rsidRPr="00F77095" w:rsidTr="00650EAF">
        <w:tc>
          <w:tcPr>
            <w:tcW w:w="201" w:type="pct"/>
            <w:tcBorders>
              <w:top w:val="nil"/>
              <w:left w:val="single" w:sz="4" w:space="0" w:color="auto"/>
              <w:bottom w:val="single" w:sz="4" w:space="0" w:color="auto"/>
              <w:right w:val="nil"/>
            </w:tcBorders>
          </w:tcPr>
          <w:p w:rsidR="009B5CD6" w:rsidRPr="00F77095" w:rsidRDefault="009B5CD6" w:rsidP="00650EAF">
            <w:pPr>
              <w:jc w:val="both"/>
            </w:pPr>
          </w:p>
        </w:tc>
        <w:tc>
          <w:tcPr>
            <w:tcW w:w="1500" w:type="pct"/>
            <w:gridSpan w:val="2"/>
            <w:tcBorders>
              <w:top w:val="nil"/>
              <w:left w:val="nil"/>
              <w:bottom w:val="single" w:sz="4" w:space="0" w:color="auto"/>
              <w:right w:val="nil"/>
            </w:tcBorders>
          </w:tcPr>
          <w:p w:rsidR="009B5CD6" w:rsidRPr="00F77095" w:rsidRDefault="009B5CD6" w:rsidP="00650EAF">
            <w:pPr>
              <w:jc w:val="both"/>
              <w:rPr>
                <w:b/>
              </w:rPr>
            </w:pPr>
            <w:r w:rsidRPr="00F77095">
              <w:rPr>
                <w:b/>
              </w:rPr>
              <w:t>SCHEDULE OF CAPITAL STRUCTURE</w:t>
            </w:r>
          </w:p>
        </w:tc>
        <w:tc>
          <w:tcPr>
            <w:tcW w:w="609" w:type="pct"/>
            <w:tcBorders>
              <w:top w:val="nil"/>
              <w:left w:val="nil"/>
              <w:bottom w:val="single" w:sz="4" w:space="0" w:color="auto"/>
              <w:right w:val="nil"/>
            </w:tcBorders>
          </w:tcPr>
          <w:p w:rsidR="009B5CD6" w:rsidRPr="00F77095" w:rsidRDefault="009B5CD6" w:rsidP="00650EAF">
            <w:pPr>
              <w:jc w:val="both"/>
              <w:rPr>
                <w:b/>
              </w:rPr>
            </w:pPr>
          </w:p>
        </w:tc>
        <w:tc>
          <w:tcPr>
            <w:tcW w:w="688" w:type="pct"/>
            <w:tcBorders>
              <w:top w:val="nil"/>
              <w:left w:val="nil"/>
              <w:bottom w:val="single" w:sz="4" w:space="0" w:color="auto"/>
              <w:right w:val="nil"/>
            </w:tcBorders>
          </w:tcPr>
          <w:p w:rsidR="009B5CD6" w:rsidRPr="00F77095" w:rsidRDefault="009B5CD6" w:rsidP="00650EAF">
            <w:pPr>
              <w:jc w:val="both"/>
              <w:rPr>
                <w:b/>
              </w:rPr>
            </w:pPr>
          </w:p>
        </w:tc>
        <w:tc>
          <w:tcPr>
            <w:tcW w:w="675" w:type="pct"/>
            <w:tcBorders>
              <w:top w:val="nil"/>
              <w:left w:val="nil"/>
              <w:bottom w:val="single" w:sz="4" w:space="0" w:color="auto"/>
              <w:right w:val="nil"/>
            </w:tcBorders>
          </w:tcPr>
          <w:p w:rsidR="009B5CD6" w:rsidRPr="00F77095" w:rsidRDefault="009B5CD6" w:rsidP="00650EAF">
            <w:pPr>
              <w:jc w:val="both"/>
              <w:rPr>
                <w:b/>
              </w:rPr>
            </w:pPr>
          </w:p>
        </w:tc>
        <w:tc>
          <w:tcPr>
            <w:tcW w:w="433" w:type="pct"/>
            <w:tcBorders>
              <w:top w:val="nil"/>
              <w:left w:val="nil"/>
              <w:bottom w:val="single" w:sz="4" w:space="0" w:color="auto"/>
              <w:right w:val="nil"/>
            </w:tcBorders>
          </w:tcPr>
          <w:p w:rsidR="009B5CD6" w:rsidRPr="00F77095" w:rsidRDefault="009B5CD6" w:rsidP="00650EAF">
            <w:pPr>
              <w:jc w:val="both"/>
              <w:rPr>
                <w:b/>
              </w:rPr>
            </w:pPr>
          </w:p>
        </w:tc>
        <w:tc>
          <w:tcPr>
            <w:tcW w:w="780" w:type="pct"/>
            <w:tcBorders>
              <w:top w:val="nil"/>
              <w:left w:val="nil"/>
              <w:bottom w:val="single" w:sz="4" w:space="0" w:color="auto"/>
              <w:right w:val="nil"/>
            </w:tcBorders>
          </w:tcPr>
          <w:p w:rsidR="009B5CD6" w:rsidRPr="00F77095" w:rsidRDefault="009B5CD6" w:rsidP="00650EAF">
            <w:pPr>
              <w:jc w:val="both"/>
              <w:rPr>
                <w:b/>
              </w:rPr>
            </w:pPr>
          </w:p>
        </w:tc>
        <w:tc>
          <w:tcPr>
            <w:tcW w:w="114" w:type="pct"/>
            <w:tcBorders>
              <w:top w:val="nil"/>
              <w:left w:val="nil"/>
              <w:bottom w:val="single" w:sz="4" w:space="0" w:color="auto"/>
              <w:right w:val="single" w:sz="4" w:space="0" w:color="auto"/>
            </w:tcBorders>
          </w:tcPr>
          <w:p w:rsidR="009B5CD6" w:rsidRPr="00F77095" w:rsidRDefault="009B5CD6" w:rsidP="00650EAF">
            <w:pPr>
              <w:jc w:val="both"/>
            </w:pPr>
          </w:p>
        </w:tc>
      </w:tr>
      <w:tr w:rsidR="009B5CD6" w:rsidRPr="00F77095" w:rsidTr="00650EAF">
        <w:tc>
          <w:tcPr>
            <w:tcW w:w="201" w:type="pct"/>
            <w:tcBorders>
              <w:top w:val="single" w:sz="4" w:space="0" w:color="auto"/>
              <w:left w:val="single" w:sz="4" w:space="0" w:color="auto"/>
              <w:bottom w:val="nil"/>
              <w:right w:val="nil"/>
            </w:tcBorders>
          </w:tcPr>
          <w:p w:rsidR="009B5CD6" w:rsidRPr="00F77095" w:rsidRDefault="009B5CD6" w:rsidP="00650EAF">
            <w:pPr>
              <w:jc w:val="both"/>
            </w:pPr>
          </w:p>
        </w:tc>
        <w:tc>
          <w:tcPr>
            <w:tcW w:w="1394" w:type="pct"/>
            <w:tcBorders>
              <w:top w:val="single" w:sz="4" w:space="0" w:color="auto"/>
              <w:left w:val="nil"/>
              <w:bottom w:val="nil"/>
              <w:right w:val="nil"/>
            </w:tcBorders>
          </w:tcPr>
          <w:p w:rsidR="009B5CD6" w:rsidRPr="00F77095" w:rsidRDefault="009B5CD6" w:rsidP="00650EAF">
            <w:pPr>
              <w:jc w:val="both"/>
            </w:pPr>
          </w:p>
        </w:tc>
        <w:tc>
          <w:tcPr>
            <w:tcW w:w="106" w:type="pct"/>
            <w:tcBorders>
              <w:top w:val="single" w:sz="4" w:space="0" w:color="auto"/>
              <w:left w:val="nil"/>
              <w:bottom w:val="nil"/>
              <w:right w:val="nil"/>
            </w:tcBorders>
          </w:tcPr>
          <w:p w:rsidR="009B5CD6" w:rsidRPr="00F77095" w:rsidRDefault="009B5CD6" w:rsidP="00650EAF">
            <w:pPr>
              <w:jc w:val="both"/>
            </w:pPr>
          </w:p>
        </w:tc>
        <w:tc>
          <w:tcPr>
            <w:tcW w:w="609" w:type="pct"/>
            <w:tcBorders>
              <w:top w:val="single" w:sz="4" w:space="0" w:color="auto"/>
              <w:left w:val="nil"/>
              <w:bottom w:val="nil"/>
              <w:right w:val="nil"/>
            </w:tcBorders>
          </w:tcPr>
          <w:p w:rsidR="009B5CD6" w:rsidRPr="00F77095" w:rsidRDefault="009B5CD6" w:rsidP="00650EAF">
            <w:pPr>
              <w:jc w:val="both"/>
            </w:pPr>
          </w:p>
        </w:tc>
        <w:tc>
          <w:tcPr>
            <w:tcW w:w="688" w:type="pct"/>
            <w:tcBorders>
              <w:top w:val="single" w:sz="4" w:space="0" w:color="auto"/>
              <w:left w:val="nil"/>
              <w:bottom w:val="nil"/>
              <w:right w:val="nil"/>
            </w:tcBorders>
          </w:tcPr>
          <w:p w:rsidR="009B5CD6" w:rsidRPr="00F77095" w:rsidRDefault="009B5CD6" w:rsidP="00650EAF">
            <w:pPr>
              <w:jc w:val="both"/>
            </w:pPr>
          </w:p>
        </w:tc>
        <w:tc>
          <w:tcPr>
            <w:tcW w:w="675" w:type="pct"/>
            <w:tcBorders>
              <w:top w:val="single" w:sz="4" w:space="0" w:color="auto"/>
              <w:left w:val="nil"/>
              <w:bottom w:val="nil"/>
              <w:right w:val="nil"/>
            </w:tcBorders>
          </w:tcPr>
          <w:p w:rsidR="009B5CD6" w:rsidRPr="00F77095" w:rsidRDefault="009B5CD6" w:rsidP="00650EAF">
            <w:pPr>
              <w:jc w:val="both"/>
            </w:pPr>
          </w:p>
        </w:tc>
        <w:tc>
          <w:tcPr>
            <w:tcW w:w="433" w:type="pct"/>
            <w:tcBorders>
              <w:top w:val="single" w:sz="4" w:space="0" w:color="auto"/>
              <w:left w:val="nil"/>
              <w:bottom w:val="nil"/>
              <w:right w:val="nil"/>
            </w:tcBorders>
          </w:tcPr>
          <w:p w:rsidR="009B5CD6" w:rsidRPr="00F77095" w:rsidRDefault="009B5CD6" w:rsidP="00650EAF">
            <w:pPr>
              <w:jc w:val="both"/>
            </w:pPr>
          </w:p>
        </w:tc>
        <w:tc>
          <w:tcPr>
            <w:tcW w:w="780" w:type="pct"/>
            <w:tcBorders>
              <w:top w:val="single" w:sz="4" w:space="0" w:color="auto"/>
              <w:left w:val="nil"/>
              <w:bottom w:val="nil"/>
              <w:right w:val="nil"/>
            </w:tcBorders>
          </w:tcPr>
          <w:p w:rsidR="009B5CD6" w:rsidRPr="00F77095" w:rsidRDefault="009B5CD6" w:rsidP="00650EAF">
            <w:pPr>
              <w:jc w:val="both"/>
            </w:pPr>
          </w:p>
        </w:tc>
        <w:tc>
          <w:tcPr>
            <w:tcW w:w="114" w:type="pct"/>
            <w:tcBorders>
              <w:top w:val="single" w:sz="4" w:space="0" w:color="auto"/>
              <w:left w:val="nil"/>
              <w:bottom w:val="nil"/>
              <w:right w:val="single" w:sz="4" w:space="0" w:color="auto"/>
            </w:tcBorders>
          </w:tcPr>
          <w:p w:rsidR="009B5CD6" w:rsidRPr="00F77095" w:rsidRDefault="009B5CD6" w:rsidP="00650EAF">
            <w:pPr>
              <w:jc w:val="both"/>
            </w:pPr>
          </w:p>
        </w:tc>
      </w:tr>
      <w:tr w:rsidR="009B5CD6" w:rsidRPr="00F77095" w:rsidTr="00650EAF">
        <w:tc>
          <w:tcPr>
            <w:tcW w:w="201" w:type="pct"/>
            <w:tcBorders>
              <w:top w:val="nil"/>
              <w:left w:val="single" w:sz="4" w:space="0" w:color="auto"/>
              <w:bottom w:val="nil"/>
              <w:right w:val="nil"/>
            </w:tcBorders>
          </w:tcPr>
          <w:p w:rsidR="009B5CD6" w:rsidRPr="00F77095" w:rsidRDefault="009B5CD6" w:rsidP="00650EAF"/>
        </w:tc>
        <w:tc>
          <w:tcPr>
            <w:tcW w:w="1394" w:type="pct"/>
            <w:tcBorders>
              <w:top w:val="nil"/>
              <w:left w:val="nil"/>
              <w:bottom w:val="nil"/>
              <w:right w:val="nil"/>
            </w:tcBorders>
          </w:tcPr>
          <w:p w:rsidR="009B5CD6" w:rsidRPr="00F77095" w:rsidRDefault="009B5CD6" w:rsidP="00650EAF">
            <w:pPr>
              <w:jc w:val="center"/>
              <w:rPr>
                <w:b/>
              </w:rPr>
            </w:pPr>
          </w:p>
        </w:tc>
        <w:tc>
          <w:tcPr>
            <w:tcW w:w="106" w:type="pct"/>
            <w:tcBorders>
              <w:top w:val="nil"/>
              <w:left w:val="nil"/>
              <w:bottom w:val="nil"/>
              <w:right w:val="nil"/>
            </w:tcBorders>
          </w:tcPr>
          <w:p w:rsidR="009B5CD6" w:rsidRPr="00F77095" w:rsidRDefault="009B5CD6" w:rsidP="00650EAF">
            <w:pPr>
              <w:jc w:val="center"/>
              <w:rPr>
                <w:b/>
              </w:rPr>
            </w:pPr>
          </w:p>
        </w:tc>
        <w:tc>
          <w:tcPr>
            <w:tcW w:w="609" w:type="pct"/>
            <w:tcBorders>
              <w:top w:val="nil"/>
              <w:left w:val="nil"/>
              <w:bottom w:val="nil"/>
              <w:right w:val="nil"/>
            </w:tcBorders>
          </w:tcPr>
          <w:p w:rsidR="009B5CD6" w:rsidRPr="00F77095" w:rsidRDefault="009B5CD6" w:rsidP="00650EAF">
            <w:pPr>
              <w:jc w:val="center"/>
              <w:rPr>
                <w:b/>
              </w:rPr>
            </w:pPr>
            <w:r w:rsidRPr="00F77095">
              <w:rPr>
                <w:b/>
              </w:rPr>
              <w:t>PRO RATA</w:t>
            </w:r>
          </w:p>
        </w:tc>
        <w:tc>
          <w:tcPr>
            <w:tcW w:w="688" w:type="pct"/>
            <w:tcBorders>
              <w:top w:val="nil"/>
              <w:left w:val="nil"/>
              <w:bottom w:val="nil"/>
              <w:right w:val="nil"/>
            </w:tcBorders>
          </w:tcPr>
          <w:p w:rsidR="009B5CD6" w:rsidRPr="00F77095" w:rsidRDefault="009B5CD6" w:rsidP="00650EAF">
            <w:pPr>
              <w:jc w:val="center"/>
              <w:rPr>
                <w:b/>
              </w:rPr>
            </w:pPr>
            <w:r w:rsidRPr="00F77095">
              <w:rPr>
                <w:b/>
              </w:rPr>
              <w:t>BALANCE</w:t>
            </w:r>
          </w:p>
        </w:tc>
        <w:tc>
          <w:tcPr>
            <w:tcW w:w="675" w:type="pct"/>
            <w:tcBorders>
              <w:top w:val="nil"/>
              <w:left w:val="nil"/>
              <w:bottom w:val="nil"/>
              <w:right w:val="nil"/>
            </w:tcBorders>
          </w:tcPr>
          <w:p w:rsidR="009B5CD6" w:rsidRPr="00F77095" w:rsidRDefault="009B5CD6" w:rsidP="00650EAF">
            <w:pPr>
              <w:jc w:val="center"/>
              <w:rPr>
                <w:b/>
              </w:rPr>
            </w:pPr>
            <w:r w:rsidRPr="00F77095">
              <w:rPr>
                <w:b/>
              </w:rPr>
              <w:t>PERCENT</w:t>
            </w:r>
          </w:p>
        </w:tc>
        <w:tc>
          <w:tcPr>
            <w:tcW w:w="433" w:type="pct"/>
            <w:tcBorders>
              <w:top w:val="nil"/>
              <w:left w:val="nil"/>
              <w:bottom w:val="nil"/>
              <w:right w:val="nil"/>
            </w:tcBorders>
          </w:tcPr>
          <w:p w:rsidR="009B5CD6" w:rsidRPr="00F77095" w:rsidRDefault="009B5CD6" w:rsidP="00650EAF">
            <w:pPr>
              <w:jc w:val="center"/>
              <w:rPr>
                <w:b/>
              </w:rPr>
            </w:pPr>
          </w:p>
        </w:tc>
        <w:tc>
          <w:tcPr>
            <w:tcW w:w="780" w:type="pct"/>
            <w:tcBorders>
              <w:top w:val="nil"/>
              <w:left w:val="nil"/>
              <w:bottom w:val="nil"/>
              <w:right w:val="nil"/>
            </w:tcBorders>
          </w:tcPr>
          <w:p w:rsidR="009B5CD6" w:rsidRPr="00F77095" w:rsidRDefault="009B5CD6" w:rsidP="00650EAF">
            <w:pPr>
              <w:jc w:val="center"/>
              <w:rPr>
                <w:b/>
              </w:rPr>
            </w:pPr>
          </w:p>
        </w:tc>
        <w:tc>
          <w:tcPr>
            <w:tcW w:w="114" w:type="pct"/>
            <w:tcBorders>
              <w:top w:val="nil"/>
              <w:left w:val="nil"/>
              <w:bottom w:val="nil"/>
              <w:right w:val="single" w:sz="4" w:space="0" w:color="auto"/>
            </w:tcBorders>
          </w:tcPr>
          <w:p w:rsidR="009B5CD6" w:rsidRPr="00F77095" w:rsidRDefault="009B5CD6" w:rsidP="00650EAF">
            <w:pPr>
              <w:jc w:val="center"/>
              <w:rPr>
                <w:b/>
              </w:rPr>
            </w:pPr>
          </w:p>
        </w:tc>
      </w:tr>
      <w:tr w:rsidR="009B5CD6" w:rsidRPr="00F77095" w:rsidTr="00650EAF">
        <w:tc>
          <w:tcPr>
            <w:tcW w:w="201" w:type="pct"/>
            <w:tcBorders>
              <w:top w:val="nil"/>
              <w:left w:val="single" w:sz="4" w:space="0" w:color="auto"/>
              <w:bottom w:val="nil"/>
              <w:right w:val="nil"/>
            </w:tcBorders>
          </w:tcPr>
          <w:p w:rsidR="009B5CD6" w:rsidRPr="00F77095" w:rsidRDefault="009B5CD6" w:rsidP="00650EAF"/>
        </w:tc>
        <w:tc>
          <w:tcPr>
            <w:tcW w:w="1394" w:type="pct"/>
            <w:tcBorders>
              <w:top w:val="nil"/>
              <w:left w:val="nil"/>
              <w:bottom w:val="nil"/>
              <w:right w:val="nil"/>
            </w:tcBorders>
          </w:tcPr>
          <w:p w:rsidR="009B5CD6" w:rsidRPr="00F77095" w:rsidRDefault="009B5CD6" w:rsidP="00650EAF">
            <w:pPr>
              <w:jc w:val="center"/>
              <w:rPr>
                <w:b/>
              </w:rPr>
            </w:pPr>
          </w:p>
        </w:tc>
        <w:tc>
          <w:tcPr>
            <w:tcW w:w="106" w:type="pct"/>
            <w:tcBorders>
              <w:top w:val="nil"/>
              <w:left w:val="nil"/>
              <w:bottom w:val="nil"/>
              <w:right w:val="nil"/>
            </w:tcBorders>
          </w:tcPr>
          <w:p w:rsidR="009B5CD6" w:rsidRPr="00F77095" w:rsidRDefault="009B5CD6" w:rsidP="00650EAF">
            <w:pPr>
              <w:jc w:val="center"/>
              <w:rPr>
                <w:b/>
              </w:rPr>
            </w:pPr>
            <w:r w:rsidRPr="00F77095">
              <w:rPr>
                <w:b/>
              </w:rPr>
              <w:t>PER</w:t>
            </w:r>
          </w:p>
        </w:tc>
        <w:tc>
          <w:tcPr>
            <w:tcW w:w="609" w:type="pct"/>
            <w:tcBorders>
              <w:top w:val="nil"/>
              <w:left w:val="nil"/>
              <w:bottom w:val="nil"/>
              <w:right w:val="nil"/>
            </w:tcBorders>
          </w:tcPr>
          <w:p w:rsidR="009B5CD6" w:rsidRPr="00F77095" w:rsidRDefault="009B5CD6" w:rsidP="00650EAF">
            <w:pPr>
              <w:jc w:val="center"/>
              <w:rPr>
                <w:b/>
              </w:rPr>
            </w:pPr>
            <w:r w:rsidRPr="00F77095">
              <w:rPr>
                <w:b/>
              </w:rPr>
              <w:t>ADJUST-</w:t>
            </w:r>
          </w:p>
        </w:tc>
        <w:tc>
          <w:tcPr>
            <w:tcW w:w="688" w:type="pct"/>
            <w:tcBorders>
              <w:top w:val="nil"/>
              <w:left w:val="nil"/>
              <w:bottom w:val="nil"/>
              <w:right w:val="nil"/>
            </w:tcBorders>
          </w:tcPr>
          <w:p w:rsidR="009B5CD6" w:rsidRPr="00F77095" w:rsidRDefault="009B5CD6" w:rsidP="00650EAF">
            <w:pPr>
              <w:jc w:val="center"/>
              <w:rPr>
                <w:b/>
              </w:rPr>
            </w:pPr>
            <w:r w:rsidRPr="00F77095">
              <w:rPr>
                <w:b/>
              </w:rPr>
              <w:t>PER</w:t>
            </w:r>
          </w:p>
        </w:tc>
        <w:tc>
          <w:tcPr>
            <w:tcW w:w="675" w:type="pct"/>
            <w:tcBorders>
              <w:top w:val="nil"/>
              <w:left w:val="nil"/>
              <w:bottom w:val="nil"/>
              <w:right w:val="nil"/>
            </w:tcBorders>
          </w:tcPr>
          <w:p w:rsidR="009B5CD6" w:rsidRPr="00F77095" w:rsidRDefault="009B5CD6" w:rsidP="00650EAF">
            <w:pPr>
              <w:jc w:val="center"/>
              <w:rPr>
                <w:b/>
              </w:rPr>
            </w:pPr>
            <w:r w:rsidRPr="00F77095">
              <w:rPr>
                <w:b/>
              </w:rPr>
              <w:t>OF</w:t>
            </w:r>
          </w:p>
        </w:tc>
        <w:tc>
          <w:tcPr>
            <w:tcW w:w="433" w:type="pct"/>
            <w:tcBorders>
              <w:top w:val="nil"/>
              <w:left w:val="nil"/>
              <w:bottom w:val="nil"/>
              <w:right w:val="nil"/>
            </w:tcBorders>
          </w:tcPr>
          <w:p w:rsidR="009B5CD6" w:rsidRPr="00F77095" w:rsidRDefault="009B5CD6" w:rsidP="00650EAF">
            <w:pPr>
              <w:jc w:val="center"/>
              <w:rPr>
                <w:b/>
              </w:rPr>
            </w:pPr>
          </w:p>
        </w:tc>
        <w:tc>
          <w:tcPr>
            <w:tcW w:w="780" w:type="pct"/>
            <w:tcBorders>
              <w:top w:val="nil"/>
              <w:left w:val="nil"/>
              <w:bottom w:val="nil"/>
              <w:right w:val="nil"/>
            </w:tcBorders>
          </w:tcPr>
          <w:p w:rsidR="009B5CD6" w:rsidRPr="00F77095" w:rsidRDefault="009B5CD6" w:rsidP="00650EAF">
            <w:pPr>
              <w:jc w:val="center"/>
              <w:rPr>
                <w:b/>
              </w:rPr>
            </w:pPr>
            <w:r w:rsidRPr="00F77095">
              <w:rPr>
                <w:b/>
              </w:rPr>
              <w:t>WEIGHTED</w:t>
            </w:r>
          </w:p>
        </w:tc>
        <w:tc>
          <w:tcPr>
            <w:tcW w:w="114" w:type="pct"/>
            <w:tcBorders>
              <w:top w:val="nil"/>
              <w:left w:val="nil"/>
              <w:bottom w:val="nil"/>
              <w:right w:val="single" w:sz="4" w:space="0" w:color="auto"/>
            </w:tcBorders>
          </w:tcPr>
          <w:p w:rsidR="009B5CD6" w:rsidRPr="00F77095" w:rsidRDefault="009B5CD6" w:rsidP="00650EAF">
            <w:pPr>
              <w:jc w:val="center"/>
              <w:rPr>
                <w:b/>
              </w:rPr>
            </w:pPr>
          </w:p>
        </w:tc>
      </w:tr>
      <w:tr w:rsidR="009B5CD6" w:rsidRPr="00F77095" w:rsidTr="00650EAF">
        <w:tc>
          <w:tcPr>
            <w:tcW w:w="201" w:type="pct"/>
            <w:tcBorders>
              <w:top w:val="nil"/>
              <w:left w:val="single" w:sz="4" w:space="0" w:color="auto"/>
              <w:bottom w:val="single" w:sz="4" w:space="0" w:color="auto"/>
              <w:right w:val="nil"/>
            </w:tcBorders>
          </w:tcPr>
          <w:p w:rsidR="009B5CD6" w:rsidRPr="00F77095" w:rsidRDefault="009B5CD6" w:rsidP="00650EAF"/>
        </w:tc>
        <w:tc>
          <w:tcPr>
            <w:tcW w:w="1394" w:type="pct"/>
            <w:tcBorders>
              <w:top w:val="nil"/>
              <w:left w:val="nil"/>
              <w:bottom w:val="single" w:sz="4" w:space="0" w:color="auto"/>
              <w:right w:val="nil"/>
            </w:tcBorders>
          </w:tcPr>
          <w:p w:rsidR="009B5CD6" w:rsidRPr="00F77095" w:rsidRDefault="009B5CD6" w:rsidP="00650EAF">
            <w:pPr>
              <w:jc w:val="center"/>
              <w:rPr>
                <w:b/>
              </w:rPr>
            </w:pPr>
            <w:r w:rsidRPr="00F77095">
              <w:rPr>
                <w:b/>
              </w:rPr>
              <w:t>CAPITAL COMPONENT</w:t>
            </w:r>
          </w:p>
        </w:tc>
        <w:tc>
          <w:tcPr>
            <w:tcW w:w="106" w:type="pct"/>
            <w:tcBorders>
              <w:top w:val="nil"/>
              <w:left w:val="nil"/>
              <w:bottom w:val="single" w:sz="4" w:space="0" w:color="auto"/>
              <w:right w:val="nil"/>
            </w:tcBorders>
          </w:tcPr>
          <w:p w:rsidR="009B5CD6" w:rsidRPr="00F77095" w:rsidRDefault="009B5CD6" w:rsidP="00650EAF">
            <w:pPr>
              <w:jc w:val="center"/>
              <w:rPr>
                <w:b/>
              </w:rPr>
            </w:pPr>
            <w:r w:rsidRPr="00F77095">
              <w:rPr>
                <w:b/>
              </w:rPr>
              <w:t>UTILITY</w:t>
            </w:r>
          </w:p>
        </w:tc>
        <w:tc>
          <w:tcPr>
            <w:tcW w:w="609" w:type="pct"/>
            <w:tcBorders>
              <w:top w:val="nil"/>
              <w:left w:val="nil"/>
              <w:bottom w:val="single" w:sz="4" w:space="0" w:color="auto"/>
              <w:right w:val="nil"/>
            </w:tcBorders>
          </w:tcPr>
          <w:p w:rsidR="009B5CD6" w:rsidRPr="00F77095" w:rsidRDefault="009B5CD6" w:rsidP="00650EAF">
            <w:pPr>
              <w:jc w:val="center"/>
              <w:rPr>
                <w:b/>
              </w:rPr>
            </w:pPr>
            <w:r w:rsidRPr="00F77095">
              <w:rPr>
                <w:b/>
              </w:rPr>
              <w:t>MENTS</w:t>
            </w:r>
          </w:p>
        </w:tc>
        <w:tc>
          <w:tcPr>
            <w:tcW w:w="688" w:type="pct"/>
            <w:tcBorders>
              <w:top w:val="nil"/>
              <w:left w:val="nil"/>
              <w:bottom w:val="single" w:sz="4" w:space="0" w:color="auto"/>
              <w:right w:val="nil"/>
            </w:tcBorders>
          </w:tcPr>
          <w:p w:rsidR="009B5CD6" w:rsidRPr="00F77095" w:rsidRDefault="009B5CD6" w:rsidP="00650EAF">
            <w:pPr>
              <w:jc w:val="center"/>
              <w:rPr>
                <w:b/>
              </w:rPr>
            </w:pPr>
            <w:r w:rsidRPr="00F77095">
              <w:rPr>
                <w:b/>
              </w:rPr>
              <w:t>STAFF</w:t>
            </w:r>
          </w:p>
        </w:tc>
        <w:tc>
          <w:tcPr>
            <w:tcW w:w="675" w:type="pct"/>
            <w:tcBorders>
              <w:top w:val="nil"/>
              <w:left w:val="nil"/>
              <w:bottom w:val="single" w:sz="4" w:space="0" w:color="auto"/>
              <w:right w:val="nil"/>
            </w:tcBorders>
          </w:tcPr>
          <w:p w:rsidR="009B5CD6" w:rsidRPr="00F77095" w:rsidRDefault="009B5CD6" w:rsidP="00650EAF">
            <w:pPr>
              <w:jc w:val="center"/>
              <w:rPr>
                <w:b/>
              </w:rPr>
            </w:pPr>
            <w:r w:rsidRPr="00F77095">
              <w:rPr>
                <w:b/>
              </w:rPr>
              <w:t>TOTAL</w:t>
            </w:r>
          </w:p>
        </w:tc>
        <w:tc>
          <w:tcPr>
            <w:tcW w:w="433" w:type="pct"/>
            <w:tcBorders>
              <w:top w:val="nil"/>
              <w:left w:val="nil"/>
              <w:bottom w:val="single" w:sz="4" w:space="0" w:color="auto"/>
              <w:right w:val="nil"/>
            </w:tcBorders>
          </w:tcPr>
          <w:p w:rsidR="009B5CD6" w:rsidRPr="00F77095" w:rsidRDefault="009B5CD6" w:rsidP="00650EAF">
            <w:pPr>
              <w:jc w:val="center"/>
              <w:rPr>
                <w:b/>
              </w:rPr>
            </w:pPr>
            <w:r w:rsidRPr="00F77095">
              <w:rPr>
                <w:b/>
              </w:rPr>
              <w:t>COST</w:t>
            </w:r>
          </w:p>
        </w:tc>
        <w:tc>
          <w:tcPr>
            <w:tcW w:w="780" w:type="pct"/>
            <w:tcBorders>
              <w:top w:val="nil"/>
              <w:left w:val="nil"/>
              <w:bottom w:val="single" w:sz="4" w:space="0" w:color="auto"/>
              <w:right w:val="nil"/>
            </w:tcBorders>
          </w:tcPr>
          <w:p w:rsidR="009B5CD6" w:rsidRPr="00F77095" w:rsidRDefault="009B5CD6" w:rsidP="00650EAF">
            <w:pPr>
              <w:jc w:val="center"/>
              <w:rPr>
                <w:b/>
              </w:rPr>
            </w:pPr>
            <w:r w:rsidRPr="00F77095">
              <w:rPr>
                <w:b/>
              </w:rPr>
              <w:t>COST</w:t>
            </w:r>
          </w:p>
        </w:tc>
        <w:tc>
          <w:tcPr>
            <w:tcW w:w="114" w:type="pct"/>
            <w:tcBorders>
              <w:top w:val="nil"/>
              <w:left w:val="nil"/>
              <w:bottom w:val="single" w:sz="4" w:space="0" w:color="auto"/>
              <w:right w:val="single" w:sz="4" w:space="0" w:color="auto"/>
            </w:tcBorders>
          </w:tcPr>
          <w:p w:rsidR="009B5CD6" w:rsidRPr="00F77095" w:rsidRDefault="009B5CD6" w:rsidP="00650EAF">
            <w:pPr>
              <w:jc w:val="center"/>
              <w:rPr>
                <w:b/>
              </w:rPr>
            </w:pPr>
          </w:p>
        </w:tc>
      </w:tr>
      <w:tr w:rsidR="009B5CD6" w:rsidRPr="00F77095" w:rsidTr="00650EAF">
        <w:tc>
          <w:tcPr>
            <w:tcW w:w="201" w:type="pct"/>
            <w:tcBorders>
              <w:top w:val="single" w:sz="4" w:space="0" w:color="auto"/>
              <w:left w:val="single" w:sz="4" w:space="0" w:color="auto"/>
              <w:bottom w:val="nil"/>
              <w:right w:val="nil"/>
            </w:tcBorders>
          </w:tcPr>
          <w:p w:rsidR="009B5CD6" w:rsidRPr="00F77095" w:rsidRDefault="009B5CD6" w:rsidP="00650EAF">
            <w:pPr>
              <w:jc w:val="both"/>
            </w:pPr>
          </w:p>
        </w:tc>
        <w:tc>
          <w:tcPr>
            <w:tcW w:w="1394" w:type="pct"/>
            <w:tcBorders>
              <w:top w:val="single" w:sz="4" w:space="0" w:color="auto"/>
              <w:left w:val="nil"/>
              <w:bottom w:val="nil"/>
              <w:right w:val="nil"/>
            </w:tcBorders>
          </w:tcPr>
          <w:p w:rsidR="009B5CD6" w:rsidRPr="00F77095" w:rsidRDefault="009B5CD6" w:rsidP="00650EAF">
            <w:pPr>
              <w:jc w:val="both"/>
            </w:pPr>
          </w:p>
        </w:tc>
        <w:tc>
          <w:tcPr>
            <w:tcW w:w="106" w:type="pct"/>
            <w:tcBorders>
              <w:top w:val="single" w:sz="4" w:space="0" w:color="auto"/>
              <w:left w:val="nil"/>
              <w:bottom w:val="nil"/>
              <w:right w:val="nil"/>
            </w:tcBorders>
          </w:tcPr>
          <w:p w:rsidR="009B5CD6" w:rsidRPr="00F77095" w:rsidRDefault="009B5CD6" w:rsidP="00650EAF">
            <w:pPr>
              <w:jc w:val="both"/>
            </w:pPr>
          </w:p>
        </w:tc>
        <w:tc>
          <w:tcPr>
            <w:tcW w:w="609" w:type="pct"/>
            <w:tcBorders>
              <w:top w:val="single" w:sz="4" w:space="0" w:color="auto"/>
              <w:left w:val="nil"/>
              <w:bottom w:val="nil"/>
              <w:right w:val="nil"/>
            </w:tcBorders>
          </w:tcPr>
          <w:p w:rsidR="009B5CD6" w:rsidRPr="00F77095" w:rsidRDefault="009B5CD6" w:rsidP="00650EAF">
            <w:pPr>
              <w:jc w:val="both"/>
            </w:pPr>
          </w:p>
        </w:tc>
        <w:tc>
          <w:tcPr>
            <w:tcW w:w="688" w:type="pct"/>
            <w:tcBorders>
              <w:top w:val="single" w:sz="4" w:space="0" w:color="auto"/>
              <w:left w:val="nil"/>
              <w:bottom w:val="nil"/>
              <w:right w:val="nil"/>
            </w:tcBorders>
          </w:tcPr>
          <w:p w:rsidR="009B5CD6" w:rsidRPr="00F77095" w:rsidRDefault="009B5CD6" w:rsidP="00650EAF">
            <w:pPr>
              <w:jc w:val="both"/>
            </w:pPr>
          </w:p>
        </w:tc>
        <w:tc>
          <w:tcPr>
            <w:tcW w:w="675" w:type="pct"/>
            <w:tcBorders>
              <w:top w:val="single" w:sz="4" w:space="0" w:color="auto"/>
              <w:left w:val="nil"/>
              <w:bottom w:val="nil"/>
              <w:right w:val="nil"/>
            </w:tcBorders>
          </w:tcPr>
          <w:p w:rsidR="009B5CD6" w:rsidRPr="00F77095" w:rsidRDefault="009B5CD6" w:rsidP="00650EAF">
            <w:pPr>
              <w:jc w:val="both"/>
            </w:pPr>
          </w:p>
        </w:tc>
        <w:tc>
          <w:tcPr>
            <w:tcW w:w="433" w:type="pct"/>
            <w:tcBorders>
              <w:top w:val="single" w:sz="4" w:space="0" w:color="auto"/>
              <w:left w:val="nil"/>
              <w:bottom w:val="nil"/>
              <w:right w:val="nil"/>
            </w:tcBorders>
          </w:tcPr>
          <w:p w:rsidR="009B5CD6" w:rsidRPr="00F77095" w:rsidRDefault="009B5CD6" w:rsidP="00650EAF">
            <w:pPr>
              <w:jc w:val="both"/>
            </w:pPr>
          </w:p>
        </w:tc>
        <w:tc>
          <w:tcPr>
            <w:tcW w:w="780" w:type="pct"/>
            <w:tcBorders>
              <w:top w:val="single" w:sz="4" w:space="0" w:color="auto"/>
              <w:left w:val="nil"/>
              <w:bottom w:val="nil"/>
              <w:right w:val="nil"/>
            </w:tcBorders>
          </w:tcPr>
          <w:p w:rsidR="009B5CD6" w:rsidRPr="00F77095" w:rsidRDefault="009B5CD6" w:rsidP="00650EAF">
            <w:pPr>
              <w:jc w:val="both"/>
            </w:pPr>
          </w:p>
        </w:tc>
        <w:tc>
          <w:tcPr>
            <w:tcW w:w="114" w:type="pct"/>
            <w:tcBorders>
              <w:top w:val="single" w:sz="4" w:space="0" w:color="auto"/>
              <w:left w:val="nil"/>
              <w:bottom w:val="nil"/>
              <w:right w:val="single" w:sz="4" w:space="0" w:color="auto"/>
            </w:tcBorders>
          </w:tcPr>
          <w:p w:rsidR="009B5CD6" w:rsidRPr="00F77095" w:rsidRDefault="009B5CD6" w:rsidP="00650EAF">
            <w:pPr>
              <w:jc w:val="both"/>
            </w:pPr>
          </w:p>
        </w:tc>
      </w:tr>
      <w:tr w:rsidR="009B5CD6" w:rsidRPr="00F77095" w:rsidTr="00650EAF">
        <w:tc>
          <w:tcPr>
            <w:tcW w:w="201" w:type="pct"/>
            <w:tcBorders>
              <w:top w:val="nil"/>
              <w:left w:val="single" w:sz="4" w:space="0" w:color="auto"/>
              <w:bottom w:val="nil"/>
              <w:right w:val="nil"/>
            </w:tcBorders>
          </w:tcPr>
          <w:p w:rsidR="009B5CD6" w:rsidRPr="00F77095" w:rsidRDefault="009B5CD6" w:rsidP="00650EAF">
            <w:pPr>
              <w:jc w:val="both"/>
            </w:pPr>
            <w:r w:rsidRPr="00F77095">
              <w:t>1.</w:t>
            </w:r>
          </w:p>
        </w:tc>
        <w:tc>
          <w:tcPr>
            <w:tcW w:w="1394" w:type="pct"/>
            <w:tcBorders>
              <w:top w:val="nil"/>
              <w:left w:val="nil"/>
              <w:bottom w:val="nil"/>
              <w:right w:val="nil"/>
            </w:tcBorders>
          </w:tcPr>
          <w:p w:rsidR="009B5CD6" w:rsidRPr="00F77095" w:rsidRDefault="009B5CD6" w:rsidP="00650EAF">
            <w:pPr>
              <w:jc w:val="both"/>
            </w:pPr>
            <w:r w:rsidRPr="00F77095">
              <w:t>LONG-TERM DEBT</w:t>
            </w:r>
          </w:p>
        </w:tc>
        <w:tc>
          <w:tcPr>
            <w:tcW w:w="106" w:type="pct"/>
            <w:tcBorders>
              <w:top w:val="nil"/>
              <w:left w:val="nil"/>
              <w:bottom w:val="nil"/>
              <w:right w:val="nil"/>
            </w:tcBorders>
          </w:tcPr>
          <w:p w:rsidR="009B5CD6" w:rsidRPr="00F77095" w:rsidRDefault="009B5CD6" w:rsidP="00650EAF">
            <w:pPr>
              <w:jc w:val="right"/>
            </w:pPr>
            <w:r w:rsidRPr="00F77095">
              <w:t>0</w:t>
            </w:r>
          </w:p>
        </w:tc>
        <w:tc>
          <w:tcPr>
            <w:tcW w:w="609" w:type="pct"/>
            <w:tcBorders>
              <w:top w:val="nil"/>
              <w:left w:val="nil"/>
              <w:bottom w:val="nil"/>
              <w:right w:val="nil"/>
            </w:tcBorders>
          </w:tcPr>
          <w:p w:rsidR="009B5CD6" w:rsidRPr="00F77095" w:rsidRDefault="009B5CD6" w:rsidP="00650EAF">
            <w:pPr>
              <w:jc w:val="right"/>
            </w:pPr>
            <w:r w:rsidRPr="00F77095">
              <w:t>0</w:t>
            </w:r>
          </w:p>
        </w:tc>
        <w:tc>
          <w:tcPr>
            <w:tcW w:w="688" w:type="pct"/>
            <w:tcBorders>
              <w:top w:val="nil"/>
              <w:left w:val="nil"/>
              <w:bottom w:val="nil"/>
              <w:right w:val="nil"/>
            </w:tcBorders>
          </w:tcPr>
          <w:p w:rsidR="009B5CD6" w:rsidRPr="00F77095" w:rsidRDefault="009B5CD6" w:rsidP="00650EAF">
            <w:pPr>
              <w:jc w:val="right"/>
            </w:pPr>
            <w:r w:rsidRPr="00F77095">
              <w:t>0</w:t>
            </w:r>
          </w:p>
        </w:tc>
        <w:tc>
          <w:tcPr>
            <w:tcW w:w="675" w:type="pct"/>
            <w:tcBorders>
              <w:top w:val="nil"/>
              <w:left w:val="nil"/>
              <w:bottom w:val="nil"/>
              <w:right w:val="nil"/>
            </w:tcBorders>
          </w:tcPr>
          <w:p w:rsidR="009B5CD6" w:rsidRPr="00F77095" w:rsidRDefault="009B5CD6" w:rsidP="00650EAF">
            <w:pPr>
              <w:jc w:val="right"/>
            </w:pPr>
            <w:r w:rsidRPr="00F77095">
              <w:t>0.00%</w:t>
            </w:r>
          </w:p>
        </w:tc>
        <w:tc>
          <w:tcPr>
            <w:tcW w:w="433" w:type="pct"/>
            <w:tcBorders>
              <w:top w:val="nil"/>
              <w:left w:val="nil"/>
              <w:bottom w:val="nil"/>
              <w:right w:val="nil"/>
            </w:tcBorders>
          </w:tcPr>
          <w:p w:rsidR="009B5CD6" w:rsidRPr="00F77095" w:rsidRDefault="009B5CD6" w:rsidP="00650EAF">
            <w:pPr>
              <w:jc w:val="right"/>
            </w:pPr>
            <w:r w:rsidRPr="00F77095">
              <w:t>0.00%</w:t>
            </w:r>
          </w:p>
        </w:tc>
        <w:tc>
          <w:tcPr>
            <w:tcW w:w="780" w:type="pct"/>
            <w:tcBorders>
              <w:top w:val="nil"/>
              <w:left w:val="nil"/>
              <w:bottom w:val="nil"/>
              <w:right w:val="nil"/>
            </w:tcBorders>
          </w:tcPr>
          <w:p w:rsidR="009B5CD6" w:rsidRPr="00F77095" w:rsidRDefault="009B5CD6" w:rsidP="00650EAF">
            <w:pPr>
              <w:jc w:val="right"/>
            </w:pPr>
            <w:r w:rsidRPr="00F77095">
              <w:t>0.00%</w:t>
            </w:r>
          </w:p>
        </w:tc>
        <w:tc>
          <w:tcPr>
            <w:tcW w:w="114" w:type="pct"/>
            <w:tcBorders>
              <w:top w:val="nil"/>
              <w:left w:val="nil"/>
              <w:bottom w:val="nil"/>
              <w:right w:val="single" w:sz="4" w:space="0" w:color="auto"/>
            </w:tcBorders>
          </w:tcPr>
          <w:p w:rsidR="009B5CD6" w:rsidRPr="00F77095" w:rsidRDefault="009B5CD6" w:rsidP="00650EAF">
            <w:pPr>
              <w:jc w:val="both"/>
            </w:pPr>
          </w:p>
        </w:tc>
      </w:tr>
      <w:tr w:rsidR="009B5CD6" w:rsidRPr="00F77095" w:rsidTr="00650EAF">
        <w:tc>
          <w:tcPr>
            <w:tcW w:w="201" w:type="pct"/>
            <w:tcBorders>
              <w:top w:val="nil"/>
              <w:left w:val="single" w:sz="4" w:space="0" w:color="auto"/>
              <w:bottom w:val="nil"/>
              <w:right w:val="nil"/>
            </w:tcBorders>
          </w:tcPr>
          <w:p w:rsidR="009B5CD6" w:rsidRPr="00F77095" w:rsidRDefault="009B5CD6" w:rsidP="00650EAF">
            <w:pPr>
              <w:jc w:val="both"/>
            </w:pPr>
            <w:r w:rsidRPr="00F77095">
              <w:t>2.</w:t>
            </w:r>
          </w:p>
        </w:tc>
        <w:tc>
          <w:tcPr>
            <w:tcW w:w="1394" w:type="pct"/>
            <w:tcBorders>
              <w:top w:val="nil"/>
              <w:left w:val="nil"/>
              <w:bottom w:val="nil"/>
              <w:right w:val="nil"/>
            </w:tcBorders>
          </w:tcPr>
          <w:p w:rsidR="009B5CD6" w:rsidRPr="00F77095" w:rsidRDefault="009B5CD6" w:rsidP="00650EAF">
            <w:pPr>
              <w:jc w:val="both"/>
            </w:pPr>
            <w:r w:rsidRPr="00F77095">
              <w:t>SHORT-TERM DEBT</w:t>
            </w:r>
          </w:p>
        </w:tc>
        <w:tc>
          <w:tcPr>
            <w:tcW w:w="106" w:type="pct"/>
            <w:tcBorders>
              <w:top w:val="nil"/>
              <w:left w:val="nil"/>
              <w:bottom w:val="nil"/>
              <w:right w:val="nil"/>
            </w:tcBorders>
          </w:tcPr>
          <w:p w:rsidR="009B5CD6" w:rsidRPr="00F77095" w:rsidRDefault="009B5CD6" w:rsidP="00650EAF">
            <w:pPr>
              <w:jc w:val="right"/>
            </w:pPr>
            <w:r w:rsidRPr="00F77095">
              <w:t>0</w:t>
            </w:r>
          </w:p>
        </w:tc>
        <w:tc>
          <w:tcPr>
            <w:tcW w:w="609" w:type="pct"/>
            <w:tcBorders>
              <w:top w:val="nil"/>
              <w:left w:val="nil"/>
              <w:bottom w:val="nil"/>
              <w:right w:val="nil"/>
            </w:tcBorders>
          </w:tcPr>
          <w:p w:rsidR="009B5CD6" w:rsidRPr="00F77095" w:rsidRDefault="009B5CD6" w:rsidP="00650EAF">
            <w:pPr>
              <w:jc w:val="right"/>
            </w:pPr>
            <w:r w:rsidRPr="00F77095">
              <w:t>0</w:t>
            </w:r>
          </w:p>
        </w:tc>
        <w:tc>
          <w:tcPr>
            <w:tcW w:w="688" w:type="pct"/>
            <w:tcBorders>
              <w:top w:val="nil"/>
              <w:left w:val="nil"/>
              <w:bottom w:val="nil"/>
              <w:right w:val="nil"/>
            </w:tcBorders>
          </w:tcPr>
          <w:p w:rsidR="009B5CD6" w:rsidRPr="00F77095" w:rsidRDefault="009B5CD6" w:rsidP="00650EAF">
            <w:pPr>
              <w:jc w:val="right"/>
            </w:pPr>
            <w:r w:rsidRPr="00F77095">
              <w:t>0</w:t>
            </w:r>
          </w:p>
        </w:tc>
        <w:tc>
          <w:tcPr>
            <w:tcW w:w="675" w:type="pct"/>
            <w:tcBorders>
              <w:top w:val="nil"/>
              <w:left w:val="nil"/>
              <w:bottom w:val="nil"/>
              <w:right w:val="nil"/>
            </w:tcBorders>
          </w:tcPr>
          <w:p w:rsidR="009B5CD6" w:rsidRPr="00F77095" w:rsidRDefault="009B5CD6" w:rsidP="00650EAF">
            <w:pPr>
              <w:jc w:val="right"/>
            </w:pPr>
            <w:r w:rsidRPr="00F77095">
              <w:t>0.00%</w:t>
            </w:r>
          </w:p>
        </w:tc>
        <w:tc>
          <w:tcPr>
            <w:tcW w:w="433" w:type="pct"/>
            <w:tcBorders>
              <w:top w:val="nil"/>
              <w:left w:val="nil"/>
              <w:bottom w:val="nil"/>
              <w:right w:val="nil"/>
            </w:tcBorders>
          </w:tcPr>
          <w:p w:rsidR="009B5CD6" w:rsidRPr="00F77095" w:rsidRDefault="009B5CD6" w:rsidP="00650EAF">
            <w:pPr>
              <w:jc w:val="right"/>
            </w:pPr>
            <w:r w:rsidRPr="00F77095">
              <w:t>0.00%</w:t>
            </w:r>
          </w:p>
        </w:tc>
        <w:tc>
          <w:tcPr>
            <w:tcW w:w="780" w:type="pct"/>
            <w:tcBorders>
              <w:top w:val="nil"/>
              <w:left w:val="nil"/>
              <w:bottom w:val="nil"/>
              <w:right w:val="nil"/>
            </w:tcBorders>
          </w:tcPr>
          <w:p w:rsidR="009B5CD6" w:rsidRPr="00F77095" w:rsidRDefault="009B5CD6" w:rsidP="00650EAF">
            <w:pPr>
              <w:jc w:val="right"/>
            </w:pPr>
            <w:r w:rsidRPr="00F77095">
              <w:t>0.00%</w:t>
            </w:r>
          </w:p>
        </w:tc>
        <w:tc>
          <w:tcPr>
            <w:tcW w:w="114" w:type="pct"/>
            <w:tcBorders>
              <w:top w:val="nil"/>
              <w:left w:val="nil"/>
              <w:bottom w:val="nil"/>
              <w:right w:val="single" w:sz="4" w:space="0" w:color="auto"/>
            </w:tcBorders>
          </w:tcPr>
          <w:p w:rsidR="009B5CD6" w:rsidRPr="00F77095" w:rsidRDefault="009B5CD6" w:rsidP="00650EAF">
            <w:pPr>
              <w:jc w:val="both"/>
            </w:pPr>
          </w:p>
        </w:tc>
      </w:tr>
      <w:tr w:rsidR="009B5CD6" w:rsidRPr="00F77095" w:rsidTr="00650EAF">
        <w:tc>
          <w:tcPr>
            <w:tcW w:w="201" w:type="pct"/>
            <w:tcBorders>
              <w:top w:val="nil"/>
              <w:left w:val="single" w:sz="4" w:space="0" w:color="auto"/>
              <w:bottom w:val="nil"/>
              <w:right w:val="nil"/>
            </w:tcBorders>
          </w:tcPr>
          <w:p w:rsidR="009B5CD6" w:rsidRPr="00F77095" w:rsidRDefault="009B5CD6" w:rsidP="00650EAF">
            <w:pPr>
              <w:jc w:val="both"/>
            </w:pPr>
            <w:r w:rsidRPr="00F77095">
              <w:t>3.</w:t>
            </w:r>
          </w:p>
        </w:tc>
        <w:tc>
          <w:tcPr>
            <w:tcW w:w="1394" w:type="pct"/>
            <w:tcBorders>
              <w:top w:val="nil"/>
              <w:left w:val="nil"/>
              <w:bottom w:val="nil"/>
              <w:right w:val="nil"/>
            </w:tcBorders>
          </w:tcPr>
          <w:p w:rsidR="009B5CD6" w:rsidRPr="00F77095" w:rsidRDefault="009B5CD6" w:rsidP="00650EAF">
            <w:pPr>
              <w:jc w:val="both"/>
            </w:pPr>
            <w:r w:rsidRPr="00F77095">
              <w:t>COMMON EQUITY</w:t>
            </w:r>
          </w:p>
        </w:tc>
        <w:tc>
          <w:tcPr>
            <w:tcW w:w="106" w:type="pct"/>
            <w:tcBorders>
              <w:top w:val="nil"/>
              <w:left w:val="nil"/>
              <w:bottom w:val="nil"/>
              <w:right w:val="nil"/>
            </w:tcBorders>
          </w:tcPr>
          <w:p w:rsidR="009B5CD6" w:rsidRPr="00F77095" w:rsidRDefault="009B5CD6" w:rsidP="00650EAF">
            <w:pPr>
              <w:jc w:val="right"/>
            </w:pPr>
            <w:r w:rsidRPr="00F77095">
              <w:t>$30,645</w:t>
            </w:r>
          </w:p>
        </w:tc>
        <w:tc>
          <w:tcPr>
            <w:tcW w:w="609" w:type="pct"/>
            <w:tcBorders>
              <w:top w:val="nil"/>
              <w:left w:val="nil"/>
              <w:bottom w:val="nil"/>
              <w:right w:val="nil"/>
            </w:tcBorders>
          </w:tcPr>
          <w:p w:rsidR="009B5CD6" w:rsidRPr="00F77095" w:rsidRDefault="009B5CD6" w:rsidP="00650EAF">
            <w:pPr>
              <w:jc w:val="right"/>
            </w:pPr>
            <w:r w:rsidRPr="00F77095">
              <w:t>$7,802</w:t>
            </w:r>
          </w:p>
        </w:tc>
        <w:tc>
          <w:tcPr>
            <w:tcW w:w="688" w:type="pct"/>
            <w:tcBorders>
              <w:top w:val="nil"/>
              <w:left w:val="nil"/>
              <w:bottom w:val="nil"/>
              <w:right w:val="nil"/>
            </w:tcBorders>
          </w:tcPr>
          <w:p w:rsidR="009B5CD6" w:rsidRPr="00F77095" w:rsidRDefault="009B5CD6" w:rsidP="00650EAF">
            <w:pPr>
              <w:jc w:val="right"/>
            </w:pPr>
            <w:r w:rsidRPr="00F77095">
              <w:t>$38,447</w:t>
            </w:r>
          </w:p>
        </w:tc>
        <w:tc>
          <w:tcPr>
            <w:tcW w:w="675" w:type="pct"/>
            <w:tcBorders>
              <w:top w:val="nil"/>
              <w:left w:val="nil"/>
              <w:bottom w:val="nil"/>
              <w:right w:val="nil"/>
            </w:tcBorders>
          </w:tcPr>
          <w:p w:rsidR="009B5CD6" w:rsidRPr="00F77095" w:rsidRDefault="009B5CD6" w:rsidP="00650EAF">
            <w:pPr>
              <w:jc w:val="right"/>
            </w:pPr>
            <w:r w:rsidRPr="00F77095">
              <w:t>100.00%</w:t>
            </w:r>
          </w:p>
        </w:tc>
        <w:tc>
          <w:tcPr>
            <w:tcW w:w="433" w:type="pct"/>
            <w:tcBorders>
              <w:top w:val="nil"/>
              <w:left w:val="nil"/>
              <w:bottom w:val="nil"/>
              <w:right w:val="nil"/>
            </w:tcBorders>
          </w:tcPr>
          <w:p w:rsidR="009B5CD6" w:rsidRPr="00F77095" w:rsidRDefault="009B5CD6" w:rsidP="00650EAF">
            <w:pPr>
              <w:jc w:val="right"/>
            </w:pPr>
            <w:r w:rsidRPr="00F77095">
              <w:t>7.85%</w:t>
            </w:r>
          </w:p>
        </w:tc>
        <w:tc>
          <w:tcPr>
            <w:tcW w:w="780" w:type="pct"/>
            <w:tcBorders>
              <w:top w:val="nil"/>
              <w:left w:val="nil"/>
              <w:bottom w:val="nil"/>
              <w:right w:val="nil"/>
            </w:tcBorders>
          </w:tcPr>
          <w:p w:rsidR="009B5CD6" w:rsidRPr="00F77095" w:rsidRDefault="009B5CD6" w:rsidP="00650EAF">
            <w:pPr>
              <w:jc w:val="right"/>
            </w:pPr>
            <w:r w:rsidRPr="00F77095">
              <w:t>7.85%</w:t>
            </w:r>
          </w:p>
        </w:tc>
        <w:tc>
          <w:tcPr>
            <w:tcW w:w="114" w:type="pct"/>
            <w:tcBorders>
              <w:top w:val="nil"/>
              <w:left w:val="nil"/>
              <w:bottom w:val="nil"/>
              <w:right w:val="single" w:sz="4" w:space="0" w:color="auto"/>
            </w:tcBorders>
          </w:tcPr>
          <w:p w:rsidR="009B5CD6" w:rsidRPr="00F77095" w:rsidRDefault="009B5CD6" w:rsidP="00650EAF">
            <w:pPr>
              <w:jc w:val="both"/>
            </w:pPr>
          </w:p>
        </w:tc>
      </w:tr>
      <w:tr w:rsidR="009B5CD6" w:rsidRPr="00F77095" w:rsidTr="00650EAF">
        <w:tc>
          <w:tcPr>
            <w:tcW w:w="201" w:type="pct"/>
            <w:tcBorders>
              <w:top w:val="nil"/>
              <w:left w:val="single" w:sz="4" w:space="0" w:color="auto"/>
              <w:bottom w:val="nil"/>
              <w:right w:val="nil"/>
            </w:tcBorders>
          </w:tcPr>
          <w:p w:rsidR="009B5CD6" w:rsidRPr="00F77095" w:rsidRDefault="009B5CD6" w:rsidP="00650EAF">
            <w:pPr>
              <w:jc w:val="both"/>
            </w:pPr>
            <w:r w:rsidRPr="00F77095">
              <w:t>4.</w:t>
            </w:r>
          </w:p>
        </w:tc>
        <w:tc>
          <w:tcPr>
            <w:tcW w:w="1394" w:type="pct"/>
            <w:tcBorders>
              <w:top w:val="nil"/>
              <w:left w:val="nil"/>
              <w:bottom w:val="nil"/>
              <w:right w:val="nil"/>
            </w:tcBorders>
          </w:tcPr>
          <w:p w:rsidR="009B5CD6" w:rsidRPr="00F77095" w:rsidRDefault="009B5CD6" w:rsidP="00650EAF">
            <w:pPr>
              <w:jc w:val="both"/>
            </w:pPr>
            <w:r w:rsidRPr="00F77095">
              <w:t>CUSTOMER DEPOSITS</w:t>
            </w:r>
          </w:p>
        </w:tc>
        <w:tc>
          <w:tcPr>
            <w:tcW w:w="106" w:type="pct"/>
            <w:tcBorders>
              <w:top w:val="nil"/>
              <w:left w:val="nil"/>
              <w:bottom w:val="nil"/>
              <w:right w:val="nil"/>
            </w:tcBorders>
          </w:tcPr>
          <w:p w:rsidR="009B5CD6" w:rsidRPr="00F77095" w:rsidRDefault="009B5CD6" w:rsidP="00650EAF">
            <w:pPr>
              <w:jc w:val="right"/>
            </w:pPr>
            <w:r w:rsidRPr="00F77095">
              <w:t>0</w:t>
            </w:r>
          </w:p>
        </w:tc>
        <w:tc>
          <w:tcPr>
            <w:tcW w:w="609" w:type="pct"/>
            <w:tcBorders>
              <w:top w:val="nil"/>
              <w:left w:val="nil"/>
              <w:bottom w:val="nil"/>
              <w:right w:val="nil"/>
            </w:tcBorders>
          </w:tcPr>
          <w:p w:rsidR="009B5CD6" w:rsidRPr="00F77095" w:rsidRDefault="009B5CD6" w:rsidP="00650EAF">
            <w:pPr>
              <w:jc w:val="right"/>
            </w:pPr>
            <w:r w:rsidRPr="00F77095">
              <w:t>0</w:t>
            </w:r>
          </w:p>
        </w:tc>
        <w:tc>
          <w:tcPr>
            <w:tcW w:w="688" w:type="pct"/>
            <w:tcBorders>
              <w:top w:val="nil"/>
              <w:left w:val="nil"/>
              <w:bottom w:val="nil"/>
              <w:right w:val="nil"/>
            </w:tcBorders>
          </w:tcPr>
          <w:p w:rsidR="009B5CD6" w:rsidRPr="00F77095" w:rsidRDefault="009B5CD6" w:rsidP="00650EAF">
            <w:pPr>
              <w:jc w:val="right"/>
            </w:pPr>
            <w:r w:rsidRPr="00F77095">
              <w:t>0</w:t>
            </w:r>
          </w:p>
        </w:tc>
        <w:tc>
          <w:tcPr>
            <w:tcW w:w="675" w:type="pct"/>
            <w:tcBorders>
              <w:top w:val="nil"/>
              <w:left w:val="nil"/>
              <w:bottom w:val="nil"/>
              <w:right w:val="nil"/>
            </w:tcBorders>
          </w:tcPr>
          <w:p w:rsidR="009B5CD6" w:rsidRPr="00F77095" w:rsidRDefault="009B5CD6" w:rsidP="00650EAF">
            <w:pPr>
              <w:jc w:val="right"/>
            </w:pPr>
            <w:r w:rsidRPr="00F77095">
              <w:t>0.00%</w:t>
            </w:r>
          </w:p>
        </w:tc>
        <w:tc>
          <w:tcPr>
            <w:tcW w:w="433" w:type="pct"/>
            <w:tcBorders>
              <w:top w:val="nil"/>
              <w:left w:val="nil"/>
              <w:bottom w:val="nil"/>
              <w:right w:val="nil"/>
            </w:tcBorders>
          </w:tcPr>
          <w:p w:rsidR="009B5CD6" w:rsidRPr="00F77095" w:rsidRDefault="009B5CD6" w:rsidP="00650EAF">
            <w:pPr>
              <w:jc w:val="right"/>
            </w:pPr>
            <w:r w:rsidRPr="00F77095">
              <w:t>2.00%</w:t>
            </w:r>
          </w:p>
        </w:tc>
        <w:tc>
          <w:tcPr>
            <w:tcW w:w="780" w:type="pct"/>
            <w:tcBorders>
              <w:top w:val="nil"/>
              <w:left w:val="nil"/>
              <w:bottom w:val="nil"/>
              <w:right w:val="nil"/>
            </w:tcBorders>
          </w:tcPr>
          <w:p w:rsidR="009B5CD6" w:rsidRPr="00F77095" w:rsidRDefault="009B5CD6" w:rsidP="00650EAF">
            <w:pPr>
              <w:jc w:val="right"/>
            </w:pPr>
            <w:r w:rsidRPr="00F77095">
              <w:t>0.00%</w:t>
            </w:r>
          </w:p>
        </w:tc>
        <w:tc>
          <w:tcPr>
            <w:tcW w:w="114" w:type="pct"/>
            <w:tcBorders>
              <w:top w:val="nil"/>
              <w:left w:val="nil"/>
              <w:bottom w:val="nil"/>
              <w:right w:val="single" w:sz="4" w:space="0" w:color="auto"/>
            </w:tcBorders>
          </w:tcPr>
          <w:p w:rsidR="009B5CD6" w:rsidRPr="00F77095" w:rsidRDefault="009B5CD6" w:rsidP="00650EAF">
            <w:pPr>
              <w:jc w:val="both"/>
            </w:pPr>
          </w:p>
        </w:tc>
      </w:tr>
      <w:tr w:rsidR="009B5CD6" w:rsidRPr="00F77095" w:rsidTr="00650EAF">
        <w:tc>
          <w:tcPr>
            <w:tcW w:w="201" w:type="pct"/>
            <w:tcBorders>
              <w:top w:val="nil"/>
              <w:left w:val="single" w:sz="4" w:space="0" w:color="auto"/>
              <w:bottom w:val="nil"/>
              <w:right w:val="nil"/>
            </w:tcBorders>
          </w:tcPr>
          <w:p w:rsidR="009B5CD6" w:rsidRPr="00F77095" w:rsidRDefault="009B5CD6" w:rsidP="00650EAF">
            <w:pPr>
              <w:jc w:val="both"/>
            </w:pPr>
            <w:r w:rsidRPr="00F77095">
              <w:t>5.</w:t>
            </w:r>
          </w:p>
        </w:tc>
        <w:tc>
          <w:tcPr>
            <w:tcW w:w="1394" w:type="pct"/>
            <w:tcBorders>
              <w:top w:val="nil"/>
              <w:left w:val="nil"/>
              <w:bottom w:val="nil"/>
              <w:right w:val="nil"/>
            </w:tcBorders>
          </w:tcPr>
          <w:p w:rsidR="009B5CD6" w:rsidRPr="00F77095" w:rsidRDefault="009B5CD6" w:rsidP="00650EAF">
            <w:pPr>
              <w:jc w:val="both"/>
            </w:pPr>
            <w:r w:rsidRPr="00F77095">
              <w:t>DEFERRED INCOME TAXES</w:t>
            </w:r>
          </w:p>
        </w:tc>
        <w:tc>
          <w:tcPr>
            <w:tcW w:w="106" w:type="pct"/>
            <w:tcBorders>
              <w:top w:val="nil"/>
              <w:left w:val="nil"/>
              <w:bottom w:val="nil"/>
              <w:right w:val="nil"/>
            </w:tcBorders>
          </w:tcPr>
          <w:p w:rsidR="009B5CD6" w:rsidRPr="00F77095" w:rsidRDefault="009B5CD6" w:rsidP="00650EAF">
            <w:pPr>
              <w:jc w:val="right"/>
              <w:rPr>
                <w:u w:val="single"/>
              </w:rPr>
            </w:pPr>
            <w:r w:rsidRPr="00F77095">
              <w:rPr>
                <w:u w:val="single"/>
              </w:rPr>
              <w:t>0</w:t>
            </w:r>
          </w:p>
        </w:tc>
        <w:tc>
          <w:tcPr>
            <w:tcW w:w="609" w:type="pct"/>
            <w:tcBorders>
              <w:top w:val="nil"/>
              <w:left w:val="nil"/>
              <w:bottom w:val="nil"/>
              <w:right w:val="nil"/>
            </w:tcBorders>
          </w:tcPr>
          <w:p w:rsidR="009B5CD6" w:rsidRPr="00F77095" w:rsidRDefault="009B5CD6" w:rsidP="00650EAF">
            <w:pPr>
              <w:jc w:val="right"/>
              <w:rPr>
                <w:u w:val="single"/>
              </w:rPr>
            </w:pPr>
            <w:r w:rsidRPr="00F77095">
              <w:rPr>
                <w:u w:val="single"/>
              </w:rPr>
              <w:t>0</w:t>
            </w:r>
          </w:p>
        </w:tc>
        <w:tc>
          <w:tcPr>
            <w:tcW w:w="688" w:type="pct"/>
            <w:tcBorders>
              <w:top w:val="nil"/>
              <w:left w:val="nil"/>
              <w:bottom w:val="nil"/>
              <w:right w:val="nil"/>
            </w:tcBorders>
          </w:tcPr>
          <w:p w:rsidR="009B5CD6" w:rsidRPr="00F77095" w:rsidRDefault="009B5CD6" w:rsidP="00650EAF">
            <w:pPr>
              <w:jc w:val="right"/>
              <w:rPr>
                <w:u w:val="single"/>
              </w:rPr>
            </w:pPr>
            <w:r w:rsidRPr="00F77095">
              <w:rPr>
                <w:u w:val="single"/>
              </w:rPr>
              <w:t>0</w:t>
            </w:r>
          </w:p>
        </w:tc>
        <w:tc>
          <w:tcPr>
            <w:tcW w:w="675" w:type="pct"/>
            <w:tcBorders>
              <w:top w:val="nil"/>
              <w:left w:val="nil"/>
              <w:bottom w:val="nil"/>
              <w:right w:val="nil"/>
            </w:tcBorders>
          </w:tcPr>
          <w:p w:rsidR="009B5CD6" w:rsidRPr="00F77095" w:rsidRDefault="009B5CD6" w:rsidP="00650EAF">
            <w:pPr>
              <w:jc w:val="right"/>
              <w:rPr>
                <w:u w:val="single"/>
              </w:rPr>
            </w:pPr>
            <w:r w:rsidRPr="00F77095">
              <w:rPr>
                <w:u w:val="single"/>
              </w:rPr>
              <w:t>0.00%</w:t>
            </w:r>
          </w:p>
        </w:tc>
        <w:tc>
          <w:tcPr>
            <w:tcW w:w="433" w:type="pct"/>
            <w:tcBorders>
              <w:top w:val="nil"/>
              <w:left w:val="nil"/>
              <w:bottom w:val="nil"/>
              <w:right w:val="nil"/>
            </w:tcBorders>
          </w:tcPr>
          <w:p w:rsidR="009B5CD6" w:rsidRPr="00F77095" w:rsidRDefault="009B5CD6" w:rsidP="00650EAF">
            <w:pPr>
              <w:jc w:val="right"/>
            </w:pPr>
            <w:r w:rsidRPr="00F77095">
              <w:t>0.00%</w:t>
            </w:r>
          </w:p>
        </w:tc>
        <w:tc>
          <w:tcPr>
            <w:tcW w:w="780" w:type="pct"/>
            <w:tcBorders>
              <w:top w:val="nil"/>
              <w:left w:val="nil"/>
              <w:bottom w:val="nil"/>
              <w:right w:val="nil"/>
            </w:tcBorders>
          </w:tcPr>
          <w:p w:rsidR="009B5CD6" w:rsidRPr="00F77095" w:rsidRDefault="009B5CD6" w:rsidP="00650EAF">
            <w:pPr>
              <w:jc w:val="right"/>
              <w:rPr>
                <w:u w:val="single"/>
              </w:rPr>
            </w:pPr>
            <w:r w:rsidRPr="00F77095">
              <w:rPr>
                <w:u w:val="single"/>
              </w:rPr>
              <w:t>0.00%</w:t>
            </w:r>
          </w:p>
        </w:tc>
        <w:tc>
          <w:tcPr>
            <w:tcW w:w="114" w:type="pct"/>
            <w:tcBorders>
              <w:top w:val="nil"/>
              <w:left w:val="nil"/>
              <w:bottom w:val="nil"/>
              <w:right w:val="single" w:sz="4" w:space="0" w:color="auto"/>
            </w:tcBorders>
          </w:tcPr>
          <w:p w:rsidR="009B5CD6" w:rsidRPr="00F77095" w:rsidRDefault="009B5CD6" w:rsidP="00650EAF">
            <w:pPr>
              <w:jc w:val="both"/>
            </w:pPr>
          </w:p>
        </w:tc>
      </w:tr>
      <w:tr w:rsidR="009B5CD6" w:rsidRPr="00F77095" w:rsidTr="00650EAF">
        <w:tc>
          <w:tcPr>
            <w:tcW w:w="201" w:type="pct"/>
            <w:tcBorders>
              <w:top w:val="nil"/>
              <w:left w:val="single" w:sz="4" w:space="0" w:color="auto"/>
              <w:bottom w:val="nil"/>
              <w:right w:val="nil"/>
            </w:tcBorders>
          </w:tcPr>
          <w:p w:rsidR="009B5CD6" w:rsidRPr="00F77095" w:rsidRDefault="009B5CD6" w:rsidP="00650EAF">
            <w:pPr>
              <w:jc w:val="both"/>
            </w:pPr>
            <w:r w:rsidRPr="00F77095">
              <w:t>6.</w:t>
            </w:r>
          </w:p>
        </w:tc>
        <w:tc>
          <w:tcPr>
            <w:tcW w:w="1394" w:type="pct"/>
            <w:tcBorders>
              <w:top w:val="nil"/>
              <w:left w:val="nil"/>
              <w:bottom w:val="nil"/>
              <w:right w:val="nil"/>
            </w:tcBorders>
          </w:tcPr>
          <w:p w:rsidR="009B5CD6" w:rsidRPr="00F77095" w:rsidRDefault="009B5CD6" w:rsidP="00650EAF">
            <w:pPr>
              <w:jc w:val="both"/>
            </w:pPr>
            <w:r w:rsidRPr="00F77095">
              <w:t xml:space="preserve">     TOTAL CAPITAL</w:t>
            </w:r>
          </w:p>
        </w:tc>
        <w:tc>
          <w:tcPr>
            <w:tcW w:w="106" w:type="pct"/>
            <w:tcBorders>
              <w:top w:val="nil"/>
              <w:left w:val="nil"/>
              <w:bottom w:val="nil"/>
              <w:right w:val="nil"/>
            </w:tcBorders>
          </w:tcPr>
          <w:p w:rsidR="009B5CD6" w:rsidRPr="00F77095" w:rsidRDefault="009B5CD6" w:rsidP="00650EAF">
            <w:pPr>
              <w:jc w:val="right"/>
              <w:rPr>
                <w:u w:val="double"/>
              </w:rPr>
            </w:pPr>
            <w:r w:rsidRPr="00F77095">
              <w:rPr>
                <w:u w:val="double"/>
              </w:rPr>
              <w:t>$30,645</w:t>
            </w:r>
          </w:p>
        </w:tc>
        <w:tc>
          <w:tcPr>
            <w:tcW w:w="609" w:type="pct"/>
            <w:tcBorders>
              <w:top w:val="nil"/>
              <w:left w:val="nil"/>
              <w:bottom w:val="nil"/>
              <w:right w:val="nil"/>
            </w:tcBorders>
          </w:tcPr>
          <w:p w:rsidR="009B5CD6" w:rsidRPr="00F77095" w:rsidRDefault="009B5CD6" w:rsidP="00650EAF">
            <w:pPr>
              <w:jc w:val="right"/>
              <w:rPr>
                <w:u w:val="double"/>
              </w:rPr>
            </w:pPr>
            <w:r w:rsidRPr="00F77095">
              <w:rPr>
                <w:u w:val="double"/>
              </w:rPr>
              <w:t>$7,802</w:t>
            </w:r>
          </w:p>
        </w:tc>
        <w:tc>
          <w:tcPr>
            <w:tcW w:w="688" w:type="pct"/>
            <w:tcBorders>
              <w:top w:val="nil"/>
              <w:left w:val="nil"/>
              <w:bottom w:val="nil"/>
              <w:right w:val="nil"/>
            </w:tcBorders>
          </w:tcPr>
          <w:p w:rsidR="009B5CD6" w:rsidRPr="00F77095" w:rsidRDefault="009B5CD6" w:rsidP="00650EAF">
            <w:pPr>
              <w:jc w:val="right"/>
              <w:rPr>
                <w:u w:val="double"/>
              </w:rPr>
            </w:pPr>
            <w:r w:rsidRPr="00F77095">
              <w:rPr>
                <w:u w:val="double"/>
              </w:rPr>
              <w:t>$38,447</w:t>
            </w:r>
          </w:p>
        </w:tc>
        <w:tc>
          <w:tcPr>
            <w:tcW w:w="675" w:type="pct"/>
            <w:tcBorders>
              <w:top w:val="nil"/>
              <w:left w:val="nil"/>
              <w:bottom w:val="nil"/>
              <w:right w:val="nil"/>
            </w:tcBorders>
          </w:tcPr>
          <w:p w:rsidR="009B5CD6" w:rsidRPr="00F77095" w:rsidRDefault="009B5CD6" w:rsidP="00650EAF">
            <w:pPr>
              <w:jc w:val="right"/>
              <w:rPr>
                <w:u w:val="double"/>
              </w:rPr>
            </w:pPr>
            <w:r w:rsidRPr="00F77095">
              <w:rPr>
                <w:u w:val="double"/>
              </w:rPr>
              <w:t>100.00%</w:t>
            </w:r>
          </w:p>
        </w:tc>
        <w:tc>
          <w:tcPr>
            <w:tcW w:w="433" w:type="pct"/>
            <w:tcBorders>
              <w:top w:val="nil"/>
              <w:left w:val="nil"/>
              <w:bottom w:val="nil"/>
              <w:right w:val="nil"/>
            </w:tcBorders>
          </w:tcPr>
          <w:p w:rsidR="009B5CD6" w:rsidRPr="00F77095" w:rsidRDefault="009B5CD6" w:rsidP="00650EAF">
            <w:pPr>
              <w:jc w:val="right"/>
              <w:rPr>
                <w:u w:val="double"/>
              </w:rPr>
            </w:pPr>
          </w:p>
        </w:tc>
        <w:tc>
          <w:tcPr>
            <w:tcW w:w="780" w:type="pct"/>
            <w:tcBorders>
              <w:top w:val="nil"/>
              <w:left w:val="nil"/>
              <w:bottom w:val="nil"/>
              <w:right w:val="nil"/>
            </w:tcBorders>
          </w:tcPr>
          <w:p w:rsidR="009B5CD6" w:rsidRPr="00F77095" w:rsidRDefault="009B5CD6" w:rsidP="00650EAF">
            <w:pPr>
              <w:jc w:val="right"/>
              <w:rPr>
                <w:u w:val="double"/>
              </w:rPr>
            </w:pPr>
            <w:r w:rsidRPr="00F77095">
              <w:rPr>
                <w:u w:val="double"/>
              </w:rPr>
              <w:t>7.85%</w:t>
            </w:r>
          </w:p>
        </w:tc>
        <w:tc>
          <w:tcPr>
            <w:tcW w:w="114" w:type="pct"/>
            <w:tcBorders>
              <w:top w:val="nil"/>
              <w:left w:val="nil"/>
              <w:bottom w:val="nil"/>
              <w:right w:val="single" w:sz="4" w:space="0" w:color="auto"/>
            </w:tcBorders>
          </w:tcPr>
          <w:p w:rsidR="009B5CD6" w:rsidRPr="00F77095" w:rsidRDefault="009B5CD6" w:rsidP="00650EAF">
            <w:pPr>
              <w:jc w:val="both"/>
            </w:pPr>
          </w:p>
        </w:tc>
      </w:tr>
      <w:tr w:rsidR="009B5CD6" w:rsidRPr="00F77095" w:rsidTr="00650EAF">
        <w:tc>
          <w:tcPr>
            <w:tcW w:w="201" w:type="pct"/>
            <w:tcBorders>
              <w:top w:val="nil"/>
              <w:left w:val="single" w:sz="4" w:space="0" w:color="auto"/>
              <w:bottom w:val="nil"/>
              <w:right w:val="nil"/>
            </w:tcBorders>
          </w:tcPr>
          <w:p w:rsidR="009B5CD6" w:rsidRPr="00F77095" w:rsidRDefault="009B5CD6" w:rsidP="00650EAF">
            <w:pPr>
              <w:jc w:val="both"/>
            </w:pPr>
          </w:p>
        </w:tc>
        <w:tc>
          <w:tcPr>
            <w:tcW w:w="1394" w:type="pct"/>
            <w:tcBorders>
              <w:top w:val="nil"/>
              <w:left w:val="nil"/>
              <w:bottom w:val="nil"/>
              <w:right w:val="nil"/>
            </w:tcBorders>
          </w:tcPr>
          <w:p w:rsidR="009B5CD6" w:rsidRPr="00F77095" w:rsidRDefault="009B5CD6" w:rsidP="00650EAF">
            <w:pPr>
              <w:jc w:val="both"/>
            </w:pPr>
          </w:p>
        </w:tc>
        <w:tc>
          <w:tcPr>
            <w:tcW w:w="106" w:type="pct"/>
            <w:tcBorders>
              <w:top w:val="nil"/>
              <w:left w:val="nil"/>
              <w:bottom w:val="nil"/>
              <w:right w:val="nil"/>
            </w:tcBorders>
          </w:tcPr>
          <w:p w:rsidR="009B5CD6" w:rsidRPr="00F77095" w:rsidRDefault="009B5CD6" w:rsidP="00650EAF">
            <w:pPr>
              <w:jc w:val="both"/>
            </w:pPr>
          </w:p>
        </w:tc>
        <w:tc>
          <w:tcPr>
            <w:tcW w:w="609" w:type="pct"/>
            <w:tcBorders>
              <w:top w:val="nil"/>
              <w:left w:val="nil"/>
              <w:bottom w:val="nil"/>
              <w:right w:val="nil"/>
            </w:tcBorders>
          </w:tcPr>
          <w:p w:rsidR="009B5CD6" w:rsidRPr="00F77095" w:rsidRDefault="009B5CD6" w:rsidP="00650EAF">
            <w:pPr>
              <w:jc w:val="both"/>
            </w:pPr>
          </w:p>
        </w:tc>
        <w:tc>
          <w:tcPr>
            <w:tcW w:w="688" w:type="pct"/>
            <w:tcBorders>
              <w:top w:val="nil"/>
              <w:left w:val="nil"/>
              <w:bottom w:val="nil"/>
              <w:right w:val="nil"/>
            </w:tcBorders>
          </w:tcPr>
          <w:p w:rsidR="009B5CD6" w:rsidRPr="00F77095" w:rsidRDefault="009B5CD6" w:rsidP="00650EAF">
            <w:pPr>
              <w:jc w:val="both"/>
            </w:pPr>
          </w:p>
        </w:tc>
        <w:tc>
          <w:tcPr>
            <w:tcW w:w="675" w:type="pct"/>
            <w:tcBorders>
              <w:top w:val="nil"/>
              <w:left w:val="nil"/>
              <w:bottom w:val="nil"/>
              <w:right w:val="nil"/>
            </w:tcBorders>
          </w:tcPr>
          <w:p w:rsidR="009B5CD6" w:rsidRPr="00F77095" w:rsidRDefault="009B5CD6" w:rsidP="00650EAF">
            <w:pPr>
              <w:jc w:val="both"/>
            </w:pPr>
          </w:p>
        </w:tc>
        <w:tc>
          <w:tcPr>
            <w:tcW w:w="433" w:type="pct"/>
            <w:tcBorders>
              <w:top w:val="nil"/>
              <w:left w:val="nil"/>
              <w:bottom w:val="nil"/>
              <w:right w:val="nil"/>
            </w:tcBorders>
          </w:tcPr>
          <w:p w:rsidR="009B5CD6" w:rsidRPr="00F77095" w:rsidRDefault="009B5CD6" w:rsidP="00650EAF">
            <w:pPr>
              <w:jc w:val="both"/>
            </w:pPr>
          </w:p>
        </w:tc>
        <w:tc>
          <w:tcPr>
            <w:tcW w:w="780" w:type="pct"/>
            <w:tcBorders>
              <w:top w:val="nil"/>
              <w:left w:val="nil"/>
              <w:bottom w:val="nil"/>
              <w:right w:val="nil"/>
            </w:tcBorders>
          </w:tcPr>
          <w:p w:rsidR="009B5CD6" w:rsidRPr="00F77095" w:rsidRDefault="009B5CD6" w:rsidP="00650EAF">
            <w:pPr>
              <w:jc w:val="both"/>
            </w:pPr>
          </w:p>
        </w:tc>
        <w:tc>
          <w:tcPr>
            <w:tcW w:w="114" w:type="pct"/>
            <w:tcBorders>
              <w:top w:val="nil"/>
              <w:left w:val="nil"/>
              <w:bottom w:val="nil"/>
              <w:right w:val="single" w:sz="4" w:space="0" w:color="auto"/>
            </w:tcBorders>
          </w:tcPr>
          <w:p w:rsidR="009B5CD6" w:rsidRPr="00F77095" w:rsidRDefault="009B5CD6" w:rsidP="00650EAF">
            <w:pPr>
              <w:jc w:val="both"/>
            </w:pPr>
          </w:p>
        </w:tc>
      </w:tr>
      <w:tr w:rsidR="009B5CD6" w:rsidRPr="00F77095" w:rsidTr="00650EAF">
        <w:tc>
          <w:tcPr>
            <w:tcW w:w="201" w:type="pct"/>
            <w:tcBorders>
              <w:top w:val="nil"/>
              <w:left w:val="single" w:sz="4" w:space="0" w:color="auto"/>
              <w:bottom w:val="nil"/>
              <w:right w:val="nil"/>
            </w:tcBorders>
          </w:tcPr>
          <w:p w:rsidR="009B5CD6" w:rsidRPr="00F77095" w:rsidRDefault="009B5CD6" w:rsidP="00650EAF">
            <w:pPr>
              <w:jc w:val="both"/>
            </w:pPr>
          </w:p>
        </w:tc>
        <w:tc>
          <w:tcPr>
            <w:tcW w:w="1394" w:type="pct"/>
            <w:tcBorders>
              <w:top w:val="nil"/>
              <w:left w:val="nil"/>
              <w:bottom w:val="nil"/>
              <w:right w:val="nil"/>
            </w:tcBorders>
          </w:tcPr>
          <w:p w:rsidR="009B5CD6" w:rsidRPr="00F77095" w:rsidRDefault="009B5CD6" w:rsidP="00650EAF">
            <w:pPr>
              <w:jc w:val="both"/>
            </w:pPr>
          </w:p>
        </w:tc>
        <w:tc>
          <w:tcPr>
            <w:tcW w:w="106" w:type="pct"/>
            <w:tcBorders>
              <w:top w:val="nil"/>
              <w:left w:val="nil"/>
              <w:bottom w:val="nil"/>
              <w:right w:val="nil"/>
            </w:tcBorders>
          </w:tcPr>
          <w:p w:rsidR="009B5CD6" w:rsidRPr="00F77095" w:rsidRDefault="009B5CD6" w:rsidP="00650EAF">
            <w:pPr>
              <w:jc w:val="both"/>
            </w:pPr>
          </w:p>
        </w:tc>
        <w:tc>
          <w:tcPr>
            <w:tcW w:w="1972" w:type="pct"/>
            <w:gridSpan w:val="3"/>
            <w:tcBorders>
              <w:top w:val="nil"/>
              <w:left w:val="nil"/>
              <w:bottom w:val="nil"/>
              <w:right w:val="nil"/>
            </w:tcBorders>
          </w:tcPr>
          <w:p w:rsidR="009B5CD6" w:rsidRPr="00F77095" w:rsidRDefault="009B5CD6" w:rsidP="00650EAF">
            <w:pPr>
              <w:jc w:val="both"/>
            </w:pPr>
            <w:r w:rsidRPr="00F77095">
              <w:t>RANGE OF REASONABLENESS</w:t>
            </w:r>
          </w:p>
        </w:tc>
        <w:tc>
          <w:tcPr>
            <w:tcW w:w="433" w:type="pct"/>
            <w:tcBorders>
              <w:top w:val="nil"/>
              <w:left w:val="nil"/>
              <w:bottom w:val="nil"/>
              <w:right w:val="nil"/>
            </w:tcBorders>
          </w:tcPr>
          <w:p w:rsidR="009B5CD6" w:rsidRPr="00F77095" w:rsidRDefault="009B5CD6" w:rsidP="00650EAF">
            <w:r w:rsidRPr="00F77095">
              <w:t>LOW</w:t>
            </w:r>
          </w:p>
        </w:tc>
        <w:tc>
          <w:tcPr>
            <w:tcW w:w="780" w:type="pct"/>
            <w:tcBorders>
              <w:top w:val="nil"/>
              <w:left w:val="nil"/>
              <w:bottom w:val="nil"/>
              <w:right w:val="nil"/>
            </w:tcBorders>
          </w:tcPr>
          <w:p w:rsidR="009B5CD6" w:rsidRPr="00F77095" w:rsidRDefault="009B5CD6" w:rsidP="00650EAF">
            <w:r w:rsidRPr="00F77095">
              <w:t>HIGH</w:t>
            </w:r>
          </w:p>
        </w:tc>
        <w:tc>
          <w:tcPr>
            <w:tcW w:w="114" w:type="pct"/>
            <w:tcBorders>
              <w:top w:val="nil"/>
              <w:left w:val="nil"/>
              <w:bottom w:val="nil"/>
              <w:right w:val="single" w:sz="4" w:space="0" w:color="auto"/>
            </w:tcBorders>
          </w:tcPr>
          <w:p w:rsidR="009B5CD6" w:rsidRPr="00F77095" w:rsidRDefault="009B5CD6" w:rsidP="00650EAF">
            <w:pPr>
              <w:jc w:val="both"/>
            </w:pPr>
          </w:p>
        </w:tc>
      </w:tr>
      <w:tr w:rsidR="009B5CD6" w:rsidRPr="00F77095" w:rsidTr="00650EAF">
        <w:tc>
          <w:tcPr>
            <w:tcW w:w="201" w:type="pct"/>
            <w:tcBorders>
              <w:top w:val="nil"/>
              <w:left w:val="single" w:sz="4" w:space="0" w:color="auto"/>
              <w:bottom w:val="nil"/>
              <w:right w:val="nil"/>
            </w:tcBorders>
          </w:tcPr>
          <w:p w:rsidR="009B5CD6" w:rsidRPr="00F77095" w:rsidRDefault="009B5CD6" w:rsidP="00650EAF">
            <w:pPr>
              <w:jc w:val="both"/>
            </w:pPr>
          </w:p>
        </w:tc>
        <w:tc>
          <w:tcPr>
            <w:tcW w:w="1394" w:type="pct"/>
            <w:tcBorders>
              <w:top w:val="nil"/>
              <w:left w:val="nil"/>
              <w:bottom w:val="nil"/>
              <w:right w:val="nil"/>
            </w:tcBorders>
          </w:tcPr>
          <w:p w:rsidR="009B5CD6" w:rsidRPr="00F77095" w:rsidRDefault="009B5CD6" w:rsidP="00650EAF">
            <w:pPr>
              <w:jc w:val="both"/>
            </w:pPr>
          </w:p>
        </w:tc>
        <w:tc>
          <w:tcPr>
            <w:tcW w:w="106" w:type="pct"/>
            <w:tcBorders>
              <w:top w:val="nil"/>
              <w:left w:val="nil"/>
              <w:bottom w:val="nil"/>
              <w:right w:val="nil"/>
            </w:tcBorders>
          </w:tcPr>
          <w:p w:rsidR="009B5CD6" w:rsidRPr="00F77095" w:rsidRDefault="009B5CD6" w:rsidP="00650EAF">
            <w:pPr>
              <w:jc w:val="both"/>
            </w:pPr>
          </w:p>
        </w:tc>
        <w:tc>
          <w:tcPr>
            <w:tcW w:w="1972" w:type="pct"/>
            <w:gridSpan w:val="3"/>
            <w:tcBorders>
              <w:top w:val="nil"/>
              <w:left w:val="nil"/>
              <w:bottom w:val="nil"/>
              <w:right w:val="nil"/>
            </w:tcBorders>
          </w:tcPr>
          <w:p w:rsidR="009B5CD6" w:rsidRPr="00F77095" w:rsidRDefault="009B5CD6" w:rsidP="00650EAF">
            <w:pPr>
              <w:jc w:val="both"/>
            </w:pPr>
            <w:r w:rsidRPr="00F77095">
              <w:t xml:space="preserve">   RETURN ON EQUITY</w:t>
            </w:r>
          </w:p>
        </w:tc>
        <w:tc>
          <w:tcPr>
            <w:tcW w:w="433" w:type="pct"/>
            <w:tcBorders>
              <w:top w:val="nil"/>
              <w:left w:val="nil"/>
              <w:bottom w:val="nil"/>
              <w:right w:val="nil"/>
            </w:tcBorders>
          </w:tcPr>
          <w:p w:rsidR="009B5CD6" w:rsidRPr="00F77095" w:rsidRDefault="009B5CD6" w:rsidP="00650EAF">
            <w:r w:rsidRPr="00F77095">
              <w:t>6.85%</w:t>
            </w:r>
          </w:p>
        </w:tc>
        <w:tc>
          <w:tcPr>
            <w:tcW w:w="780" w:type="pct"/>
            <w:tcBorders>
              <w:top w:val="nil"/>
              <w:left w:val="nil"/>
              <w:bottom w:val="nil"/>
              <w:right w:val="nil"/>
            </w:tcBorders>
          </w:tcPr>
          <w:p w:rsidR="009B5CD6" w:rsidRPr="00F77095" w:rsidRDefault="009B5CD6" w:rsidP="00650EAF">
            <w:r w:rsidRPr="00F77095">
              <w:t>8.85%</w:t>
            </w:r>
          </w:p>
        </w:tc>
        <w:tc>
          <w:tcPr>
            <w:tcW w:w="114" w:type="pct"/>
            <w:tcBorders>
              <w:top w:val="nil"/>
              <w:left w:val="nil"/>
              <w:bottom w:val="nil"/>
              <w:right w:val="single" w:sz="4" w:space="0" w:color="auto"/>
            </w:tcBorders>
          </w:tcPr>
          <w:p w:rsidR="009B5CD6" w:rsidRPr="00F77095" w:rsidRDefault="009B5CD6" w:rsidP="00650EAF">
            <w:pPr>
              <w:jc w:val="both"/>
            </w:pPr>
          </w:p>
        </w:tc>
      </w:tr>
      <w:tr w:rsidR="009B5CD6" w:rsidRPr="00F77095" w:rsidTr="00650EAF">
        <w:tc>
          <w:tcPr>
            <w:tcW w:w="201" w:type="pct"/>
            <w:tcBorders>
              <w:top w:val="nil"/>
              <w:left w:val="single" w:sz="4" w:space="0" w:color="auto"/>
              <w:bottom w:val="nil"/>
              <w:right w:val="nil"/>
            </w:tcBorders>
          </w:tcPr>
          <w:p w:rsidR="009B5CD6" w:rsidRPr="00F77095" w:rsidRDefault="009B5CD6" w:rsidP="00650EAF">
            <w:pPr>
              <w:jc w:val="both"/>
            </w:pPr>
          </w:p>
        </w:tc>
        <w:tc>
          <w:tcPr>
            <w:tcW w:w="1394" w:type="pct"/>
            <w:tcBorders>
              <w:top w:val="nil"/>
              <w:left w:val="nil"/>
              <w:bottom w:val="nil"/>
              <w:right w:val="nil"/>
            </w:tcBorders>
          </w:tcPr>
          <w:p w:rsidR="009B5CD6" w:rsidRPr="00F77095" w:rsidRDefault="009B5CD6" w:rsidP="00650EAF">
            <w:pPr>
              <w:jc w:val="both"/>
            </w:pPr>
          </w:p>
        </w:tc>
        <w:tc>
          <w:tcPr>
            <w:tcW w:w="106" w:type="pct"/>
            <w:tcBorders>
              <w:top w:val="nil"/>
              <w:left w:val="nil"/>
              <w:bottom w:val="nil"/>
              <w:right w:val="nil"/>
            </w:tcBorders>
          </w:tcPr>
          <w:p w:rsidR="009B5CD6" w:rsidRPr="00F77095" w:rsidRDefault="009B5CD6" w:rsidP="00650EAF">
            <w:pPr>
              <w:jc w:val="both"/>
            </w:pPr>
          </w:p>
        </w:tc>
        <w:tc>
          <w:tcPr>
            <w:tcW w:w="1972" w:type="pct"/>
            <w:gridSpan w:val="3"/>
            <w:tcBorders>
              <w:top w:val="nil"/>
              <w:left w:val="nil"/>
              <w:bottom w:val="nil"/>
              <w:right w:val="nil"/>
            </w:tcBorders>
          </w:tcPr>
          <w:p w:rsidR="009B5CD6" w:rsidRPr="00F77095" w:rsidRDefault="009B5CD6" w:rsidP="00650EAF">
            <w:pPr>
              <w:jc w:val="both"/>
            </w:pPr>
            <w:r w:rsidRPr="00F77095">
              <w:t xml:space="preserve">   OVERALL RATE OF RETURN</w:t>
            </w:r>
          </w:p>
        </w:tc>
        <w:tc>
          <w:tcPr>
            <w:tcW w:w="433" w:type="pct"/>
            <w:tcBorders>
              <w:top w:val="nil"/>
              <w:left w:val="nil"/>
              <w:bottom w:val="nil"/>
              <w:right w:val="nil"/>
            </w:tcBorders>
          </w:tcPr>
          <w:p w:rsidR="009B5CD6" w:rsidRPr="00F77095" w:rsidRDefault="009B5CD6" w:rsidP="00650EAF">
            <w:r w:rsidRPr="00F77095">
              <w:t>6.85%</w:t>
            </w:r>
          </w:p>
        </w:tc>
        <w:tc>
          <w:tcPr>
            <w:tcW w:w="780" w:type="pct"/>
            <w:tcBorders>
              <w:top w:val="nil"/>
              <w:left w:val="nil"/>
              <w:bottom w:val="nil"/>
              <w:right w:val="nil"/>
            </w:tcBorders>
          </w:tcPr>
          <w:p w:rsidR="009B5CD6" w:rsidRPr="00F77095" w:rsidRDefault="009B5CD6" w:rsidP="00650EAF">
            <w:r w:rsidRPr="00F77095">
              <w:t>8.85%</w:t>
            </w:r>
          </w:p>
        </w:tc>
        <w:tc>
          <w:tcPr>
            <w:tcW w:w="114" w:type="pct"/>
            <w:tcBorders>
              <w:top w:val="nil"/>
              <w:left w:val="nil"/>
              <w:bottom w:val="nil"/>
              <w:right w:val="single" w:sz="4" w:space="0" w:color="auto"/>
            </w:tcBorders>
          </w:tcPr>
          <w:p w:rsidR="009B5CD6" w:rsidRPr="00F77095" w:rsidRDefault="009B5CD6" w:rsidP="00650EAF">
            <w:pPr>
              <w:jc w:val="both"/>
            </w:pPr>
          </w:p>
        </w:tc>
      </w:tr>
      <w:tr w:rsidR="009B5CD6" w:rsidRPr="00F77095" w:rsidTr="00650EAF">
        <w:tc>
          <w:tcPr>
            <w:tcW w:w="201" w:type="pct"/>
            <w:tcBorders>
              <w:top w:val="nil"/>
              <w:left w:val="single" w:sz="4" w:space="0" w:color="auto"/>
              <w:bottom w:val="single" w:sz="4" w:space="0" w:color="auto"/>
              <w:right w:val="nil"/>
            </w:tcBorders>
          </w:tcPr>
          <w:p w:rsidR="009B5CD6" w:rsidRPr="00F77095" w:rsidRDefault="009B5CD6" w:rsidP="00650EAF">
            <w:pPr>
              <w:jc w:val="both"/>
            </w:pPr>
          </w:p>
        </w:tc>
        <w:tc>
          <w:tcPr>
            <w:tcW w:w="1394" w:type="pct"/>
            <w:tcBorders>
              <w:top w:val="nil"/>
              <w:left w:val="nil"/>
              <w:bottom w:val="single" w:sz="4" w:space="0" w:color="auto"/>
              <w:right w:val="nil"/>
            </w:tcBorders>
          </w:tcPr>
          <w:p w:rsidR="009B5CD6" w:rsidRPr="00F77095" w:rsidRDefault="009B5CD6" w:rsidP="00650EAF">
            <w:pPr>
              <w:jc w:val="both"/>
            </w:pPr>
            <w:r w:rsidRPr="00F77095">
              <w:fldChar w:fldCharType="begin"/>
            </w:r>
            <w:r w:rsidRPr="00F77095">
              <w:instrText xml:space="preserve"> TC "</w:instrText>
            </w:r>
            <w:bookmarkStart w:id="50" w:name="_Toc433269943"/>
            <w:bookmarkStart w:id="51" w:name="_Toc448761993"/>
            <w:bookmarkStart w:id="52" w:name="_Toc21427546"/>
            <w:bookmarkStart w:id="53" w:name="_Toc82175410"/>
            <w:bookmarkStart w:id="54" w:name="_Toc82430614"/>
            <w:bookmarkStart w:id="55" w:name="_Toc90302752"/>
            <w:bookmarkStart w:id="56" w:name="_Toc90478773"/>
            <w:bookmarkStart w:id="57" w:name="_Toc90549981"/>
            <w:bookmarkStart w:id="58" w:name="_Toc91659006"/>
            <w:r w:rsidRPr="00F77095">
              <w:tab/>
              <w:instrText>Schedule No. 2 Capital Structure</w:instrText>
            </w:r>
            <w:bookmarkEnd w:id="50"/>
            <w:bookmarkEnd w:id="51"/>
            <w:bookmarkEnd w:id="52"/>
            <w:bookmarkEnd w:id="53"/>
            <w:bookmarkEnd w:id="54"/>
            <w:bookmarkEnd w:id="55"/>
            <w:bookmarkEnd w:id="56"/>
            <w:bookmarkEnd w:id="57"/>
            <w:bookmarkEnd w:id="58"/>
            <w:r w:rsidRPr="00F77095">
              <w:instrText xml:space="preserve">" \l 1 </w:instrText>
            </w:r>
            <w:r w:rsidRPr="00F77095">
              <w:fldChar w:fldCharType="end"/>
            </w:r>
          </w:p>
        </w:tc>
        <w:tc>
          <w:tcPr>
            <w:tcW w:w="106" w:type="pct"/>
            <w:tcBorders>
              <w:top w:val="nil"/>
              <w:left w:val="nil"/>
              <w:bottom w:val="single" w:sz="4" w:space="0" w:color="auto"/>
              <w:right w:val="nil"/>
            </w:tcBorders>
          </w:tcPr>
          <w:p w:rsidR="009B5CD6" w:rsidRPr="00F77095" w:rsidRDefault="009B5CD6" w:rsidP="00650EAF">
            <w:pPr>
              <w:jc w:val="both"/>
            </w:pPr>
          </w:p>
        </w:tc>
        <w:tc>
          <w:tcPr>
            <w:tcW w:w="1972" w:type="pct"/>
            <w:gridSpan w:val="3"/>
            <w:tcBorders>
              <w:top w:val="nil"/>
              <w:left w:val="nil"/>
              <w:bottom w:val="single" w:sz="4" w:space="0" w:color="auto"/>
              <w:right w:val="nil"/>
            </w:tcBorders>
          </w:tcPr>
          <w:p w:rsidR="009B5CD6" w:rsidRPr="00F77095" w:rsidRDefault="009B5CD6" w:rsidP="00650EAF">
            <w:pPr>
              <w:jc w:val="both"/>
            </w:pPr>
          </w:p>
        </w:tc>
        <w:tc>
          <w:tcPr>
            <w:tcW w:w="433" w:type="pct"/>
            <w:tcBorders>
              <w:top w:val="nil"/>
              <w:left w:val="nil"/>
              <w:bottom w:val="single" w:sz="4" w:space="0" w:color="auto"/>
              <w:right w:val="nil"/>
            </w:tcBorders>
          </w:tcPr>
          <w:p w:rsidR="009B5CD6" w:rsidRPr="00F77095" w:rsidRDefault="009B5CD6" w:rsidP="00650EAF">
            <w:pPr>
              <w:jc w:val="both"/>
            </w:pPr>
          </w:p>
        </w:tc>
        <w:tc>
          <w:tcPr>
            <w:tcW w:w="780" w:type="pct"/>
            <w:tcBorders>
              <w:top w:val="nil"/>
              <w:left w:val="nil"/>
              <w:bottom w:val="single" w:sz="4" w:space="0" w:color="auto"/>
              <w:right w:val="nil"/>
            </w:tcBorders>
          </w:tcPr>
          <w:p w:rsidR="009B5CD6" w:rsidRPr="00F77095" w:rsidRDefault="009B5CD6" w:rsidP="00650EAF">
            <w:pPr>
              <w:jc w:val="both"/>
            </w:pPr>
          </w:p>
        </w:tc>
        <w:tc>
          <w:tcPr>
            <w:tcW w:w="114" w:type="pct"/>
            <w:tcBorders>
              <w:top w:val="nil"/>
              <w:left w:val="nil"/>
              <w:bottom w:val="single" w:sz="4" w:space="0" w:color="auto"/>
              <w:right w:val="single" w:sz="4" w:space="0" w:color="auto"/>
            </w:tcBorders>
          </w:tcPr>
          <w:p w:rsidR="009B5CD6" w:rsidRPr="00F77095" w:rsidRDefault="009B5CD6" w:rsidP="00650EAF">
            <w:pPr>
              <w:jc w:val="both"/>
            </w:pPr>
          </w:p>
        </w:tc>
      </w:tr>
    </w:tbl>
    <w:p w:rsidR="009B5CD6" w:rsidRDefault="009B5CD6" w:rsidP="009B5CD6">
      <w:pPr>
        <w:tabs>
          <w:tab w:val="left" w:pos="8625"/>
        </w:tabs>
        <w:jc w:val="center"/>
        <w:sectPr w:rsidR="009B5CD6" w:rsidSect="00960E7D">
          <w:headerReference w:type="default" r:id="rId16"/>
          <w:pgSz w:w="15840" w:h="12240" w:orient="landscape" w:code="1"/>
          <w:pgMar w:top="1440" w:right="1584" w:bottom="1440" w:left="1440" w:header="720" w:footer="720" w:gutter="0"/>
          <w:cols w:space="720"/>
          <w:formProt w:val="0"/>
          <w:docGrid w:linePitch="360"/>
        </w:sectPr>
      </w:pPr>
    </w:p>
    <w:tbl>
      <w:tblPr>
        <w:tblStyle w:val="TableGrid13"/>
        <w:tblW w:w="5000" w:type="pct"/>
        <w:tblBorders>
          <w:insideH w:val="none" w:sz="0" w:space="0" w:color="auto"/>
          <w:insideV w:val="none" w:sz="0" w:space="0" w:color="auto"/>
        </w:tblBorders>
        <w:tblLook w:val="04A0" w:firstRow="1" w:lastRow="0" w:firstColumn="1" w:lastColumn="0" w:noHBand="0" w:noVBand="1"/>
      </w:tblPr>
      <w:tblGrid>
        <w:gridCol w:w="375"/>
        <w:gridCol w:w="3308"/>
        <w:gridCol w:w="1218"/>
        <w:gridCol w:w="1019"/>
        <w:gridCol w:w="1262"/>
        <w:gridCol w:w="1279"/>
        <w:gridCol w:w="889"/>
        <w:gridCol w:w="226"/>
      </w:tblGrid>
      <w:tr w:rsidR="00776A46" w:rsidRPr="00F77095" w:rsidTr="00650EAF">
        <w:tc>
          <w:tcPr>
            <w:tcW w:w="196" w:type="pct"/>
            <w:tcBorders>
              <w:top w:val="single" w:sz="4" w:space="0" w:color="auto"/>
              <w:bottom w:val="nil"/>
            </w:tcBorders>
          </w:tcPr>
          <w:p w:rsidR="00776A46" w:rsidRPr="00F77095" w:rsidRDefault="00776A46" w:rsidP="00650EAF">
            <w:pPr>
              <w:jc w:val="both"/>
              <w:rPr>
                <w:rFonts w:ascii="Times New Roman" w:hAnsi="Times New Roman" w:cs="Times New Roman"/>
                <w:b/>
                <w:sz w:val="20"/>
                <w:szCs w:val="20"/>
              </w:rPr>
            </w:pPr>
          </w:p>
        </w:tc>
        <w:tc>
          <w:tcPr>
            <w:tcW w:w="2895" w:type="pct"/>
            <w:gridSpan w:val="3"/>
            <w:tcBorders>
              <w:top w:val="single" w:sz="4" w:space="0" w:color="auto"/>
              <w:bottom w:val="nil"/>
            </w:tcBorders>
          </w:tcPr>
          <w:p w:rsidR="00776A46" w:rsidRPr="00F77095" w:rsidRDefault="00776A46" w:rsidP="00650EAF">
            <w:pPr>
              <w:jc w:val="both"/>
              <w:rPr>
                <w:rFonts w:ascii="Times New Roman" w:hAnsi="Times New Roman" w:cs="Times New Roman"/>
                <w:b/>
                <w:sz w:val="20"/>
                <w:szCs w:val="20"/>
              </w:rPr>
            </w:pPr>
            <w:r w:rsidRPr="00F77095">
              <w:rPr>
                <w:rFonts w:ascii="Times New Roman" w:hAnsi="Times New Roman" w:cs="Times New Roman"/>
                <w:b/>
                <w:sz w:val="20"/>
                <w:szCs w:val="20"/>
              </w:rPr>
              <w:t xml:space="preserve">BRENDENWOOD WATERWORKS, INC. </w:t>
            </w:r>
          </w:p>
        </w:tc>
        <w:tc>
          <w:tcPr>
            <w:tcW w:w="1791" w:type="pct"/>
            <w:gridSpan w:val="3"/>
            <w:tcBorders>
              <w:top w:val="single" w:sz="4" w:space="0" w:color="auto"/>
              <w:bottom w:val="nil"/>
            </w:tcBorders>
          </w:tcPr>
          <w:p w:rsidR="00776A46" w:rsidRPr="00F77095" w:rsidRDefault="00776A46" w:rsidP="00650EAF">
            <w:pPr>
              <w:jc w:val="right"/>
              <w:rPr>
                <w:rFonts w:ascii="Times New Roman" w:hAnsi="Times New Roman" w:cs="Times New Roman"/>
                <w:b/>
                <w:sz w:val="20"/>
                <w:szCs w:val="20"/>
              </w:rPr>
            </w:pPr>
            <w:r w:rsidRPr="00F77095">
              <w:rPr>
                <w:rFonts w:ascii="Times New Roman" w:hAnsi="Times New Roman" w:cs="Times New Roman"/>
                <w:b/>
                <w:sz w:val="20"/>
                <w:szCs w:val="20"/>
              </w:rPr>
              <w:t>SCHEDULE NO. 3-A</w:t>
            </w:r>
          </w:p>
        </w:tc>
        <w:tc>
          <w:tcPr>
            <w:tcW w:w="118" w:type="pct"/>
            <w:tcBorders>
              <w:top w:val="single" w:sz="4" w:space="0" w:color="auto"/>
              <w:bottom w:val="nil"/>
            </w:tcBorders>
          </w:tcPr>
          <w:p w:rsidR="00776A46" w:rsidRPr="00F77095" w:rsidRDefault="00776A46" w:rsidP="00650EAF">
            <w:pPr>
              <w:jc w:val="both"/>
              <w:rPr>
                <w:rFonts w:ascii="Times New Roman" w:hAnsi="Times New Roman" w:cs="Times New Roman"/>
                <w:b/>
                <w:sz w:val="20"/>
                <w:szCs w:val="20"/>
              </w:rPr>
            </w:pPr>
          </w:p>
        </w:tc>
      </w:tr>
      <w:tr w:rsidR="00776A46" w:rsidRPr="00F77095" w:rsidTr="00650EAF">
        <w:tc>
          <w:tcPr>
            <w:tcW w:w="196" w:type="pct"/>
            <w:tcBorders>
              <w:top w:val="nil"/>
              <w:bottom w:val="nil"/>
            </w:tcBorders>
          </w:tcPr>
          <w:p w:rsidR="00776A46" w:rsidRPr="00F77095" w:rsidRDefault="00776A46" w:rsidP="00650EAF">
            <w:pPr>
              <w:jc w:val="both"/>
              <w:rPr>
                <w:rFonts w:ascii="Times New Roman" w:hAnsi="Times New Roman" w:cs="Times New Roman"/>
                <w:b/>
                <w:sz w:val="20"/>
                <w:szCs w:val="20"/>
              </w:rPr>
            </w:pPr>
          </w:p>
        </w:tc>
        <w:tc>
          <w:tcPr>
            <w:tcW w:w="2895" w:type="pct"/>
            <w:gridSpan w:val="3"/>
            <w:tcBorders>
              <w:top w:val="nil"/>
              <w:bottom w:val="nil"/>
            </w:tcBorders>
          </w:tcPr>
          <w:p w:rsidR="00776A46" w:rsidRPr="00F77095" w:rsidRDefault="00776A46" w:rsidP="00650EAF">
            <w:pPr>
              <w:jc w:val="both"/>
              <w:rPr>
                <w:rFonts w:ascii="Times New Roman" w:hAnsi="Times New Roman" w:cs="Times New Roman"/>
                <w:b/>
                <w:sz w:val="20"/>
                <w:szCs w:val="20"/>
              </w:rPr>
            </w:pPr>
            <w:r w:rsidRPr="00F77095">
              <w:rPr>
                <w:rFonts w:ascii="Times New Roman" w:hAnsi="Times New Roman" w:cs="Times New Roman"/>
                <w:b/>
                <w:sz w:val="20"/>
                <w:szCs w:val="20"/>
              </w:rPr>
              <w:t>TEST YEAR ENDED 12/31/2020</w:t>
            </w:r>
          </w:p>
        </w:tc>
        <w:tc>
          <w:tcPr>
            <w:tcW w:w="1791" w:type="pct"/>
            <w:gridSpan w:val="3"/>
            <w:tcBorders>
              <w:top w:val="nil"/>
              <w:bottom w:val="nil"/>
            </w:tcBorders>
          </w:tcPr>
          <w:p w:rsidR="00776A46" w:rsidRPr="00F77095" w:rsidRDefault="00776A46" w:rsidP="00650EAF">
            <w:pPr>
              <w:jc w:val="right"/>
              <w:rPr>
                <w:rFonts w:ascii="Times New Roman" w:hAnsi="Times New Roman" w:cs="Times New Roman"/>
                <w:b/>
                <w:sz w:val="20"/>
                <w:szCs w:val="20"/>
              </w:rPr>
            </w:pPr>
            <w:r w:rsidRPr="00F77095">
              <w:rPr>
                <w:rFonts w:ascii="Times New Roman" w:hAnsi="Times New Roman" w:cs="Times New Roman"/>
                <w:b/>
                <w:sz w:val="20"/>
                <w:szCs w:val="20"/>
              </w:rPr>
              <w:t>DOCKET NO. 20210055-WU</w:t>
            </w:r>
          </w:p>
        </w:tc>
        <w:tc>
          <w:tcPr>
            <w:tcW w:w="118" w:type="pct"/>
            <w:tcBorders>
              <w:top w:val="nil"/>
              <w:bottom w:val="nil"/>
            </w:tcBorders>
          </w:tcPr>
          <w:p w:rsidR="00776A46" w:rsidRPr="00F77095" w:rsidRDefault="00776A46" w:rsidP="00650EAF">
            <w:pPr>
              <w:jc w:val="both"/>
              <w:rPr>
                <w:rFonts w:ascii="Times New Roman" w:hAnsi="Times New Roman" w:cs="Times New Roman"/>
                <w:b/>
                <w:sz w:val="20"/>
                <w:szCs w:val="20"/>
              </w:rPr>
            </w:pPr>
          </w:p>
        </w:tc>
      </w:tr>
      <w:tr w:rsidR="00776A46" w:rsidRPr="00F77095" w:rsidTr="00650EAF">
        <w:tc>
          <w:tcPr>
            <w:tcW w:w="196" w:type="pct"/>
            <w:tcBorders>
              <w:top w:val="nil"/>
              <w:bottom w:val="single" w:sz="4" w:space="0" w:color="auto"/>
            </w:tcBorders>
          </w:tcPr>
          <w:p w:rsidR="00776A46" w:rsidRPr="00F77095" w:rsidRDefault="00776A46" w:rsidP="00650EAF">
            <w:pPr>
              <w:jc w:val="both"/>
              <w:rPr>
                <w:rFonts w:ascii="Times New Roman" w:hAnsi="Times New Roman" w:cs="Times New Roman"/>
                <w:b/>
                <w:sz w:val="20"/>
                <w:szCs w:val="20"/>
              </w:rPr>
            </w:pPr>
          </w:p>
        </w:tc>
        <w:tc>
          <w:tcPr>
            <w:tcW w:w="2895" w:type="pct"/>
            <w:gridSpan w:val="3"/>
            <w:tcBorders>
              <w:top w:val="nil"/>
              <w:bottom w:val="single" w:sz="4" w:space="0" w:color="auto"/>
            </w:tcBorders>
          </w:tcPr>
          <w:p w:rsidR="00776A46" w:rsidRPr="00F77095" w:rsidRDefault="00776A46" w:rsidP="00650EAF">
            <w:pPr>
              <w:jc w:val="both"/>
              <w:rPr>
                <w:rFonts w:ascii="Times New Roman" w:hAnsi="Times New Roman" w:cs="Times New Roman"/>
                <w:b/>
                <w:sz w:val="20"/>
                <w:szCs w:val="20"/>
              </w:rPr>
            </w:pPr>
            <w:r w:rsidRPr="00F77095">
              <w:rPr>
                <w:rFonts w:ascii="Times New Roman" w:hAnsi="Times New Roman" w:cs="Times New Roman"/>
                <w:b/>
                <w:sz w:val="20"/>
                <w:szCs w:val="20"/>
              </w:rPr>
              <w:t>SCHEDULE OF WATER OPERATING INCOME</w:t>
            </w:r>
          </w:p>
        </w:tc>
        <w:tc>
          <w:tcPr>
            <w:tcW w:w="1791" w:type="pct"/>
            <w:gridSpan w:val="3"/>
            <w:tcBorders>
              <w:top w:val="nil"/>
              <w:bottom w:val="single" w:sz="4" w:space="0" w:color="auto"/>
            </w:tcBorders>
          </w:tcPr>
          <w:p w:rsidR="00776A46" w:rsidRPr="00F77095" w:rsidRDefault="00776A46" w:rsidP="00650EAF">
            <w:pPr>
              <w:jc w:val="both"/>
              <w:rPr>
                <w:rFonts w:ascii="Times New Roman" w:hAnsi="Times New Roman" w:cs="Times New Roman"/>
                <w:b/>
                <w:sz w:val="20"/>
                <w:szCs w:val="20"/>
              </w:rPr>
            </w:pPr>
          </w:p>
        </w:tc>
        <w:tc>
          <w:tcPr>
            <w:tcW w:w="118" w:type="pct"/>
            <w:tcBorders>
              <w:top w:val="nil"/>
              <w:bottom w:val="single" w:sz="4" w:space="0" w:color="auto"/>
            </w:tcBorders>
          </w:tcPr>
          <w:p w:rsidR="00776A46" w:rsidRPr="00F77095" w:rsidRDefault="00776A46" w:rsidP="00650EAF">
            <w:pPr>
              <w:jc w:val="both"/>
              <w:rPr>
                <w:rFonts w:ascii="Times New Roman" w:hAnsi="Times New Roman" w:cs="Times New Roman"/>
                <w:b/>
                <w:sz w:val="20"/>
                <w:szCs w:val="20"/>
              </w:rPr>
            </w:pPr>
          </w:p>
        </w:tc>
      </w:tr>
      <w:tr w:rsidR="00776A46" w:rsidRPr="00F77095" w:rsidTr="00650EAF">
        <w:tc>
          <w:tcPr>
            <w:tcW w:w="196" w:type="pct"/>
            <w:tcBorders>
              <w:top w:val="single" w:sz="4" w:space="0" w:color="auto"/>
              <w:bottom w:val="nil"/>
            </w:tcBorders>
          </w:tcPr>
          <w:p w:rsidR="00776A46" w:rsidRPr="00F77095" w:rsidRDefault="00776A46" w:rsidP="00650EAF">
            <w:pPr>
              <w:jc w:val="both"/>
              <w:rPr>
                <w:rFonts w:ascii="Times New Roman" w:hAnsi="Times New Roman" w:cs="Times New Roman"/>
                <w:b/>
                <w:sz w:val="20"/>
                <w:szCs w:val="20"/>
              </w:rPr>
            </w:pPr>
          </w:p>
        </w:tc>
        <w:tc>
          <w:tcPr>
            <w:tcW w:w="1727" w:type="pct"/>
            <w:tcBorders>
              <w:top w:val="single" w:sz="4" w:space="0" w:color="auto"/>
              <w:bottom w:val="nil"/>
            </w:tcBorders>
          </w:tcPr>
          <w:p w:rsidR="00776A46" w:rsidRPr="00F77095" w:rsidRDefault="00776A46" w:rsidP="00650EAF">
            <w:pPr>
              <w:jc w:val="both"/>
              <w:rPr>
                <w:rFonts w:ascii="Times New Roman" w:hAnsi="Times New Roman" w:cs="Times New Roman"/>
                <w:b/>
                <w:sz w:val="20"/>
                <w:szCs w:val="20"/>
              </w:rPr>
            </w:pPr>
          </w:p>
        </w:tc>
        <w:tc>
          <w:tcPr>
            <w:tcW w:w="636" w:type="pct"/>
            <w:tcBorders>
              <w:top w:val="single" w:sz="4" w:space="0" w:color="auto"/>
              <w:bottom w:val="nil"/>
            </w:tcBorders>
          </w:tcPr>
          <w:p w:rsidR="00776A46" w:rsidRPr="00F77095" w:rsidRDefault="00776A46" w:rsidP="00650EAF">
            <w:pPr>
              <w:jc w:val="both"/>
              <w:rPr>
                <w:rFonts w:ascii="Times New Roman" w:hAnsi="Times New Roman" w:cs="Times New Roman"/>
                <w:b/>
                <w:sz w:val="20"/>
                <w:szCs w:val="20"/>
              </w:rPr>
            </w:pPr>
          </w:p>
        </w:tc>
        <w:tc>
          <w:tcPr>
            <w:tcW w:w="532" w:type="pct"/>
            <w:tcBorders>
              <w:top w:val="single" w:sz="4" w:space="0" w:color="auto"/>
              <w:bottom w:val="nil"/>
            </w:tcBorders>
          </w:tcPr>
          <w:p w:rsidR="00776A46" w:rsidRPr="00F77095" w:rsidRDefault="00776A46" w:rsidP="00650EAF">
            <w:pPr>
              <w:jc w:val="both"/>
              <w:rPr>
                <w:rFonts w:ascii="Times New Roman" w:hAnsi="Times New Roman" w:cs="Times New Roman"/>
                <w:b/>
                <w:sz w:val="20"/>
                <w:szCs w:val="20"/>
              </w:rPr>
            </w:pPr>
          </w:p>
        </w:tc>
        <w:tc>
          <w:tcPr>
            <w:tcW w:w="659" w:type="pct"/>
            <w:tcBorders>
              <w:top w:val="single" w:sz="4" w:space="0" w:color="auto"/>
              <w:bottom w:val="nil"/>
            </w:tcBorders>
          </w:tcPr>
          <w:p w:rsidR="00776A46" w:rsidRPr="00F77095" w:rsidRDefault="00776A46" w:rsidP="00650EAF">
            <w:pPr>
              <w:jc w:val="both"/>
              <w:rPr>
                <w:rFonts w:ascii="Times New Roman" w:hAnsi="Times New Roman" w:cs="Times New Roman"/>
                <w:b/>
                <w:sz w:val="20"/>
                <w:szCs w:val="20"/>
              </w:rPr>
            </w:pPr>
          </w:p>
        </w:tc>
        <w:tc>
          <w:tcPr>
            <w:tcW w:w="668" w:type="pct"/>
            <w:tcBorders>
              <w:top w:val="single" w:sz="4" w:space="0" w:color="auto"/>
              <w:bottom w:val="nil"/>
            </w:tcBorders>
          </w:tcPr>
          <w:p w:rsidR="00776A46" w:rsidRPr="00F77095" w:rsidRDefault="00776A46" w:rsidP="00650EAF">
            <w:pPr>
              <w:jc w:val="both"/>
              <w:rPr>
                <w:rFonts w:ascii="Times New Roman" w:hAnsi="Times New Roman" w:cs="Times New Roman"/>
                <w:b/>
                <w:sz w:val="20"/>
                <w:szCs w:val="20"/>
              </w:rPr>
            </w:pPr>
          </w:p>
        </w:tc>
        <w:tc>
          <w:tcPr>
            <w:tcW w:w="464" w:type="pct"/>
            <w:tcBorders>
              <w:top w:val="single" w:sz="4" w:space="0" w:color="auto"/>
              <w:bottom w:val="nil"/>
            </w:tcBorders>
          </w:tcPr>
          <w:p w:rsidR="00776A46" w:rsidRPr="00F77095" w:rsidRDefault="00776A46" w:rsidP="00650EAF">
            <w:pPr>
              <w:jc w:val="both"/>
              <w:rPr>
                <w:rFonts w:ascii="Times New Roman" w:hAnsi="Times New Roman" w:cs="Times New Roman"/>
                <w:b/>
                <w:sz w:val="20"/>
                <w:szCs w:val="20"/>
              </w:rPr>
            </w:pPr>
          </w:p>
        </w:tc>
        <w:tc>
          <w:tcPr>
            <w:tcW w:w="118" w:type="pct"/>
            <w:tcBorders>
              <w:top w:val="single" w:sz="4" w:space="0" w:color="auto"/>
              <w:bottom w:val="nil"/>
            </w:tcBorders>
          </w:tcPr>
          <w:p w:rsidR="00776A46" w:rsidRPr="00F77095" w:rsidRDefault="00776A46" w:rsidP="00650EAF">
            <w:pPr>
              <w:jc w:val="both"/>
              <w:rPr>
                <w:rFonts w:ascii="Times New Roman" w:hAnsi="Times New Roman" w:cs="Times New Roman"/>
                <w:b/>
                <w:sz w:val="20"/>
                <w:szCs w:val="20"/>
              </w:rPr>
            </w:pPr>
          </w:p>
        </w:tc>
      </w:tr>
      <w:tr w:rsidR="00776A46" w:rsidRPr="00F77095" w:rsidTr="00650EAF">
        <w:tc>
          <w:tcPr>
            <w:tcW w:w="196" w:type="pct"/>
            <w:tcBorders>
              <w:top w:val="nil"/>
              <w:bottom w:val="nil"/>
            </w:tcBorders>
          </w:tcPr>
          <w:p w:rsidR="00776A46" w:rsidRPr="00F77095" w:rsidRDefault="00776A46" w:rsidP="00650EAF">
            <w:pPr>
              <w:jc w:val="center"/>
              <w:rPr>
                <w:rFonts w:ascii="Times New Roman" w:hAnsi="Times New Roman" w:cs="Times New Roman"/>
                <w:b/>
                <w:sz w:val="20"/>
                <w:szCs w:val="20"/>
              </w:rPr>
            </w:pPr>
          </w:p>
        </w:tc>
        <w:tc>
          <w:tcPr>
            <w:tcW w:w="1727" w:type="pct"/>
            <w:tcBorders>
              <w:top w:val="nil"/>
              <w:bottom w:val="nil"/>
            </w:tcBorders>
          </w:tcPr>
          <w:p w:rsidR="00776A46" w:rsidRPr="00F77095" w:rsidRDefault="00776A46" w:rsidP="00650EAF">
            <w:pPr>
              <w:jc w:val="center"/>
              <w:rPr>
                <w:rFonts w:ascii="Times New Roman" w:hAnsi="Times New Roman" w:cs="Times New Roman"/>
                <w:b/>
                <w:sz w:val="20"/>
                <w:szCs w:val="20"/>
              </w:rPr>
            </w:pPr>
          </w:p>
        </w:tc>
        <w:tc>
          <w:tcPr>
            <w:tcW w:w="636" w:type="pct"/>
            <w:tcBorders>
              <w:top w:val="nil"/>
              <w:bottom w:val="nil"/>
            </w:tcBorders>
          </w:tcPr>
          <w:p w:rsidR="00776A46" w:rsidRPr="00F77095" w:rsidRDefault="00776A46" w:rsidP="00650EAF">
            <w:pPr>
              <w:jc w:val="center"/>
              <w:rPr>
                <w:rFonts w:ascii="Times New Roman" w:hAnsi="Times New Roman" w:cs="Times New Roman"/>
                <w:b/>
                <w:sz w:val="20"/>
                <w:szCs w:val="20"/>
              </w:rPr>
            </w:pPr>
          </w:p>
        </w:tc>
        <w:tc>
          <w:tcPr>
            <w:tcW w:w="532" w:type="pct"/>
            <w:tcBorders>
              <w:top w:val="nil"/>
              <w:bottom w:val="nil"/>
            </w:tcBorders>
          </w:tcPr>
          <w:p w:rsidR="00776A46" w:rsidRPr="00F77095" w:rsidRDefault="00776A46" w:rsidP="00650EAF">
            <w:pPr>
              <w:jc w:val="center"/>
              <w:rPr>
                <w:rFonts w:ascii="Times New Roman" w:hAnsi="Times New Roman" w:cs="Times New Roman"/>
                <w:b/>
                <w:sz w:val="20"/>
                <w:szCs w:val="20"/>
              </w:rPr>
            </w:pPr>
            <w:r w:rsidRPr="00F77095">
              <w:rPr>
                <w:rFonts w:ascii="Times New Roman" w:hAnsi="Times New Roman" w:cs="Times New Roman"/>
                <w:b/>
                <w:sz w:val="20"/>
                <w:szCs w:val="20"/>
              </w:rPr>
              <w:t>STAFF</w:t>
            </w:r>
          </w:p>
        </w:tc>
        <w:tc>
          <w:tcPr>
            <w:tcW w:w="659" w:type="pct"/>
            <w:tcBorders>
              <w:top w:val="nil"/>
              <w:bottom w:val="nil"/>
            </w:tcBorders>
          </w:tcPr>
          <w:p w:rsidR="00776A46" w:rsidRPr="00F77095" w:rsidRDefault="00776A46" w:rsidP="00650EAF">
            <w:pPr>
              <w:jc w:val="center"/>
              <w:rPr>
                <w:rFonts w:ascii="Times New Roman" w:hAnsi="Times New Roman" w:cs="Times New Roman"/>
                <w:b/>
                <w:sz w:val="20"/>
                <w:szCs w:val="20"/>
              </w:rPr>
            </w:pPr>
            <w:r w:rsidRPr="00F77095">
              <w:rPr>
                <w:rFonts w:ascii="Times New Roman" w:hAnsi="Times New Roman" w:cs="Times New Roman"/>
                <w:b/>
                <w:sz w:val="20"/>
                <w:szCs w:val="20"/>
              </w:rPr>
              <w:t>STAFF</w:t>
            </w:r>
          </w:p>
        </w:tc>
        <w:tc>
          <w:tcPr>
            <w:tcW w:w="668" w:type="pct"/>
            <w:tcBorders>
              <w:top w:val="nil"/>
              <w:bottom w:val="nil"/>
            </w:tcBorders>
          </w:tcPr>
          <w:p w:rsidR="00776A46" w:rsidRPr="00F77095" w:rsidRDefault="00776A46" w:rsidP="00650EAF">
            <w:pPr>
              <w:jc w:val="center"/>
              <w:rPr>
                <w:rFonts w:ascii="Times New Roman" w:hAnsi="Times New Roman" w:cs="Times New Roman"/>
                <w:b/>
                <w:sz w:val="20"/>
                <w:szCs w:val="20"/>
              </w:rPr>
            </w:pPr>
            <w:r w:rsidRPr="00F77095">
              <w:rPr>
                <w:rFonts w:ascii="Times New Roman" w:hAnsi="Times New Roman" w:cs="Times New Roman"/>
                <w:b/>
                <w:sz w:val="20"/>
                <w:szCs w:val="20"/>
              </w:rPr>
              <w:t>ADJUST</w:t>
            </w:r>
          </w:p>
        </w:tc>
        <w:tc>
          <w:tcPr>
            <w:tcW w:w="464" w:type="pct"/>
            <w:tcBorders>
              <w:top w:val="nil"/>
              <w:bottom w:val="nil"/>
            </w:tcBorders>
          </w:tcPr>
          <w:p w:rsidR="00776A46" w:rsidRPr="00F77095" w:rsidRDefault="00776A46" w:rsidP="00650EAF">
            <w:pPr>
              <w:jc w:val="center"/>
              <w:rPr>
                <w:rFonts w:ascii="Times New Roman" w:hAnsi="Times New Roman" w:cs="Times New Roman"/>
                <w:b/>
                <w:sz w:val="20"/>
                <w:szCs w:val="20"/>
              </w:rPr>
            </w:pPr>
          </w:p>
        </w:tc>
        <w:tc>
          <w:tcPr>
            <w:tcW w:w="118" w:type="pct"/>
            <w:tcBorders>
              <w:top w:val="nil"/>
              <w:bottom w:val="nil"/>
            </w:tcBorders>
          </w:tcPr>
          <w:p w:rsidR="00776A46" w:rsidRPr="00F77095" w:rsidRDefault="00776A46" w:rsidP="00650EAF">
            <w:pPr>
              <w:jc w:val="center"/>
              <w:rPr>
                <w:rFonts w:ascii="Times New Roman" w:hAnsi="Times New Roman" w:cs="Times New Roman"/>
                <w:b/>
                <w:sz w:val="20"/>
                <w:szCs w:val="20"/>
              </w:rPr>
            </w:pPr>
          </w:p>
        </w:tc>
      </w:tr>
      <w:tr w:rsidR="00776A46" w:rsidRPr="00F77095" w:rsidTr="00650EAF">
        <w:tc>
          <w:tcPr>
            <w:tcW w:w="196" w:type="pct"/>
            <w:tcBorders>
              <w:top w:val="nil"/>
              <w:bottom w:val="nil"/>
            </w:tcBorders>
          </w:tcPr>
          <w:p w:rsidR="00776A46" w:rsidRPr="00F77095" w:rsidRDefault="00776A46" w:rsidP="00650EAF">
            <w:pPr>
              <w:jc w:val="center"/>
              <w:rPr>
                <w:rFonts w:ascii="Times New Roman" w:hAnsi="Times New Roman" w:cs="Times New Roman"/>
                <w:b/>
                <w:sz w:val="20"/>
                <w:szCs w:val="20"/>
              </w:rPr>
            </w:pPr>
          </w:p>
        </w:tc>
        <w:tc>
          <w:tcPr>
            <w:tcW w:w="1727" w:type="pct"/>
            <w:tcBorders>
              <w:top w:val="nil"/>
              <w:bottom w:val="nil"/>
            </w:tcBorders>
          </w:tcPr>
          <w:p w:rsidR="00776A46" w:rsidRPr="00F77095" w:rsidRDefault="00776A46" w:rsidP="00650EAF">
            <w:pPr>
              <w:jc w:val="center"/>
              <w:rPr>
                <w:rFonts w:ascii="Times New Roman" w:hAnsi="Times New Roman" w:cs="Times New Roman"/>
                <w:b/>
                <w:sz w:val="20"/>
                <w:szCs w:val="20"/>
              </w:rPr>
            </w:pPr>
          </w:p>
        </w:tc>
        <w:tc>
          <w:tcPr>
            <w:tcW w:w="636" w:type="pct"/>
            <w:tcBorders>
              <w:top w:val="nil"/>
              <w:bottom w:val="nil"/>
            </w:tcBorders>
          </w:tcPr>
          <w:p w:rsidR="00776A46" w:rsidRPr="00F77095" w:rsidRDefault="00776A46" w:rsidP="00650EAF">
            <w:pPr>
              <w:jc w:val="center"/>
              <w:rPr>
                <w:rFonts w:ascii="Times New Roman" w:hAnsi="Times New Roman" w:cs="Times New Roman"/>
                <w:b/>
                <w:sz w:val="20"/>
                <w:szCs w:val="20"/>
              </w:rPr>
            </w:pPr>
            <w:r w:rsidRPr="00F77095">
              <w:rPr>
                <w:rFonts w:ascii="Times New Roman" w:hAnsi="Times New Roman" w:cs="Times New Roman"/>
                <w:b/>
                <w:sz w:val="20"/>
                <w:szCs w:val="20"/>
              </w:rPr>
              <w:t>PER</w:t>
            </w:r>
          </w:p>
        </w:tc>
        <w:tc>
          <w:tcPr>
            <w:tcW w:w="532" w:type="pct"/>
            <w:tcBorders>
              <w:top w:val="nil"/>
              <w:bottom w:val="nil"/>
            </w:tcBorders>
          </w:tcPr>
          <w:p w:rsidR="00776A46" w:rsidRPr="00F77095" w:rsidRDefault="00776A46" w:rsidP="00650EAF">
            <w:pPr>
              <w:jc w:val="center"/>
              <w:rPr>
                <w:rFonts w:ascii="Times New Roman" w:hAnsi="Times New Roman" w:cs="Times New Roman"/>
                <w:b/>
                <w:sz w:val="20"/>
                <w:szCs w:val="20"/>
              </w:rPr>
            </w:pPr>
            <w:r w:rsidRPr="00F77095">
              <w:rPr>
                <w:rFonts w:ascii="Times New Roman" w:hAnsi="Times New Roman" w:cs="Times New Roman"/>
                <w:b/>
                <w:sz w:val="20"/>
                <w:szCs w:val="20"/>
              </w:rPr>
              <w:t>ADJUST</w:t>
            </w:r>
          </w:p>
        </w:tc>
        <w:tc>
          <w:tcPr>
            <w:tcW w:w="659" w:type="pct"/>
            <w:tcBorders>
              <w:top w:val="nil"/>
              <w:bottom w:val="nil"/>
            </w:tcBorders>
          </w:tcPr>
          <w:p w:rsidR="00776A46" w:rsidRPr="00F77095" w:rsidRDefault="00776A46" w:rsidP="00650EAF">
            <w:pPr>
              <w:jc w:val="center"/>
              <w:rPr>
                <w:rFonts w:ascii="Times New Roman" w:hAnsi="Times New Roman" w:cs="Times New Roman"/>
                <w:b/>
                <w:sz w:val="20"/>
                <w:szCs w:val="20"/>
              </w:rPr>
            </w:pPr>
            <w:r w:rsidRPr="00F77095">
              <w:rPr>
                <w:rFonts w:ascii="Times New Roman" w:hAnsi="Times New Roman" w:cs="Times New Roman"/>
                <w:b/>
                <w:sz w:val="20"/>
                <w:szCs w:val="20"/>
              </w:rPr>
              <w:t>ADJ. TEST</w:t>
            </w:r>
          </w:p>
        </w:tc>
        <w:tc>
          <w:tcPr>
            <w:tcW w:w="668" w:type="pct"/>
            <w:tcBorders>
              <w:top w:val="nil"/>
              <w:bottom w:val="nil"/>
            </w:tcBorders>
          </w:tcPr>
          <w:p w:rsidR="00776A46" w:rsidRPr="00F77095" w:rsidRDefault="00776A46" w:rsidP="00650EAF">
            <w:pPr>
              <w:jc w:val="center"/>
              <w:rPr>
                <w:rFonts w:ascii="Times New Roman" w:hAnsi="Times New Roman" w:cs="Times New Roman"/>
                <w:b/>
                <w:sz w:val="20"/>
                <w:szCs w:val="20"/>
              </w:rPr>
            </w:pPr>
            <w:r w:rsidRPr="00F77095">
              <w:rPr>
                <w:rFonts w:ascii="Times New Roman" w:hAnsi="Times New Roman" w:cs="Times New Roman"/>
                <w:b/>
                <w:sz w:val="20"/>
                <w:szCs w:val="20"/>
              </w:rPr>
              <w:t>FOR</w:t>
            </w:r>
          </w:p>
        </w:tc>
        <w:tc>
          <w:tcPr>
            <w:tcW w:w="464" w:type="pct"/>
            <w:tcBorders>
              <w:top w:val="nil"/>
              <w:bottom w:val="nil"/>
            </w:tcBorders>
          </w:tcPr>
          <w:p w:rsidR="00776A46" w:rsidRPr="00F77095" w:rsidRDefault="00776A46" w:rsidP="00650EAF">
            <w:pPr>
              <w:jc w:val="center"/>
              <w:rPr>
                <w:rFonts w:ascii="Times New Roman" w:hAnsi="Times New Roman" w:cs="Times New Roman"/>
                <w:b/>
                <w:sz w:val="20"/>
                <w:szCs w:val="20"/>
              </w:rPr>
            </w:pPr>
            <w:r w:rsidRPr="00F77095">
              <w:rPr>
                <w:rFonts w:ascii="Times New Roman" w:hAnsi="Times New Roman" w:cs="Times New Roman"/>
                <w:b/>
                <w:sz w:val="20"/>
                <w:szCs w:val="20"/>
              </w:rPr>
              <w:t>REV.</w:t>
            </w:r>
          </w:p>
        </w:tc>
        <w:tc>
          <w:tcPr>
            <w:tcW w:w="118" w:type="pct"/>
            <w:tcBorders>
              <w:top w:val="nil"/>
              <w:bottom w:val="nil"/>
            </w:tcBorders>
          </w:tcPr>
          <w:p w:rsidR="00776A46" w:rsidRPr="00F77095" w:rsidRDefault="00776A46" w:rsidP="00650EAF">
            <w:pPr>
              <w:jc w:val="center"/>
              <w:rPr>
                <w:rFonts w:ascii="Times New Roman" w:hAnsi="Times New Roman" w:cs="Times New Roman"/>
                <w:b/>
                <w:sz w:val="20"/>
                <w:szCs w:val="20"/>
              </w:rPr>
            </w:pPr>
          </w:p>
        </w:tc>
      </w:tr>
      <w:tr w:rsidR="00776A46" w:rsidRPr="00F77095" w:rsidTr="00650EAF">
        <w:tc>
          <w:tcPr>
            <w:tcW w:w="196" w:type="pct"/>
            <w:tcBorders>
              <w:top w:val="nil"/>
              <w:bottom w:val="single" w:sz="4" w:space="0" w:color="auto"/>
            </w:tcBorders>
          </w:tcPr>
          <w:p w:rsidR="00776A46" w:rsidRPr="00F77095" w:rsidRDefault="00776A46" w:rsidP="00650EAF">
            <w:pPr>
              <w:jc w:val="center"/>
              <w:rPr>
                <w:rFonts w:ascii="Times New Roman" w:hAnsi="Times New Roman" w:cs="Times New Roman"/>
                <w:b/>
                <w:sz w:val="20"/>
                <w:szCs w:val="20"/>
              </w:rPr>
            </w:pPr>
          </w:p>
        </w:tc>
        <w:tc>
          <w:tcPr>
            <w:tcW w:w="1727" w:type="pct"/>
            <w:tcBorders>
              <w:top w:val="nil"/>
              <w:bottom w:val="single" w:sz="4" w:space="0" w:color="auto"/>
            </w:tcBorders>
          </w:tcPr>
          <w:p w:rsidR="00776A46" w:rsidRPr="00F77095" w:rsidRDefault="00776A46" w:rsidP="00650EAF">
            <w:pPr>
              <w:jc w:val="center"/>
              <w:rPr>
                <w:rFonts w:ascii="Times New Roman" w:hAnsi="Times New Roman" w:cs="Times New Roman"/>
                <w:b/>
                <w:sz w:val="20"/>
                <w:szCs w:val="20"/>
              </w:rPr>
            </w:pPr>
          </w:p>
        </w:tc>
        <w:tc>
          <w:tcPr>
            <w:tcW w:w="636" w:type="pct"/>
            <w:tcBorders>
              <w:top w:val="nil"/>
              <w:bottom w:val="single" w:sz="4" w:space="0" w:color="auto"/>
            </w:tcBorders>
          </w:tcPr>
          <w:p w:rsidR="00776A46" w:rsidRPr="00F77095" w:rsidRDefault="00776A46" w:rsidP="00650EAF">
            <w:pPr>
              <w:jc w:val="center"/>
              <w:rPr>
                <w:rFonts w:ascii="Times New Roman" w:hAnsi="Times New Roman" w:cs="Times New Roman"/>
                <w:b/>
                <w:sz w:val="20"/>
                <w:szCs w:val="20"/>
              </w:rPr>
            </w:pPr>
            <w:r w:rsidRPr="00F77095">
              <w:rPr>
                <w:rFonts w:ascii="Times New Roman" w:hAnsi="Times New Roman" w:cs="Times New Roman"/>
                <w:b/>
                <w:sz w:val="20"/>
                <w:szCs w:val="20"/>
              </w:rPr>
              <w:t>UTILITY</w:t>
            </w:r>
          </w:p>
        </w:tc>
        <w:tc>
          <w:tcPr>
            <w:tcW w:w="532" w:type="pct"/>
            <w:tcBorders>
              <w:top w:val="nil"/>
              <w:bottom w:val="single" w:sz="4" w:space="0" w:color="auto"/>
            </w:tcBorders>
          </w:tcPr>
          <w:p w:rsidR="00776A46" w:rsidRPr="00F77095" w:rsidRDefault="00776A46" w:rsidP="00650EAF">
            <w:pPr>
              <w:jc w:val="center"/>
              <w:rPr>
                <w:rFonts w:ascii="Times New Roman" w:hAnsi="Times New Roman" w:cs="Times New Roman"/>
                <w:b/>
                <w:sz w:val="20"/>
                <w:szCs w:val="20"/>
              </w:rPr>
            </w:pPr>
            <w:r w:rsidRPr="00F77095">
              <w:rPr>
                <w:rFonts w:ascii="Times New Roman" w:hAnsi="Times New Roman" w:cs="Times New Roman"/>
                <w:b/>
                <w:sz w:val="20"/>
                <w:szCs w:val="20"/>
              </w:rPr>
              <w:t>MENTS</w:t>
            </w:r>
          </w:p>
        </w:tc>
        <w:tc>
          <w:tcPr>
            <w:tcW w:w="659" w:type="pct"/>
            <w:tcBorders>
              <w:top w:val="nil"/>
              <w:bottom w:val="single" w:sz="4" w:space="0" w:color="auto"/>
            </w:tcBorders>
          </w:tcPr>
          <w:p w:rsidR="00776A46" w:rsidRPr="00F77095" w:rsidRDefault="00776A46" w:rsidP="00650EAF">
            <w:pPr>
              <w:jc w:val="center"/>
              <w:rPr>
                <w:rFonts w:ascii="Times New Roman" w:hAnsi="Times New Roman" w:cs="Times New Roman"/>
                <w:b/>
                <w:sz w:val="20"/>
                <w:szCs w:val="20"/>
              </w:rPr>
            </w:pPr>
            <w:r w:rsidRPr="00F77095">
              <w:rPr>
                <w:rFonts w:ascii="Times New Roman" w:hAnsi="Times New Roman" w:cs="Times New Roman"/>
                <w:b/>
                <w:sz w:val="20"/>
                <w:szCs w:val="20"/>
              </w:rPr>
              <w:t>YEAR</w:t>
            </w:r>
          </w:p>
        </w:tc>
        <w:tc>
          <w:tcPr>
            <w:tcW w:w="668" w:type="pct"/>
            <w:tcBorders>
              <w:top w:val="nil"/>
              <w:bottom w:val="single" w:sz="4" w:space="0" w:color="auto"/>
            </w:tcBorders>
          </w:tcPr>
          <w:p w:rsidR="00776A46" w:rsidRPr="00F77095" w:rsidRDefault="00776A46" w:rsidP="00650EAF">
            <w:pPr>
              <w:jc w:val="center"/>
              <w:rPr>
                <w:rFonts w:ascii="Times New Roman" w:hAnsi="Times New Roman" w:cs="Times New Roman"/>
                <w:b/>
                <w:sz w:val="20"/>
                <w:szCs w:val="20"/>
              </w:rPr>
            </w:pPr>
            <w:r w:rsidRPr="00F77095">
              <w:rPr>
                <w:rFonts w:ascii="Times New Roman" w:hAnsi="Times New Roman" w:cs="Times New Roman"/>
                <w:b/>
                <w:sz w:val="20"/>
                <w:szCs w:val="20"/>
              </w:rPr>
              <w:t>INCREASE</w:t>
            </w:r>
          </w:p>
        </w:tc>
        <w:tc>
          <w:tcPr>
            <w:tcW w:w="464" w:type="pct"/>
            <w:tcBorders>
              <w:top w:val="nil"/>
              <w:bottom w:val="single" w:sz="4" w:space="0" w:color="auto"/>
            </w:tcBorders>
          </w:tcPr>
          <w:p w:rsidR="00776A46" w:rsidRPr="00F77095" w:rsidRDefault="00776A46" w:rsidP="00650EAF">
            <w:pPr>
              <w:jc w:val="center"/>
              <w:rPr>
                <w:rFonts w:ascii="Times New Roman" w:hAnsi="Times New Roman" w:cs="Times New Roman"/>
                <w:b/>
                <w:sz w:val="20"/>
                <w:szCs w:val="20"/>
              </w:rPr>
            </w:pPr>
            <w:r w:rsidRPr="00F77095">
              <w:rPr>
                <w:rFonts w:ascii="Times New Roman" w:hAnsi="Times New Roman" w:cs="Times New Roman"/>
                <w:b/>
                <w:sz w:val="20"/>
                <w:szCs w:val="20"/>
              </w:rPr>
              <w:t>REQ.</w:t>
            </w:r>
          </w:p>
        </w:tc>
        <w:tc>
          <w:tcPr>
            <w:tcW w:w="118" w:type="pct"/>
            <w:tcBorders>
              <w:top w:val="nil"/>
              <w:bottom w:val="single" w:sz="4" w:space="0" w:color="auto"/>
            </w:tcBorders>
          </w:tcPr>
          <w:p w:rsidR="00776A46" w:rsidRPr="00F77095" w:rsidRDefault="00776A46" w:rsidP="00650EAF">
            <w:pPr>
              <w:jc w:val="center"/>
              <w:rPr>
                <w:rFonts w:ascii="Times New Roman" w:hAnsi="Times New Roman" w:cs="Times New Roman"/>
                <w:b/>
                <w:sz w:val="20"/>
                <w:szCs w:val="20"/>
              </w:rPr>
            </w:pPr>
          </w:p>
        </w:tc>
      </w:tr>
      <w:tr w:rsidR="00776A46" w:rsidRPr="00F77095" w:rsidTr="00650EAF">
        <w:tc>
          <w:tcPr>
            <w:tcW w:w="196" w:type="pct"/>
            <w:tcBorders>
              <w:top w:val="single" w:sz="4" w:space="0" w:color="auto"/>
            </w:tcBorders>
          </w:tcPr>
          <w:p w:rsidR="00776A46" w:rsidRPr="00F77095" w:rsidRDefault="00776A46" w:rsidP="00650EAF">
            <w:pPr>
              <w:jc w:val="both"/>
              <w:rPr>
                <w:rFonts w:ascii="Times New Roman" w:hAnsi="Times New Roman" w:cs="Times New Roman"/>
                <w:sz w:val="20"/>
                <w:szCs w:val="20"/>
              </w:rPr>
            </w:pPr>
          </w:p>
        </w:tc>
        <w:tc>
          <w:tcPr>
            <w:tcW w:w="1727" w:type="pct"/>
            <w:tcBorders>
              <w:top w:val="single" w:sz="4" w:space="0" w:color="auto"/>
            </w:tcBorders>
          </w:tcPr>
          <w:p w:rsidR="00776A46" w:rsidRPr="00F77095" w:rsidRDefault="00776A46" w:rsidP="00650EAF">
            <w:pPr>
              <w:jc w:val="both"/>
              <w:rPr>
                <w:rFonts w:ascii="Times New Roman" w:hAnsi="Times New Roman" w:cs="Times New Roman"/>
                <w:sz w:val="20"/>
                <w:szCs w:val="20"/>
              </w:rPr>
            </w:pPr>
          </w:p>
        </w:tc>
        <w:tc>
          <w:tcPr>
            <w:tcW w:w="636" w:type="pct"/>
            <w:tcBorders>
              <w:top w:val="single" w:sz="4" w:space="0" w:color="auto"/>
            </w:tcBorders>
          </w:tcPr>
          <w:p w:rsidR="00776A46" w:rsidRPr="00F77095" w:rsidRDefault="00776A46" w:rsidP="00650EAF">
            <w:pPr>
              <w:jc w:val="both"/>
              <w:rPr>
                <w:rFonts w:ascii="Times New Roman" w:hAnsi="Times New Roman" w:cs="Times New Roman"/>
                <w:sz w:val="20"/>
                <w:szCs w:val="20"/>
              </w:rPr>
            </w:pPr>
          </w:p>
        </w:tc>
        <w:tc>
          <w:tcPr>
            <w:tcW w:w="532" w:type="pct"/>
            <w:tcBorders>
              <w:top w:val="single" w:sz="4" w:space="0" w:color="auto"/>
            </w:tcBorders>
          </w:tcPr>
          <w:p w:rsidR="00776A46" w:rsidRPr="00F77095" w:rsidRDefault="00776A46" w:rsidP="00650EAF">
            <w:pPr>
              <w:jc w:val="both"/>
              <w:rPr>
                <w:rFonts w:ascii="Times New Roman" w:hAnsi="Times New Roman" w:cs="Times New Roman"/>
                <w:sz w:val="20"/>
                <w:szCs w:val="20"/>
              </w:rPr>
            </w:pPr>
          </w:p>
        </w:tc>
        <w:tc>
          <w:tcPr>
            <w:tcW w:w="659" w:type="pct"/>
            <w:tcBorders>
              <w:top w:val="single" w:sz="4" w:space="0" w:color="auto"/>
            </w:tcBorders>
          </w:tcPr>
          <w:p w:rsidR="00776A46" w:rsidRPr="00F77095" w:rsidRDefault="00776A46" w:rsidP="00650EAF">
            <w:pPr>
              <w:jc w:val="both"/>
              <w:rPr>
                <w:rFonts w:ascii="Times New Roman" w:hAnsi="Times New Roman" w:cs="Times New Roman"/>
                <w:sz w:val="20"/>
                <w:szCs w:val="20"/>
              </w:rPr>
            </w:pPr>
          </w:p>
        </w:tc>
        <w:tc>
          <w:tcPr>
            <w:tcW w:w="668" w:type="pct"/>
            <w:tcBorders>
              <w:top w:val="single" w:sz="4" w:space="0" w:color="auto"/>
            </w:tcBorders>
          </w:tcPr>
          <w:p w:rsidR="00776A46" w:rsidRPr="00F77095" w:rsidRDefault="00776A46" w:rsidP="00650EAF">
            <w:pPr>
              <w:jc w:val="both"/>
              <w:rPr>
                <w:rFonts w:ascii="Times New Roman" w:hAnsi="Times New Roman" w:cs="Times New Roman"/>
                <w:sz w:val="20"/>
                <w:szCs w:val="20"/>
              </w:rPr>
            </w:pPr>
          </w:p>
        </w:tc>
        <w:tc>
          <w:tcPr>
            <w:tcW w:w="464" w:type="pct"/>
            <w:tcBorders>
              <w:top w:val="single" w:sz="4" w:space="0" w:color="auto"/>
            </w:tcBorders>
          </w:tcPr>
          <w:p w:rsidR="00776A46" w:rsidRPr="00F77095" w:rsidRDefault="00776A46" w:rsidP="00650EAF">
            <w:pPr>
              <w:jc w:val="both"/>
              <w:rPr>
                <w:rFonts w:ascii="Times New Roman" w:hAnsi="Times New Roman" w:cs="Times New Roman"/>
                <w:sz w:val="20"/>
                <w:szCs w:val="20"/>
              </w:rPr>
            </w:pPr>
          </w:p>
        </w:tc>
        <w:tc>
          <w:tcPr>
            <w:tcW w:w="118" w:type="pct"/>
            <w:tcBorders>
              <w:top w:val="single" w:sz="4" w:space="0" w:color="auto"/>
            </w:tcBorders>
          </w:tcPr>
          <w:p w:rsidR="00776A46" w:rsidRPr="00F77095" w:rsidRDefault="00776A46" w:rsidP="00650EAF">
            <w:pPr>
              <w:jc w:val="both"/>
              <w:rPr>
                <w:rFonts w:ascii="Times New Roman" w:hAnsi="Times New Roman" w:cs="Times New Roman"/>
                <w:sz w:val="20"/>
                <w:szCs w:val="20"/>
              </w:rPr>
            </w:pPr>
          </w:p>
        </w:tc>
      </w:tr>
      <w:tr w:rsidR="00776A46" w:rsidRPr="00F77095" w:rsidTr="00650EAF">
        <w:tc>
          <w:tcPr>
            <w:tcW w:w="196" w:type="pct"/>
          </w:tcPr>
          <w:p w:rsidR="00776A46" w:rsidRPr="00F77095" w:rsidRDefault="00776A46" w:rsidP="00650EAF">
            <w:pPr>
              <w:jc w:val="both"/>
              <w:rPr>
                <w:rFonts w:ascii="Times New Roman" w:hAnsi="Times New Roman" w:cs="Times New Roman"/>
                <w:sz w:val="20"/>
                <w:szCs w:val="20"/>
              </w:rPr>
            </w:pPr>
            <w:r w:rsidRPr="00F77095">
              <w:rPr>
                <w:rFonts w:ascii="Times New Roman" w:hAnsi="Times New Roman" w:cs="Times New Roman"/>
                <w:sz w:val="20"/>
                <w:szCs w:val="20"/>
              </w:rPr>
              <w:t>1.</w:t>
            </w:r>
          </w:p>
        </w:tc>
        <w:tc>
          <w:tcPr>
            <w:tcW w:w="1727" w:type="pct"/>
          </w:tcPr>
          <w:p w:rsidR="00776A46" w:rsidRPr="00F77095" w:rsidRDefault="00776A46" w:rsidP="00650EAF">
            <w:pPr>
              <w:jc w:val="both"/>
              <w:rPr>
                <w:rFonts w:ascii="Times New Roman" w:hAnsi="Times New Roman" w:cs="Times New Roman"/>
                <w:b/>
                <w:sz w:val="20"/>
                <w:szCs w:val="20"/>
              </w:rPr>
            </w:pPr>
            <w:r w:rsidRPr="00F77095">
              <w:rPr>
                <w:rFonts w:ascii="Times New Roman" w:hAnsi="Times New Roman" w:cs="Times New Roman"/>
                <w:b/>
                <w:sz w:val="20"/>
                <w:szCs w:val="20"/>
              </w:rPr>
              <w:t>TOTAL OPERATING REVENUE</w:t>
            </w:r>
          </w:p>
        </w:tc>
        <w:tc>
          <w:tcPr>
            <w:tcW w:w="636" w:type="pct"/>
          </w:tcPr>
          <w:p w:rsidR="00776A46" w:rsidRPr="00F77095" w:rsidRDefault="00776A46" w:rsidP="00650EAF">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$28,510</w:t>
            </w:r>
          </w:p>
        </w:tc>
        <w:tc>
          <w:tcPr>
            <w:tcW w:w="532" w:type="pct"/>
          </w:tcPr>
          <w:p w:rsidR="00776A46" w:rsidRPr="00F77095" w:rsidRDefault="00776A46" w:rsidP="00650EAF">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$1,429</w:t>
            </w:r>
          </w:p>
        </w:tc>
        <w:tc>
          <w:tcPr>
            <w:tcW w:w="659" w:type="pct"/>
          </w:tcPr>
          <w:p w:rsidR="00776A46" w:rsidRPr="00F77095" w:rsidRDefault="00776A46" w:rsidP="00650EAF">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$29,939</w:t>
            </w:r>
          </w:p>
        </w:tc>
        <w:tc>
          <w:tcPr>
            <w:tcW w:w="668" w:type="pct"/>
          </w:tcPr>
          <w:p w:rsidR="00776A46" w:rsidRPr="00F77095" w:rsidRDefault="00776A46" w:rsidP="00650EAF">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$5,113</w:t>
            </w:r>
          </w:p>
        </w:tc>
        <w:tc>
          <w:tcPr>
            <w:tcW w:w="464" w:type="pct"/>
          </w:tcPr>
          <w:p w:rsidR="00776A46" w:rsidRPr="00F77095" w:rsidRDefault="00776A46" w:rsidP="00650EAF">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$35,052</w:t>
            </w:r>
          </w:p>
        </w:tc>
        <w:tc>
          <w:tcPr>
            <w:tcW w:w="118" w:type="pct"/>
          </w:tcPr>
          <w:p w:rsidR="00776A46" w:rsidRPr="00F77095" w:rsidRDefault="00776A46" w:rsidP="00650EAF">
            <w:pPr>
              <w:jc w:val="both"/>
              <w:rPr>
                <w:rFonts w:ascii="Times New Roman" w:hAnsi="Times New Roman" w:cs="Times New Roman"/>
                <w:sz w:val="20"/>
                <w:szCs w:val="20"/>
              </w:rPr>
            </w:pPr>
          </w:p>
        </w:tc>
      </w:tr>
      <w:tr w:rsidR="00776A46" w:rsidRPr="00F77095" w:rsidTr="00650EAF">
        <w:tc>
          <w:tcPr>
            <w:tcW w:w="196" w:type="pct"/>
          </w:tcPr>
          <w:p w:rsidR="00776A46" w:rsidRPr="00F77095" w:rsidRDefault="00776A46" w:rsidP="00650EAF">
            <w:pPr>
              <w:jc w:val="both"/>
              <w:rPr>
                <w:rFonts w:ascii="Times New Roman" w:hAnsi="Times New Roman" w:cs="Times New Roman"/>
                <w:sz w:val="20"/>
                <w:szCs w:val="20"/>
              </w:rPr>
            </w:pPr>
          </w:p>
        </w:tc>
        <w:tc>
          <w:tcPr>
            <w:tcW w:w="1727" w:type="pct"/>
          </w:tcPr>
          <w:p w:rsidR="00776A46" w:rsidRPr="00F77095" w:rsidRDefault="00776A46" w:rsidP="00650EAF">
            <w:pPr>
              <w:jc w:val="both"/>
              <w:rPr>
                <w:rFonts w:ascii="Times New Roman" w:hAnsi="Times New Roman" w:cs="Times New Roman"/>
                <w:sz w:val="20"/>
                <w:szCs w:val="20"/>
              </w:rPr>
            </w:pPr>
          </w:p>
        </w:tc>
        <w:tc>
          <w:tcPr>
            <w:tcW w:w="636" w:type="pct"/>
          </w:tcPr>
          <w:p w:rsidR="00776A46" w:rsidRPr="00F77095" w:rsidRDefault="00776A46" w:rsidP="00650EAF">
            <w:pPr>
              <w:jc w:val="right"/>
              <w:rPr>
                <w:rFonts w:ascii="Times New Roman" w:hAnsi="Times New Roman" w:cs="Times New Roman"/>
                <w:sz w:val="20"/>
                <w:szCs w:val="20"/>
              </w:rPr>
            </w:pPr>
          </w:p>
        </w:tc>
        <w:tc>
          <w:tcPr>
            <w:tcW w:w="532" w:type="pct"/>
          </w:tcPr>
          <w:p w:rsidR="00776A46" w:rsidRPr="00F77095" w:rsidRDefault="00776A46" w:rsidP="00650EAF">
            <w:pPr>
              <w:jc w:val="right"/>
              <w:rPr>
                <w:rFonts w:ascii="Times New Roman" w:hAnsi="Times New Roman" w:cs="Times New Roman"/>
                <w:sz w:val="20"/>
                <w:szCs w:val="20"/>
              </w:rPr>
            </w:pPr>
          </w:p>
        </w:tc>
        <w:tc>
          <w:tcPr>
            <w:tcW w:w="659" w:type="pct"/>
          </w:tcPr>
          <w:p w:rsidR="00776A46" w:rsidRPr="00F77095" w:rsidRDefault="00776A46" w:rsidP="00650EAF">
            <w:pPr>
              <w:jc w:val="right"/>
              <w:rPr>
                <w:rFonts w:ascii="Times New Roman" w:hAnsi="Times New Roman" w:cs="Times New Roman"/>
                <w:sz w:val="20"/>
                <w:szCs w:val="20"/>
              </w:rPr>
            </w:pPr>
          </w:p>
        </w:tc>
        <w:tc>
          <w:tcPr>
            <w:tcW w:w="668" w:type="pct"/>
          </w:tcPr>
          <w:p w:rsidR="00776A46" w:rsidRPr="00F77095" w:rsidRDefault="00776A46" w:rsidP="00650EAF">
            <w:pPr>
              <w:jc w:val="right"/>
              <w:rPr>
                <w:rFonts w:ascii="Times New Roman" w:hAnsi="Times New Roman" w:cs="Times New Roman"/>
                <w:sz w:val="20"/>
                <w:szCs w:val="20"/>
              </w:rPr>
            </w:pPr>
            <w:r w:rsidRPr="00F77095">
              <w:rPr>
                <w:rFonts w:ascii="Times New Roman" w:hAnsi="Times New Roman" w:cs="Times New Roman"/>
                <w:sz w:val="20"/>
                <w:szCs w:val="20"/>
              </w:rPr>
              <w:t>17.08%</w:t>
            </w:r>
          </w:p>
        </w:tc>
        <w:tc>
          <w:tcPr>
            <w:tcW w:w="464" w:type="pct"/>
          </w:tcPr>
          <w:p w:rsidR="00776A46" w:rsidRPr="00F77095" w:rsidRDefault="00776A46" w:rsidP="00650EAF">
            <w:pPr>
              <w:jc w:val="right"/>
              <w:rPr>
                <w:rFonts w:ascii="Times New Roman" w:hAnsi="Times New Roman" w:cs="Times New Roman"/>
                <w:sz w:val="20"/>
                <w:szCs w:val="20"/>
              </w:rPr>
            </w:pPr>
          </w:p>
        </w:tc>
        <w:tc>
          <w:tcPr>
            <w:tcW w:w="118" w:type="pct"/>
          </w:tcPr>
          <w:p w:rsidR="00776A46" w:rsidRPr="00F77095" w:rsidRDefault="00776A46" w:rsidP="00650EAF">
            <w:pPr>
              <w:jc w:val="both"/>
              <w:rPr>
                <w:rFonts w:ascii="Times New Roman" w:hAnsi="Times New Roman" w:cs="Times New Roman"/>
                <w:sz w:val="20"/>
                <w:szCs w:val="20"/>
              </w:rPr>
            </w:pPr>
          </w:p>
        </w:tc>
      </w:tr>
      <w:tr w:rsidR="00776A46" w:rsidRPr="00F77095" w:rsidTr="00650EAF">
        <w:tc>
          <w:tcPr>
            <w:tcW w:w="196" w:type="pct"/>
          </w:tcPr>
          <w:p w:rsidR="00776A46" w:rsidRPr="00F77095" w:rsidRDefault="00776A46" w:rsidP="00650EAF">
            <w:pPr>
              <w:jc w:val="both"/>
              <w:rPr>
                <w:rFonts w:ascii="Times New Roman" w:hAnsi="Times New Roman" w:cs="Times New Roman"/>
                <w:sz w:val="20"/>
                <w:szCs w:val="20"/>
              </w:rPr>
            </w:pPr>
          </w:p>
        </w:tc>
        <w:tc>
          <w:tcPr>
            <w:tcW w:w="1727" w:type="pct"/>
          </w:tcPr>
          <w:p w:rsidR="00776A46" w:rsidRPr="00F77095" w:rsidRDefault="00776A46" w:rsidP="00650EAF">
            <w:pPr>
              <w:jc w:val="both"/>
              <w:rPr>
                <w:rFonts w:ascii="Times New Roman" w:hAnsi="Times New Roman" w:cs="Times New Roman"/>
                <w:sz w:val="20"/>
                <w:szCs w:val="20"/>
              </w:rPr>
            </w:pPr>
          </w:p>
        </w:tc>
        <w:tc>
          <w:tcPr>
            <w:tcW w:w="636" w:type="pct"/>
          </w:tcPr>
          <w:p w:rsidR="00776A46" w:rsidRPr="00F77095" w:rsidRDefault="00776A46" w:rsidP="00650EAF">
            <w:pPr>
              <w:jc w:val="right"/>
              <w:rPr>
                <w:rFonts w:ascii="Times New Roman" w:hAnsi="Times New Roman" w:cs="Times New Roman"/>
                <w:sz w:val="20"/>
                <w:szCs w:val="20"/>
              </w:rPr>
            </w:pPr>
          </w:p>
        </w:tc>
        <w:tc>
          <w:tcPr>
            <w:tcW w:w="532" w:type="pct"/>
          </w:tcPr>
          <w:p w:rsidR="00776A46" w:rsidRPr="00F77095" w:rsidRDefault="00776A46" w:rsidP="00650EAF">
            <w:pPr>
              <w:jc w:val="right"/>
              <w:rPr>
                <w:rFonts w:ascii="Times New Roman" w:hAnsi="Times New Roman" w:cs="Times New Roman"/>
                <w:sz w:val="20"/>
                <w:szCs w:val="20"/>
              </w:rPr>
            </w:pPr>
          </w:p>
        </w:tc>
        <w:tc>
          <w:tcPr>
            <w:tcW w:w="659" w:type="pct"/>
          </w:tcPr>
          <w:p w:rsidR="00776A46" w:rsidRPr="00F77095" w:rsidRDefault="00776A46" w:rsidP="00650EAF">
            <w:pPr>
              <w:jc w:val="right"/>
              <w:rPr>
                <w:rFonts w:ascii="Times New Roman" w:hAnsi="Times New Roman" w:cs="Times New Roman"/>
                <w:sz w:val="20"/>
                <w:szCs w:val="20"/>
              </w:rPr>
            </w:pPr>
          </w:p>
        </w:tc>
        <w:tc>
          <w:tcPr>
            <w:tcW w:w="668" w:type="pct"/>
          </w:tcPr>
          <w:p w:rsidR="00776A46" w:rsidRPr="00F77095" w:rsidRDefault="00776A46" w:rsidP="00650EAF">
            <w:pPr>
              <w:jc w:val="right"/>
              <w:rPr>
                <w:rFonts w:ascii="Times New Roman" w:hAnsi="Times New Roman" w:cs="Times New Roman"/>
                <w:sz w:val="20"/>
                <w:szCs w:val="20"/>
              </w:rPr>
            </w:pPr>
          </w:p>
        </w:tc>
        <w:tc>
          <w:tcPr>
            <w:tcW w:w="464" w:type="pct"/>
          </w:tcPr>
          <w:p w:rsidR="00776A46" w:rsidRPr="00F77095" w:rsidRDefault="00776A46" w:rsidP="00650EAF">
            <w:pPr>
              <w:jc w:val="right"/>
              <w:rPr>
                <w:rFonts w:ascii="Times New Roman" w:hAnsi="Times New Roman" w:cs="Times New Roman"/>
                <w:sz w:val="20"/>
                <w:szCs w:val="20"/>
              </w:rPr>
            </w:pPr>
          </w:p>
        </w:tc>
        <w:tc>
          <w:tcPr>
            <w:tcW w:w="118" w:type="pct"/>
          </w:tcPr>
          <w:p w:rsidR="00776A46" w:rsidRPr="00F77095" w:rsidRDefault="00776A46" w:rsidP="00650EAF">
            <w:pPr>
              <w:jc w:val="both"/>
              <w:rPr>
                <w:rFonts w:ascii="Times New Roman" w:hAnsi="Times New Roman" w:cs="Times New Roman"/>
                <w:sz w:val="20"/>
                <w:szCs w:val="20"/>
              </w:rPr>
            </w:pPr>
          </w:p>
        </w:tc>
      </w:tr>
      <w:tr w:rsidR="00776A46" w:rsidRPr="00F77095" w:rsidTr="00650EAF">
        <w:tc>
          <w:tcPr>
            <w:tcW w:w="196" w:type="pct"/>
          </w:tcPr>
          <w:p w:rsidR="00776A46" w:rsidRPr="00F77095" w:rsidRDefault="00776A46" w:rsidP="00650EAF">
            <w:pPr>
              <w:jc w:val="both"/>
              <w:rPr>
                <w:rFonts w:ascii="Times New Roman" w:hAnsi="Times New Roman" w:cs="Times New Roman"/>
                <w:sz w:val="20"/>
                <w:szCs w:val="20"/>
              </w:rPr>
            </w:pPr>
          </w:p>
        </w:tc>
        <w:tc>
          <w:tcPr>
            <w:tcW w:w="1727" w:type="pct"/>
          </w:tcPr>
          <w:p w:rsidR="00776A46" w:rsidRPr="00F77095" w:rsidRDefault="00776A46" w:rsidP="00650EAF">
            <w:pPr>
              <w:jc w:val="both"/>
              <w:rPr>
                <w:rFonts w:ascii="Times New Roman" w:hAnsi="Times New Roman" w:cs="Times New Roman"/>
                <w:b/>
                <w:sz w:val="20"/>
                <w:szCs w:val="20"/>
              </w:rPr>
            </w:pPr>
            <w:r w:rsidRPr="00F77095">
              <w:rPr>
                <w:rFonts w:ascii="Times New Roman" w:hAnsi="Times New Roman" w:cs="Times New Roman"/>
                <w:b/>
                <w:sz w:val="20"/>
                <w:szCs w:val="20"/>
              </w:rPr>
              <w:t>OPERATING EXPENSES</w:t>
            </w:r>
          </w:p>
        </w:tc>
        <w:tc>
          <w:tcPr>
            <w:tcW w:w="636" w:type="pct"/>
          </w:tcPr>
          <w:p w:rsidR="00776A46" w:rsidRPr="00F77095" w:rsidRDefault="00776A46" w:rsidP="00650EAF">
            <w:pPr>
              <w:jc w:val="right"/>
              <w:rPr>
                <w:rFonts w:ascii="Times New Roman" w:hAnsi="Times New Roman" w:cs="Times New Roman"/>
                <w:sz w:val="20"/>
                <w:szCs w:val="20"/>
              </w:rPr>
            </w:pPr>
          </w:p>
        </w:tc>
        <w:tc>
          <w:tcPr>
            <w:tcW w:w="532" w:type="pct"/>
          </w:tcPr>
          <w:p w:rsidR="00776A46" w:rsidRPr="00F77095" w:rsidRDefault="00776A46" w:rsidP="00650EAF">
            <w:pPr>
              <w:jc w:val="right"/>
              <w:rPr>
                <w:rFonts w:ascii="Times New Roman" w:hAnsi="Times New Roman" w:cs="Times New Roman"/>
                <w:sz w:val="20"/>
                <w:szCs w:val="20"/>
              </w:rPr>
            </w:pPr>
          </w:p>
        </w:tc>
        <w:tc>
          <w:tcPr>
            <w:tcW w:w="659" w:type="pct"/>
          </w:tcPr>
          <w:p w:rsidR="00776A46" w:rsidRPr="00F77095" w:rsidRDefault="00776A46" w:rsidP="00650EAF">
            <w:pPr>
              <w:jc w:val="right"/>
              <w:rPr>
                <w:rFonts w:ascii="Times New Roman" w:hAnsi="Times New Roman" w:cs="Times New Roman"/>
                <w:sz w:val="20"/>
                <w:szCs w:val="20"/>
              </w:rPr>
            </w:pPr>
          </w:p>
        </w:tc>
        <w:tc>
          <w:tcPr>
            <w:tcW w:w="668" w:type="pct"/>
          </w:tcPr>
          <w:p w:rsidR="00776A46" w:rsidRPr="00F77095" w:rsidRDefault="00776A46" w:rsidP="00650EAF">
            <w:pPr>
              <w:jc w:val="right"/>
              <w:rPr>
                <w:rFonts w:ascii="Times New Roman" w:hAnsi="Times New Roman" w:cs="Times New Roman"/>
                <w:sz w:val="20"/>
                <w:szCs w:val="20"/>
              </w:rPr>
            </w:pPr>
          </w:p>
        </w:tc>
        <w:tc>
          <w:tcPr>
            <w:tcW w:w="464" w:type="pct"/>
          </w:tcPr>
          <w:p w:rsidR="00776A46" w:rsidRPr="00F77095" w:rsidRDefault="00776A46" w:rsidP="00650EAF">
            <w:pPr>
              <w:jc w:val="right"/>
              <w:rPr>
                <w:rFonts w:ascii="Times New Roman" w:hAnsi="Times New Roman" w:cs="Times New Roman"/>
                <w:sz w:val="20"/>
                <w:szCs w:val="20"/>
              </w:rPr>
            </w:pPr>
          </w:p>
        </w:tc>
        <w:tc>
          <w:tcPr>
            <w:tcW w:w="118" w:type="pct"/>
          </w:tcPr>
          <w:p w:rsidR="00776A46" w:rsidRPr="00F77095" w:rsidRDefault="00776A46" w:rsidP="00650EAF">
            <w:pPr>
              <w:jc w:val="both"/>
              <w:rPr>
                <w:rFonts w:ascii="Times New Roman" w:hAnsi="Times New Roman" w:cs="Times New Roman"/>
                <w:sz w:val="20"/>
                <w:szCs w:val="20"/>
              </w:rPr>
            </w:pPr>
          </w:p>
        </w:tc>
      </w:tr>
      <w:tr w:rsidR="00776A46" w:rsidRPr="00F77095" w:rsidTr="00650EAF">
        <w:tc>
          <w:tcPr>
            <w:tcW w:w="196" w:type="pct"/>
          </w:tcPr>
          <w:p w:rsidR="00776A46" w:rsidRPr="00F77095" w:rsidRDefault="00776A46" w:rsidP="00650EAF">
            <w:pPr>
              <w:jc w:val="both"/>
              <w:rPr>
                <w:rFonts w:ascii="Times New Roman" w:hAnsi="Times New Roman" w:cs="Times New Roman"/>
                <w:sz w:val="20"/>
                <w:szCs w:val="20"/>
              </w:rPr>
            </w:pPr>
            <w:r w:rsidRPr="00F77095">
              <w:rPr>
                <w:rFonts w:ascii="Times New Roman" w:hAnsi="Times New Roman" w:cs="Times New Roman"/>
                <w:sz w:val="20"/>
                <w:szCs w:val="20"/>
              </w:rPr>
              <w:t>2.</w:t>
            </w:r>
          </w:p>
        </w:tc>
        <w:tc>
          <w:tcPr>
            <w:tcW w:w="1727" w:type="pct"/>
          </w:tcPr>
          <w:p w:rsidR="00776A46" w:rsidRPr="00F77095" w:rsidRDefault="00776A46" w:rsidP="00650EAF">
            <w:pPr>
              <w:jc w:val="both"/>
              <w:rPr>
                <w:rFonts w:ascii="Times New Roman" w:hAnsi="Times New Roman" w:cs="Times New Roman"/>
                <w:sz w:val="20"/>
                <w:szCs w:val="20"/>
              </w:rPr>
            </w:pPr>
            <w:r w:rsidRPr="00F77095">
              <w:rPr>
                <w:rFonts w:ascii="Times New Roman" w:hAnsi="Times New Roman" w:cs="Times New Roman"/>
                <w:sz w:val="20"/>
                <w:szCs w:val="20"/>
              </w:rPr>
              <w:t>OPERATION &amp; MAINTENANCE</w:t>
            </w:r>
          </w:p>
        </w:tc>
        <w:tc>
          <w:tcPr>
            <w:tcW w:w="636" w:type="pct"/>
          </w:tcPr>
          <w:p w:rsidR="00776A46" w:rsidRPr="00F77095" w:rsidRDefault="00776A46" w:rsidP="00650EAF">
            <w:pPr>
              <w:jc w:val="right"/>
              <w:rPr>
                <w:rFonts w:ascii="Times New Roman" w:hAnsi="Times New Roman" w:cs="Times New Roman"/>
                <w:sz w:val="20"/>
                <w:szCs w:val="20"/>
              </w:rPr>
            </w:pPr>
            <w:r w:rsidRPr="00F77095">
              <w:rPr>
                <w:rFonts w:ascii="Times New Roman" w:hAnsi="Times New Roman" w:cs="Times New Roman"/>
                <w:sz w:val="20"/>
                <w:szCs w:val="20"/>
              </w:rPr>
              <w:t>$27,651</w:t>
            </w:r>
          </w:p>
        </w:tc>
        <w:tc>
          <w:tcPr>
            <w:tcW w:w="532" w:type="pct"/>
          </w:tcPr>
          <w:p w:rsidR="00776A46" w:rsidRPr="00F77095" w:rsidRDefault="00776A46" w:rsidP="00650EAF">
            <w:pPr>
              <w:jc w:val="right"/>
              <w:rPr>
                <w:rFonts w:ascii="Times New Roman" w:hAnsi="Times New Roman" w:cs="Times New Roman"/>
                <w:sz w:val="20"/>
                <w:szCs w:val="20"/>
              </w:rPr>
            </w:pPr>
            <w:r w:rsidRPr="00F77095">
              <w:rPr>
                <w:rFonts w:ascii="Times New Roman" w:hAnsi="Times New Roman" w:cs="Times New Roman"/>
                <w:sz w:val="20"/>
                <w:szCs w:val="20"/>
              </w:rPr>
              <w:t>$251</w:t>
            </w:r>
          </w:p>
        </w:tc>
        <w:tc>
          <w:tcPr>
            <w:tcW w:w="659" w:type="pct"/>
          </w:tcPr>
          <w:p w:rsidR="00776A46" w:rsidRPr="00F77095" w:rsidRDefault="00776A46" w:rsidP="00650EAF">
            <w:pPr>
              <w:jc w:val="right"/>
              <w:rPr>
                <w:rFonts w:ascii="Times New Roman" w:hAnsi="Times New Roman" w:cs="Times New Roman"/>
                <w:sz w:val="20"/>
                <w:szCs w:val="20"/>
              </w:rPr>
            </w:pPr>
            <w:r w:rsidRPr="00F77095">
              <w:rPr>
                <w:rFonts w:ascii="Times New Roman" w:hAnsi="Times New Roman" w:cs="Times New Roman"/>
                <w:sz w:val="20"/>
                <w:szCs w:val="20"/>
              </w:rPr>
              <w:t>$27,902</w:t>
            </w:r>
          </w:p>
        </w:tc>
        <w:tc>
          <w:tcPr>
            <w:tcW w:w="668" w:type="pct"/>
          </w:tcPr>
          <w:p w:rsidR="00776A46" w:rsidRPr="00F77095" w:rsidRDefault="00776A46" w:rsidP="00650EAF">
            <w:pPr>
              <w:jc w:val="right"/>
              <w:rPr>
                <w:rFonts w:ascii="Times New Roman" w:hAnsi="Times New Roman" w:cs="Times New Roman"/>
                <w:sz w:val="20"/>
                <w:szCs w:val="20"/>
              </w:rPr>
            </w:pPr>
            <w:r w:rsidRPr="00F77095">
              <w:rPr>
                <w:rFonts w:ascii="Times New Roman" w:hAnsi="Times New Roman" w:cs="Times New Roman"/>
                <w:sz w:val="20"/>
                <w:szCs w:val="20"/>
              </w:rPr>
              <w:t>$0</w:t>
            </w:r>
          </w:p>
        </w:tc>
        <w:tc>
          <w:tcPr>
            <w:tcW w:w="464" w:type="pct"/>
          </w:tcPr>
          <w:p w:rsidR="00776A46" w:rsidRPr="00F77095" w:rsidRDefault="00776A46" w:rsidP="00650EAF">
            <w:pPr>
              <w:jc w:val="right"/>
              <w:rPr>
                <w:rFonts w:ascii="Times New Roman" w:hAnsi="Times New Roman" w:cs="Times New Roman"/>
                <w:sz w:val="20"/>
                <w:szCs w:val="20"/>
              </w:rPr>
            </w:pPr>
            <w:r w:rsidRPr="00F77095">
              <w:rPr>
                <w:rFonts w:ascii="Times New Roman" w:hAnsi="Times New Roman" w:cs="Times New Roman"/>
                <w:sz w:val="20"/>
                <w:szCs w:val="20"/>
              </w:rPr>
              <w:t>$27,902</w:t>
            </w:r>
          </w:p>
        </w:tc>
        <w:tc>
          <w:tcPr>
            <w:tcW w:w="118" w:type="pct"/>
          </w:tcPr>
          <w:p w:rsidR="00776A46" w:rsidRPr="00F77095" w:rsidRDefault="00776A46" w:rsidP="00650EAF">
            <w:pPr>
              <w:jc w:val="both"/>
              <w:rPr>
                <w:rFonts w:ascii="Times New Roman" w:hAnsi="Times New Roman" w:cs="Times New Roman"/>
                <w:sz w:val="20"/>
                <w:szCs w:val="20"/>
              </w:rPr>
            </w:pPr>
          </w:p>
        </w:tc>
      </w:tr>
      <w:tr w:rsidR="00776A46" w:rsidRPr="00F77095" w:rsidTr="00650EAF">
        <w:tc>
          <w:tcPr>
            <w:tcW w:w="196" w:type="pct"/>
          </w:tcPr>
          <w:p w:rsidR="00776A46" w:rsidRPr="00F77095" w:rsidRDefault="00776A46" w:rsidP="00650EAF">
            <w:pPr>
              <w:jc w:val="both"/>
              <w:rPr>
                <w:rFonts w:ascii="Times New Roman" w:hAnsi="Times New Roman" w:cs="Times New Roman"/>
                <w:sz w:val="20"/>
                <w:szCs w:val="20"/>
              </w:rPr>
            </w:pPr>
          </w:p>
        </w:tc>
        <w:tc>
          <w:tcPr>
            <w:tcW w:w="1727" w:type="pct"/>
          </w:tcPr>
          <w:p w:rsidR="00776A46" w:rsidRPr="00F77095" w:rsidRDefault="00776A46" w:rsidP="00650EAF">
            <w:pPr>
              <w:jc w:val="both"/>
              <w:rPr>
                <w:rFonts w:ascii="Times New Roman" w:hAnsi="Times New Roman" w:cs="Times New Roman"/>
                <w:sz w:val="20"/>
                <w:szCs w:val="20"/>
              </w:rPr>
            </w:pPr>
          </w:p>
        </w:tc>
        <w:tc>
          <w:tcPr>
            <w:tcW w:w="636" w:type="pct"/>
          </w:tcPr>
          <w:p w:rsidR="00776A46" w:rsidRPr="00F77095" w:rsidRDefault="00776A46" w:rsidP="00650EAF">
            <w:pPr>
              <w:jc w:val="right"/>
              <w:rPr>
                <w:rFonts w:ascii="Times New Roman" w:hAnsi="Times New Roman" w:cs="Times New Roman"/>
                <w:sz w:val="20"/>
                <w:szCs w:val="20"/>
              </w:rPr>
            </w:pPr>
          </w:p>
        </w:tc>
        <w:tc>
          <w:tcPr>
            <w:tcW w:w="532" w:type="pct"/>
          </w:tcPr>
          <w:p w:rsidR="00776A46" w:rsidRPr="00F77095" w:rsidRDefault="00776A46" w:rsidP="00650EAF">
            <w:pPr>
              <w:jc w:val="right"/>
              <w:rPr>
                <w:rFonts w:ascii="Times New Roman" w:hAnsi="Times New Roman" w:cs="Times New Roman"/>
                <w:sz w:val="20"/>
                <w:szCs w:val="20"/>
              </w:rPr>
            </w:pPr>
          </w:p>
        </w:tc>
        <w:tc>
          <w:tcPr>
            <w:tcW w:w="659" w:type="pct"/>
          </w:tcPr>
          <w:p w:rsidR="00776A46" w:rsidRPr="00F77095" w:rsidRDefault="00776A46" w:rsidP="00650EAF">
            <w:pPr>
              <w:jc w:val="right"/>
              <w:rPr>
                <w:rFonts w:ascii="Times New Roman" w:hAnsi="Times New Roman" w:cs="Times New Roman"/>
                <w:sz w:val="20"/>
                <w:szCs w:val="20"/>
              </w:rPr>
            </w:pPr>
          </w:p>
        </w:tc>
        <w:tc>
          <w:tcPr>
            <w:tcW w:w="668" w:type="pct"/>
          </w:tcPr>
          <w:p w:rsidR="00776A46" w:rsidRPr="00F77095" w:rsidRDefault="00776A46" w:rsidP="00650EAF">
            <w:pPr>
              <w:jc w:val="right"/>
              <w:rPr>
                <w:rFonts w:ascii="Times New Roman" w:hAnsi="Times New Roman" w:cs="Times New Roman"/>
                <w:sz w:val="20"/>
                <w:szCs w:val="20"/>
              </w:rPr>
            </w:pPr>
          </w:p>
        </w:tc>
        <w:tc>
          <w:tcPr>
            <w:tcW w:w="464" w:type="pct"/>
          </w:tcPr>
          <w:p w:rsidR="00776A46" w:rsidRPr="00F77095" w:rsidRDefault="00776A46" w:rsidP="00650EAF">
            <w:pPr>
              <w:jc w:val="right"/>
              <w:rPr>
                <w:rFonts w:ascii="Times New Roman" w:hAnsi="Times New Roman" w:cs="Times New Roman"/>
                <w:sz w:val="20"/>
                <w:szCs w:val="20"/>
              </w:rPr>
            </w:pPr>
          </w:p>
        </w:tc>
        <w:tc>
          <w:tcPr>
            <w:tcW w:w="118" w:type="pct"/>
          </w:tcPr>
          <w:p w:rsidR="00776A46" w:rsidRPr="00F77095" w:rsidRDefault="00776A46" w:rsidP="00650EAF">
            <w:pPr>
              <w:jc w:val="both"/>
              <w:rPr>
                <w:rFonts w:ascii="Times New Roman" w:hAnsi="Times New Roman" w:cs="Times New Roman"/>
                <w:sz w:val="20"/>
                <w:szCs w:val="20"/>
              </w:rPr>
            </w:pPr>
          </w:p>
        </w:tc>
      </w:tr>
      <w:tr w:rsidR="00776A46" w:rsidRPr="00F77095" w:rsidTr="00650EAF">
        <w:tc>
          <w:tcPr>
            <w:tcW w:w="196" w:type="pct"/>
          </w:tcPr>
          <w:p w:rsidR="00776A46" w:rsidRPr="00F77095" w:rsidRDefault="00776A46" w:rsidP="00650EAF">
            <w:pPr>
              <w:jc w:val="both"/>
              <w:rPr>
                <w:rFonts w:ascii="Times New Roman" w:hAnsi="Times New Roman" w:cs="Times New Roman"/>
                <w:sz w:val="20"/>
                <w:szCs w:val="20"/>
              </w:rPr>
            </w:pPr>
            <w:r w:rsidRPr="00F77095">
              <w:rPr>
                <w:rFonts w:ascii="Times New Roman" w:hAnsi="Times New Roman" w:cs="Times New Roman"/>
                <w:sz w:val="20"/>
                <w:szCs w:val="20"/>
              </w:rPr>
              <w:t>3.</w:t>
            </w:r>
          </w:p>
        </w:tc>
        <w:tc>
          <w:tcPr>
            <w:tcW w:w="1727" w:type="pct"/>
          </w:tcPr>
          <w:p w:rsidR="00776A46" w:rsidRPr="00F77095" w:rsidRDefault="00776A46" w:rsidP="00650EAF">
            <w:pPr>
              <w:jc w:val="both"/>
              <w:rPr>
                <w:rFonts w:ascii="Times New Roman" w:hAnsi="Times New Roman" w:cs="Times New Roman"/>
                <w:sz w:val="20"/>
                <w:szCs w:val="20"/>
              </w:rPr>
            </w:pPr>
            <w:r w:rsidRPr="00F77095">
              <w:rPr>
                <w:rFonts w:ascii="Times New Roman" w:hAnsi="Times New Roman" w:cs="Times New Roman"/>
                <w:sz w:val="20"/>
                <w:szCs w:val="20"/>
              </w:rPr>
              <w:t>DEPRECIATION (NET)</w:t>
            </w:r>
          </w:p>
        </w:tc>
        <w:tc>
          <w:tcPr>
            <w:tcW w:w="636" w:type="pct"/>
          </w:tcPr>
          <w:p w:rsidR="00776A46" w:rsidRPr="00F77095" w:rsidRDefault="00776A46" w:rsidP="00650EAF">
            <w:pPr>
              <w:jc w:val="right"/>
              <w:rPr>
                <w:rFonts w:ascii="Times New Roman" w:hAnsi="Times New Roman" w:cs="Times New Roman"/>
                <w:sz w:val="20"/>
                <w:szCs w:val="20"/>
              </w:rPr>
            </w:pPr>
            <w:r w:rsidRPr="00F77095">
              <w:rPr>
                <w:rFonts w:ascii="Times New Roman" w:hAnsi="Times New Roman" w:cs="Times New Roman"/>
                <w:sz w:val="20"/>
                <w:szCs w:val="20"/>
              </w:rPr>
              <w:t>2,095</w:t>
            </w:r>
          </w:p>
        </w:tc>
        <w:tc>
          <w:tcPr>
            <w:tcW w:w="532" w:type="pct"/>
          </w:tcPr>
          <w:p w:rsidR="00776A46" w:rsidRPr="00F77095" w:rsidRDefault="00776A46" w:rsidP="00650EAF">
            <w:pPr>
              <w:jc w:val="right"/>
              <w:rPr>
                <w:rFonts w:ascii="Times New Roman" w:hAnsi="Times New Roman" w:cs="Times New Roman"/>
                <w:sz w:val="20"/>
                <w:szCs w:val="20"/>
              </w:rPr>
            </w:pPr>
            <w:r w:rsidRPr="00F77095">
              <w:rPr>
                <w:rFonts w:ascii="Times New Roman" w:hAnsi="Times New Roman" w:cs="Times New Roman"/>
                <w:sz w:val="20"/>
                <w:szCs w:val="20"/>
              </w:rPr>
              <w:t>0</w:t>
            </w:r>
          </w:p>
        </w:tc>
        <w:tc>
          <w:tcPr>
            <w:tcW w:w="659" w:type="pct"/>
          </w:tcPr>
          <w:p w:rsidR="00776A46" w:rsidRPr="00F77095" w:rsidRDefault="00776A46" w:rsidP="00650EAF">
            <w:pPr>
              <w:jc w:val="right"/>
              <w:rPr>
                <w:rFonts w:ascii="Times New Roman" w:hAnsi="Times New Roman" w:cs="Times New Roman"/>
                <w:sz w:val="20"/>
                <w:szCs w:val="20"/>
              </w:rPr>
            </w:pPr>
            <w:r w:rsidRPr="00F77095">
              <w:rPr>
                <w:rFonts w:ascii="Times New Roman" w:hAnsi="Times New Roman" w:cs="Times New Roman"/>
                <w:sz w:val="20"/>
                <w:szCs w:val="20"/>
              </w:rPr>
              <w:t>2,095</w:t>
            </w:r>
          </w:p>
        </w:tc>
        <w:tc>
          <w:tcPr>
            <w:tcW w:w="668" w:type="pct"/>
          </w:tcPr>
          <w:p w:rsidR="00776A46" w:rsidRPr="00F77095" w:rsidRDefault="00776A46" w:rsidP="00650EAF">
            <w:pPr>
              <w:jc w:val="right"/>
              <w:rPr>
                <w:rFonts w:ascii="Times New Roman" w:hAnsi="Times New Roman" w:cs="Times New Roman"/>
                <w:sz w:val="20"/>
                <w:szCs w:val="20"/>
              </w:rPr>
            </w:pPr>
            <w:r w:rsidRPr="00F77095">
              <w:rPr>
                <w:rFonts w:ascii="Times New Roman" w:hAnsi="Times New Roman" w:cs="Times New Roman"/>
                <w:sz w:val="20"/>
                <w:szCs w:val="20"/>
              </w:rPr>
              <w:t>0</w:t>
            </w:r>
          </w:p>
        </w:tc>
        <w:tc>
          <w:tcPr>
            <w:tcW w:w="464" w:type="pct"/>
          </w:tcPr>
          <w:p w:rsidR="00776A46" w:rsidRPr="00F77095" w:rsidRDefault="00776A46" w:rsidP="00650EAF">
            <w:pPr>
              <w:jc w:val="right"/>
              <w:rPr>
                <w:rFonts w:ascii="Times New Roman" w:hAnsi="Times New Roman" w:cs="Times New Roman"/>
                <w:sz w:val="20"/>
                <w:szCs w:val="20"/>
              </w:rPr>
            </w:pPr>
            <w:r w:rsidRPr="00F77095">
              <w:rPr>
                <w:rFonts w:ascii="Times New Roman" w:hAnsi="Times New Roman" w:cs="Times New Roman"/>
                <w:sz w:val="20"/>
                <w:szCs w:val="20"/>
              </w:rPr>
              <w:t>2,095</w:t>
            </w:r>
          </w:p>
        </w:tc>
        <w:tc>
          <w:tcPr>
            <w:tcW w:w="118" w:type="pct"/>
          </w:tcPr>
          <w:p w:rsidR="00776A46" w:rsidRPr="00F77095" w:rsidRDefault="00776A46" w:rsidP="00650EAF">
            <w:pPr>
              <w:jc w:val="both"/>
              <w:rPr>
                <w:rFonts w:ascii="Times New Roman" w:hAnsi="Times New Roman" w:cs="Times New Roman"/>
                <w:sz w:val="20"/>
                <w:szCs w:val="20"/>
              </w:rPr>
            </w:pPr>
          </w:p>
        </w:tc>
      </w:tr>
      <w:tr w:rsidR="00776A46" w:rsidRPr="00F77095" w:rsidTr="00650EAF">
        <w:tc>
          <w:tcPr>
            <w:tcW w:w="196" w:type="pct"/>
          </w:tcPr>
          <w:p w:rsidR="00776A46" w:rsidRPr="00F77095" w:rsidRDefault="00776A46" w:rsidP="00650EAF">
            <w:pPr>
              <w:jc w:val="both"/>
              <w:rPr>
                <w:rFonts w:ascii="Times New Roman" w:hAnsi="Times New Roman" w:cs="Times New Roman"/>
                <w:sz w:val="20"/>
                <w:szCs w:val="20"/>
              </w:rPr>
            </w:pPr>
          </w:p>
        </w:tc>
        <w:tc>
          <w:tcPr>
            <w:tcW w:w="1727" w:type="pct"/>
          </w:tcPr>
          <w:p w:rsidR="00776A46" w:rsidRPr="00F77095" w:rsidRDefault="00776A46" w:rsidP="00650EAF">
            <w:pPr>
              <w:jc w:val="both"/>
              <w:rPr>
                <w:rFonts w:ascii="Times New Roman" w:hAnsi="Times New Roman" w:cs="Times New Roman"/>
                <w:sz w:val="20"/>
                <w:szCs w:val="20"/>
              </w:rPr>
            </w:pPr>
          </w:p>
        </w:tc>
        <w:tc>
          <w:tcPr>
            <w:tcW w:w="636" w:type="pct"/>
          </w:tcPr>
          <w:p w:rsidR="00776A46" w:rsidRPr="00F77095" w:rsidRDefault="00776A46" w:rsidP="00650EAF">
            <w:pPr>
              <w:jc w:val="right"/>
              <w:rPr>
                <w:rFonts w:ascii="Times New Roman" w:hAnsi="Times New Roman" w:cs="Times New Roman"/>
                <w:sz w:val="20"/>
                <w:szCs w:val="20"/>
              </w:rPr>
            </w:pPr>
          </w:p>
        </w:tc>
        <w:tc>
          <w:tcPr>
            <w:tcW w:w="532" w:type="pct"/>
          </w:tcPr>
          <w:p w:rsidR="00776A46" w:rsidRPr="00F77095" w:rsidRDefault="00776A46" w:rsidP="00650EAF">
            <w:pPr>
              <w:jc w:val="right"/>
              <w:rPr>
                <w:rFonts w:ascii="Times New Roman" w:hAnsi="Times New Roman" w:cs="Times New Roman"/>
                <w:sz w:val="20"/>
                <w:szCs w:val="20"/>
              </w:rPr>
            </w:pPr>
          </w:p>
        </w:tc>
        <w:tc>
          <w:tcPr>
            <w:tcW w:w="659" w:type="pct"/>
          </w:tcPr>
          <w:p w:rsidR="00776A46" w:rsidRPr="00F77095" w:rsidRDefault="00776A46" w:rsidP="00650EAF">
            <w:pPr>
              <w:jc w:val="right"/>
              <w:rPr>
                <w:rFonts w:ascii="Times New Roman" w:hAnsi="Times New Roman" w:cs="Times New Roman"/>
                <w:sz w:val="20"/>
                <w:szCs w:val="20"/>
              </w:rPr>
            </w:pPr>
          </w:p>
        </w:tc>
        <w:tc>
          <w:tcPr>
            <w:tcW w:w="668" w:type="pct"/>
          </w:tcPr>
          <w:p w:rsidR="00776A46" w:rsidRPr="00F77095" w:rsidRDefault="00776A46" w:rsidP="00650EAF">
            <w:pPr>
              <w:jc w:val="right"/>
              <w:rPr>
                <w:rFonts w:ascii="Times New Roman" w:hAnsi="Times New Roman" w:cs="Times New Roman"/>
                <w:sz w:val="20"/>
                <w:szCs w:val="20"/>
              </w:rPr>
            </w:pPr>
          </w:p>
        </w:tc>
        <w:tc>
          <w:tcPr>
            <w:tcW w:w="464" w:type="pct"/>
          </w:tcPr>
          <w:p w:rsidR="00776A46" w:rsidRPr="00F77095" w:rsidRDefault="00776A46" w:rsidP="00650EAF">
            <w:pPr>
              <w:jc w:val="right"/>
              <w:rPr>
                <w:rFonts w:ascii="Times New Roman" w:hAnsi="Times New Roman" w:cs="Times New Roman"/>
                <w:sz w:val="20"/>
                <w:szCs w:val="20"/>
              </w:rPr>
            </w:pPr>
          </w:p>
        </w:tc>
        <w:tc>
          <w:tcPr>
            <w:tcW w:w="118" w:type="pct"/>
          </w:tcPr>
          <w:p w:rsidR="00776A46" w:rsidRPr="00F77095" w:rsidRDefault="00776A46" w:rsidP="00650EAF">
            <w:pPr>
              <w:jc w:val="both"/>
              <w:rPr>
                <w:rFonts w:ascii="Times New Roman" w:hAnsi="Times New Roman" w:cs="Times New Roman"/>
                <w:sz w:val="20"/>
                <w:szCs w:val="20"/>
              </w:rPr>
            </w:pPr>
          </w:p>
        </w:tc>
      </w:tr>
      <w:tr w:rsidR="00776A46" w:rsidRPr="00F77095" w:rsidTr="00650EAF">
        <w:tc>
          <w:tcPr>
            <w:tcW w:w="196" w:type="pct"/>
          </w:tcPr>
          <w:p w:rsidR="00776A46" w:rsidRPr="00F77095" w:rsidRDefault="00776A46" w:rsidP="00650EAF">
            <w:pPr>
              <w:jc w:val="both"/>
              <w:rPr>
                <w:rFonts w:ascii="Times New Roman" w:hAnsi="Times New Roman" w:cs="Times New Roman"/>
                <w:sz w:val="20"/>
                <w:szCs w:val="20"/>
              </w:rPr>
            </w:pPr>
            <w:r w:rsidRPr="00F77095">
              <w:rPr>
                <w:rFonts w:ascii="Times New Roman" w:hAnsi="Times New Roman" w:cs="Times New Roman"/>
                <w:sz w:val="20"/>
                <w:szCs w:val="20"/>
              </w:rPr>
              <w:t>4.</w:t>
            </w:r>
          </w:p>
        </w:tc>
        <w:tc>
          <w:tcPr>
            <w:tcW w:w="1727" w:type="pct"/>
          </w:tcPr>
          <w:p w:rsidR="00776A46" w:rsidRPr="00F77095" w:rsidRDefault="00776A46" w:rsidP="00650EAF">
            <w:pPr>
              <w:jc w:val="both"/>
              <w:rPr>
                <w:rFonts w:ascii="Times New Roman" w:hAnsi="Times New Roman" w:cs="Times New Roman"/>
                <w:sz w:val="20"/>
                <w:szCs w:val="20"/>
              </w:rPr>
            </w:pPr>
            <w:r w:rsidRPr="00F77095">
              <w:rPr>
                <w:rFonts w:ascii="Times New Roman" w:hAnsi="Times New Roman" w:cs="Times New Roman"/>
                <w:sz w:val="20"/>
                <w:szCs w:val="20"/>
              </w:rPr>
              <w:t>AMORTIZATION (NET)</w:t>
            </w:r>
          </w:p>
        </w:tc>
        <w:tc>
          <w:tcPr>
            <w:tcW w:w="636" w:type="pct"/>
          </w:tcPr>
          <w:p w:rsidR="00776A46" w:rsidRPr="00F77095" w:rsidRDefault="00776A46" w:rsidP="00650EAF">
            <w:pPr>
              <w:jc w:val="right"/>
              <w:rPr>
                <w:rFonts w:ascii="Times New Roman" w:hAnsi="Times New Roman" w:cs="Times New Roman"/>
                <w:sz w:val="20"/>
                <w:szCs w:val="20"/>
              </w:rPr>
            </w:pPr>
            <w:r w:rsidRPr="00F77095">
              <w:rPr>
                <w:rFonts w:ascii="Times New Roman" w:hAnsi="Times New Roman" w:cs="Times New Roman"/>
                <w:sz w:val="20"/>
                <w:szCs w:val="20"/>
              </w:rPr>
              <w:t>0</w:t>
            </w:r>
          </w:p>
        </w:tc>
        <w:tc>
          <w:tcPr>
            <w:tcW w:w="532" w:type="pct"/>
          </w:tcPr>
          <w:p w:rsidR="00776A46" w:rsidRPr="00F77095" w:rsidRDefault="00776A46" w:rsidP="00650EAF">
            <w:pPr>
              <w:jc w:val="right"/>
              <w:rPr>
                <w:rFonts w:ascii="Times New Roman" w:hAnsi="Times New Roman" w:cs="Times New Roman"/>
                <w:sz w:val="20"/>
                <w:szCs w:val="20"/>
              </w:rPr>
            </w:pPr>
            <w:r w:rsidRPr="00F77095">
              <w:rPr>
                <w:rFonts w:ascii="Times New Roman" w:hAnsi="Times New Roman" w:cs="Times New Roman"/>
                <w:sz w:val="20"/>
                <w:szCs w:val="20"/>
              </w:rPr>
              <w:t>0</w:t>
            </w:r>
          </w:p>
        </w:tc>
        <w:tc>
          <w:tcPr>
            <w:tcW w:w="659" w:type="pct"/>
          </w:tcPr>
          <w:p w:rsidR="00776A46" w:rsidRPr="00F77095" w:rsidRDefault="00776A46" w:rsidP="00650EAF">
            <w:pPr>
              <w:jc w:val="right"/>
              <w:rPr>
                <w:rFonts w:ascii="Times New Roman" w:hAnsi="Times New Roman" w:cs="Times New Roman"/>
                <w:sz w:val="20"/>
                <w:szCs w:val="20"/>
              </w:rPr>
            </w:pPr>
            <w:r w:rsidRPr="00F77095">
              <w:rPr>
                <w:rFonts w:ascii="Times New Roman" w:hAnsi="Times New Roman" w:cs="Times New Roman"/>
                <w:sz w:val="20"/>
                <w:szCs w:val="20"/>
              </w:rPr>
              <w:t>0</w:t>
            </w:r>
          </w:p>
        </w:tc>
        <w:tc>
          <w:tcPr>
            <w:tcW w:w="668" w:type="pct"/>
          </w:tcPr>
          <w:p w:rsidR="00776A46" w:rsidRPr="00F77095" w:rsidRDefault="00776A46" w:rsidP="00650EAF">
            <w:pPr>
              <w:jc w:val="right"/>
              <w:rPr>
                <w:rFonts w:ascii="Times New Roman" w:hAnsi="Times New Roman" w:cs="Times New Roman"/>
                <w:sz w:val="20"/>
                <w:szCs w:val="20"/>
              </w:rPr>
            </w:pPr>
            <w:r w:rsidRPr="00F77095">
              <w:rPr>
                <w:rFonts w:ascii="Times New Roman" w:hAnsi="Times New Roman" w:cs="Times New Roman"/>
                <w:sz w:val="20"/>
                <w:szCs w:val="20"/>
              </w:rPr>
              <w:t>0</w:t>
            </w:r>
          </w:p>
        </w:tc>
        <w:tc>
          <w:tcPr>
            <w:tcW w:w="464" w:type="pct"/>
          </w:tcPr>
          <w:p w:rsidR="00776A46" w:rsidRPr="00F77095" w:rsidRDefault="00776A46" w:rsidP="00650EAF">
            <w:pPr>
              <w:jc w:val="right"/>
              <w:rPr>
                <w:rFonts w:ascii="Times New Roman" w:hAnsi="Times New Roman" w:cs="Times New Roman"/>
                <w:sz w:val="20"/>
                <w:szCs w:val="20"/>
              </w:rPr>
            </w:pPr>
            <w:r w:rsidRPr="00F77095">
              <w:rPr>
                <w:rFonts w:ascii="Times New Roman" w:hAnsi="Times New Roman" w:cs="Times New Roman"/>
                <w:sz w:val="20"/>
                <w:szCs w:val="20"/>
              </w:rPr>
              <w:t>0</w:t>
            </w:r>
          </w:p>
        </w:tc>
        <w:tc>
          <w:tcPr>
            <w:tcW w:w="118" w:type="pct"/>
          </w:tcPr>
          <w:p w:rsidR="00776A46" w:rsidRPr="00F77095" w:rsidRDefault="00776A46" w:rsidP="00650EAF">
            <w:pPr>
              <w:jc w:val="both"/>
              <w:rPr>
                <w:rFonts w:ascii="Times New Roman" w:hAnsi="Times New Roman" w:cs="Times New Roman"/>
                <w:sz w:val="20"/>
                <w:szCs w:val="20"/>
              </w:rPr>
            </w:pPr>
          </w:p>
        </w:tc>
      </w:tr>
      <w:tr w:rsidR="00776A46" w:rsidRPr="00F77095" w:rsidTr="00650EAF">
        <w:tc>
          <w:tcPr>
            <w:tcW w:w="196" w:type="pct"/>
          </w:tcPr>
          <w:p w:rsidR="00776A46" w:rsidRPr="00F77095" w:rsidRDefault="00776A46" w:rsidP="00650EAF">
            <w:pPr>
              <w:jc w:val="both"/>
              <w:rPr>
                <w:rFonts w:ascii="Times New Roman" w:hAnsi="Times New Roman" w:cs="Times New Roman"/>
                <w:sz w:val="20"/>
                <w:szCs w:val="20"/>
              </w:rPr>
            </w:pPr>
          </w:p>
        </w:tc>
        <w:tc>
          <w:tcPr>
            <w:tcW w:w="1727" w:type="pct"/>
          </w:tcPr>
          <w:p w:rsidR="00776A46" w:rsidRPr="00F77095" w:rsidRDefault="00776A46" w:rsidP="00650EAF">
            <w:pPr>
              <w:jc w:val="both"/>
              <w:rPr>
                <w:rFonts w:ascii="Times New Roman" w:hAnsi="Times New Roman" w:cs="Times New Roman"/>
                <w:sz w:val="20"/>
                <w:szCs w:val="20"/>
              </w:rPr>
            </w:pPr>
          </w:p>
        </w:tc>
        <w:tc>
          <w:tcPr>
            <w:tcW w:w="636" w:type="pct"/>
          </w:tcPr>
          <w:p w:rsidR="00776A46" w:rsidRPr="00F77095" w:rsidRDefault="00776A46" w:rsidP="00650EAF">
            <w:pPr>
              <w:jc w:val="right"/>
              <w:rPr>
                <w:rFonts w:ascii="Times New Roman" w:hAnsi="Times New Roman" w:cs="Times New Roman"/>
                <w:sz w:val="20"/>
                <w:szCs w:val="20"/>
              </w:rPr>
            </w:pPr>
          </w:p>
        </w:tc>
        <w:tc>
          <w:tcPr>
            <w:tcW w:w="532" w:type="pct"/>
          </w:tcPr>
          <w:p w:rsidR="00776A46" w:rsidRPr="00F77095" w:rsidRDefault="00776A46" w:rsidP="00650EAF">
            <w:pPr>
              <w:jc w:val="right"/>
              <w:rPr>
                <w:rFonts w:ascii="Times New Roman" w:hAnsi="Times New Roman" w:cs="Times New Roman"/>
                <w:sz w:val="20"/>
                <w:szCs w:val="20"/>
              </w:rPr>
            </w:pPr>
          </w:p>
        </w:tc>
        <w:tc>
          <w:tcPr>
            <w:tcW w:w="659" w:type="pct"/>
          </w:tcPr>
          <w:p w:rsidR="00776A46" w:rsidRPr="00F77095" w:rsidRDefault="00776A46" w:rsidP="00650EAF">
            <w:pPr>
              <w:jc w:val="right"/>
              <w:rPr>
                <w:rFonts w:ascii="Times New Roman" w:hAnsi="Times New Roman" w:cs="Times New Roman"/>
                <w:sz w:val="20"/>
                <w:szCs w:val="20"/>
              </w:rPr>
            </w:pPr>
          </w:p>
        </w:tc>
        <w:tc>
          <w:tcPr>
            <w:tcW w:w="668" w:type="pct"/>
          </w:tcPr>
          <w:p w:rsidR="00776A46" w:rsidRPr="00F77095" w:rsidRDefault="00776A46" w:rsidP="00650EAF">
            <w:pPr>
              <w:jc w:val="right"/>
              <w:rPr>
                <w:rFonts w:ascii="Times New Roman" w:hAnsi="Times New Roman" w:cs="Times New Roman"/>
                <w:sz w:val="20"/>
                <w:szCs w:val="20"/>
              </w:rPr>
            </w:pPr>
          </w:p>
        </w:tc>
        <w:tc>
          <w:tcPr>
            <w:tcW w:w="464" w:type="pct"/>
          </w:tcPr>
          <w:p w:rsidR="00776A46" w:rsidRPr="00F77095" w:rsidRDefault="00776A46" w:rsidP="00650EAF">
            <w:pPr>
              <w:jc w:val="right"/>
              <w:rPr>
                <w:rFonts w:ascii="Times New Roman" w:hAnsi="Times New Roman" w:cs="Times New Roman"/>
                <w:sz w:val="20"/>
                <w:szCs w:val="20"/>
              </w:rPr>
            </w:pPr>
          </w:p>
        </w:tc>
        <w:tc>
          <w:tcPr>
            <w:tcW w:w="118" w:type="pct"/>
          </w:tcPr>
          <w:p w:rsidR="00776A46" w:rsidRPr="00F77095" w:rsidRDefault="00776A46" w:rsidP="00650EAF">
            <w:pPr>
              <w:jc w:val="both"/>
              <w:rPr>
                <w:rFonts w:ascii="Times New Roman" w:hAnsi="Times New Roman" w:cs="Times New Roman"/>
                <w:sz w:val="20"/>
                <w:szCs w:val="20"/>
              </w:rPr>
            </w:pPr>
          </w:p>
        </w:tc>
      </w:tr>
      <w:tr w:rsidR="00776A46" w:rsidRPr="00F77095" w:rsidTr="00650EAF">
        <w:tc>
          <w:tcPr>
            <w:tcW w:w="196" w:type="pct"/>
          </w:tcPr>
          <w:p w:rsidR="00776A46" w:rsidRPr="00F77095" w:rsidRDefault="00776A46" w:rsidP="00650EAF">
            <w:pPr>
              <w:jc w:val="both"/>
              <w:rPr>
                <w:rFonts w:ascii="Times New Roman" w:hAnsi="Times New Roman" w:cs="Times New Roman"/>
                <w:sz w:val="20"/>
                <w:szCs w:val="20"/>
              </w:rPr>
            </w:pPr>
            <w:r w:rsidRPr="00F77095">
              <w:rPr>
                <w:rFonts w:ascii="Times New Roman" w:hAnsi="Times New Roman" w:cs="Times New Roman"/>
                <w:sz w:val="20"/>
                <w:szCs w:val="20"/>
              </w:rPr>
              <w:t>5.</w:t>
            </w:r>
          </w:p>
        </w:tc>
        <w:tc>
          <w:tcPr>
            <w:tcW w:w="1727" w:type="pct"/>
          </w:tcPr>
          <w:p w:rsidR="00776A46" w:rsidRPr="00F77095" w:rsidRDefault="00776A46" w:rsidP="00650EAF">
            <w:pPr>
              <w:jc w:val="both"/>
              <w:rPr>
                <w:rFonts w:ascii="Times New Roman" w:hAnsi="Times New Roman" w:cs="Times New Roman"/>
                <w:sz w:val="20"/>
                <w:szCs w:val="20"/>
              </w:rPr>
            </w:pPr>
            <w:r w:rsidRPr="00F77095">
              <w:rPr>
                <w:rFonts w:ascii="Times New Roman" w:hAnsi="Times New Roman" w:cs="Times New Roman"/>
                <w:sz w:val="20"/>
                <w:szCs w:val="20"/>
              </w:rPr>
              <w:t>TAXES OTHER THAN INCOME</w:t>
            </w:r>
          </w:p>
        </w:tc>
        <w:tc>
          <w:tcPr>
            <w:tcW w:w="636" w:type="pct"/>
          </w:tcPr>
          <w:p w:rsidR="00776A46" w:rsidRPr="00F77095" w:rsidRDefault="00776A46" w:rsidP="00650EAF">
            <w:pPr>
              <w:jc w:val="right"/>
              <w:rPr>
                <w:rFonts w:ascii="Times New Roman" w:hAnsi="Times New Roman" w:cs="Times New Roman"/>
                <w:sz w:val="20"/>
                <w:szCs w:val="20"/>
              </w:rPr>
            </w:pPr>
            <w:r w:rsidRPr="00F77095">
              <w:rPr>
                <w:rFonts w:ascii="Times New Roman" w:hAnsi="Times New Roman" w:cs="Times New Roman"/>
                <w:sz w:val="20"/>
                <w:szCs w:val="20"/>
              </w:rPr>
              <w:t>1,933</w:t>
            </w:r>
          </w:p>
        </w:tc>
        <w:tc>
          <w:tcPr>
            <w:tcW w:w="532" w:type="pct"/>
          </w:tcPr>
          <w:p w:rsidR="00776A46" w:rsidRPr="00F77095" w:rsidRDefault="00776A46" w:rsidP="00650EAF">
            <w:pPr>
              <w:jc w:val="right"/>
              <w:rPr>
                <w:rFonts w:ascii="Times New Roman" w:hAnsi="Times New Roman" w:cs="Times New Roman"/>
                <w:sz w:val="20"/>
                <w:szCs w:val="20"/>
              </w:rPr>
            </w:pPr>
            <w:r w:rsidRPr="00F77095">
              <w:rPr>
                <w:rFonts w:ascii="Times New Roman" w:hAnsi="Times New Roman" w:cs="Times New Roman"/>
                <w:sz w:val="20"/>
                <w:szCs w:val="20"/>
              </w:rPr>
              <w:t>(126)</w:t>
            </w:r>
          </w:p>
        </w:tc>
        <w:tc>
          <w:tcPr>
            <w:tcW w:w="659" w:type="pct"/>
          </w:tcPr>
          <w:p w:rsidR="00776A46" w:rsidRPr="00F77095" w:rsidRDefault="00776A46" w:rsidP="00650EAF">
            <w:pPr>
              <w:jc w:val="right"/>
              <w:rPr>
                <w:rFonts w:ascii="Times New Roman" w:hAnsi="Times New Roman" w:cs="Times New Roman"/>
                <w:sz w:val="20"/>
                <w:szCs w:val="20"/>
              </w:rPr>
            </w:pPr>
            <w:r w:rsidRPr="00F77095">
              <w:rPr>
                <w:rFonts w:ascii="Times New Roman" w:hAnsi="Times New Roman" w:cs="Times New Roman"/>
                <w:sz w:val="20"/>
                <w:szCs w:val="20"/>
              </w:rPr>
              <w:t>1,807</w:t>
            </w:r>
          </w:p>
        </w:tc>
        <w:tc>
          <w:tcPr>
            <w:tcW w:w="668" w:type="pct"/>
          </w:tcPr>
          <w:p w:rsidR="00776A46" w:rsidRPr="00F77095" w:rsidRDefault="00776A46" w:rsidP="00650EAF">
            <w:pPr>
              <w:jc w:val="right"/>
              <w:rPr>
                <w:rFonts w:ascii="Times New Roman" w:hAnsi="Times New Roman" w:cs="Times New Roman"/>
                <w:sz w:val="20"/>
                <w:szCs w:val="20"/>
              </w:rPr>
            </w:pPr>
            <w:r w:rsidRPr="00F77095">
              <w:rPr>
                <w:rFonts w:ascii="Times New Roman" w:hAnsi="Times New Roman" w:cs="Times New Roman"/>
                <w:sz w:val="20"/>
                <w:szCs w:val="20"/>
              </w:rPr>
              <w:t>230</w:t>
            </w:r>
          </w:p>
        </w:tc>
        <w:tc>
          <w:tcPr>
            <w:tcW w:w="464" w:type="pct"/>
          </w:tcPr>
          <w:p w:rsidR="00776A46" w:rsidRPr="00F77095" w:rsidRDefault="00776A46" w:rsidP="00650EAF">
            <w:pPr>
              <w:jc w:val="right"/>
              <w:rPr>
                <w:rFonts w:ascii="Times New Roman" w:hAnsi="Times New Roman" w:cs="Times New Roman"/>
                <w:sz w:val="20"/>
                <w:szCs w:val="20"/>
              </w:rPr>
            </w:pPr>
            <w:r w:rsidRPr="00F77095">
              <w:rPr>
                <w:rFonts w:ascii="Times New Roman" w:hAnsi="Times New Roman" w:cs="Times New Roman"/>
                <w:sz w:val="20"/>
                <w:szCs w:val="20"/>
              </w:rPr>
              <w:t>2,037</w:t>
            </w:r>
          </w:p>
        </w:tc>
        <w:tc>
          <w:tcPr>
            <w:tcW w:w="118" w:type="pct"/>
          </w:tcPr>
          <w:p w:rsidR="00776A46" w:rsidRPr="00F77095" w:rsidRDefault="00776A46" w:rsidP="00650EAF">
            <w:pPr>
              <w:jc w:val="both"/>
              <w:rPr>
                <w:rFonts w:ascii="Times New Roman" w:hAnsi="Times New Roman" w:cs="Times New Roman"/>
                <w:sz w:val="20"/>
                <w:szCs w:val="20"/>
              </w:rPr>
            </w:pPr>
          </w:p>
        </w:tc>
      </w:tr>
      <w:tr w:rsidR="00776A46" w:rsidRPr="00F77095" w:rsidTr="00650EAF">
        <w:tc>
          <w:tcPr>
            <w:tcW w:w="196" w:type="pct"/>
          </w:tcPr>
          <w:p w:rsidR="00776A46" w:rsidRPr="00F77095" w:rsidRDefault="00776A46" w:rsidP="00650EAF">
            <w:pPr>
              <w:jc w:val="both"/>
              <w:rPr>
                <w:rFonts w:ascii="Times New Roman" w:hAnsi="Times New Roman" w:cs="Times New Roman"/>
                <w:sz w:val="20"/>
                <w:szCs w:val="20"/>
              </w:rPr>
            </w:pPr>
          </w:p>
        </w:tc>
        <w:tc>
          <w:tcPr>
            <w:tcW w:w="1727" w:type="pct"/>
          </w:tcPr>
          <w:p w:rsidR="00776A46" w:rsidRPr="00F77095" w:rsidRDefault="00776A46" w:rsidP="00650EAF">
            <w:pPr>
              <w:jc w:val="both"/>
              <w:rPr>
                <w:rFonts w:ascii="Times New Roman" w:hAnsi="Times New Roman" w:cs="Times New Roman"/>
                <w:sz w:val="20"/>
                <w:szCs w:val="20"/>
              </w:rPr>
            </w:pPr>
          </w:p>
        </w:tc>
        <w:tc>
          <w:tcPr>
            <w:tcW w:w="636" w:type="pct"/>
          </w:tcPr>
          <w:p w:rsidR="00776A46" w:rsidRPr="00F77095" w:rsidRDefault="00776A46" w:rsidP="00650EAF">
            <w:pPr>
              <w:jc w:val="right"/>
              <w:rPr>
                <w:rFonts w:ascii="Times New Roman" w:hAnsi="Times New Roman" w:cs="Times New Roman"/>
                <w:sz w:val="20"/>
                <w:szCs w:val="20"/>
              </w:rPr>
            </w:pPr>
          </w:p>
        </w:tc>
        <w:tc>
          <w:tcPr>
            <w:tcW w:w="532" w:type="pct"/>
          </w:tcPr>
          <w:p w:rsidR="00776A46" w:rsidRPr="00F77095" w:rsidRDefault="00776A46" w:rsidP="00650EAF">
            <w:pPr>
              <w:jc w:val="right"/>
              <w:rPr>
                <w:rFonts w:ascii="Times New Roman" w:hAnsi="Times New Roman" w:cs="Times New Roman"/>
                <w:sz w:val="20"/>
                <w:szCs w:val="20"/>
              </w:rPr>
            </w:pPr>
          </w:p>
        </w:tc>
        <w:tc>
          <w:tcPr>
            <w:tcW w:w="659" w:type="pct"/>
          </w:tcPr>
          <w:p w:rsidR="00776A46" w:rsidRPr="00F77095" w:rsidRDefault="00776A46" w:rsidP="00650EAF">
            <w:pPr>
              <w:jc w:val="right"/>
              <w:rPr>
                <w:rFonts w:ascii="Times New Roman" w:hAnsi="Times New Roman" w:cs="Times New Roman"/>
                <w:sz w:val="20"/>
                <w:szCs w:val="20"/>
              </w:rPr>
            </w:pPr>
          </w:p>
        </w:tc>
        <w:tc>
          <w:tcPr>
            <w:tcW w:w="668" w:type="pct"/>
          </w:tcPr>
          <w:p w:rsidR="00776A46" w:rsidRPr="00F77095" w:rsidRDefault="00776A46" w:rsidP="00650EAF">
            <w:pPr>
              <w:jc w:val="right"/>
              <w:rPr>
                <w:rFonts w:ascii="Times New Roman" w:hAnsi="Times New Roman" w:cs="Times New Roman"/>
                <w:sz w:val="20"/>
                <w:szCs w:val="20"/>
              </w:rPr>
            </w:pPr>
          </w:p>
        </w:tc>
        <w:tc>
          <w:tcPr>
            <w:tcW w:w="464" w:type="pct"/>
          </w:tcPr>
          <w:p w:rsidR="00776A46" w:rsidRPr="00F77095" w:rsidRDefault="00776A46" w:rsidP="00650EAF">
            <w:pPr>
              <w:jc w:val="right"/>
              <w:rPr>
                <w:rFonts w:ascii="Times New Roman" w:hAnsi="Times New Roman" w:cs="Times New Roman"/>
                <w:sz w:val="20"/>
                <w:szCs w:val="20"/>
              </w:rPr>
            </w:pPr>
          </w:p>
        </w:tc>
        <w:tc>
          <w:tcPr>
            <w:tcW w:w="118" w:type="pct"/>
          </w:tcPr>
          <w:p w:rsidR="00776A46" w:rsidRPr="00F77095" w:rsidRDefault="00776A46" w:rsidP="00650EAF">
            <w:pPr>
              <w:jc w:val="both"/>
              <w:rPr>
                <w:rFonts w:ascii="Times New Roman" w:hAnsi="Times New Roman" w:cs="Times New Roman"/>
                <w:sz w:val="20"/>
                <w:szCs w:val="20"/>
              </w:rPr>
            </w:pPr>
          </w:p>
        </w:tc>
      </w:tr>
      <w:tr w:rsidR="00776A46" w:rsidRPr="00F77095" w:rsidTr="00650EAF">
        <w:tc>
          <w:tcPr>
            <w:tcW w:w="196" w:type="pct"/>
          </w:tcPr>
          <w:p w:rsidR="00776A46" w:rsidRPr="00F77095" w:rsidRDefault="00776A46" w:rsidP="00650EAF">
            <w:pPr>
              <w:jc w:val="both"/>
              <w:rPr>
                <w:rFonts w:ascii="Times New Roman" w:hAnsi="Times New Roman" w:cs="Times New Roman"/>
                <w:sz w:val="20"/>
                <w:szCs w:val="20"/>
              </w:rPr>
            </w:pPr>
            <w:r w:rsidRPr="00F77095">
              <w:rPr>
                <w:rFonts w:ascii="Times New Roman" w:hAnsi="Times New Roman" w:cs="Times New Roman"/>
                <w:sz w:val="20"/>
                <w:szCs w:val="20"/>
              </w:rPr>
              <w:t>6.</w:t>
            </w:r>
          </w:p>
        </w:tc>
        <w:tc>
          <w:tcPr>
            <w:tcW w:w="1727" w:type="pct"/>
          </w:tcPr>
          <w:p w:rsidR="00776A46" w:rsidRPr="00F77095" w:rsidRDefault="00776A46" w:rsidP="00650EAF">
            <w:pPr>
              <w:jc w:val="both"/>
              <w:rPr>
                <w:rFonts w:ascii="Times New Roman" w:hAnsi="Times New Roman" w:cs="Times New Roman"/>
                <w:sz w:val="20"/>
                <w:szCs w:val="20"/>
              </w:rPr>
            </w:pPr>
            <w:r w:rsidRPr="00F77095">
              <w:rPr>
                <w:rFonts w:ascii="Times New Roman" w:hAnsi="Times New Roman" w:cs="Times New Roman"/>
                <w:sz w:val="20"/>
                <w:szCs w:val="20"/>
              </w:rPr>
              <w:t>INCOME TAXES</w:t>
            </w:r>
          </w:p>
        </w:tc>
        <w:tc>
          <w:tcPr>
            <w:tcW w:w="636" w:type="pct"/>
          </w:tcPr>
          <w:p w:rsidR="00776A46" w:rsidRPr="00F77095" w:rsidRDefault="00776A46" w:rsidP="00650EAF">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0</w:t>
            </w:r>
          </w:p>
        </w:tc>
        <w:tc>
          <w:tcPr>
            <w:tcW w:w="532" w:type="pct"/>
          </w:tcPr>
          <w:p w:rsidR="00776A46" w:rsidRPr="00F77095" w:rsidRDefault="00776A46" w:rsidP="00650EAF">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0</w:t>
            </w:r>
          </w:p>
        </w:tc>
        <w:tc>
          <w:tcPr>
            <w:tcW w:w="659" w:type="pct"/>
          </w:tcPr>
          <w:p w:rsidR="00776A46" w:rsidRPr="00F77095" w:rsidRDefault="00776A46" w:rsidP="00650EAF">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0</w:t>
            </w:r>
          </w:p>
        </w:tc>
        <w:tc>
          <w:tcPr>
            <w:tcW w:w="668" w:type="pct"/>
          </w:tcPr>
          <w:p w:rsidR="00776A46" w:rsidRPr="00F77095" w:rsidRDefault="00776A46" w:rsidP="00650EAF">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0</w:t>
            </w:r>
          </w:p>
        </w:tc>
        <w:tc>
          <w:tcPr>
            <w:tcW w:w="464" w:type="pct"/>
          </w:tcPr>
          <w:p w:rsidR="00776A46" w:rsidRPr="00F77095" w:rsidRDefault="00776A46" w:rsidP="00650EAF">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0</w:t>
            </w:r>
          </w:p>
        </w:tc>
        <w:tc>
          <w:tcPr>
            <w:tcW w:w="118" w:type="pct"/>
          </w:tcPr>
          <w:p w:rsidR="00776A46" w:rsidRPr="00F77095" w:rsidRDefault="00776A46" w:rsidP="00650EAF">
            <w:pPr>
              <w:jc w:val="both"/>
              <w:rPr>
                <w:rFonts w:ascii="Times New Roman" w:hAnsi="Times New Roman" w:cs="Times New Roman"/>
                <w:sz w:val="20"/>
                <w:szCs w:val="20"/>
              </w:rPr>
            </w:pPr>
          </w:p>
        </w:tc>
      </w:tr>
      <w:tr w:rsidR="00776A46" w:rsidRPr="00F77095" w:rsidTr="00650EAF">
        <w:tc>
          <w:tcPr>
            <w:tcW w:w="196" w:type="pct"/>
          </w:tcPr>
          <w:p w:rsidR="00776A46" w:rsidRPr="00F77095" w:rsidRDefault="00776A46" w:rsidP="00650EAF">
            <w:pPr>
              <w:jc w:val="both"/>
              <w:rPr>
                <w:rFonts w:ascii="Times New Roman" w:hAnsi="Times New Roman" w:cs="Times New Roman"/>
                <w:sz w:val="20"/>
                <w:szCs w:val="20"/>
              </w:rPr>
            </w:pPr>
          </w:p>
        </w:tc>
        <w:tc>
          <w:tcPr>
            <w:tcW w:w="1727" w:type="pct"/>
          </w:tcPr>
          <w:p w:rsidR="00776A46" w:rsidRPr="00F77095" w:rsidRDefault="00776A46" w:rsidP="00650EAF">
            <w:pPr>
              <w:jc w:val="both"/>
              <w:rPr>
                <w:rFonts w:ascii="Times New Roman" w:hAnsi="Times New Roman" w:cs="Times New Roman"/>
                <w:sz w:val="20"/>
                <w:szCs w:val="20"/>
              </w:rPr>
            </w:pPr>
          </w:p>
        </w:tc>
        <w:tc>
          <w:tcPr>
            <w:tcW w:w="636" w:type="pct"/>
          </w:tcPr>
          <w:p w:rsidR="00776A46" w:rsidRPr="00F77095" w:rsidRDefault="00776A46" w:rsidP="00650EAF">
            <w:pPr>
              <w:jc w:val="right"/>
              <w:rPr>
                <w:rFonts w:ascii="Times New Roman" w:hAnsi="Times New Roman" w:cs="Times New Roman"/>
                <w:sz w:val="20"/>
                <w:szCs w:val="20"/>
              </w:rPr>
            </w:pPr>
          </w:p>
        </w:tc>
        <w:tc>
          <w:tcPr>
            <w:tcW w:w="532" w:type="pct"/>
          </w:tcPr>
          <w:p w:rsidR="00776A46" w:rsidRPr="00F77095" w:rsidRDefault="00776A46" w:rsidP="00650EAF">
            <w:pPr>
              <w:jc w:val="right"/>
              <w:rPr>
                <w:rFonts w:ascii="Times New Roman" w:hAnsi="Times New Roman" w:cs="Times New Roman"/>
                <w:sz w:val="20"/>
                <w:szCs w:val="20"/>
              </w:rPr>
            </w:pPr>
          </w:p>
        </w:tc>
        <w:tc>
          <w:tcPr>
            <w:tcW w:w="659" w:type="pct"/>
          </w:tcPr>
          <w:p w:rsidR="00776A46" w:rsidRPr="00F77095" w:rsidRDefault="00776A46" w:rsidP="00650EAF">
            <w:pPr>
              <w:jc w:val="right"/>
              <w:rPr>
                <w:rFonts w:ascii="Times New Roman" w:hAnsi="Times New Roman" w:cs="Times New Roman"/>
                <w:sz w:val="20"/>
                <w:szCs w:val="20"/>
              </w:rPr>
            </w:pPr>
          </w:p>
        </w:tc>
        <w:tc>
          <w:tcPr>
            <w:tcW w:w="668" w:type="pct"/>
          </w:tcPr>
          <w:p w:rsidR="00776A46" w:rsidRPr="00F77095" w:rsidRDefault="00776A46" w:rsidP="00650EAF">
            <w:pPr>
              <w:jc w:val="right"/>
              <w:rPr>
                <w:rFonts w:ascii="Times New Roman" w:hAnsi="Times New Roman" w:cs="Times New Roman"/>
                <w:sz w:val="20"/>
                <w:szCs w:val="20"/>
              </w:rPr>
            </w:pPr>
          </w:p>
        </w:tc>
        <w:tc>
          <w:tcPr>
            <w:tcW w:w="464" w:type="pct"/>
          </w:tcPr>
          <w:p w:rsidR="00776A46" w:rsidRPr="00F77095" w:rsidRDefault="00776A46" w:rsidP="00650EAF">
            <w:pPr>
              <w:jc w:val="right"/>
              <w:rPr>
                <w:rFonts w:ascii="Times New Roman" w:hAnsi="Times New Roman" w:cs="Times New Roman"/>
                <w:sz w:val="20"/>
                <w:szCs w:val="20"/>
              </w:rPr>
            </w:pPr>
          </w:p>
        </w:tc>
        <w:tc>
          <w:tcPr>
            <w:tcW w:w="118" w:type="pct"/>
          </w:tcPr>
          <w:p w:rsidR="00776A46" w:rsidRPr="00F77095" w:rsidRDefault="00776A46" w:rsidP="00650EAF">
            <w:pPr>
              <w:jc w:val="both"/>
              <w:rPr>
                <w:rFonts w:ascii="Times New Roman" w:hAnsi="Times New Roman" w:cs="Times New Roman"/>
                <w:sz w:val="20"/>
                <w:szCs w:val="20"/>
              </w:rPr>
            </w:pPr>
          </w:p>
        </w:tc>
      </w:tr>
      <w:tr w:rsidR="00776A46" w:rsidRPr="00F77095" w:rsidTr="00650EAF">
        <w:tc>
          <w:tcPr>
            <w:tcW w:w="196" w:type="pct"/>
          </w:tcPr>
          <w:p w:rsidR="00776A46" w:rsidRPr="00F77095" w:rsidRDefault="00776A46" w:rsidP="00650EAF">
            <w:pPr>
              <w:jc w:val="both"/>
              <w:rPr>
                <w:rFonts w:ascii="Times New Roman" w:hAnsi="Times New Roman" w:cs="Times New Roman"/>
                <w:sz w:val="20"/>
                <w:szCs w:val="20"/>
              </w:rPr>
            </w:pPr>
          </w:p>
        </w:tc>
        <w:tc>
          <w:tcPr>
            <w:tcW w:w="1727" w:type="pct"/>
          </w:tcPr>
          <w:p w:rsidR="00776A46" w:rsidRPr="00F77095" w:rsidRDefault="00776A46" w:rsidP="00650EAF">
            <w:pPr>
              <w:jc w:val="both"/>
              <w:rPr>
                <w:rFonts w:ascii="Times New Roman" w:hAnsi="Times New Roman" w:cs="Times New Roman"/>
                <w:b/>
                <w:sz w:val="20"/>
                <w:szCs w:val="20"/>
              </w:rPr>
            </w:pPr>
            <w:r w:rsidRPr="00F77095">
              <w:rPr>
                <w:rFonts w:ascii="Times New Roman" w:hAnsi="Times New Roman" w:cs="Times New Roman"/>
                <w:b/>
                <w:sz w:val="20"/>
                <w:szCs w:val="20"/>
              </w:rPr>
              <w:t>TOTAL OPERATING EXPENSE</w:t>
            </w:r>
          </w:p>
        </w:tc>
        <w:tc>
          <w:tcPr>
            <w:tcW w:w="636" w:type="pct"/>
          </w:tcPr>
          <w:p w:rsidR="00776A46" w:rsidRPr="00F77095" w:rsidRDefault="00776A46" w:rsidP="00650EAF">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$31,679</w:t>
            </w:r>
          </w:p>
        </w:tc>
        <w:tc>
          <w:tcPr>
            <w:tcW w:w="532" w:type="pct"/>
          </w:tcPr>
          <w:p w:rsidR="00776A46" w:rsidRPr="00F77095" w:rsidRDefault="00776A46" w:rsidP="00650EAF">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$125</w:t>
            </w:r>
          </w:p>
        </w:tc>
        <w:tc>
          <w:tcPr>
            <w:tcW w:w="659" w:type="pct"/>
          </w:tcPr>
          <w:p w:rsidR="00776A46" w:rsidRPr="00F77095" w:rsidRDefault="00776A46" w:rsidP="00650EAF">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$31,804</w:t>
            </w:r>
          </w:p>
        </w:tc>
        <w:tc>
          <w:tcPr>
            <w:tcW w:w="668" w:type="pct"/>
          </w:tcPr>
          <w:p w:rsidR="00776A46" w:rsidRPr="00F77095" w:rsidRDefault="00776A46" w:rsidP="00650EAF">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$230</w:t>
            </w:r>
          </w:p>
        </w:tc>
        <w:tc>
          <w:tcPr>
            <w:tcW w:w="464" w:type="pct"/>
          </w:tcPr>
          <w:p w:rsidR="00776A46" w:rsidRPr="00F77095" w:rsidRDefault="00776A46" w:rsidP="00650EAF">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$32,034</w:t>
            </w:r>
          </w:p>
        </w:tc>
        <w:tc>
          <w:tcPr>
            <w:tcW w:w="118" w:type="pct"/>
          </w:tcPr>
          <w:p w:rsidR="00776A46" w:rsidRPr="00F77095" w:rsidRDefault="00776A46" w:rsidP="00650EAF">
            <w:pPr>
              <w:jc w:val="both"/>
              <w:rPr>
                <w:rFonts w:ascii="Times New Roman" w:hAnsi="Times New Roman" w:cs="Times New Roman"/>
                <w:sz w:val="20"/>
                <w:szCs w:val="20"/>
                <w:highlight w:val="yellow"/>
              </w:rPr>
            </w:pPr>
          </w:p>
        </w:tc>
      </w:tr>
      <w:tr w:rsidR="00776A46" w:rsidRPr="00F77095" w:rsidTr="00650EAF">
        <w:tc>
          <w:tcPr>
            <w:tcW w:w="196" w:type="pct"/>
          </w:tcPr>
          <w:p w:rsidR="00776A46" w:rsidRPr="00F77095" w:rsidRDefault="00776A46" w:rsidP="00650EAF">
            <w:pPr>
              <w:jc w:val="both"/>
              <w:rPr>
                <w:rFonts w:ascii="Times New Roman" w:hAnsi="Times New Roman" w:cs="Times New Roman"/>
                <w:sz w:val="20"/>
                <w:szCs w:val="20"/>
              </w:rPr>
            </w:pPr>
          </w:p>
        </w:tc>
        <w:tc>
          <w:tcPr>
            <w:tcW w:w="1727" w:type="pct"/>
          </w:tcPr>
          <w:p w:rsidR="00776A46" w:rsidRPr="00F77095" w:rsidRDefault="00776A46" w:rsidP="00650EAF">
            <w:pPr>
              <w:jc w:val="both"/>
              <w:rPr>
                <w:rFonts w:ascii="Times New Roman" w:hAnsi="Times New Roman" w:cs="Times New Roman"/>
                <w:sz w:val="20"/>
                <w:szCs w:val="20"/>
              </w:rPr>
            </w:pPr>
          </w:p>
        </w:tc>
        <w:tc>
          <w:tcPr>
            <w:tcW w:w="636" w:type="pct"/>
          </w:tcPr>
          <w:p w:rsidR="00776A46" w:rsidRPr="00F77095" w:rsidRDefault="00776A46" w:rsidP="00650EAF">
            <w:pPr>
              <w:jc w:val="right"/>
              <w:rPr>
                <w:rFonts w:ascii="Times New Roman" w:hAnsi="Times New Roman" w:cs="Times New Roman"/>
                <w:sz w:val="20"/>
                <w:szCs w:val="20"/>
              </w:rPr>
            </w:pPr>
          </w:p>
        </w:tc>
        <w:tc>
          <w:tcPr>
            <w:tcW w:w="532" w:type="pct"/>
          </w:tcPr>
          <w:p w:rsidR="00776A46" w:rsidRPr="00F77095" w:rsidRDefault="00776A46" w:rsidP="00650EAF">
            <w:pPr>
              <w:jc w:val="right"/>
              <w:rPr>
                <w:rFonts w:ascii="Times New Roman" w:hAnsi="Times New Roman" w:cs="Times New Roman"/>
                <w:sz w:val="20"/>
                <w:szCs w:val="20"/>
              </w:rPr>
            </w:pPr>
          </w:p>
        </w:tc>
        <w:tc>
          <w:tcPr>
            <w:tcW w:w="659" w:type="pct"/>
          </w:tcPr>
          <w:p w:rsidR="00776A46" w:rsidRPr="00F77095" w:rsidRDefault="00776A46" w:rsidP="00650EAF">
            <w:pPr>
              <w:jc w:val="right"/>
              <w:rPr>
                <w:rFonts w:ascii="Times New Roman" w:hAnsi="Times New Roman" w:cs="Times New Roman"/>
                <w:sz w:val="20"/>
                <w:szCs w:val="20"/>
              </w:rPr>
            </w:pPr>
          </w:p>
        </w:tc>
        <w:tc>
          <w:tcPr>
            <w:tcW w:w="668" w:type="pct"/>
          </w:tcPr>
          <w:p w:rsidR="00776A46" w:rsidRPr="00F77095" w:rsidRDefault="00776A46" w:rsidP="00650EAF">
            <w:pPr>
              <w:jc w:val="right"/>
              <w:rPr>
                <w:rFonts w:ascii="Times New Roman" w:hAnsi="Times New Roman" w:cs="Times New Roman"/>
                <w:sz w:val="20"/>
                <w:szCs w:val="20"/>
              </w:rPr>
            </w:pPr>
          </w:p>
        </w:tc>
        <w:tc>
          <w:tcPr>
            <w:tcW w:w="464" w:type="pct"/>
          </w:tcPr>
          <w:p w:rsidR="00776A46" w:rsidRPr="00F77095" w:rsidRDefault="00776A46" w:rsidP="00650EAF">
            <w:pPr>
              <w:jc w:val="right"/>
              <w:rPr>
                <w:rFonts w:ascii="Times New Roman" w:hAnsi="Times New Roman" w:cs="Times New Roman"/>
                <w:sz w:val="20"/>
                <w:szCs w:val="20"/>
              </w:rPr>
            </w:pPr>
          </w:p>
        </w:tc>
        <w:tc>
          <w:tcPr>
            <w:tcW w:w="118" w:type="pct"/>
          </w:tcPr>
          <w:p w:rsidR="00776A46" w:rsidRPr="00F77095" w:rsidRDefault="00776A46" w:rsidP="00650EAF">
            <w:pPr>
              <w:jc w:val="both"/>
              <w:rPr>
                <w:rFonts w:ascii="Times New Roman" w:hAnsi="Times New Roman" w:cs="Times New Roman"/>
                <w:sz w:val="20"/>
                <w:szCs w:val="20"/>
              </w:rPr>
            </w:pPr>
          </w:p>
        </w:tc>
      </w:tr>
      <w:tr w:rsidR="00776A46" w:rsidRPr="00F77095" w:rsidTr="00650EAF">
        <w:tc>
          <w:tcPr>
            <w:tcW w:w="196" w:type="pct"/>
          </w:tcPr>
          <w:p w:rsidR="00776A46" w:rsidRPr="00F77095" w:rsidRDefault="00776A46" w:rsidP="00650EAF">
            <w:pPr>
              <w:jc w:val="both"/>
              <w:rPr>
                <w:rFonts w:ascii="Times New Roman" w:hAnsi="Times New Roman" w:cs="Times New Roman"/>
                <w:sz w:val="20"/>
                <w:szCs w:val="20"/>
              </w:rPr>
            </w:pPr>
            <w:r w:rsidRPr="00F77095">
              <w:rPr>
                <w:rFonts w:ascii="Times New Roman" w:hAnsi="Times New Roman" w:cs="Times New Roman"/>
                <w:sz w:val="20"/>
                <w:szCs w:val="20"/>
              </w:rPr>
              <w:t>7.</w:t>
            </w:r>
          </w:p>
        </w:tc>
        <w:tc>
          <w:tcPr>
            <w:tcW w:w="1727" w:type="pct"/>
          </w:tcPr>
          <w:p w:rsidR="00776A46" w:rsidRPr="00F77095" w:rsidRDefault="00776A46" w:rsidP="00650EAF">
            <w:pPr>
              <w:jc w:val="both"/>
              <w:rPr>
                <w:rFonts w:ascii="Times New Roman" w:hAnsi="Times New Roman" w:cs="Times New Roman"/>
                <w:b/>
                <w:sz w:val="20"/>
                <w:szCs w:val="20"/>
              </w:rPr>
            </w:pPr>
            <w:r w:rsidRPr="00F77095">
              <w:rPr>
                <w:rFonts w:ascii="Times New Roman" w:hAnsi="Times New Roman" w:cs="Times New Roman"/>
                <w:b/>
                <w:sz w:val="20"/>
                <w:szCs w:val="20"/>
              </w:rPr>
              <w:t>OPERATING INCOME / LOSS</w:t>
            </w:r>
          </w:p>
        </w:tc>
        <w:tc>
          <w:tcPr>
            <w:tcW w:w="636" w:type="pct"/>
          </w:tcPr>
          <w:p w:rsidR="00776A46" w:rsidRPr="00F77095" w:rsidRDefault="00776A46" w:rsidP="00650EAF">
            <w:pPr>
              <w:jc w:val="right"/>
              <w:rPr>
                <w:rFonts w:ascii="Times New Roman" w:hAnsi="Times New Roman" w:cs="Times New Roman"/>
                <w:sz w:val="20"/>
                <w:szCs w:val="20"/>
                <w:u w:val="double"/>
              </w:rPr>
            </w:pPr>
            <w:r w:rsidRPr="00F77095">
              <w:rPr>
                <w:rFonts w:ascii="Times New Roman" w:hAnsi="Times New Roman" w:cs="Times New Roman"/>
                <w:sz w:val="20"/>
                <w:szCs w:val="20"/>
                <w:u w:val="double"/>
              </w:rPr>
              <w:t>($3,169)</w:t>
            </w:r>
          </w:p>
        </w:tc>
        <w:tc>
          <w:tcPr>
            <w:tcW w:w="532" w:type="pct"/>
          </w:tcPr>
          <w:p w:rsidR="00776A46" w:rsidRPr="00F77095" w:rsidRDefault="00776A46" w:rsidP="00650EAF">
            <w:pPr>
              <w:jc w:val="right"/>
              <w:rPr>
                <w:rFonts w:ascii="Times New Roman" w:hAnsi="Times New Roman" w:cs="Times New Roman"/>
                <w:sz w:val="20"/>
                <w:szCs w:val="20"/>
                <w:u w:val="double"/>
              </w:rPr>
            </w:pPr>
          </w:p>
        </w:tc>
        <w:tc>
          <w:tcPr>
            <w:tcW w:w="659" w:type="pct"/>
          </w:tcPr>
          <w:p w:rsidR="00776A46" w:rsidRPr="00F77095" w:rsidRDefault="00776A46" w:rsidP="00650EAF">
            <w:pPr>
              <w:jc w:val="right"/>
              <w:rPr>
                <w:rFonts w:ascii="Times New Roman" w:hAnsi="Times New Roman" w:cs="Times New Roman"/>
                <w:sz w:val="20"/>
                <w:szCs w:val="20"/>
                <w:u w:val="double"/>
              </w:rPr>
            </w:pPr>
            <w:r w:rsidRPr="00F77095">
              <w:rPr>
                <w:rFonts w:ascii="Times New Roman" w:hAnsi="Times New Roman" w:cs="Times New Roman"/>
                <w:sz w:val="20"/>
                <w:szCs w:val="20"/>
                <w:u w:val="double"/>
              </w:rPr>
              <w:t>($1,865)</w:t>
            </w:r>
          </w:p>
        </w:tc>
        <w:tc>
          <w:tcPr>
            <w:tcW w:w="668" w:type="pct"/>
          </w:tcPr>
          <w:p w:rsidR="00776A46" w:rsidRPr="00F77095" w:rsidRDefault="00776A46" w:rsidP="00650EAF">
            <w:pPr>
              <w:jc w:val="right"/>
              <w:rPr>
                <w:rFonts w:ascii="Times New Roman" w:hAnsi="Times New Roman" w:cs="Times New Roman"/>
                <w:sz w:val="20"/>
                <w:szCs w:val="20"/>
                <w:u w:val="double"/>
              </w:rPr>
            </w:pPr>
          </w:p>
        </w:tc>
        <w:tc>
          <w:tcPr>
            <w:tcW w:w="464" w:type="pct"/>
          </w:tcPr>
          <w:p w:rsidR="00776A46" w:rsidRPr="00F77095" w:rsidRDefault="00776A46" w:rsidP="00650EAF">
            <w:pPr>
              <w:jc w:val="right"/>
              <w:rPr>
                <w:rFonts w:ascii="Times New Roman" w:hAnsi="Times New Roman" w:cs="Times New Roman"/>
                <w:sz w:val="20"/>
                <w:szCs w:val="20"/>
                <w:u w:val="double"/>
              </w:rPr>
            </w:pPr>
            <w:r w:rsidRPr="00F77095">
              <w:rPr>
                <w:rFonts w:ascii="Times New Roman" w:hAnsi="Times New Roman" w:cs="Times New Roman"/>
                <w:sz w:val="20"/>
                <w:szCs w:val="20"/>
                <w:u w:val="double"/>
              </w:rPr>
              <w:t>$3,018</w:t>
            </w:r>
          </w:p>
        </w:tc>
        <w:tc>
          <w:tcPr>
            <w:tcW w:w="118" w:type="pct"/>
          </w:tcPr>
          <w:p w:rsidR="00776A46" w:rsidRPr="00F77095" w:rsidRDefault="00776A46" w:rsidP="00650EAF">
            <w:pPr>
              <w:jc w:val="both"/>
              <w:rPr>
                <w:rFonts w:ascii="Times New Roman" w:hAnsi="Times New Roman" w:cs="Times New Roman"/>
                <w:sz w:val="20"/>
                <w:szCs w:val="20"/>
                <w:highlight w:val="yellow"/>
              </w:rPr>
            </w:pPr>
          </w:p>
        </w:tc>
      </w:tr>
      <w:tr w:rsidR="00776A46" w:rsidRPr="00F77095" w:rsidTr="00650EAF">
        <w:tc>
          <w:tcPr>
            <w:tcW w:w="196" w:type="pct"/>
          </w:tcPr>
          <w:p w:rsidR="00776A46" w:rsidRPr="00F77095" w:rsidRDefault="00776A46" w:rsidP="00650EAF">
            <w:pPr>
              <w:jc w:val="both"/>
              <w:rPr>
                <w:rFonts w:ascii="Times New Roman" w:hAnsi="Times New Roman" w:cs="Times New Roman"/>
                <w:sz w:val="20"/>
                <w:szCs w:val="20"/>
              </w:rPr>
            </w:pPr>
          </w:p>
        </w:tc>
        <w:tc>
          <w:tcPr>
            <w:tcW w:w="1727" w:type="pct"/>
          </w:tcPr>
          <w:p w:rsidR="00776A46" w:rsidRPr="00F77095" w:rsidRDefault="00776A46" w:rsidP="00650EAF">
            <w:pPr>
              <w:jc w:val="both"/>
              <w:rPr>
                <w:rFonts w:ascii="Times New Roman" w:hAnsi="Times New Roman" w:cs="Times New Roman"/>
                <w:sz w:val="20"/>
                <w:szCs w:val="20"/>
              </w:rPr>
            </w:pPr>
          </w:p>
        </w:tc>
        <w:tc>
          <w:tcPr>
            <w:tcW w:w="636" w:type="pct"/>
          </w:tcPr>
          <w:p w:rsidR="00776A46" w:rsidRPr="00F77095" w:rsidRDefault="00776A46" w:rsidP="00650EAF">
            <w:pPr>
              <w:jc w:val="right"/>
              <w:rPr>
                <w:rFonts w:ascii="Times New Roman" w:hAnsi="Times New Roman" w:cs="Times New Roman"/>
                <w:sz w:val="20"/>
                <w:szCs w:val="20"/>
              </w:rPr>
            </w:pPr>
          </w:p>
        </w:tc>
        <w:tc>
          <w:tcPr>
            <w:tcW w:w="532" w:type="pct"/>
          </w:tcPr>
          <w:p w:rsidR="00776A46" w:rsidRPr="00F77095" w:rsidRDefault="00776A46" w:rsidP="00650EAF">
            <w:pPr>
              <w:jc w:val="right"/>
              <w:rPr>
                <w:rFonts w:ascii="Times New Roman" w:hAnsi="Times New Roman" w:cs="Times New Roman"/>
                <w:sz w:val="20"/>
                <w:szCs w:val="20"/>
              </w:rPr>
            </w:pPr>
          </w:p>
        </w:tc>
        <w:tc>
          <w:tcPr>
            <w:tcW w:w="659" w:type="pct"/>
          </w:tcPr>
          <w:p w:rsidR="00776A46" w:rsidRPr="00F77095" w:rsidRDefault="00776A46" w:rsidP="00650EAF">
            <w:pPr>
              <w:jc w:val="right"/>
              <w:rPr>
                <w:rFonts w:ascii="Times New Roman" w:hAnsi="Times New Roman" w:cs="Times New Roman"/>
                <w:sz w:val="20"/>
                <w:szCs w:val="20"/>
              </w:rPr>
            </w:pPr>
          </w:p>
        </w:tc>
        <w:tc>
          <w:tcPr>
            <w:tcW w:w="668" w:type="pct"/>
          </w:tcPr>
          <w:p w:rsidR="00776A46" w:rsidRPr="00F77095" w:rsidRDefault="00776A46" w:rsidP="00650EAF">
            <w:pPr>
              <w:jc w:val="right"/>
              <w:rPr>
                <w:rFonts w:ascii="Times New Roman" w:hAnsi="Times New Roman" w:cs="Times New Roman"/>
                <w:sz w:val="20"/>
                <w:szCs w:val="20"/>
              </w:rPr>
            </w:pPr>
          </w:p>
        </w:tc>
        <w:tc>
          <w:tcPr>
            <w:tcW w:w="464" w:type="pct"/>
          </w:tcPr>
          <w:p w:rsidR="00776A46" w:rsidRPr="00F77095" w:rsidRDefault="00776A46" w:rsidP="00650EAF">
            <w:pPr>
              <w:jc w:val="right"/>
              <w:rPr>
                <w:rFonts w:ascii="Times New Roman" w:hAnsi="Times New Roman" w:cs="Times New Roman"/>
                <w:sz w:val="20"/>
                <w:szCs w:val="20"/>
              </w:rPr>
            </w:pPr>
          </w:p>
        </w:tc>
        <w:tc>
          <w:tcPr>
            <w:tcW w:w="118" w:type="pct"/>
          </w:tcPr>
          <w:p w:rsidR="00776A46" w:rsidRPr="00F77095" w:rsidRDefault="00776A46" w:rsidP="00650EAF">
            <w:pPr>
              <w:jc w:val="both"/>
              <w:rPr>
                <w:rFonts w:ascii="Times New Roman" w:hAnsi="Times New Roman" w:cs="Times New Roman"/>
                <w:sz w:val="20"/>
                <w:szCs w:val="20"/>
              </w:rPr>
            </w:pPr>
          </w:p>
        </w:tc>
      </w:tr>
      <w:tr w:rsidR="00776A46" w:rsidRPr="00F77095" w:rsidTr="00650EAF">
        <w:tc>
          <w:tcPr>
            <w:tcW w:w="196" w:type="pct"/>
          </w:tcPr>
          <w:p w:rsidR="00776A46" w:rsidRPr="00F77095" w:rsidRDefault="00776A46" w:rsidP="00650EAF">
            <w:pPr>
              <w:jc w:val="both"/>
              <w:rPr>
                <w:rFonts w:ascii="Times New Roman" w:hAnsi="Times New Roman" w:cs="Times New Roman"/>
                <w:sz w:val="20"/>
                <w:szCs w:val="20"/>
              </w:rPr>
            </w:pPr>
            <w:r w:rsidRPr="00F77095">
              <w:rPr>
                <w:rFonts w:ascii="Times New Roman" w:hAnsi="Times New Roman" w:cs="Times New Roman"/>
                <w:sz w:val="20"/>
                <w:szCs w:val="20"/>
              </w:rPr>
              <w:t>8.</w:t>
            </w:r>
          </w:p>
        </w:tc>
        <w:tc>
          <w:tcPr>
            <w:tcW w:w="1727" w:type="pct"/>
          </w:tcPr>
          <w:p w:rsidR="00776A46" w:rsidRPr="00F77095" w:rsidRDefault="00776A46" w:rsidP="00650EAF">
            <w:pPr>
              <w:jc w:val="both"/>
              <w:rPr>
                <w:rFonts w:ascii="Times New Roman" w:hAnsi="Times New Roman" w:cs="Times New Roman"/>
                <w:b/>
                <w:sz w:val="20"/>
                <w:szCs w:val="20"/>
              </w:rPr>
            </w:pPr>
            <w:r w:rsidRPr="00F77095">
              <w:rPr>
                <w:rFonts w:ascii="Times New Roman" w:hAnsi="Times New Roman" w:cs="Times New Roman"/>
                <w:b/>
                <w:sz w:val="20"/>
                <w:szCs w:val="20"/>
              </w:rPr>
              <w:t>WATER RATE BASE</w:t>
            </w:r>
          </w:p>
        </w:tc>
        <w:tc>
          <w:tcPr>
            <w:tcW w:w="636" w:type="pct"/>
          </w:tcPr>
          <w:p w:rsidR="00776A46" w:rsidRPr="00F77095" w:rsidRDefault="00776A46" w:rsidP="00650EAF">
            <w:pPr>
              <w:jc w:val="right"/>
              <w:rPr>
                <w:rFonts w:ascii="Times New Roman" w:hAnsi="Times New Roman" w:cs="Times New Roman"/>
                <w:sz w:val="20"/>
                <w:szCs w:val="20"/>
                <w:u w:val="double"/>
              </w:rPr>
            </w:pPr>
            <w:r w:rsidRPr="00F77095">
              <w:rPr>
                <w:rFonts w:ascii="Times New Roman" w:hAnsi="Times New Roman" w:cs="Times New Roman"/>
                <w:sz w:val="20"/>
                <w:szCs w:val="20"/>
                <w:u w:val="double"/>
              </w:rPr>
              <w:t>$34,737</w:t>
            </w:r>
          </w:p>
        </w:tc>
        <w:tc>
          <w:tcPr>
            <w:tcW w:w="532" w:type="pct"/>
          </w:tcPr>
          <w:p w:rsidR="00776A46" w:rsidRPr="00F77095" w:rsidRDefault="00776A46" w:rsidP="00650EAF">
            <w:pPr>
              <w:jc w:val="right"/>
              <w:rPr>
                <w:rFonts w:ascii="Times New Roman" w:hAnsi="Times New Roman" w:cs="Times New Roman"/>
                <w:sz w:val="20"/>
                <w:szCs w:val="20"/>
                <w:u w:val="double"/>
              </w:rPr>
            </w:pPr>
          </w:p>
        </w:tc>
        <w:tc>
          <w:tcPr>
            <w:tcW w:w="659" w:type="pct"/>
          </w:tcPr>
          <w:p w:rsidR="00776A46" w:rsidRPr="00F77095" w:rsidRDefault="00776A46" w:rsidP="00650EAF">
            <w:pPr>
              <w:jc w:val="right"/>
              <w:rPr>
                <w:rFonts w:ascii="Times New Roman" w:hAnsi="Times New Roman" w:cs="Times New Roman"/>
                <w:sz w:val="20"/>
                <w:szCs w:val="20"/>
                <w:u w:val="double"/>
              </w:rPr>
            </w:pPr>
            <w:r w:rsidRPr="00F77095">
              <w:rPr>
                <w:rFonts w:ascii="Times New Roman" w:hAnsi="Times New Roman" w:cs="Times New Roman"/>
                <w:sz w:val="20"/>
                <w:szCs w:val="20"/>
                <w:u w:val="double"/>
              </w:rPr>
              <w:t>$3,710</w:t>
            </w:r>
          </w:p>
        </w:tc>
        <w:tc>
          <w:tcPr>
            <w:tcW w:w="668" w:type="pct"/>
          </w:tcPr>
          <w:p w:rsidR="00776A46" w:rsidRPr="00F77095" w:rsidRDefault="00776A46" w:rsidP="00650EAF">
            <w:pPr>
              <w:jc w:val="right"/>
              <w:rPr>
                <w:rFonts w:ascii="Times New Roman" w:hAnsi="Times New Roman" w:cs="Times New Roman"/>
                <w:sz w:val="20"/>
                <w:szCs w:val="20"/>
                <w:u w:val="double"/>
              </w:rPr>
            </w:pPr>
          </w:p>
        </w:tc>
        <w:tc>
          <w:tcPr>
            <w:tcW w:w="464" w:type="pct"/>
          </w:tcPr>
          <w:p w:rsidR="00776A46" w:rsidRPr="00F77095" w:rsidRDefault="00776A46" w:rsidP="00650EAF">
            <w:pPr>
              <w:jc w:val="right"/>
              <w:rPr>
                <w:rFonts w:ascii="Times New Roman" w:hAnsi="Times New Roman" w:cs="Times New Roman"/>
                <w:sz w:val="20"/>
                <w:szCs w:val="20"/>
                <w:u w:val="double"/>
              </w:rPr>
            </w:pPr>
            <w:r w:rsidRPr="00F77095">
              <w:rPr>
                <w:rFonts w:ascii="Times New Roman" w:hAnsi="Times New Roman" w:cs="Times New Roman"/>
                <w:sz w:val="20"/>
                <w:szCs w:val="20"/>
                <w:u w:val="double"/>
              </w:rPr>
              <w:t>$38,447</w:t>
            </w:r>
          </w:p>
        </w:tc>
        <w:tc>
          <w:tcPr>
            <w:tcW w:w="118" w:type="pct"/>
          </w:tcPr>
          <w:p w:rsidR="00776A46" w:rsidRPr="00F77095" w:rsidRDefault="00776A46" w:rsidP="00650EAF">
            <w:pPr>
              <w:jc w:val="both"/>
              <w:rPr>
                <w:rFonts w:ascii="Times New Roman" w:hAnsi="Times New Roman" w:cs="Times New Roman"/>
                <w:sz w:val="20"/>
                <w:szCs w:val="20"/>
                <w:highlight w:val="yellow"/>
              </w:rPr>
            </w:pPr>
          </w:p>
        </w:tc>
      </w:tr>
      <w:tr w:rsidR="00776A46" w:rsidRPr="00F77095" w:rsidTr="00650EAF">
        <w:tc>
          <w:tcPr>
            <w:tcW w:w="196" w:type="pct"/>
          </w:tcPr>
          <w:p w:rsidR="00776A46" w:rsidRPr="00F77095" w:rsidRDefault="00776A46" w:rsidP="00650EAF">
            <w:pPr>
              <w:jc w:val="both"/>
              <w:rPr>
                <w:rFonts w:ascii="Times New Roman" w:hAnsi="Times New Roman" w:cs="Times New Roman"/>
                <w:sz w:val="20"/>
                <w:szCs w:val="20"/>
              </w:rPr>
            </w:pPr>
          </w:p>
        </w:tc>
        <w:tc>
          <w:tcPr>
            <w:tcW w:w="1727" w:type="pct"/>
          </w:tcPr>
          <w:p w:rsidR="00776A46" w:rsidRPr="00F77095" w:rsidRDefault="00776A46" w:rsidP="00650EAF">
            <w:pPr>
              <w:jc w:val="both"/>
              <w:rPr>
                <w:rFonts w:ascii="Times New Roman" w:hAnsi="Times New Roman" w:cs="Times New Roman"/>
                <w:sz w:val="20"/>
                <w:szCs w:val="20"/>
              </w:rPr>
            </w:pPr>
          </w:p>
        </w:tc>
        <w:tc>
          <w:tcPr>
            <w:tcW w:w="636" w:type="pct"/>
          </w:tcPr>
          <w:p w:rsidR="00776A46" w:rsidRPr="00F77095" w:rsidRDefault="00776A46" w:rsidP="00650EAF">
            <w:pPr>
              <w:jc w:val="right"/>
              <w:rPr>
                <w:rFonts w:ascii="Times New Roman" w:hAnsi="Times New Roman" w:cs="Times New Roman"/>
                <w:sz w:val="20"/>
                <w:szCs w:val="20"/>
              </w:rPr>
            </w:pPr>
          </w:p>
        </w:tc>
        <w:tc>
          <w:tcPr>
            <w:tcW w:w="532" w:type="pct"/>
          </w:tcPr>
          <w:p w:rsidR="00776A46" w:rsidRPr="00F77095" w:rsidRDefault="00776A46" w:rsidP="00650EAF">
            <w:pPr>
              <w:jc w:val="right"/>
              <w:rPr>
                <w:rFonts w:ascii="Times New Roman" w:hAnsi="Times New Roman" w:cs="Times New Roman"/>
                <w:sz w:val="20"/>
                <w:szCs w:val="20"/>
              </w:rPr>
            </w:pPr>
          </w:p>
        </w:tc>
        <w:tc>
          <w:tcPr>
            <w:tcW w:w="659" w:type="pct"/>
          </w:tcPr>
          <w:p w:rsidR="00776A46" w:rsidRPr="00F77095" w:rsidRDefault="00776A46" w:rsidP="00650EAF">
            <w:pPr>
              <w:jc w:val="right"/>
              <w:rPr>
                <w:rFonts w:ascii="Times New Roman" w:hAnsi="Times New Roman" w:cs="Times New Roman"/>
                <w:sz w:val="20"/>
                <w:szCs w:val="20"/>
              </w:rPr>
            </w:pPr>
          </w:p>
        </w:tc>
        <w:tc>
          <w:tcPr>
            <w:tcW w:w="668" w:type="pct"/>
          </w:tcPr>
          <w:p w:rsidR="00776A46" w:rsidRPr="00F77095" w:rsidRDefault="00776A46" w:rsidP="00650EAF">
            <w:pPr>
              <w:jc w:val="right"/>
              <w:rPr>
                <w:rFonts w:ascii="Times New Roman" w:hAnsi="Times New Roman" w:cs="Times New Roman"/>
                <w:sz w:val="20"/>
                <w:szCs w:val="20"/>
              </w:rPr>
            </w:pPr>
          </w:p>
        </w:tc>
        <w:tc>
          <w:tcPr>
            <w:tcW w:w="464" w:type="pct"/>
          </w:tcPr>
          <w:p w:rsidR="00776A46" w:rsidRPr="00F77095" w:rsidRDefault="00776A46" w:rsidP="00650EAF">
            <w:pPr>
              <w:jc w:val="right"/>
              <w:rPr>
                <w:rFonts w:ascii="Times New Roman" w:hAnsi="Times New Roman" w:cs="Times New Roman"/>
                <w:sz w:val="20"/>
                <w:szCs w:val="20"/>
              </w:rPr>
            </w:pPr>
          </w:p>
        </w:tc>
        <w:tc>
          <w:tcPr>
            <w:tcW w:w="118" w:type="pct"/>
          </w:tcPr>
          <w:p w:rsidR="00776A46" w:rsidRPr="00F77095" w:rsidRDefault="00776A46" w:rsidP="00650EAF">
            <w:pPr>
              <w:jc w:val="both"/>
              <w:rPr>
                <w:rFonts w:ascii="Times New Roman" w:hAnsi="Times New Roman" w:cs="Times New Roman"/>
                <w:sz w:val="20"/>
                <w:szCs w:val="20"/>
              </w:rPr>
            </w:pPr>
          </w:p>
        </w:tc>
      </w:tr>
      <w:tr w:rsidR="00776A46" w:rsidRPr="00F77095" w:rsidTr="00650EAF">
        <w:tc>
          <w:tcPr>
            <w:tcW w:w="196" w:type="pct"/>
          </w:tcPr>
          <w:p w:rsidR="00776A46" w:rsidRPr="00F77095" w:rsidRDefault="00776A46" w:rsidP="00650EAF">
            <w:pPr>
              <w:jc w:val="both"/>
              <w:rPr>
                <w:rFonts w:ascii="Times New Roman" w:hAnsi="Times New Roman" w:cs="Times New Roman"/>
                <w:sz w:val="20"/>
                <w:szCs w:val="20"/>
              </w:rPr>
            </w:pPr>
            <w:r w:rsidRPr="00F77095">
              <w:rPr>
                <w:rFonts w:ascii="Times New Roman" w:hAnsi="Times New Roman" w:cs="Times New Roman"/>
                <w:sz w:val="20"/>
                <w:szCs w:val="20"/>
              </w:rPr>
              <w:t>9.</w:t>
            </w:r>
          </w:p>
        </w:tc>
        <w:tc>
          <w:tcPr>
            <w:tcW w:w="1727" w:type="pct"/>
            <w:shd w:val="clear" w:color="auto" w:fill="auto"/>
          </w:tcPr>
          <w:p w:rsidR="00776A46" w:rsidRPr="00F77095" w:rsidRDefault="00776A46" w:rsidP="00650EAF">
            <w:pPr>
              <w:jc w:val="both"/>
              <w:rPr>
                <w:rFonts w:ascii="Times New Roman" w:hAnsi="Times New Roman" w:cs="Times New Roman"/>
                <w:b/>
                <w:sz w:val="20"/>
                <w:szCs w:val="20"/>
              </w:rPr>
            </w:pPr>
            <w:r w:rsidRPr="00F77095">
              <w:rPr>
                <w:rFonts w:ascii="Times New Roman" w:hAnsi="Times New Roman" w:cs="Times New Roman"/>
                <w:b/>
                <w:sz w:val="20"/>
                <w:szCs w:val="20"/>
              </w:rPr>
              <w:t>RATE OF RETURN</w:t>
            </w:r>
          </w:p>
        </w:tc>
        <w:tc>
          <w:tcPr>
            <w:tcW w:w="636" w:type="pct"/>
          </w:tcPr>
          <w:p w:rsidR="00776A46" w:rsidRPr="00F77095" w:rsidRDefault="00776A46" w:rsidP="00650EAF">
            <w:pPr>
              <w:jc w:val="right"/>
              <w:rPr>
                <w:rFonts w:ascii="Times New Roman" w:hAnsi="Times New Roman" w:cs="Times New Roman"/>
                <w:sz w:val="20"/>
                <w:szCs w:val="20"/>
              </w:rPr>
            </w:pPr>
          </w:p>
        </w:tc>
        <w:tc>
          <w:tcPr>
            <w:tcW w:w="532" w:type="pct"/>
          </w:tcPr>
          <w:p w:rsidR="00776A46" w:rsidRPr="00F77095" w:rsidRDefault="00776A46" w:rsidP="00650EAF">
            <w:pPr>
              <w:jc w:val="right"/>
              <w:rPr>
                <w:rFonts w:ascii="Times New Roman" w:hAnsi="Times New Roman" w:cs="Times New Roman"/>
                <w:sz w:val="20"/>
                <w:szCs w:val="20"/>
              </w:rPr>
            </w:pPr>
          </w:p>
        </w:tc>
        <w:tc>
          <w:tcPr>
            <w:tcW w:w="659" w:type="pct"/>
          </w:tcPr>
          <w:p w:rsidR="00776A46" w:rsidRPr="00F77095" w:rsidRDefault="00776A46" w:rsidP="00650EAF">
            <w:pPr>
              <w:jc w:val="right"/>
              <w:rPr>
                <w:rFonts w:ascii="Times New Roman" w:hAnsi="Times New Roman" w:cs="Times New Roman"/>
                <w:sz w:val="20"/>
                <w:szCs w:val="20"/>
              </w:rPr>
            </w:pPr>
          </w:p>
        </w:tc>
        <w:tc>
          <w:tcPr>
            <w:tcW w:w="668" w:type="pct"/>
          </w:tcPr>
          <w:p w:rsidR="00776A46" w:rsidRPr="00F77095" w:rsidRDefault="00776A46" w:rsidP="00650EAF">
            <w:pPr>
              <w:jc w:val="right"/>
              <w:rPr>
                <w:rFonts w:ascii="Times New Roman" w:hAnsi="Times New Roman" w:cs="Times New Roman"/>
                <w:sz w:val="20"/>
                <w:szCs w:val="20"/>
              </w:rPr>
            </w:pPr>
          </w:p>
        </w:tc>
        <w:tc>
          <w:tcPr>
            <w:tcW w:w="464" w:type="pct"/>
          </w:tcPr>
          <w:p w:rsidR="00776A46" w:rsidRPr="00F77095" w:rsidRDefault="00776A46" w:rsidP="00650EAF">
            <w:pPr>
              <w:jc w:val="right"/>
              <w:rPr>
                <w:rFonts w:ascii="Times New Roman" w:hAnsi="Times New Roman" w:cs="Times New Roman"/>
                <w:sz w:val="20"/>
                <w:szCs w:val="20"/>
              </w:rPr>
            </w:pPr>
            <w:r w:rsidRPr="00F77095">
              <w:rPr>
                <w:rFonts w:ascii="Times New Roman" w:hAnsi="Times New Roman" w:cs="Times New Roman"/>
                <w:sz w:val="20"/>
                <w:szCs w:val="20"/>
              </w:rPr>
              <w:t>7.85%</w:t>
            </w:r>
          </w:p>
        </w:tc>
        <w:tc>
          <w:tcPr>
            <w:tcW w:w="118" w:type="pct"/>
          </w:tcPr>
          <w:p w:rsidR="00776A46" w:rsidRPr="00F77095" w:rsidRDefault="00776A46" w:rsidP="00650EAF">
            <w:pPr>
              <w:jc w:val="both"/>
              <w:rPr>
                <w:rFonts w:ascii="Times New Roman" w:hAnsi="Times New Roman" w:cs="Times New Roman"/>
                <w:sz w:val="20"/>
                <w:szCs w:val="20"/>
              </w:rPr>
            </w:pPr>
          </w:p>
        </w:tc>
      </w:tr>
      <w:tr w:rsidR="00776A46" w:rsidRPr="00F77095" w:rsidTr="00650EAF">
        <w:tc>
          <w:tcPr>
            <w:tcW w:w="196" w:type="pct"/>
          </w:tcPr>
          <w:p w:rsidR="00776A46" w:rsidRPr="00F77095" w:rsidRDefault="00776A46" w:rsidP="00650EAF">
            <w:pPr>
              <w:jc w:val="both"/>
              <w:rPr>
                <w:rFonts w:ascii="Times New Roman" w:hAnsi="Times New Roman" w:cs="Times New Roman"/>
                <w:sz w:val="20"/>
                <w:szCs w:val="20"/>
              </w:rPr>
            </w:pPr>
          </w:p>
        </w:tc>
        <w:tc>
          <w:tcPr>
            <w:tcW w:w="1727" w:type="pct"/>
          </w:tcPr>
          <w:p w:rsidR="00776A46" w:rsidRPr="00F77095" w:rsidRDefault="00776A46" w:rsidP="00650EAF">
            <w:pPr>
              <w:jc w:val="both"/>
              <w:rPr>
                <w:rFonts w:ascii="Times New Roman" w:hAnsi="Times New Roman" w:cs="Times New Roman"/>
                <w:b/>
                <w:sz w:val="20"/>
                <w:szCs w:val="20"/>
              </w:rPr>
            </w:pPr>
          </w:p>
        </w:tc>
        <w:tc>
          <w:tcPr>
            <w:tcW w:w="636" w:type="pct"/>
          </w:tcPr>
          <w:p w:rsidR="00776A46" w:rsidRPr="00F77095" w:rsidRDefault="00776A46" w:rsidP="00650EAF">
            <w:pPr>
              <w:jc w:val="both"/>
              <w:rPr>
                <w:rFonts w:ascii="Times New Roman" w:hAnsi="Times New Roman" w:cs="Times New Roman"/>
                <w:sz w:val="20"/>
                <w:szCs w:val="20"/>
              </w:rPr>
            </w:pPr>
          </w:p>
        </w:tc>
        <w:tc>
          <w:tcPr>
            <w:tcW w:w="532" w:type="pct"/>
          </w:tcPr>
          <w:p w:rsidR="00776A46" w:rsidRPr="00F77095" w:rsidRDefault="00776A46" w:rsidP="00650EAF">
            <w:pPr>
              <w:jc w:val="both"/>
              <w:rPr>
                <w:rFonts w:ascii="Times New Roman" w:hAnsi="Times New Roman" w:cs="Times New Roman"/>
                <w:sz w:val="20"/>
                <w:szCs w:val="20"/>
              </w:rPr>
            </w:pPr>
            <w:r w:rsidRPr="00F77095">
              <w:fldChar w:fldCharType="begin"/>
            </w:r>
            <w:r w:rsidRPr="00F77095">
              <w:instrText xml:space="preserve"> TC "</w:instrText>
            </w:r>
            <w:bookmarkStart w:id="59" w:name="_Toc433269944"/>
            <w:bookmarkStart w:id="60" w:name="_Toc448761994"/>
            <w:bookmarkStart w:id="61" w:name="_Toc21427547"/>
            <w:bookmarkStart w:id="62" w:name="_Toc82175411"/>
            <w:bookmarkStart w:id="63" w:name="_Toc82430615"/>
            <w:bookmarkStart w:id="64" w:name="_Toc90302753"/>
            <w:bookmarkStart w:id="65" w:name="_Toc90478774"/>
            <w:bookmarkStart w:id="66" w:name="_Toc90549982"/>
            <w:bookmarkStart w:id="67" w:name="_Toc91659007"/>
            <w:r w:rsidRPr="00F77095">
              <w:tab/>
              <w:instrText>Schedule No. 3-A Water NOI</w:instrText>
            </w:r>
            <w:bookmarkEnd w:id="59"/>
            <w:bookmarkEnd w:id="60"/>
            <w:bookmarkEnd w:id="61"/>
            <w:bookmarkEnd w:id="62"/>
            <w:bookmarkEnd w:id="63"/>
            <w:bookmarkEnd w:id="64"/>
            <w:bookmarkEnd w:id="65"/>
            <w:bookmarkEnd w:id="66"/>
            <w:bookmarkEnd w:id="67"/>
            <w:r w:rsidRPr="00F77095">
              <w:instrText xml:space="preserve">" \l 1 </w:instrText>
            </w:r>
            <w:r w:rsidRPr="00F77095">
              <w:fldChar w:fldCharType="end"/>
            </w:r>
          </w:p>
        </w:tc>
        <w:tc>
          <w:tcPr>
            <w:tcW w:w="659" w:type="pct"/>
          </w:tcPr>
          <w:p w:rsidR="00776A46" w:rsidRPr="00F77095" w:rsidRDefault="00776A46" w:rsidP="00650EAF">
            <w:pPr>
              <w:jc w:val="both"/>
              <w:rPr>
                <w:rFonts w:ascii="Times New Roman" w:hAnsi="Times New Roman" w:cs="Times New Roman"/>
                <w:sz w:val="20"/>
                <w:szCs w:val="20"/>
              </w:rPr>
            </w:pPr>
          </w:p>
        </w:tc>
        <w:tc>
          <w:tcPr>
            <w:tcW w:w="668" w:type="pct"/>
          </w:tcPr>
          <w:p w:rsidR="00776A46" w:rsidRPr="00F77095" w:rsidRDefault="00776A46" w:rsidP="00650EAF">
            <w:pPr>
              <w:jc w:val="both"/>
              <w:rPr>
                <w:rFonts w:ascii="Times New Roman" w:hAnsi="Times New Roman" w:cs="Times New Roman"/>
                <w:sz w:val="20"/>
                <w:szCs w:val="20"/>
              </w:rPr>
            </w:pPr>
          </w:p>
        </w:tc>
        <w:tc>
          <w:tcPr>
            <w:tcW w:w="464" w:type="pct"/>
          </w:tcPr>
          <w:p w:rsidR="00776A46" w:rsidRPr="00F77095" w:rsidRDefault="00776A46" w:rsidP="00650EAF">
            <w:pPr>
              <w:jc w:val="both"/>
              <w:rPr>
                <w:rFonts w:ascii="Times New Roman" w:hAnsi="Times New Roman" w:cs="Times New Roman"/>
                <w:sz w:val="20"/>
                <w:szCs w:val="20"/>
              </w:rPr>
            </w:pPr>
          </w:p>
        </w:tc>
        <w:tc>
          <w:tcPr>
            <w:tcW w:w="118" w:type="pct"/>
          </w:tcPr>
          <w:p w:rsidR="00776A46" w:rsidRPr="00F77095" w:rsidRDefault="00776A46" w:rsidP="00650EAF">
            <w:pPr>
              <w:jc w:val="both"/>
              <w:rPr>
                <w:rFonts w:ascii="Times New Roman" w:hAnsi="Times New Roman" w:cs="Times New Roman"/>
                <w:sz w:val="20"/>
                <w:szCs w:val="20"/>
              </w:rPr>
            </w:pPr>
          </w:p>
        </w:tc>
      </w:tr>
    </w:tbl>
    <w:p w:rsidR="00776A46" w:rsidRDefault="00776A46" w:rsidP="009B5CD6">
      <w:pPr>
        <w:tabs>
          <w:tab w:val="left" w:pos="8625"/>
        </w:tabs>
        <w:jc w:val="center"/>
        <w:sectPr w:rsidR="00776A46" w:rsidSect="00776A46">
          <w:headerReference w:type="default" r:id="rId17"/>
          <w:pgSz w:w="12240" w:h="15840" w:code="1"/>
          <w:pgMar w:top="1584" w:right="1440" w:bottom="1440" w:left="1440" w:header="720" w:footer="720" w:gutter="0"/>
          <w:cols w:space="720"/>
          <w:formProt w:val="0"/>
          <w:docGrid w:linePitch="360"/>
        </w:sectPr>
      </w:pPr>
    </w:p>
    <w:tbl>
      <w:tblPr>
        <w:tblStyle w:val="TableGrid13"/>
        <w:tblW w:w="9453" w:type="dxa"/>
        <w:jc w:val="center"/>
        <w:tblBorders>
          <w:insideH w:val="none" w:sz="0" w:space="0" w:color="auto"/>
          <w:insideV w:val="none" w:sz="0" w:space="0" w:color="auto"/>
        </w:tblBorders>
        <w:tblLayout w:type="fixed"/>
        <w:tblLook w:val="04A0" w:firstRow="1" w:lastRow="0" w:firstColumn="1" w:lastColumn="0" w:noHBand="0" w:noVBand="1"/>
      </w:tblPr>
      <w:tblGrid>
        <w:gridCol w:w="466"/>
        <w:gridCol w:w="5971"/>
        <w:gridCol w:w="768"/>
        <w:gridCol w:w="1980"/>
        <w:gridCol w:w="268"/>
      </w:tblGrid>
      <w:tr w:rsidR="00776A46" w:rsidRPr="00F77095" w:rsidTr="00650EAF">
        <w:trPr>
          <w:jc w:val="center"/>
        </w:trPr>
        <w:tc>
          <w:tcPr>
            <w:tcW w:w="466" w:type="dxa"/>
          </w:tcPr>
          <w:p w:rsidR="00776A46" w:rsidRPr="00F77095" w:rsidRDefault="00776A46" w:rsidP="00650EAF">
            <w:pPr>
              <w:jc w:val="both"/>
              <w:rPr>
                <w:rFonts w:ascii="Times New Roman" w:hAnsi="Times New Roman" w:cs="Times New Roman"/>
                <w:b/>
                <w:sz w:val="20"/>
                <w:szCs w:val="20"/>
              </w:rPr>
            </w:pPr>
          </w:p>
        </w:tc>
        <w:tc>
          <w:tcPr>
            <w:tcW w:w="5971" w:type="dxa"/>
          </w:tcPr>
          <w:p w:rsidR="00776A46" w:rsidRPr="00F77095" w:rsidRDefault="00776A46" w:rsidP="00650EAF">
            <w:pPr>
              <w:jc w:val="both"/>
              <w:rPr>
                <w:rFonts w:ascii="Times New Roman" w:hAnsi="Times New Roman" w:cs="Times New Roman"/>
                <w:b/>
                <w:sz w:val="20"/>
                <w:szCs w:val="20"/>
              </w:rPr>
            </w:pPr>
            <w:r w:rsidRPr="00F77095">
              <w:rPr>
                <w:rFonts w:ascii="Times New Roman" w:hAnsi="Times New Roman" w:cs="Times New Roman"/>
                <w:b/>
                <w:sz w:val="20"/>
                <w:szCs w:val="20"/>
              </w:rPr>
              <w:t xml:space="preserve">BRENDENWOOD WATERWORKS, INC. </w:t>
            </w:r>
            <w:r w:rsidRPr="00F77095">
              <w:fldChar w:fldCharType="begin"/>
            </w:r>
            <w:r w:rsidRPr="00F77095">
              <w:instrText xml:space="preserve"> TC "</w:instrText>
            </w:r>
            <w:bookmarkStart w:id="68" w:name="_Toc21427549"/>
            <w:bookmarkStart w:id="69" w:name="_Toc82175412"/>
            <w:bookmarkStart w:id="70" w:name="_Toc82430616"/>
            <w:bookmarkStart w:id="71" w:name="_Toc90302754"/>
            <w:bookmarkStart w:id="72" w:name="_Toc90478775"/>
            <w:bookmarkStart w:id="73" w:name="_Toc90549983"/>
            <w:bookmarkStart w:id="74" w:name="_Toc91659008"/>
            <w:r w:rsidRPr="00F77095">
              <w:tab/>
              <w:instrText>Schedule No. 3-B Adjustments to NOI</w:instrText>
            </w:r>
            <w:bookmarkEnd w:id="68"/>
            <w:bookmarkEnd w:id="69"/>
            <w:bookmarkEnd w:id="70"/>
            <w:bookmarkEnd w:id="71"/>
            <w:bookmarkEnd w:id="72"/>
            <w:bookmarkEnd w:id="73"/>
            <w:bookmarkEnd w:id="74"/>
            <w:r w:rsidRPr="00F77095">
              <w:instrText xml:space="preserve">" \l 1 </w:instrText>
            </w:r>
            <w:r w:rsidRPr="00F77095">
              <w:fldChar w:fldCharType="end"/>
            </w:r>
          </w:p>
        </w:tc>
        <w:tc>
          <w:tcPr>
            <w:tcW w:w="2748" w:type="dxa"/>
            <w:gridSpan w:val="2"/>
          </w:tcPr>
          <w:p w:rsidR="00776A46" w:rsidRPr="00F77095" w:rsidRDefault="00776A46" w:rsidP="00650EAF">
            <w:pPr>
              <w:jc w:val="right"/>
              <w:rPr>
                <w:rFonts w:ascii="Times New Roman" w:hAnsi="Times New Roman" w:cs="Times New Roman"/>
                <w:b/>
                <w:sz w:val="20"/>
                <w:szCs w:val="20"/>
              </w:rPr>
            </w:pPr>
            <w:r w:rsidRPr="00F77095">
              <w:rPr>
                <w:rFonts w:ascii="Times New Roman" w:hAnsi="Times New Roman" w:cs="Times New Roman"/>
                <w:b/>
                <w:sz w:val="20"/>
                <w:szCs w:val="20"/>
              </w:rPr>
              <w:t>SCHEDULE NO. 3-B</w:t>
            </w:r>
          </w:p>
        </w:tc>
        <w:tc>
          <w:tcPr>
            <w:tcW w:w="268" w:type="dxa"/>
          </w:tcPr>
          <w:p w:rsidR="00776A46" w:rsidRPr="00F77095" w:rsidRDefault="00776A46" w:rsidP="00650EAF">
            <w:pPr>
              <w:jc w:val="both"/>
              <w:rPr>
                <w:rFonts w:ascii="Times New Roman" w:hAnsi="Times New Roman" w:cs="Times New Roman"/>
                <w:b/>
                <w:sz w:val="20"/>
                <w:szCs w:val="20"/>
              </w:rPr>
            </w:pPr>
          </w:p>
        </w:tc>
      </w:tr>
      <w:tr w:rsidR="00776A46" w:rsidRPr="00F77095" w:rsidTr="00650EAF">
        <w:trPr>
          <w:jc w:val="center"/>
        </w:trPr>
        <w:tc>
          <w:tcPr>
            <w:tcW w:w="466" w:type="dxa"/>
            <w:tcBorders>
              <w:bottom w:val="nil"/>
            </w:tcBorders>
          </w:tcPr>
          <w:p w:rsidR="00776A46" w:rsidRPr="00F77095" w:rsidRDefault="00776A46" w:rsidP="00650EAF">
            <w:pPr>
              <w:jc w:val="both"/>
              <w:rPr>
                <w:rFonts w:ascii="Times New Roman" w:hAnsi="Times New Roman" w:cs="Times New Roman"/>
                <w:b/>
                <w:sz w:val="20"/>
                <w:szCs w:val="20"/>
              </w:rPr>
            </w:pPr>
          </w:p>
        </w:tc>
        <w:tc>
          <w:tcPr>
            <w:tcW w:w="5971" w:type="dxa"/>
            <w:tcBorders>
              <w:bottom w:val="nil"/>
            </w:tcBorders>
          </w:tcPr>
          <w:p w:rsidR="00776A46" w:rsidRPr="00F77095" w:rsidRDefault="00776A46" w:rsidP="00650EAF">
            <w:pPr>
              <w:jc w:val="both"/>
              <w:rPr>
                <w:rFonts w:ascii="Times New Roman" w:hAnsi="Times New Roman" w:cs="Times New Roman"/>
                <w:b/>
                <w:sz w:val="20"/>
                <w:szCs w:val="20"/>
              </w:rPr>
            </w:pPr>
            <w:r w:rsidRPr="00F77095">
              <w:rPr>
                <w:rFonts w:ascii="Times New Roman" w:hAnsi="Times New Roman" w:cs="Times New Roman"/>
                <w:b/>
                <w:sz w:val="20"/>
                <w:szCs w:val="20"/>
              </w:rPr>
              <w:t>TEST YEAR ENDED 12/31/2020</w:t>
            </w:r>
          </w:p>
        </w:tc>
        <w:tc>
          <w:tcPr>
            <w:tcW w:w="2748" w:type="dxa"/>
            <w:gridSpan w:val="2"/>
            <w:tcBorders>
              <w:bottom w:val="nil"/>
            </w:tcBorders>
          </w:tcPr>
          <w:p w:rsidR="00776A46" w:rsidRPr="00F77095" w:rsidRDefault="00776A46" w:rsidP="00650EAF">
            <w:pPr>
              <w:jc w:val="right"/>
              <w:rPr>
                <w:rFonts w:ascii="Times New Roman" w:hAnsi="Times New Roman" w:cs="Times New Roman"/>
                <w:b/>
                <w:sz w:val="20"/>
                <w:szCs w:val="20"/>
              </w:rPr>
            </w:pPr>
            <w:r w:rsidRPr="00F77095">
              <w:rPr>
                <w:rFonts w:ascii="Times New Roman" w:hAnsi="Times New Roman" w:cs="Times New Roman"/>
                <w:b/>
                <w:sz w:val="20"/>
                <w:szCs w:val="20"/>
              </w:rPr>
              <w:t>DOCKET NO. 20210055-WU</w:t>
            </w:r>
          </w:p>
        </w:tc>
        <w:tc>
          <w:tcPr>
            <w:tcW w:w="268" w:type="dxa"/>
            <w:tcBorders>
              <w:bottom w:val="nil"/>
            </w:tcBorders>
          </w:tcPr>
          <w:p w:rsidR="00776A46" w:rsidRPr="00F77095" w:rsidRDefault="00776A46" w:rsidP="00650EAF">
            <w:pPr>
              <w:jc w:val="both"/>
              <w:rPr>
                <w:rFonts w:ascii="Times New Roman" w:hAnsi="Times New Roman" w:cs="Times New Roman"/>
                <w:b/>
                <w:sz w:val="20"/>
                <w:szCs w:val="20"/>
              </w:rPr>
            </w:pPr>
          </w:p>
        </w:tc>
      </w:tr>
      <w:tr w:rsidR="00776A46" w:rsidRPr="00F77095" w:rsidTr="00650EAF">
        <w:trPr>
          <w:jc w:val="center"/>
        </w:trPr>
        <w:tc>
          <w:tcPr>
            <w:tcW w:w="466" w:type="dxa"/>
            <w:tcBorders>
              <w:top w:val="nil"/>
              <w:bottom w:val="single" w:sz="4" w:space="0" w:color="auto"/>
            </w:tcBorders>
          </w:tcPr>
          <w:p w:rsidR="00776A46" w:rsidRPr="00F77095" w:rsidRDefault="00776A46" w:rsidP="00650EAF">
            <w:pPr>
              <w:jc w:val="both"/>
              <w:rPr>
                <w:rFonts w:ascii="Times New Roman" w:hAnsi="Times New Roman" w:cs="Times New Roman"/>
                <w:b/>
                <w:sz w:val="20"/>
                <w:szCs w:val="20"/>
              </w:rPr>
            </w:pPr>
          </w:p>
        </w:tc>
        <w:tc>
          <w:tcPr>
            <w:tcW w:w="5971" w:type="dxa"/>
            <w:tcBorders>
              <w:top w:val="nil"/>
              <w:bottom w:val="single" w:sz="4" w:space="0" w:color="auto"/>
            </w:tcBorders>
          </w:tcPr>
          <w:p w:rsidR="00776A46" w:rsidRPr="00F77095" w:rsidRDefault="00776A46" w:rsidP="00650EAF">
            <w:pPr>
              <w:jc w:val="both"/>
              <w:rPr>
                <w:rFonts w:ascii="Times New Roman" w:hAnsi="Times New Roman" w:cs="Times New Roman"/>
                <w:b/>
                <w:sz w:val="20"/>
                <w:szCs w:val="20"/>
              </w:rPr>
            </w:pPr>
            <w:r w:rsidRPr="00F77095">
              <w:rPr>
                <w:rFonts w:ascii="Times New Roman" w:hAnsi="Times New Roman" w:cs="Times New Roman"/>
                <w:b/>
                <w:sz w:val="20"/>
                <w:szCs w:val="20"/>
              </w:rPr>
              <w:t>ADJUSTMENTS TO OPERATING INCOME</w:t>
            </w:r>
          </w:p>
        </w:tc>
        <w:tc>
          <w:tcPr>
            <w:tcW w:w="768" w:type="dxa"/>
            <w:tcBorders>
              <w:top w:val="nil"/>
              <w:bottom w:val="single" w:sz="4" w:space="0" w:color="auto"/>
            </w:tcBorders>
          </w:tcPr>
          <w:p w:rsidR="00776A46" w:rsidRPr="00F77095" w:rsidRDefault="00776A46" w:rsidP="00650EAF">
            <w:pPr>
              <w:jc w:val="both"/>
              <w:rPr>
                <w:rFonts w:ascii="Times New Roman" w:hAnsi="Times New Roman" w:cs="Times New Roman"/>
                <w:b/>
                <w:sz w:val="20"/>
                <w:szCs w:val="20"/>
              </w:rPr>
            </w:pPr>
          </w:p>
        </w:tc>
        <w:tc>
          <w:tcPr>
            <w:tcW w:w="1980" w:type="dxa"/>
            <w:tcBorders>
              <w:top w:val="nil"/>
              <w:bottom w:val="single" w:sz="4" w:space="0" w:color="auto"/>
            </w:tcBorders>
          </w:tcPr>
          <w:p w:rsidR="00776A46" w:rsidRPr="00F77095" w:rsidRDefault="00776A46" w:rsidP="00650EAF">
            <w:pPr>
              <w:jc w:val="both"/>
              <w:rPr>
                <w:rFonts w:ascii="Times New Roman" w:hAnsi="Times New Roman" w:cs="Times New Roman"/>
                <w:b/>
                <w:sz w:val="20"/>
                <w:szCs w:val="20"/>
              </w:rPr>
            </w:pPr>
          </w:p>
        </w:tc>
        <w:tc>
          <w:tcPr>
            <w:tcW w:w="268" w:type="dxa"/>
            <w:tcBorders>
              <w:top w:val="nil"/>
              <w:bottom w:val="single" w:sz="4" w:space="0" w:color="auto"/>
            </w:tcBorders>
          </w:tcPr>
          <w:p w:rsidR="00776A46" w:rsidRPr="00F77095" w:rsidRDefault="00776A46" w:rsidP="00650EAF">
            <w:pPr>
              <w:jc w:val="both"/>
              <w:rPr>
                <w:rFonts w:ascii="Times New Roman" w:hAnsi="Times New Roman" w:cs="Times New Roman"/>
                <w:b/>
                <w:sz w:val="20"/>
                <w:szCs w:val="20"/>
              </w:rPr>
            </w:pPr>
          </w:p>
        </w:tc>
      </w:tr>
      <w:tr w:rsidR="00776A46" w:rsidRPr="00F77095" w:rsidTr="00650EAF">
        <w:trPr>
          <w:jc w:val="center"/>
        </w:trPr>
        <w:tc>
          <w:tcPr>
            <w:tcW w:w="466" w:type="dxa"/>
            <w:tcBorders>
              <w:top w:val="single" w:sz="4" w:space="0" w:color="auto"/>
            </w:tcBorders>
          </w:tcPr>
          <w:p w:rsidR="00776A46" w:rsidRPr="00F77095" w:rsidRDefault="00776A46" w:rsidP="00650EAF">
            <w:pPr>
              <w:jc w:val="both"/>
              <w:rPr>
                <w:rFonts w:ascii="Times New Roman" w:hAnsi="Times New Roman" w:cs="Times New Roman"/>
                <w:b/>
                <w:sz w:val="20"/>
                <w:szCs w:val="20"/>
              </w:rPr>
            </w:pPr>
          </w:p>
        </w:tc>
        <w:tc>
          <w:tcPr>
            <w:tcW w:w="5971" w:type="dxa"/>
            <w:tcBorders>
              <w:top w:val="single" w:sz="4" w:space="0" w:color="auto"/>
            </w:tcBorders>
          </w:tcPr>
          <w:p w:rsidR="00776A46" w:rsidRPr="00F77095" w:rsidRDefault="00776A46" w:rsidP="00650EAF">
            <w:pPr>
              <w:jc w:val="both"/>
              <w:rPr>
                <w:rFonts w:ascii="Times New Roman" w:hAnsi="Times New Roman" w:cs="Times New Roman"/>
                <w:b/>
                <w:sz w:val="20"/>
                <w:szCs w:val="20"/>
              </w:rPr>
            </w:pPr>
          </w:p>
        </w:tc>
        <w:tc>
          <w:tcPr>
            <w:tcW w:w="768" w:type="dxa"/>
            <w:tcBorders>
              <w:top w:val="single" w:sz="4" w:space="0" w:color="auto"/>
            </w:tcBorders>
          </w:tcPr>
          <w:p w:rsidR="00776A46" w:rsidRPr="00F77095" w:rsidRDefault="00776A46" w:rsidP="00650EAF">
            <w:pPr>
              <w:jc w:val="both"/>
              <w:rPr>
                <w:rFonts w:ascii="Times New Roman" w:hAnsi="Times New Roman" w:cs="Times New Roman"/>
                <w:b/>
                <w:sz w:val="20"/>
                <w:szCs w:val="20"/>
              </w:rPr>
            </w:pPr>
          </w:p>
        </w:tc>
        <w:tc>
          <w:tcPr>
            <w:tcW w:w="1980" w:type="dxa"/>
            <w:tcBorders>
              <w:top w:val="single" w:sz="4" w:space="0" w:color="auto"/>
            </w:tcBorders>
          </w:tcPr>
          <w:p w:rsidR="00776A46" w:rsidRPr="00F77095" w:rsidRDefault="00776A46" w:rsidP="00650EAF">
            <w:pPr>
              <w:jc w:val="center"/>
              <w:rPr>
                <w:rFonts w:ascii="Times New Roman" w:hAnsi="Times New Roman" w:cs="Times New Roman"/>
                <w:b/>
                <w:sz w:val="20"/>
                <w:szCs w:val="20"/>
                <w:u w:val="single"/>
              </w:rPr>
            </w:pPr>
            <w:r w:rsidRPr="00F77095">
              <w:rPr>
                <w:rFonts w:ascii="Times New Roman" w:hAnsi="Times New Roman" w:cs="Times New Roman"/>
                <w:b/>
                <w:sz w:val="20"/>
                <w:szCs w:val="20"/>
                <w:u w:val="single"/>
              </w:rPr>
              <w:t>WATER</w:t>
            </w:r>
          </w:p>
        </w:tc>
        <w:tc>
          <w:tcPr>
            <w:tcW w:w="268" w:type="dxa"/>
            <w:tcBorders>
              <w:top w:val="single" w:sz="4" w:space="0" w:color="auto"/>
            </w:tcBorders>
          </w:tcPr>
          <w:p w:rsidR="00776A46" w:rsidRPr="00F77095" w:rsidRDefault="00776A46" w:rsidP="00650EAF">
            <w:pPr>
              <w:jc w:val="both"/>
              <w:rPr>
                <w:rFonts w:ascii="Times New Roman" w:hAnsi="Times New Roman" w:cs="Times New Roman"/>
                <w:b/>
                <w:sz w:val="20"/>
                <w:szCs w:val="20"/>
              </w:rPr>
            </w:pPr>
          </w:p>
        </w:tc>
      </w:tr>
      <w:tr w:rsidR="00776A46" w:rsidRPr="00F77095" w:rsidTr="00650EAF">
        <w:trPr>
          <w:jc w:val="center"/>
        </w:trPr>
        <w:tc>
          <w:tcPr>
            <w:tcW w:w="466" w:type="dxa"/>
          </w:tcPr>
          <w:p w:rsidR="00776A46" w:rsidRPr="00F77095" w:rsidRDefault="00776A46" w:rsidP="00650EAF">
            <w:pPr>
              <w:jc w:val="both"/>
              <w:rPr>
                <w:rFonts w:ascii="Times New Roman" w:hAnsi="Times New Roman" w:cs="Times New Roman"/>
                <w:b/>
                <w:sz w:val="20"/>
                <w:szCs w:val="20"/>
              </w:rPr>
            </w:pPr>
          </w:p>
        </w:tc>
        <w:tc>
          <w:tcPr>
            <w:tcW w:w="5971" w:type="dxa"/>
          </w:tcPr>
          <w:p w:rsidR="00776A46" w:rsidRPr="00F77095" w:rsidRDefault="00776A46" w:rsidP="00650EAF">
            <w:pPr>
              <w:jc w:val="both"/>
              <w:rPr>
                <w:rFonts w:ascii="Times New Roman" w:hAnsi="Times New Roman" w:cs="Times New Roman"/>
                <w:b/>
                <w:sz w:val="20"/>
                <w:szCs w:val="20"/>
              </w:rPr>
            </w:pPr>
            <w:r w:rsidRPr="00F77095">
              <w:rPr>
                <w:rFonts w:ascii="Times New Roman" w:hAnsi="Times New Roman" w:cs="Times New Roman"/>
                <w:b/>
                <w:sz w:val="20"/>
                <w:szCs w:val="20"/>
              </w:rPr>
              <w:t>OPERATING REVENUES</w:t>
            </w:r>
          </w:p>
        </w:tc>
        <w:tc>
          <w:tcPr>
            <w:tcW w:w="768" w:type="dxa"/>
          </w:tcPr>
          <w:p w:rsidR="00776A46" w:rsidRPr="00F77095" w:rsidRDefault="00776A46" w:rsidP="00650EAF">
            <w:pPr>
              <w:jc w:val="both"/>
              <w:rPr>
                <w:rFonts w:ascii="Times New Roman" w:hAnsi="Times New Roman" w:cs="Times New Roman"/>
                <w:b/>
                <w:sz w:val="20"/>
                <w:szCs w:val="20"/>
              </w:rPr>
            </w:pPr>
          </w:p>
        </w:tc>
        <w:tc>
          <w:tcPr>
            <w:tcW w:w="1980" w:type="dxa"/>
          </w:tcPr>
          <w:p w:rsidR="00776A46" w:rsidRPr="00F77095" w:rsidRDefault="00776A46" w:rsidP="00650EAF">
            <w:pPr>
              <w:jc w:val="both"/>
              <w:rPr>
                <w:rFonts w:ascii="Times New Roman" w:hAnsi="Times New Roman" w:cs="Times New Roman"/>
                <w:b/>
                <w:sz w:val="20"/>
                <w:szCs w:val="20"/>
              </w:rPr>
            </w:pPr>
          </w:p>
        </w:tc>
        <w:tc>
          <w:tcPr>
            <w:tcW w:w="268" w:type="dxa"/>
          </w:tcPr>
          <w:p w:rsidR="00776A46" w:rsidRPr="00F77095" w:rsidRDefault="00776A46" w:rsidP="00650EAF">
            <w:pPr>
              <w:jc w:val="both"/>
              <w:rPr>
                <w:rFonts w:ascii="Times New Roman" w:hAnsi="Times New Roman" w:cs="Times New Roman"/>
                <w:b/>
                <w:sz w:val="20"/>
                <w:szCs w:val="20"/>
              </w:rPr>
            </w:pPr>
          </w:p>
        </w:tc>
      </w:tr>
      <w:tr w:rsidR="00776A46" w:rsidRPr="00F77095" w:rsidTr="00650EAF">
        <w:trPr>
          <w:jc w:val="center"/>
        </w:trPr>
        <w:tc>
          <w:tcPr>
            <w:tcW w:w="466" w:type="dxa"/>
          </w:tcPr>
          <w:p w:rsidR="00776A46" w:rsidRPr="00F77095" w:rsidRDefault="00776A46" w:rsidP="00650EAF">
            <w:pPr>
              <w:jc w:val="both"/>
              <w:rPr>
                <w:rFonts w:ascii="Times New Roman" w:hAnsi="Times New Roman" w:cs="Times New Roman"/>
                <w:sz w:val="20"/>
                <w:szCs w:val="20"/>
              </w:rPr>
            </w:pPr>
          </w:p>
        </w:tc>
        <w:tc>
          <w:tcPr>
            <w:tcW w:w="5971" w:type="dxa"/>
          </w:tcPr>
          <w:p w:rsidR="00776A46" w:rsidRPr="00F77095" w:rsidRDefault="00776A46" w:rsidP="00650EAF">
            <w:pPr>
              <w:jc w:val="both"/>
              <w:rPr>
                <w:rFonts w:ascii="Times New Roman" w:hAnsi="Times New Roman" w:cs="Times New Roman"/>
                <w:sz w:val="20"/>
                <w:szCs w:val="20"/>
              </w:rPr>
            </w:pPr>
            <w:r w:rsidRPr="00F77095">
              <w:rPr>
                <w:rFonts w:ascii="Times New Roman" w:hAnsi="Times New Roman" w:cs="Times New Roman"/>
                <w:sz w:val="20"/>
                <w:szCs w:val="20"/>
              </w:rPr>
              <w:t>To reflect an auditing adjustment to Service Revenues.</w:t>
            </w:r>
          </w:p>
        </w:tc>
        <w:tc>
          <w:tcPr>
            <w:tcW w:w="768" w:type="dxa"/>
          </w:tcPr>
          <w:p w:rsidR="00776A46" w:rsidRPr="00F77095" w:rsidRDefault="00776A46" w:rsidP="00650EAF">
            <w:pPr>
              <w:jc w:val="both"/>
              <w:rPr>
                <w:rFonts w:ascii="Times New Roman" w:hAnsi="Times New Roman" w:cs="Times New Roman"/>
                <w:sz w:val="20"/>
                <w:szCs w:val="20"/>
              </w:rPr>
            </w:pPr>
          </w:p>
        </w:tc>
        <w:tc>
          <w:tcPr>
            <w:tcW w:w="1980" w:type="dxa"/>
          </w:tcPr>
          <w:p w:rsidR="00776A46" w:rsidRPr="00F77095" w:rsidRDefault="00776A46" w:rsidP="00650EAF">
            <w:pPr>
              <w:jc w:val="right"/>
              <w:rPr>
                <w:rFonts w:ascii="Times New Roman" w:hAnsi="Times New Roman" w:cs="Times New Roman"/>
                <w:sz w:val="20"/>
                <w:szCs w:val="20"/>
                <w:u w:val="double"/>
              </w:rPr>
            </w:pPr>
            <w:r w:rsidRPr="00F77095">
              <w:rPr>
                <w:rFonts w:ascii="Times New Roman" w:hAnsi="Times New Roman" w:cs="Times New Roman"/>
                <w:sz w:val="20"/>
                <w:szCs w:val="20"/>
                <w:u w:val="double"/>
              </w:rPr>
              <w:t>$1,429</w:t>
            </w:r>
          </w:p>
        </w:tc>
        <w:tc>
          <w:tcPr>
            <w:tcW w:w="268" w:type="dxa"/>
          </w:tcPr>
          <w:p w:rsidR="00776A46" w:rsidRPr="00F77095" w:rsidRDefault="00776A46" w:rsidP="00650EAF">
            <w:pPr>
              <w:jc w:val="both"/>
              <w:rPr>
                <w:rFonts w:ascii="Times New Roman" w:hAnsi="Times New Roman" w:cs="Times New Roman"/>
                <w:sz w:val="20"/>
                <w:szCs w:val="20"/>
              </w:rPr>
            </w:pPr>
          </w:p>
        </w:tc>
      </w:tr>
      <w:tr w:rsidR="00776A46" w:rsidRPr="00F77095" w:rsidTr="00650EAF">
        <w:trPr>
          <w:jc w:val="center"/>
        </w:trPr>
        <w:tc>
          <w:tcPr>
            <w:tcW w:w="466" w:type="dxa"/>
          </w:tcPr>
          <w:p w:rsidR="00776A46" w:rsidRPr="00F77095" w:rsidRDefault="00776A46" w:rsidP="00650EAF">
            <w:pPr>
              <w:jc w:val="both"/>
              <w:rPr>
                <w:rFonts w:ascii="Times New Roman" w:hAnsi="Times New Roman" w:cs="Times New Roman"/>
                <w:sz w:val="20"/>
                <w:szCs w:val="20"/>
              </w:rPr>
            </w:pPr>
          </w:p>
        </w:tc>
        <w:tc>
          <w:tcPr>
            <w:tcW w:w="5971" w:type="dxa"/>
          </w:tcPr>
          <w:p w:rsidR="00776A46" w:rsidRPr="00F77095" w:rsidRDefault="00776A46" w:rsidP="00650EAF">
            <w:pPr>
              <w:jc w:val="both"/>
              <w:rPr>
                <w:rFonts w:ascii="Times New Roman" w:hAnsi="Times New Roman" w:cs="Times New Roman"/>
                <w:sz w:val="20"/>
                <w:szCs w:val="20"/>
              </w:rPr>
            </w:pPr>
          </w:p>
        </w:tc>
        <w:tc>
          <w:tcPr>
            <w:tcW w:w="768" w:type="dxa"/>
          </w:tcPr>
          <w:p w:rsidR="00776A46" w:rsidRPr="00F77095" w:rsidRDefault="00776A46" w:rsidP="00650EAF">
            <w:pPr>
              <w:jc w:val="both"/>
              <w:rPr>
                <w:rFonts w:ascii="Times New Roman" w:hAnsi="Times New Roman" w:cs="Times New Roman"/>
                <w:sz w:val="20"/>
                <w:szCs w:val="20"/>
              </w:rPr>
            </w:pPr>
          </w:p>
        </w:tc>
        <w:tc>
          <w:tcPr>
            <w:tcW w:w="1980" w:type="dxa"/>
          </w:tcPr>
          <w:p w:rsidR="00776A46" w:rsidRPr="00F77095" w:rsidRDefault="00776A46" w:rsidP="00650EAF">
            <w:pPr>
              <w:jc w:val="right"/>
              <w:rPr>
                <w:rFonts w:ascii="Times New Roman" w:hAnsi="Times New Roman" w:cs="Times New Roman"/>
                <w:sz w:val="20"/>
                <w:szCs w:val="20"/>
              </w:rPr>
            </w:pPr>
          </w:p>
        </w:tc>
        <w:tc>
          <w:tcPr>
            <w:tcW w:w="268" w:type="dxa"/>
          </w:tcPr>
          <w:p w:rsidR="00776A46" w:rsidRPr="00F77095" w:rsidRDefault="00776A46" w:rsidP="00650EAF">
            <w:pPr>
              <w:jc w:val="both"/>
              <w:rPr>
                <w:rFonts w:ascii="Times New Roman" w:hAnsi="Times New Roman" w:cs="Times New Roman"/>
                <w:sz w:val="20"/>
                <w:szCs w:val="20"/>
              </w:rPr>
            </w:pPr>
          </w:p>
        </w:tc>
      </w:tr>
      <w:tr w:rsidR="00776A46" w:rsidRPr="00F77095" w:rsidTr="00650EAF">
        <w:trPr>
          <w:jc w:val="center"/>
        </w:trPr>
        <w:tc>
          <w:tcPr>
            <w:tcW w:w="466" w:type="dxa"/>
          </w:tcPr>
          <w:p w:rsidR="00776A46" w:rsidRPr="00F77095" w:rsidRDefault="00776A46" w:rsidP="00650EAF">
            <w:pPr>
              <w:jc w:val="both"/>
              <w:rPr>
                <w:rFonts w:ascii="Times New Roman" w:hAnsi="Times New Roman" w:cs="Times New Roman"/>
                <w:b/>
                <w:sz w:val="20"/>
                <w:szCs w:val="20"/>
              </w:rPr>
            </w:pPr>
          </w:p>
        </w:tc>
        <w:tc>
          <w:tcPr>
            <w:tcW w:w="5971" w:type="dxa"/>
          </w:tcPr>
          <w:p w:rsidR="00776A46" w:rsidRPr="00F77095" w:rsidRDefault="00776A46" w:rsidP="00650EAF">
            <w:pPr>
              <w:jc w:val="both"/>
              <w:rPr>
                <w:rFonts w:ascii="Times New Roman" w:hAnsi="Times New Roman" w:cs="Times New Roman"/>
                <w:b/>
                <w:sz w:val="20"/>
                <w:szCs w:val="20"/>
              </w:rPr>
            </w:pPr>
            <w:r w:rsidRPr="00F77095">
              <w:rPr>
                <w:rFonts w:ascii="Times New Roman" w:hAnsi="Times New Roman" w:cs="Times New Roman"/>
                <w:b/>
                <w:sz w:val="20"/>
                <w:szCs w:val="20"/>
              </w:rPr>
              <w:t>OPERATION AND MAINTENANCE EXPENSE</w:t>
            </w:r>
          </w:p>
        </w:tc>
        <w:tc>
          <w:tcPr>
            <w:tcW w:w="768" w:type="dxa"/>
          </w:tcPr>
          <w:p w:rsidR="00776A46" w:rsidRPr="00F77095" w:rsidRDefault="00776A46" w:rsidP="00650EAF">
            <w:pPr>
              <w:jc w:val="both"/>
              <w:rPr>
                <w:rFonts w:ascii="Times New Roman" w:hAnsi="Times New Roman" w:cs="Times New Roman"/>
                <w:b/>
                <w:sz w:val="20"/>
                <w:szCs w:val="20"/>
              </w:rPr>
            </w:pPr>
          </w:p>
        </w:tc>
        <w:tc>
          <w:tcPr>
            <w:tcW w:w="1980" w:type="dxa"/>
          </w:tcPr>
          <w:p w:rsidR="00776A46" w:rsidRPr="00F77095" w:rsidRDefault="00776A46" w:rsidP="00650EAF">
            <w:pPr>
              <w:jc w:val="right"/>
              <w:rPr>
                <w:rFonts w:ascii="Times New Roman" w:hAnsi="Times New Roman" w:cs="Times New Roman"/>
                <w:sz w:val="20"/>
                <w:szCs w:val="20"/>
              </w:rPr>
            </w:pPr>
          </w:p>
        </w:tc>
        <w:tc>
          <w:tcPr>
            <w:tcW w:w="268" w:type="dxa"/>
          </w:tcPr>
          <w:p w:rsidR="00776A46" w:rsidRPr="00F77095" w:rsidRDefault="00776A46" w:rsidP="00650EAF">
            <w:pPr>
              <w:jc w:val="both"/>
              <w:rPr>
                <w:rFonts w:ascii="Times New Roman" w:hAnsi="Times New Roman" w:cs="Times New Roman"/>
                <w:b/>
                <w:sz w:val="20"/>
                <w:szCs w:val="20"/>
              </w:rPr>
            </w:pPr>
          </w:p>
        </w:tc>
      </w:tr>
      <w:tr w:rsidR="00776A46" w:rsidRPr="00F77095" w:rsidTr="00650EAF">
        <w:trPr>
          <w:jc w:val="center"/>
        </w:trPr>
        <w:tc>
          <w:tcPr>
            <w:tcW w:w="466" w:type="dxa"/>
          </w:tcPr>
          <w:p w:rsidR="00776A46" w:rsidRPr="00F77095" w:rsidRDefault="00776A46" w:rsidP="00650EAF">
            <w:pPr>
              <w:jc w:val="both"/>
              <w:rPr>
                <w:rFonts w:ascii="Times New Roman" w:hAnsi="Times New Roman" w:cs="Times New Roman"/>
                <w:sz w:val="20"/>
                <w:szCs w:val="20"/>
              </w:rPr>
            </w:pPr>
          </w:p>
        </w:tc>
        <w:tc>
          <w:tcPr>
            <w:tcW w:w="5971" w:type="dxa"/>
          </w:tcPr>
          <w:p w:rsidR="00776A46" w:rsidRPr="00F77095" w:rsidRDefault="00776A46" w:rsidP="00650EAF">
            <w:pPr>
              <w:jc w:val="both"/>
              <w:rPr>
                <w:rFonts w:ascii="Times New Roman" w:hAnsi="Times New Roman" w:cs="Times New Roman"/>
                <w:sz w:val="20"/>
                <w:szCs w:val="20"/>
              </w:rPr>
            </w:pPr>
          </w:p>
        </w:tc>
        <w:tc>
          <w:tcPr>
            <w:tcW w:w="768" w:type="dxa"/>
          </w:tcPr>
          <w:p w:rsidR="00776A46" w:rsidRPr="00F77095" w:rsidRDefault="00776A46" w:rsidP="00650EAF">
            <w:pPr>
              <w:jc w:val="both"/>
              <w:rPr>
                <w:rFonts w:ascii="Times New Roman" w:hAnsi="Times New Roman" w:cs="Times New Roman"/>
                <w:sz w:val="20"/>
                <w:szCs w:val="20"/>
              </w:rPr>
            </w:pPr>
          </w:p>
        </w:tc>
        <w:tc>
          <w:tcPr>
            <w:tcW w:w="1980" w:type="dxa"/>
          </w:tcPr>
          <w:p w:rsidR="00776A46" w:rsidRPr="00F77095" w:rsidRDefault="00776A46" w:rsidP="00650EAF">
            <w:pPr>
              <w:jc w:val="right"/>
              <w:rPr>
                <w:rFonts w:ascii="Times New Roman" w:hAnsi="Times New Roman" w:cs="Times New Roman"/>
                <w:sz w:val="20"/>
                <w:szCs w:val="20"/>
              </w:rPr>
            </w:pPr>
          </w:p>
        </w:tc>
        <w:tc>
          <w:tcPr>
            <w:tcW w:w="268" w:type="dxa"/>
          </w:tcPr>
          <w:p w:rsidR="00776A46" w:rsidRPr="00F77095" w:rsidRDefault="00776A46" w:rsidP="00650EAF">
            <w:pPr>
              <w:jc w:val="both"/>
              <w:rPr>
                <w:rFonts w:ascii="Times New Roman" w:hAnsi="Times New Roman" w:cs="Times New Roman"/>
                <w:sz w:val="20"/>
                <w:szCs w:val="20"/>
              </w:rPr>
            </w:pPr>
          </w:p>
        </w:tc>
      </w:tr>
      <w:tr w:rsidR="00776A46" w:rsidRPr="00F77095" w:rsidTr="00650EAF">
        <w:trPr>
          <w:jc w:val="center"/>
        </w:trPr>
        <w:tc>
          <w:tcPr>
            <w:tcW w:w="466" w:type="dxa"/>
          </w:tcPr>
          <w:p w:rsidR="00776A46" w:rsidRPr="00F77095" w:rsidRDefault="00776A46" w:rsidP="00650EAF">
            <w:pPr>
              <w:jc w:val="both"/>
              <w:rPr>
                <w:rFonts w:ascii="Times New Roman" w:hAnsi="Times New Roman" w:cs="Times New Roman"/>
                <w:sz w:val="20"/>
                <w:szCs w:val="20"/>
              </w:rPr>
            </w:pPr>
            <w:r w:rsidRPr="00F77095">
              <w:rPr>
                <w:rFonts w:ascii="Times New Roman" w:hAnsi="Times New Roman" w:cs="Times New Roman"/>
                <w:sz w:val="20"/>
                <w:szCs w:val="20"/>
              </w:rPr>
              <w:t>1.</w:t>
            </w:r>
          </w:p>
        </w:tc>
        <w:tc>
          <w:tcPr>
            <w:tcW w:w="5971" w:type="dxa"/>
          </w:tcPr>
          <w:p w:rsidR="00776A46" w:rsidRPr="00F77095" w:rsidRDefault="00776A46" w:rsidP="00650EAF">
            <w:pPr>
              <w:jc w:val="both"/>
              <w:rPr>
                <w:rFonts w:ascii="Times New Roman" w:hAnsi="Times New Roman" w:cs="Times New Roman"/>
                <w:sz w:val="20"/>
                <w:szCs w:val="20"/>
              </w:rPr>
            </w:pPr>
            <w:r w:rsidRPr="00F77095">
              <w:rPr>
                <w:rFonts w:ascii="Times New Roman" w:hAnsi="Times New Roman" w:cs="Times New Roman"/>
                <w:sz w:val="20"/>
                <w:szCs w:val="20"/>
              </w:rPr>
              <w:t>Insurance Expense (657)</w:t>
            </w:r>
          </w:p>
        </w:tc>
        <w:tc>
          <w:tcPr>
            <w:tcW w:w="768" w:type="dxa"/>
          </w:tcPr>
          <w:p w:rsidR="00776A46" w:rsidRPr="00F77095" w:rsidRDefault="00776A46" w:rsidP="00650EAF">
            <w:pPr>
              <w:jc w:val="both"/>
              <w:rPr>
                <w:rFonts w:ascii="Times New Roman" w:hAnsi="Times New Roman" w:cs="Times New Roman"/>
                <w:sz w:val="20"/>
                <w:szCs w:val="20"/>
              </w:rPr>
            </w:pPr>
          </w:p>
        </w:tc>
        <w:tc>
          <w:tcPr>
            <w:tcW w:w="1980" w:type="dxa"/>
          </w:tcPr>
          <w:p w:rsidR="00776A46" w:rsidRPr="00F77095" w:rsidRDefault="00776A46" w:rsidP="00650EAF">
            <w:pPr>
              <w:jc w:val="right"/>
              <w:rPr>
                <w:rFonts w:ascii="Times New Roman" w:hAnsi="Times New Roman" w:cs="Times New Roman"/>
                <w:sz w:val="20"/>
                <w:szCs w:val="20"/>
              </w:rPr>
            </w:pPr>
          </w:p>
        </w:tc>
        <w:tc>
          <w:tcPr>
            <w:tcW w:w="268" w:type="dxa"/>
          </w:tcPr>
          <w:p w:rsidR="00776A46" w:rsidRPr="00F77095" w:rsidRDefault="00776A46" w:rsidP="00650EAF">
            <w:pPr>
              <w:jc w:val="both"/>
              <w:rPr>
                <w:rFonts w:ascii="Times New Roman" w:hAnsi="Times New Roman" w:cs="Times New Roman"/>
                <w:sz w:val="20"/>
                <w:szCs w:val="20"/>
              </w:rPr>
            </w:pPr>
          </w:p>
        </w:tc>
      </w:tr>
      <w:tr w:rsidR="00776A46" w:rsidRPr="00F77095" w:rsidTr="00650EAF">
        <w:trPr>
          <w:jc w:val="center"/>
        </w:trPr>
        <w:tc>
          <w:tcPr>
            <w:tcW w:w="466" w:type="dxa"/>
          </w:tcPr>
          <w:p w:rsidR="00776A46" w:rsidRPr="00F77095" w:rsidRDefault="00776A46" w:rsidP="00650EAF">
            <w:pPr>
              <w:jc w:val="both"/>
              <w:rPr>
                <w:rFonts w:ascii="Times New Roman" w:hAnsi="Times New Roman" w:cs="Times New Roman"/>
                <w:sz w:val="20"/>
                <w:szCs w:val="20"/>
              </w:rPr>
            </w:pPr>
          </w:p>
        </w:tc>
        <w:tc>
          <w:tcPr>
            <w:tcW w:w="5971" w:type="dxa"/>
          </w:tcPr>
          <w:p w:rsidR="00776A46" w:rsidRPr="00F77095" w:rsidRDefault="00776A46" w:rsidP="00650EAF">
            <w:pPr>
              <w:jc w:val="both"/>
              <w:rPr>
                <w:rFonts w:ascii="Times New Roman" w:hAnsi="Times New Roman" w:cs="Times New Roman"/>
                <w:sz w:val="20"/>
                <w:szCs w:val="20"/>
              </w:rPr>
            </w:pPr>
            <w:r w:rsidRPr="00F77095">
              <w:rPr>
                <w:rFonts w:ascii="Times New Roman" w:hAnsi="Times New Roman" w:cs="Times New Roman"/>
                <w:sz w:val="20"/>
                <w:szCs w:val="20"/>
              </w:rPr>
              <w:t>To reflect October 2021 increase in policy premium.</w:t>
            </w:r>
          </w:p>
          <w:p w:rsidR="00776A46" w:rsidRPr="00F77095" w:rsidRDefault="00776A46" w:rsidP="00650EAF">
            <w:pPr>
              <w:jc w:val="both"/>
              <w:rPr>
                <w:rFonts w:ascii="Times New Roman" w:hAnsi="Times New Roman" w:cs="Times New Roman"/>
                <w:sz w:val="20"/>
                <w:szCs w:val="20"/>
              </w:rPr>
            </w:pPr>
          </w:p>
        </w:tc>
        <w:tc>
          <w:tcPr>
            <w:tcW w:w="768" w:type="dxa"/>
          </w:tcPr>
          <w:p w:rsidR="00776A46" w:rsidRPr="00F77095" w:rsidRDefault="00776A46" w:rsidP="00650EAF">
            <w:pPr>
              <w:jc w:val="both"/>
              <w:rPr>
                <w:rFonts w:ascii="Times New Roman" w:hAnsi="Times New Roman" w:cs="Times New Roman"/>
                <w:sz w:val="20"/>
                <w:szCs w:val="20"/>
              </w:rPr>
            </w:pPr>
          </w:p>
        </w:tc>
        <w:tc>
          <w:tcPr>
            <w:tcW w:w="1980" w:type="dxa"/>
          </w:tcPr>
          <w:p w:rsidR="00776A46" w:rsidRPr="00F77095" w:rsidRDefault="00776A46" w:rsidP="00650EAF">
            <w:pPr>
              <w:jc w:val="right"/>
              <w:rPr>
                <w:rFonts w:ascii="Times New Roman" w:hAnsi="Times New Roman" w:cs="Times New Roman"/>
                <w:sz w:val="20"/>
                <w:szCs w:val="20"/>
                <w:u w:val="double"/>
              </w:rPr>
            </w:pPr>
            <w:r w:rsidRPr="00F77095">
              <w:rPr>
                <w:rFonts w:ascii="Times New Roman" w:hAnsi="Times New Roman" w:cs="Times New Roman"/>
                <w:sz w:val="20"/>
                <w:szCs w:val="20"/>
                <w:u w:val="double"/>
              </w:rPr>
              <w:t>$159</w:t>
            </w:r>
          </w:p>
        </w:tc>
        <w:tc>
          <w:tcPr>
            <w:tcW w:w="268" w:type="dxa"/>
          </w:tcPr>
          <w:p w:rsidR="00776A46" w:rsidRPr="00F77095" w:rsidRDefault="00776A46" w:rsidP="00650EAF">
            <w:pPr>
              <w:jc w:val="both"/>
              <w:rPr>
                <w:rFonts w:ascii="Times New Roman" w:hAnsi="Times New Roman" w:cs="Times New Roman"/>
                <w:sz w:val="20"/>
                <w:szCs w:val="20"/>
              </w:rPr>
            </w:pPr>
          </w:p>
        </w:tc>
      </w:tr>
      <w:tr w:rsidR="00776A46" w:rsidRPr="00F77095" w:rsidTr="00650EAF">
        <w:trPr>
          <w:jc w:val="center"/>
        </w:trPr>
        <w:tc>
          <w:tcPr>
            <w:tcW w:w="466" w:type="dxa"/>
          </w:tcPr>
          <w:p w:rsidR="00776A46" w:rsidRPr="00F77095" w:rsidRDefault="00776A46" w:rsidP="00650EAF">
            <w:pPr>
              <w:jc w:val="both"/>
              <w:rPr>
                <w:rFonts w:ascii="Times New Roman" w:hAnsi="Times New Roman" w:cs="Times New Roman"/>
                <w:sz w:val="20"/>
                <w:szCs w:val="20"/>
              </w:rPr>
            </w:pPr>
            <w:r w:rsidRPr="00F77095">
              <w:rPr>
                <w:rFonts w:ascii="Times New Roman" w:hAnsi="Times New Roman" w:cs="Times New Roman"/>
                <w:sz w:val="20"/>
                <w:szCs w:val="20"/>
              </w:rPr>
              <w:t>2.</w:t>
            </w:r>
          </w:p>
        </w:tc>
        <w:tc>
          <w:tcPr>
            <w:tcW w:w="5971" w:type="dxa"/>
          </w:tcPr>
          <w:p w:rsidR="00776A46" w:rsidRPr="00F77095" w:rsidRDefault="00776A46" w:rsidP="00650EAF">
            <w:pPr>
              <w:jc w:val="both"/>
              <w:rPr>
                <w:rFonts w:ascii="Times New Roman" w:hAnsi="Times New Roman" w:cs="Times New Roman"/>
                <w:sz w:val="20"/>
                <w:szCs w:val="20"/>
              </w:rPr>
            </w:pPr>
            <w:r w:rsidRPr="00F77095">
              <w:rPr>
                <w:rFonts w:ascii="Times New Roman" w:hAnsi="Times New Roman" w:cs="Times New Roman"/>
                <w:sz w:val="20"/>
                <w:szCs w:val="20"/>
              </w:rPr>
              <w:t>Rate Case Expense (665)</w:t>
            </w:r>
          </w:p>
        </w:tc>
        <w:tc>
          <w:tcPr>
            <w:tcW w:w="768" w:type="dxa"/>
          </w:tcPr>
          <w:p w:rsidR="00776A46" w:rsidRPr="00F77095" w:rsidRDefault="00776A46" w:rsidP="00650EAF">
            <w:pPr>
              <w:jc w:val="both"/>
              <w:rPr>
                <w:rFonts w:ascii="Times New Roman" w:hAnsi="Times New Roman" w:cs="Times New Roman"/>
                <w:sz w:val="20"/>
                <w:szCs w:val="20"/>
              </w:rPr>
            </w:pPr>
          </w:p>
        </w:tc>
        <w:tc>
          <w:tcPr>
            <w:tcW w:w="1980" w:type="dxa"/>
          </w:tcPr>
          <w:p w:rsidR="00776A46" w:rsidRPr="00F77095" w:rsidRDefault="00776A46" w:rsidP="00650EAF">
            <w:pPr>
              <w:jc w:val="right"/>
              <w:rPr>
                <w:rFonts w:ascii="Times New Roman" w:hAnsi="Times New Roman" w:cs="Times New Roman"/>
                <w:sz w:val="20"/>
                <w:szCs w:val="20"/>
              </w:rPr>
            </w:pPr>
          </w:p>
        </w:tc>
        <w:tc>
          <w:tcPr>
            <w:tcW w:w="268" w:type="dxa"/>
          </w:tcPr>
          <w:p w:rsidR="00776A46" w:rsidRPr="00F77095" w:rsidRDefault="00776A46" w:rsidP="00650EAF">
            <w:pPr>
              <w:jc w:val="both"/>
              <w:rPr>
                <w:rFonts w:ascii="Times New Roman" w:hAnsi="Times New Roman" w:cs="Times New Roman"/>
                <w:sz w:val="20"/>
                <w:szCs w:val="20"/>
              </w:rPr>
            </w:pPr>
          </w:p>
        </w:tc>
      </w:tr>
      <w:tr w:rsidR="00776A46" w:rsidRPr="00F77095" w:rsidTr="00650EAF">
        <w:trPr>
          <w:jc w:val="center"/>
        </w:trPr>
        <w:tc>
          <w:tcPr>
            <w:tcW w:w="466" w:type="dxa"/>
          </w:tcPr>
          <w:p w:rsidR="00776A46" w:rsidRPr="00F77095" w:rsidRDefault="00776A46" w:rsidP="00650EAF">
            <w:pPr>
              <w:jc w:val="both"/>
              <w:rPr>
                <w:rFonts w:ascii="Times New Roman" w:hAnsi="Times New Roman" w:cs="Times New Roman"/>
                <w:sz w:val="20"/>
                <w:szCs w:val="20"/>
              </w:rPr>
            </w:pPr>
          </w:p>
        </w:tc>
        <w:tc>
          <w:tcPr>
            <w:tcW w:w="5971" w:type="dxa"/>
          </w:tcPr>
          <w:p w:rsidR="00776A46" w:rsidRPr="00F77095" w:rsidRDefault="00776A46" w:rsidP="00650EAF">
            <w:pPr>
              <w:jc w:val="both"/>
              <w:rPr>
                <w:rFonts w:ascii="Times New Roman" w:hAnsi="Times New Roman" w:cs="Times New Roman"/>
                <w:sz w:val="20"/>
                <w:szCs w:val="20"/>
              </w:rPr>
            </w:pPr>
            <w:r w:rsidRPr="00F77095">
              <w:rPr>
                <w:rFonts w:ascii="Times New Roman" w:hAnsi="Times New Roman" w:cs="Times New Roman"/>
                <w:sz w:val="20"/>
                <w:szCs w:val="20"/>
              </w:rPr>
              <w:t>To re</w:t>
            </w:r>
            <w:r w:rsidR="000A35C0">
              <w:rPr>
                <w:rFonts w:ascii="Times New Roman" w:hAnsi="Times New Roman" w:cs="Times New Roman"/>
                <w:sz w:val="20"/>
                <w:szCs w:val="20"/>
              </w:rPr>
              <w:t>flect four-year amortization of</w:t>
            </w:r>
            <w:r w:rsidRPr="00F77095">
              <w:rPr>
                <w:rFonts w:ascii="Times New Roman" w:hAnsi="Times New Roman" w:cs="Times New Roman"/>
                <w:sz w:val="20"/>
                <w:szCs w:val="20"/>
              </w:rPr>
              <w:t xml:space="preserve"> rate case expense.</w:t>
            </w:r>
          </w:p>
        </w:tc>
        <w:tc>
          <w:tcPr>
            <w:tcW w:w="768" w:type="dxa"/>
          </w:tcPr>
          <w:p w:rsidR="00776A46" w:rsidRPr="00F77095" w:rsidRDefault="00776A46" w:rsidP="00650EAF">
            <w:pPr>
              <w:jc w:val="both"/>
              <w:rPr>
                <w:rFonts w:ascii="Times New Roman" w:hAnsi="Times New Roman" w:cs="Times New Roman"/>
                <w:sz w:val="20"/>
                <w:szCs w:val="20"/>
              </w:rPr>
            </w:pPr>
          </w:p>
        </w:tc>
        <w:tc>
          <w:tcPr>
            <w:tcW w:w="1980" w:type="dxa"/>
          </w:tcPr>
          <w:p w:rsidR="00776A46" w:rsidRPr="00F77095" w:rsidRDefault="00776A46" w:rsidP="00650EAF">
            <w:pPr>
              <w:jc w:val="right"/>
              <w:rPr>
                <w:rFonts w:ascii="Times New Roman" w:hAnsi="Times New Roman" w:cs="Times New Roman"/>
                <w:sz w:val="20"/>
                <w:szCs w:val="20"/>
              </w:rPr>
            </w:pPr>
            <w:r w:rsidRPr="00F77095">
              <w:rPr>
                <w:rFonts w:ascii="Times New Roman" w:hAnsi="Times New Roman" w:cs="Times New Roman"/>
                <w:sz w:val="20"/>
                <w:szCs w:val="20"/>
                <w:u w:val="double"/>
              </w:rPr>
              <w:t>$8</w:t>
            </w:r>
          </w:p>
        </w:tc>
        <w:tc>
          <w:tcPr>
            <w:tcW w:w="268" w:type="dxa"/>
          </w:tcPr>
          <w:p w:rsidR="00776A46" w:rsidRPr="00F77095" w:rsidRDefault="00776A46" w:rsidP="00650EAF">
            <w:pPr>
              <w:jc w:val="both"/>
              <w:rPr>
                <w:rFonts w:ascii="Times New Roman" w:hAnsi="Times New Roman" w:cs="Times New Roman"/>
                <w:sz w:val="20"/>
                <w:szCs w:val="20"/>
              </w:rPr>
            </w:pPr>
          </w:p>
        </w:tc>
      </w:tr>
      <w:tr w:rsidR="00776A46" w:rsidRPr="00F77095" w:rsidTr="00650EAF">
        <w:trPr>
          <w:jc w:val="center"/>
        </w:trPr>
        <w:tc>
          <w:tcPr>
            <w:tcW w:w="466" w:type="dxa"/>
          </w:tcPr>
          <w:p w:rsidR="00776A46" w:rsidRPr="00F77095" w:rsidRDefault="00776A46" w:rsidP="00650EAF">
            <w:pPr>
              <w:jc w:val="both"/>
              <w:rPr>
                <w:rFonts w:ascii="Times New Roman" w:hAnsi="Times New Roman" w:cs="Times New Roman"/>
                <w:sz w:val="20"/>
                <w:szCs w:val="20"/>
              </w:rPr>
            </w:pPr>
          </w:p>
        </w:tc>
        <w:tc>
          <w:tcPr>
            <w:tcW w:w="5971" w:type="dxa"/>
          </w:tcPr>
          <w:p w:rsidR="00776A46" w:rsidRPr="00F77095" w:rsidRDefault="00776A46" w:rsidP="00650EAF">
            <w:pPr>
              <w:jc w:val="both"/>
              <w:rPr>
                <w:rFonts w:ascii="Times New Roman" w:hAnsi="Times New Roman" w:cs="Times New Roman"/>
                <w:sz w:val="20"/>
                <w:szCs w:val="20"/>
              </w:rPr>
            </w:pPr>
          </w:p>
        </w:tc>
        <w:tc>
          <w:tcPr>
            <w:tcW w:w="768" w:type="dxa"/>
          </w:tcPr>
          <w:p w:rsidR="00776A46" w:rsidRPr="00F77095" w:rsidRDefault="00776A46" w:rsidP="00650EAF">
            <w:pPr>
              <w:jc w:val="both"/>
              <w:rPr>
                <w:rFonts w:ascii="Times New Roman" w:hAnsi="Times New Roman" w:cs="Times New Roman"/>
                <w:sz w:val="20"/>
                <w:szCs w:val="20"/>
              </w:rPr>
            </w:pPr>
          </w:p>
        </w:tc>
        <w:tc>
          <w:tcPr>
            <w:tcW w:w="1980" w:type="dxa"/>
          </w:tcPr>
          <w:p w:rsidR="00776A46" w:rsidRPr="00F77095" w:rsidRDefault="00776A46" w:rsidP="00650EAF">
            <w:pPr>
              <w:jc w:val="right"/>
              <w:rPr>
                <w:rFonts w:ascii="Times New Roman" w:hAnsi="Times New Roman" w:cs="Times New Roman"/>
                <w:sz w:val="20"/>
                <w:szCs w:val="20"/>
              </w:rPr>
            </w:pPr>
          </w:p>
        </w:tc>
        <w:tc>
          <w:tcPr>
            <w:tcW w:w="268" w:type="dxa"/>
          </w:tcPr>
          <w:p w:rsidR="00776A46" w:rsidRPr="00F77095" w:rsidRDefault="00776A46" w:rsidP="00650EAF">
            <w:pPr>
              <w:jc w:val="both"/>
              <w:rPr>
                <w:rFonts w:ascii="Times New Roman" w:hAnsi="Times New Roman" w:cs="Times New Roman"/>
                <w:sz w:val="20"/>
                <w:szCs w:val="20"/>
              </w:rPr>
            </w:pPr>
          </w:p>
        </w:tc>
      </w:tr>
      <w:tr w:rsidR="00776A46" w:rsidRPr="00F77095" w:rsidTr="00650EAF">
        <w:trPr>
          <w:jc w:val="center"/>
        </w:trPr>
        <w:tc>
          <w:tcPr>
            <w:tcW w:w="466" w:type="dxa"/>
          </w:tcPr>
          <w:p w:rsidR="00776A46" w:rsidRPr="00F77095" w:rsidRDefault="00776A46" w:rsidP="00650EAF">
            <w:pPr>
              <w:jc w:val="both"/>
              <w:rPr>
                <w:rFonts w:ascii="Times New Roman" w:hAnsi="Times New Roman" w:cs="Times New Roman"/>
                <w:sz w:val="20"/>
                <w:szCs w:val="20"/>
              </w:rPr>
            </w:pPr>
            <w:r w:rsidRPr="00F77095">
              <w:rPr>
                <w:rFonts w:ascii="Times New Roman" w:hAnsi="Times New Roman" w:cs="Times New Roman"/>
                <w:sz w:val="20"/>
                <w:szCs w:val="20"/>
              </w:rPr>
              <w:t>3.</w:t>
            </w:r>
          </w:p>
        </w:tc>
        <w:tc>
          <w:tcPr>
            <w:tcW w:w="5971" w:type="dxa"/>
          </w:tcPr>
          <w:p w:rsidR="00776A46" w:rsidRPr="00F77095" w:rsidRDefault="00776A46" w:rsidP="00650EAF">
            <w:pPr>
              <w:jc w:val="both"/>
              <w:rPr>
                <w:rFonts w:ascii="Times New Roman" w:hAnsi="Times New Roman" w:cs="Times New Roman"/>
                <w:sz w:val="20"/>
                <w:szCs w:val="20"/>
              </w:rPr>
            </w:pPr>
            <w:r w:rsidRPr="00F77095">
              <w:rPr>
                <w:rFonts w:ascii="Times New Roman" w:hAnsi="Times New Roman" w:cs="Times New Roman"/>
                <w:sz w:val="20"/>
                <w:szCs w:val="20"/>
              </w:rPr>
              <w:t>Bad Debt Expense (670)</w:t>
            </w:r>
          </w:p>
        </w:tc>
        <w:tc>
          <w:tcPr>
            <w:tcW w:w="768" w:type="dxa"/>
          </w:tcPr>
          <w:p w:rsidR="00776A46" w:rsidRPr="00F77095" w:rsidRDefault="00776A46" w:rsidP="00650EAF">
            <w:pPr>
              <w:jc w:val="both"/>
              <w:rPr>
                <w:rFonts w:ascii="Times New Roman" w:hAnsi="Times New Roman" w:cs="Times New Roman"/>
                <w:sz w:val="20"/>
                <w:szCs w:val="20"/>
              </w:rPr>
            </w:pPr>
          </w:p>
        </w:tc>
        <w:tc>
          <w:tcPr>
            <w:tcW w:w="1980" w:type="dxa"/>
          </w:tcPr>
          <w:p w:rsidR="00776A46" w:rsidRPr="00F77095" w:rsidRDefault="00776A46" w:rsidP="00650EAF">
            <w:pPr>
              <w:jc w:val="right"/>
              <w:rPr>
                <w:rFonts w:ascii="Times New Roman" w:hAnsi="Times New Roman" w:cs="Times New Roman"/>
                <w:sz w:val="20"/>
                <w:szCs w:val="20"/>
              </w:rPr>
            </w:pPr>
          </w:p>
        </w:tc>
        <w:tc>
          <w:tcPr>
            <w:tcW w:w="268" w:type="dxa"/>
          </w:tcPr>
          <w:p w:rsidR="00776A46" w:rsidRPr="00F77095" w:rsidRDefault="00776A46" w:rsidP="00650EAF">
            <w:pPr>
              <w:jc w:val="both"/>
              <w:rPr>
                <w:rFonts w:ascii="Times New Roman" w:hAnsi="Times New Roman" w:cs="Times New Roman"/>
                <w:sz w:val="20"/>
                <w:szCs w:val="20"/>
              </w:rPr>
            </w:pPr>
          </w:p>
        </w:tc>
      </w:tr>
      <w:tr w:rsidR="00776A46" w:rsidRPr="00F77095" w:rsidTr="00650EAF">
        <w:trPr>
          <w:jc w:val="center"/>
        </w:trPr>
        <w:tc>
          <w:tcPr>
            <w:tcW w:w="466" w:type="dxa"/>
          </w:tcPr>
          <w:p w:rsidR="00776A46" w:rsidRPr="00F77095" w:rsidRDefault="00776A46" w:rsidP="00650EAF">
            <w:pPr>
              <w:jc w:val="both"/>
              <w:rPr>
                <w:rFonts w:ascii="Times New Roman" w:hAnsi="Times New Roman" w:cs="Times New Roman"/>
                <w:sz w:val="20"/>
                <w:szCs w:val="20"/>
              </w:rPr>
            </w:pPr>
          </w:p>
        </w:tc>
        <w:tc>
          <w:tcPr>
            <w:tcW w:w="5971" w:type="dxa"/>
          </w:tcPr>
          <w:p w:rsidR="00776A46" w:rsidRPr="00F77095" w:rsidRDefault="00776A46" w:rsidP="00650EAF">
            <w:pPr>
              <w:jc w:val="both"/>
              <w:rPr>
                <w:rFonts w:ascii="Times New Roman" w:hAnsi="Times New Roman" w:cs="Times New Roman"/>
                <w:sz w:val="20"/>
                <w:szCs w:val="20"/>
              </w:rPr>
            </w:pPr>
            <w:r w:rsidRPr="00F77095">
              <w:rPr>
                <w:rFonts w:ascii="Times New Roman" w:hAnsi="Times New Roman" w:cs="Times New Roman"/>
                <w:sz w:val="20"/>
                <w:szCs w:val="20"/>
              </w:rPr>
              <w:t>To reflect appropriate bad debt expense.</w:t>
            </w:r>
          </w:p>
        </w:tc>
        <w:tc>
          <w:tcPr>
            <w:tcW w:w="768" w:type="dxa"/>
          </w:tcPr>
          <w:p w:rsidR="00776A46" w:rsidRPr="00F77095" w:rsidRDefault="00776A46" w:rsidP="00650EAF">
            <w:pPr>
              <w:jc w:val="both"/>
              <w:rPr>
                <w:rFonts w:ascii="Times New Roman" w:hAnsi="Times New Roman" w:cs="Times New Roman"/>
                <w:sz w:val="20"/>
                <w:szCs w:val="20"/>
              </w:rPr>
            </w:pPr>
          </w:p>
        </w:tc>
        <w:tc>
          <w:tcPr>
            <w:tcW w:w="1980" w:type="dxa"/>
          </w:tcPr>
          <w:p w:rsidR="00776A46" w:rsidRPr="00F77095" w:rsidRDefault="00776A46" w:rsidP="00650EAF">
            <w:pPr>
              <w:jc w:val="right"/>
              <w:rPr>
                <w:rFonts w:ascii="Times New Roman" w:hAnsi="Times New Roman" w:cs="Times New Roman"/>
                <w:sz w:val="20"/>
                <w:szCs w:val="20"/>
                <w:u w:val="double"/>
              </w:rPr>
            </w:pPr>
            <w:r w:rsidRPr="00F77095">
              <w:rPr>
                <w:rFonts w:ascii="Times New Roman" w:hAnsi="Times New Roman" w:cs="Times New Roman"/>
                <w:sz w:val="20"/>
                <w:szCs w:val="20"/>
                <w:u w:val="double"/>
              </w:rPr>
              <w:t>$84</w:t>
            </w:r>
          </w:p>
        </w:tc>
        <w:tc>
          <w:tcPr>
            <w:tcW w:w="268" w:type="dxa"/>
          </w:tcPr>
          <w:p w:rsidR="00776A46" w:rsidRPr="00F77095" w:rsidRDefault="00776A46" w:rsidP="00650EAF">
            <w:pPr>
              <w:jc w:val="both"/>
              <w:rPr>
                <w:rFonts w:ascii="Times New Roman" w:hAnsi="Times New Roman" w:cs="Times New Roman"/>
                <w:sz w:val="20"/>
                <w:szCs w:val="20"/>
              </w:rPr>
            </w:pPr>
          </w:p>
        </w:tc>
      </w:tr>
      <w:tr w:rsidR="00776A46" w:rsidRPr="00F77095" w:rsidTr="00650EAF">
        <w:trPr>
          <w:jc w:val="center"/>
        </w:trPr>
        <w:tc>
          <w:tcPr>
            <w:tcW w:w="466" w:type="dxa"/>
          </w:tcPr>
          <w:p w:rsidR="00776A46" w:rsidRPr="00F77095" w:rsidRDefault="00776A46" w:rsidP="00650EAF">
            <w:pPr>
              <w:jc w:val="both"/>
              <w:rPr>
                <w:rFonts w:ascii="Times New Roman" w:hAnsi="Times New Roman" w:cs="Times New Roman"/>
                <w:sz w:val="20"/>
                <w:szCs w:val="20"/>
              </w:rPr>
            </w:pPr>
          </w:p>
        </w:tc>
        <w:tc>
          <w:tcPr>
            <w:tcW w:w="5971" w:type="dxa"/>
          </w:tcPr>
          <w:p w:rsidR="00776A46" w:rsidRPr="00F77095" w:rsidRDefault="00776A46" w:rsidP="00650EAF">
            <w:pPr>
              <w:jc w:val="both"/>
              <w:rPr>
                <w:rFonts w:ascii="Times New Roman" w:hAnsi="Times New Roman" w:cs="Times New Roman"/>
                <w:sz w:val="20"/>
                <w:szCs w:val="20"/>
              </w:rPr>
            </w:pPr>
          </w:p>
        </w:tc>
        <w:tc>
          <w:tcPr>
            <w:tcW w:w="768" w:type="dxa"/>
          </w:tcPr>
          <w:p w:rsidR="00776A46" w:rsidRPr="00F77095" w:rsidRDefault="00776A46" w:rsidP="00650EAF">
            <w:pPr>
              <w:jc w:val="both"/>
              <w:rPr>
                <w:rFonts w:ascii="Times New Roman" w:hAnsi="Times New Roman" w:cs="Times New Roman"/>
                <w:sz w:val="20"/>
                <w:szCs w:val="20"/>
              </w:rPr>
            </w:pPr>
          </w:p>
        </w:tc>
        <w:tc>
          <w:tcPr>
            <w:tcW w:w="1980" w:type="dxa"/>
          </w:tcPr>
          <w:p w:rsidR="00776A46" w:rsidRPr="00F77095" w:rsidRDefault="00776A46" w:rsidP="00650EAF">
            <w:pPr>
              <w:jc w:val="right"/>
              <w:rPr>
                <w:rFonts w:ascii="Times New Roman" w:hAnsi="Times New Roman" w:cs="Times New Roman"/>
                <w:sz w:val="20"/>
                <w:szCs w:val="20"/>
              </w:rPr>
            </w:pPr>
          </w:p>
        </w:tc>
        <w:tc>
          <w:tcPr>
            <w:tcW w:w="268" w:type="dxa"/>
          </w:tcPr>
          <w:p w:rsidR="00776A46" w:rsidRPr="00F77095" w:rsidRDefault="00776A46" w:rsidP="00650EAF">
            <w:pPr>
              <w:jc w:val="both"/>
              <w:rPr>
                <w:rFonts w:ascii="Times New Roman" w:hAnsi="Times New Roman" w:cs="Times New Roman"/>
                <w:sz w:val="20"/>
                <w:szCs w:val="20"/>
              </w:rPr>
            </w:pPr>
          </w:p>
        </w:tc>
      </w:tr>
      <w:tr w:rsidR="00776A46" w:rsidRPr="00F77095" w:rsidTr="00650EAF">
        <w:trPr>
          <w:jc w:val="center"/>
        </w:trPr>
        <w:tc>
          <w:tcPr>
            <w:tcW w:w="466" w:type="dxa"/>
          </w:tcPr>
          <w:p w:rsidR="00776A46" w:rsidRPr="00F77095" w:rsidRDefault="00776A46" w:rsidP="00650EAF">
            <w:pPr>
              <w:jc w:val="both"/>
              <w:rPr>
                <w:rFonts w:ascii="Times New Roman" w:hAnsi="Times New Roman" w:cs="Times New Roman"/>
                <w:b/>
                <w:sz w:val="20"/>
                <w:szCs w:val="20"/>
              </w:rPr>
            </w:pPr>
          </w:p>
        </w:tc>
        <w:tc>
          <w:tcPr>
            <w:tcW w:w="5971" w:type="dxa"/>
          </w:tcPr>
          <w:p w:rsidR="00776A46" w:rsidRPr="00F77095" w:rsidRDefault="00776A46" w:rsidP="00650EAF">
            <w:pPr>
              <w:jc w:val="both"/>
              <w:rPr>
                <w:rFonts w:ascii="Times New Roman" w:hAnsi="Times New Roman" w:cs="Times New Roman"/>
                <w:b/>
                <w:sz w:val="20"/>
                <w:szCs w:val="20"/>
              </w:rPr>
            </w:pPr>
            <w:r w:rsidRPr="00F77095">
              <w:rPr>
                <w:rFonts w:ascii="Times New Roman" w:hAnsi="Times New Roman" w:cs="Times New Roman"/>
                <w:b/>
                <w:sz w:val="20"/>
                <w:szCs w:val="20"/>
              </w:rPr>
              <w:t>TOTAL OPERATION AND MAINTENANCE ADJUSTMENTS</w:t>
            </w:r>
          </w:p>
        </w:tc>
        <w:tc>
          <w:tcPr>
            <w:tcW w:w="768" w:type="dxa"/>
          </w:tcPr>
          <w:p w:rsidR="00776A46" w:rsidRPr="00F77095" w:rsidRDefault="00776A46" w:rsidP="00650EAF">
            <w:pPr>
              <w:jc w:val="both"/>
              <w:rPr>
                <w:rFonts w:ascii="Times New Roman" w:hAnsi="Times New Roman" w:cs="Times New Roman"/>
                <w:b/>
                <w:sz w:val="20"/>
                <w:szCs w:val="20"/>
              </w:rPr>
            </w:pPr>
          </w:p>
        </w:tc>
        <w:tc>
          <w:tcPr>
            <w:tcW w:w="1980" w:type="dxa"/>
          </w:tcPr>
          <w:p w:rsidR="00776A46" w:rsidRPr="00F77095" w:rsidRDefault="00776A46" w:rsidP="00650EAF">
            <w:pPr>
              <w:jc w:val="right"/>
              <w:rPr>
                <w:rFonts w:ascii="Times New Roman" w:hAnsi="Times New Roman" w:cs="Times New Roman"/>
                <w:sz w:val="20"/>
                <w:szCs w:val="20"/>
                <w:u w:val="double"/>
              </w:rPr>
            </w:pPr>
            <w:r w:rsidRPr="00F77095">
              <w:rPr>
                <w:rFonts w:ascii="Times New Roman" w:hAnsi="Times New Roman" w:cs="Times New Roman"/>
                <w:sz w:val="20"/>
                <w:szCs w:val="20"/>
                <w:u w:val="double"/>
              </w:rPr>
              <w:t>$251</w:t>
            </w:r>
          </w:p>
        </w:tc>
        <w:tc>
          <w:tcPr>
            <w:tcW w:w="268" w:type="dxa"/>
          </w:tcPr>
          <w:p w:rsidR="00776A46" w:rsidRPr="00F77095" w:rsidRDefault="00776A46" w:rsidP="00650EAF">
            <w:pPr>
              <w:jc w:val="both"/>
              <w:rPr>
                <w:rFonts w:ascii="Times New Roman" w:hAnsi="Times New Roman" w:cs="Times New Roman"/>
                <w:b/>
                <w:sz w:val="20"/>
                <w:szCs w:val="20"/>
              </w:rPr>
            </w:pPr>
          </w:p>
        </w:tc>
      </w:tr>
      <w:tr w:rsidR="00776A46" w:rsidRPr="00F77095" w:rsidTr="00650EAF">
        <w:trPr>
          <w:jc w:val="center"/>
        </w:trPr>
        <w:tc>
          <w:tcPr>
            <w:tcW w:w="466" w:type="dxa"/>
          </w:tcPr>
          <w:p w:rsidR="00776A46" w:rsidRPr="00F77095" w:rsidRDefault="00776A46" w:rsidP="00650EAF">
            <w:pPr>
              <w:jc w:val="both"/>
              <w:rPr>
                <w:rFonts w:ascii="Times New Roman" w:hAnsi="Times New Roman" w:cs="Times New Roman"/>
                <w:sz w:val="20"/>
                <w:szCs w:val="20"/>
              </w:rPr>
            </w:pPr>
          </w:p>
        </w:tc>
        <w:tc>
          <w:tcPr>
            <w:tcW w:w="5971" w:type="dxa"/>
          </w:tcPr>
          <w:p w:rsidR="00776A46" w:rsidRPr="00F77095" w:rsidRDefault="00776A46" w:rsidP="00650EAF">
            <w:pPr>
              <w:jc w:val="both"/>
              <w:rPr>
                <w:rFonts w:ascii="Times New Roman" w:hAnsi="Times New Roman" w:cs="Times New Roman"/>
                <w:sz w:val="20"/>
                <w:szCs w:val="20"/>
              </w:rPr>
            </w:pPr>
          </w:p>
        </w:tc>
        <w:tc>
          <w:tcPr>
            <w:tcW w:w="768" w:type="dxa"/>
          </w:tcPr>
          <w:p w:rsidR="00776A46" w:rsidRPr="00F77095" w:rsidRDefault="00776A46" w:rsidP="00650EAF">
            <w:pPr>
              <w:jc w:val="both"/>
              <w:rPr>
                <w:rFonts w:ascii="Times New Roman" w:hAnsi="Times New Roman" w:cs="Times New Roman"/>
                <w:sz w:val="20"/>
                <w:szCs w:val="20"/>
              </w:rPr>
            </w:pPr>
          </w:p>
        </w:tc>
        <w:tc>
          <w:tcPr>
            <w:tcW w:w="1980" w:type="dxa"/>
          </w:tcPr>
          <w:p w:rsidR="00776A46" w:rsidRPr="00F77095" w:rsidRDefault="00776A46" w:rsidP="00650EAF">
            <w:pPr>
              <w:jc w:val="right"/>
              <w:rPr>
                <w:rFonts w:ascii="Times New Roman" w:hAnsi="Times New Roman" w:cs="Times New Roman"/>
                <w:sz w:val="20"/>
                <w:szCs w:val="20"/>
              </w:rPr>
            </w:pPr>
          </w:p>
        </w:tc>
        <w:tc>
          <w:tcPr>
            <w:tcW w:w="268" w:type="dxa"/>
          </w:tcPr>
          <w:p w:rsidR="00776A46" w:rsidRPr="00F77095" w:rsidRDefault="00776A46" w:rsidP="00650EAF">
            <w:pPr>
              <w:jc w:val="both"/>
              <w:rPr>
                <w:rFonts w:ascii="Times New Roman" w:hAnsi="Times New Roman" w:cs="Times New Roman"/>
                <w:sz w:val="20"/>
                <w:szCs w:val="20"/>
              </w:rPr>
            </w:pPr>
          </w:p>
        </w:tc>
      </w:tr>
      <w:tr w:rsidR="00776A46" w:rsidRPr="00F77095" w:rsidTr="00650EAF">
        <w:trPr>
          <w:jc w:val="center"/>
        </w:trPr>
        <w:tc>
          <w:tcPr>
            <w:tcW w:w="466" w:type="dxa"/>
          </w:tcPr>
          <w:p w:rsidR="00776A46" w:rsidRPr="00F77095" w:rsidRDefault="00776A46" w:rsidP="00650EAF">
            <w:pPr>
              <w:jc w:val="both"/>
              <w:rPr>
                <w:rFonts w:ascii="Times New Roman" w:hAnsi="Times New Roman" w:cs="Times New Roman"/>
                <w:sz w:val="20"/>
                <w:szCs w:val="20"/>
              </w:rPr>
            </w:pPr>
          </w:p>
        </w:tc>
        <w:tc>
          <w:tcPr>
            <w:tcW w:w="5971" w:type="dxa"/>
          </w:tcPr>
          <w:p w:rsidR="00776A46" w:rsidRPr="00F77095" w:rsidRDefault="00776A46" w:rsidP="00650EAF">
            <w:pPr>
              <w:jc w:val="both"/>
              <w:rPr>
                <w:rFonts w:ascii="Times New Roman" w:hAnsi="Times New Roman" w:cs="Times New Roman"/>
                <w:sz w:val="20"/>
                <w:szCs w:val="20"/>
              </w:rPr>
            </w:pPr>
            <w:r w:rsidRPr="00F77095">
              <w:rPr>
                <w:rFonts w:ascii="Times New Roman" w:hAnsi="Times New Roman" w:cs="Times New Roman"/>
                <w:b/>
                <w:sz w:val="20"/>
                <w:szCs w:val="20"/>
              </w:rPr>
              <w:t>DEPRECIATION EXPENSE</w:t>
            </w:r>
          </w:p>
        </w:tc>
        <w:tc>
          <w:tcPr>
            <w:tcW w:w="768" w:type="dxa"/>
          </w:tcPr>
          <w:p w:rsidR="00776A46" w:rsidRPr="00F77095" w:rsidRDefault="00776A46" w:rsidP="00650EAF">
            <w:pPr>
              <w:jc w:val="both"/>
              <w:rPr>
                <w:rFonts w:ascii="Times New Roman" w:hAnsi="Times New Roman" w:cs="Times New Roman"/>
                <w:sz w:val="20"/>
                <w:szCs w:val="20"/>
              </w:rPr>
            </w:pPr>
          </w:p>
        </w:tc>
        <w:tc>
          <w:tcPr>
            <w:tcW w:w="1980" w:type="dxa"/>
          </w:tcPr>
          <w:p w:rsidR="00776A46" w:rsidRPr="00F77095" w:rsidRDefault="00776A46" w:rsidP="00650EAF">
            <w:pPr>
              <w:jc w:val="right"/>
              <w:rPr>
                <w:rFonts w:ascii="Times New Roman" w:hAnsi="Times New Roman" w:cs="Times New Roman"/>
                <w:sz w:val="20"/>
                <w:szCs w:val="20"/>
              </w:rPr>
            </w:pPr>
          </w:p>
        </w:tc>
        <w:tc>
          <w:tcPr>
            <w:tcW w:w="268" w:type="dxa"/>
          </w:tcPr>
          <w:p w:rsidR="00776A46" w:rsidRPr="00F77095" w:rsidRDefault="00776A46" w:rsidP="00650EAF">
            <w:pPr>
              <w:jc w:val="both"/>
              <w:rPr>
                <w:rFonts w:ascii="Times New Roman" w:hAnsi="Times New Roman" w:cs="Times New Roman"/>
                <w:sz w:val="20"/>
                <w:szCs w:val="20"/>
              </w:rPr>
            </w:pPr>
          </w:p>
        </w:tc>
      </w:tr>
      <w:tr w:rsidR="00776A46" w:rsidRPr="00F77095" w:rsidTr="00650EAF">
        <w:trPr>
          <w:jc w:val="center"/>
        </w:trPr>
        <w:tc>
          <w:tcPr>
            <w:tcW w:w="466" w:type="dxa"/>
          </w:tcPr>
          <w:p w:rsidR="00776A46" w:rsidRPr="00F77095" w:rsidRDefault="00776A46" w:rsidP="00650EAF">
            <w:pPr>
              <w:jc w:val="both"/>
              <w:rPr>
                <w:rFonts w:ascii="Times New Roman" w:hAnsi="Times New Roman" w:cs="Times New Roman"/>
                <w:sz w:val="20"/>
                <w:szCs w:val="20"/>
              </w:rPr>
            </w:pPr>
            <w:r w:rsidRPr="00F77095">
              <w:rPr>
                <w:rFonts w:ascii="Times New Roman" w:hAnsi="Times New Roman" w:cs="Times New Roman"/>
                <w:sz w:val="20"/>
                <w:szCs w:val="20"/>
              </w:rPr>
              <w:t>1.</w:t>
            </w:r>
          </w:p>
        </w:tc>
        <w:tc>
          <w:tcPr>
            <w:tcW w:w="5971" w:type="dxa"/>
          </w:tcPr>
          <w:p w:rsidR="00776A46" w:rsidRPr="00F77095" w:rsidRDefault="00776A46" w:rsidP="00650EAF">
            <w:pPr>
              <w:jc w:val="both"/>
              <w:rPr>
                <w:rFonts w:ascii="Times New Roman" w:hAnsi="Times New Roman" w:cs="Times New Roman"/>
                <w:sz w:val="20"/>
                <w:szCs w:val="20"/>
              </w:rPr>
            </w:pPr>
            <w:r w:rsidRPr="00F77095">
              <w:rPr>
                <w:rFonts w:ascii="Times New Roman" w:hAnsi="Times New Roman" w:cs="Times New Roman"/>
                <w:sz w:val="20"/>
                <w:szCs w:val="20"/>
              </w:rPr>
              <w:t>To reflect an auditing adjustment.</w:t>
            </w:r>
          </w:p>
        </w:tc>
        <w:tc>
          <w:tcPr>
            <w:tcW w:w="768" w:type="dxa"/>
          </w:tcPr>
          <w:p w:rsidR="00776A46" w:rsidRPr="00F77095" w:rsidRDefault="00776A46" w:rsidP="00650EAF">
            <w:pPr>
              <w:jc w:val="both"/>
              <w:rPr>
                <w:rFonts w:ascii="Times New Roman" w:hAnsi="Times New Roman" w:cs="Times New Roman"/>
                <w:sz w:val="20"/>
                <w:szCs w:val="20"/>
              </w:rPr>
            </w:pPr>
          </w:p>
        </w:tc>
        <w:tc>
          <w:tcPr>
            <w:tcW w:w="1980" w:type="dxa"/>
          </w:tcPr>
          <w:p w:rsidR="00776A46" w:rsidRPr="00F77095" w:rsidRDefault="00776A46" w:rsidP="00650EAF">
            <w:pPr>
              <w:jc w:val="right"/>
              <w:rPr>
                <w:rFonts w:ascii="Times New Roman" w:hAnsi="Times New Roman" w:cs="Times New Roman"/>
                <w:sz w:val="20"/>
                <w:szCs w:val="20"/>
              </w:rPr>
            </w:pPr>
            <w:r w:rsidRPr="00F77095">
              <w:rPr>
                <w:rFonts w:ascii="Times New Roman" w:hAnsi="Times New Roman" w:cs="Times New Roman"/>
                <w:sz w:val="20"/>
                <w:szCs w:val="20"/>
              </w:rPr>
              <w:t>$133</w:t>
            </w:r>
          </w:p>
        </w:tc>
        <w:tc>
          <w:tcPr>
            <w:tcW w:w="268" w:type="dxa"/>
          </w:tcPr>
          <w:p w:rsidR="00776A46" w:rsidRPr="00F77095" w:rsidRDefault="00776A46" w:rsidP="00650EAF">
            <w:pPr>
              <w:jc w:val="both"/>
              <w:rPr>
                <w:rFonts w:ascii="Times New Roman" w:hAnsi="Times New Roman" w:cs="Times New Roman"/>
                <w:sz w:val="20"/>
                <w:szCs w:val="20"/>
              </w:rPr>
            </w:pPr>
          </w:p>
        </w:tc>
      </w:tr>
      <w:tr w:rsidR="00776A46" w:rsidRPr="00F77095" w:rsidTr="00650EAF">
        <w:trPr>
          <w:jc w:val="center"/>
        </w:trPr>
        <w:tc>
          <w:tcPr>
            <w:tcW w:w="466" w:type="dxa"/>
          </w:tcPr>
          <w:p w:rsidR="00776A46" w:rsidRPr="00F77095" w:rsidRDefault="00776A46" w:rsidP="00650EAF">
            <w:pPr>
              <w:jc w:val="both"/>
              <w:rPr>
                <w:rFonts w:ascii="Times New Roman" w:hAnsi="Times New Roman" w:cs="Times New Roman"/>
                <w:sz w:val="20"/>
                <w:szCs w:val="20"/>
              </w:rPr>
            </w:pPr>
            <w:r w:rsidRPr="00F77095">
              <w:rPr>
                <w:rFonts w:ascii="Times New Roman" w:hAnsi="Times New Roman" w:cs="Times New Roman"/>
                <w:sz w:val="20"/>
                <w:szCs w:val="20"/>
              </w:rPr>
              <w:t>2.</w:t>
            </w:r>
          </w:p>
        </w:tc>
        <w:tc>
          <w:tcPr>
            <w:tcW w:w="5971" w:type="dxa"/>
          </w:tcPr>
          <w:p w:rsidR="00776A46" w:rsidRPr="00F77095" w:rsidRDefault="00776A46" w:rsidP="00650EAF">
            <w:pPr>
              <w:jc w:val="both"/>
              <w:rPr>
                <w:rFonts w:ascii="Times New Roman" w:hAnsi="Times New Roman" w:cs="Times New Roman"/>
                <w:sz w:val="20"/>
                <w:szCs w:val="20"/>
              </w:rPr>
            </w:pPr>
            <w:r w:rsidRPr="00F77095">
              <w:rPr>
                <w:rFonts w:ascii="Times New Roman" w:hAnsi="Times New Roman" w:cs="Times New Roman"/>
                <w:sz w:val="20"/>
                <w:szCs w:val="20"/>
              </w:rPr>
              <w:t>To reflect staff adjustment to remove over depreciation from Acct. 320.</w:t>
            </w:r>
          </w:p>
        </w:tc>
        <w:tc>
          <w:tcPr>
            <w:tcW w:w="768" w:type="dxa"/>
          </w:tcPr>
          <w:p w:rsidR="00776A46" w:rsidRPr="00F77095" w:rsidRDefault="00776A46" w:rsidP="00650EAF">
            <w:pPr>
              <w:jc w:val="both"/>
              <w:rPr>
                <w:rFonts w:ascii="Times New Roman" w:hAnsi="Times New Roman" w:cs="Times New Roman"/>
                <w:sz w:val="20"/>
                <w:szCs w:val="20"/>
              </w:rPr>
            </w:pPr>
          </w:p>
        </w:tc>
        <w:tc>
          <w:tcPr>
            <w:tcW w:w="1980" w:type="dxa"/>
          </w:tcPr>
          <w:p w:rsidR="00776A46" w:rsidRPr="00F77095" w:rsidRDefault="00776A46" w:rsidP="00650EAF">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(133)</w:t>
            </w:r>
          </w:p>
        </w:tc>
        <w:tc>
          <w:tcPr>
            <w:tcW w:w="268" w:type="dxa"/>
          </w:tcPr>
          <w:p w:rsidR="00776A46" w:rsidRPr="00F77095" w:rsidRDefault="00776A46" w:rsidP="00650EAF">
            <w:pPr>
              <w:jc w:val="both"/>
              <w:rPr>
                <w:rFonts w:ascii="Times New Roman" w:hAnsi="Times New Roman" w:cs="Times New Roman"/>
                <w:sz w:val="20"/>
                <w:szCs w:val="20"/>
              </w:rPr>
            </w:pPr>
          </w:p>
        </w:tc>
      </w:tr>
      <w:tr w:rsidR="00776A46" w:rsidRPr="00F77095" w:rsidTr="00650EAF">
        <w:trPr>
          <w:jc w:val="center"/>
        </w:trPr>
        <w:tc>
          <w:tcPr>
            <w:tcW w:w="466" w:type="dxa"/>
          </w:tcPr>
          <w:p w:rsidR="00776A46" w:rsidRPr="00F77095" w:rsidRDefault="00776A46" w:rsidP="00650EAF">
            <w:pPr>
              <w:jc w:val="both"/>
              <w:rPr>
                <w:rFonts w:ascii="Times New Roman" w:hAnsi="Times New Roman" w:cs="Times New Roman"/>
                <w:sz w:val="20"/>
                <w:szCs w:val="20"/>
              </w:rPr>
            </w:pPr>
          </w:p>
        </w:tc>
        <w:tc>
          <w:tcPr>
            <w:tcW w:w="5971" w:type="dxa"/>
          </w:tcPr>
          <w:p w:rsidR="00776A46" w:rsidRPr="00F77095" w:rsidRDefault="00776A46" w:rsidP="00650EAF">
            <w:pPr>
              <w:jc w:val="both"/>
              <w:rPr>
                <w:rFonts w:ascii="Times New Roman" w:hAnsi="Times New Roman" w:cs="Times New Roman"/>
                <w:sz w:val="20"/>
                <w:szCs w:val="20"/>
              </w:rPr>
            </w:pPr>
            <w:r w:rsidRPr="00F77095">
              <w:rPr>
                <w:rFonts w:ascii="Times New Roman" w:hAnsi="Times New Roman" w:cs="Times New Roman"/>
                <w:sz w:val="20"/>
                <w:szCs w:val="20"/>
              </w:rPr>
              <w:t xml:space="preserve">   Total</w:t>
            </w:r>
          </w:p>
        </w:tc>
        <w:tc>
          <w:tcPr>
            <w:tcW w:w="768" w:type="dxa"/>
          </w:tcPr>
          <w:p w:rsidR="00776A46" w:rsidRPr="00F77095" w:rsidRDefault="00776A46" w:rsidP="00650EAF">
            <w:pPr>
              <w:jc w:val="both"/>
              <w:rPr>
                <w:rFonts w:ascii="Times New Roman" w:hAnsi="Times New Roman" w:cs="Times New Roman"/>
                <w:sz w:val="20"/>
                <w:szCs w:val="20"/>
              </w:rPr>
            </w:pPr>
          </w:p>
        </w:tc>
        <w:tc>
          <w:tcPr>
            <w:tcW w:w="1980" w:type="dxa"/>
          </w:tcPr>
          <w:p w:rsidR="00776A46" w:rsidRPr="00F77095" w:rsidRDefault="00776A46" w:rsidP="00650EAF">
            <w:pPr>
              <w:jc w:val="right"/>
              <w:rPr>
                <w:rFonts w:ascii="Times New Roman" w:hAnsi="Times New Roman" w:cs="Times New Roman"/>
                <w:sz w:val="20"/>
                <w:szCs w:val="20"/>
              </w:rPr>
            </w:pPr>
            <w:r w:rsidRPr="00F77095">
              <w:rPr>
                <w:rFonts w:ascii="Times New Roman" w:hAnsi="Times New Roman" w:cs="Times New Roman"/>
                <w:sz w:val="20"/>
                <w:szCs w:val="20"/>
                <w:u w:val="double"/>
              </w:rPr>
              <w:t>$0</w:t>
            </w:r>
          </w:p>
        </w:tc>
        <w:tc>
          <w:tcPr>
            <w:tcW w:w="268" w:type="dxa"/>
          </w:tcPr>
          <w:p w:rsidR="00776A46" w:rsidRPr="00F77095" w:rsidRDefault="00776A46" w:rsidP="00650EAF">
            <w:pPr>
              <w:jc w:val="both"/>
              <w:rPr>
                <w:rFonts w:ascii="Times New Roman" w:hAnsi="Times New Roman" w:cs="Times New Roman"/>
                <w:sz w:val="20"/>
                <w:szCs w:val="20"/>
              </w:rPr>
            </w:pPr>
          </w:p>
        </w:tc>
      </w:tr>
      <w:tr w:rsidR="00776A46" w:rsidRPr="00F77095" w:rsidTr="00650EAF">
        <w:trPr>
          <w:jc w:val="center"/>
        </w:trPr>
        <w:tc>
          <w:tcPr>
            <w:tcW w:w="466" w:type="dxa"/>
          </w:tcPr>
          <w:p w:rsidR="00776A46" w:rsidRPr="00F77095" w:rsidRDefault="00776A46" w:rsidP="00650EAF">
            <w:pPr>
              <w:jc w:val="both"/>
              <w:rPr>
                <w:rFonts w:ascii="Times New Roman" w:hAnsi="Times New Roman" w:cs="Times New Roman"/>
                <w:sz w:val="20"/>
                <w:szCs w:val="20"/>
              </w:rPr>
            </w:pPr>
          </w:p>
        </w:tc>
        <w:tc>
          <w:tcPr>
            <w:tcW w:w="5971" w:type="dxa"/>
          </w:tcPr>
          <w:p w:rsidR="00776A46" w:rsidRPr="00F77095" w:rsidRDefault="00776A46" w:rsidP="00650EAF">
            <w:pPr>
              <w:jc w:val="both"/>
              <w:rPr>
                <w:rFonts w:ascii="Times New Roman" w:hAnsi="Times New Roman" w:cs="Times New Roman"/>
                <w:sz w:val="20"/>
                <w:szCs w:val="20"/>
              </w:rPr>
            </w:pPr>
          </w:p>
        </w:tc>
        <w:tc>
          <w:tcPr>
            <w:tcW w:w="768" w:type="dxa"/>
          </w:tcPr>
          <w:p w:rsidR="00776A46" w:rsidRPr="00F77095" w:rsidRDefault="00776A46" w:rsidP="00650EAF">
            <w:pPr>
              <w:jc w:val="both"/>
              <w:rPr>
                <w:rFonts w:ascii="Times New Roman" w:hAnsi="Times New Roman" w:cs="Times New Roman"/>
                <w:sz w:val="20"/>
                <w:szCs w:val="20"/>
              </w:rPr>
            </w:pPr>
          </w:p>
        </w:tc>
        <w:tc>
          <w:tcPr>
            <w:tcW w:w="1980" w:type="dxa"/>
          </w:tcPr>
          <w:p w:rsidR="00776A46" w:rsidRPr="00F77095" w:rsidRDefault="00776A46" w:rsidP="00650EAF">
            <w:pPr>
              <w:jc w:val="right"/>
              <w:rPr>
                <w:rFonts w:ascii="Times New Roman" w:hAnsi="Times New Roman" w:cs="Times New Roman"/>
                <w:sz w:val="20"/>
                <w:szCs w:val="20"/>
              </w:rPr>
            </w:pPr>
          </w:p>
        </w:tc>
        <w:tc>
          <w:tcPr>
            <w:tcW w:w="268" w:type="dxa"/>
          </w:tcPr>
          <w:p w:rsidR="00776A46" w:rsidRPr="00F77095" w:rsidRDefault="00776A46" w:rsidP="00650EAF">
            <w:pPr>
              <w:jc w:val="both"/>
              <w:rPr>
                <w:rFonts w:ascii="Times New Roman" w:hAnsi="Times New Roman" w:cs="Times New Roman"/>
                <w:sz w:val="20"/>
                <w:szCs w:val="20"/>
              </w:rPr>
            </w:pPr>
          </w:p>
        </w:tc>
      </w:tr>
      <w:tr w:rsidR="00776A46" w:rsidRPr="00F77095" w:rsidTr="00650EAF">
        <w:trPr>
          <w:jc w:val="center"/>
        </w:trPr>
        <w:tc>
          <w:tcPr>
            <w:tcW w:w="466" w:type="dxa"/>
          </w:tcPr>
          <w:p w:rsidR="00776A46" w:rsidRPr="00F77095" w:rsidRDefault="00776A46" w:rsidP="00650EAF">
            <w:pPr>
              <w:jc w:val="both"/>
              <w:rPr>
                <w:rFonts w:ascii="Times New Roman" w:hAnsi="Times New Roman" w:cs="Times New Roman"/>
                <w:b/>
                <w:sz w:val="20"/>
                <w:szCs w:val="20"/>
              </w:rPr>
            </w:pPr>
          </w:p>
        </w:tc>
        <w:tc>
          <w:tcPr>
            <w:tcW w:w="5971" w:type="dxa"/>
          </w:tcPr>
          <w:p w:rsidR="00776A46" w:rsidRPr="00F77095" w:rsidRDefault="00776A46" w:rsidP="00650EAF">
            <w:pPr>
              <w:jc w:val="both"/>
              <w:rPr>
                <w:rFonts w:ascii="Times New Roman" w:hAnsi="Times New Roman" w:cs="Times New Roman"/>
                <w:b/>
                <w:sz w:val="20"/>
                <w:szCs w:val="20"/>
              </w:rPr>
            </w:pPr>
            <w:r w:rsidRPr="00F77095">
              <w:rPr>
                <w:rFonts w:ascii="Times New Roman" w:hAnsi="Times New Roman" w:cs="Times New Roman"/>
                <w:b/>
                <w:sz w:val="20"/>
                <w:szCs w:val="20"/>
              </w:rPr>
              <w:t>TAXES OTHER THAN INCOME</w:t>
            </w:r>
          </w:p>
        </w:tc>
        <w:tc>
          <w:tcPr>
            <w:tcW w:w="768" w:type="dxa"/>
          </w:tcPr>
          <w:p w:rsidR="00776A46" w:rsidRPr="00F77095" w:rsidRDefault="00776A46" w:rsidP="00650EAF">
            <w:pPr>
              <w:jc w:val="both"/>
              <w:rPr>
                <w:rFonts w:ascii="Times New Roman" w:hAnsi="Times New Roman" w:cs="Times New Roman"/>
                <w:b/>
                <w:sz w:val="20"/>
                <w:szCs w:val="20"/>
              </w:rPr>
            </w:pPr>
          </w:p>
        </w:tc>
        <w:tc>
          <w:tcPr>
            <w:tcW w:w="1980" w:type="dxa"/>
          </w:tcPr>
          <w:p w:rsidR="00776A46" w:rsidRPr="00F77095" w:rsidRDefault="00776A46" w:rsidP="00650EAF">
            <w:pPr>
              <w:jc w:val="right"/>
              <w:rPr>
                <w:rFonts w:ascii="Times New Roman" w:hAnsi="Times New Roman" w:cs="Times New Roman"/>
                <w:sz w:val="20"/>
                <w:szCs w:val="20"/>
              </w:rPr>
            </w:pPr>
          </w:p>
        </w:tc>
        <w:tc>
          <w:tcPr>
            <w:tcW w:w="268" w:type="dxa"/>
          </w:tcPr>
          <w:p w:rsidR="00776A46" w:rsidRPr="00F77095" w:rsidRDefault="00776A46" w:rsidP="00650EAF">
            <w:pPr>
              <w:jc w:val="both"/>
              <w:rPr>
                <w:rFonts w:ascii="Times New Roman" w:hAnsi="Times New Roman" w:cs="Times New Roman"/>
                <w:b/>
                <w:sz w:val="20"/>
                <w:szCs w:val="20"/>
              </w:rPr>
            </w:pPr>
          </w:p>
        </w:tc>
      </w:tr>
      <w:tr w:rsidR="00776A46" w:rsidRPr="00F77095" w:rsidTr="00650EAF">
        <w:trPr>
          <w:jc w:val="center"/>
        </w:trPr>
        <w:tc>
          <w:tcPr>
            <w:tcW w:w="466" w:type="dxa"/>
          </w:tcPr>
          <w:p w:rsidR="00776A46" w:rsidRPr="00F77095" w:rsidRDefault="00776A46" w:rsidP="00650EAF">
            <w:pPr>
              <w:jc w:val="both"/>
              <w:rPr>
                <w:rFonts w:ascii="Times New Roman" w:hAnsi="Times New Roman" w:cs="Times New Roman"/>
                <w:sz w:val="20"/>
                <w:szCs w:val="20"/>
              </w:rPr>
            </w:pPr>
            <w:r w:rsidRPr="00F77095">
              <w:rPr>
                <w:rFonts w:ascii="Times New Roman" w:hAnsi="Times New Roman" w:cs="Times New Roman"/>
                <w:sz w:val="20"/>
                <w:szCs w:val="20"/>
              </w:rPr>
              <w:t>1.</w:t>
            </w:r>
          </w:p>
        </w:tc>
        <w:tc>
          <w:tcPr>
            <w:tcW w:w="5971" w:type="dxa"/>
          </w:tcPr>
          <w:p w:rsidR="00776A46" w:rsidRPr="00F77095" w:rsidRDefault="00776A46" w:rsidP="00650EAF">
            <w:pPr>
              <w:jc w:val="both"/>
              <w:rPr>
                <w:rFonts w:ascii="Times New Roman" w:hAnsi="Times New Roman" w:cs="Times New Roman"/>
                <w:sz w:val="20"/>
                <w:szCs w:val="20"/>
              </w:rPr>
            </w:pPr>
            <w:r w:rsidRPr="00F77095">
              <w:rPr>
                <w:rFonts w:ascii="Times New Roman" w:hAnsi="Times New Roman" w:cs="Times New Roman"/>
                <w:sz w:val="20"/>
                <w:szCs w:val="20"/>
              </w:rPr>
              <w:t>To reflect an auditing adjustment to 2020 property taxes.</w:t>
            </w:r>
          </w:p>
        </w:tc>
        <w:tc>
          <w:tcPr>
            <w:tcW w:w="768" w:type="dxa"/>
          </w:tcPr>
          <w:p w:rsidR="00776A46" w:rsidRPr="00F77095" w:rsidRDefault="00776A46" w:rsidP="00650EAF">
            <w:pPr>
              <w:jc w:val="both"/>
              <w:rPr>
                <w:rFonts w:ascii="Times New Roman" w:hAnsi="Times New Roman" w:cs="Times New Roman"/>
                <w:sz w:val="20"/>
                <w:szCs w:val="20"/>
              </w:rPr>
            </w:pPr>
          </w:p>
        </w:tc>
        <w:tc>
          <w:tcPr>
            <w:tcW w:w="1980" w:type="dxa"/>
          </w:tcPr>
          <w:p w:rsidR="00776A46" w:rsidRPr="00F77095" w:rsidRDefault="00776A46" w:rsidP="00650EAF">
            <w:pPr>
              <w:jc w:val="right"/>
              <w:rPr>
                <w:rFonts w:ascii="Times New Roman" w:hAnsi="Times New Roman" w:cs="Times New Roman"/>
                <w:sz w:val="20"/>
                <w:szCs w:val="20"/>
                <w:u w:val="double"/>
              </w:rPr>
            </w:pPr>
            <w:r w:rsidRPr="00F77095">
              <w:rPr>
                <w:rFonts w:ascii="Times New Roman" w:hAnsi="Times New Roman" w:cs="Times New Roman"/>
                <w:sz w:val="20"/>
                <w:szCs w:val="20"/>
              </w:rPr>
              <w:t>($131)</w:t>
            </w:r>
          </w:p>
        </w:tc>
        <w:tc>
          <w:tcPr>
            <w:tcW w:w="268" w:type="dxa"/>
          </w:tcPr>
          <w:p w:rsidR="00776A46" w:rsidRPr="00F77095" w:rsidRDefault="00776A46" w:rsidP="00650EAF">
            <w:pPr>
              <w:jc w:val="both"/>
              <w:rPr>
                <w:rFonts w:ascii="Times New Roman" w:hAnsi="Times New Roman" w:cs="Times New Roman"/>
                <w:sz w:val="20"/>
                <w:szCs w:val="20"/>
              </w:rPr>
            </w:pPr>
          </w:p>
        </w:tc>
      </w:tr>
      <w:tr w:rsidR="00776A46" w:rsidRPr="00F77095" w:rsidTr="00650EAF">
        <w:trPr>
          <w:jc w:val="center"/>
        </w:trPr>
        <w:tc>
          <w:tcPr>
            <w:tcW w:w="466" w:type="dxa"/>
          </w:tcPr>
          <w:p w:rsidR="00776A46" w:rsidRPr="00F77095" w:rsidRDefault="00776A46" w:rsidP="00650EAF">
            <w:pPr>
              <w:jc w:val="both"/>
              <w:rPr>
                <w:rFonts w:ascii="Times New Roman" w:hAnsi="Times New Roman" w:cs="Times New Roman"/>
                <w:sz w:val="20"/>
                <w:szCs w:val="20"/>
              </w:rPr>
            </w:pPr>
            <w:r w:rsidRPr="00F77095">
              <w:rPr>
                <w:rFonts w:ascii="Times New Roman" w:hAnsi="Times New Roman" w:cs="Times New Roman"/>
                <w:sz w:val="20"/>
                <w:szCs w:val="20"/>
              </w:rPr>
              <w:t>2.</w:t>
            </w:r>
          </w:p>
          <w:p w:rsidR="00776A46" w:rsidRPr="00F77095" w:rsidRDefault="00776A46" w:rsidP="00650EAF">
            <w:pPr>
              <w:jc w:val="both"/>
              <w:rPr>
                <w:rFonts w:ascii="Times New Roman" w:hAnsi="Times New Roman" w:cs="Times New Roman"/>
                <w:sz w:val="20"/>
                <w:szCs w:val="20"/>
              </w:rPr>
            </w:pPr>
            <w:r w:rsidRPr="00F77095">
              <w:rPr>
                <w:rFonts w:ascii="Times New Roman" w:hAnsi="Times New Roman" w:cs="Times New Roman"/>
                <w:sz w:val="20"/>
                <w:szCs w:val="20"/>
              </w:rPr>
              <w:t>3.</w:t>
            </w:r>
          </w:p>
        </w:tc>
        <w:tc>
          <w:tcPr>
            <w:tcW w:w="5971" w:type="dxa"/>
          </w:tcPr>
          <w:p w:rsidR="00776A46" w:rsidRPr="00F77095" w:rsidRDefault="00776A46" w:rsidP="00650EAF">
            <w:pPr>
              <w:jc w:val="both"/>
              <w:rPr>
                <w:rFonts w:ascii="Times New Roman" w:hAnsi="Times New Roman" w:cs="Times New Roman"/>
                <w:sz w:val="20"/>
                <w:szCs w:val="20"/>
              </w:rPr>
            </w:pPr>
            <w:r w:rsidRPr="00F77095">
              <w:rPr>
                <w:rFonts w:ascii="Times New Roman" w:hAnsi="Times New Roman" w:cs="Times New Roman"/>
                <w:sz w:val="20"/>
                <w:szCs w:val="20"/>
              </w:rPr>
              <w:t>To reflect appropriate test year RAFs.</w:t>
            </w:r>
          </w:p>
          <w:p w:rsidR="00776A46" w:rsidRPr="00F77095" w:rsidRDefault="00776A46" w:rsidP="00650EAF">
            <w:pPr>
              <w:jc w:val="both"/>
              <w:rPr>
                <w:rFonts w:ascii="Times New Roman" w:hAnsi="Times New Roman" w:cs="Times New Roman"/>
                <w:sz w:val="20"/>
                <w:szCs w:val="20"/>
              </w:rPr>
            </w:pPr>
            <w:r w:rsidRPr="00F77095">
              <w:rPr>
                <w:rFonts w:ascii="Times New Roman" w:hAnsi="Times New Roman" w:cs="Times New Roman"/>
                <w:sz w:val="20"/>
                <w:szCs w:val="20"/>
              </w:rPr>
              <w:t>To reflect 2021 property taxes.</w:t>
            </w:r>
          </w:p>
        </w:tc>
        <w:tc>
          <w:tcPr>
            <w:tcW w:w="768" w:type="dxa"/>
          </w:tcPr>
          <w:p w:rsidR="00776A46" w:rsidRPr="00F77095" w:rsidRDefault="00776A46" w:rsidP="00650EAF">
            <w:pPr>
              <w:jc w:val="both"/>
              <w:rPr>
                <w:rFonts w:ascii="Times New Roman" w:hAnsi="Times New Roman" w:cs="Times New Roman"/>
                <w:sz w:val="20"/>
                <w:szCs w:val="20"/>
              </w:rPr>
            </w:pPr>
          </w:p>
        </w:tc>
        <w:tc>
          <w:tcPr>
            <w:tcW w:w="1980" w:type="dxa"/>
          </w:tcPr>
          <w:p w:rsidR="00776A46" w:rsidRPr="00F77095" w:rsidRDefault="00776A46" w:rsidP="00650EAF">
            <w:pPr>
              <w:jc w:val="right"/>
              <w:rPr>
                <w:rFonts w:ascii="Times New Roman" w:hAnsi="Times New Roman" w:cs="Times New Roman"/>
                <w:sz w:val="20"/>
                <w:szCs w:val="20"/>
              </w:rPr>
            </w:pPr>
            <w:r w:rsidRPr="00F77095">
              <w:rPr>
                <w:rFonts w:ascii="Times New Roman" w:hAnsi="Times New Roman" w:cs="Times New Roman"/>
                <w:sz w:val="20"/>
                <w:szCs w:val="20"/>
              </w:rPr>
              <w:t>64</w:t>
            </w:r>
          </w:p>
          <w:p w:rsidR="00776A46" w:rsidRPr="00F77095" w:rsidRDefault="00776A46" w:rsidP="00650EAF">
            <w:pPr>
              <w:jc w:val="right"/>
              <w:rPr>
                <w:rFonts w:ascii="Times New Roman" w:hAnsi="Times New Roman" w:cs="Times New Roman"/>
                <w:sz w:val="20"/>
                <w:szCs w:val="20"/>
                <w:u w:val="single"/>
              </w:rPr>
            </w:pPr>
            <w:r w:rsidRPr="00F77095">
              <w:rPr>
                <w:rFonts w:ascii="Times New Roman" w:hAnsi="Times New Roman" w:cs="Times New Roman"/>
                <w:sz w:val="20"/>
                <w:szCs w:val="20"/>
                <w:u w:val="single"/>
              </w:rPr>
              <w:t>(59)</w:t>
            </w:r>
          </w:p>
        </w:tc>
        <w:tc>
          <w:tcPr>
            <w:tcW w:w="268" w:type="dxa"/>
          </w:tcPr>
          <w:p w:rsidR="00776A46" w:rsidRPr="00F77095" w:rsidRDefault="00776A46" w:rsidP="00650EAF">
            <w:pPr>
              <w:jc w:val="both"/>
              <w:rPr>
                <w:rFonts w:ascii="Times New Roman" w:hAnsi="Times New Roman" w:cs="Times New Roman"/>
                <w:sz w:val="20"/>
                <w:szCs w:val="20"/>
              </w:rPr>
            </w:pPr>
          </w:p>
        </w:tc>
      </w:tr>
      <w:tr w:rsidR="00776A46" w:rsidRPr="00F77095" w:rsidTr="00650EAF">
        <w:trPr>
          <w:jc w:val="center"/>
        </w:trPr>
        <w:tc>
          <w:tcPr>
            <w:tcW w:w="466" w:type="dxa"/>
          </w:tcPr>
          <w:p w:rsidR="00776A46" w:rsidRPr="00F77095" w:rsidRDefault="00776A46" w:rsidP="00650EAF">
            <w:pPr>
              <w:jc w:val="both"/>
              <w:rPr>
                <w:rFonts w:ascii="Times New Roman" w:hAnsi="Times New Roman" w:cs="Times New Roman"/>
                <w:sz w:val="20"/>
                <w:szCs w:val="20"/>
              </w:rPr>
            </w:pPr>
          </w:p>
        </w:tc>
        <w:tc>
          <w:tcPr>
            <w:tcW w:w="5971" w:type="dxa"/>
          </w:tcPr>
          <w:p w:rsidR="00776A46" w:rsidRPr="00F77095" w:rsidRDefault="00776A46" w:rsidP="00650EAF">
            <w:pPr>
              <w:jc w:val="both"/>
              <w:rPr>
                <w:rFonts w:ascii="Times New Roman" w:hAnsi="Times New Roman" w:cs="Times New Roman"/>
                <w:sz w:val="20"/>
                <w:szCs w:val="20"/>
              </w:rPr>
            </w:pPr>
            <w:r w:rsidRPr="00F77095">
              <w:rPr>
                <w:rFonts w:ascii="Times New Roman" w:hAnsi="Times New Roman" w:cs="Times New Roman"/>
                <w:sz w:val="20"/>
                <w:szCs w:val="20"/>
              </w:rPr>
              <w:t xml:space="preserve">   Total</w:t>
            </w:r>
          </w:p>
        </w:tc>
        <w:tc>
          <w:tcPr>
            <w:tcW w:w="768" w:type="dxa"/>
          </w:tcPr>
          <w:p w:rsidR="00776A46" w:rsidRPr="00F77095" w:rsidRDefault="00776A46" w:rsidP="00650EAF">
            <w:pPr>
              <w:jc w:val="both"/>
              <w:rPr>
                <w:rFonts w:ascii="Times New Roman" w:hAnsi="Times New Roman" w:cs="Times New Roman"/>
                <w:sz w:val="20"/>
                <w:szCs w:val="20"/>
              </w:rPr>
            </w:pPr>
          </w:p>
        </w:tc>
        <w:tc>
          <w:tcPr>
            <w:tcW w:w="1980" w:type="dxa"/>
          </w:tcPr>
          <w:p w:rsidR="00776A46" w:rsidRPr="00F77095" w:rsidRDefault="00776A46" w:rsidP="00650EAF">
            <w:pPr>
              <w:jc w:val="right"/>
              <w:rPr>
                <w:rFonts w:ascii="Times New Roman" w:hAnsi="Times New Roman" w:cs="Times New Roman"/>
                <w:sz w:val="20"/>
                <w:szCs w:val="20"/>
                <w:u w:val="single"/>
              </w:rPr>
            </w:pPr>
            <w:r w:rsidRPr="00F77095">
              <w:rPr>
                <w:rFonts w:ascii="Times New Roman" w:hAnsi="Times New Roman" w:cs="Times New Roman"/>
                <w:sz w:val="20"/>
                <w:szCs w:val="20"/>
                <w:u w:val="double"/>
              </w:rPr>
              <w:t>$126</w:t>
            </w:r>
          </w:p>
        </w:tc>
        <w:tc>
          <w:tcPr>
            <w:tcW w:w="268" w:type="dxa"/>
          </w:tcPr>
          <w:p w:rsidR="00776A46" w:rsidRPr="00F77095" w:rsidRDefault="00776A46" w:rsidP="00650EAF">
            <w:pPr>
              <w:jc w:val="both"/>
              <w:rPr>
                <w:rFonts w:ascii="Times New Roman" w:hAnsi="Times New Roman" w:cs="Times New Roman"/>
                <w:sz w:val="20"/>
                <w:szCs w:val="20"/>
              </w:rPr>
            </w:pPr>
          </w:p>
        </w:tc>
      </w:tr>
      <w:tr w:rsidR="00776A46" w:rsidRPr="00F77095" w:rsidTr="00650EAF">
        <w:trPr>
          <w:jc w:val="center"/>
        </w:trPr>
        <w:tc>
          <w:tcPr>
            <w:tcW w:w="466" w:type="dxa"/>
          </w:tcPr>
          <w:p w:rsidR="00776A46" w:rsidRPr="00F77095" w:rsidRDefault="00776A46" w:rsidP="00650EAF">
            <w:pPr>
              <w:jc w:val="both"/>
              <w:rPr>
                <w:rFonts w:ascii="Times New Roman" w:hAnsi="Times New Roman" w:cs="Times New Roman"/>
                <w:sz w:val="20"/>
                <w:szCs w:val="20"/>
              </w:rPr>
            </w:pPr>
          </w:p>
        </w:tc>
        <w:tc>
          <w:tcPr>
            <w:tcW w:w="5971" w:type="dxa"/>
          </w:tcPr>
          <w:p w:rsidR="00776A46" w:rsidRPr="00F77095" w:rsidRDefault="00776A46" w:rsidP="00650EAF">
            <w:pPr>
              <w:jc w:val="both"/>
              <w:rPr>
                <w:rFonts w:ascii="Times New Roman" w:hAnsi="Times New Roman" w:cs="Times New Roman"/>
                <w:sz w:val="20"/>
                <w:szCs w:val="20"/>
              </w:rPr>
            </w:pPr>
          </w:p>
        </w:tc>
        <w:tc>
          <w:tcPr>
            <w:tcW w:w="768" w:type="dxa"/>
          </w:tcPr>
          <w:p w:rsidR="00776A46" w:rsidRPr="00F77095" w:rsidRDefault="00776A46" w:rsidP="00650EAF">
            <w:pPr>
              <w:jc w:val="both"/>
              <w:rPr>
                <w:rFonts w:ascii="Times New Roman" w:hAnsi="Times New Roman" w:cs="Times New Roman"/>
                <w:sz w:val="20"/>
                <w:szCs w:val="20"/>
              </w:rPr>
            </w:pPr>
          </w:p>
        </w:tc>
        <w:tc>
          <w:tcPr>
            <w:tcW w:w="1980" w:type="dxa"/>
          </w:tcPr>
          <w:p w:rsidR="00776A46" w:rsidRPr="00F77095" w:rsidRDefault="00776A46" w:rsidP="00650EAF">
            <w:pPr>
              <w:jc w:val="right"/>
              <w:rPr>
                <w:rFonts w:ascii="Times New Roman" w:hAnsi="Times New Roman" w:cs="Times New Roman"/>
                <w:sz w:val="20"/>
                <w:szCs w:val="20"/>
                <w:u w:val="single"/>
              </w:rPr>
            </w:pPr>
          </w:p>
        </w:tc>
        <w:tc>
          <w:tcPr>
            <w:tcW w:w="268" w:type="dxa"/>
          </w:tcPr>
          <w:p w:rsidR="00776A46" w:rsidRPr="00F77095" w:rsidRDefault="00776A46" w:rsidP="00650EAF">
            <w:pPr>
              <w:jc w:val="both"/>
              <w:rPr>
                <w:rFonts w:ascii="Times New Roman" w:hAnsi="Times New Roman" w:cs="Times New Roman"/>
                <w:sz w:val="20"/>
                <w:szCs w:val="20"/>
              </w:rPr>
            </w:pPr>
          </w:p>
        </w:tc>
      </w:tr>
      <w:tr w:rsidR="00776A46" w:rsidRPr="00F77095" w:rsidTr="00650EAF">
        <w:trPr>
          <w:trHeight w:val="297"/>
          <w:jc w:val="center"/>
        </w:trPr>
        <w:tc>
          <w:tcPr>
            <w:tcW w:w="466" w:type="dxa"/>
          </w:tcPr>
          <w:p w:rsidR="00776A46" w:rsidRPr="00F77095" w:rsidRDefault="00776A46" w:rsidP="00650EAF">
            <w:pPr>
              <w:jc w:val="both"/>
              <w:rPr>
                <w:rFonts w:ascii="Times New Roman" w:hAnsi="Times New Roman" w:cs="Times New Roman"/>
                <w:b/>
                <w:sz w:val="20"/>
                <w:szCs w:val="20"/>
              </w:rPr>
            </w:pPr>
          </w:p>
        </w:tc>
        <w:tc>
          <w:tcPr>
            <w:tcW w:w="5971" w:type="dxa"/>
          </w:tcPr>
          <w:p w:rsidR="00776A46" w:rsidRPr="00F77095" w:rsidRDefault="00776A46" w:rsidP="00650EAF">
            <w:pPr>
              <w:jc w:val="both"/>
              <w:rPr>
                <w:rFonts w:ascii="Times New Roman" w:hAnsi="Times New Roman" w:cs="Times New Roman"/>
                <w:b/>
                <w:sz w:val="20"/>
                <w:szCs w:val="20"/>
              </w:rPr>
            </w:pPr>
            <w:r w:rsidRPr="00F77095">
              <w:rPr>
                <w:rFonts w:ascii="Times New Roman" w:hAnsi="Times New Roman" w:cs="Times New Roman"/>
                <w:b/>
                <w:sz w:val="20"/>
                <w:szCs w:val="20"/>
              </w:rPr>
              <w:t>TOTAL OPERATING EXPENSE</w:t>
            </w:r>
          </w:p>
        </w:tc>
        <w:tc>
          <w:tcPr>
            <w:tcW w:w="768" w:type="dxa"/>
          </w:tcPr>
          <w:p w:rsidR="00776A46" w:rsidRPr="00F77095" w:rsidRDefault="00776A46" w:rsidP="00650EAF">
            <w:pPr>
              <w:jc w:val="both"/>
              <w:rPr>
                <w:rFonts w:ascii="Times New Roman" w:hAnsi="Times New Roman" w:cs="Times New Roman"/>
                <w:b/>
                <w:sz w:val="20"/>
                <w:szCs w:val="20"/>
              </w:rPr>
            </w:pPr>
          </w:p>
        </w:tc>
        <w:tc>
          <w:tcPr>
            <w:tcW w:w="1980" w:type="dxa"/>
          </w:tcPr>
          <w:p w:rsidR="00776A46" w:rsidRPr="00F77095" w:rsidRDefault="00776A46" w:rsidP="00650EAF">
            <w:pPr>
              <w:jc w:val="right"/>
              <w:rPr>
                <w:rFonts w:ascii="Times New Roman" w:hAnsi="Times New Roman" w:cs="Times New Roman"/>
                <w:sz w:val="20"/>
                <w:szCs w:val="20"/>
                <w:u w:val="double"/>
              </w:rPr>
            </w:pPr>
            <w:r w:rsidRPr="00F77095">
              <w:rPr>
                <w:rFonts w:ascii="Times New Roman" w:hAnsi="Times New Roman" w:cs="Times New Roman"/>
                <w:sz w:val="20"/>
                <w:szCs w:val="20"/>
                <w:u w:val="double"/>
              </w:rPr>
              <w:t>$125</w:t>
            </w:r>
          </w:p>
        </w:tc>
        <w:tc>
          <w:tcPr>
            <w:tcW w:w="268" w:type="dxa"/>
          </w:tcPr>
          <w:p w:rsidR="00776A46" w:rsidRPr="00F77095" w:rsidRDefault="00776A46" w:rsidP="00650EAF">
            <w:pPr>
              <w:jc w:val="both"/>
              <w:rPr>
                <w:rFonts w:ascii="Times New Roman" w:hAnsi="Times New Roman" w:cs="Times New Roman"/>
                <w:b/>
                <w:sz w:val="20"/>
                <w:szCs w:val="20"/>
              </w:rPr>
            </w:pPr>
          </w:p>
        </w:tc>
      </w:tr>
    </w:tbl>
    <w:p w:rsidR="00776A46" w:rsidRDefault="00776A46" w:rsidP="009B5CD6">
      <w:pPr>
        <w:tabs>
          <w:tab w:val="left" w:pos="8625"/>
        </w:tabs>
        <w:jc w:val="center"/>
        <w:sectPr w:rsidR="00776A46" w:rsidSect="00776A46">
          <w:headerReference w:type="default" r:id="rId18"/>
          <w:pgSz w:w="12240" w:h="15840" w:code="1"/>
          <w:pgMar w:top="1584" w:right="1440" w:bottom="1440" w:left="1440" w:header="720" w:footer="720" w:gutter="0"/>
          <w:cols w:space="720"/>
          <w:formProt w:val="0"/>
          <w:docGrid w:linePitch="360"/>
        </w:sectPr>
      </w:pPr>
    </w:p>
    <w:tbl>
      <w:tblPr>
        <w:tblStyle w:val="TableGrid13"/>
        <w:tblW w:w="9310" w:type="dxa"/>
        <w:jc w:val="center"/>
        <w:tblBorders>
          <w:insideH w:val="none" w:sz="0" w:space="0" w:color="auto"/>
          <w:insideV w:val="none" w:sz="0" w:space="0" w:color="auto"/>
        </w:tblBorders>
        <w:tblLook w:val="04A0" w:firstRow="1" w:lastRow="0" w:firstColumn="1" w:lastColumn="0" w:noHBand="0" w:noVBand="1"/>
      </w:tblPr>
      <w:tblGrid>
        <w:gridCol w:w="239"/>
        <w:gridCol w:w="1222"/>
        <w:gridCol w:w="3834"/>
        <w:gridCol w:w="1321"/>
        <w:gridCol w:w="1321"/>
        <w:gridCol w:w="1135"/>
        <w:gridCol w:w="238"/>
      </w:tblGrid>
      <w:tr w:rsidR="00776A46" w:rsidRPr="00F77095" w:rsidTr="00650EAF">
        <w:trPr>
          <w:trHeight w:val="291"/>
          <w:jc w:val="center"/>
        </w:trPr>
        <w:tc>
          <w:tcPr>
            <w:tcW w:w="0" w:type="auto"/>
            <w:tcBorders>
              <w:top w:val="single" w:sz="4" w:space="0" w:color="auto"/>
              <w:bottom w:val="nil"/>
            </w:tcBorders>
          </w:tcPr>
          <w:p w:rsidR="00776A46" w:rsidRPr="00F77095" w:rsidRDefault="00776A46" w:rsidP="00650EAF">
            <w:pPr>
              <w:jc w:val="both"/>
              <w:rPr>
                <w:rFonts w:ascii="Times New Roman" w:hAnsi="Times New Roman" w:cs="Times New Roman"/>
                <w:b/>
              </w:rPr>
            </w:pPr>
          </w:p>
        </w:tc>
        <w:tc>
          <w:tcPr>
            <w:tcW w:w="0" w:type="auto"/>
            <w:gridSpan w:val="2"/>
            <w:tcBorders>
              <w:top w:val="single" w:sz="4" w:space="0" w:color="auto"/>
              <w:bottom w:val="nil"/>
            </w:tcBorders>
          </w:tcPr>
          <w:p w:rsidR="00776A46" w:rsidRPr="00F77095" w:rsidRDefault="00776A46" w:rsidP="00650EAF">
            <w:pPr>
              <w:jc w:val="both"/>
              <w:rPr>
                <w:rFonts w:ascii="Times New Roman" w:hAnsi="Times New Roman" w:cs="Times New Roman"/>
                <w:b/>
              </w:rPr>
            </w:pPr>
            <w:r w:rsidRPr="00F77095">
              <w:rPr>
                <w:rFonts w:ascii="Times New Roman" w:hAnsi="Times New Roman" w:cs="Times New Roman"/>
                <w:b/>
              </w:rPr>
              <w:t xml:space="preserve">BRENDENWOOD WATERWORKS, INC. </w:t>
            </w:r>
          </w:p>
        </w:tc>
        <w:tc>
          <w:tcPr>
            <w:tcW w:w="0" w:type="auto"/>
            <w:gridSpan w:val="3"/>
            <w:tcBorders>
              <w:top w:val="single" w:sz="4" w:space="0" w:color="auto"/>
              <w:bottom w:val="nil"/>
            </w:tcBorders>
          </w:tcPr>
          <w:p w:rsidR="00776A46" w:rsidRPr="00F77095" w:rsidRDefault="00776A46" w:rsidP="00650EAF">
            <w:pPr>
              <w:jc w:val="right"/>
              <w:rPr>
                <w:rFonts w:ascii="Times New Roman" w:hAnsi="Times New Roman" w:cs="Times New Roman"/>
                <w:b/>
              </w:rPr>
            </w:pPr>
            <w:r w:rsidRPr="00F77095">
              <w:rPr>
                <w:rFonts w:ascii="Times New Roman" w:hAnsi="Times New Roman" w:cs="Times New Roman"/>
                <w:b/>
              </w:rPr>
              <w:t>SCHEDULE NO. 3-C</w:t>
            </w:r>
          </w:p>
        </w:tc>
        <w:tc>
          <w:tcPr>
            <w:tcW w:w="0" w:type="auto"/>
            <w:tcBorders>
              <w:top w:val="single" w:sz="4" w:space="0" w:color="auto"/>
              <w:bottom w:val="nil"/>
            </w:tcBorders>
          </w:tcPr>
          <w:p w:rsidR="00776A46" w:rsidRPr="00F77095" w:rsidRDefault="00776A46" w:rsidP="00650EAF">
            <w:pPr>
              <w:jc w:val="both"/>
              <w:rPr>
                <w:rFonts w:ascii="Times New Roman" w:hAnsi="Times New Roman" w:cs="Times New Roman"/>
                <w:b/>
              </w:rPr>
            </w:pPr>
          </w:p>
        </w:tc>
      </w:tr>
      <w:tr w:rsidR="00776A46" w:rsidRPr="00F77095" w:rsidTr="00650EAF">
        <w:trPr>
          <w:trHeight w:val="291"/>
          <w:jc w:val="center"/>
        </w:trPr>
        <w:tc>
          <w:tcPr>
            <w:tcW w:w="0" w:type="auto"/>
            <w:tcBorders>
              <w:top w:val="nil"/>
              <w:bottom w:val="nil"/>
            </w:tcBorders>
          </w:tcPr>
          <w:p w:rsidR="00776A46" w:rsidRPr="00F77095" w:rsidRDefault="00776A46" w:rsidP="00650EAF">
            <w:pPr>
              <w:jc w:val="both"/>
              <w:rPr>
                <w:rFonts w:ascii="Times New Roman" w:hAnsi="Times New Roman" w:cs="Times New Roman"/>
                <w:b/>
              </w:rPr>
            </w:pPr>
          </w:p>
        </w:tc>
        <w:tc>
          <w:tcPr>
            <w:tcW w:w="0" w:type="auto"/>
            <w:gridSpan w:val="2"/>
            <w:tcBorders>
              <w:top w:val="nil"/>
              <w:bottom w:val="nil"/>
            </w:tcBorders>
          </w:tcPr>
          <w:p w:rsidR="00776A46" w:rsidRPr="00F77095" w:rsidRDefault="00776A46" w:rsidP="00650EAF">
            <w:pPr>
              <w:jc w:val="both"/>
              <w:rPr>
                <w:rFonts w:ascii="Times New Roman" w:hAnsi="Times New Roman" w:cs="Times New Roman"/>
                <w:b/>
              </w:rPr>
            </w:pPr>
            <w:r w:rsidRPr="00F77095">
              <w:rPr>
                <w:rFonts w:ascii="Times New Roman" w:hAnsi="Times New Roman" w:cs="Times New Roman"/>
                <w:b/>
              </w:rPr>
              <w:t>TEST YEAR ENDED 12/31/2020</w:t>
            </w:r>
          </w:p>
        </w:tc>
        <w:tc>
          <w:tcPr>
            <w:tcW w:w="0" w:type="auto"/>
            <w:gridSpan w:val="3"/>
            <w:tcBorders>
              <w:top w:val="nil"/>
              <w:bottom w:val="nil"/>
            </w:tcBorders>
          </w:tcPr>
          <w:p w:rsidR="00776A46" w:rsidRPr="00F77095" w:rsidRDefault="00776A46" w:rsidP="00650EAF">
            <w:pPr>
              <w:jc w:val="right"/>
              <w:rPr>
                <w:rFonts w:ascii="Times New Roman" w:hAnsi="Times New Roman" w:cs="Times New Roman"/>
                <w:b/>
              </w:rPr>
            </w:pPr>
            <w:r w:rsidRPr="00F77095">
              <w:rPr>
                <w:rFonts w:ascii="Times New Roman" w:hAnsi="Times New Roman" w:cs="Times New Roman"/>
                <w:b/>
              </w:rPr>
              <w:t>DOCKET NO. 20210055-WU</w:t>
            </w:r>
          </w:p>
        </w:tc>
        <w:tc>
          <w:tcPr>
            <w:tcW w:w="0" w:type="auto"/>
            <w:tcBorders>
              <w:top w:val="nil"/>
              <w:bottom w:val="nil"/>
            </w:tcBorders>
          </w:tcPr>
          <w:p w:rsidR="00776A46" w:rsidRPr="00F77095" w:rsidRDefault="00776A46" w:rsidP="00650EAF">
            <w:pPr>
              <w:jc w:val="both"/>
              <w:rPr>
                <w:rFonts w:ascii="Times New Roman" w:hAnsi="Times New Roman" w:cs="Times New Roman"/>
                <w:b/>
              </w:rPr>
            </w:pPr>
          </w:p>
        </w:tc>
      </w:tr>
      <w:tr w:rsidR="00776A46" w:rsidRPr="00F77095" w:rsidTr="00650EAF">
        <w:trPr>
          <w:trHeight w:val="307"/>
          <w:jc w:val="center"/>
        </w:trPr>
        <w:tc>
          <w:tcPr>
            <w:tcW w:w="0" w:type="auto"/>
            <w:tcBorders>
              <w:top w:val="nil"/>
              <w:bottom w:val="single" w:sz="4" w:space="0" w:color="auto"/>
            </w:tcBorders>
          </w:tcPr>
          <w:p w:rsidR="00776A46" w:rsidRPr="00F77095" w:rsidRDefault="00776A46" w:rsidP="00650EAF">
            <w:pPr>
              <w:jc w:val="both"/>
              <w:rPr>
                <w:rFonts w:ascii="Times New Roman" w:hAnsi="Times New Roman" w:cs="Times New Roman"/>
                <w:b/>
              </w:rPr>
            </w:pPr>
          </w:p>
        </w:tc>
        <w:tc>
          <w:tcPr>
            <w:tcW w:w="0" w:type="auto"/>
            <w:gridSpan w:val="2"/>
            <w:tcBorders>
              <w:top w:val="nil"/>
              <w:bottom w:val="single" w:sz="4" w:space="0" w:color="auto"/>
            </w:tcBorders>
          </w:tcPr>
          <w:p w:rsidR="00776A46" w:rsidRPr="00F77095" w:rsidRDefault="00776A46" w:rsidP="00650EAF">
            <w:pPr>
              <w:jc w:val="both"/>
              <w:rPr>
                <w:rFonts w:ascii="Times New Roman" w:hAnsi="Times New Roman" w:cs="Times New Roman"/>
                <w:b/>
              </w:rPr>
            </w:pPr>
            <w:r w:rsidRPr="00F77095">
              <w:rPr>
                <w:rFonts w:ascii="Times New Roman" w:hAnsi="Times New Roman" w:cs="Times New Roman"/>
                <w:b/>
              </w:rPr>
              <w:t>ANALYSIS OF WATER O&amp;M EXPENSE</w:t>
            </w:r>
          </w:p>
        </w:tc>
        <w:tc>
          <w:tcPr>
            <w:tcW w:w="0" w:type="auto"/>
            <w:gridSpan w:val="3"/>
            <w:tcBorders>
              <w:top w:val="nil"/>
              <w:bottom w:val="single" w:sz="4" w:space="0" w:color="auto"/>
            </w:tcBorders>
          </w:tcPr>
          <w:p w:rsidR="00776A46" w:rsidRPr="00F77095" w:rsidRDefault="00776A46" w:rsidP="00650EAF">
            <w:pPr>
              <w:jc w:val="both"/>
              <w:rPr>
                <w:rFonts w:ascii="Times New Roman" w:hAnsi="Times New Roman" w:cs="Times New Roman"/>
                <w:b/>
              </w:rPr>
            </w:pPr>
          </w:p>
        </w:tc>
        <w:tc>
          <w:tcPr>
            <w:tcW w:w="0" w:type="auto"/>
            <w:tcBorders>
              <w:top w:val="nil"/>
              <w:bottom w:val="single" w:sz="4" w:space="0" w:color="auto"/>
            </w:tcBorders>
          </w:tcPr>
          <w:p w:rsidR="00776A46" w:rsidRPr="00F77095" w:rsidRDefault="00776A46" w:rsidP="00650EAF">
            <w:pPr>
              <w:jc w:val="both"/>
              <w:rPr>
                <w:rFonts w:ascii="Times New Roman" w:hAnsi="Times New Roman" w:cs="Times New Roman"/>
                <w:b/>
              </w:rPr>
            </w:pPr>
          </w:p>
        </w:tc>
      </w:tr>
      <w:tr w:rsidR="00776A46" w:rsidRPr="00F77095" w:rsidTr="00650EAF">
        <w:trPr>
          <w:trHeight w:val="291"/>
          <w:jc w:val="center"/>
        </w:trPr>
        <w:tc>
          <w:tcPr>
            <w:tcW w:w="0" w:type="auto"/>
            <w:tcBorders>
              <w:top w:val="single" w:sz="4" w:space="0" w:color="auto"/>
              <w:bottom w:val="nil"/>
            </w:tcBorders>
          </w:tcPr>
          <w:p w:rsidR="00776A46" w:rsidRPr="00F77095" w:rsidRDefault="00776A46" w:rsidP="00650EAF">
            <w:pPr>
              <w:jc w:val="both"/>
              <w:rPr>
                <w:rFonts w:ascii="Times New Roman" w:hAnsi="Times New Roman" w:cs="Times New Roman"/>
                <w:b/>
              </w:rPr>
            </w:pPr>
          </w:p>
        </w:tc>
        <w:tc>
          <w:tcPr>
            <w:tcW w:w="0" w:type="auto"/>
            <w:tcBorders>
              <w:top w:val="single" w:sz="4" w:space="0" w:color="auto"/>
              <w:bottom w:val="nil"/>
            </w:tcBorders>
          </w:tcPr>
          <w:p w:rsidR="00776A46" w:rsidRPr="00F77095" w:rsidRDefault="00776A46" w:rsidP="00650EAF">
            <w:pPr>
              <w:jc w:val="both"/>
              <w:rPr>
                <w:rFonts w:ascii="Times New Roman" w:hAnsi="Times New Roman" w:cs="Times New Roman"/>
                <w:b/>
              </w:rPr>
            </w:pPr>
          </w:p>
        </w:tc>
        <w:tc>
          <w:tcPr>
            <w:tcW w:w="0" w:type="auto"/>
            <w:tcBorders>
              <w:top w:val="single" w:sz="4" w:space="0" w:color="auto"/>
              <w:bottom w:val="nil"/>
            </w:tcBorders>
          </w:tcPr>
          <w:p w:rsidR="00776A46" w:rsidRPr="00F77095" w:rsidRDefault="00776A46" w:rsidP="00650EAF">
            <w:pPr>
              <w:jc w:val="both"/>
              <w:rPr>
                <w:rFonts w:ascii="Times New Roman" w:hAnsi="Times New Roman" w:cs="Times New Roman"/>
                <w:b/>
              </w:rPr>
            </w:pPr>
          </w:p>
        </w:tc>
        <w:tc>
          <w:tcPr>
            <w:tcW w:w="0" w:type="auto"/>
            <w:tcBorders>
              <w:top w:val="single" w:sz="4" w:space="0" w:color="auto"/>
              <w:bottom w:val="nil"/>
            </w:tcBorders>
          </w:tcPr>
          <w:p w:rsidR="00776A46" w:rsidRPr="00F77095" w:rsidRDefault="00776A46" w:rsidP="00650EAF">
            <w:pPr>
              <w:jc w:val="center"/>
              <w:rPr>
                <w:rFonts w:ascii="Times New Roman" w:hAnsi="Times New Roman" w:cs="Times New Roman"/>
                <w:b/>
              </w:rPr>
            </w:pPr>
            <w:r w:rsidRPr="00F77095">
              <w:rPr>
                <w:rFonts w:ascii="Times New Roman" w:hAnsi="Times New Roman" w:cs="Times New Roman"/>
                <w:b/>
              </w:rPr>
              <w:t>TOTAL</w:t>
            </w:r>
          </w:p>
        </w:tc>
        <w:tc>
          <w:tcPr>
            <w:tcW w:w="0" w:type="auto"/>
            <w:tcBorders>
              <w:top w:val="single" w:sz="4" w:space="0" w:color="auto"/>
              <w:bottom w:val="nil"/>
            </w:tcBorders>
          </w:tcPr>
          <w:p w:rsidR="00776A46" w:rsidRPr="00F77095" w:rsidRDefault="00776A46" w:rsidP="00650EAF">
            <w:pPr>
              <w:jc w:val="center"/>
              <w:rPr>
                <w:rFonts w:ascii="Times New Roman" w:hAnsi="Times New Roman" w:cs="Times New Roman"/>
                <w:b/>
              </w:rPr>
            </w:pPr>
            <w:r w:rsidRPr="00F77095">
              <w:rPr>
                <w:rFonts w:ascii="Times New Roman" w:hAnsi="Times New Roman" w:cs="Times New Roman"/>
                <w:b/>
              </w:rPr>
              <w:t>STAFF</w:t>
            </w:r>
          </w:p>
        </w:tc>
        <w:tc>
          <w:tcPr>
            <w:tcW w:w="0" w:type="auto"/>
            <w:tcBorders>
              <w:top w:val="single" w:sz="4" w:space="0" w:color="auto"/>
              <w:bottom w:val="nil"/>
            </w:tcBorders>
          </w:tcPr>
          <w:p w:rsidR="00776A46" w:rsidRPr="00F77095" w:rsidRDefault="00776A46" w:rsidP="00650EAF">
            <w:pPr>
              <w:jc w:val="center"/>
              <w:rPr>
                <w:rFonts w:ascii="Times New Roman" w:hAnsi="Times New Roman" w:cs="Times New Roman"/>
                <w:b/>
              </w:rPr>
            </w:pPr>
            <w:r w:rsidRPr="00F77095">
              <w:rPr>
                <w:rFonts w:ascii="Times New Roman" w:hAnsi="Times New Roman" w:cs="Times New Roman"/>
                <w:b/>
              </w:rPr>
              <w:t>TOTAL</w:t>
            </w:r>
          </w:p>
        </w:tc>
        <w:tc>
          <w:tcPr>
            <w:tcW w:w="0" w:type="auto"/>
            <w:tcBorders>
              <w:top w:val="single" w:sz="4" w:space="0" w:color="auto"/>
              <w:bottom w:val="nil"/>
            </w:tcBorders>
          </w:tcPr>
          <w:p w:rsidR="00776A46" w:rsidRPr="00F77095" w:rsidRDefault="00776A46" w:rsidP="00650EAF">
            <w:pPr>
              <w:jc w:val="both"/>
              <w:rPr>
                <w:rFonts w:ascii="Times New Roman" w:hAnsi="Times New Roman" w:cs="Times New Roman"/>
                <w:b/>
              </w:rPr>
            </w:pPr>
          </w:p>
        </w:tc>
      </w:tr>
      <w:tr w:rsidR="00776A46" w:rsidRPr="00F77095" w:rsidTr="00650EAF">
        <w:trPr>
          <w:trHeight w:val="291"/>
          <w:jc w:val="center"/>
        </w:trPr>
        <w:tc>
          <w:tcPr>
            <w:tcW w:w="0" w:type="auto"/>
            <w:tcBorders>
              <w:top w:val="nil"/>
              <w:bottom w:val="nil"/>
            </w:tcBorders>
          </w:tcPr>
          <w:p w:rsidR="00776A46" w:rsidRPr="00F77095" w:rsidRDefault="00776A46" w:rsidP="00650EAF">
            <w:pPr>
              <w:jc w:val="both"/>
              <w:rPr>
                <w:rFonts w:ascii="Times New Roman" w:hAnsi="Times New Roman" w:cs="Times New Roman"/>
                <w:b/>
              </w:rPr>
            </w:pPr>
          </w:p>
        </w:tc>
        <w:tc>
          <w:tcPr>
            <w:tcW w:w="0" w:type="auto"/>
            <w:tcBorders>
              <w:top w:val="nil"/>
              <w:bottom w:val="nil"/>
            </w:tcBorders>
          </w:tcPr>
          <w:p w:rsidR="00776A46" w:rsidRPr="00F77095" w:rsidRDefault="00776A46" w:rsidP="00650EAF">
            <w:pPr>
              <w:jc w:val="both"/>
              <w:rPr>
                <w:rFonts w:ascii="Times New Roman" w:hAnsi="Times New Roman" w:cs="Times New Roman"/>
                <w:b/>
              </w:rPr>
            </w:pPr>
          </w:p>
        </w:tc>
        <w:tc>
          <w:tcPr>
            <w:tcW w:w="0" w:type="auto"/>
            <w:tcBorders>
              <w:top w:val="nil"/>
              <w:bottom w:val="nil"/>
            </w:tcBorders>
          </w:tcPr>
          <w:p w:rsidR="00776A46" w:rsidRPr="00F77095" w:rsidRDefault="00776A46" w:rsidP="00650EAF">
            <w:pPr>
              <w:jc w:val="both"/>
              <w:rPr>
                <w:rFonts w:ascii="Times New Roman" w:hAnsi="Times New Roman" w:cs="Times New Roman"/>
                <w:b/>
              </w:rPr>
            </w:pPr>
          </w:p>
        </w:tc>
        <w:tc>
          <w:tcPr>
            <w:tcW w:w="0" w:type="auto"/>
            <w:tcBorders>
              <w:top w:val="nil"/>
              <w:bottom w:val="nil"/>
            </w:tcBorders>
          </w:tcPr>
          <w:p w:rsidR="00776A46" w:rsidRPr="00F77095" w:rsidRDefault="00776A46" w:rsidP="00650EAF">
            <w:pPr>
              <w:jc w:val="center"/>
              <w:rPr>
                <w:rFonts w:ascii="Times New Roman" w:hAnsi="Times New Roman" w:cs="Times New Roman"/>
                <w:b/>
              </w:rPr>
            </w:pPr>
            <w:r w:rsidRPr="00F77095">
              <w:rPr>
                <w:rFonts w:ascii="Times New Roman" w:hAnsi="Times New Roman" w:cs="Times New Roman"/>
                <w:b/>
              </w:rPr>
              <w:t>PER</w:t>
            </w:r>
          </w:p>
        </w:tc>
        <w:tc>
          <w:tcPr>
            <w:tcW w:w="0" w:type="auto"/>
            <w:tcBorders>
              <w:top w:val="nil"/>
              <w:bottom w:val="nil"/>
            </w:tcBorders>
          </w:tcPr>
          <w:p w:rsidR="00776A46" w:rsidRPr="00F77095" w:rsidRDefault="00776A46" w:rsidP="00650EAF">
            <w:pPr>
              <w:jc w:val="center"/>
              <w:rPr>
                <w:rFonts w:ascii="Times New Roman" w:hAnsi="Times New Roman" w:cs="Times New Roman"/>
                <w:b/>
              </w:rPr>
            </w:pPr>
            <w:r w:rsidRPr="00F77095">
              <w:rPr>
                <w:rFonts w:ascii="Times New Roman" w:hAnsi="Times New Roman" w:cs="Times New Roman"/>
                <w:b/>
              </w:rPr>
              <w:t>ADJUST-</w:t>
            </w:r>
          </w:p>
        </w:tc>
        <w:tc>
          <w:tcPr>
            <w:tcW w:w="0" w:type="auto"/>
            <w:tcBorders>
              <w:top w:val="nil"/>
              <w:bottom w:val="nil"/>
            </w:tcBorders>
          </w:tcPr>
          <w:p w:rsidR="00776A46" w:rsidRPr="00F77095" w:rsidRDefault="00776A46" w:rsidP="00650EAF">
            <w:pPr>
              <w:jc w:val="center"/>
              <w:rPr>
                <w:rFonts w:ascii="Times New Roman" w:hAnsi="Times New Roman" w:cs="Times New Roman"/>
                <w:b/>
              </w:rPr>
            </w:pPr>
            <w:r w:rsidRPr="00F77095">
              <w:rPr>
                <w:rFonts w:ascii="Times New Roman" w:hAnsi="Times New Roman" w:cs="Times New Roman"/>
                <w:b/>
              </w:rPr>
              <w:t>PER</w:t>
            </w:r>
          </w:p>
        </w:tc>
        <w:tc>
          <w:tcPr>
            <w:tcW w:w="0" w:type="auto"/>
            <w:tcBorders>
              <w:top w:val="nil"/>
              <w:bottom w:val="nil"/>
            </w:tcBorders>
          </w:tcPr>
          <w:p w:rsidR="00776A46" w:rsidRPr="00F77095" w:rsidRDefault="00776A46" w:rsidP="00650EAF">
            <w:pPr>
              <w:jc w:val="both"/>
              <w:rPr>
                <w:rFonts w:ascii="Times New Roman" w:hAnsi="Times New Roman" w:cs="Times New Roman"/>
                <w:b/>
              </w:rPr>
            </w:pPr>
          </w:p>
        </w:tc>
      </w:tr>
      <w:tr w:rsidR="00776A46" w:rsidRPr="00F77095" w:rsidTr="00650EAF">
        <w:trPr>
          <w:trHeight w:val="307"/>
          <w:jc w:val="center"/>
        </w:trPr>
        <w:tc>
          <w:tcPr>
            <w:tcW w:w="0" w:type="auto"/>
            <w:tcBorders>
              <w:top w:val="nil"/>
              <w:bottom w:val="single" w:sz="4" w:space="0" w:color="auto"/>
            </w:tcBorders>
          </w:tcPr>
          <w:p w:rsidR="00776A46" w:rsidRPr="00F77095" w:rsidRDefault="00776A46" w:rsidP="00650EAF">
            <w:pPr>
              <w:jc w:val="both"/>
              <w:rPr>
                <w:rFonts w:ascii="Times New Roman" w:hAnsi="Times New Roman" w:cs="Times New Roman"/>
                <w:b/>
              </w:rPr>
            </w:pPr>
          </w:p>
        </w:tc>
        <w:tc>
          <w:tcPr>
            <w:tcW w:w="0" w:type="auto"/>
            <w:tcBorders>
              <w:top w:val="nil"/>
              <w:bottom w:val="single" w:sz="4" w:space="0" w:color="auto"/>
            </w:tcBorders>
          </w:tcPr>
          <w:p w:rsidR="00776A46" w:rsidRPr="00F77095" w:rsidRDefault="00776A46" w:rsidP="00650EAF">
            <w:pPr>
              <w:jc w:val="both"/>
              <w:rPr>
                <w:rFonts w:ascii="Times New Roman" w:hAnsi="Times New Roman" w:cs="Times New Roman"/>
                <w:b/>
              </w:rPr>
            </w:pPr>
            <w:r w:rsidRPr="00F77095">
              <w:rPr>
                <w:rFonts w:ascii="Times New Roman" w:hAnsi="Times New Roman" w:cs="Times New Roman"/>
                <w:b/>
              </w:rPr>
              <w:t>ACCT. #</w:t>
            </w:r>
          </w:p>
        </w:tc>
        <w:tc>
          <w:tcPr>
            <w:tcW w:w="0" w:type="auto"/>
            <w:tcBorders>
              <w:top w:val="nil"/>
              <w:bottom w:val="single" w:sz="4" w:space="0" w:color="auto"/>
            </w:tcBorders>
          </w:tcPr>
          <w:p w:rsidR="00776A46" w:rsidRPr="00F77095" w:rsidRDefault="00776A46" w:rsidP="00650EAF">
            <w:pPr>
              <w:jc w:val="center"/>
              <w:rPr>
                <w:rFonts w:ascii="Times New Roman" w:hAnsi="Times New Roman" w:cs="Times New Roman"/>
                <w:b/>
              </w:rPr>
            </w:pPr>
            <w:r w:rsidRPr="00F77095">
              <w:rPr>
                <w:rFonts w:ascii="Times New Roman" w:hAnsi="Times New Roman" w:cs="Times New Roman"/>
                <w:b/>
              </w:rPr>
              <w:t>DESCRIPTION</w:t>
            </w:r>
          </w:p>
        </w:tc>
        <w:tc>
          <w:tcPr>
            <w:tcW w:w="0" w:type="auto"/>
            <w:tcBorders>
              <w:top w:val="nil"/>
              <w:bottom w:val="single" w:sz="4" w:space="0" w:color="auto"/>
            </w:tcBorders>
          </w:tcPr>
          <w:p w:rsidR="00776A46" w:rsidRPr="00F77095" w:rsidRDefault="00776A46" w:rsidP="00650EAF">
            <w:pPr>
              <w:jc w:val="center"/>
              <w:rPr>
                <w:rFonts w:ascii="Times New Roman" w:hAnsi="Times New Roman" w:cs="Times New Roman"/>
                <w:b/>
              </w:rPr>
            </w:pPr>
            <w:r w:rsidRPr="00F77095">
              <w:rPr>
                <w:rFonts w:ascii="Times New Roman" w:hAnsi="Times New Roman" w:cs="Times New Roman"/>
                <w:b/>
              </w:rPr>
              <w:t>UTILITY</w:t>
            </w:r>
          </w:p>
        </w:tc>
        <w:tc>
          <w:tcPr>
            <w:tcW w:w="0" w:type="auto"/>
            <w:tcBorders>
              <w:top w:val="nil"/>
              <w:bottom w:val="single" w:sz="4" w:space="0" w:color="auto"/>
            </w:tcBorders>
          </w:tcPr>
          <w:p w:rsidR="00776A46" w:rsidRPr="00F77095" w:rsidRDefault="00776A46" w:rsidP="00650EAF">
            <w:pPr>
              <w:jc w:val="center"/>
              <w:rPr>
                <w:rFonts w:ascii="Times New Roman" w:hAnsi="Times New Roman" w:cs="Times New Roman"/>
                <w:b/>
              </w:rPr>
            </w:pPr>
            <w:r w:rsidRPr="00F77095">
              <w:rPr>
                <w:rFonts w:ascii="Times New Roman" w:hAnsi="Times New Roman" w:cs="Times New Roman"/>
                <w:b/>
              </w:rPr>
              <w:t>MENT</w:t>
            </w:r>
          </w:p>
        </w:tc>
        <w:tc>
          <w:tcPr>
            <w:tcW w:w="0" w:type="auto"/>
            <w:tcBorders>
              <w:top w:val="nil"/>
              <w:bottom w:val="single" w:sz="4" w:space="0" w:color="auto"/>
            </w:tcBorders>
          </w:tcPr>
          <w:p w:rsidR="00776A46" w:rsidRPr="00F77095" w:rsidRDefault="00776A46" w:rsidP="00650EAF">
            <w:pPr>
              <w:jc w:val="center"/>
              <w:rPr>
                <w:rFonts w:ascii="Times New Roman" w:hAnsi="Times New Roman" w:cs="Times New Roman"/>
                <w:b/>
              </w:rPr>
            </w:pPr>
            <w:r w:rsidRPr="00F77095">
              <w:rPr>
                <w:rFonts w:ascii="Times New Roman" w:hAnsi="Times New Roman" w:cs="Times New Roman"/>
                <w:b/>
              </w:rPr>
              <w:t>STAFF</w:t>
            </w:r>
          </w:p>
        </w:tc>
        <w:tc>
          <w:tcPr>
            <w:tcW w:w="0" w:type="auto"/>
            <w:tcBorders>
              <w:top w:val="nil"/>
              <w:bottom w:val="single" w:sz="4" w:space="0" w:color="auto"/>
            </w:tcBorders>
          </w:tcPr>
          <w:p w:rsidR="00776A46" w:rsidRPr="00F77095" w:rsidRDefault="00776A46" w:rsidP="00650EAF">
            <w:pPr>
              <w:jc w:val="both"/>
              <w:rPr>
                <w:rFonts w:ascii="Times New Roman" w:hAnsi="Times New Roman" w:cs="Times New Roman"/>
                <w:b/>
              </w:rPr>
            </w:pPr>
          </w:p>
        </w:tc>
      </w:tr>
      <w:tr w:rsidR="00776A46" w:rsidRPr="00F77095" w:rsidTr="00650EAF">
        <w:trPr>
          <w:trHeight w:val="291"/>
          <w:jc w:val="center"/>
        </w:trPr>
        <w:tc>
          <w:tcPr>
            <w:tcW w:w="0" w:type="auto"/>
            <w:tcBorders>
              <w:top w:val="single" w:sz="4" w:space="0" w:color="auto"/>
            </w:tcBorders>
          </w:tcPr>
          <w:p w:rsidR="00776A46" w:rsidRPr="00F77095" w:rsidRDefault="00776A46" w:rsidP="00650EAF">
            <w:pPr>
              <w:jc w:val="both"/>
              <w:rPr>
                <w:rFonts w:ascii="Times New Roman" w:hAnsi="Times New Roman" w:cs="Times New Roman"/>
              </w:rPr>
            </w:pPr>
          </w:p>
        </w:tc>
        <w:tc>
          <w:tcPr>
            <w:tcW w:w="0" w:type="auto"/>
            <w:tcBorders>
              <w:top w:val="single" w:sz="4" w:space="0" w:color="auto"/>
            </w:tcBorders>
          </w:tcPr>
          <w:p w:rsidR="00776A46" w:rsidRPr="00F77095" w:rsidRDefault="00776A46" w:rsidP="00650EAF">
            <w:pPr>
              <w:jc w:val="both"/>
              <w:rPr>
                <w:rFonts w:ascii="Times New Roman" w:hAnsi="Times New Roman" w:cs="Times New Roman"/>
              </w:rPr>
            </w:pPr>
          </w:p>
        </w:tc>
        <w:tc>
          <w:tcPr>
            <w:tcW w:w="0" w:type="auto"/>
            <w:tcBorders>
              <w:top w:val="single" w:sz="4" w:space="0" w:color="auto"/>
            </w:tcBorders>
          </w:tcPr>
          <w:p w:rsidR="00776A46" w:rsidRPr="00F77095" w:rsidRDefault="00776A46" w:rsidP="00650EAF">
            <w:pPr>
              <w:jc w:val="both"/>
              <w:rPr>
                <w:rFonts w:ascii="Times New Roman" w:hAnsi="Times New Roman" w:cs="Times New Roman"/>
              </w:rPr>
            </w:pPr>
          </w:p>
        </w:tc>
        <w:tc>
          <w:tcPr>
            <w:tcW w:w="0" w:type="auto"/>
            <w:tcBorders>
              <w:top w:val="single" w:sz="4" w:space="0" w:color="auto"/>
            </w:tcBorders>
          </w:tcPr>
          <w:p w:rsidR="00776A46" w:rsidRPr="00F77095" w:rsidRDefault="00776A46" w:rsidP="00650EAF">
            <w:pPr>
              <w:jc w:val="both"/>
              <w:rPr>
                <w:rFonts w:ascii="Times New Roman" w:hAnsi="Times New Roman" w:cs="Times New Roman"/>
              </w:rPr>
            </w:pPr>
          </w:p>
        </w:tc>
        <w:tc>
          <w:tcPr>
            <w:tcW w:w="0" w:type="auto"/>
            <w:tcBorders>
              <w:top w:val="single" w:sz="4" w:space="0" w:color="auto"/>
            </w:tcBorders>
          </w:tcPr>
          <w:p w:rsidR="00776A46" w:rsidRPr="00F77095" w:rsidRDefault="00776A46" w:rsidP="00650EAF">
            <w:pPr>
              <w:jc w:val="both"/>
              <w:rPr>
                <w:rFonts w:ascii="Times New Roman" w:hAnsi="Times New Roman" w:cs="Times New Roman"/>
              </w:rPr>
            </w:pPr>
          </w:p>
        </w:tc>
        <w:tc>
          <w:tcPr>
            <w:tcW w:w="0" w:type="auto"/>
            <w:tcBorders>
              <w:top w:val="single" w:sz="4" w:space="0" w:color="auto"/>
            </w:tcBorders>
          </w:tcPr>
          <w:p w:rsidR="00776A46" w:rsidRPr="00F77095" w:rsidRDefault="00776A46" w:rsidP="00650EAF">
            <w:pPr>
              <w:jc w:val="both"/>
              <w:rPr>
                <w:rFonts w:ascii="Times New Roman" w:hAnsi="Times New Roman" w:cs="Times New Roman"/>
              </w:rPr>
            </w:pPr>
          </w:p>
        </w:tc>
        <w:tc>
          <w:tcPr>
            <w:tcW w:w="0" w:type="auto"/>
            <w:tcBorders>
              <w:top w:val="single" w:sz="4" w:space="0" w:color="auto"/>
            </w:tcBorders>
          </w:tcPr>
          <w:p w:rsidR="00776A46" w:rsidRPr="00F77095" w:rsidRDefault="00776A46" w:rsidP="00650EAF">
            <w:pPr>
              <w:jc w:val="both"/>
              <w:rPr>
                <w:rFonts w:ascii="Times New Roman" w:hAnsi="Times New Roman" w:cs="Times New Roman"/>
              </w:rPr>
            </w:pPr>
          </w:p>
        </w:tc>
      </w:tr>
      <w:tr w:rsidR="00776A46" w:rsidRPr="00F77095" w:rsidTr="00650EAF">
        <w:trPr>
          <w:trHeight w:val="291"/>
          <w:jc w:val="center"/>
        </w:trPr>
        <w:tc>
          <w:tcPr>
            <w:tcW w:w="0" w:type="auto"/>
          </w:tcPr>
          <w:p w:rsidR="00776A46" w:rsidRPr="00F77095" w:rsidRDefault="00776A46" w:rsidP="00650EAF">
            <w:pPr>
              <w:jc w:val="both"/>
              <w:rPr>
                <w:rFonts w:ascii="Times New Roman" w:hAnsi="Times New Roman" w:cs="Times New Roman"/>
              </w:rPr>
            </w:pPr>
          </w:p>
        </w:tc>
        <w:tc>
          <w:tcPr>
            <w:tcW w:w="0" w:type="auto"/>
          </w:tcPr>
          <w:p w:rsidR="00776A46" w:rsidRPr="00F77095" w:rsidRDefault="00776A46" w:rsidP="00650EAF">
            <w:pPr>
              <w:jc w:val="center"/>
              <w:rPr>
                <w:rFonts w:ascii="Times New Roman" w:hAnsi="Times New Roman" w:cs="Times New Roman"/>
              </w:rPr>
            </w:pPr>
            <w:r w:rsidRPr="00F77095">
              <w:rPr>
                <w:rFonts w:ascii="Times New Roman" w:hAnsi="Times New Roman" w:cs="Times New Roman"/>
              </w:rPr>
              <w:t>603</w:t>
            </w:r>
          </w:p>
        </w:tc>
        <w:tc>
          <w:tcPr>
            <w:tcW w:w="0" w:type="auto"/>
          </w:tcPr>
          <w:p w:rsidR="00776A46" w:rsidRPr="00F77095" w:rsidRDefault="00776A46" w:rsidP="00650EAF">
            <w:pPr>
              <w:jc w:val="both"/>
              <w:rPr>
                <w:rFonts w:ascii="Times New Roman" w:hAnsi="Times New Roman" w:cs="Times New Roman"/>
              </w:rPr>
            </w:pPr>
            <w:r w:rsidRPr="00F77095">
              <w:rPr>
                <w:rFonts w:ascii="Times New Roman" w:hAnsi="Times New Roman" w:cs="Times New Roman"/>
              </w:rPr>
              <w:t>Salaries and Wages – Officers</w:t>
            </w:r>
          </w:p>
        </w:tc>
        <w:tc>
          <w:tcPr>
            <w:tcW w:w="0" w:type="auto"/>
          </w:tcPr>
          <w:p w:rsidR="00776A46" w:rsidRPr="00F77095" w:rsidRDefault="00776A46" w:rsidP="00650EAF">
            <w:pPr>
              <w:jc w:val="right"/>
              <w:rPr>
                <w:rFonts w:ascii="Times New Roman" w:hAnsi="Times New Roman" w:cs="Times New Roman"/>
              </w:rPr>
            </w:pPr>
            <w:r w:rsidRPr="00F77095">
              <w:rPr>
                <w:rFonts w:ascii="Times New Roman" w:hAnsi="Times New Roman" w:cs="Times New Roman"/>
              </w:rPr>
              <w:t>$2,650</w:t>
            </w:r>
          </w:p>
        </w:tc>
        <w:tc>
          <w:tcPr>
            <w:tcW w:w="0" w:type="auto"/>
          </w:tcPr>
          <w:p w:rsidR="00776A46" w:rsidRPr="00F77095" w:rsidRDefault="00776A46" w:rsidP="00650EAF">
            <w:pPr>
              <w:jc w:val="right"/>
              <w:rPr>
                <w:rFonts w:ascii="Times New Roman" w:hAnsi="Times New Roman" w:cs="Times New Roman"/>
              </w:rPr>
            </w:pPr>
            <w:r w:rsidRPr="00F77095">
              <w:rPr>
                <w:rFonts w:ascii="Times New Roman" w:hAnsi="Times New Roman" w:cs="Times New Roman"/>
              </w:rPr>
              <w:t>$0</w:t>
            </w:r>
          </w:p>
        </w:tc>
        <w:tc>
          <w:tcPr>
            <w:tcW w:w="0" w:type="auto"/>
          </w:tcPr>
          <w:p w:rsidR="00776A46" w:rsidRPr="00F77095" w:rsidRDefault="00776A46" w:rsidP="00650EAF">
            <w:pPr>
              <w:jc w:val="right"/>
              <w:rPr>
                <w:rFonts w:ascii="Times New Roman" w:hAnsi="Times New Roman" w:cs="Times New Roman"/>
              </w:rPr>
            </w:pPr>
            <w:r w:rsidRPr="00F77095">
              <w:rPr>
                <w:rFonts w:ascii="Times New Roman" w:hAnsi="Times New Roman" w:cs="Times New Roman"/>
              </w:rPr>
              <w:t>$2,650</w:t>
            </w:r>
          </w:p>
        </w:tc>
        <w:tc>
          <w:tcPr>
            <w:tcW w:w="0" w:type="auto"/>
          </w:tcPr>
          <w:p w:rsidR="00776A46" w:rsidRPr="00F77095" w:rsidRDefault="00776A46" w:rsidP="00650EAF">
            <w:pPr>
              <w:jc w:val="both"/>
              <w:rPr>
                <w:rFonts w:ascii="Times New Roman" w:hAnsi="Times New Roman" w:cs="Times New Roman"/>
              </w:rPr>
            </w:pPr>
          </w:p>
        </w:tc>
      </w:tr>
      <w:tr w:rsidR="00776A46" w:rsidRPr="00F77095" w:rsidTr="00650EAF">
        <w:trPr>
          <w:trHeight w:val="307"/>
          <w:jc w:val="center"/>
        </w:trPr>
        <w:tc>
          <w:tcPr>
            <w:tcW w:w="0" w:type="auto"/>
          </w:tcPr>
          <w:p w:rsidR="00776A46" w:rsidRPr="00F77095" w:rsidRDefault="00776A46" w:rsidP="00650EAF">
            <w:pPr>
              <w:jc w:val="both"/>
              <w:rPr>
                <w:rFonts w:ascii="Times New Roman" w:hAnsi="Times New Roman" w:cs="Times New Roman"/>
              </w:rPr>
            </w:pPr>
          </w:p>
        </w:tc>
        <w:tc>
          <w:tcPr>
            <w:tcW w:w="0" w:type="auto"/>
          </w:tcPr>
          <w:p w:rsidR="00776A46" w:rsidRPr="00F77095" w:rsidRDefault="00776A46" w:rsidP="00650EAF">
            <w:pPr>
              <w:jc w:val="center"/>
              <w:rPr>
                <w:rFonts w:ascii="Times New Roman" w:hAnsi="Times New Roman" w:cs="Times New Roman"/>
              </w:rPr>
            </w:pPr>
            <w:r w:rsidRPr="00F77095">
              <w:rPr>
                <w:rFonts w:ascii="Times New Roman" w:hAnsi="Times New Roman" w:cs="Times New Roman"/>
              </w:rPr>
              <w:t>615</w:t>
            </w:r>
          </w:p>
        </w:tc>
        <w:tc>
          <w:tcPr>
            <w:tcW w:w="0" w:type="auto"/>
          </w:tcPr>
          <w:p w:rsidR="00776A46" w:rsidRPr="00F77095" w:rsidRDefault="00776A46" w:rsidP="00650EAF">
            <w:pPr>
              <w:jc w:val="both"/>
              <w:rPr>
                <w:rFonts w:ascii="Times New Roman" w:hAnsi="Times New Roman" w:cs="Times New Roman"/>
              </w:rPr>
            </w:pPr>
            <w:r w:rsidRPr="00F77095">
              <w:rPr>
                <w:rFonts w:ascii="Times New Roman" w:hAnsi="Times New Roman" w:cs="Times New Roman"/>
              </w:rPr>
              <w:t>Purchased Power</w:t>
            </w:r>
          </w:p>
        </w:tc>
        <w:tc>
          <w:tcPr>
            <w:tcW w:w="0" w:type="auto"/>
          </w:tcPr>
          <w:p w:rsidR="00776A46" w:rsidRPr="00F77095" w:rsidRDefault="00776A46" w:rsidP="00650EAF">
            <w:pPr>
              <w:jc w:val="right"/>
              <w:rPr>
                <w:rFonts w:ascii="Times New Roman" w:hAnsi="Times New Roman" w:cs="Times New Roman"/>
              </w:rPr>
            </w:pPr>
            <w:r w:rsidRPr="00F77095">
              <w:rPr>
                <w:rFonts w:ascii="Times New Roman" w:hAnsi="Times New Roman" w:cs="Times New Roman"/>
              </w:rPr>
              <w:t>1,878</w:t>
            </w:r>
          </w:p>
        </w:tc>
        <w:tc>
          <w:tcPr>
            <w:tcW w:w="0" w:type="auto"/>
          </w:tcPr>
          <w:p w:rsidR="00776A46" w:rsidRPr="00F77095" w:rsidRDefault="00776A46" w:rsidP="00650EAF">
            <w:pPr>
              <w:jc w:val="right"/>
              <w:rPr>
                <w:rFonts w:ascii="Times New Roman" w:hAnsi="Times New Roman" w:cs="Times New Roman"/>
              </w:rPr>
            </w:pPr>
            <w:r w:rsidRPr="00F77095">
              <w:rPr>
                <w:rFonts w:ascii="Times New Roman" w:hAnsi="Times New Roman" w:cs="Times New Roman"/>
              </w:rPr>
              <w:t>0</w:t>
            </w:r>
          </w:p>
        </w:tc>
        <w:tc>
          <w:tcPr>
            <w:tcW w:w="0" w:type="auto"/>
          </w:tcPr>
          <w:p w:rsidR="00776A46" w:rsidRPr="00F77095" w:rsidRDefault="00776A46" w:rsidP="00650EAF">
            <w:pPr>
              <w:jc w:val="right"/>
              <w:rPr>
                <w:rFonts w:ascii="Times New Roman" w:hAnsi="Times New Roman" w:cs="Times New Roman"/>
              </w:rPr>
            </w:pPr>
            <w:r w:rsidRPr="00F77095">
              <w:rPr>
                <w:rFonts w:ascii="Times New Roman" w:hAnsi="Times New Roman" w:cs="Times New Roman"/>
              </w:rPr>
              <w:t>1,878</w:t>
            </w:r>
          </w:p>
        </w:tc>
        <w:tc>
          <w:tcPr>
            <w:tcW w:w="0" w:type="auto"/>
          </w:tcPr>
          <w:p w:rsidR="00776A46" w:rsidRPr="00F77095" w:rsidRDefault="00776A46" w:rsidP="00650EAF">
            <w:pPr>
              <w:jc w:val="both"/>
              <w:rPr>
                <w:rFonts w:ascii="Times New Roman" w:hAnsi="Times New Roman" w:cs="Times New Roman"/>
              </w:rPr>
            </w:pPr>
          </w:p>
        </w:tc>
      </w:tr>
      <w:tr w:rsidR="00776A46" w:rsidRPr="00F77095" w:rsidTr="00650EAF">
        <w:trPr>
          <w:trHeight w:val="291"/>
          <w:jc w:val="center"/>
        </w:trPr>
        <w:tc>
          <w:tcPr>
            <w:tcW w:w="0" w:type="auto"/>
          </w:tcPr>
          <w:p w:rsidR="00776A46" w:rsidRPr="00F77095" w:rsidRDefault="00776A46" w:rsidP="00650EAF">
            <w:pPr>
              <w:jc w:val="both"/>
              <w:rPr>
                <w:rFonts w:ascii="Times New Roman" w:hAnsi="Times New Roman" w:cs="Times New Roman"/>
              </w:rPr>
            </w:pPr>
          </w:p>
        </w:tc>
        <w:tc>
          <w:tcPr>
            <w:tcW w:w="0" w:type="auto"/>
          </w:tcPr>
          <w:p w:rsidR="00776A46" w:rsidRPr="00F77095" w:rsidRDefault="00776A46" w:rsidP="00650EAF">
            <w:pPr>
              <w:jc w:val="center"/>
              <w:rPr>
                <w:rFonts w:ascii="Times New Roman" w:hAnsi="Times New Roman" w:cs="Times New Roman"/>
              </w:rPr>
            </w:pPr>
            <w:r w:rsidRPr="00F77095">
              <w:rPr>
                <w:rFonts w:ascii="Times New Roman" w:hAnsi="Times New Roman" w:cs="Times New Roman"/>
              </w:rPr>
              <w:t>618</w:t>
            </w:r>
          </w:p>
        </w:tc>
        <w:tc>
          <w:tcPr>
            <w:tcW w:w="0" w:type="auto"/>
          </w:tcPr>
          <w:p w:rsidR="00776A46" w:rsidRPr="00F77095" w:rsidRDefault="00776A46" w:rsidP="00650EAF">
            <w:pPr>
              <w:jc w:val="both"/>
              <w:rPr>
                <w:rFonts w:ascii="Times New Roman" w:hAnsi="Times New Roman" w:cs="Times New Roman"/>
              </w:rPr>
            </w:pPr>
            <w:r w:rsidRPr="00F77095">
              <w:rPr>
                <w:rFonts w:ascii="Times New Roman" w:hAnsi="Times New Roman" w:cs="Times New Roman"/>
              </w:rPr>
              <w:t>Chemicals</w:t>
            </w:r>
          </w:p>
        </w:tc>
        <w:tc>
          <w:tcPr>
            <w:tcW w:w="0" w:type="auto"/>
          </w:tcPr>
          <w:p w:rsidR="00776A46" w:rsidRPr="00F77095" w:rsidRDefault="00776A46" w:rsidP="00650EAF">
            <w:pPr>
              <w:jc w:val="right"/>
              <w:rPr>
                <w:rFonts w:ascii="Times New Roman" w:hAnsi="Times New Roman" w:cs="Times New Roman"/>
              </w:rPr>
            </w:pPr>
            <w:r w:rsidRPr="00F77095">
              <w:rPr>
                <w:rFonts w:ascii="Times New Roman" w:hAnsi="Times New Roman" w:cs="Times New Roman"/>
              </w:rPr>
              <w:t>182</w:t>
            </w:r>
          </w:p>
        </w:tc>
        <w:tc>
          <w:tcPr>
            <w:tcW w:w="0" w:type="auto"/>
          </w:tcPr>
          <w:p w:rsidR="00776A46" w:rsidRPr="00F77095" w:rsidRDefault="00776A46" w:rsidP="00650EAF">
            <w:pPr>
              <w:jc w:val="right"/>
              <w:rPr>
                <w:rFonts w:ascii="Times New Roman" w:hAnsi="Times New Roman" w:cs="Times New Roman"/>
              </w:rPr>
            </w:pPr>
            <w:r w:rsidRPr="00F77095">
              <w:rPr>
                <w:rFonts w:ascii="Times New Roman" w:hAnsi="Times New Roman" w:cs="Times New Roman"/>
              </w:rPr>
              <w:t>0</w:t>
            </w:r>
          </w:p>
        </w:tc>
        <w:tc>
          <w:tcPr>
            <w:tcW w:w="0" w:type="auto"/>
          </w:tcPr>
          <w:p w:rsidR="00776A46" w:rsidRPr="00F77095" w:rsidRDefault="00776A46" w:rsidP="00650EAF">
            <w:pPr>
              <w:jc w:val="right"/>
              <w:rPr>
                <w:rFonts w:ascii="Times New Roman" w:hAnsi="Times New Roman" w:cs="Times New Roman"/>
              </w:rPr>
            </w:pPr>
            <w:r w:rsidRPr="00F77095">
              <w:rPr>
                <w:rFonts w:ascii="Times New Roman" w:hAnsi="Times New Roman" w:cs="Times New Roman"/>
              </w:rPr>
              <w:t>182</w:t>
            </w:r>
          </w:p>
        </w:tc>
        <w:tc>
          <w:tcPr>
            <w:tcW w:w="0" w:type="auto"/>
          </w:tcPr>
          <w:p w:rsidR="00776A46" w:rsidRPr="00F77095" w:rsidRDefault="00776A46" w:rsidP="00650EAF">
            <w:pPr>
              <w:jc w:val="both"/>
              <w:rPr>
                <w:rFonts w:ascii="Times New Roman" w:hAnsi="Times New Roman" w:cs="Times New Roman"/>
              </w:rPr>
            </w:pPr>
          </w:p>
        </w:tc>
      </w:tr>
      <w:tr w:rsidR="00776A46" w:rsidRPr="00F77095" w:rsidTr="00650EAF">
        <w:trPr>
          <w:trHeight w:val="291"/>
          <w:jc w:val="center"/>
        </w:trPr>
        <w:tc>
          <w:tcPr>
            <w:tcW w:w="0" w:type="auto"/>
          </w:tcPr>
          <w:p w:rsidR="00776A46" w:rsidRPr="00F77095" w:rsidRDefault="00776A46" w:rsidP="00650EAF">
            <w:pPr>
              <w:jc w:val="both"/>
              <w:rPr>
                <w:rFonts w:ascii="Times New Roman" w:hAnsi="Times New Roman" w:cs="Times New Roman"/>
              </w:rPr>
            </w:pPr>
          </w:p>
        </w:tc>
        <w:tc>
          <w:tcPr>
            <w:tcW w:w="0" w:type="auto"/>
          </w:tcPr>
          <w:p w:rsidR="00776A46" w:rsidRPr="00F77095" w:rsidRDefault="00776A46" w:rsidP="00650EAF">
            <w:pPr>
              <w:jc w:val="center"/>
              <w:rPr>
                <w:rFonts w:ascii="Times New Roman" w:hAnsi="Times New Roman" w:cs="Times New Roman"/>
              </w:rPr>
            </w:pPr>
            <w:r w:rsidRPr="00F77095">
              <w:rPr>
                <w:rFonts w:ascii="Times New Roman" w:hAnsi="Times New Roman" w:cs="Times New Roman"/>
              </w:rPr>
              <w:t>632</w:t>
            </w:r>
          </w:p>
        </w:tc>
        <w:tc>
          <w:tcPr>
            <w:tcW w:w="0" w:type="auto"/>
          </w:tcPr>
          <w:p w:rsidR="00776A46" w:rsidRPr="00F77095" w:rsidRDefault="00776A46" w:rsidP="00650EAF">
            <w:pPr>
              <w:jc w:val="both"/>
              <w:rPr>
                <w:rFonts w:ascii="Times New Roman" w:hAnsi="Times New Roman" w:cs="Times New Roman"/>
              </w:rPr>
            </w:pPr>
            <w:r w:rsidRPr="00F77095">
              <w:rPr>
                <w:rFonts w:ascii="Times New Roman" w:hAnsi="Times New Roman" w:cs="Times New Roman"/>
              </w:rPr>
              <w:t>Contractual Services – Accounting</w:t>
            </w:r>
          </w:p>
        </w:tc>
        <w:tc>
          <w:tcPr>
            <w:tcW w:w="0" w:type="auto"/>
          </w:tcPr>
          <w:p w:rsidR="00776A46" w:rsidRPr="00F77095" w:rsidRDefault="00776A46" w:rsidP="00650EAF">
            <w:pPr>
              <w:jc w:val="right"/>
              <w:rPr>
                <w:rFonts w:ascii="Times New Roman" w:hAnsi="Times New Roman" w:cs="Times New Roman"/>
              </w:rPr>
            </w:pPr>
            <w:r w:rsidRPr="00F77095">
              <w:rPr>
                <w:rFonts w:ascii="Times New Roman" w:hAnsi="Times New Roman" w:cs="Times New Roman"/>
              </w:rPr>
              <w:t>400</w:t>
            </w:r>
          </w:p>
        </w:tc>
        <w:tc>
          <w:tcPr>
            <w:tcW w:w="0" w:type="auto"/>
          </w:tcPr>
          <w:p w:rsidR="00776A46" w:rsidRPr="00F77095" w:rsidRDefault="00776A46" w:rsidP="00650EAF">
            <w:pPr>
              <w:jc w:val="right"/>
              <w:rPr>
                <w:rFonts w:ascii="Times New Roman" w:hAnsi="Times New Roman" w:cs="Times New Roman"/>
              </w:rPr>
            </w:pPr>
            <w:r w:rsidRPr="00F77095">
              <w:rPr>
                <w:rFonts w:ascii="Times New Roman" w:hAnsi="Times New Roman" w:cs="Times New Roman"/>
              </w:rPr>
              <w:t>0</w:t>
            </w:r>
          </w:p>
        </w:tc>
        <w:tc>
          <w:tcPr>
            <w:tcW w:w="0" w:type="auto"/>
          </w:tcPr>
          <w:p w:rsidR="00776A46" w:rsidRPr="00F77095" w:rsidRDefault="00776A46" w:rsidP="00650EAF">
            <w:pPr>
              <w:jc w:val="right"/>
              <w:rPr>
                <w:rFonts w:ascii="Times New Roman" w:hAnsi="Times New Roman" w:cs="Times New Roman"/>
              </w:rPr>
            </w:pPr>
            <w:r w:rsidRPr="00F77095">
              <w:rPr>
                <w:rFonts w:ascii="Times New Roman" w:hAnsi="Times New Roman" w:cs="Times New Roman"/>
              </w:rPr>
              <w:t>400</w:t>
            </w:r>
          </w:p>
        </w:tc>
        <w:tc>
          <w:tcPr>
            <w:tcW w:w="0" w:type="auto"/>
          </w:tcPr>
          <w:p w:rsidR="00776A46" w:rsidRPr="00F77095" w:rsidRDefault="00776A46" w:rsidP="00650EAF">
            <w:pPr>
              <w:jc w:val="both"/>
              <w:rPr>
                <w:rFonts w:ascii="Times New Roman" w:hAnsi="Times New Roman" w:cs="Times New Roman"/>
              </w:rPr>
            </w:pPr>
          </w:p>
        </w:tc>
      </w:tr>
      <w:tr w:rsidR="00776A46" w:rsidRPr="00F77095" w:rsidTr="00650EAF">
        <w:trPr>
          <w:trHeight w:val="307"/>
          <w:jc w:val="center"/>
        </w:trPr>
        <w:tc>
          <w:tcPr>
            <w:tcW w:w="0" w:type="auto"/>
          </w:tcPr>
          <w:p w:rsidR="00776A46" w:rsidRPr="00F77095" w:rsidRDefault="00776A46" w:rsidP="00650EAF">
            <w:pPr>
              <w:jc w:val="both"/>
              <w:rPr>
                <w:rFonts w:ascii="Times New Roman" w:hAnsi="Times New Roman" w:cs="Times New Roman"/>
              </w:rPr>
            </w:pPr>
          </w:p>
        </w:tc>
        <w:tc>
          <w:tcPr>
            <w:tcW w:w="0" w:type="auto"/>
          </w:tcPr>
          <w:p w:rsidR="00776A46" w:rsidRPr="00F77095" w:rsidRDefault="00776A46" w:rsidP="00650EAF">
            <w:pPr>
              <w:jc w:val="center"/>
              <w:rPr>
                <w:rFonts w:ascii="Times New Roman" w:hAnsi="Times New Roman" w:cs="Times New Roman"/>
              </w:rPr>
            </w:pPr>
            <w:r w:rsidRPr="00F77095">
              <w:rPr>
                <w:rFonts w:ascii="Times New Roman" w:hAnsi="Times New Roman" w:cs="Times New Roman"/>
              </w:rPr>
              <w:t>633</w:t>
            </w:r>
          </w:p>
        </w:tc>
        <w:tc>
          <w:tcPr>
            <w:tcW w:w="0" w:type="auto"/>
          </w:tcPr>
          <w:p w:rsidR="00776A46" w:rsidRPr="00F77095" w:rsidRDefault="00776A46" w:rsidP="00650EAF">
            <w:pPr>
              <w:jc w:val="both"/>
              <w:rPr>
                <w:rFonts w:ascii="Times New Roman" w:hAnsi="Times New Roman" w:cs="Times New Roman"/>
              </w:rPr>
            </w:pPr>
            <w:r w:rsidRPr="00F77095">
              <w:rPr>
                <w:rFonts w:ascii="Times New Roman" w:hAnsi="Times New Roman" w:cs="Times New Roman"/>
              </w:rPr>
              <w:t>Contractual Services – Legal</w:t>
            </w:r>
          </w:p>
        </w:tc>
        <w:tc>
          <w:tcPr>
            <w:tcW w:w="0" w:type="auto"/>
          </w:tcPr>
          <w:p w:rsidR="00776A46" w:rsidRPr="00F77095" w:rsidRDefault="00776A46" w:rsidP="00650EAF">
            <w:pPr>
              <w:jc w:val="right"/>
              <w:rPr>
                <w:rFonts w:ascii="Times New Roman" w:hAnsi="Times New Roman" w:cs="Times New Roman"/>
              </w:rPr>
            </w:pPr>
            <w:r w:rsidRPr="00F77095">
              <w:rPr>
                <w:rFonts w:ascii="Times New Roman" w:hAnsi="Times New Roman" w:cs="Times New Roman"/>
              </w:rPr>
              <w:t>300</w:t>
            </w:r>
          </w:p>
        </w:tc>
        <w:tc>
          <w:tcPr>
            <w:tcW w:w="0" w:type="auto"/>
          </w:tcPr>
          <w:p w:rsidR="00776A46" w:rsidRPr="00F77095" w:rsidRDefault="00776A46" w:rsidP="00650EAF">
            <w:pPr>
              <w:jc w:val="right"/>
              <w:rPr>
                <w:rFonts w:ascii="Times New Roman" w:hAnsi="Times New Roman" w:cs="Times New Roman"/>
              </w:rPr>
            </w:pPr>
            <w:r w:rsidRPr="00F77095">
              <w:rPr>
                <w:rFonts w:ascii="Times New Roman" w:hAnsi="Times New Roman" w:cs="Times New Roman"/>
              </w:rPr>
              <w:t>0</w:t>
            </w:r>
          </w:p>
        </w:tc>
        <w:tc>
          <w:tcPr>
            <w:tcW w:w="0" w:type="auto"/>
          </w:tcPr>
          <w:p w:rsidR="00776A46" w:rsidRPr="00F77095" w:rsidRDefault="00776A46" w:rsidP="00650EAF">
            <w:pPr>
              <w:jc w:val="right"/>
              <w:rPr>
                <w:rFonts w:ascii="Times New Roman" w:hAnsi="Times New Roman" w:cs="Times New Roman"/>
              </w:rPr>
            </w:pPr>
            <w:r w:rsidRPr="00F77095">
              <w:rPr>
                <w:rFonts w:ascii="Times New Roman" w:hAnsi="Times New Roman" w:cs="Times New Roman"/>
              </w:rPr>
              <w:t>300</w:t>
            </w:r>
          </w:p>
        </w:tc>
        <w:tc>
          <w:tcPr>
            <w:tcW w:w="0" w:type="auto"/>
          </w:tcPr>
          <w:p w:rsidR="00776A46" w:rsidRPr="00F77095" w:rsidRDefault="00776A46" w:rsidP="00650EAF">
            <w:pPr>
              <w:jc w:val="both"/>
              <w:rPr>
                <w:rFonts w:ascii="Times New Roman" w:hAnsi="Times New Roman" w:cs="Times New Roman"/>
              </w:rPr>
            </w:pPr>
          </w:p>
        </w:tc>
      </w:tr>
      <w:tr w:rsidR="00776A46" w:rsidRPr="00F77095" w:rsidTr="00650EAF">
        <w:trPr>
          <w:trHeight w:val="291"/>
          <w:jc w:val="center"/>
        </w:trPr>
        <w:tc>
          <w:tcPr>
            <w:tcW w:w="0" w:type="auto"/>
          </w:tcPr>
          <w:p w:rsidR="00776A46" w:rsidRPr="00F77095" w:rsidRDefault="00776A46" w:rsidP="00650EAF">
            <w:pPr>
              <w:jc w:val="both"/>
              <w:rPr>
                <w:rFonts w:ascii="Times New Roman" w:hAnsi="Times New Roman" w:cs="Times New Roman"/>
              </w:rPr>
            </w:pPr>
          </w:p>
        </w:tc>
        <w:tc>
          <w:tcPr>
            <w:tcW w:w="0" w:type="auto"/>
          </w:tcPr>
          <w:p w:rsidR="00776A46" w:rsidRPr="00F77095" w:rsidRDefault="00776A46" w:rsidP="00650EAF">
            <w:pPr>
              <w:jc w:val="center"/>
              <w:rPr>
                <w:rFonts w:ascii="Times New Roman" w:hAnsi="Times New Roman" w:cs="Times New Roman"/>
              </w:rPr>
            </w:pPr>
            <w:r w:rsidRPr="00F77095">
              <w:rPr>
                <w:rFonts w:ascii="Times New Roman" w:hAnsi="Times New Roman" w:cs="Times New Roman"/>
              </w:rPr>
              <w:t>635</w:t>
            </w:r>
          </w:p>
        </w:tc>
        <w:tc>
          <w:tcPr>
            <w:tcW w:w="0" w:type="auto"/>
          </w:tcPr>
          <w:p w:rsidR="00776A46" w:rsidRPr="00F77095" w:rsidRDefault="00776A46" w:rsidP="00650EAF">
            <w:pPr>
              <w:jc w:val="both"/>
              <w:rPr>
                <w:rFonts w:ascii="Times New Roman" w:hAnsi="Times New Roman" w:cs="Times New Roman"/>
              </w:rPr>
            </w:pPr>
            <w:r w:rsidRPr="00F77095">
              <w:rPr>
                <w:rFonts w:ascii="Times New Roman" w:hAnsi="Times New Roman" w:cs="Times New Roman"/>
              </w:rPr>
              <w:t>Contractual Services – Testing</w:t>
            </w:r>
          </w:p>
        </w:tc>
        <w:tc>
          <w:tcPr>
            <w:tcW w:w="0" w:type="auto"/>
          </w:tcPr>
          <w:p w:rsidR="00776A46" w:rsidRPr="00F77095" w:rsidRDefault="00776A46" w:rsidP="00650EAF">
            <w:pPr>
              <w:jc w:val="right"/>
              <w:rPr>
                <w:rFonts w:ascii="Times New Roman" w:hAnsi="Times New Roman" w:cs="Times New Roman"/>
              </w:rPr>
            </w:pPr>
            <w:r w:rsidRPr="00F77095">
              <w:rPr>
                <w:rFonts w:ascii="Times New Roman" w:hAnsi="Times New Roman" w:cs="Times New Roman"/>
              </w:rPr>
              <w:t>31</w:t>
            </w:r>
          </w:p>
        </w:tc>
        <w:tc>
          <w:tcPr>
            <w:tcW w:w="0" w:type="auto"/>
          </w:tcPr>
          <w:p w:rsidR="00776A46" w:rsidRPr="00F77095" w:rsidRDefault="00776A46" w:rsidP="00650EAF">
            <w:pPr>
              <w:jc w:val="right"/>
              <w:rPr>
                <w:rFonts w:ascii="Times New Roman" w:hAnsi="Times New Roman" w:cs="Times New Roman"/>
              </w:rPr>
            </w:pPr>
            <w:r w:rsidRPr="00F77095">
              <w:rPr>
                <w:rFonts w:ascii="Times New Roman" w:hAnsi="Times New Roman" w:cs="Times New Roman"/>
              </w:rPr>
              <w:t>0</w:t>
            </w:r>
          </w:p>
        </w:tc>
        <w:tc>
          <w:tcPr>
            <w:tcW w:w="0" w:type="auto"/>
          </w:tcPr>
          <w:p w:rsidR="00776A46" w:rsidRPr="00F77095" w:rsidRDefault="00776A46" w:rsidP="00650EAF">
            <w:pPr>
              <w:jc w:val="right"/>
              <w:rPr>
                <w:rFonts w:ascii="Times New Roman" w:hAnsi="Times New Roman" w:cs="Times New Roman"/>
              </w:rPr>
            </w:pPr>
            <w:r w:rsidRPr="00F77095">
              <w:rPr>
                <w:rFonts w:ascii="Times New Roman" w:hAnsi="Times New Roman" w:cs="Times New Roman"/>
              </w:rPr>
              <w:t>31</w:t>
            </w:r>
          </w:p>
        </w:tc>
        <w:tc>
          <w:tcPr>
            <w:tcW w:w="0" w:type="auto"/>
          </w:tcPr>
          <w:p w:rsidR="00776A46" w:rsidRPr="00F77095" w:rsidRDefault="00776A46" w:rsidP="00650EAF">
            <w:pPr>
              <w:jc w:val="both"/>
              <w:rPr>
                <w:rFonts w:ascii="Times New Roman" w:hAnsi="Times New Roman" w:cs="Times New Roman"/>
              </w:rPr>
            </w:pPr>
          </w:p>
        </w:tc>
      </w:tr>
      <w:tr w:rsidR="00776A46" w:rsidRPr="00F77095" w:rsidTr="00650EAF">
        <w:trPr>
          <w:trHeight w:val="307"/>
          <w:jc w:val="center"/>
        </w:trPr>
        <w:tc>
          <w:tcPr>
            <w:tcW w:w="0" w:type="auto"/>
          </w:tcPr>
          <w:p w:rsidR="00776A46" w:rsidRPr="00F77095" w:rsidRDefault="00776A46" w:rsidP="00650EAF">
            <w:pPr>
              <w:jc w:val="both"/>
              <w:rPr>
                <w:rFonts w:ascii="Times New Roman" w:hAnsi="Times New Roman" w:cs="Times New Roman"/>
              </w:rPr>
            </w:pPr>
          </w:p>
        </w:tc>
        <w:tc>
          <w:tcPr>
            <w:tcW w:w="0" w:type="auto"/>
          </w:tcPr>
          <w:p w:rsidR="00776A46" w:rsidRPr="00F77095" w:rsidRDefault="00776A46" w:rsidP="00650EAF">
            <w:pPr>
              <w:jc w:val="center"/>
              <w:rPr>
                <w:rFonts w:ascii="Times New Roman" w:hAnsi="Times New Roman" w:cs="Times New Roman"/>
              </w:rPr>
            </w:pPr>
            <w:r w:rsidRPr="00F77095">
              <w:rPr>
                <w:rFonts w:ascii="Times New Roman" w:hAnsi="Times New Roman" w:cs="Times New Roman"/>
              </w:rPr>
              <w:t>636</w:t>
            </w:r>
          </w:p>
        </w:tc>
        <w:tc>
          <w:tcPr>
            <w:tcW w:w="0" w:type="auto"/>
          </w:tcPr>
          <w:p w:rsidR="00776A46" w:rsidRPr="00F77095" w:rsidRDefault="00776A46" w:rsidP="00650EAF">
            <w:pPr>
              <w:jc w:val="both"/>
              <w:rPr>
                <w:rFonts w:ascii="Times New Roman" w:hAnsi="Times New Roman" w:cs="Times New Roman"/>
              </w:rPr>
            </w:pPr>
            <w:r w:rsidRPr="00F77095">
              <w:rPr>
                <w:rFonts w:ascii="Times New Roman" w:hAnsi="Times New Roman" w:cs="Times New Roman"/>
              </w:rPr>
              <w:t>Contractual Services – Other</w:t>
            </w:r>
          </w:p>
        </w:tc>
        <w:tc>
          <w:tcPr>
            <w:tcW w:w="0" w:type="auto"/>
          </w:tcPr>
          <w:p w:rsidR="00776A46" w:rsidRPr="00F77095" w:rsidRDefault="00776A46" w:rsidP="00650EAF">
            <w:pPr>
              <w:jc w:val="right"/>
              <w:rPr>
                <w:rFonts w:ascii="Times New Roman" w:hAnsi="Times New Roman" w:cs="Times New Roman"/>
              </w:rPr>
            </w:pPr>
            <w:r w:rsidRPr="00F77095">
              <w:rPr>
                <w:rFonts w:ascii="Times New Roman" w:hAnsi="Times New Roman" w:cs="Times New Roman"/>
              </w:rPr>
              <w:t>19.965</w:t>
            </w:r>
          </w:p>
        </w:tc>
        <w:tc>
          <w:tcPr>
            <w:tcW w:w="0" w:type="auto"/>
          </w:tcPr>
          <w:p w:rsidR="00776A46" w:rsidRPr="00F77095" w:rsidRDefault="00776A46" w:rsidP="00650EAF">
            <w:pPr>
              <w:jc w:val="right"/>
              <w:rPr>
                <w:rFonts w:ascii="Times New Roman" w:hAnsi="Times New Roman" w:cs="Times New Roman"/>
              </w:rPr>
            </w:pPr>
            <w:r w:rsidRPr="00F77095">
              <w:rPr>
                <w:rFonts w:ascii="Times New Roman" w:hAnsi="Times New Roman" w:cs="Times New Roman"/>
              </w:rPr>
              <w:t>0</w:t>
            </w:r>
          </w:p>
        </w:tc>
        <w:tc>
          <w:tcPr>
            <w:tcW w:w="0" w:type="auto"/>
          </w:tcPr>
          <w:p w:rsidR="00776A46" w:rsidRPr="00F77095" w:rsidRDefault="00776A46" w:rsidP="00650EAF">
            <w:pPr>
              <w:jc w:val="right"/>
              <w:rPr>
                <w:rFonts w:ascii="Times New Roman" w:hAnsi="Times New Roman" w:cs="Times New Roman"/>
              </w:rPr>
            </w:pPr>
            <w:r w:rsidRPr="00F77095">
              <w:rPr>
                <w:rFonts w:ascii="Times New Roman" w:hAnsi="Times New Roman" w:cs="Times New Roman"/>
              </w:rPr>
              <w:t>19,965</w:t>
            </w:r>
          </w:p>
        </w:tc>
        <w:tc>
          <w:tcPr>
            <w:tcW w:w="0" w:type="auto"/>
          </w:tcPr>
          <w:p w:rsidR="00776A46" w:rsidRPr="00F77095" w:rsidRDefault="00776A46" w:rsidP="00650EAF">
            <w:pPr>
              <w:jc w:val="both"/>
              <w:rPr>
                <w:rFonts w:ascii="Times New Roman" w:hAnsi="Times New Roman" w:cs="Times New Roman"/>
              </w:rPr>
            </w:pPr>
          </w:p>
        </w:tc>
      </w:tr>
      <w:tr w:rsidR="00776A46" w:rsidRPr="00F77095" w:rsidTr="00650EAF">
        <w:trPr>
          <w:trHeight w:val="291"/>
          <w:jc w:val="center"/>
        </w:trPr>
        <w:tc>
          <w:tcPr>
            <w:tcW w:w="0" w:type="auto"/>
          </w:tcPr>
          <w:p w:rsidR="00776A46" w:rsidRPr="00F77095" w:rsidRDefault="00776A46" w:rsidP="00650EAF">
            <w:pPr>
              <w:jc w:val="both"/>
              <w:rPr>
                <w:rFonts w:ascii="Times New Roman" w:hAnsi="Times New Roman" w:cs="Times New Roman"/>
              </w:rPr>
            </w:pPr>
          </w:p>
        </w:tc>
        <w:tc>
          <w:tcPr>
            <w:tcW w:w="0" w:type="auto"/>
          </w:tcPr>
          <w:p w:rsidR="00776A46" w:rsidRPr="00F77095" w:rsidRDefault="00776A46" w:rsidP="00650EAF">
            <w:pPr>
              <w:jc w:val="center"/>
              <w:rPr>
                <w:rFonts w:ascii="Times New Roman" w:hAnsi="Times New Roman" w:cs="Times New Roman"/>
              </w:rPr>
            </w:pPr>
            <w:r w:rsidRPr="00F77095">
              <w:rPr>
                <w:rFonts w:ascii="Times New Roman" w:hAnsi="Times New Roman" w:cs="Times New Roman"/>
              </w:rPr>
              <w:t>657</w:t>
            </w:r>
          </w:p>
        </w:tc>
        <w:tc>
          <w:tcPr>
            <w:tcW w:w="0" w:type="auto"/>
          </w:tcPr>
          <w:p w:rsidR="00776A46" w:rsidRPr="00F77095" w:rsidRDefault="00776A46" w:rsidP="00650EAF">
            <w:pPr>
              <w:jc w:val="both"/>
              <w:rPr>
                <w:rFonts w:ascii="Times New Roman" w:hAnsi="Times New Roman" w:cs="Times New Roman"/>
              </w:rPr>
            </w:pPr>
            <w:r w:rsidRPr="00F77095">
              <w:rPr>
                <w:rFonts w:ascii="Times New Roman" w:hAnsi="Times New Roman" w:cs="Times New Roman"/>
              </w:rPr>
              <w:t>Insurance Expense</w:t>
            </w:r>
          </w:p>
        </w:tc>
        <w:tc>
          <w:tcPr>
            <w:tcW w:w="0" w:type="auto"/>
          </w:tcPr>
          <w:p w:rsidR="00776A46" w:rsidRPr="00F77095" w:rsidRDefault="00776A46" w:rsidP="00650EAF">
            <w:pPr>
              <w:jc w:val="right"/>
              <w:rPr>
                <w:rFonts w:ascii="Times New Roman" w:hAnsi="Times New Roman" w:cs="Times New Roman"/>
              </w:rPr>
            </w:pPr>
            <w:r w:rsidRPr="00F77095">
              <w:rPr>
                <w:rFonts w:ascii="Times New Roman" w:hAnsi="Times New Roman" w:cs="Times New Roman"/>
              </w:rPr>
              <w:t>1,184</w:t>
            </w:r>
          </w:p>
        </w:tc>
        <w:tc>
          <w:tcPr>
            <w:tcW w:w="0" w:type="auto"/>
          </w:tcPr>
          <w:p w:rsidR="00776A46" w:rsidRPr="00F77095" w:rsidRDefault="00776A46" w:rsidP="00650EAF">
            <w:pPr>
              <w:jc w:val="right"/>
              <w:rPr>
                <w:rFonts w:ascii="Times New Roman" w:hAnsi="Times New Roman" w:cs="Times New Roman"/>
              </w:rPr>
            </w:pPr>
            <w:r w:rsidRPr="00F77095">
              <w:rPr>
                <w:rFonts w:ascii="Times New Roman" w:hAnsi="Times New Roman" w:cs="Times New Roman"/>
              </w:rPr>
              <w:t>159</w:t>
            </w:r>
          </w:p>
        </w:tc>
        <w:tc>
          <w:tcPr>
            <w:tcW w:w="0" w:type="auto"/>
          </w:tcPr>
          <w:p w:rsidR="00776A46" w:rsidRPr="00F77095" w:rsidRDefault="00776A46" w:rsidP="00650EAF">
            <w:pPr>
              <w:jc w:val="right"/>
              <w:rPr>
                <w:rFonts w:ascii="Times New Roman" w:hAnsi="Times New Roman" w:cs="Times New Roman"/>
              </w:rPr>
            </w:pPr>
            <w:r w:rsidRPr="00F77095">
              <w:rPr>
                <w:rFonts w:ascii="Times New Roman" w:hAnsi="Times New Roman" w:cs="Times New Roman"/>
              </w:rPr>
              <w:t>1,343</w:t>
            </w:r>
          </w:p>
        </w:tc>
        <w:tc>
          <w:tcPr>
            <w:tcW w:w="0" w:type="auto"/>
          </w:tcPr>
          <w:p w:rsidR="00776A46" w:rsidRPr="00F77095" w:rsidRDefault="00776A46" w:rsidP="00650EAF">
            <w:pPr>
              <w:jc w:val="both"/>
              <w:rPr>
                <w:rFonts w:ascii="Times New Roman" w:hAnsi="Times New Roman" w:cs="Times New Roman"/>
              </w:rPr>
            </w:pPr>
          </w:p>
        </w:tc>
      </w:tr>
      <w:tr w:rsidR="00776A46" w:rsidRPr="00F77095" w:rsidTr="00650EAF">
        <w:trPr>
          <w:trHeight w:val="291"/>
          <w:jc w:val="center"/>
        </w:trPr>
        <w:tc>
          <w:tcPr>
            <w:tcW w:w="0" w:type="auto"/>
          </w:tcPr>
          <w:p w:rsidR="00776A46" w:rsidRPr="00F77095" w:rsidRDefault="00776A46" w:rsidP="00650EAF">
            <w:pPr>
              <w:jc w:val="both"/>
              <w:rPr>
                <w:rFonts w:ascii="Times New Roman" w:hAnsi="Times New Roman" w:cs="Times New Roman"/>
              </w:rPr>
            </w:pPr>
          </w:p>
        </w:tc>
        <w:tc>
          <w:tcPr>
            <w:tcW w:w="0" w:type="auto"/>
          </w:tcPr>
          <w:p w:rsidR="00776A46" w:rsidRPr="00F77095" w:rsidRDefault="00776A46" w:rsidP="00650EAF">
            <w:pPr>
              <w:jc w:val="center"/>
              <w:rPr>
                <w:rFonts w:ascii="Times New Roman" w:hAnsi="Times New Roman" w:cs="Times New Roman"/>
              </w:rPr>
            </w:pPr>
            <w:r w:rsidRPr="00F77095">
              <w:rPr>
                <w:rFonts w:ascii="Times New Roman" w:hAnsi="Times New Roman" w:cs="Times New Roman"/>
              </w:rPr>
              <w:t>665</w:t>
            </w:r>
          </w:p>
        </w:tc>
        <w:tc>
          <w:tcPr>
            <w:tcW w:w="0" w:type="auto"/>
          </w:tcPr>
          <w:p w:rsidR="00776A46" w:rsidRPr="00F77095" w:rsidRDefault="00776A46" w:rsidP="00650EAF">
            <w:pPr>
              <w:jc w:val="both"/>
              <w:rPr>
                <w:rFonts w:ascii="Times New Roman" w:hAnsi="Times New Roman" w:cs="Times New Roman"/>
              </w:rPr>
            </w:pPr>
            <w:r w:rsidRPr="00F77095">
              <w:rPr>
                <w:rFonts w:ascii="Times New Roman" w:hAnsi="Times New Roman" w:cs="Times New Roman"/>
              </w:rPr>
              <w:t>Regulatory Commission Expense</w:t>
            </w:r>
          </w:p>
        </w:tc>
        <w:tc>
          <w:tcPr>
            <w:tcW w:w="0" w:type="auto"/>
          </w:tcPr>
          <w:p w:rsidR="00776A46" w:rsidRPr="00F77095" w:rsidRDefault="00776A46" w:rsidP="00650EAF">
            <w:pPr>
              <w:jc w:val="right"/>
              <w:rPr>
                <w:rFonts w:ascii="Times New Roman" w:hAnsi="Times New Roman" w:cs="Times New Roman"/>
              </w:rPr>
            </w:pPr>
            <w:r w:rsidRPr="00F77095">
              <w:rPr>
                <w:rFonts w:ascii="Times New Roman" w:hAnsi="Times New Roman" w:cs="Times New Roman"/>
              </w:rPr>
              <w:t>280</w:t>
            </w:r>
          </w:p>
        </w:tc>
        <w:tc>
          <w:tcPr>
            <w:tcW w:w="0" w:type="auto"/>
          </w:tcPr>
          <w:p w:rsidR="00776A46" w:rsidRPr="00F77095" w:rsidRDefault="00776A46" w:rsidP="00650EAF">
            <w:pPr>
              <w:jc w:val="right"/>
              <w:rPr>
                <w:rFonts w:ascii="Times New Roman" w:hAnsi="Times New Roman" w:cs="Times New Roman"/>
              </w:rPr>
            </w:pPr>
            <w:r w:rsidRPr="00F77095">
              <w:rPr>
                <w:rFonts w:ascii="Times New Roman" w:hAnsi="Times New Roman" w:cs="Times New Roman"/>
              </w:rPr>
              <w:t>8</w:t>
            </w:r>
          </w:p>
        </w:tc>
        <w:tc>
          <w:tcPr>
            <w:tcW w:w="0" w:type="auto"/>
          </w:tcPr>
          <w:p w:rsidR="00776A46" w:rsidRPr="00F77095" w:rsidRDefault="00776A46" w:rsidP="00650EAF">
            <w:pPr>
              <w:jc w:val="right"/>
              <w:rPr>
                <w:rFonts w:ascii="Times New Roman" w:hAnsi="Times New Roman" w:cs="Times New Roman"/>
              </w:rPr>
            </w:pPr>
            <w:r w:rsidRPr="00F77095">
              <w:rPr>
                <w:rFonts w:ascii="Times New Roman" w:hAnsi="Times New Roman" w:cs="Times New Roman"/>
              </w:rPr>
              <w:t>288</w:t>
            </w:r>
          </w:p>
        </w:tc>
        <w:tc>
          <w:tcPr>
            <w:tcW w:w="0" w:type="auto"/>
          </w:tcPr>
          <w:p w:rsidR="00776A46" w:rsidRPr="00F77095" w:rsidRDefault="00776A46" w:rsidP="00650EAF">
            <w:pPr>
              <w:jc w:val="both"/>
              <w:rPr>
                <w:rFonts w:ascii="Times New Roman" w:hAnsi="Times New Roman" w:cs="Times New Roman"/>
              </w:rPr>
            </w:pPr>
          </w:p>
        </w:tc>
      </w:tr>
      <w:tr w:rsidR="00776A46" w:rsidRPr="00F77095" w:rsidTr="00650EAF">
        <w:trPr>
          <w:trHeight w:val="307"/>
          <w:jc w:val="center"/>
        </w:trPr>
        <w:tc>
          <w:tcPr>
            <w:tcW w:w="0" w:type="auto"/>
          </w:tcPr>
          <w:p w:rsidR="00776A46" w:rsidRPr="00F77095" w:rsidRDefault="00776A46" w:rsidP="00650EAF">
            <w:pPr>
              <w:jc w:val="both"/>
              <w:rPr>
                <w:rFonts w:ascii="Times New Roman" w:hAnsi="Times New Roman" w:cs="Times New Roman"/>
              </w:rPr>
            </w:pPr>
          </w:p>
        </w:tc>
        <w:tc>
          <w:tcPr>
            <w:tcW w:w="0" w:type="auto"/>
          </w:tcPr>
          <w:p w:rsidR="00776A46" w:rsidRPr="00F77095" w:rsidRDefault="00776A46" w:rsidP="00650EAF">
            <w:pPr>
              <w:jc w:val="center"/>
              <w:rPr>
                <w:rFonts w:ascii="Times New Roman" w:hAnsi="Times New Roman" w:cs="Times New Roman"/>
              </w:rPr>
            </w:pPr>
            <w:r w:rsidRPr="00F77095">
              <w:rPr>
                <w:rFonts w:ascii="Times New Roman" w:hAnsi="Times New Roman" w:cs="Times New Roman"/>
              </w:rPr>
              <w:t>670</w:t>
            </w:r>
          </w:p>
        </w:tc>
        <w:tc>
          <w:tcPr>
            <w:tcW w:w="0" w:type="auto"/>
          </w:tcPr>
          <w:p w:rsidR="00776A46" w:rsidRPr="00F77095" w:rsidRDefault="00776A46" w:rsidP="00650EAF">
            <w:pPr>
              <w:jc w:val="both"/>
              <w:rPr>
                <w:rFonts w:ascii="Times New Roman" w:hAnsi="Times New Roman" w:cs="Times New Roman"/>
              </w:rPr>
            </w:pPr>
            <w:r w:rsidRPr="00F77095">
              <w:rPr>
                <w:rFonts w:ascii="Times New Roman" w:hAnsi="Times New Roman" w:cs="Times New Roman"/>
              </w:rPr>
              <w:t>Bad Debt Expense</w:t>
            </w:r>
          </w:p>
        </w:tc>
        <w:tc>
          <w:tcPr>
            <w:tcW w:w="0" w:type="auto"/>
          </w:tcPr>
          <w:p w:rsidR="00776A46" w:rsidRPr="00F77095" w:rsidRDefault="00776A46" w:rsidP="00650EAF">
            <w:pPr>
              <w:jc w:val="right"/>
              <w:rPr>
                <w:rFonts w:ascii="Times New Roman" w:hAnsi="Times New Roman" w:cs="Times New Roman"/>
              </w:rPr>
            </w:pPr>
            <w:r w:rsidRPr="00F77095">
              <w:rPr>
                <w:rFonts w:ascii="Times New Roman" w:hAnsi="Times New Roman" w:cs="Times New Roman"/>
              </w:rPr>
              <w:t>89</w:t>
            </w:r>
          </w:p>
        </w:tc>
        <w:tc>
          <w:tcPr>
            <w:tcW w:w="0" w:type="auto"/>
          </w:tcPr>
          <w:p w:rsidR="00776A46" w:rsidRPr="00F77095" w:rsidRDefault="00776A46" w:rsidP="00650EAF">
            <w:pPr>
              <w:jc w:val="right"/>
              <w:rPr>
                <w:rFonts w:ascii="Times New Roman" w:hAnsi="Times New Roman" w:cs="Times New Roman"/>
              </w:rPr>
            </w:pPr>
            <w:r w:rsidRPr="00F77095">
              <w:rPr>
                <w:rFonts w:ascii="Times New Roman" w:hAnsi="Times New Roman" w:cs="Times New Roman"/>
              </w:rPr>
              <w:t>84</w:t>
            </w:r>
          </w:p>
        </w:tc>
        <w:tc>
          <w:tcPr>
            <w:tcW w:w="0" w:type="auto"/>
          </w:tcPr>
          <w:p w:rsidR="00776A46" w:rsidRPr="00F77095" w:rsidRDefault="00776A46" w:rsidP="00650EAF">
            <w:pPr>
              <w:jc w:val="right"/>
              <w:rPr>
                <w:rFonts w:ascii="Times New Roman" w:hAnsi="Times New Roman" w:cs="Times New Roman"/>
              </w:rPr>
            </w:pPr>
            <w:r w:rsidRPr="00F77095">
              <w:rPr>
                <w:rFonts w:ascii="Times New Roman" w:hAnsi="Times New Roman" w:cs="Times New Roman"/>
              </w:rPr>
              <w:t>173</w:t>
            </w:r>
          </w:p>
        </w:tc>
        <w:tc>
          <w:tcPr>
            <w:tcW w:w="0" w:type="auto"/>
          </w:tcPr>
          <w:p w:rsidR="00776A46" w:rsidRPr="00F77095" w:rsidRDefault="00776A46" w:rsidP="00650EAF">
            <w:pPr>
              <w:jc w:val="both"/>
              <w:rPr>
                <w:rFonts w:ascii="Times New Roman" w:hAnsi="Times New Roman" w:cs="Times New Roman"/>
              </w:rPr>
            </w:pPr>
          </w:p>
        </w:tc>
      </w:tr>
      <w:tr w:rsidR="00776A46" w:rsidRPr="00F77095" w:rsidTr="00650EAF">
        <w:trPr>
          <w:trHeight w:val="291"/>
          <w:jc w:val="center"/>
        </w:trPr>
        <w:tc>
          <w:tcPr>
            <w:tcW w:w="0" w:type="auto"/>
          </w:tcPr>
          <w:p w:rsidR="00776A46" w:rsidRPr="00F77095" w:rsidRDefault="00776A46" w:rsidP="00650EAF">
            <w:pPr>
              <w:jc w:val="both"/>
              <w:rPr>
                <w:rFonts w:ascii="Times New Roman" w:hAnsi="Times New Roman" w:cs="Times New Roman"/>
              </w:rPr>
            </w:pPr>
          </w:p>
        </w:tc>
        <w:tc>
          <w:tcPr>
            <w:tcW w:w="0" w:type="auto"/>
          </w:tcPr>
          <w:p w:rsidR="00776A46" w:rsidRPr="00F77095" w:rsidRDefault="00776A46" w:rsidP="00650EAF">
            <w:pPr>
              <w:jc w:val="center"/>
              <w:rPr>
                <w:rFonts w:ascii="Times New Roman" w:hAnsi="Times New Roman" w:cs="Times New Roman"/>
              </w:rPr>
            </w:pPr>
            <w:r w:rsidRPr="00F77095">
              <w:rPr>
                <w:rFonts w:ascii="Times New Roman" w:hAnsi="Times New Roman" w:cs="Times New Roman"/>
              </w:rPr>
              <w:t>675</w:t>
            </w:r>
          </w:p>
        </w:tc>
        <w:tc>
          <w:tcPr>
            <w:tcW w:w="0" w:type="auto"/>
          </w:tcPr>
          <w:p w:rsidR="00776A46" w:rsidRPr="00F77095" w:rsidRDefault="00776A46" w:rsidP="00650EAF">
            <w:pPr>
              <w:jc w:val="both"/>
              <w:rPr>
                <w:rFonts w:ascii="Times New Roman" w:hAnsi="Times New Roman" w:cs="Times New Roman"/>
              </w:rPr>
            </w:pPr>
            <w:r w:rsidRPr="00F77095">
              <w:rPr>
                <w:rFonts w:ascii="Times New Roman" w:hAnsi="Times New Roman" w:cs="Times New Roman"/>
              </w:rPr>
              <w:t>Miscellaneous Expenses</w:t>
            </w:r>
          </w:p>
        </w:tc>
        <w:tc>
          <w:tcPr>
            <w:tcW w:w="0" w:type="auto"/>
          </w:tcPr>
          <w:p w:rsidR="00776A46" w:rsidRPr="00F77095" w:rsidRDefault="00776A46" w:rsidP="00650EAF">
            <w:pPr>
              <w:jc w:val="right"/>
              <w:rPr>
                <w:rFonts w:ascii="Times New Roman" w:hAnsi="Times New Roman" w:cs="Times New Roman"/>
                <w:u w:val="single"/>
              </w:rPr>
            </w:pPr>
            <w:r w:rsidRPr="00F77095">
              <w:rPr>
                <w:rFonts w:ascii="Times New Roman" w:hAnsi="Times New Roman" w:cs="Times New Roman"/>
                <w:u w:val="single"/>
              </w:rPr>
              <w:t>692</w:t>
            </w:r>
          </w:p>
        </w:tc>
        <w:tc>
          <w:tcPr>
            <w:tcW w:w="0" w:type="auto"/>
          </w:tcPr>
          <w:p w:rsidR="00776A46" w:rsidRPr="00F77095" w:rsidRDefault="00776A46" w:rsidP="00650EAF">
            <w:pPr>
              <w:jc w:val="right"/>
              <w:rPr>
                <w:rFonts w:ascii="Times New Roman" w:hAnsi="Times New Roman" w:cs="Times New Roman"/>
                <w:u w:val="single"/>
              </w:rPr>
            </w:pPr>
            <w:r w:rsidRPr="00F77095">
              <w:rPr>
                <w:rFonts w:ascii="Times New Roman" w:hAnsi="Times New Roman" w:cs="Times New Roman"/>
                <w:u w:val="single"/>
              </w:rPr>
              <w:t>0</w:t>
            </w:r>
          </w:p>
        </w:tc>
        <w:tc>
          <w:tcPr>
            <w:tcW w:w="0" w:type="auto"/>
          </w:tcPr>
          <w:p w:rsidR="00776A46" w:rsidRPr="00F77095" w:rsidRDefault="00776A46" w:rsidP="00650EAF">
            <w:pPr>
              <w:jc w:val="right"/>
              <w:rPr>
                <w:rFonts w:ascii="Times New Roman" w:hAnsi="Times New Roman" w:cs="Times New Roman"/>
                <w:u w:val="single"/>
              </w:rPr>
            </w:pPr>
            <w:r w:rsidRPr="00F77095">
              <w:rPr>
                <w:rFonts w:ascii="Times New Roman" w:hAnsi="Times New Roman" w:cs="Times New Roman"/>
                <w:u w:val="single"/>
              </w:rPr>
              <w:t>692</w:t>
            </w:r>
          </w:p>
        </w:tc>
        <w:tc>
          <w:tcPr>
            <w:tcW w:w="0" w:type="auto"/>
          </w:tcPr>
          <w:p w:rsidR="00776A46" w:rsidRPr="00F77095" w:rsidRDefault="00776A46" w:rsidP="00650EAF">
            <w:pPr>
              <w:jc w:val="both"/>
              <w:rPr>
                <w:rFonts w:ascii="Times New Roman" w:hAnsi="Times New Roman" w:cs="Times New Roman"/>
              </w:rPr>
            </w:pPr>
          </w:p>
        </w:tc>
      </w:tr>
      <w:tr w:rsidR="00776A46" w:rsidRPr="00F77095" w:rsidTr="00650EAF">
        <w:trPr>
          <w:trHeight w:val="307"/>
          <w:jc w:val="center"/>
        </w:trPr>
        <w:tc>
          <w:tcPr>
            <w:tcW w:w="0" w:type="auto"/>
          </w:tcPr>
          <w:p w:rsidR="00776A46" w:rsidRPr="00F77095" w:rsidRDefault="00776A46" w:rsidP="00650EAF">
            <w:pPr>
              <w:jc w:val="both"/>
              <w:rPr>
                <w:rFonts w:ascii="Times New Roman" w:hAnsi="Times New Roman" w:cs="Times New Roman"/>
              </w:rPr>
            </w:pPr>
          </w:p>
        </w:tc>
        <w:tc>
          <w:tcPr>
            <w:tcW w:w="0" w:type="auto"/>
          </w:tcPr>
          <w:p w:rsidR="00776A46" w:rsidRPr="00F77095" w:rsidRDefault="00776A46" w:rsidP="00650EAF">
            <w:pPr>
              <w:jc w:val="both"/>
              <w:rPr>
                <w:rFonts w:ascii="Times New Roman" w:hAnsi="Times New Roman" w:cs="Times New Roman"/>
              </w:rPr>
            </w:pPr>
          </w:p>
        </w:tc>
        <w:tc>
          <w:tcPr>
            <w:tcW w:w="0" w:type="auto"/>
          </w:tcPr>
          <w:p w:rsidR="00776A46" w:rsidRPr="00F77095" w:rsidRDefault="00776A46" w:rsidP="00650EAF">
            <w:pPr>
              <w:jc w:val="both"/>
              <w:rPr>
                <w:rFonts w:ascii="Times New Roman" w:hAnsi="Times New Roman" w:cs="Times New Roman"/>
              </w:rPr>
            </w:pPr>
          </w:p>
        </w:tc>
        <w:tc>
          <w:tcPr>
            <w:tcW w:w="0" w:type="auto"/>
          </w:tcPr>
          <w:p w:rsidR="00776A46" w:rsidRPr="00F77095" w:rsidRDefault="00776A46" w:rsidP="00650EAF">
            <w:pPr>
              <w:jc w:val="right"/>
              <w:rPr>
                <w:rFonts w:ascii="Times New Roman" w:hAnsi="Times New Roman" w:cs="Times New Roman"/>
              </w:rPr>
            </w:pPr>
          </w:p>
        </w:tc>
        <w:tc>
          <w:tcPr>
            <w:tcW w:w="0" w:type="auto"/>
          </w:tcPr>
          <w:p w:rsidR="00776A46" w:rsidRPr="00F77095" w:rsidRDefault="00776A46" w:rsidP="00650EAF">
            <w:pPr>
              <w:jc w:val="right"/>
              <w:rPr>
                <w:rFonts w:ascii="Times New Roman" w:hAnsi="Times New Roman" w:cs="Times New Roman"/>
              </w:rPr>
            </w:pPr>
          </w:p>
        </w:tc>
        <w:tc>
          <w:tcPr>
            <w:tcW w:w="0" w:type="auto"/>
          </w:tcPr>
          <w:p w:rsidR="00776A46" w:rsidRPr="00F77095" w:rsidRDefault="00776A46" w:rsidP="00650EAF">
            <w:pPr>
              <w:jc w:val="right"/>
              <w:rPr>
                <w:rFonts w:ascii="Times New Roman" w:hAnsi="Times New Roman" w:cs="Times New Roman"/>
              </w:rPr>
            </w:pPr>
          </w:p>
        </w:tc>
        <w:tc>
          <w:tcPr>
            <w:tcW w:w="0" w:type="auto"/>
          </w:tcPr>
          <w:p w:rsidR="00776A46" w:rsidRPr="00F77095" w:rsidRDefault="00776A46" w:rsidP="00650EAF">
            <w:pPr>
              <w:jc w:val="both"/>
              <w:rPr>
                <w:rFonts w:ascii="Times New Roman" w:hAnsi="Times New Roman" w:cs="Times New Roman"/>
              </w:rPr>
            </w:pPr>
          </w:p>
        </w:tc>
      </w:tr>
      <w:tr w:rsidR="00776A46" w:rsidRPr="00F77095" w:rsidTr="00650EAF">
        <w:trPr>
          <w:trHeight w:val="291"/>
          <w:jc w:val="center"/>
        </w:trPr>
        <w:tc>
          <w:tcPr>
            <w:tcW w:w="0" w:type="auto"/>
          </w:tcPr>
          <w:p w:rsidR="00776A46" w:rsidRPr="00F77095" w:rsidRDefault="00776A46" w:rsidP="00650EAF">
            <w:pPr>
              <w:jc w:val="both"/>
              <w:rPr>
                <w:rFonts w:ascii="Times New Roman" w:hAnsi="Times New Roman" w:cs="Times New Roman"/>
              </w:rPr>
            </w:pPr>
          </w:p>
        </w:tc>
        <w:tc>
          <w:tcPr>
            <w:tcW w:w="0" w:type="auto"/>
          </w:tcPr>
          <w:p w:rsidR="00776A46" w:rsidRPr="00F77095" w:rsidRDefault="00776A46" w:rsidP="00650EAF">
            <w:pPr>
              <w:jc w:val="both"/>
              <w:rPr>
                <w:rFonts w:ascii="Times New Roman" w:hAnsi="Times New Roman" w:cs="Times New Roman"/>
              </w:rPr>
            </w:pPr>
          </w:p>
        </w:tc>
        <w:tc>
          <w:tcPr>
            <w:tcW w:w="0" w:type="auto"/>
          </w:tcPr>
          <w:p w:rsidR="00776A46" w:rsidRPr="00F77095" w:rsidRDefault="00776A46" w:rsidP="00650EAF">
            <w:pPr>
              <w:jc w:val="both"/>
              <w:rPr>
                <w:rFonts w:ascii="Times New Roman" w:hAnsi="Times New Roman" w:cs="Times New Roman"/>
              </w:rPr>
            </w:pPr>
            <w:r w:rsidRPr="00F77095">
              <w:rPr>
                <w:rFonts w:ascii="Times New Roman" w:hAnsi="Times New Roman" w:cs="Times New Roman"/>
              </w:rPr>
              <w:t>Total O&amp;M Expense</w:t>
            </w:r>
          </w:p>
        </w:tc>
        <w:tc>
          <w:tcPr>
            <w:tcW w:w="0" w:type="auto"/>
          </w:tcPr>
          <w:p w:rsidR="00776A46" w:rsidRPr="00F77095" w:rsidRDefault="00776A46" w:rsidP="00650EAF">
            <w:pPr>
              <w:jc w:val="right"/>
              <w:rPr>
                <w:rFonts w:ascii="Times New Roman" w:hAnsi="Times New Roman" w:cs="Times New Roman"/>
                <w:u w:val="double"/>
              </w:rPr>
            </w:pPr>
            <w:r w:rsidRPr="00F77095">
              <w:rPr>
                <w:rFonts w:ascii="Times New Roman" w:hAnsi="Times New Roman" w:cs="Times New Roman"/>
                <w:u w:val="double"/>
              </w:rPr>
              <w:t>$27,651</w:t>
            </w:r>
          </w:p>
        </w:tc>
        <w:tc>
          <w:tcPr>
            <w:tcW w:w="0" w:type="auto"/>
          </w:tcPr>
          <w:p w:rsidR="00776A46" w:rsidRPr="00F77095" w:rsidRDefault="00776A46" w:rsidP="00650EAF">
            <w:pPr>
              <w:jc w:val="right"/>
              <w:rPr>
                <w:rFonts w:ascii="Times New Roman" w:hAnsi="Times New Roman" w:cs="Times New Roman"/>
                <w:u w:val="double"/>
              </w:rPr>
            </w:pPr>
            <w:r w:rsidRPr="00F77095">
              <w:rPr>
                <w:rFonts w:ascii="Times New Roman" w:hAnsi="Times New Roman" w:cs="Times New Roman"/>
                <w:u w:val="double"/>
              </w:rPr>
              <w:t>$251</w:t>
            </w:r>
          </w:p>
        </w:tc>
        <w:tc>
          <w:tcPr>
            <w:tcW w:w="0" w:type="auto"/>
          </w:tcPr>
          <w:p w:rsidR="00776A46" w:rsidRPr="00F77095" w:rsidRDefault="00776A46" w:rsidP="00650EAF">
            <w:pPr>
              <w:jc w:val="right"/>
              <w:rPr>
                <w:rFonts w:ascii="Times New Roman" w:hAnsi="Times New Roman" w:cs="Times New Roman"/>
                <w:u w:val="double"/>
              </w:rPr>
            </w:pPr>
            <w:r w:rsidRPr="00F77095">
              <w:rPr>
                <w:rFonts w:ascii="Times New Roman" w:hAnsi="Times New Roman" w:cs="Times New Roman"/>
                <w:u w:val="double"/>
              </w:rPr>
              <w:t>$27,902</w:t>
            </w:r>
          </w:p>
        </w:tc>
        <w:tc>
          <w:tcPr>
            <w:tcW w:w="0" w:type="auto"/>
          </w:tcPr>
          <w:p w:rsidR="00776A46" w:rsidRPr="00F77095" w:rsidRDefault="00776A46" w:rsidP="00650EAF">
            <w:pPr>
              <w:jc w:val="both"/>
              <w:rPr>
                <w:rFonts w:ascii="Times New Roman" w:hAnsi="Times New Roman" w:cs="Times New Roman"/>
              </w:rPr>
            </w:pPr>
          </w:p>
        </w:tc>
      </w:tr>
      <w:tr w:rsidR="00776A46" w:rsidRPr="00F77095" w:rsidTr="00650EAF">
        <w:trPr>
          <w:trHeight w:val="291"/>
          <w:jc w:val="center"/>
        </w:trPr>
        <w:tc>
          <w:tcPr>
            <w:tcW w:w="0" w:type="auto"/>
          </w:tcPr>
          <w:p w:rsidR="00776A46" w:rsidRPr="00F77095" w:rsidRDefault="00776A46" w:rsidP="00650EAF">
            <w:pPr>
              <w:jc w:val="both"/>
              <w:rPr>
                <w:rFonts w:ascii="Times New Roman" w:hAnsi="Times New Roman" w:cs="Times New Roman"/>
              </w:rPr>
            </w:pPr>
          </w:p>
        </w:tc>
        <w:tc>
          <w:tcPr>
            <w:tcW w:w="0" w:type="auto"/>
          </w:tcPr>
          <w:p w:rsidR="00776A46" w:rsidRPr="00F77095" w:rsidRDefault="00776A46" w:rsidP="00650EAF">
            <w:pPr>
              <w:jc w:val="both"/>
              <w:rPr>
                <w:rFonts w:ascii="Times New Roman" w:hAnsi="Times New Roman" w:cs="Times New Roman"/>
              </w:rPr>
            </w:pPr>
          </w:p>
        </w:tc>
        <w:tc>
          <w:tcPr>
            <w:tcW w:w="0" w:type="auto"/>
          </w:tcPr>
          <w:p w:rsidR="00776A46" w:rsidRPr="00F77095" w:rsidRDefault="00776A46" w:rsidP="00650EAF">
            <w:pPr>
              <w:jc w:val="both"/>
              <w:rPr>
                <w:rFonts w:ascii="Times New Roman" w:hAnsi="Times New Roman" w:cs="Times New Roman"/>
              </w:rPr>
            </w:pPr>
          </w:p>
        </w:tc>
        <w:tc>
          <w:tcPr>
            <w:tcW w:w="0" w:type="auto"/>
          </w:tcPr>
          <w:p w:rsidR="00776A46" w:rsidRPr="00F77095" w:rsidRDefault="00776A46" w:rsidP="00650EAF">
            <w:pPr>
              <w:jc w:val="right"/>
              <w:rPr>
                <w:rFonts w:ascii="Times New Roman" w:hAnsi="Times New Roman" w:cs="Times New Roman"/>
              </w:rPr>
            </w:pPr>
          </w:p>
        </w:tc>
        <w:tc>
          <w:tcPr>
            <w:tcW w:w="0" w:type="auto"/>
          </w:tcPr>
          <w:p w:rsidR="00776A46" w:rsidRPr="00F77095" w:rsidRDefault="00776A46" w:rsidP="00650EAF">
            <w:pPr>
              <w:jc w:val="right"/>
              <w:rPr>
                <w:rFonts w:ascii="Times New Roman" w:hAnsi="Times New Roman" w:cs="Times New Roman"/>
              </w:rPr>
            </w:pPr>
          </w:p>
        </w:tc>
        <w:tc>
          <w:tcPr>
            <w:tcW w:w="0" w:type="auto"/>
          </w:tcPr>
          <w:p w:rsidR="00776A46" w:rsidRPr="00F77095" w:rsidRDefault="00776A46" w:rsidP="00650EAF">
            <w:pPr>
              <w:jc w:val="right"/>
              <w:rPr>
                <w:rFonts w:ascii="Times New Roman" w:hAnsi="Times New Roman" w:cs="Times New Roman"/>
              </w:rPr>
            </w:pPr>
          </w:p>
        </w:tc>
        <w:tc>
          <w:tcPr>
            <w:tcW w:w="0" w:type="auto"/>
          </w:tcPr>
          <w:p w:rsidR="00776A46" w:rsidRPr="00F77095" w:rsidRDefault="00776A46" w:rsidP="00650EAF">
            <w:pPr>
              <w:jc w:val="both"/>
              <w:rPr>
                <w:rFonts w:ascii="Times New Roman" w:hAnsi="Times New Roman" w:cs="Times New Roman"/>
              </w:rPr>
            </w:pPr>
          </w:p>
        </w:tc>
      </w:tr>
      <w:tr w:rsidR="00776A46" w:rsidRPr="00F77095" w:rsidTr="00650EAF">
        <w:trPr>
          <w:trHeight w:val="307"/>
          <w:jc w:val="center"/>
        </w:trPr>
        <w:tc>
          <w:tcPr>
            <w:tcW w:w="0" w:type="auto"/>
          </w:tcPr>
          <w:p w:rsidR="00776A46" w:rsidRPr="00F77095" w:rsidRDefault="00776A46" w:rsidP="00650EAF">
            <w:pPr>
              <w:jc w:val="both"/>
              <w:rPr>
                <w:rFonts w:ascii="Times New Roman" w:hAnsi="Times New Roman" w:cs="Times New Roman"/>
              </w:rPr>
            </w:pPr>
          </w:p>
        </w:tc>
        <w:tc>
          <w:tcPr>
            <w:tcW w:w="0" w:type="auto"/>
          </w:tcPr>
          <w:p w:rsidR="00776A46" w:rsidRPr="00F77095" w:rsidRDefault="00776A46" w:rsidP="00650EAF">
            <w:pPr>
              <w:jc w:val="both"/>
              <w:rPr>
                <w:rFonts w:ascii="Times New Roman" w:hAnsi="Times New Roman" w:cs="Times New Roman"/>
              </w:rPr>
            </w:pPr>
          </w:p>
        </w:tc>
        <w:tc>
          <w:tcPr>
            <w:tcW w:w="0" w:type="auto"/>
          </w:tcPr>
          <w:p w:rsidR="00776A46" w:rsidRPr="00F77095" w:rsidRDefault="00776A46" w:rsidP="00650EAF">
            <w:pPr>
              <w:jc w:val="both"/>
              <w:rPr>
                <w:rFonts w:ascii="Times New Roman" w:hAnsi="Times New Roman" w:cs="Times New Roman"/>
              </w:rPr>
            </w:pPr>
            <w:r w:rsidRPr="00F77095">
              <w:rPr>
                <w:rFonts w:ascii="Times New Roman" w:hAnsi="Times New Roman" w:cs="Times New Roman"/>
              </w:rPr>
              <w:t xml:space="preserve">Working Capital </w:t>
            </w:r>
          </w:p>
        </w:tc>
        <w:tc>
          <w:tcPr>
            <w:tcW w:w="0" w:type="auto"/>
          </w:tcPr>
          <w:p w:rsidR="00776A46" w:rsidRPr="00F77095" w:rsidRDefault="00776A46" w:rsidP="00650EAF">
            <w:pPr>
              <w:jc w:val="right"/>
              <w:rPr>
                <w:rFonts w:ascii="Times New Roman" w:hAnsi="Times New Roman" w:cs="Times New Roman"/>
              </w:rPr>
            </w:pPr>
          </w:p>
        </w:tc>
        <w:tc>
          <w:tcPr>
            <w:tcW w:w="0" w:type="auto"/>
          </w:tcPr>
          <w:p w:rsidR="00776A46" w:rsidRPr="00F77095" w:rsidRDefault="00776A46" w:rsidP="00650EAF">
            <w:pPr>
              <w:jc w:val="right"/>
              <w:rPr>
                <w:rFonts w:ascii="Times New Roman" w:hAnsi="Times New Roman" w:cs="Times New Roman"/>
              </w:rPr>
            </w:pPr>
          </w:p>
        </w:tc>
        <w:tc>
          <w:tcPr>
            <w:tcW w:w="0" w:type="auto"/>
          </w:tcPr>
          <w:p w:rsidR="00776A46" w:rsidRPr="00F77095" w:rsidRDefault="00776A46" w:rsidP="00650EAF">
            <w:pPr>
              <w:jc w:val="right"/>
              <w:rPr>
                <w:rFonts w:ascii="Times New Roman" w:hAnsi="Times New Roman" w:cs="Times New Roman"/>
              </w:rPr>
            </w:pPr>
            <w:r w:rsidRPr="00F77095">
              <w:rPr>
                <w:rFonts w:ascii="Times New Roman" w:hAnsi="Times New Roman" w:cs="Times New Roman"/>
              </w:rPr>
              <w:t>$3,452</w:t>
            </w:r>
          </w:p>
        </w:tc>
        <w:tc>
          <w:tcPr>
            <w:tcW w:w="0" w:type="auto"/>
          </w:tcPr>
          <w:p w:rsidR="00776A46" w:rsidRPr="00F77095" w:rsidRDefault="00776A46" w:rsidP="00650EAF">
            <w:pPr>
              <w:jc w:val="both"/>
              <w:rPr>
                <w:rFonts w:ascii="Times New Roman" w:hAnsi="Times New Roman" w:cs="Times New Roman"/>
              </w:rPr>
            </w:pPr>
          </w:p>
        </w:tc>
      </w:tr>
      <w:tr w:rsidR="00776A46" w:rsidRPr="00F77095" w:rsidTr="00650EAF">
        <w:trPr>
          <w:trHeight w:val="291"/>
          <w:jc w:val="center"/>
        </w:trPr>
        <w:tc>
          <w:tcPr>
            <w:tcW w:w="0" w:type="auto"/>
          </w:tcPr>
          <w:p w:rsidR="00776A46" w:rsidRPr="00F77095" w:rsidRDefault="00776A46" w:rsidP="00650EAF">
            <w:pPr>
              <w:jc w:val="both"/>
              <w:rPr>
                <w:rFonts w:ascii="Times New Roman" w:hAnsi="Times New Roman" w:cs="Times New Roman"/>
              </w:rPr>
            </w:pPr>
          </w:p>
        </w:tc>
        <w:tc>
          <w:tcPr>
            <w:tcW w:w="0" w:type="auto"/>
          </w:tcPr>
          <w:p w:rsidR="00776A46" w:rsidRPr="00F77095" w:rsidRDefault="00776A46" w:rsidP="00650EAF">
            <w:pPr>
              <w:jc w:val="both"/>
              <w:rPr>
                <w:rFonts w:ascii="Times New Roman" w:hAnsi="Times New Roman" w:cs="Times New Roman"/>
              </w:rPr>
            </w:pPr>
          </w:p>
        </w:tc>
        <w:tc>
          <w:tcPr>
            <w:tcW w:w="0" w:type="auto"/>
          </w:tcPr>
          <w:p w:rsidR="00776A46" w:rsidRPr="00F77095" w:rsidRDefault="00776A46" w:rsidP="00650EAF">
            <w:pPr>
              <w:jc w:val="both"/>
              <w:rPr>
                <w:rFonts w:ascii="Times New Roman" w:hAnsi="Times New Roman" w:cs="Times New Roman"/>
              </w:rPr>
            </w:pPr>
            <w:r w:rsidRPr="00F77095">
              <w:fldChar w:fldCharType="begin"/>
            </w:r>
            <w:r w:rsidRPr="00F77095">
              <w:instrText xml:space="preserve"> TC "</w:instrText>
            </w:r>
            <w:bookmarkStart w:id="75" w:name="_Toc21427550"/>
            <w:bookmarkStart w:id="76" w:name="_Toc82175413"/>
            <w:bookmarkStart w:id="77" w:name="_Toc82430617"/>
            <w:bookmarkStart w:id="78" w:name="_Toc90302755"/>
            <w:bookmarkStart w:id="79" w:name="_Toc90478776"/>
            <w:bookmarkStart w:id="80" w:name="_Toc90549984"/>
            <w:bookmarkStart w:id="81" w:name="_Toc91659009"/>
            <w:r w:rsidRPr="00F77095">
              <w:tab/>
              <w:instrText>Schedule No. 3-C Water Operation and Maintenance Expense</w:instrText>
            </w:r>
            <w:bookmarkEnd w:id="75"/>
            <w:bookmarkEnd w:id="76"/>
            <w:bookmarkEnd w:id="77"/>
            <w:bookmarkEnd w:id="78"/>
            <w:bookmarkEnd w:id="79"/>
            <w:bookmarkEnd w:id="80"/>
            <w:bookmarkEnd w:id="81"/>
            <w:r w:rsidRPr="00F77095">
              <w:instrText xml:space="preserve">" \l 1 </w:instrText>
            </w:r>
            <w:r w:rsidRPr="00F77095">
              <w:fldChar w:fldCharType="end"/>
            </w:r>
          </w:p>
        </w:tc>
        <w:tc>
          <w:tcPr>
            <w:tcW w:w="0" w:type="auto"/>
          </w:tcPr>
          <w:p w:rsidR="00776A46" w:rsidRPr="00F77095" w:rsidRDefault="00776A46" w:rsidP="00650EAF">
            <w:pPr>
              <w:jc w:val="both"/>
              <w:rPr>
                <w:rFonts w:ascii="Times New Roman" w:hAnsi="Times New Roman" w:cs="Times New Roman"/>
              </w:rPr>
            </w:pPr>
          </w:p>
        </w:tc>
        <w:tc>
          <w:tcPr>
            <w:tcW w:w="0" w:type="auto"/>
          </w:tcPr>
          <w:p w:rsidR="00776A46" w:rsidRPr="00F77095" w:rsidRDefault="00776A46" w:rsidP="00650EAF">
            <w:pPr>
              <w:jc w:val="both"/>
              <w:rPr>
                <w:rFonts w:ascii="Times New Roman" w:hAnsi="Times New Roman" w:cs="Times New Roman"/>
              </w:rPr>
            </w:pPr>
          </w:p>
        </w:tc>
        <w:tc>
          <w:tcPr>
            <w:tcW w:w="0" w:type="auto"/>
          </w:tcPr>
          <w:p w:rsidR="00776A46" w:rsidRPr="00F77095" w:rsidRDefault="00776A46" w:rsidP="00650EAF">
            <w:pPr>
              <w:jc w:val="both"/>
              <w:rPr>
                <w:rFonts w:ascii="Times New Roman" w:hAnsi="Times New Roman" w:cs="Times New Roman"/>
              </w:rPr>
            </w:pPr>
          </w:p>
        </w:tc>
        <w:tc>
          <w:tcPr>
            <w:tcW w:w="0" w:type="auto"/>
          </w:tcPr>
          <w:p w:rsidR="00776A46" w:rsidRPr="00F77095" w:rsidRDefault="00776A46" w:rsidP="00650EAF">
            <w:pPr>
              <w:jc w:val="both"/>
              <w:rPr>
                <w:rFonts w:ascii="Times New Roman" w:hAnsi="Times New Roman" w:cs="Times New Roman"/>
              </w:rPr>
            </w:pPr>
          </w:p>
        </w:tc>
      </w:tr>
    </w:tbl>
    <w:p w:rsidR="00776A46" w:rsidRDefault="00776A46" w:rsidP="009B5CD6">
      <w:pPr>
        <w:tabs>
          <w:tab w:val="left" w:pos="8625"/>
        </w:tabs>
        <w:jc w:val="center"/>
        <w:sectPr w:rsidR="00776A46" w:rsidSect="00776A46">
          <w:headerReference w:type="default" r:id="rId19"/>
          <w:pgSz w:w="12240" w:h="15840" w:code="1"/>
          <w:pgMar w:top="1584" w:right="1440" w:bottom="1440" w:left="1440" w:header="720" w:footer="720" w:gutter="0"/>
          <w:cols w:space="720"/>
          <w:formProt w:val="0"/>
          <w:docGrid w:linePitch="360"/>
        </w:sectPr>
      </w:pPr>
    </w:p>
    <w:tbl>
      <w:tblPr>
        <w:tblW w:w="10244" w:type="dxa"/>
        <w:jc w:val="center"/>
        <w:tblLook w:val="04A0" w:firstRow="1" w:lastRow="0" w:firstColumn="1" w:lastColumn="0" w:noHBand="0" w:noVBand="1"/>
      </w:tblPr>
      <w:tblGrid>
        <w:gridCol w:w="4940"/>
        <w:gridCol w:w="1320"/>
        <w:gridCol w:w="1872"/>
        <w:gridCol w:w="2112"/>
      </w:tblGrid>
      <w:tr w:rsidR="00E906B4" w:rsidRPr="00E906B4" w:rsidTr="00E906B4">
        <w:trPr>
          <w:trHeight w:val="255"/>
          <w:jc w:val="center"/>
        </w:trPr>
        <w:tc>
          <w:tcPr>
            <w:tcW w:w="4940" w:type="dxa"/>
            <w:tcBorders>
              <w:top w:val="single" w:sz="8" w:space="0" w:color="auto"/>
              <w:left w:val="single" w:sz="8" w:space="0" w:color="auto"/>
              <w:bottom w:val="nil"/>
              <w:right w:val="nil"/>
            </w:tcBorders>
            <w:shd w:val="clear" w:color="auto" w:fill="auto"/>
            <w:noWrap/>
            <w:vAlign w:val="center"/>
            <w:hideMark/>
          </w:tcPr>
          <w:p w:rsidR="00E906B4" w:rsidRPr="00E906B4" w:rsidRDefault="00E906B4" w:rsidP="00E906B4">
            <w:pPr>
              <w:rPr>
                <w:b/>
                <w:bCs/>
                <w:color w:val="000000"/>
                <w:sz w:val="20"/>
                <w:szCs w:val="20"/>
              </w:rPr>
            </w:pPr>
            <w:r w:rsidRPr="00E906B4">
              <w:rPr>
                <w:b/>
                <w:bCs/>
                <w:color w:val="000000"/>
                <w:sz w:val="20"/>
                <w:szCs w:val="20"/>
              </w:rPr>
              <w:t xml:space="preserve">BRENDENWOOD WATERWORKS INC. </w:t>
            </w:r>
          </w:p>
        </w:tc>
        <w:tc>
          <w:tcPr>
            <w:tcW w:w="1320" w:type="dxa"/>
            <w:tcBorders>
              <w:top w:val="single" w:sz="8" w:space="0" w:color="auto"/>
              <w:left w:val="nil"/>
              <w:bottom w:val="nil"/>
              <w:right w:val="nil"/>
            </w:tcBorders>
            <w:shd w:val="clear" w:color="auto" w:fill="auto"/>
            <w:noWrap/>
            <w:vAlign w:val="center"/>
            <w:hideMark/>
          </w:tcPr>
          <w:p w:rsidR="00E906B4" w:rsidRPr="00E906B4" w:rsidRDefault="00E906B4" w:rsidP="00E906B4">
            <w:pPr>
              <w:rPr>
                <w:b/>
                <w:bCs/>
                <w:color w:val="000000"/>
                <w:sz w:val="20"/>
                <w:szCs w:val="20"/>
              </w:rPr>
            </w:pPr>
            <w:r w:rsidRPr="00E906B4">
              <w:rPr>
                <w:b/>
                <w:bCs/>
                <w:color w:val="000000"/>
                <w:sz w:val="20"/>
                <w:szCs w:val="20"/>
              </w:rPr>
              <w:t> </w:t>
            </w:r>
          </w:p>
        </w:tc>
        <w:tc>
          <w:tcPr>
            <w:tcW w:w="1872" w:type="dxa"/>
            <w:tcBorders>
              <w:top w:val="single" w:sz="8" w:space="0" w:color="auto"/>
              <w:left w:val="nil"/>
              <w:bottom w:val="nil"/>
              <w:right w:val="nil"/>
            </w:tcBorders>
            <w:shd w:val="clear" w:color="auto" w:fill="auto"/>
            <w:noWrap/>
            <w:vAlign w:val="center"/>
            <w:hideMark/>
          </w:tcPr>
          <w:p w:rsidR="00E906B4" w:rsidRPr="00E906B4" w:rsidRDefault="00E906B4" w:rsidP="00E906B4">
            <w:pPr>
              <w:rPr>
                <w:b/>
                <w:bCs/>
                <w:color w:val="000000"/>
                <w:sz w:val="20"/>
                <w:szCs w:val="20"/>
              </w:rPr>
            </w:pPr>
            <w:r w:rsidRPr="00E906B4">
              <w:rPr>
                <w:b/>
                <w:bCs/>
                <w:color w:val="000000"/>
                <w:sz w:val="20"/>
                <w:szCs w:val="20"/>
              </w:rPr>
              <w:t> </w:t>
            </w:r>
          </w:p>
        </w:tc>
        <w:tc>
          <w:tcPr>
            <w:tcW w:w="2112" w:type="dxa"/>
            <w:tcBorders>
              <w:top w:val="single" w:sz="8" w:space="0" w:color="auto"/>
              <w:left w:val="nil"/>
              <w:bottom w:val="nil"/>
              <w:right w:val="single" w:sz="8" w:space="0" w:color="auto"/>
            </w:tcBorders>
            <w:shd w:val="clear" w:color="auto" w:fill="auto"/>
            <w:noWrap/>
            <w:vAlign w:val="center"/>
            <w:hideMark/>
          </w:tcPr>
          <w:p w:rsidR="00E906B4" w:rsidRPr="00E906B4" w:rsidRDefault="00E906B4" w:rsidP="00E906B4">
            <w:pPr>
              <w:jc w:val="right"/>
              <w:rPr>
                <w:b/>
                <w:bCs/>
                <w:color w:val="000000"/>
                <w:sz w:val="20"/>
                <w:szCs w:val="20"/>
              </w:rPr>
            </w:pPr>
            <w:r w:rsidRPr="00E906B4">
              <w:rPr>
                <w:b/>
                <w:bCs/>
                <w:color w:val="000000"/>
                <w:sz w:val="20"/>
                <w:szCs w:val="20"/>
              </w:rPr>
              <w:t>SCHEDULE NO. 4</w:t>
            </w:r>
          </w:p>
        </w:tc>
      </w:tr>
      <w:tr w:rsidR="00E906B4" w:rsidRPr="00E906B4" w:rsidTr="00E906B4">
        <w:trPr>
          <w:trHeight w:val="255"/>
          <w:jc w:val="center"/>
        </w:trPr>
        <w:tc>
          <w:tcPr>
            <w:tcW w:w="4940" w:type="dxa"/>
            <w:tcBorders>
              <w:top w:val="nil"/>
              <w:left w:val="single" w:sz="8" w:space="0" w:color="auto"/>
              <w:bottom w:val="nil"/>
              <w:right w:val="nil"/>
            </w:tcBorders>
            <w:shd w:val="clear" w:color="auto" w:fill="auto"/>
            <w:noWrap/>
            <w:vAlign w:val="center"/>
            <w:hideMark/>
          </w:tcPr>
          <w:p w:rsidR="00E906B4" w:rsidRPr="00E906B4" w:rsidRDefault="00E906B4" w:rsidP="00E906B4">
            <w:pPr>
              <w:rPr>
                <w:b/>
                <w:bCs/>
                <w:color w:val="000000"/>
                <w:sz w:val="20"/>
                <w:szCs w:val="20"/>
              </w:rPr>
            </w:pPr>
            <w:r w:rsidRPr="00E906B4">
              <w:rPr>
                <w:b/>
                <w:bCs/>
                <w:color w:val="000000"/>
                <w:sz w:val="20"/>
                <w:szCs w:val="20"/>
              </w:rPr>
              <w:t>TEST YEAR ENDED DECEMBER 31, 2020</w:t>
            </w:r>
          </w:p>
        </w:tc>
        <w:tc>
          <w:tcPr>
            <w:tcW w:w="1320" w:type="dxa"/>
            <w:tcBorders>
              <w:top w:val="nil"/>
              <w:left w:val="nil"/>
              <w:bottom w:val="nil"/>
              <w:right w:val="nil"/>
            </w:tcBorders>
            <w:shd w:val="clear" w:color="auto" w:fill="auto"/>
            <w:noWrap/>
            <w:vAlign w:val="bottom"/>
            <w:hideMark/>
          </w:tcPr>
          <w:p w:rsidR="00E906B4" w:rsidRPr="00E906B4" w:rsidRDefault="00E906B4" w:rsidP="00E906B4">
            <w:pPr>
              <w:rPr>
                <w:b/>
                <w:bCs/>
                <w:color w:val="000000"/>
                <w:sz w:val="20"/>
                <w:szCs w:val="20"/>
              </w:rPr>
            </w:pPr>
          </w:p>
        </w:tc>
        <w:tc>
          <w:tcPr>
            <w:tcW w:w="3984" w:type="dxa"/>
            <w:gridSpan w:val="2"/>
            <w:tcBorders>
              <w:top w:val="nil"/>
              <w:left w:val="nil"/>
              <w:bottom w:val="nil"/>
              <w:right w:val="single" w:sz="8" w:space="0" w:color="000000"/>
            </w:tcBorders>
            <w:shd w:val="clear" w:color="auto" w:fill="auto"/>
            <w:noWrap/>
            <w:vAlign w:val="center"/>
            <w:hideMark/>
          </w:tcPr>
          <w:p w:rsidR="00E906B4" w:rsidRPr="00E906B4" w:rsidRDefault="00E906B4" w:rsidP="00E906B4">
            <w:pPr>
              <w:jc w:val="right"/>
              <w:rPr>
                <w:b/>
                <w:bCs/>
                <w:color w:val="000000"/>
                <w:sz w:val="20"/>
                <w:szCs w:val="20"/>
              </w:rPr>
            </w:pPr>
            <w:r w:rsidRPr="00E906B4">
              <w:rPr>
                <w:b/>
                <w:bCs/>
                <w:color w:val="000000"/>
                <w:sz w:val="20"/>
                <w:szCs w:val="20"/>
              </w:rPr>
              <w:t>DOCKET NO. 20210055-WU</w:t>
            </w:r>
          </w:p>
        </w:tc>
      </w:tr>
      <w:tr w:rsidR="00E906B4" w:rsidRPr="00E906B4" w:rsidTr="00E906B4">
        <w:trPr>
          <w:trHeight w:val="315"/>
          <w:jc w:val="center"/>
        </w:trPr>
        <w:tc>
          <w:tcPr>
            <w:tcW w:w="4940" w:type="dxa"/>
            <w:tcBorders>
              <w:top w:val="nil"/>
              <w:left w:val="single" w:sz="8" w:space="0" w:color="auto"/>
              <w:bottom w:val="single" w:sz="8" w:space="0" w:color="000000"/>
              <w:right w:val="nil"/>
            </w:tcBorders>
            <w:shd w:val="clear" w:color="auto" w:fill="auto"/>
            <w:noWrap/>
            <w:vAlign w:val="center"/>
            <w:hideMark/>
          </w:tcPr>
          <w:p w:rsidR="00E906B4" w:rsidRPr="00E906B4" w:rsidRDefault="00E906B4" w:rsidP="00E906B4">
            <w:pPr>
              <w:rPr>
                <w:b/>
                <w:bCs/>
                <w:color w:val="000000"/>
                <w:sz w:val="20"/>
                <w:szCs w:val="20"/>
              </w:rPr>
            </w:pPr>
            <w:r w:rsidRPr="00E906B4">
              <w:rPr>
                <w:b/>
                <w:bCs/>
                <w:color w:val="000000"/>
                <w:sz w:val="20"/>
                <w:szCs w:val="20"/>
              </w:rPr>
              <w:t>MONTHLY WATER RATES</w:t>
            </w:r>
          </w:p>
        </w:tc>
        <w:tc>
          <w:tcPr>
            <w:tcW w:w="1320" w:type="dxa"/>
            <w:tcBorders>
              <w:top w:val="nil"/>
              <w:left w:val="nil"/>
              <w:bottom w:val="single" w:sz="8" w:space="0" w:color="000000"/>
              <w:right w:val="nil"/>
            </w:tcBorders>
            <w:shd w:val="clear" w:color="auto" w:fill="auto"/>
            <w:noWrap/>
            <w:vAlign w:val="bottom"/>
            <w:hideMark/>
          </w:tcPr>
          <w:p w:rsidR="00E906B4" w:rsidRPr="00E906B4" w:rsidRDefault="00E906B4" w:rsidP="00E906B4">
            <w:pPr>
              <w:rPr>
                <w:sz w:val="20"/>
                <w:szCs w:val="20"/>
              </w:rPr>
            </w:pPr>
            <w:r w:rsidRPr="00E906B4">
              <w:rPr>
                <w:sz w:val="20"/>
                <w:szCs w:val="20"/>
              </w:rPr>
              <w:t> </w:t>
            </w:r>
          </w:p>
        </w:tc>
        <w:tc>
          <w:tcPr>
            <w:tcW w:w="1872" w:type="dxa"/>
            <w:tcBorders>
              <w:top w:val="nil"/>
              <w:left w:val="nil"/>
              <w:bottom w:val="single" w:sz="8" w:space="0" w:color="000000"/>
              <w:right w:val="nil"/>
            </w:tcBorders>
            <w:shd w:val="clear" w:color="auto" w:fill="auto"/>
            <w:noWrap/>
            <w:vAlign w:val="bottom"/>
            <w:hideMark/>
          </w:tcPr>
          <w:p w:rsidR="00E906B4" w:rsidRPr="00E906B4" w:rsidRDefault="00E906B4" w:rsidP="00E906B4">
            <w:pPr>
              <w:rPr>
                <w:sz w:val="20"/>
                <w:szCs w:val="20"/>
              </w:rPr>
            </w:pPr>
            <w:r w:rsidRPr="00E906B4">
              <w:rPr>
                <w:sz w:val="20"/>
                <w:szCs w:val="20"/>
              </w:rPr>
              <w:t> </w:t>
            </w:r>
          </w:p>
        </w:tc>
        <w:tc>
          <w:tcPr>
            <w:tcW w:w="2112" w:type="dxa"/>
            <w:tcBorders>
              <w:top w:val="nil"/>
              <w:left w:val="nil"/>
              <w:bottom w:val="single" w:sz="8" w:space="0" w:color="000000"/>
              <w:right w:val="single" w:sz="8" w:space="0" w:color="auto"/>
            </w:tcBorders>
            <w:shd w:val="clear" w:color="auto" w:fill="auto"/>
            <w:noWrap/>
            <w:vAlign w:val="center"/>
            <w:hideMark/>
          </w:tcPr>
          <w:p w:rsidR="00E906B4" w:rsidRPr="00E906B4" w:rsidRDefault="00E906B4" w:rsidP="00E906B4">
            <w:pPr>
              <w:rPr>
                <w:b/>
                <w:bCs/>
                <w:sz w:val="20"/>
                <w:szCs w:val="20"/>
              </w:rPr>
            </w:pPr>
            <w:r w:rsidRPr="00E906B4">
              <w:rPr>
                <w:b/>
                <w:bCs/>
                <w:sz w:val="20"/>
                <w:szCs w:val="20"/>
              </w:rPr>
              <w:t> </w:t>
            </w:r>
          </w:p>
        </w:tc>
      </w:tr>
      <w:tr w:rsidR="00E906B4" w:rsidRPr="00E906B4" w:rsidTr="00E906B4">
        <w:trPr>
          <w:trHeight w:val="300"/>
          <w:jc w:val="center"/>
        </w:trPr>
        <w:tc>
          <w:tcPr>
            <w:tcW w:w="4940" w:type="dxa"/>
            <w:tcBorders>
              <w:top w:val="nil"/>
              <w:left w:val="single" w:sz="8" w:space="0" w:color="auto"/>
              <w:bottom w:val="nil"/>
              <w:right w:val="nil"/>
            </w:tcBorders>
            <w:shd w:val="clear" w:color="000000" w:fill="FFFFFF"/>
            <w:noWrap/>
            <w:vAlign w:val="center"/>
            <w:hideMark/>
          </w:tcPr>
          <w:p w:rsidR="00E906B4" w:rsidRPr="00E906B4" w:rsidRDefault="00E906B4" w:rsidP="00E906B4">
            <w:pPr>
              <w:rPr>
                <w:b/>
                <w:bCs/>
                <w:sz w:val="20"/>
                <w:szCs w:val="20"/>
              </w:rPr>
            </w:pPr>
            <w:r w:rsidRPr="00E906B4">
              <w:rPr>
                <w:b/>
                <w:bCs/>
                <w:sz w:val="20"/>
                <w:szCs w:val="20"/>
              </w:rPr>
              <w:t> </w:t>
            </w:r>
          </w:p>
        </w:tc>
        <w:tc>
          <w:tcPr>
            <w:tcW w:w="1320" w:type="dxa"/>
            <w:tcBorders>
              <w:top w:val="nil"/>
              <w:left w:val="nil"/>
              <w:bottom w:val="nil"/>
              <w:right w:val="nil"/>
            </w:tcBorders>
            <w:shd w:val="clear" w:color="000000" w:fill="FFFFFF"/>
            <w:noWrap/>
            <w:vAlign w:val="center"/>
            <w:hideMark/>
          </w:tcPr>
          <w:p w:rsidR="00E906B4" w:rsidRPr="00E906B4" w:rsidRDefault="00E906B4" w:rsidP="00E906B4">
            <w:pPr>
              <w:jc w:val="center"/>
              <w:rPr>
                <w:b/>
                <w:bCs/>
                <w:color w:val="000000"/>
                <w:sz w:val="20"/>
                <w:szCs w:val="20"/>
              </w:rPr>
            </w:pPr>
            <w:r w:rsidRPr="00E906B4">
              <w:rPr>
                <w:b/>
                <w:bCs/>
                <w:color w:val="000000"/>
                <w:sz w:val="20"/>
                <w:szCs w:val="20"/>
              </w:rPr>
              <w:t>UTILITY</w:t>
            </w:r>
          </w:p>
        </w:tc>
        <w:tc>
          <w:tcPr>
            <w:tcW w:w="1872" w:type="dxa"/>
            <w:tcBorders>
              <w:top w:val="nil"/>
              <w:left w:val="nil"/>
              <w:bottom w:val="nil"/>
              <w:right w:val="nil"/>
            </w:tcBorders>
            <w:shd w:val="clear" w:color="000000" w:fill="FFFFFF"/>
            <w:noWrap/>
            <w:vAlign w:val="center"/>
            <w:hideMark/>
          </w:tcPr>
          <w:p w:rsidR="00E906B4" w:rsidRPr="00E906B4" w:rsidRDefault="00E906B4" w:rsidP="00E906B4">
            <w:pPr>
              <w:jc w:val="center"/>
              <w:rPr>
                <w:b/>
                <w:bCs/>
                <w:color w:val="000000"/>
                <w:sz w:val="20"/>
                <w:szCs w:val="20"/>
              </w:rPr>
            </w:pPr>
            <w:r w:rsidRPr="00E906B4">
              <w:rPr>
                <w:b/>
                <w:bCs/>
                <w:color w:val="000000"/>
                <w:sz w:val="20"/>
                <w:szCs w:val="20"/>
              </w:rPr>
              <w:t>STAFF</w:t>
            </w:r>
          </w:p>
        </w:tc>
        <w:tc>
          <w:tcPr>
            <w:tcW w:w="2112" w:type="dxa"/>
            <w:tcBorders>
              <w:top w:val="nil"/>
              <w:left w:val="nil"/>
              <w:bottom w:val="nil"/>
              <w:right w:val="single" w:sz="8" w:space="0" w:color="auto"/>
            </w:tcBorders>
            <w:shd w:val="clear" w:color="000000" w:fill="FFFFFF"/>
            <w:noWrap/>
            <w:vAlign w:val="center"/>
            <w:hideMark/>
          </w:tcPr>
          <w:p w:rsidR="00E906B4" w:rsidRPr="00E906B4" w:rsidRDefault="00E906B4" w:rsidP="00E906B4">
            <w:pPr>
              <w:jc w:val="center"/>
              <w:rPr>
                <w:b/>
                <w:bCs/>
                <w:color w:val="000000"/>
                <w:sz w:val="20"/>
                <w:szCs w:val="20"/>
              </w:rPr>
            </w:pPr>
            <w:r w:rsidRPr="00E906B4">
              <w:rPr>
                <w:b/>
                <w:bCs/>
                <w:color w:val="000000"/>
                <w:sz w:val="20"/>
                <w:szCs w:val="20"/>
              </w:rPr>
              <w:t>4 YEAR</w:t>
            </w:r>
          </w:p>
        </w:tc>
      </w:tr>
      <w:tr w:rsidR="00E906B4" w:rsidRPr="00E906B4" w:rsidTr="00E906B4">
        <w:trPr>
          <w:trHeight w:val="300"/>
          <w:jc w:val="center"/>
        </w:trPr>
        <w:tc>
          <w:tcPr>
            <w:tcW w:w="4940" w:type="dxa"/>
            <w:tcBorders>
              <w:top w:val="nil"/>
              <w:left w:val="single" w:sz="8" w:space="0" w:color="auto"/>
              <w:bottom w:val="nil"/>
              <w:right w:val="nil"/>
            </w:tcBorders>
            <w:shd w:val="clear" w:color="000000" w:fill="FFFFFF"/>
            <w:noWrap/>
            <w:vAlign w:val="bottom"/>
            <w:hideMark/>
          </w:tcPr>
          <w:p w:rsidR="00E906B4" w:rsidRPr="00E906B4" w:rsidRDefault="00E906B4" w:rsidP="00E906B4">
            <w:pPr>
              <w:rPr>
                <w:sz w:val="20"/>
                <w:szCs w:val="20"/>
              </w:rPr>
            </w:pPr>
            <w:r w:rsidRPr="00E906B4">
              <w:rPr>
                <w:sz w:val="20"/>
                <w:szCs w:val="20"/>
              </w:rPr>
              <w:t> </w:t>
            </w:r>
          </w:p>
        </w:tc>
        <w:tc>
          <w:tcPr>
            <w:tcW w:w="1320" w:type="dxa"/>
            <w:tcBorders>
              <w:top w:val="nil"/>
              <w:left w:val="nil"/>
              <w:bottom w:val="nil"/>
              <w:right w:val="nil"/>
            </w:tcBorders>
            <w:shd w:val="clear" w:color="000000" w:fill="FFFFFF"/>
            <w:noWrap/>
            <w:vAlign w:val="center"/>
            <w:hideMark/>
          </w:tcPr>
          <w:p w:rsidR="00E906B4" w:rsidRPr="00E906B4" w:rsidRDefault="00E906B4" w:rsidP="00E906B4">
            <w:pPr>
              <w:jc w:val="center"/>
              <w:rPr>
                <w:b/>
                <w:bCs/>
                <w:color w:val="000000"/>
                <w:sz w:val="20"/>
                <w:szCs w:val="20"/>
              </w:rPr>
            </w:pPr>
            <w:r w:rsidRPr="00E906B4">
              <w:rPr>
                <w:b/>
                <w:bCs/>
                <w:color w:val="000000"/>
                <w:sz w:val="20"/>
                <w:szCs w:val="20"/>
              </w:rPr>
              <w:t>CURRENT</w:t>
            </w:r>
          </w:p>
        </w:tc>
        <w:tc>
          <w:tcPr>
            <w:tcW w:w="1872" w:type="dxa"/>
            <w:tcBorders>
              <w:top w:val="nil"/>
              <w:left w:val="nil"/>
              <w:bottom w:val="nil"/>
              <w:right w:val="nil"/>
            </w:tcBorders>
            <w:shd w:val="clear" w:color="000000" w:fill="FFFFFF"/>
            <w:noWrap/>
            <w:vAlign w:val="center"/>
            <w:hideMark/>
          </w:tcPr>
          <w:p w:rsidR="00E906B4" w:rsidRPr="00E906B4" w:rsidRDefault="00E906B4" w:rsidP="00E906B4">
            <w:pPr>
              <w:jc w:val="center"/>
              <w:rPr>
                <w:b/>
                <w:bCs/>
                <w:color w:val="000000"/>
                <w:sz w:val="20"/>
                <w:szCs w:val="20"/>
              </w:rPr>
            </w:pPr>
            <w:r w:rsidRPr="00E906B4">
              <w:rPr>
                <w:b/>
                <w:bCs/>
                <w:color w:val="000000"/>
                <w:sz w:val="20"/>
                <w:szCs w:val="20"/>
              </w:rPr>
              <w:t>RECOMMENDED</w:t>
            </w:r>
          </w:p>
        </w:tc>
        <w:tc>
          <w:tcPr>
            <w:tcW w:w="2112" w:type="dxa"/>
            <w:tcBorders>
              <w:top w:val="nil"/>
              <w:left w:val="nil"/>
              <w:bottom w:val="nil"/>
              <w:right w:val="single" w:sz="8" w:space="0" w:color="auto"/>
            </w:tcBorders>
            <w:shd w:val="clear" w:color="000000" w:fill="FFFFFF"/>
            <w:noWrap/>
            <w:vAlign w:val="center"/>
            <w:hideMark/>
          </w:tcPr>
          <w:p w:rsidR="00E906B4" w:rsidRPr="00E906B4" w:rsidRDefault="00E906B4" w:rsidP="00E906B4">
            <w:pPr>
              <w:jc w:val="center"/>
              <w:rPr>
                <w:b/>
                <w:bCs/>
                <w:color w:val="000000"/>
                <w:sz w:val="20"/>
                <w:szCs w:val="20"/>
              </w:rPr>
            </w:pPr>
            <w:r w:rsidRPr="00E906B4">
              <w:rPr>
                <w:b/>
                <w:bCs/>
                <w:color w:val="000000"/>
                <w:sz w:val="20"/>
                <w:szCs w:val="20"/>
              </w:rPr>
              <w:t>RATE</w:t>
            </w:r>
          </w:p>
        </w:tc>
      </w:tr>
      <w:tr w:rsidR="00E906B4" w:rsidRPr="00E906B4" w:rsidTr="00E906B4">
        <w:trPr>
          <w:trHeight w:val="315"/>
          <w:jc w:val="center"/>
        </w:trPr>
        <w:tc>
          <w:tcPr>
            <w:tcW w:w="4940" w:type="dxa"/>
            <w:tcBorders>
              <w:top w:val="nil"/>
              <w:left w:val="single" w:sz="8" w:space="0" w:color="auto"/>
              <w:bottom w:val="single" w:sz="8" w:space="0" w:color="000000"/>
              <w:right w:val="nil"/>
            </w:tcBorders>
            <w:shd w:val="clear" w:color="000000" w:fill="FFFFFF"/>
            <w:noWrap/>
            <w:vAlign w:val="bottom"/>
            <w:hideMark/>
          </w:tcPr>
          <w:p w:rsidR="00E906B4" w:rsidRPr="00E906B4" w:rsidRDefault="00E906B4" w:rsidP="00E906B4">
            <w:pPr>
              <w:rPr>
                <w:sz w:val="20"/>
                <w:szCs w:val="20"/>
              </w:rPr>
            </w:pPr>
            <w:r w:rsidRPr="00E906B4">
              <w:rPr>
                <w:sz w:val="20"/>
                <w:szCs w:val="20"/>
              </w:rPr>
              <w:t> </w:t>
            </w:r>
          </w:p>
        </w:tc>
        <w:tc>
          <w:tcPr>
            <w:tcW w:w="1320" w:type="dxa"/>
            <w:tcBorders>
              <w:top w:val="nil"/>
              <w:left w:val="nil"/>
              <w:bottom w:val="single" w:sz="8" w:space="0" w:color="000000"/>
              <w:right w:val="nil"/>
            </w:tcBorders>
            <w:shd w:val="clear" w:color="000000" w:fill="FFFFFF"/>
            <w:noWrap/>
            <w:vAlign w:val="center"/>
            <w:hideMark/>
          </w:tcPr>
          <w:p w:rsidR="00E906B4" w:rsidRPr="00E906B4" w:rsidRDefault="00E906B4" w:rsidP="00E906B4">
            <w:pPr>
              <w:jc w:val="center"/>
              <w:rPr>
                <w:b/>
                <w:bCs/>
                <w:color w:val="000000"/>
                <w:sz w:val="20"/>
                <w:szCs w:val="20"/>
              </w:rPr>
            </w:pPr>
            <w:r w:rsidRPr="00E906B4">
              <w:rPr>
                <w:b/>
                <w:bCs/>
                <w:color w:val="000000"/>
                <w:sz w:val="20"/>
                <w:szCs w:val="20"/>
              </w:rPr>
              <w:t xml:space="preserve">RATES </w:t>
            </w:r>
          </w:p>
        </w:tc>
        <w:tc>
          <w:tcPr>
            <w:tcW w:w="1872" w:type="dxa"/>
            <w:tcBorders>
              <w:top w:val="nil"/>
              <w:left w:val="nil"/>
              <w:bottom w:val="single" w:sz="8" w:space="0" w:color="000000"/>
              <w:right w:val="nil"/>
            </w:tcBorders>
            <w:shd w:val="clear" w:color="000000" w:fill="FFFFFF"/>
            <w:noWrap/>
            <w:vAlign w:val="center"/>
            <w:hideMark/>
          </w:tcPr>
          <w:p w:rsidR="00E906B4" w:rsidRPr="00E906B4" w:rsidRDefault="00E906B4" w:rsidP="00E906B4">
            <w:pPr>
              <w:jc w:val="center"/>
              <w:rPr>
                <w:b/>
                <w:bCs/>
                <w:color w:val="000000"/>
                <w:sz w:val="20"/>
                <w:szCs w:val="20"/>
              </w:rPr>
            </w:pPr>
            <w:r w:rsidRPr="00E906B4">
              <w:rPr>
                <w:b/>
                <w:bCs/>
                <w:color w:val="000000"/>
                <w:sz w:val="20"/>
                <w:szCs w:val="20"/>
              </w:rPr>
              <w:t>RATES</w:t>
            </w:r>
          </w:p>
        </w:tc>
        <w:tc>
          <w:tcPr>
            <w:tcW w:w="2112" w:type="dxa"/>
            <w:tcBorders>
              <w:top w:val="nil"/>
              <w:left w:val="nil"/>
              <w:bottom w:val="single" w:sz="8" w:space="0" w:color="000000"/>
              <w:right w:val="single" w:sz="8" w:space="0" w:color="auto"/>
            </w:tcBorders>
            <w:shd w:val="clear" w:color="000000" w:fill="FFFFFF"/>
            <w:noWrap/>
            <w:vAlign w:val="center"/>
            <w:hideMark/>
          </w:tcPr>
          <w:p w:rsidR="00E906B4" w:rsidRPr="00E906B4" w:rsidRDefault="00E906B4" w:rsidP="00E906B4">
            <w:pPr>
              <w:jc w:val="center"/>
              <w:rPr>
                <w:b/>
                <w:bCs/>
                <w:color w:val="000000"/>
                <w:sz w:val="20"/>
                <w:szCs w:val="20"/>
              </w:rPr>
            </w:pPr>
            <w:r w:rsidRPr="00E906B4">
              <w:rPr>
                <w:b/>
                <w:bCs/>
                <w:color w:val="000000"/>
                <w:sz w:val="20"/>
                <w:szCs w:val="20"/>
              </w:rPr>
              <w:t>REDUCTION</w:t>
            </w:r>
          </w:p>
        </w:tc>
      </w:tr>
      <w:tr w:rsidR="00E906B4" w:rsidRPr="00E906B4" w:rsidTr="00E906B4">
        <w:trPr>
          <w:trHeight w:val="300"/>
          <w:jc w:val="center"/>
        </w:trPr>
        <w:tc>
          <w:tcPr>
            <w:tcW w:w="4940" w:type="dxa"/>
            <w:tcBorders>
              <w:top w:val="nil"/>
              <w:left w:val="single" w:sz="8" w:space="0" w:color="auto"/>
              <w:bottom w:val="nil"/>
              <w:right w:val="nil"/>
            </w:tcBorders>
            <w:shd w:val="clear" w:color="auto" w:fill="auto"/>
            <w:noWrap/>
            <w:vAlign w:val="bottom"/>
            <w:hideMark/>
          </w:tcPr>
          <w:p w:rsidR="00E906B4" w:rsidRPr="00E906B4" w:rsidRDefault="00E906B4" w:rsidP="00E906B4">
            <w:pPr>
              <w:rPr>
                <w:sz w:val="20"/>
                <w:szCs w:val="20"/>
              </w:rPr>
            </w:pPr>
            <w:r w:rsidRPr="00E906B4">
              <w:rPr>
                <w:sz w:val="20"/>
                <w:szCs w:val="20"/>
              </w:rPr>
              <w:t> </w:t>
            </w:r>
          </w:p>
        </w:tc>
        <w:tc>
          <w:tcPr>
            <w:tcW w:w="1320" w:type="dxa"/>
            <w:tcBorders>
              <w:top w:val="nil"/>
              <w:left w:val="nil"/>
              <w:bottom w:val="nil"/>
              <w:right w:val="nil"/>
            </w:tcBorders>
            <w:shd w:val="clear" w:color="auto" w:fill="auto"/>
            <w:noWrap/>
            <w:vAlign w:val="bottom"/>
            <w:hideMark/>
          </w:tcPr>
          <w:p w:rsidR="00E906B4" w:rsidRPr="00E906B4" w:rsidRDefault="00E906B4" w:rsidP="00E906B4">
            <w:pPr>
              <w:rPr>
                <w:sz w:val="20"/>
                <w:szCs w:val="20"/>
              </w:rPr>
            </w:pPr>
          </w:p>
        </w:tc>
        <w:tc>
          <w:tcPr>
            <w:tcW w:w="1872" w:type="dxa"/>
            <w:tcBorders>
              <w:top w:val="nil"/>
              <w:left w:val="nil"/>
              <w:bottom w:val="nil"/>
              <w:right w:val="nil"/>
            </w:tcBorders>
            <w:shd w:val="clear" w:color="auto" w:fill="auto"/>
            <w:noWrap/>
            <w:vAlign w:val="bottom"/>
            <w:hideMark/>
          </w:tcPr>
          <w:p w:rsidR="00E906B4" w:rsidRPr="00E906B4" w:rsidRDefault="00E906B4" w:rsidP="00E906B4">
            <w:pPr>
              <w:rPr>
                <w:sz w:val="20"/>
                <w:szCs w:val="20"/>
              </w:rPr>
            </w:pPr>
          </w:p>
        </w:tc>
        <w:tc>
          <w:tcPr>
            <w:tcW w:w="2112" w:type="dxa"/>
            <w:tcBorders>
              <w:top w:val="nil"/>
              <w:left w:val="nil"/>
              <w:bottom w:val="nil"/>
              <w:right w:val="single" w:sz="8" w:space="0" w:color="auto"/>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w:t>
            </w:r>
          </w:p>
        </w:tc>
      </w:tr>
      <w:tr w:rsidR="00E906B4" w:rsidRPr="00E906B4" w:rsidTr="00E906B4">
        <w:trPr>
          <w:trHeight w:val="300"/>
          <w:jc w:val="center"/>
        </w:trPr>
        <w:tc>
          <w:tcPr>
            <w:tcW w:w="4940" w:type="dxa"/>
            <w:tcBorders>
              <w:top w:val="nil"/>
              <w:left w:val="single" w:sz="8" w:space="0" w:color="auto"/>
              <w:bottom w:val="nil"/>
              <w:right w:val="nil"/>
            </w:tcBorders>
            <w:shd w:val="clear" w:color="auto" w:fill="auto"/>
            <w:noWrap/>
            <w:vAlign w:val="center"/>
            <w:hideMark/>
          </w:tcPr>
          <w:p w:rsidR="00E906B4" w:rsidRPr="00E906B4" w:rsidRDefault="00E906B4" w:rsidP="00E906B4">
            <w:pPr>
              <w:rPr>
                <w:b/>
                <w:bCs/>
                <w:sz w:val="20"/>
                <w:szCs w:val="20"/>
                <w:u w:val="single"/>
              </w:rPr>
            </w:pPr>
            <w:r w:rsidRPr="00E906B4">
              <w:rPr>
                <w:b/>
                <w:bCs/>
                <w:sz w:val="20"/>
                <w:szCs w:val="20"/>
                <w:u w:val="single"/>
              </w:rPr>
              <w:t>Residential and General Service</w:t>
            </w:r>
          </w:p>
        </w:tc>
        <w:tc>
          <w:tcPr>
            <w:tcW w:w="1320" w:type="dxa"/>
            <w:tcBorders>
              <w:top w:val="nil"/>
              <w:left w:val="nil"/>
              <w:bottom w:val="nil"/>
              <w:right w:val="nil"/>
            </w:tcBorders>
            <w:shd w:val="clear" w:color="auto" w:fill="auto"/>
            <w:noWrap/>
            <w:vAlign w:val="bottom"/>
            <w:hideMark/>
          </w:tcPr>
          <w:p w:rsidR="00E906B4" w:rsidRPr="00E906B4" w:rsidRDefault="00E906B4" w:rsidP="00E906B4">
            <w:pPr>
              <w:rPr>
                <w:b/>
                <w:bCs/>
                <w:sz w:val="20"/>
                <w:szCs w:val="20"/>
                <w:u w:val="single"/>
              </w:rPr>
            </w:pPr>
          </w:p>
        </w:tc>
        <w:tc>
          <w:tcPr>
            <w:tcW w:w="1872" w:type="dxa"/>
            <w:tcBorders>
              <w:top w:val="nil"/>
              <w:left w:val="nil"/>
              <w:bottom w:val="nil"/>
              <w:right w:val="nil"/>
            </w:tcBorders>
            <w:shd w:val="clear" w:color="auto" w:fill="auto"/>
            <w:noWrap/>
            <w:vAlign w:val="bottom"/>
            <w:hideMark/>
          </w:tcPr>
          <w:p w:rsidR="00E906B4" w:rsidRPr="00E906B4" w:rsidRDefault="00E906B4" w:rsidP="00E906B4">
            <w:pPr>
              <w:rPr>
                <w:sz w:val="20"/>
                <w:szCs w:val="20"/>
              </w:rPr>
            </w:pPr>
          </w:p>
        </w:tc>
        <w:tc>
          <w:tcPr>
            <w:tcW w:w="2112" w:type="dxa"/>
            <w:tcBorders>
              <w:top w:val="nil"/>
              <w:left w:val="nil"/>
              <w:bottom w:val="nil"/>
              <w:right w:val="single" w:sz="8" w:space="0" w:color="auto"/>
            </w:tcBorders>
            <w:shd w:val="clear" w:color="auto" w:fill="auto"/>
            <w:noWrap/>
            <w:vAlign w:val="center"/>
            <w:hideMark/>
          </w:tcPr>
          <w:p w:rsidR="00E906B4" w:rsidRPr="00E906B4" w:rsidRDefault="00E906B4" w:rsidP="00E906B4">
            <w:pPr>
              <w:rPr>
                <w:color w:val="000000"/>
                <w:sz w:val="20"/>
                <w:szCs w:val="20"/>
              </w:rPr>
            </w:pPr>
            <w:r w:rsidRPr="00E906B4">
              <w:rPr>
                <w:color w:val="000000"/>
                <w:sz w:val="20"/>
                <w:szCs w:val="20"/>
              </w:rPr>
              <w:t> </w:t>
            </w:r>
          </w:p>
        </w:tc>
      </w:tr>
      <w:tr w:rsidR="00E906B4" w:rsidRPr="00E906B4" w:rsidTr="00E906B4">
        <w:trPr>
          <w:trHeight w:val="300"/>
          <w:jc w:val="center"/>
        </w:trPr>
        <w:tc>
          <w:tcPr>
            <w:tcW w:w="4940" w:type="dxa"/>
            <w:tcBorders>
              <w:top w:val="nil"/>
              <w:left w:val="single" w:sz="8" w:space="0" w:color="auto"/>
              <w:bottom w:val="nil"/>
              <w:right w:val="nil"/>
            </w:tcBorders>
            <w:shd w:val="clear" w:color="auto" w:fill="auto"/>
            <w:noWrap/>
            <w:vAlign w:val="center"/>
            <w:hideMark/>
          </w:tcPr>
          <w:p w:rsidR="00E906B4" w:rsidRPr="00E906B4" w:rsidRDefault="00E906B4" w:rsidP="00E906B4">
            <w:pPr>
              <w:rPr>
                <w:sz w:val="20"/>
                <w:szCs w:val="20"/>
              </w:rPr>
            </w:pPr>
            <w:r w:rsidRPr="00E906B4">
              <w:rPr>
                <w:sz w:val="20"/>
                <w:szCs w:val="20"/>
              </w:rPr>
              <w:t>Base Facility Charge by Meter Size</w:t>
            </w:r>
          </w:p>
        </w:tc>
        <w:tc>
          <w:tcPr>
            <w:tcW w:w="1320" w:type="dxa"/>
            <w:tcBorders>
              <w:top w:val="nil"/>
              <w:left w:val="nil"/>
              <w:bottom w:val="nil"/>
              <w:right w:val="nil"/>
            </w:tcBorders>
            <w:shd w:val="clear" w:color="auto" w:fill="auto"/>
            <w:noWrap/>
            <w:vAlign w:val="bottom"/>
            <w:hideMark/>
          </w:tcPr>
          <w:p w:rsidR="00E906B4" w:rsidRPr="00E906B4" w:rsidRDefault="00E906B4" w:rsidP="00E906B4">
            <w:pPr>
              <w:rPr>
                <w:sz w:val="20"/>
                <w:szCs w:val="20"/>
              </w:rPr>
            </w:pPr>
          </w:p>
        </w:tc>
        <w:tc>
          <w:tcPr>
            <w:tcW w:w="1872" w:type="dxa"/>
            <w:tcBorders>
              <w:top w:val="nil"/>
              <w:left w:val="nil"/>
              <w:bottom w:val="nil"/>
              <w:right w:val="nil"/>
            </w:tcBorders>
            <w:shd w:val="clear" w:color="auto" w:fill="auto"/>
            <w:noWrap/>
            <w:vAlign w:val="bottom"/>
            <w:hideMark/>
          </w:tcPr>
          <w:p w:rsidR="00E906B4" w:rsidRPr="00E906B4" w:rsidRDefault="00E906B4" w:rsidP="00E906B4">
            <w:pPr>
              <w:rPr>
                <w:sz w:val="20"/>
                <w:szCs w:val="20"/>
              </w:rPr>
            </w:pPr>
          </w:p>
        </w:tc>
        <w:tc>
          <w:tcPr>
            <w:tcW w:w="2112" w:type="dxa"/>
            <w:tcBorders>
              <w:top w:val="nil"/>
              <w:left w:val="nil"/>
              <w:bottom w:val="nil"/>
              <w:right w:val="single" w:sz="8" w:space="0" w:color="auto"/>
            </w:tcBorders>
            <w:shd w:val="clear" w:color="auto" w:fill="auto"/>
            <w:noWrap/>
            <w:vAlign w:val="center"/>
            <w:hideMark/>
          </w:tcPr>
          <w:p w:rsidR="00E906B4" w:rsidRPr="00E906B4" w:rsidRDefault="00E906B4" w:rsidP="00E906B4">
            <w:pPr>
              <w:rPr>
                <w:color w:val="000000"/>
                <w:sz w:val="20"/>
                <w:szCs w:val="20"/>
              </w:rPr>
            </w:pPr>
            <w:r w:rsidRPr="00E906B4">
              <w:rPr>
                <w:color w:val="000000"/>
                <w:sz w:val="20"/>
                <w:szCs w:val="20"/>
              </w:rPr>
              <w:t> </w:t>
            </w:r>
          </w:p>
        </w:tc>
      </w:tr>
      <w:tr w:rsidR="00E906B4" w:rsidRPr="00E906B4" w:rsidTr="00E906B4">
        <w:trPr>
          <w:trHeight w:val="300"/>
          <w:jc w:val="center"/>
        </w:trPr>
        <w:tc>
          <w:tcPr>
            <w:tcW w:w="4940" w:type="dxa"/>
            <w:tcBorders>
              <w:top w:val="nil"/>
              <w:left w:val="single" w:sz="8" w:space="0" w:color="auto"/>
              <w:bottom w:val="nil"/>
              <w:right w:val="nil"/>
            </w:tcBorders>
            <w:shd w:val="clear" w:color="auto" w:fill="auto"/>
            <w:noWrap/>
            <w:vAlign w:val="center"/>
            <w:hideMark/>
          </w:tcPr>
          <w:p w:rsidR="00E906B4" w:rsidRPr="00E906B4" w:rsidRDefault="00E906B4" w:rsidP="008E4E0E">
            <w:pPr>
              <w:rPr>
                <w:color w:val="000000"/>
                <w:sz w:val="20"/>
                <w:szCs w:val="20"/>
              </w:rPr>
            </w:pPr>
            <w:r w:rsidRPr="00E906B4">
              <w:rPr>
                <w:color w:val="000000"/>
                <w:sz w:val="20"/>
                <w:szCs w:val="20"/>
              </w:rPr>
              <w:t>5/8"</w:t>
            </w:r>
            <w:r w:rsidR="008E4E0E">
              <w:rPr>
                <w:color w:val="000000"/>
                <w:sz w:val="20"/>
                <w:szCs w:val="20"/>
              </w:rPr>
              <w:t xml:space="preserve"> x </w:t>
            </w:r>
            <w:r w:rsidRPr="00E906B4">
              <w:rPr>
                <w:color w:val="000000"/>
                <w:sz w:val="20"/>
                <w:szCs w:val="20"/>
              </w:rPr>
              <w:t>3/4"</w:t>
            </w:r>
          </w:p>
        </w:tc>
        <w:tc>
          <w:tcPr>
            <w:tcW w:w="1320" w:type="dxa"/>
            <w:tcBorders>
              <w:top w:val="nil"/>
              <w:left w:val="nil"/>
              <w:bottom w:val="nil"/>
              <w:right w:val="nil"/>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$13.71 </w:t>
            </w:r>
          </w:p>
        </w:tc>
        <w:tc>
          <w:tcPr>
            <w:tcW w:w="1872" w:type="dxa"/>
            <w:tcBorders>
              <w:top w:val="nil"/>
              <w:left w:val="nil"/>
              <w:bottom w:val="nil"/>
              <w:right w:val="nil"/>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$14.77 </w:t>
            </w:r>
          </w:p>
        </w:tc>
        <w:tc>
          <w:tcPr>
            <w:tcW w:w="2112" w:type="dxa"/>
            <w:tcBorders>
              <w:top w:val="nil"/>
              <w:left w:val="nil"/>
              <w:bottom w:val="nil"/>
              <w:right w:val="single" w:sz="8" w:space="0" w:color="auto"/>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$0.14 </w:t>
            </w:r>
          </w:p>
        </w:tc>
      </w:tr>
      <w:tr w:rsidR="00E906B4" w:rsidRPr="00E906B4" w:rsidTr="00E906B4">
        <w:trPr>
          <w:trHeight w:val="300"/>
          <w:jc w:val="center"/>
        </w:trPr>
        <w:tc>
          <w:tcPr>
            <w:tcW w:w="4940" w:type="dxa"/>
            <w:tcBorders>
              <w:top w:val="nil"/>
              <w:left w:val="single" w:sz="8" w:space="0" w:color="auto"/>
              <w:bottom w:val="nil"/>
              <w:right w:val="nil"/>
            </w:tcBorders>
            <w:shd w:val="clear" w:color="auto" w:fill="auto"/>
            <w:noWrap/>
            <w:vAlign w:val="center"/>
            <w:hideMark/>
          </w:tcPr>
          <w:p w:rsidR="00E906B4" w:rsidRPr="00E906B4" w:rsidRDefault="00E906B4" w:rsidP="00E906B4">
            <w:pPr>
              <w:rPr>
                <w:color w:val="000000"/>
                <w:sz w:val="20"/>
                <w:szCs w:val="20"/>
              </w:rPr>
            </w:pPr>
            <w:r w:rsidRPr="00E906B4">
              <w:rPr>
                <w:color w:val="000000"/>
                <w:sz w:val="20"/>
                <w:szCs w:val="20"/>
              </w:rPr>
              <w:t>3/4"</w:t>
            </w:r>
          </w:p>
        </w:tc>
        <w:tc>
          <w:tcPr>
            <w:tcW w:w="1320" w:type="dxa"/>
            <w:tcBorders>
              <w:top w:val="nil"/>
              <w:left w:val="nil"/>
              <w:bottom w:val="nil"/>
              <w:right w:val="nil"/>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$20.57 </w:t>
            </w:r>
          </w:p>
        </w:tc>
        <w:tc>
          <w:tcPr>
            <w:tcW w:w="1872" w:type="dxa"/>
            <w:tcBorders>
              <w:top w:val="nil"/>
              <w:left w:val="nil"/>
              <w:bottom w:val="nil"/>
              <w:right w:val="nil"/>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$22.16 </w:t>
            </w:r>
          </w:p>
        </w:tc>
        <w:tc>
          <w:tcPr>
            <w:tcW w:w="2112" w:type="dxa"/>
            <w:tcBorders>
              <w:top w:val="nil"/>
              <w:left w:val="nil"/>
              <w:bottom w:val="nil"/>
              <w:right w:val="single" w:sz="8" w:space="0" w:color="auto"/>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$0.21 </w:t>
            </w:r>
          </w:p>
        </w:tc>
      </w:tr>
      <w:tr w:rsidR="00E906B4" w:rsidRPr="00E906B4" w:rsidTr="00E906B4">
        <w:trPr>
          <w:trHeight w:val="300"/>
          <w:jc w:val="center"/>
        </w:trPr>
        <w:tc>
          <w:tcPr>
            <w:tcW w:w="4940" w:type="dxa"/>
            <w:tcBorders>
              <w:top w:val="nil"/>
              <w:left w:val="single" w:sz="8" w:space="0" w:color="auto"/>
              <w:bottom w:val="nil"/>
              <w:right w:val="nil"/>
            </w:tcBorders>
            <w:shd w:val="clear" w:color="auto" w:fill="auto"/>
            <w:noWrap/>
            <w:vAlign w:val="center"/>
            <w:hideMark/>
          </w:tcPr>
          <w:p w:rsidR="00E906B4" w:rsidRPr="00E906B4" w:rsidRDefault="00E906B4" w:rsidP="00E906B4">
            <w:pPr>
              <w:rPr>
                <w:color w:val="000000"/>
                <w:sz w:val="20"/>
                <w:szCs w:val="20"/>
              </w:rPr>
            </w:pPr>
            <w:r w:rsidRPr="00E906B4">
              <w:rPr>
                <w:color w:val="000000"/>
                <w:sz w:val="20"/>
                <w:szCs w:val="20"/>
              </w:rPr>
              <w:t>1"</w:t>
            </w:r>
          </w:p>
        </w:tc>
        <w:tc>
          <w:tcPr>
            <w:tcW w:w="1320" w:type="dxa"/>
            <w:tcBorders>
              <w:top w:val="nil"/>
              <w:left w:val="nil"/>
              <w:bottom w:val="nil"/>
              <w:right w:val="nil"/>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$34.28 </w:t>
            </w:r>
          </w:p>
        </w:tc>
        <w:tc>
          <w:tcPr>
            <w:tcW w:w="1872" w:type="dxa"/>
            <w:tcBorders>
              <w:top w:val="nil"/>
              <w:left w:val="nil"/>
              <w:bottom w:val="nil"/>
              <w:right w:val="nil"/>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$36.93 </w:t>
            </w:r>
          </w:p>
        </w:tc>
        <w:tc>
          <w:tcPr>
            <w:tcW w:w="2112" w:type="dxa"/>
            <w:tcBorders>
              <w:top w:val="nil"/>
              <w:left w:val="nil"/>
              <w:bottom w:val="nil"/>
              <w:right w:val="single" w:sz="8" w:space="0" w:color="auto"/>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$0.35 </w:t>
            </w:r>
          </w:p>
        </w:tc>
      </w:tr>
      <w:tr w:rsidR="00E906B4" w:rsidRPr="00E906B4" w:rsidTr="00E906B4">
        <w:trPr>
          <w:trHeight w:val="255"/>
          <w:jc w:val="center"/>
        </w:trPr>
        <w:tc>
          <w:tcPr>
            <w:tcW w:w="4940" w:type="dxa"/>
            <w:tcBorders>
              <w:top w:val="nil"/>
              <w:left w:val="single" w:sz="8" w:space="0" w:color="auto"/>
              <w:bottom w:val="nil"/>
              <w:right w:val="nil"/>
            </w:tcBorders>
            <w:shd w:val="clear" w:color="auto" w:fill="auto"/>
            <w:noWrap/>
            <w:vAlign w:val="center"/>
            <w:hideMark/>
          </w:tcPr>
          <w:p w:rsidR="00E906B4" w:rsidRPr="00E906B4" w:rsidRDefault="00E906B4" w:rsidP="00E906B4">
            <w:pPr>
              <w:rPr>
                <w:color w:val="000000"/>
                <w:sz w:val="20"/>
                <w:szCs w:val="20"/>
              </w:rPr>
            </w:pPr>
            <w:r w:rsidRPr="00E906B4">
              <w:rPr>
                <w:color w:val="000000"/>
                <w:sz w:val="20"/>
                <w:szCs w:val="20"/>
              </w:rPr>
              <w:t>1-1/2"</w:t>
            </w:r>
          </w:p>
        </w:tc>
        <w:tc>
          <w:tcPr>
            <w:tcW w:w="1320" w:type="dxa"/>
            <w:tcBorders>
              <w:top w:val="nil"/>
              <w:left w:val="nil"/>
              <w:bottom w:val="nil"/>
              <w:right w:val="nil"/>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$68.55 </w:t>
            </w:r>
          </w:p>
        </w:tc>
        <w:tc>
          <w:tcPr>
            <w:tcW w:w="1872" w:type="dxa"/>
            <w:tcBorders>
              <w:top w:val="nil"/>
              <w:left w:val="nil"/>
              <w:bottom w:val="nil"/>
              <w:right w:val="nil"/>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$73.85 </w:t>
            </w:r>
          </w:p>
        </w:tc>
        <w:tc>
          <w:tcPr>
            <w:tcW w:w="2112" w:type="dxa"/>
            <w:tcBorders>
              <w:top w:val="nil"/>
              <w:left w:val="nil"/>
              <w:bottom w:val="nil"/>
              <w:right w:val="single" w:sz="8" w:space="0" w:color="auto"/>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$0.70 </w:t>
            </w:r>
          </w:p>
        </w:tc>
      </w:tr>
      <w:tr w:rsidR="00E906B4" w:rsidRPr="00E906B4" w:rsidTr="00E906B4">
        <w:trPr>
          <w:trHeight w:val="255"/>
          <w:jc w:val="center"/>
        </w:trPr>
        <w:tc>
          <w:tcPr>
            <w:tcW w:w="4940" w:type="dxa"/>
            <w:tcBorders>
              <w:top w:val="nil"/>
              <w:left w:val="single" w:sz="8" w:space="0" w:color="auto"/>
              <w:bottom w:val="nil"/>
              <w:right w:val="nil"/>
            </w:tcBorders>
            <w:shd w:val="clear" w:color="auto" w:fill="auto"/>
            <w:noWrap/>
            <w:vAlign w:val="center"/>
            <w:hideMark/>
          </w:tcPr>
          <w:p w:rsidR="00E906B4" w:rsidRPr="00E906B4" w:rsidRDefault="00E906B4" w:rsidP="00E906B4">
            <w:pPr>
              <w:rPr>
                <w:color w:val="000000"/>
                <w:sz w:val="20"/>
                <w:szCs w:val="20"/>
              </w:rPr>
            </w:pPr>
            <w:r w:rsidRPr="00E906B4">
              <w:rPr>
                <w:color w:val="000000"/>
                <w:sz w:val="20"/>
                <w:szCs w:val="20"/>
              </w:rPr>
              <w:t>2"</w:t>
            </w:r>
          </w:p>
        </w:tc>
        <w:tc>
          <w:tcPr>
            <w:tcW w:w="1320" w:type="dxa"/>
            <w:tcBorders>
              <w:top w:val="nil"/>
              <w:left w:val="nil"/>
              <w:bottom w:val="nil"/>
              <w:right w:val="nil"/>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$109.68 </w:t>
            </w:r>
          </w:p>
        </w:tc>
        <w:tc>
          <w:tcPr>
            <w:tcW w:w="1872" w:type="dxa"/>
            <w:tcBorders>
              <w:top w:val="nil"/>
              <w:left w:val="nil"/>
              <w:bottom w:val="nil"/>
              <w:right w:val="nil"/>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$118.16 </w:t>
            </w:r>
          </w:p>
        </w:tc>
        <w:tc>
          <w:tcPr>
            <w:tcW w:w="2112" w:type="dxa"/>
            <w:tcBorders>
              <w:top w:val="nil"/>
              <w:left w:val="nil"/>
              <w:bottom w:val="nil"/>
              <w:right w:val="single" w:sz="8" w:space="0" w:color="auto"/>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$1.12 </w:t>
            </w:r>
          </w:p>
        </w:tc>
      </w:tr>
      <w:tr w:rsidR="00E906B4" w:rsidRPr="00E906B4" w:rsidTr="00E906B4">
        <w:trPr>
          <w:trHeight w:val="255"/>
          <w:jc w:val="center"/>
        </w:trPr>
        <w:tc>
          <w:tcPr>
            <w:tcW w:w="4940" w:type="dxa"/>
            <w:tcBorders>
              <w:top w:val="nil"/>
              <w:left w:val="single" w:sz="8" w:space="0" w:color="auto"/>
              <w:bottom w:val="nil"/>
              <w:right w:val="nil"/>
            </w:tcBorders>
            <w:shd w:val="clear" w:color="auto" w:fill="auto"/>
            <w:noWrap/>
            <w:vAlign w:val="center"/>
            <w:hideMark/>
          </w:tcPr>
          <w:p w:rsidR="00E906B4" w:rsidRPr="00E906B4" w:rsidRDefault="00E906B4" w:rsidP="00E906B4">
            <w:pPr>
              <w:rPr>
                <w:color w:val="000000"/>
                <w:sz w:val="20"/>
                <w:szCs w:val="20"/>
              </w:rPr>
            </w:pPr>
            <w:r w:rsidRPr="00E906B4">
              <w:rPr>
                <w:color w:val="000000"/>
                <w:sz w:val="20"/>
                <w:szCs w:val="20"/>
              </w:rPr>
              <w:t>3"</w:t>
            </w:r>
          </w:p>
        </w:tc>
        <w:tc>
          <w:tcPr>
            <w:tcW w:w="1320" w:type="dxa"/>
            <w:tcBorders>
              <w:top w:val="nil"/>
              <w:left w:val="nil"/>
              <w:bottom w:val="nil"/>
              <w:right w:val="nil"/>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$219.36 </w:t>
            </w:r>
          </w:p>
        </w:tc>
        <w:tc>
          <w:tcPr>
            <w:tcW w:w="1872" w:type="dxa"/>
            <w:tcBorders>
              <w:top w:val="nil"/>
              <w:left w:val="nil"/>
              <w:bottom w:val="nil"/>
              <w:right w:val="nil"/>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$236.32 </w:t>
            </w:r>
          </w:p>
        </w:tc>
        <w:tc>
          <w:tcPr>
            <w:tcW w:w="2112" w:type="dxa"/>
            <w:tcBorders>
              <w:top w:val="nil"/>
              <w:left w:val="nil"/>
              <w:bottom w:val="nil"/>
              <w:right w:val="single" w:sz="8" w:space="0" w:color="auto"/>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$2.25 </w:t>
            </w:r>
          </w:p>
        </w:tc>
      </w:tr>
      <w:tr w:rsidR="00E906B4" w:rsidRPr="00E906B4" w:rsidTr="00E906B4">
        <w:trPr>
          <w:trHeight w:val="255"/>
          <w:jc w:val="center"/>
        </w:trPr>
        <w:tc>
          <w:tcPr>
            <w:tcW w:w="4940" w:type="dxa"/>
            <w:tcBorders>
              <w:top w:val="nil"/>
              <w:left w:val="single" w:sz="8" w:space="0" w:color="auto"/>
              <w:bottom w:val="nil"/>
              <w:right w:val="nil"/>
            </w:tcBorders>
            <w:shd w:val="clear" w:color="auto" w:fill="auto"/>
            <w:noWrap/>
            <w:vAlign w:val="center"/>
            <w:hideMark/>
          </w:tcPr>
          <w:p w:rsidR="00E906B4" w:rsidRPr="00E906B4" w:rsidRDefault="00E906B4" w:rsidP="00E906B4">
            <w:pPr>
              <w:rPr>
                <w:color w:val="000000"/>
                <w:sz w:val="20"/>
                <w:szCs w:val="20"/>
              </w:rPr>
            </w:pPr>
            <w:r w:rsidRPr="00E906B4">
              <w:rPr>
                <w:color w:val="000000"/>
                <w:sz w:val="20"/>
                <w:szCs w:val="20"/>
              </w:rPr>
              <w:t>4"</w:t>
            </w:r>
          </w:p>
        </w:tc>
        <w:tc>
          <w:tcPr>
            <w:tcW w:w="1320" w:type="dxa"/>
            <w:tcBorders>
              <w:top w:val="nil"/>
              <w:left w:val="nil"/>
              <w:bottom w:val="nil"/>
              <w:right w:val="nil"/>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$342.75 </w:t>
            </w:r>
          </w:p>
        </w:tc>
        <w:tc>
          <w:tcPr>
            <w:tcW w:w="1872" w:type="dxa"/>
            <w:tcBorders>
              <w:top w:val="nil"/>
              <w:left w:val="nil"/>
              <w:bottom w:val="nil"/>
              <w:right w:val="nil"/>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$369.25 </w:t>
            </w:r>
          </w:p>
        </w:tc>
        <w:tc>
          <w:tcPr>
            <w:tcW w:w="2112" w:type="dxa"/>
            <w:tcBorders>
              <w:top w:val="nil"/>
              <w:left w:val="nil"/>
              <w:bottom w:val="nil"/>
              <w:right w:val="single" w:sz="8" w:space="0" w:color="auto"/>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$3.51 </w:t>
            </w:r>
          </w:p>
        </w:tc>
      </w:tr>
      <w:tr w:rsidR="00E906B4" w:rsidRPr="00E906B4" w:rsidTr="00E906B4">
        <w:trPr>
          <w:trHeight w:val="255"/>
          <w:jc w:val="center"/>
        </w:trPr>
        <w:tc>
          <w:tcPr>
            <w:tcW w:w="4940" w:type="dxa"/>
            <w:tcBorders>
              <w:top w:val="nil"/>
              <w:left w:val="single" w:sz="8" w:space="0" w:color="auto"/>
              <w:bottom w:val="nil"/>
              <w:right w:val="nil"/>
            </w:tcBorders>
            <w:shd w:val="clear" w:color="auto" w:fill="auto"/>
            <w:noWrap/>
            <w:vAlign w:val="center"/>
            <w:hideMark/>
          </w:tcPr>
          <w:p w:rsidR="00E906B4" w:rsidRPr="00E906B4" w:rsidRDefault="00E906B4" w:rsidP="00E906B4">
            <w:pPr>
              <w:rPr>
                <w:color w:val="000000"/>
                <w:sz w:val="20"/>
                <w:szCs w:val="20"/>
              </w:rPr>
            </w:pPr>
            <w:r w:rsidRPr="00E906B4">
              <w:rPr>
                <w:color w:val="000000"/>
                <w:sz w:val="20"/>
                <w:szCs w:val="20"/>
              </w:rPr>
              <w:t>6"</w:t>
            </w:r>
          </w:p>
        </w:tc>
        <w:tc>
          <w:tcPr>
            <w:tcW w:w="1320" w:type="dxa"/>
            <w:tcBorders>
              <w:top w:val="nil"/>
              <w:left w:val="nil"/>
              <w:bottom w:val="nil"/>
              <w:right w:val="nil"/>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$685.50 </w:t>
            </w:r>
          </w:p>
        </w:tc>
        <w:tc>
          <w:tcPr>
            <w:tcW w:w="1872" w:type="dxa"/>
            <w:tcBorders>
              <w:top w:val="nil"/>
              <w:left w:val="nil"/>
              <w:bottom w:val="nil"/>
              <w:right w:val="nil"/>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$738.50 </w:t>
            </w:r>
          </w:p>
        </w:tc>
        <w:tc>
          <w:tcPr>
            <w:tcW w:w="2112" w:type="dxa"/>
            <w:tcBorders>
              <w:top w:val="nil"/>
              <w:left w:val="nil"/>
              <w:bottom w:val="nil"/>
              <w:right w:val="single" w:sz="8" w:space="0" w:color="auto"/>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$7.02 </w:t>
            </w:r>
          </w:p>
        </w:tc>
      </w:tr>
      <w:tr w:rsidR="00E906B4" w:rsidRPr="00E906B4" w:rsidTr="00E906B4">
        <w:trPr>
          <w:trHeight w:val="255"/>
          <w:jc w:val="center"/>
        </w:trPr>
        <w:tc>
          <w:tcPr>
            <w:tcW w:w="4940" w:type="dxa"/>
            <w:tcBorders>
              <w:top w:val="nil"/>
              <w:left w:val="single" w:sz="8" w:space="0" w:color="auto"/>
              <w:bottom w:val="nil"/>
              <w:right w:val="nil"/>
            </w:tcBorders>
            <w:shd w:val="clear" w:color="auto" w:fill="auto"/>
            <w:noWrap/>
            <w:vAlign w:val="bottom"/>
            <w:hideMark/>
          </w:tcPr>
          <w:p w:rsidR="00E906B4" w:rsidRPr="00E906B4" w:rsidRDefault="00E906B4" w:rsidP="00E906B4">
            <w:pPr>
              <w:rPr>
                <w:sz w:val="20"/>
                <w:szCs w:val="20"/>
              </w:rPr>
            </w:pPr>
            <w:r w:rsidRPr="00E906B4">
              <w:rPr>
                <w:sz w:val="20"/>
                <w:szCs w:val="20"/>
              </w:rPr>
              <w:t> </w:t>
            </w:r>
          </w:p>
        </w:tc>
        <w:tc>
          <w:tcPr>
            <w:tcW w:w="1320" w:type="dxa"/>
            <w:tcBorders>
              <w:top w:val="nil"/>
              <w:left w:val="nil"/>
              <w:bottom w:val="nil"/>
              <w:right w:val="nil"/>
            </w:tcBorders>
            <w:shd w:val="clear" w:color="auto" w:fill="auto"/>
            <w:noWrap/>
            <w:vAlign w:val="bottom"/>
            <w:hideMark/>
          </w:tcPr>
          <w:p w:rsidR="00E906B4" w:rsidRPr="00E906B4" w:rsidRDefault="00E906B4" w:rsidP="00E906B4">
            <w:pPr>
              <w:rPr>
                <w:sz w:val="20"/>
                <w:szCs w:val="20"/>
              </w:rPr>
            </w:pPr>
          </w:p>
        </w:tc>
        <w:tc>
          <w:tcPr>
            <w:tcW w:w="1872" w:type="dxa"/>
            <w:tcBorders>
              <w:top w:val="nil"/>
              <w:left w:val="nil"/>
              <w:bottom w:val="nil"/>
              <w:right w:val="nil"/>
            </w:tcBorders>
            <w:shd w:val="clear" w:color="auto" w:fill="auto"/>
            <w:noWrap/>
            <w:vAlign w:val="bottom"/>
            <w:hideMark/>
          </w:tcPr>
          <w:p w:rsidR="00E906B4" w:rsidRPr="00E906B4" w:rsidRDefault="00E906B4" w:rsidP="00E906B4">
            <w:pPr>
              <w:rPr>
                <w:sz w:val="20"/>
                <w:szCs w:val="20"/>
              </w:rPr>
            </w:pPr>
          </w:p>
        </w:tc>
        <w:tc>
          <w:tcPr>
            <w:tcW w:w="2112" w:type="dxa"/>
            <w:tcBorders>
              <w:top w:val="nil"/>
              <w:left w:val="nil"/>
              <w:bottom w:val="nil"/>
              <w:right w:val="single" w:sz="8" w:space="0" w:color="auto"/>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w:t>
            </w:r>
          </w:p>
        </w:tc>
      </w:tr>
      <w:tr w:rsidR="00E906B4" w:rsidRPr="00E906B4" w:rsidTr="00E906B4">
        <w:trPr>
          <w:trHeight w:val="255"/>
          <w:jc w:val="center"/>
        </w:trPr>
        <w:tc>
          <w:tcPr>
            <w:tcW w:w="4940" w:type="dxa"/>
            <w:tcBorders>
              <w:top w:val="nil"/>
              <w:left w:val="single" w:sz="8" w:space="0" w:color="auto"/>
              <w:bottom w:val="nil"/>
              <w:right w:val="nil"/>
            </w:tcBorders>
            <w:shd w:val="clear" w:color="auto" w:fill="auto"/>
            <w:noWrap/>
            <w:vAlign w:val="center"/>
            <w:hideMark/>
          </w:tcPr>
          <w:p w:rsidR="00E906B4" w:rsidRPr="00E906B4" w:rsidRDefault="00E906B4" w:rsidP="00E906B4">
            <w:pPr>
              <w:rPr>
                <w:color w:val="000000"/>
                <w:sz w:val="20"/>
                <w:szCs w:val="20"/>
              </w:rPr>
            </w:pPr>
            <w:r w:rsidRPr="00E906B4">
              <w:rPr>
                <w:color w:val="000000"/>
                <w:sz w:val="20"/>
                <w:szCs w:val="20"/>
              </w:rPr>
              <w:t>Charge per 1,000 gallons - Residential</w:t>
            </w:r>
          </w:p>
        </w:tc>
        <w:tc>
          <w:tcPr>
            <w:tcW w:w="1320" w:type="dxa"/>
            <w:tcBorders>
              <w:top w:val="nil"/>
              <w:left w:val="nil"/>
              <w:bottom w:val="nil"/>
              <w:right w:val="nil"/>
            </w:tcBorders>
            <w:shd w:val="clear" w:color="auto" w:fill="auto"/>
            <w:noWrap/>
            <w:vAlign w:val="bottom"/>
            <w:hideMark/>
          </w:tcPr>
          <w:p w:rsidR="00E906B4" w:rsidRPr="00E906B4" w:rsidRDefault="00E906B4" w:rsidP="00E906B4">
            <w:pPr>
              <w:rPr>
                <w:color w:val="000000"/>
                <w:sz w:val="20"/>
                <w:szCs w:val="20"/>
              </w:rPr>
            </w:pPr>
          </w:p>
        </w:tc>
        <w:tc>
          <w:tcPr>
            <w:tcW w:w="1872" w:type="dxa"/>
            <w:tcBorders>
              <w:top w:val="nil"/>
              <w:left w:val="nil"/>
              <w:bottom w:val="nil"/>
              <w:right w:val="nil"/>
            </w:tcBorders>
            <w:shd w:val="clear" w:color="auto" w:fill="auto"/>
            <w:noWrap/>
            <w:vAlign w:val="bottom"/>
            <w:hideMark/>
          </w:tcPr>
          <w:p w:rsidR="00E906B4" w:rsidRPr="00E906B4" w:rsidRDefault="00E906B4" w:rsidP="00E906B4">
            <w:pPr>
              <w:rPr>
                <w:sz w:val="20"/>
                <w:szCs w:val="20"/>
              </w:rPr>
            </w:pPr>
          </w:p>
        </w:tc>
        <w:tc>
          <w:tcPr>
            <w:tcW w:w="2112" w:type="dxa"/>
            <w:tcBorders>
              <w:top w:val="nil"/>
              <w:left w:val="nil"/>
              <w:bottom w:val="nil"/>
              <w:right w:val="single" w:sz="8" w:space="0" w:color="auto"/>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w:t>
            </w:r>
          </w:p>
        </w:tc>
      </w:tr>
      <w:tr w:rsidR="00E906B4" w:rsidRPr="00E906B4" w:rsidTr="00E906B4">
        <w:trPr>
          <w:trHeight w:val="255"/>
          <w:jc w:val="center"/>
        </w:trPr>
        <w:tc>
          <w:tcPr>
            <w:tcW w:w="4940" w:type="dxa"/>
            <w:tcBorders>
              <w:top w:val="nil"/>
              <w:left w:val="single" w:sz="8" w:space="0" w:color="auto"/>
              <w:bottom w:val="nil"/>
              <w:right w:val="nil"/>
            </w:tcBorders>
            <w:shd w:val="clear" w:color="auto" w:fill="auto"/>
            <w:noWrap/>
            <w:vAlign w:val="center"/>
            <w:hideMark/>
          </w:tcPr>
          <w:p w:rsidR="00E906B4" w:rsidRPr="00E906B4" w:rsidRDefault="00E906B4" w:rsidP="00E906B4">
            <w:pPr>
              <w:rPr>
                <w:color w:val="000000"/>
                <w:sz w:val="20"/>
                <w:szCs w:val="20"/>
              </w:rPr>
            </w:pPr>
            <w:r w:rsidRPr="00E906B4">
              <w:rPr>
                <w:color w:val="000000"/>
                <w:sz w:val="20"/>
                <w:szCs w:val="20"/>
              </w:rPr>
              <w:t>0 - 5,000 gallons</w:t>
            </w:r>
          </w:p>
        </w:tc>
        <w:tc>
          <w:tcPr>
            <w:tcW w:w="1320" w:type="dxa"/>
            <w:tcBorders>
              <w:top w:val="nil"/>
              <w:left w:val="nil"/>
              <w:bottom w:val="nil"/>
              <w:right w:val="nil"/>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$1.87 </w:t>
            </w:r>
          </w:p>
        </w:tc>
        <w:tc>
          <w:tcPr>
            <w:tcW w:w="1872" w:type="dxa"/>
            <w:tcBorders>
              <w:top w:val="nil"/>
              <w:left w:val="nil"/>
              <w:bottom w:val="nil"/>
              <w:right w:val="nil"/>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N/A</w:t>
            </w:r>
          </w:p>
        </w:tc>
        <w:tc>
          <w:tcPr>
            <w:tcW w:w="2112" w:type="dxa"/>
            <w:tcBorders>
              <w:top w:val="nil"/>
              <w:left w:val="nil"/>
              <w:bottom w:val="nil"/>
              <w:right w:val="single" w:sz="8" w:space="0" w:color="auto"/>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N/A</w:t>
            </w:r>
          </w:p>
        </w:tc>
      </w:tr>
      <w:tr w:rsidR="00E906B4" w:rsidRPr="00E906B4" w:rsidTr="00E906B4">
        <w:trPr>
          <w:trHeight w:val="255"/>
          <w:jc w:val="center"/>
        </w:trPr>
        <w:tc>
          <w:tcPr>
            <w:tcW w:w="4940" w:type="dxa"/>
            <w:tcBorders>
              <w:top w:val="nil"/>
              <w:left w:val="single" w:sz="8" w:space="0" w:color="auto"/>
              <w:bottom w:val="nil"/>
              <w:right w:val="nil"/>
            </w:tcBorders>
            <w:shd w:val="clear" w:color="auto" w:fill="auto"/>
            <w:noWrap/>
            <w:vAlign w:val="center"/>
            <w:hideMark/>
          </w:tcPr>
          <w:p w:rsidR="00E906B4" w:rsidRPr="00E906B4" w:rsidRDefault="00E906B4" w:rsidP="00E906B4">
            <w:pPr>
              <w:rPr>
                <w:color w:val="000000"/>
                <w:sz w:val="20"/>
                <w:szCs w:val="20"/>
              </w:rPr>
            </w:pPr>
            <w:r w:rsidRPr="00E906B4">
              <w:rPr>
                <w:color w:val="000000"/>
                <w:sz w:val="20"/>
                <w:szCs w:val="20"/>
              </w:rPr>
              <w:t>5,001 - 10,000 gallons</w:t>
            </w:r>
          </w:p>
        </w:tc>
        <w:tc>
          <w:tcPr>
            <w:tcW w:w="1320" w:type="dxa"/>
            <w:tcBorders>
              <w:top w:val="nil"/>
              <w:left w:val="nil"/>
              <w:bottom w:val="nil"/>
              <w:right w:val="nil"/>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$2.08 </w:t>
            </w:r>
          </w:p>
        </w:tc>
        <w:tc>
          <w:tcPr>
            <w:tcW w:w="1872" w:type="dxa"/>
            <w:tcBorders>
              <w:top w:val="nil"/>
              <w:left w:val="nil"/>
              <w:bottom w:val="nil"/>
              <w:right w:val="nil"/>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N/A</w:t>
            </w:r>
          </w:p>
        </w:tc>
        <w:tc>
          <w:tcPr>
            <w:tcW w:w="2112" w:type="dxa"/>
            <w:tcBorders>
              <w:top w:val="nil"/>
              <w:left w:val="nil"/>
              <w:bottom w:val="nil"/>
              <w:right w:val="single" w:sz="8" w:space="0" w:color="auto"/>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N/A</w:t>
            </w:r>
          </w:p>
        </w:tc>
      </w:tr>
      <w:tr w:rsidR="00E906B4" w:rsidRPr="00E906B4" w:rsidTr="00E906B4">
        <w:trPr>
          <w:trHeight w:val="255"/>
          <w:jc w:val="center"/>
        </w:trPr>
        <w:tc>
          <w:tcPr>
            <w:tcW w:w="4940" w:type="dxa"/>
            <w:tcBorders>
              <w:top w:val="nil"/>
              <w:left w:val="single" w:sz="8" w:space="0" w:color="auto"/>
              <w:bottom w:val="nil"/>
              <w:right w:val="nil"/>
            </w:tcBorders>
            <w:shd w:val="clear" w:color="auto" w:fill="auto"/>
            <w:noWrap/>
            <w:vAlign w:val="center"/>
            <w:hideMark/>
          </w:tcPr>
          <w:p w:rsidR="00E906B4" w:rsidRPr="00E906B4" w:rsidRDefault="00E906B4" w:rsidP="00E906B4">
            <w:pPr>
              <w:rPr>
                <w:color w:val="000000"/>
                <w:sz w:val="20"/>
                <w:szCs w:val="20"/>
              </w:rPr>
            </w:pPr>
            <w:r w:rsidRPr="00E906B4">
              <w:rPr>
                <w:color w:val="000000"/>
                <w:sz w:val="20"/>
                <w:szCs w:val="20"/>
              </w:rPr>
              <w:t>Over 10,000 gallons</w:t>
            </w:r>
          </w:p>
        </w:tc>
        <w:tc>
          <w:tcPr>
            <w:tcW w:w="1320" w:type="dxa"/>
            <w:tcBorders>
              <w:top w:val="nil"/>
              <w:left w:val="nil"/>
              <w:bottom w:val="nil"/>
              <w:right w:val="nil"/>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$4.16 </w:t>
            </w:r>
          </w:p>
        </w:tc>
        <w:tc>
          <w:tcPr>
            <w:tcW w:w="1872" w:type="dxa"/>
            <w:tcBorders>
              <w:top w:val="nil"/>
              <w:left w:val="nil"/>
              <w:bottom w:val="nil"/>
              <w:right w:val="nil"/>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N/A</w:t>
            </w:r>
          </w:p>
        </w:tc>
        <w:tc>
          <w:tcPr>
            <w:tcW w:w="2112" w:type="dxa"/>
            <w:tcBorders>
              <w:top w:val="nil"/>
              <w:left w:val="nil"/>
              <w:bottom w:val="nil"/>
              <w:right w:val="single" w:sz="8" w:space="0" w:color="auto"/>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N/A</w:t>
            </w:r>
          </w:p>
        </w:tc>
      </w:tr>
      <w:tr w:rsidR="00E906B4" w:rsidRPr="00E906B4" w:rsidTr="00E906B4">
        <w:trPr>
          <w:trHeight w:val="255"/>
          <w:jc w:val="center"/>
        </w:trPr>
        <w:tc>
          <w:tcPr>
            <w:tcW w:w="4940" w:type="dxa"/>
            <w:tcBorders>
              <w:top w:val="nil"/>
              <w:left w:val="single" w:sz="8" w:space="0" w:color="auto"/>
              <w:bottom w:val="nil"/>
              <w:right w:val="nil"/>
            </w:tcBorders>
            <w:shd w:val="clear" w:color="auto" w:fill="auto"/>
            <w:noWrap/>
            <w:vAlign w:val="center"/>
            <w:hideMark/>
          </w:tcPr>
          <w:p w:rsidR="00E906B4" w:rsidRPr="00E906B4" w:rsidRDefault="00E906B4" w:rsidP="00E906B4">
            <w:pPr>
              <w:rPr>
                <w:color w:val="000000"/>
                <w:sz w:val="20"/>
                <w:szCs w:val="20"/>
              </w:rPr>
            </w:pPr>
            <w:r w:rsidRPr="00E906B4">
              <w:rPr>
                <w:color w:val="000000"/>
                <w:sz w:val="20"/>
                <w:szCs w:val="20"/>
              </w:rPr>
              <w:t> </w:t>
            </w:r>
          </w:p>
        </w:tc>
        <w:tc>
          <w:tcPr>
            <w:tcW w:w="1320" w:type="dxa"/>
            <w:tcBorders>
              <w:top w:val="nil"/>
              <w:left w:val="nil"/>
              <w:bottom w:val="nil"/>
              <w:right w:val="nil"/>
            </w:tcBorders>
            <w:shd w:val="clear" w:color="auto" w:fill="auto"/>
            <w:noWrap/>
            <w:vAlign w:val="center"/>
            <w:hideMark/>
          </w:tcPr>
          <w:p w:rsidR="00E906B4" w:rsidRPr="00E906B4" w:rsidRDefault="00E906B4" w:rsidP="00E906B4">
            <w:pPr>
              <w:rPr>
                <w:color w:val="000000"/>
                <w:sz w:val="20"/>
                <w:szCs w:val="20"/>
              </w:rPr>
            </w:pPr>
          </w:p>
        </w:tc>
        <w:tc>
          <w:tcPr>
            <w:tcW w:w="1872" w:type="dxa"/>
            <w:tcBorders>
              <w:top w:val="nil"/>
              <w:left w:val="nil"/>
              <w:bottom w:val="nil"/>
              <w:right w:val="nil"/>
            </w:tcBorders>
            <w:shd w:val="clear" w:color="auto" w:fill="auto"/>
            <w:noWrap/>
            <w:vAlign w:val="center"/>
            <w:hideMark/>
          </w:tcPr>
          <w:p w:rsidR="00E906B4" w:rsidRPr="00E906B4" w:rsidRDefault="00E906B4" w:rsidP="00E906B4">
            <w:pPr>
              <w:jc w:val="right"/>
              <w:rPr>
                <w:sz w:val="20"/>
                <w:szCs w:val="20"/>
              </w:rPr>
            </w:pPr>
          </w:p>
        </w:tc>
        <w:tc>
          <w:tcPr>
            <w:tcW w:w="2112" w:type="dxa"/>
            <w:tcBorders>
              <w:top w:val="nil"/>
              <w:left w:val="nil"/>
              <w:bottom w:val="nil"/>
              <w:right w:val="single" w:sz="8" w:space="0" w:color="auto"/>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w:t>
            </w:r>
          </w:p>
        </w:tc>
      </w:tr>
      <w:tr w:rsidR="00E906B4" w:rsidRPr="00E906B4" w:rsidTr="00E906B4">
        <w:trPr>
          <w:trHeight w:val="255"/>
          <w:jc w:val="center"/>
        </w:trPr>
        <w:tc>
          <w:tcPr>
            <w:tcW w:w="4940" w:type="dxa"/>
            <w:tcBorders>
              <w:top w:val="nil"/>
              <w:left w:val="single" w:sz="8" w:space="0" w:color="auto"/>
              <w:bottom w:val="nil"/>
              <w:right w:val="nil"/>
            </w:tcBorders>
            <w:shd w:val="clear" w:color="auto" w:fill="auto"/>
            <w:noWrap/>
            <w:vAlign w:val="center"/>
            <w:hideMark/>
          </w:tcPr>
          <w:p w:rsidR="00E906B4" w:rsidRPr="00E906B4" w:rsidRDefault="00E906B4" w:rsidP="00E906B4">
            <w:pPr>
              <w:rPr>
                <w:color w:val="000000"/>
                <w:sz w:val="20"/>
                <w:szCs w:val="20"/>
              </w:rPr>
            </w:pPr>
            <w:r w:rsidRPr="00E906B4">
              <w:rPr>
                <w:color w:val="000000"/>
                <w:sz w:val="20"/>
                <w:szCs w:val="20"/>
              </w:rPr>
              <w:t>Charge per 1,000 gallons - Residential</w:t>
            </w:r>
          </w:p>
        </w:tc>
        <w:tc>
          <w:tcPr>
            <w:tcW w:w="1320" w:type="dxa"/>
            <w:tcBorders>
              <w:top w:val="nil"/>
              <w:left w:val="nil"/>
              <w:bottom w:val="nil"/>
              <w:right w:val="nil"/>
            </w:tcBorders>
            <w:shd w:val="clear" w:color="auto" w:fill="auto"/>
            <w:noWrap/>
            <w:vAlign w:val="bottom"/>
            <w:hideMark/>
          </w:tcPr>
          <w:p w:rsidR="00E906B4" w:rsidRPr="00E906B4" w:rsidRDefault="00E906B4" w:rsidP="00E906B4">
            <w:pPr>
              <w:rPr>
                <w:color w:val="000000"/>
                <w:sz w:val="20"/>
                <w:szCs w:val="20"/>
              </w:rPr>
            </w:pPr>
          </w:p>
        </w:tc>
        <w:tc>
          <w:tcPr>
            <w:tcW w:w="1872" w:type="dxa"/>
            <w:tcBorders>
              <w:top w:val="nil"/>
              <w:left w:val="nil"/>
              <w:bottom w:val="nil"/>
              <w:right w:val="nil"/>
            </w:tcBorders>
            <w:shd w:val="clear" w:color="auto" w:fill="auto"/>
            <w:noWrap/>
            <w:vAlign w:val="bottom"/>
            <w:hideMark/>
          </w:tcPr>
          <w:p w:rsidR="00E906B4" w:rsidRPr="00E906B4" w:rsidRDefault="00E906B4" w:rsidP="00E906B4">
            <w:pPr>
              <w:rPr>
                <w:sz w:val="20"/>
                <w:szCs w:val="20"/>
              </w:rPr>
            </w:pPr>
          </w:p>
        </w:tc>
        <w:tc>
          <w:tcPr>
            <w:tcW w:w="2112" w:type="dxa"/>
            <w:tcBorders>
              <w:top w:val="nil"/>
              <w:left w:val="nil"/>
              <w:bottom w:val="nil"/>
              <w:right w:val="single" w:sz="8" w:space="0" w:color="auto"/>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w:t>
            </w:r>
          </w:p>
        </w:tc>
      </w:tr>
      <w:tr w:rsidR="00E906B4" w:rsidRPr="00E906B4" w:rsidTr="00E906B4">
        <w:trPr>
          <w:trHeight w:val="255"/>
          <w:jc w:val="center"/>
        </w:trPr>
        <w:tc>
          <w:tcPr>
            <w:tcW w:w="4940" w:type="dxa"/>
            <w:tcBorders>
              <w:top w:val="nil"/>
              <w:left w:val="single" w:sz="8" w:space="0" w:color="auto"/>
              <w:bottom w:val="nil"/>
              <w:right w:val="nil"/>
            </w:tcBorders>
            <w:shd w:val="clear" w:color="auto" w:fill="auto"/>
            <w:noWrap/>
            <w:vAlign w:val="center"/>
            <w:hideMark/>
          </w:tcPr>
          <w:p w:rsidR="00E906B4" w:rsidRPr="00E906B4" w:rsidRDefault="00E906B4" w:rsidP="00E906B4">
            <w:pPr>
              <w:rPr>
                <w:color w:val="000000"/>
                <w:sz w:val="20"/>
                <w:szCs w:val="20"/>
              </w:rPr>
            </w:pPr>
            <w:r w:rsidRPr="00E906B4">
              <w:rPr>
                <w:color w:val="000000"/>
                <w:sz w:val="20"/>
                <w:szCs w:val="20"/>
              </w:rPr>
              <w:t>0 - 4,000 gallons</w:t>
            </w:r>
          </w:p>
        </w:tc>
        <w:tc>
          <w:tcPr>
            <w:tcW w:w="1320" w:type="dxa"/>
            <w:tcBorders>
              <w:top w:val="nil"/>
              <w:left w:val="nil"/>
              <w:bottom w:val="nil"/>
              <w:right w:val="nil"/>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N/A</w:t>
            </w:r>
          </w:p>
        </w:tc>
        <w:tc>
          <w:tcPr>
            <w:tcW w:w="1872" w:type="dxa"/>
            <w:tcBorders>
              <w:top w:val="nil"/>
              <w:left w:val="nil"/>
              <w:bottom w:val="nil"/>
              <w:right w:val="nil"/>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$2.38 </w:t>
            </w:r>
          </w:p>
        </w:tc>
        <w:tc>
          <w:tcPr>
            <w:tcW w:w="2112" w:type="dxa"/>
            <w:tcBorders>
              <w:top w:val="nil"/>
              <w:left w:val="nil"/>
              <w:bottom w:val="nil"/>
              <w:right w:val="single" w:sz="8" w:space="0" w:color="auto"/>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$0.02 </w:t>
            </w:r>
          </w:p>
        </w:tc>
      </w:tr>
      <w:tr w:rsidR="00E906B4" w:rsidRPr="00E906B4" w:rsidTr="00E906B4">
        <w:trPr>
          <w:trHeight w:val="255"/>
          <w:jc w:val="center"/>
        </w:trPr>
        <w:tc>
          <w:tcPr>
            <w:tcW w:w="4940" w:type="dxa"/>
            <w:tcBorders>
              <w:top w:val="nil"/>
              <w:left w:val="single" w:sz="8" w:space="0" w:color="auto"/>
              <w:bottom w:val="nil"/>
              <w:right w:val="nil"/>
            </w:tcBorders>
            <w:shd w:val="clear" w:color="auto" w:fill="auto"/>
            <w:noWrap/>
            <w:vAlign w:val="center"/>
            <w:hideMark/>
          </w:tcPr>
          <w:p w:rsidR="00E906B4" w:rsidRPr="00E906B4" w:rsidRDefault="00E906B4" w:rsidP="00E906B4">
            <w:pPr>
              <w:rPr>
                <w:color w:val="000000"/>
                <w:sz w:val="20"/>
                <w:szCs w:val="20"/>
              </w:rPr>
            </w:pPr>
            <w:r w:rsidRPr="00E906B4">
              <w:rPr>
                <w:color w:val="000000"/>
                <w:sz w:val="20"/>
                <w:szCs w:val="20"/>
              </w:rPr>
              <w:t>4,001 - 10,000 gallons</w:t>
            </w:r>
          </w:p>
        </w:tc>
        <w:tc>
          <w:tcPr>
            <w:tcW w:w="1320" w:type="dxa"/>
            <w:tcBorders>
              <w:top w:val="nil"/>
              <w:left w:val="nil"/>
              <w:bottom w:val="nil"/>
              <w:right w:val="nil"/>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N/A</w:t>
            </w:r>
          </w:p>
        </w:tc>
        <w:tc>
          <w:tcPr>
            <w:tcW w:w="1872" w:type="dxa"/>
            <w:tcBorders>
              <w:top w:val="nil"/>
              <w:left w:val="nil"/>
              <w:bottom w:val="nil"/>
              <w:right w:val="nil"/>
            </w:tcBorders>
            <w:shd w:val="clear" w:color="auto" w:fill="auto"/>
            <w:noWrap/>
            <w:vAlign w:val="center"/>
            <w:hideMark/>
          </w:tcPr>
          <w:p w:rsidR="00E906B4" w:rsidRPr="00E906B4" w:rsidRDefault="00E54EE3" w:rsidP="00E906B4">
            <w:pPr>
              <w:jc w:val="right"/>
              <w:rPr>
                <w:color w:val="000000"/>
                <w:sz w:val="20"/>
                <w:szCs w:val="20"/>
              </w:rPr>
            </w:pPr>
            <w:hyperlink r:id="rId20" w:history="1">
              <w:r w:rsidR="00E906B4" w:rsidRPr="00E906B4">
                <w:rPr>
                  <w:color w:val="000000"/>
                  <w:sz w:val="20"/>
                  <w:szCs w:val="20"/>
                </w:rPr>
                <w:t xml:space="preserve">$2.97 </w:t>
              </w:r>
            </w:hyperlink>
          </w:p>
        </w:tc>
        <w:tc>
          <w:tcPr>
            <w:tcW w:w="2112" w:type="dxa"/>
            <w:tcBorders>
              <w:top w:val="nil"/>
              <w:left w:val="nil"/>
              <w:bottom w:val="nil"/>
              <w:right w:val="single" w:sz="8" w:space="0" w:color="auto"/>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$0.03 </w:t>
            </w:r>
          </w:p>
        </w:tc>
      </w:tr>
      <w:tr w:rsidR="00E906B4" w:rsidRPr="00E906B4" w:rsidTr="00E906B4">
        <w:trPr>
          <w:trHeight w:val="255"/>
          <w:jc w:val="center"/>
        </w:trPr>
        <w:tc>
          <w:tcPr>
            <w:tcW w:w="4940" w:type="dxa"/>
            <w:tcBorders>
              <w:top w:val="nil"/>
              <w:left w:val="single" w:sz="8" w:space="0" w:color="auto"/>
              <w:bottom w:val="nil"/>
              <w:right w:val="nil"/>
            </w:tcBorders>
            <w:shd w:val="clear" w:color="auto" w:fill="auto"/>
            <w:noWrap/>
            <w:vAlign w:val="center"/>
            <w:hideMark/>
          </w:tcPr>
          <w:p w:rsidR="00E906B4" w:rsidRPr="00E906B4" w:rsidRDefault="00E906B4" w:rsidP="00E906B4">
            <w:pPr>
              <w:rPr>
                <w:color w:val="000000"/>
                <w:sz w:val="20"/>
                <w:szCs w:val="20"/>
              </w:rPr>
            </w:pPr>
            <w:r w:rsidRPr="00E906B4">
              <w:rPr>
                <w:color w:val="000000"/>
                <w:sz w:val="20"/>
                <w:szCs w:val="20"/>
              </w:rPr>
              <w:t>Over 10,000 gallons</w:t>
            </w:r>
          </w:p>
        </w:tc>
        <w:tc>
          <w:tcPr>
            <w:tcW w:w="1320" w:type="dxa"/>
            <w:tcBorders>
              <w:top w:val="nil"/>
              <w:left w:val="nil"/>
              <w:bottom w:val="nil"/>
              <w:right w:val="nil"/>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N/A</w:t>
            </w:r>
          </w:p>
        </w:tc>
        <w:tc>
          <w:tcPr>
            <w:tcW w:w="1872" w:type="dxa"/>
            <w:tcBorders>
              <w:top w:val="nil"/>
              <w:left w:val="nil"/>
              <w:bottom w:val="nil"/>
              <w:right w:val="nil"/>
            </w:tcBorders>
            <w:shd w:val="clear" w:color="auto" w:fill="auto"/>
            <w:noWrap/>
            <w:vAlign w:val="center"/>
            <w:hideMark/>
          </w:tcPr>
          <w:p w:rsidR="00E906B4" w:rsidRPr="00E906B4" w:rsidRDefault="00E54EE3" w:rsidP="00E906B4">
            <w:pPr>
              <w:jc w:val="right"/>
              <w:rPr>
                <w:color w:val="000000"/>
                <w:sz w:val="20"/>
                <w:szCs w:val="20"/>
              </w:rPr>
            </w:pPr>
            <w:hyperlink r:id="rId21" w:history="1">
              <w:r w:rsidR="00E906B4" w:rsidRPr="00E906B4">
                <w:rPr>
                  <w:color w:val="000000"/>
                  <w:sz w:val="20"/>
                  <w:szCs w:val="20"/>
                </w:rPr>
                <w:t xml:space="preserve">$5.35 </w:t>
              </w:r>
            </w:hyperlink>
          </w:p>
        </w:tc>
        <w:tc>
          <w:tcPr>
            <w:tcW w:w="2112" w:type="dxa"/>
            <w:tcBorders>
              <w:top w:val="nil"/>
              <w:left w:val="nil"/>
              <w:bottom w:val="nil"/>
              <w:right w:val="single" w:sz="8" w:space="0" w:color="auto"/>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$0.05 </w:t>
            </w:r>
          </w:p>
        </w:tc>
      </w:tr>
      <w:tr w:rsidR="00E906B4" w:rsidRPr="00E906B4" w:rsidTr="00E906B4">
        <w:trPr>
          <w:trHeight w:val="255"/>
          <w:jc w:val="center"/>
        </w:trPr>
        <w:tc>
          <w:tcPr>
            <w:tcW w:w="4940" w:type="dxa"/>
            <w:tcBorders>
              <w:top w:val="nil"/>
              <w:left w:val="single" w:sz="8" w:space="0" w:color="auto"/>
              <w:bottom w:val="nil"/>
              <w:right w:val="nil"/>
            </w:tcBorders>
            <w:shd w:val="clear" w:color="auto" w:fill="auto"/>
            <w:noWrap/>
            <w:vAlign w:val="center"/>
            <w:hideMark/>
          </w:tcPr>
          <w:p w:rsidR="00E906B4" w:rsidRPr="00E906B4" w:rsidRDefault="00E906B4" w:rsidP="00E906B4">
            <w:pPr>
              <w:rPr>
                <w:color w:val="000000"/>
                <w:sz w:val="20"/>
                <w:szCs w:val="20"/>
              </w:rPr>
            </w:pPr>
            <w:r w:rsidRPr="00E906B4">
              <w:rPr>
                <w:color w:val="000000"/>
                <w:sz w:val="20"/>
                <w:szCs w:val="20"/>
              </w:rPr>
              <w:t> </w:t>
            </w:r>
          </w:p>
        </w:tc>
        <w:tc>
          <w:tcPr>
            <w:tcW w:w="1320" w:type="dxa"/>
            <w:tcBorders>
              <w:top w:val="nil"/>
              <w:left w:val="nil"/>
              <w:bottom w:val="nil"/>
              <w:right w:val="nil"/>
            </w:tcBorders>
            <w:shd w:val="clear" w:color="auto" w:fill="auto"/>
            <w:noWrap/>
            <w:vAlign w:val="bottom"/>
            <w:hideMark/>
          </w:tcPr>
          <w:p w:rsidR="00E906B4" w:rsidRPr="00E906B4" w:rsidRDefault="00E906B4" w:rsidP="00E906B4">
            <w:pPr>
              <w:rPr>
                <w:color w:val="000000"/>
                <w:sz w:val="20"/>
                <w:szCs w:val="20"/>
              </w:rPr>
            </w:pPr>
          </w:p>
        </w:tc>
        <w:tc>
          <w:tcPr>
            <w:tcW w:w="1872" w:type="dxa"/>
            <w:tcBorders>
              <w:top w:val="nil"/>
              <w:left w:val="nil"/>
              <w:bottom w:val="nil"/>
              <w:right w:val="nil"/>
            </w:tcBorders>
            <w:shd w:val="clear" w:color="auto" w:fill="auto"/>
            <w:noWrap/>
            <w:vAlign w:val="center"/>
            <w:hideMark/>
          </w:tcPr>
          <w:p w:rsidR="00E906B4" w:rsidRPr="00E906B4" w:rsidRDefault="00E906B4" w:rsidP="00E906B4">
            <w:pPr>
              <w:rPr>
                <w:sz w:val="20"/>
                <w:szCs w:val="20"/>
              </w:rPr>
            </w:pPr>
          </w:p>
        </w:tc>
        <w:tc>
          <w:tcPr>
            <w:tcW w:w="2112" w:type="dxa"/>
            <w:tcBorders>
              <w:top w:val="nil"/>
              <w:left w:val="nil"/>
              <w:bottom w:val="nil"/>
              <w:right w:val="single" w:sz="8" w:space="0" w:color="auto"/>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w:t>
            </w:r>
          </w:p>
        </w:tc>
      </w:tr>
      <w:tr w:rsidR="00E906B4" w:rsidRPr="00E906B4" w:rsidTr="00E906B4">
        <w:trPr>
          <w:trHeight w:val="255"/>
          <w:jc w:val="center"/>
        </w:trPr>
        <w:tc>
          <w:tcPr>
            <w:tcW w:w="4940" w:type="dxa"/>
            <w:tcBorders>
              <w:top w:val="nil"/>
              <w:left w:val="single" w:sz="8" w:space="0" w:color="auto"/>
              <w:bottom w:val="nil"/>
              <w:right w:val="nil"/>
            </w:tcBorders>
            <w:shd w:val="clear" w:color="auto" w:fill="auto"/>
            <w:noWrap/>
            <w:vAlign w:val="center"/>
            <w:hideMark/>
          </w:tcPr>
          <w:p w:rsidR="00E906B4" w:rsidRPr="00E906B4" w:rsidRDefault="00E906B4" w:rsidP="00E906B4">
            <w:pPr>
              <w:rPr>
                <w:color w:val="000000"/>
                <w:sz w:val="20"/>
                <w:szCs w:val="20"/>
              </w:rPr>
            </w:pPr>
            <w:r w:rsidRPr="00E906B4">
              <w:rPr>
                <w:color w:val="000000"/>
                <w:sz w:val="20"/>
                <w:szCs w:val="20"/>
              </w:rPr>
              <w:t>Charge per 1,000 gallons - General Service</w:t>
            </w:r>
          </w:p>
        </w:tc>
        <w:tc>
          <w:tcPr>
            <w:tcW w:w="1320" w:type="dxa"/>
            <w:tcBorders>
              <w:top w:val="nil"/>
              <w:left w:val="nil"/>
              <w:bottom w:val="nil"/>
              <w:right w:val="nil"/>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$2.83 </w:t>
            </w:r>
          </w:p>
        </w:tc>
        <w:tc>
          <w:tcPr>
            <w:tcW w:w="1872" w:type="dxa"/>
            <w:tcBorders>
              <w:top w:val="nil"/>
              <w:left w:val="nil"/>
              <w:bottom w:val="nil"/>
              <w:right w:val="nil"/>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$3.73 </w:t>
            </w:r>
          </w:p>
        </w:tc>
        <w:tc>
          <w:tcPr>
            <w:tcW w:w="2112" w:type="dxa"/>
            <w:tcBorders>
              <w:top w:val="nil"/>
              <w:left w:val="nil"/>
              <w:bottom w:val="nil"/>
              <w:right w:val="single" w:sz="8" w:space="0" w:color="auto"/>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$0.04 </w:t>
            </w:r>
          </w:p>
        </w:tc>
      </w:tr>
      <w:tr w:rsidR="00E906B4" w:rsidRPr="00E906B4" w:rsidTr="00E906B4">
        <w:trPr>
          <w:trHeight w:val="255"/>
          <w:jc w:val="center"/>
        </w:trPr>
        <w:tc>
          <w:tcPr>
            <w:tcW w:w="4940" w:type="dxa"/>
            <w:tcBorders>
              <w:top w:val="nil"/>
              <w:left w:val="single" w:sz="8" w:space="0" w:color="auto"/>
              <w:bottom w:val="nil"/>
              <w:right w:val="nil"/>
            </w:tcBorders>
            <w:shd w:val="clear" w:color="auto" w:fill="auto"/>
            <w:noWrap/>
            <w:vAlign w:val="bottom"/>
            <w:hideMark/>
          </w:tcPr>
          <w:p w:rsidR="00E906B4" w:rsidRPr="00E906B4" w:rsidRDefault="00E906B4" w:rsidP="00E906B4">
            <w:pPr>
              <w:rPr>
                <w:sz w:val="20"/>
                <w:szCs w:val="20"/>
              </w:rPr>
            </w:pPr>
            <w:r w:rsidRPr="00E906B4">
              <w:rPr>
                <w:sz w:val="20"/>
                <w:szCs w:val="20"/>
              </w:rPr>
              <w:t> </w:t>
            </w:r>
          </w:p>
        </w:tc>
        <w:tc>
          <w:tcPr>
            <w:tcW w:w="1320" w:type="dxa"/>
            <w:tcBorders>
              <w:top w:val="nil"/>
              <w:left w:val="nil"/>
              <w:bottom w:val="nil"/>
              <w:right w:val="nil"/>
            </w:tcBorders>
            <w:shd w:val="clear" w:color="auto" w:fill="auto"/>
            <w:noWrap/>
            <w:vAlign w:val="bottom"/>
            <w:hideMark/>
          </w:tcPr>
          <w:p w:rsidR="00E906B4" w:rsidRPr="00E906B4" w:rsidRDefault="00E906B4" w:rsidP="00E906B4">
            <w:pPr>
              <w:rPr>
                <w:sz w:val="20"/>
                <w:szCs w:val="20"/>
              </w:rPr>
            </w:pPr>
          </w:p>
        </w:tc>
        <w:tc>
          <w:tcPr>
            <w:tcW w:w="1872" w:type="dxa"/>
            <w:tcBorders>
              <w:top w:val="nil"/>
              <w:left w:val="nil"/>
              <w:bottom w:val="nil"/>
              <w:right w:val="nil"/>
            </w:tcBorders>
            <w:shd w:val="clear" w:color="auto" w:fill="auto"/>
            <w:noWrap/>
            <w:vAlign w:val="bottom"/>
            <w:hideMark/>
          </w:tcPr>
          <w:p w:rsidR="00E906B4" w:rsidRPr="00E906B4" w:rsidRDefault="00E906B4" w:rsidP="00E906B4">
            <w:pPr>
              <w:rPr>
                <w:sz w:val="20"/>
                <w:szCs w:val="20"/>
              </w:rPr>
            </w:pPr>
          </w:p>
        </w:tc>
        <w:tc>
          <w:tcPr>
            <w:tcW w:w="2112" w:type="dxa"/>
            <w:tcBorders>
              <w:top w:val="nil"/>
              <w:left w:val="nil"/>
              <w:bottom w:val="nil"/>
              <w:right w:val="single" w:sz="8" w:space="0" w:color="auto"/>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w:t>
            </w:r>
          </w:p>
        </w:tc>
      </w:tr>
      <w:tr w:rsidR="00E906B4" w:rsidRPr="00E906B4" w:rsidTr="00E906B4">
        <w:trPr>
          <w:trHeight w:val="255"/>
          <w:jc w:val="center"/>
        </w:trPr>
        <w:tc>
          <w:tcPr>
            <w:tcW w:w="4940" w:type="dxa"/>
            <w:tcBorders>
              <w:top w:val="nil"/>
              <w:left w:val="single" w:sz="8" w:space="0" w:color="auto"/>
              <w:bottom w:val="nil"/>
              <w:right w:val="nil"/>
            </w:tcBorders>
            <w:shd w:val="clear" w:color="auto" w:fill="auto"/>
            <w:noWrap/>
            <w:vAlign w:val="center"/>
            <w:hideMark/>
          </w:tcPr>
          <w:p w:rsidR="00E906B4" w:rsidRPr="00E906B4" w:rsidRDefault="00E906B4" w:rsidP="00E906B4">
            <w:pPr>
              <w:rPr>
                <w:b/>
                <w:bCs/>
                <w:color w:val="000000"/>
                <w:sz w:val="20"/>
                <w:szCs w:val="20"/>
                <w:u w:val="single"/>
              </w:rPr>
            </w:pPr>
            <w:r w:rsidRPr="00E906B4">
              <w:rPr>
                <w:b/>
                <w:bCs/>
                <w:color w:val="000000"/>
                <w:sz w:val="20"/>
                <w:szCs w:val="20"/>
                <w:u w:val="single"/>
              </w:rPr>
              <w:t>Typical Residential 5/8" x 3/4" Meter Bill Comparison</w:t>
            </w:r>
          </w:p>
        </w:tc>
        <w:tc>
          <w:tcPr>
            <w:tcW w:w="1320" w:type="dxa"/>
            <w:tcBorders>
              <w:top w:val="nil"/>
              <w:left w:val="nil"/>
              <w:bottom w:val="nil"/>
              <w:right w:val="nil"/>
            </w:tcBorders>
            <w:shd w:val="clear" w:color="auto" w:fill="auto"/>
            <w:noWrap/>
            <w:vAlign w:val="bottom"/>
            <w:hideMark/>
          </w:tcPr>
          <w:p w:rsidR="00E906B4" w:rsidRPr="00E906B4" w:rsidRDefault="00E906B4" w:rsidP="00E906B4">
            <w:pPr>
              <w:rPr>
                <w:b/>
                <w:bCs/>
                <w:color w:val="000000"/>
                <w:sz w:val="20"/>
                <w:szCs w:val="20"/>
                <w:u w:val="single"/>
              </w:rPr>
            </w:pPr>
          </w:p>
        </w:tc>
        <w:tc>
          <w:tcPr>
            <w:tcW w:w="1872" w:type="dxa"/>
            <w:tcBorders>
              <w:top w:val="nil"/>
              <w:left w:val="nil"/>
              <w:bottom w:val="nil"/>
              <w:right w:val="nil"/>
            </w:tcBorders>
            <w:shd w:val="clear" w:color="auto" w:fill="auto"/>
            <w:noWrap/>
            <w:vAlign w:val="bottom"/>
            <w:hideMark/>
          </w:tcPr>
          <w:p w:rsidR="00E906B4" w:rsidRPr="00E906B4" w:rsidRDefault="00E906B4" w:rsidP="00E906B4">
            <w:pPr>
              <w:rPr>
                <w:sz w:val="20"/>
                <w:szCs w:val="20"/>
              </w:rPr>
            </w:pPr>
          </w:p>
        </w:tc>
        <w:tc>
          <w:tcPr>
            <w:tcW w:w="2112" w:type="dxa"/>
            <w:tcBorders>
              <w:top w:val="nil"/>
              <w:left w:val="nil"/>
              <w:bottom w:val="nil"/>
              <w:right w:val="single" w:sz="8" w:space="0" w:color="auto"/>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w:t>
            </w:r>
          </w:p>
        </w:tc>
      </w:tr>
      <w:tr w:rsidR="00E906B4" w:rsidRPr="00E906B4" w:rsidTr="00E906B4">
        <w:trPr>
          <w:trHeight w:val="255"/>
          <w:jc w:val="center"/>
        </w:trPr>
        <w:tc>
          <w:tcPr>
            <w:tcW w:w="4940" w:type="dxa"/>
            <w:tcBorders>
              <w:top w:val="nil"/>
              <w:left w:val="single" w:sz="8" w:space="0" w:color="auto"/>
              <w:bottom w:val="nil"/>
              <w:right w:val="nil"/>
            </w:tcBorders>
            <w:shd w:val="clear" w:color="auto" w:fill="auto"/>
            <w:noWrap/>
            <w:vAlign w:val="center"/>
            <w:hideMark/>
          </w:tcPr>
          <w:p w:rsidR="00E906B4" w:rsidRPr="00E906B4" w:rsidRDefault="00E906B4" w:rsidP="00E906B4">
            <w:pPr>
              <w:rPr>
                <w:color w:val="000000"/>
                <w:sz w:val="20"/>
                <w:szCs w:val="20"/>
              </w:rPr>
            </w:pPr>
            <w:r w:rsidRPr="00E906B4">
              <w:rPr>
                <w:color w:val="000000"/>
                <w:sz w:val="20"/>
                <w:szCs w:val="20"/>
              </w:rPr>
              <w:t>4,000 Gallons</w:t>
            </w:r>
          </w:p>
        </w:tc>
        <w:tc>
          <w:tcPr>
            <w:tcW w:w="1320" w:type="dxa"/>
            <w:tcBorders>
              <w:top w:val="nil"/>
              <w:left w:val="nil"/>
              <w:bottom w:val="nil"/>
              <w:right w:val="nil"/>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$21.19 </w:t>
            </w:r>
          </w:p>
        </w:tc>
        <w:tc>
          <w:tcPr>
            <w:tcW w:w="1872" w:type="dxa"/>
            <w:tcBorders>
              <w:top w:val="nil"/>
              <w:left w:val="nil"/>
              <w:bottom w:val="nil"/>
              <w:right w:val="nil"/>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$24.29 </w:t>
            </w:r>
          </w:p>
        </w:tc>
        <w:tc>
          <w:tcPr>
            <w:tcW w:w="2112" w:type="dxa"/>
            <w:tcBorders>
              <w:top w:val="nil"/>
              <w:left w:val="nil"/>
              <w:bottom w:val="nil"/>
              <w:right w:val="single" w:sz="8" w:space="0" w:color="auto"/>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w:t>
            </w:r>
          </w:p>
        </w:tc>
      </w:tr>
      <w:tr w:rsidR="00E906B4" w:rsidRPr="00E906B4" w:rsidTr="00E906B4">
        <w:trPr>
          <w:trHeight w:val="255"/>
          <w:jc w:val="center"/>
        </w:trPr>
        <w:tc>
          <w:tcPr>
            <w:tcW w:w="4940" w:type="dxa"/>
            <w:tcBorders>
              <w:top w:val="nil"/>
              <w:left w:val="single" w:sz="8" w:space="0" w:color="auto"/>
              <w:bottom w:val="nil"/>
              <w:right w:val="nil"/>
            </w:tcBorders>
            <w:shd w:val="clear" w:color="auto" w:fill="auto"/>
            <w:noWrap/>
            <w:vAlign w:val="center"/>
            <w:hideMark/>
          </w:tcPr>
          <w:p w:rsidR="00E906B4" w:rsidRPr="00E906B4" w:rsidRDefault="00E906B4" w:rsidP="00E906B4">
            <w:pPr>
              <w:rPr>
                <w:color w:val="000000"/>
                <w:sz w:val="20"/>
                <w:szCs w:val="20"/>
              </w:rPr>
            </w:pPr>
            <w:r w:rsidRPr="00E906B4">
              <w:rPr>
                <w:color w:val="000000"/>
                <w:sz w:val="20"/>
                <w:szCs w:val="20"/>
              </w:rPr>
              <w:t>10,000 Gallons</w:t>
            </w:r>
          </w:p>
        </w:tc>
        <w:tc>
          <w:tcPr>
            <w:tcW w:w="1320" w:type="dxa"/>
            <w:tcBorders>
              <w:top w:val="nil"/>
              <w:left w:val="nil"/>
              <w:bottom w:val="nil"/>
              <w:right w:val="nil"/>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$33.46 </w:t>
            </w:r>
          </w:p>
        </w:tc>
        <w:tc>
          <w:tcPr>
            <w:tcW w:w="1872" w:type="dxa"/>
            <w:tcBorders>
              <w:top w:val="nil"/>
              <w:left w:val="nil"/>
              <w:bottom w:val="nil"/>
              <w:right w:val="nil"/>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$42.11 </w:t>
            </w:r>
          </w:p>
        </w:tc>
        <w:tc>
          <w:tcPr>
            <w:tcW w:w="2112" w:type="dxa"/>
            <w:tcBorders>
              <w:top w:val="nil"/>
              <w:left w:val="nil"/>
              <w:bottom w:val="nil"/>
              <w:right w:val="single" w:sz="8" w:space="0" w:color="auto"/>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w:t>
            </w:r>
          </w:p>
        </w:tc>
      </w:tr>
      <w:tr w:rsidR="00E906B4" w:rsidRPr="00E906B4" w:rsidTr="00E906B4">
        <w:trPr>
          <w:trHeight w:val="255"/>
          <w:jc w:val="center"/>
        </w:trPr>
        <w:tc>
          <w:tcPr>
            <w:tcW w:w="4940" w:type="dxa"/>
            <w:tcBorders>
              <w:top w:val="nil"/>
              <w:left w:val="single" w:sz="8" w:space="0" w:color="auto"/>
              <w:bottom w:val="nil"/>
              <w:right w:val="nil"/>
            </w:tcBorders>
            <w:shd w:val="clear" w:color="auto" w:fill="auto"/>
            <w:noWrap/>
            <w:vAlign w:val="center"/>
            <w:hideMark/>
          </w:tcPr>
          <w:p w:rsidR="00E906B4" w:rsidRPr="00E906B4" w:rsidRDefault="00E906B4" w:rsidP="00E906B4">
            <w:pPr>
              <w:rPr>
                <w:color w:val="000000"/>
                <w:sz w:val="20"/>
                <w:szCs w:val="20"/>
              </w:rPr>
            </w:pPr>
            <w:r w:rsidRPr="00E906B4">
              <w:rPr>
                <w:color w:val="000000"/>
                <w:sz w:val="20"/>
                <w:szCs w:val="20"/>
              </w:rPr>
              <w:t>14,000 Gallons</w:t>
            </w:r>
          </w:p>
        </w:tc>
        <w:tc>
          <w:tcPr>
            <w:tcW w:w="1320" w:type="dxa"/>
            <w:tcBorders>
              <w:top w:val="nil"/>
              <w:left w:val="nil"/>
              <w:bottom w:val="nil"/>
              <w:right w:val="nil"/>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$50.10 </w:t>
            </w:r>
          </w:p>
        </w:tc>
        <w:tc>
          <w:tcPr>
            <w:tcW w:w="1872" w:type="dxa"/>
            <w:tcBorders>
              <w:top w:val="nil"/>
              <w:left w:val="nil"/>
              <w:bottom w:val="nil"/>
              <w:right w:val="nil"/>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xml:space="preserve">$63.51 </w:t>
            </w:r>
          </w:p>
        </w:tc>
        <w:tc>
          <w:tcPr>
            <w:tcW w:w="2112" w:type="dxa"/>
            <w:tcBorders>
              <w:top w:val="nil"/>
              <w:left w:val="nil"/>
              <w:bottom w:val="nil"/>
              <w:right w:val="single" w:sz="8" w:space="0" w:color="auto"/>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w:t>
            </w:r>
          </w:p>
        </w:tc>
      </w:tr>
      <w:tr w:rsidR="00E906B4" w:rsidRPr="00E906B4" w:rsidTr="00E906B4">
        <w:trPr>
          <w:trHeight w:val="270"/>
          <w:jc w:val="center"/>
        </w:trPr>
        <w:tc>
          <w:tcPr>
            <w:tcW w:w="4940" w:type="dxa"/>
            <w:tcBorders>
              <w:top w:val="nil"/>
              <w:left w:val="single" w:sz="8" w:space="0" w:color="000000"/>
              <w:bottom w:val="single" w:sz="8" w:space="0" w:color="000000"/>
              <w:right w:val="nil"/>
            </w:tcBorders>
            <w:shd w:val="clear" w:color="auto" w:fill="auto"/>
            <w:noWrap/>
            <w:vAlign w:val="bottom"/>
            <w:hideMark/>
          </w:tcPr>
          <w:p w:rsidR="00E906B4" w:rsidRPr="00E906B4" w:rsidRDefault="00E906B4" w:rsidP="00E906B4">
            <w:pPr>
              <w:rPr>
                <w:sz w:val="20"/>
                <w:szCs w:val="20"/>
              </w:rPr>
            </w:pPr>
            <w:r w:rsidRPr="00F77095">
              <w:fldChar w:fldCharType="begin"/>
            </w:r>
            <w:r w:rsidRPr="00F77095">
              <w:instrText xml:space="preserve"> TC "</w:instrText>
            </w:r>
            <w:bookmarkStart w:id="82" w:name="_Toc91659010"/>
            <w:r w:rsidRPr="00F77095">
              <w:tab/>
              <w:instrText xml:space="preserve">Schedule No. </w:instrText>
            </w:r>
            <w:r>
              <w:instrText>4</w:instrText>
            </w:r>
            <w:r w:rsidRPr="00F77095">
              <w:instrText xml:space="preserve"> </w:instrText>
            </w:r>
            <w:r>
              <w:instrText>Monthly Water Rates</w:instrText>
            </w:r>
            <w:bookmarkEnd w:id="82"/>
            <w:r w:rsidRPr="00F77095">
              <w:instrText xml:space="preserve">" \l 1 </w:instrText>
            </w:r>
            <w:r w:rsidRPr="00F77095">
              <w:fldChar w:fldCharType="end"/>
            </w:r>
            <w:r w:rsidRPr="00E906B4">
              <w:rPr>
                <w:sz w:val="20"/>
                <w:szCs w:val="20"/>
              </w:rPr>
              <w:t> </w:t>
            </w:r>
          </w:p>
        </w:tc>
        <w:tc>
          <w:tcPr>
            <w:tcW w:w="1320" w:type="dxa"/>
            <w:tcBorders>
              <w:top w:val="nil"/>
              <w:left w:val="nil"/>
              <w:bottom w:val="single" w:sz="8" w:space="0" w:color="000000"/>
              <w:right w:val="nil"/>
            </w:tcBorders>
            <w:shd w:val="clear" w:color="auto" w:fill="auto"/>
            <w:noWrap/>
            <w:vAlign w:val="bottom"/>
            <w:hideMark/>
          </w:tcPr>
          <w:p w:rsidR="00E906B4" w:rsidRPr="00E906B4" w:rsidRDefault="00E906B4" w:rsidP="00E906B4">
            <w:pPr>
              <w:rPr>
                <w:sz w:val="20"/>
                <w:szCs w:val="20"/>
              </w:rPr>
            </w:pPr>
            <w:r w:rsidRPr="00E906B4">
              <w:rPr>
                <w:sz w:val="20"/>
                <w:szCs w:val="20"/>
              </w:rPr>
              <w:t> </w:t>
            </w:r>
          </w:p>
        </w:tc>
        <w:tc>
          <w:tcPr>
            <w:tcW w:w="1872" w:type="dxa"/>
            <w:tcBorders>
              <w:top w:val="nil"/>
              <w:left w:val="nil"/>
              <w:bottom w:val="single" w:sz="8" w:space="0" w:color="000000"/>
              <w:right w:val="nil"/>
            </w:tcBorders>
            <w:shd w:val="clear" w:color="auto" w:fill="auto"/>
            <w:noWrap/>
            <w:vAlign w:val="bottom"/>
            <w:hideMark/>
          </w:tcPr>
          <w:p w:rsidR="00E906B4" w:rsidRPr="00E906B4" w:rsidRDefault="00E906B4" w:rsidP="00E906B4">
            <w:pPr>
              <w:rPr>
                <w:sz w:val="20"/>
                <w:szCs w:val="20"/>
              </w:rPr>
            </w:pPr>
            <w:r w:rsidRPr="00E906B4">
              <w:rPr>
                <w:sz w:val="20"/>
                <w:szCs w:val="20"/>
              </w:rPr>
              <w:t> </w:t>
            </w:r>
          </w:p>
        </w:tc>
        <w:tc>
          <w:tcPr>
            <w:tcW w:w="2112" w:type="dxa"/>
            <w:tcBorders>
              <w:top w:val="nil"/>
              <w:left w:val="nil"/>
              <w:bottom w:val="single" w:sz="8" w:space="0" w:color="000000"/>
              <w:right w:val="single" w:sz="8" w:space="0" w:color="000000"/>
            </w:tcBorders>
            <w:shd w:val="clear" w:color="auto" w:fill="auto"/>
            <w:noWrap/>
            <w:vAlign w:val="center"/>
            <w:hideMark/>
          </w:tcPr>
          <w:p w:rsidR="00E906B4" w:rsidRPr="00E906B4" w:rsidRDefault="00E906B4" w:rsidP="00E906B4">
            <w:pPr>
              <w:jc w:val="right"/>
              <w:rPr>
                <w:color w:val="000000"/>
                <w:sz w:val="20"/>
                <w:szCs w:val="20"/>
              </w:rPr>
            </w:pPr>
            <w:r w:rsidRPr="00E906B4">
              <w:rPr>
                <w:color w:val="000000"/>
                <w:sz w:val="20"/>
                <w:szCs w:val="20"/>
              </w:rPr>
              <w:t> </w:t>
            </w:r>
          </w:p>
        </w:tc>
      </w:tr>
    </w:tbl>
    <w:p w:rsidR="00E06484" w:rsidRPr="00960E7D" w:rsidRDefault="00E06484" w:rsidP="009B5CD6">
      <w:pPr>
        <w:tabs>
          <w:tab w:val="left" w:pos="8625"/>
        </w:tabs>
        <w:jc w:val="center"/>
      </w:pPr>
    </w:p>
    <w:sectPr w:rsidR="00E06484" w:rsidRPr="00960E7D" w:rsidSect="00776A46">
      <w:headerReference w:type="default" r:id="rId2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EE3" w:rsidRDefault="00E54EE3">
      <w:r>
        <w:separator/>
      </w:r>
    </w:p>
  </w:endnote>
  <w:endnote w:type="continuationSeparator" w:id="0">
    <w:p w:rsidR="00E54EE3" w:rsidRDefault="00E5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5C0" w:rsidRDefault="000A35C0" w:rsidP="009B5CD6">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C7181A">
      <w:rPr>
        <w:rStyle w:val="PageNumber"/>
        <w:noProof/>
      </w:rPr>
      <w:t>28</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5C0" w:rsidRDefault="000A3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EE3" w:rsidRDefault="00E54EE3">
      <w:r>
        <w:separator/>
      </w:r>
    </w:p>
  </w:footnote>
  <w:footnote w:type="continuationSeparator" w:id="0">
    <w:p w:rsidR="00E54EE3" w:rsidRDefault="00E54EE3">
      <w:r>
        <w:continuationSeparator/>
      </w:r>
    </w:p>
  </w:footnote>
  <w:footnote w:id="1">
    <w:p w:rsidR="000A35C0" w:rsidRPr="000A10DB" w:rsidRDefault="000A35C0" w:rsidP="003A6724">
      <w:pPr>
        <w:pStyle w:val="FootnoteText"/>
        <w:rPr>
          <w:i/>
        </w:rPr>
      </w:pPr>
      <w:r w:rsidRPr="00530A34">
        <w:rPr>
          <w:rStyle w:val="FootnoteReference"/>
        </w:rPr>
        <w:footnoteRef/>
      </w:r>
      <w:r w:rsidRPr="00530A34">
        <w:t xml:space="preserve"> Order No. </w:t>
      </w:r>
      <w:r w:rsidRPr="00530A34">
        <w:rPr>
          <w:spacing w:val="-3"/>
        </w:rPr>
        <w:t>10184</w:t>
      </w:r>
      <w:r w:rsidRPr="00530A34">
        <w:t xml:space="preserve">, issued August 5, 1981, in Docket No. 810079-W, </w:t>
      </w:r>
      <w:r w:rsidRPr="000A10DB">
        <w:rPr>
          <w:i/>
        </w:rPr>
        <w:t>In re:</w:t>
      </w:r>
      <w:r>
        <w:rPr>
          <w:i/>
        </w:rPr>
        <w:t xml:space="preserve">  </w:t>
      </w:r>
      <w:r w:rsidRPr="000A10DB">
        <w:rPr>
          <w:i/>
        </w:rPr>
        <w:t>Application of Brendenwood Water System for a certificate to operate a water utility in Lake County, Florida, pursuant to Section 367.041, Florida Statutes.</w:t>
      </w:r>
    </w:p>
  </w:footnote>
  <w:footnote w:id="2">
    <w:p w:rsidR="000A35C0" w:rsidRPr="00530A34" w:rsidRDefault="000A35C0" w:rsidP="003A6724">
      <w:pPr>
        <w:pStyle w:val="FootnoteText"/>
      </w:pPr>
      <w:r w:rsidRPr="00530A34">
        <w:rPr>
          <w:rStyle w:val="FootnoteReference"/>
        </w:rPr>
        <w:footnoteRef/>
      </w:r>
      <w:r w:rsidRPr="00530A34">
        <w:t xml:space="preserve"> Order No. 22425, issued January 17, 1990, in Docket No. 891121-WU, </w:t>
      </w:r>
      <w:r w:rsidRPr="000A10DB">
        <w:rPr>
          <w:i/>
        </w:rPr>
        <w:t>In re:</w:t>
      </w:r>
      <w:r>
        <w:rPr>
          <w:i/>
        </w:rPr>
        <w:t xml:space="preserve">  </w:t>
      </w:r>
      <w:r w:rsidRPr="000A10DB">
        <w:rPr>
          <w:i/>
        </w:rPr>
        <w:t>Application for transfer of ownership of Brendenwood Water System in Lake County from Robert S. Hanks, Jerry L. Rogers and Daniel H. Judy to Paul E. Day.</w:t>
      </w:r>
    </w:p>
  </w:footnote>
  <w:footnote w:id="3">
    <w:p w:rsidR="000A35C0" w:rsidRPr="00530A34" w:rsidRDefault="000A35C0" w:rsidP="003A6724">
      <w:pPr>
        <w:pStyle w:val="FootnoteText"/>
      </w:pPr>
      <w:r w:rsidRPr="00530A34">
        <w:rPr>
          <w:rStyle w:val="FootnoteReference"/>
        </w:rPr>
        <w:footnoteRef/>
      </w:r>
      <w:r w:rsidRPr="00530A34">
        <w:t xml:space="preserve"> Or</w:t>
      </w:r>
      <w:r>
        <w:t>der No. 22398, issued January 10</w:t>
      </w:r>
      <w:r w:rsidRPr="00530A34">
        <w:t xml:space="preserve">, 1990, in Docket No. 891122-WU, </w:t>
      </w:r>
      <w:r w:rsidRPr="000A10DB">
        <w:rPr>
          <w:i/>
        </w:rPr>
        <w:t>In re:</w:t>
      </w:r>
      <w:r>
        <w:rPr>
          <w:i/>
        </w:rPr>
        <w:t xml:space="preserve">  </w:t>
      </w:r>
      <w:r w:rsidRPr="000A10DB">
        <w:rPr>
          <w:i/>
        </w:rPr>
        <w:t>Application of Brendenwood Water System for amendment of Certificate No. 339-W in Lake County.</w:t>
      </w:r>
    </w:p>
  </w:footnote>
  <w:footnote w:id="4">
    <w:p w:rsidR="000A35C0" w:rsidRPr="00530A34" w:rsidRDefault="000A35C0" w:rsidP="003A6724">
      <w:pPr>
        <w:pStyle w:val="FootnoteText"/>
      </w:pPr>
      <w:r w:rsidRPr="00530A34">
        <w:rPr>
          <w:rStyle w:val="FootnoteReference"/>
        </w:rPr>
        <w:footnoteRef/>
      </w:r>
      <w:r w:rsidRPr="00530A34">
        <w:t xml:space="preserve"> Order No. PSC-03-0118-FOF-WU, issued January 21, 2003, in Docket No. 020996-WU, </w:t>
      </w:r>
      <w:r w:rsidRPr="000A10DB">
        <w:rPr>
          <w:i/>
        </w:rPr>
        <w:t>In re:</w:t>
      </w:r>
      <w:r>
        <w:rPr>
          <w:i/>
        </w:rPr>
        <w:t xml:space="preserve">  </w:t>
      </w:r>
      <w:r w:rsidRPr="000A10DB">
        <w:rPr>
          <w:i/>
        </w:rPr>
        <w:t>Application for name change on Certificate No. 339-W in Lake County from Brendenwood Water System to Brendenwood Water Systems, Inc.</w:t>
      </w:r>
    </w:p>
  </w:footnote>
  <w:footnote w:id="5">
    <w:p w:rsidR="000A35C0" w:rsidRPr="00530A34" w:rsidRDefault="000A35C0" w:rsidP="003A6724">
      <w:pPr>
        <w:pStyle w:val="FootnoteText"/>
        <w:rPr>
          <w:u w:val="single"/>
        </w:rPr>
      </w:pPr>
      <w:r w:rsidRPr="00530A34">
        <w:rPr>
          <w:rStyle w:val="FootnoteReference"/>
        </w:rPr>
        <w:footnoteRef/>
      </w:r>
      <w:r w:rsidRPr="00530A34">
        <w:t xml:space="preserve"> Order No. PSC-04-1054-PAA-WU, issued October 27, 2004, in Docket No. 040276-WU, </w:t>
      </w:r>
      <w:r w:rsidRPr="000A10DB">
        <w:rPr>
          <w:i/>
        </w:rPr>
        <w:t>In re:</w:t>
      </w:r>
      <w:r>
        <w:rPr>
          <w:i/>
        </w:rPr>
        <w:t xml:space="preserve">  </w:t>
      </w:r>
      <w:r w:rsidRPr="000A10DB">
        <w:rPr>
          <w:i/>
        </w:rPr>
        <w:t>Application for transfer of majority organizational control of Brendenwood Water System, Inc., holder of Certificate No. 339-W in Lake County, from Paul E. Day to Deborah J. Miller.</w:t>
      </w:r>
    </w:p>
  </w:footnote>
  <w:footnote w:id="6">
    <w:p w:rsidR="000A35C0" w:rsidRPr="00530A34" w:rsidRDefault="000A35C0" w:rsidP="003A6724">
      <w:pPr>
        <w:pStyle w:val="FootnoteText"/>
      </w:pPr>
      <w:r w:rsidRPr="00530A34">
        <w:rPr>
          <w:rStyle w:val="FootnoteReference"/>
        </w:rPr>
        <w:footnoteRef/>
      </w:r>
      <w:r>
        <w:t xml:space="preserve"> </w:t>
      </w:r>
      <w:r w:rsidRPr="00530A34">
        <w:t xml:space="preserve">Order No. PSC-05-0678-FOF-WU, issued June 20, 2005, in Docket No. 050255-WU, </w:t>
      </w:r>
      <w:r w:rsidRPr="000A10DB">
        <w:rPr>
          <w:i/>
        </w:rPr>
        <w:t>In re:</w:t>
      </w:r>
      <w:r>
        <w:rPr>
          <w:i/>
        </w:rPr>
        <w:t xml:space="preserve">  </w:t>
      </w:r>
      <w:r w:rsidRPr="000A10DB">
        <w:rPr>
          <w:i/>
        </w:rPr>
        <w:t>Application for “quick take” amendment of Certificate No. 339-W in Lake County by Brendenwood</w:t>
      </w:r>
      <w:r w:rsidR="00D30FEE">
        <w:rPr>
          <w:i/>
        </w:rPr>
        <w:t xml:space="preserve"> </w:t>
      </w:r>
      <w:r w:rsidRPr="000A10DB">
        <w:rPr>
          <w:i/>
        </w:rPr>
        <w:t>Water System, Inc.</w:t>
      </w:r>
    </w:p>
  </w:footnote>
  <w:footnote w:id="7">
    <w:p w:rsidR="000A35C0" w:rsidRPr="002A00BB" w:rsidRDefault="000A35C0" w:rsidP="003A6724">
      <w:pPr>
        <w:pStyle w:val="FootnoteText"/>
        <w:rPr>
          <w:u w:val="single"/>
        </w:rPr>
      </w:pPr>
      <w:r w:rsidRPr="00530A34">
        <w:rPr>
          <w:rStyle w:val="FootnoteReference"/>
        </w:rPr>
        <w:footnoteRef/>
      </w:r>
      <w:r w:rsidRPr="00530A34">
        <w:t xml:space="preserve"> Order No. PSC-11-0552-FOF-WU, issued December 7, 2011, in Docket No. 110255-WU, </w:t>
      </w:r>
      <w:r w:rsidRPr="000A10DB">
        <w:rPr>
          <w:i/>
        </w:rPr>
        <w:t>In re:</w:t>
      </w:r>
      <w:r>
        <w:rPr>
          <w:i/>
        </w:rPr>
        <w:t xml:space="preserve">  </w:t>
      </w:r>
      <w:r w:rsidRPr="000A10DB">
        <w:rPr>
          <w:i/>
        </w:rPr>
        <w:t>Application for approval of transfer of Brendenwood Water System, Inc., and application for certificate to operate water utility in Lake County, by Brendenwood Utilities, LLC.</w:t>
      </w:r>
    </w:p>
  </w:footnote>
  <w:footnote w:id="8">
    <w:p w:rsidR="000A35C0" w:rsidRDefault="000A35C0" w:rsidP="003A6724">
      <w:pPr>
        <w:pStyle w:val="FootnoteText"/>
      </w:pPr>
      <w:r>
        <w:rPr>
          <w:rStyle w:val="FootnoteReference"/>
        </w:rPr>
        <w:footnoteRef/>
      </w:r>
      <w:r>
        <w:t xml:space="preserve"> Order No. </w:t>
      </w:r>
      <w:bookmarkStart w:id="13" w:name="OrderNo0481"/>
      <w:r>
        <w:t>PSC-2017-0481-PAA-WU</w:t>
      </w:r>
      <w:bookmarkEnd w:id="13"/>
      <w:r>
        <w:t xml:space="preserve">, issued December 21, 2017, in Docket No. 20170247-WU, </w:t>
      </w:r>
      <w:r w:rsidRPr="000D3DCC">
        <w:rPr>
          <w:i/>
        </w:rPr>
        <w:t xml:space="preserve">In re: </w:t>
      </w:r>
      <w:bookmarkStart w:id="14" w:name="SSInRe"/>
      <w:bookmarkEnd w:id="14"/>
      <w:r w:rsidRPr="000D3DCC">
        <w:rPr>
          <w:i/>
        </w:rPr>
        <w:t>Joint motion requesting Commission approval of settlement agreement by the Office of Public Counsel, Black Bear Waterworks, Inc., Brendenwood Waterworks, Inc., Brevard Waterworks, Inc., Country Walk Utilities, Inc., Harbor Waterworks, Inc., Lake Idlewild Utility Company, Raintree Waterworks, Inc., and Sunny Hills Utility Company.</w:t>
      </w:r>
    </w:p>
  </w:footnote>
  <w:footnote w:id="9">
    <w:p w:rsidR="000A35C0" w:rsidRDefault="000A35C0" w:rsidP="003A6724">
      <w:pPr>
        <w:pStyle w:val="FootnoteText"/>
      </w:pPr>
      <w:r>
        <w:rPr>
          <w:rStyle w:val="FootnoteReference"/>
        </w:rPr>
        <w:footnoteRef/>
      </w:r>
      <w:r>
        <w:t xml:space="preserve"> </w:t>
      </w:r>
      <w:r w:rsidRPr="00530A34">
        <w:t xml:space="preserve">Order No. </w:t>
      </w:r>
      <w:r w:rsidRPr="00CE137F">
        <w:t>PSC-14-0691-PAA-WU</w:t>
      </w:r>
      <w:r w:rsidRPr="00530A34">
        <w:t xml:space="preserve">, issued </w:t>
      </w:r>
      <w:r>
        <w:t>December 15, 2014</w:t>
      </w:r>
      <w:r w:rsidRPr="00530A34">
        <w:t xml:space="preserve">, in Docket No. </w:t>
      </w:r>
      <w:r w:rsidRPr="00CE137F">
        <w:t>140120-WU</w:t>
      </w:r>
      <w:r w:rsidRPr="00530A34">
        <w:t xml:space="preserve">, </w:t>
      </w:r>
      <w:r w:rsidRPr="00CE137F">
        <w:rPr>
          <w:i/>
        </w:rPr>
        <w:t>In re: Application for approval of transfer of Certificate No. 339-W from Brendenwood Utilities, LLC. to Brendenwood Waterworks, Inc. in Lake County.</w:t>
      </w:r>
    </w:p>
  </w:footnote>
  <w:footnote w:id="10">
    <w:p w:rsidR="000A35C0" w:rsidRPr="00814FED" w:rsidRDefault="000A35C0" w:rsidP="00C42B27">
      <w:pPr>
        <w:pStyle w:val="FootnoteText"/>
      </w:pPr>
      <w:r>
        <w:rPr>
          <w:rStyle w:val="FootnoteReference"/>
        </w:rPr>
        <w:footnoteRef/>
      </w:r>
      <w:r w:rsidRPr="00814FED">
        <w:t xml:space="preserve">Order No. PSC-2014-0691-PAA-WU, issued December 15, 2014, in Docket No. 20140120-WU, </w:t>
      </w:r>
      <w:r w:rsidRPr="00814FED">
        <w:rPr>
          <w:i/>
        </w:rPr>
        <w:t>In re: Application for approval of transfer of Certificate No. 339-W from Brendenwood Utilities, LLC., to Brendenwood Waterwork</w:t>
      </w:r>
      <w:r>
        <w:rPr>
          <w:i/>
        </w:rPr>
        <w:t xml:space="preserve">s,  </w:t>
      </w:r>
      <w:r w:rsidRPr="00814FED">
        <w:rPr>
          <w:i/>
        </w:rPr>
        <w:t>Inc. in Lake County.</w:t>
      </w:r>
      <w:r w:rsidRPr="00814FED">
        <w:t xml:space="preserve"> </w:t>
      </w:r>
    </w:p>
  </w:footnote>
  <w:footnote w:id="11">
    <w:p w:rsidR="000A35C0" w:rsidRPr="00B11210" w:rsidRDefault="000A35C0" w:rsidP="00C42B27">
      <w:pPr>
        <w:pStyle w:val="FootnoteText"/>
        <w:rPr>
          <w:i/>
        </w:rPr>
      </w:pPr>
      <w:r>
        <w:rPr>
          <w:rStyle w:val="FootnoteReference"/>
        </w:rPr>
        <w:footnoteRef/>
      </w:r>
      <w:r w:rsidR="00B11210" w:rsidRPr="00B11210">
        <w:rPr>
          <w:i/>
        </w:rPr>
        <w:t>Id</w:t>
      </w:r>
      <w:r w:rsidRPr="00B11210">
        <w:rPr>
          <w:i/>
        </w:rPr>
        <w:t>.</w:t>
      </w:r>
    </w:p>
  </w:footnote>
  <w:footnote w:id="12">
    <w:p w:rsidR="000A35C0" w:rsidRPr="00B11210" w:rsidRDefault="000A35C0" w:rsidP="00C42B27">
      <w:pPr>
        <w:pStyle w:val="FootnoteText"/>
        <w:rPr>
          <w:i/>
        </w:rPr>
      </w:pPr>
      <w:r>
        <w:rPr>
          <w:rStyle w:val="FootnoteReference"/>
        </w:rPr>
        <w:footnoteRef/>
      </w:r>
      <w:r w:rsidR="00B11210" w:rsidRPr="00B11210">
        <w:rPr>
          <w:i/>
        </w:rPr>
        <w:t>Id.</w:t>
      </w:r>
      <w:r w:rsidRPr="00B11210">
        <w:rPr>
          <w:i/>
        </w:rPr>
        <w:t>.</w:t>
      </w:r>
    </w:p>
  </w:footnote>
  <w:footnote w:id="13">
    <w:p w:rsidR="000A35C0" w:rsidRDefault="000A35C0" w:rsidP="00C42B27">
      <w:pPr>
        <w:pStyle w:val="FootnoteText"/>
      </w:pPr>
      <w:r>
        <w:rPr>
          <w:rStyle w:val="FootnoteReference"/>
        </w:rPr>
        <w:footnoteRef/>
      </w:r>
      <w:r>
        <w:t>Order No. PSC-2014-0691-PAA-WU.</w:t>
      </w:r>
    </w:p>
  </w:footnote>
  <w:footnote w:id="14">
    <w:p w:rsidR="000A35C0" w:rsidRPr="00503ED3" w:rsidRDefault="000A35C0" w:rsidP="00C42B27">
      <w:pPr>
        <w:pStyle w:val="FootnoteText"/>
        <w:rPr>
          <w:i/>
        </w:rPr>
      </w:pPr>
      <w:r w:rsidRPr="00B7594E">
        <w:rPr>
          <w:rStyle w:val="FootnoteReference"/>
        </w:rPr>
        <w:footnoteRef/>
      </w:r>
      <w:r w:rsidRPr="00B7594E">
        <w:t xml:space="preserve">Order No. PSC-2021-0244-PAA-WS, issued July 6, 2021, in Docket No. 20210006-WS, </w:t>
      </w:r>
      <w:r w:rsidRPr="00B7594E">
        <w:rPr>
          <w:i/>
        </w:rPr>
        <w:t>In re: Water and wastewater industry annual reestablishment of authorized range of return on common equity for water and wastewater utilities pursuant to Section 367.081</w:t>
      </w:r>
      <w:r>
        <w:rPr>
          <w:i/>
        </w:rPr>
        <w:t>(4)(f)</w:t>
      </w:r>
      <w:r w:rsidRPr="00B7594E">
        <w:rPr>
          <w:i/>
        </w:rPr>
        <w:t>, F.S.</w:t>
      </w:r>
    </w:p>
  </w:footnote>
  <w:footnote w:id="15">
    <w:p w:rsidR="000A35C0" w:rsidRDefault="000A35C0" w:rsidP="00AC18AE">
      <w:pPr>
        <w:pStyle w:val="FootnoteText"/>
      </w:pPr>
      <w:r>
        <w:rPr>
          <w:rStyle w:val="FootnoteReference"/>
        </w:rPr>
        <w:footnoteRef/>
      </w:r>
      <w:r>
        <w:t xml:space="preserve"> 2018 through 2020</w:t>
      </w:r>
    </w:p>
  </w:footnote>
  <w:footnote w:id="16">
    <w:p w:rsidR="000A35C0" w:rsidRDefault="000A35C0" w:rsidP="00AC18AE">
      <w:pPr>
        <w:pStyle w:val="FootnoteText"/>
      </w:pPr>
      <w:r>
        <w:rPr>
          <w:rStyle w:val="FootnoteReference"/>
        </w:rPr>
        <w:footnoteRef/>
      </w:r>
      <w:r>
        <w:t xml:space="preserve">Document No. 07319-2019, filed on August 9, 2019.       </w:t>
      </w:r>
    </w:p>
  </w:footnote>
  <w:footnote w:id="17">
    <w:p w:rsidR="000A35C0" w:rsidRPr="001418B7" w:rsidRDefault="000A35C0" w:rsidP="00AC18AE">
      <w:pPr>
        <w:jc w:val="both"/>
        <w:rPr>
          <w:i/>
        </w:rPr>
      </w:pPr>
      <w:r>
        <w:rPr>
          <w:rStyle w:val="FootnoteReference"/>
        </w:rPr>
        <w:footnoteRef/>
      </w:r>
      <w:r w:rsidRPr="00B722C4">
        <w:rPr>
          <w:sz w:val="20"/>
          <w:szCs w:val="20"/>
        </w:rPr>
        <w:t xml:space="preserve">Order No. PSC-2017-0334-PAA-WS, Issued August 23, 2017, in Docket No. 20160222-WS, </w:t>
      </w:r>
      <w:r w:rsidRPr="00B722C4">
        <w:rPr>
          <w:i/>
          <w:sz w:val="20"/>
          <w:szCs w:val="20"/>
        </w:rPr>
        <w:t>In re: Application for staff-assisted rate case in Highlands County by LP Waterworks, Inc.</w:t>
      </w:r>
      <w:r w:rsidRPr="00B722C4">
        <w:rPr>
          <w:sz w:val="20"/>
          <w:szCs w:val="20"/>
        </w:rPr>
        <w:t xml:space="preserve">; Order No. PSC-2017-0428-PAA-WS, Issued November 7, 2017, in Docket No. 20160195-WS, </w:t>
      </w:r>
      <w:r w:rsidRPr="00B722C4">
        <w:rPr>
          <w:i/>
          <w:sz w:val="20"/>
          <w:szCs w:val="20"/>
        </w:rPr>
        <w:t>In re: Application for staff-assisted rate case in Lake County by Lakeside Waterworks, Inc.;</w:t>
      </w:r>
      <w:r w:rsidRPr="00B722C4">
        <w:rPr>
          <w:sz w:val="20"/>
          <w:szCs w:val="20"/>
        </w:rPr>
        <w:t xml:space="preserve"> Order No. PSC-2018-0552-PAA-WU, Issued November 19, 2018, in Docket No. 20180022-WU, </w:t>
      </w:r>
      <w:r w:rsidRPr="00B722C4">
        <w:rPr>
          <w:i/>
          <w:sz w:val="20"/>
          <w:szCs w:val="20"/>
        </w:rPr>
        <w:t>In re: Application for staff-assisted rate case in Lake County by Pine Harbour Waterworks, Inc.;</w:t>
      </w:r>
      <w:r w:rsidRPr="00B722C4">
        <w:rPr>
          <w:sz w:val="20"/>
          <w:szCs w:val="20"/>
        </w:rPr>
        <w:t xml:space="preserve"> Order No. PSC-2018-0553-PAA-WU, Issued November 19, 2018, in Docket No. 20180021, WU, </w:t>
      </w:r>
      <w:r w:rsidRPr="00B722C4">
        <w:rPr>
          <w:i/>
          <w:sz w:val="20"/>
          <w:szCs w:val="20"/>
        </w:rPr>
        <w:t>In re: Application for staff-assisted rate case in Highlands County by Country Walk Utilities, Inc.;</w:t>
      </w:r>
      <w:r w:rsidRPr="00B722C4">
        <w:rPr>
          <w:sz w:val="20"/>
          <w:szCs w:val="20"/>
        </w:rPr>
        <w:t xml:space="preserve"> Order No. PSC-2020-0086-PAA-WU, Issued March 24, 2020, in Docket No. 20190114-WU, </w:t>
      </w:r>
      <w:r w:rsidRPr="00B722C4">
        <w:rPr>
          <w:i/>
          <w:sz w:val="20"/>
          <w:szCs w:val="20"/>
        </w:rPr>
        <w:t xml:space="preserve">In re: Application for staff-assisted rate case in Alachua County, and request for interim rate increase by Gator Waterworks, Inc.; </w:t>
      </w:r>
      <w:r w:rsidRPr="00B722C4">
        <w:rPr>
          <w:sz w:val="20"/>
          <w:szCs w:val="20"/>
        </w:rPr>
        <w:t xml:space="preserve">Order No. PSC-2020-0088-PAA-SU, Issued March 25, 2020, in Docket No. 20190116-SU, </w:t>
      </w:r>
      <w:r w:rsidRPr="00B722C4">
        <w:rPr>
          <w:i/>
          <w:sz w:val="20"/>
          <w:szCs w:val="20"/>
        </w:rPr>
        <w:t>In re: Application for staff-assisted rate case in Brevard County, and request for interim rate increase by Merritt Island Utility Company</w:t>
      </w:r>
      <w:r w:rsidRPr="00B722C4">
        <w:rPr>
          <w:sz w:val="20"/>
          <w:szCs w:val="20"/>
        </w:rPr>
        <w:t xml:space="preserve">; Order No. PSC-2020-0087-PAA-WS, Issued March 25, 2020, in Docket No. 20190125-WS, </w:t>
      </w:r>
      <w:r w:rsidRPr="00B722C4">
        <w:rPr>
          <w:i/>
          <w:sz w:val="20"/>
          <w:szCs w:val="20"/>
        </w:rPr>
        <w:t>In re: Application for staff-assisted rate case in Sumter County by The Woods Utility Company</w:t>
      </w:r>
      <w:r>
        <w:rPr>
          <w:sz w:val="20"/>
          <w:szCs w:val="20"/>
        </w:rPr>
        <w:t xml:space="preserve">; Order No. PSC-2020-0168-PAA-WS, Issued May 22, 2020, in Docket No. 20190166-WS, </w:t>
      </w:r>
      <w:r>
        <w:rPr>
          <w:i/>
          <w:sz w:val="20"/>
          <w:szCs w:val="20"/>
        </w:rPr>
        <w:t>In re: Application for increase in water rates in Highlands County by HC Waterworks, Inc.</w:t>
      </w:r>
    </w:p>
  </w:footnote>
  <w:footnote w:id="18">
    <w:p w:rsidR="000A35C0" w:rsidRDefault="000A35C0" w:rsidP="00AC18AE">
      <w:pPr>
        <w:pStyle w:val="FootnoteText"/>
      </w:pPr>
      <w:r>
        <w:rPr>
          <w:rStyle w:val="FootnoteReference"/>
        </w:rPr>
        <w:footnoteRef/>
      </w:r>
      <w:r>
        <w:t xml:space="preserve">Document No. 12218-2021, filed on October 20, 2021. </w:t>
      </w:r>
    </w:p>
  </w:footnote>
  <w:footnote w:id="19">
    <w:p w:rsidR="000A35C0" w:rsidRPr="00E72EFC" w:rsidRDefault="000A35C0" w:rsidP="00AC18AE">
      <w:pPr>
        <w:pStyle w:val="FootnoteText"/>
      </w:pPr>
      <w:r w:rsidRPr="00E72EFC">
        <w:rPr>
          <w:rStyle w:val="FootnoteReference"/>
        </w:rPr>
        <w:footnoteRef/>
      </w:r>
      <w:r w:rsidRPr="00E72EFC">
        <w:t xml:space="preserve">Document No. 03705-2021, filed on April 26, 2021. </w:t>
      </w:r>
    </w:p>
  </w:footnote>
  <w:footnote w:id="20">
    <w:p w:rsidR="000A35C0" w:rsidRDefault="000A35C0" w:rsidP="00AC18AE">
      <w:pPr>
        <w:pStyle w:val="FootnoteText"/>
      </w:pPr>
      <w:r>
        <w:rPr>
          <w:rStyle w:val="FootnoteReference"/>
        </w:rPr>
        <w:footnoteRef/>
      </w:r>
      <w:r>
        <w:t xml:space="preserve">https://www.irs.gov/newsroom/irs-issues-standard-mileage-rates-for-2021 </w:t>
      </w:r>
    </w:p>
  </w:footnote>
  <w:footnote w:id="21">
    <w:p w:rsidR="000A35C0" w:rsidRDefault="000A35C0" w:rsidP="00AC18AE">
      <w:pPr>
        <w:pStyle w:val="FootnoteText"/>
      </w:pPr>
      <w:r>
        <w:rPr>
          <w:rStyle w:val="FootnoteReference"/>
        </w:rPr>
        <w:footnoteRef/>
      </w:r>
      <w:r>
        <w:t xml:space="preserve">Document No. 12181-2021, filed on October 18, 2021. </w:t>
      </w:r>
    </w:p>
  </w:footnote>
  <w:footnote w:id="22">
    <w:p w:rsidR="000A35C0" w:rsidRDefault="000A35C0" w:rsidP="00AC18AE">
      <w:pPr>
        <w:pStyle w:val="FootnoteText"/>
      </w:pPr>
      <w:r>
        <w:rPr>
          <w:rStyle w:val="FootnoteReference"/>
        </w:rPr>
        <w:footnoteRef/>
      </w:r>
      <w:r>
        <w:t>Document No. 12441-2021, filed October 28, 2021.</w:t>
      </w:r>
    </w:p>
  </w:footnote>
  <w:footnote w:id="23">
    <w:p w:rsidR="000A35C0" w:rsidRDefault="000A35C0" w:rsidP="00805696">
      <w:pPr>
        <w:pStyle w:val="FootnoteText"/>
      </w:pPr>
      <w:r>
        <w:rPr>
          <w:rStyle w:val="FootnoteReference"/>
        </w:rPr>
        <w:footnoteRef/>
      </w:r>
      <w:r>
        <w:t xml:space="preserve"> Average person per household was obtained from www.census.gov/quickfacts/lakecountyflorida.</w:t>
      </w:r>
    </w:p>
  </w:footnote>
  <w:footnote w:id="24">
    <w:p w:rsidR="000A35C0" w:rsidRDefault="000A35C0" w:rsidP="00805696">
      <w:pPr>
        <w:pStyle w:val="FootnoteText"/>
        <w:rPr>
          <w:rFonts w:eastAsiaTheme="minorHAnsi"/>
        </w:rPr>
      </w:pPr>
      <w:r>
        <w:rPr>
          <w:rStyle w:val="FootnoteReference"/>
        </w:rPr>
        <w:footnoteRef/>
      </w:r>
      <w:r w:rsidR="00EB5B0D">
        <w:rPr>
          <w:rFonts w:ascii="TimesNewRomanPSMT" w:hAnsi="TimesNewRomanPSMT" w:cs="TimesNewRomanPSMT"/>
        </w:rPr>
        <w:t>Order N</w:t>
      </w:r>
      <w:r w:rsidR="00EB5B0D" w:rsidRPr="006D741D">
        <w:rPr>
          <w:rFonts w:asciiTheme="minorHAnsi" w:hAnsiTheme="minorHAnsi" w:cstheme="minorHAnsi"/>
          <w:sz w:val="24"/>
          <w:szCs w:val="24"/>
        </w:rPr>
        <w:t xml:space="preserve">o. </w:t>
      </w:r>
      <w:r w:rsidR="00EB5B0D" w:rsidRPr="006D741D">
        <w:rPr>
          <w:color w:val="333333"/>
        </w:rPr>
        <w:t>PSC-2021-0320-PAA-WU</w:t>
      </w:r>
      <w:r w:rsidR="00EB5B0D">
        <w:rPr>
          <w:color w:val="333333"/>
        </w:rPr>
        <w:t>, issued August 23, 2021,</w:t>
      </w:r>
      <w:r w:rsidR="00EB5B0D" w:rsidRPr="006D741D">
        <w:rPr>
          <w:rFonts w:asciiTheme="minorHAnsi" w:hAnsiTheme="minorHAnsi" w:cstheme="minorHAnsi"/>
          <w:color w:val="333333"/>
          <w:sz w:val="24"/>
          <w:szCs w:val="24"/>
        </w:rPr>
        <w:t xml:space="preserve"> </w:t>
      </w:r>
      <w:r w:rsidR="00EB5B0D">
        <w:rPr>
          <w:rFonts w:ascii="TimesNewRomanPSMT" w:hAnsi="TimesNewRomanPSMT" w:cs="TimesNewRomanPSMT"/>
        </w:rPr>
        <w:t xml:space="preserve">in Docket No. 20200230, </w:t>
      </w:r>
      <w:r w:rsidR="00EB5B0D" w:rsidRPr="006D741D">
        <w:rPr>
          <w:rFonts w:ascii="TimesNewRomanPSMT" w:hAnsi="TimesNewRomanPSMT" w:cs="TimesNewRomanPSMT"/>
          <w:i/>
        </w:rPr>
        <w:t>In re: Application for In re: Application for staff-assisted rate case in Manatee County by Sunny Shores Utilities, LLC.</w:t>
      </w:r>
      <w:r w:rsidR="00EB5B0D">
        <w:rPr>
          <w:rFonts w:ascii="TimesNewRomanPSMT" w:hAnsi="TimesNewRomanPSMT" w:cs="TimesNewRomanPSMT"/>
        </w:rPr>
        <w:t xml:space="preserve">, and Order No. PSC-2018-0446-FOF-SU, issued September 4, 2018, in Docket No. 20170141-SU, </w:t>
      </w:r>
      <w:r w:rsidR="00EB5B0D">
        <w:rPr>
          <w:rFonts w:ascii="TimesNewRomanPS-ItalicMT" w:hAnsi="TimesNewRomanPS-ItalicMT" w:cs="TimesNewRomanPS-ItalicMT"/>
          <w:i/>
          <w:iCs/>
        </w:rPr>
        <w:t>In re: Application for increase in wastewater rates in Monroe County by K W Resort Utilities Corp.</w:t>
      </w:r>
    </w:p>
  </w:footnote>
  <w:footnote w:id="25">
    <w:p w:rsidR="000A35C0" w:rsidRDefault="000A35C0" w:rsidP="00805696">
      <w:pPr>
        <w:pStyle w:val="FootnoteText"/>
      </w:pPr>
      <w:r>
        <w:rPr>
          <w:rStyle w:val="FootnoteReference"/>
        </w:rPr>
        <w:footnoteRef/>
      </w:r>
      <w:r>
        <w:t xml:space="preserve">Order No. </w:t>
      </w:r>
      <w:bookmarkStart w:id="29" w:name="OrderNo0201"/>
      <w:r>
        <w:t>PSC-2021-0201-FOF-WS</w:t>
      </w:r>
      <w:bookmarkEnd w:id="29"/>
      <w:r>
        <w:t xml:space="preserve">, issued June 4, 2020, in Docket No. 20200240-WS, </w:t>
      </w:r>
      <w:r w:rsidRPr="00D41B86">
        <w:rPr>
          <w:i/>
        </w:rPr>
        <w:t>In re: Proposed amendment of Rule 25-30.460, F.A.C., Application for Miscellaneous Service Charges.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5C0" w:rsidRDefault="000A35C0" w:rsidP="00220732">
    <w:pPr>
      <w:pStyle w:val="Header"/>
      <w:tabs>
        <w:tab w:val="clear" w:pos="4320"/>
        <w:tab w:val="clear" w:pos="8640"/>
        <w:tab w:val="right" w:pos="9360"/>
      </w:tabs>
    </w:pPr>
    <w:bookmarkStart w:id="15" w:name="DocketLabel"/>
    <w:r>
      <w:t>Docket No.</w:t>
    </w:r>
    <w:bookmarkEnd w:id="15"/>
    <w:r>
      <w:t xml:space="preserve"> </w:t>
    </w:r>
    <w:bookmarkStart w:id="16" w:name="DocketList"/>
    <w:r>
      <w:t>20210055-WU</w:t>
    </w:r>
    <w:bookmarkEnd w:id="16"/>
  </w:p>
  <w:p w:rsidR="000A35C0" w:rsidRDefault="000A35C0">
    <w:pPr>
      <w:pStyle w:val="Header"/>
    </w:pPr>
    <w:r>
      <w:t xml:space="preserve">Date: </w:t>
    </w:r>
    <w:r w:rsidR="00E54EE3">
      <w:fldChar w:fldCharType="begin"/>
    </w:r>
    <w:r w:rsidR="00E54EE3">
      <w:instrText xml:space="preserve"> REF FilingDate </w:instrText>
    </w:r>
    <w:r w:rsidR="00E54EE3">
      <w:fldChar w:fldCharType="separate"/>
    </w:r>
    <w:r w:rsidR="004D1728">
      <w:t>December 29, 2021</w:t>
    </w:r>
    <w:r w:rsidR="00E54EE3">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5C0" w:rsidRDefault="00E54EE3" w:rsidP="00776A46">
    <w:pPr>
      <w:pStyle w:val="Header"/>
      <w:tabs>
        <w:tab w:val="clear" w:pos="4320"/>
        <w:tab w:val="clear" w:pos="8640"/>
        <w:tab w:val="right" w:pos="9360"/>
      </w:tabs>
      <w:jc w:val="right"/>
    </w:pPr>
    <w:r>
      <w:fldChar w:fldCharType="begin"/>
    </w:r>
    <w:r>
      <w:instrText xml:space="preserve"> REF DocketLabel \* MERGEFORMAT </w:instrText>
    </w:r>
    <w:r>
      <w:fldChar w:fldCharType="separate"/>
    </w:r>
    <w:r w:rsidR="004D1728">
      <w:t>Docket No.</w:t>
    </w:r>
    <w:r>
      <w:fldChar w:fldCharType="end"/>
    </w:r>
    <w:r w:rsidR="000A35C0">
      <w:t xml:space="preserve"> </w:t>
    </w:r>
    <w:r>
      <w:fldChar w:fldCharType="begin"/>
    </w:r>
    <w:r>
      <w:instrText xml:space="preserve"> REF DocketList \* MERGEFORMAT </w:instrText>
    </w:r>
    <w:r>
      <w:fldChar w:fldCharType="separate"/>
    </w:r>
    <w:r w:rsidR="004D1728">
      <w:t>20210055-WU</w:t>
    </w:r>
    <w:r>
      <w:fldChar w:fldCharType="end"/>
    </w:r>
    <w:r w:rsidR="000A35C0">
      <w:tab/>
      <w:t xml:space="preserve"> Schedule No. 4</w:t>
    </w:r>
  </w:p>
  <w:p w:rsidR="000A35C0" w:rsidRDefault="000A35C0" w:rsidP="00776A46">
    <w:pPr>
      <w:pStyle w:val="Header"/>
      <w:tabs>
        <w:tab w:val="clear" w:pos="4320"/>
        <w:tab w:val="clear" w:pos="8640"/>
        <w:tab w:val="right" w:pos="9360"/>
      </w:tabs>
      <w:jc w:val="right"/>
    </w:pPr>
    <w:r>
      <w:t xml:space="preserve">Date: </w:t>
    </w:r>
    <w:r w:rsidR="00E54EE3">
      <w:fldChar w:fldCharType="begin"/>
    </w:r>
    <w:r w:rsidR="00E54EE3">
      <w:instrText xml:space="preserve"> REF FilingDate  \* MERGEFORMAT </w:instrText>
    </w:r>
    <w:r w:rsidR="00E54EE3">
      <w:fldChar w:fldCharType="separate"/>
    </w:r>
    <w:r w:rsidR="004D1728">
      <w:t>December 29, 2021</w:t>
    </w:r>
    <w:r w:rsidR="00E54EE3">
      <w:fldChar w:fldCharType="end"/>
    </w:r>
    <w:r>
      <w:tab/>
      <w:t>Page 1 of 1</w:t>
    </w:r>
  </w:p>
  <w:p w:rsidR="000A35C0" w:rsidRPr="00960E7D" w:rsidRDefault="000A35C0" w:rsidP="00776A4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5C0" w:rsidRDefault="000A35C0" w:rsidP="00220732">
    <w:pPr>
      <w:pStyle w:val="Header"/>
      <w:tabs>
        <w:tab w:val="clear" w:pos="4320"/>
        <w:tab w:val="clear" w:pos="8640"/>
        <w:tab w:val="right" w:pos="9360"/>
      </w:tabs>
    </w:pPr>
    <w:r>
      <w:fldChar w:fldCharType="begin"/>
    </w:r>
    <w:r>
      <w:instrText xml:space="preserve"> REF DocketLabel</w:instrText>
    </w:r>
    <w:r>
      <w:fldChar w:fldCharType="separate"/>
    </w:r>
    <w:r w:rsidR="004D1728">
      <w:t>Docket No.</w:t>
    </w:r>
    <w:r>
      <w:fldChar w:fldCharType="end"/>
    </w:r>
    <w:r>
      <w:t xml:space="preserve"> </w:t>
    </w:r>
    <w:r>
      <w:fldChar w:fldCharType="begin"/>
    </w:r>
    <w:r>
      <w:instrText xml:space="preserve"> REF DocketList</w:instrText>
    </w:r>
    <w:r>
      <w:fldChar w:fldCharType="separate"/>
    </w:r>
    <w:r w:rsidR="004D1728">
      <w:t>20210055-WU</w:t>
    </w:r>
    <w:r>
      <w:fldChar w:fldCharType="end"/>
    </w:r>
    <w:r>
      <w:tab/>
      <w:t xml:space="preserve">Issue </w:t>
    </w:r>
    <w:r w:rsidR="00E54EE3">
      <w:fldChar w:fldCharType="begin"/>
    </w:r>
    <w:r w:rsidR="00E54EE3">
      <w:instrText xml:space="preserve"> Seq Issue \c \* Arabic </w:instrText>
    </w:r>
    <w:r w:rsidR="00E54EE3">
      <w:fldChar w:fldCharType="separate"/>
    </w:r>
    <w:r w:rsidR="00C7181A">
      <w:rPr>
        <w:noProof/>
      </w:rPr>
      <w:t>15</w:t>
    </w:r>
    <w:r w:rsidR="00E54EE3">
      <w:rPr>
        <w:noProof/>
      </w:rPr>
      <w:fldChar w:fldCharType="end"/>
    </w:r>
  </w:p>
  <w:p w:rsidR="000A35C0" w:rsidRDefault="000A35C0">
    <w:pPr>
      <w:pStyle w:val="Header"/>
    </w:pPr>
    <w:r>
      <w:t xml:space="preserve">Date: </w:t>
    </w:r>
    <w:r w:rsidR="00E54EE3">
      <w:fldChar w:fldCharType="begin"/>
    </w:r>
    <w:r w:rsidR="00E54EE3">
      <w:instrText xml:space="preserve"> REF FilingDate </w:instrText>
    </w:r>
    <w:r w:rsidR="00E54EE3">
      <w:fldChar w:fldCharType="separate"/>
    </w:r>
    <w:r w:rsidR="004D1728">
      <w:t>December 29, 2021</w:t>
    </w:r>
    <w:r w:rsidR="00E54EE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5C0" w:rsidRDefault="000A35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5C0" w:rsidRDefault="000A35C0" w:rsidP="00960E7D">
    <w:pPr>
      <w:pStyle w:val="Header"/>
      <w:tabs>
        <w:tab w:val="clear" w:pos="4320"/>
        <w:tab w:val="clear" w:pos="8640"/>
        <w:tab w:val="right" w:pos="9360"/>
      </w:tabs>
    </w:pPr>
    <w:r>
      <w:fldChar w:fldCharType="begin"/>
    </w:r>
    <w:r>
      <w:instrText xml:space="preserve"> REF DocketLabel</w:instrText>
    </w:r>
    <w:r>
      <w:fldChar w:fldCharType="separate"/>
    </w:r>
    <w:r w:rsidR="004D1728">
      <w:t>Docket No.</w:t>
    </w:r>
    <w:r>
      <w:fldChar w:fldCharType="end"/>
    </w:r>
    <w:r>
      <w:t xml:space="preserve"> </w:t>
    </w:r>
    <w:r>
      <w:fldChar w:fldCharType="begin"/>
    </w:r>
    <w:r>
      <w:instrText xml:space="preserve"> REF DocketList</w:instrText>
    </w:r>
    <w:r>
      <w:fldChar w:fldCharType="separate"/>
    </w:r>
    <w:r w:rsidR="004D1728">
      <w:t>20210055-WU</w:t>
    </w:r>
    <w:r>
      <w:fldChar w:fldCharType="end"/>
    </w:r>
    <w:r>
      <w:tab/>
      <w:t>Schedule No. 1-A</w:t>
    </w:r>
  </w:p>
  <w:p w:rsidR="000A35C0" w:rsidRPr="00960E7D" w:rsidRDefault="000A35C0" w:rsidP="00960E7D">
    <w:pPr>
      <w:pStyle w:val="Header"/>
      <w:tabs>
        <w:tab w:val="clear" w:pos="4320"/>
        <w:tab w:val="clear" w:pos="8640"/>
        <w:tab w:val="right" w:pos="9360"/>
      </w:tabs>
      <w:jc w:val="center"/>
    </w:pPr>
    <w:r>
      <w:t xml:space="preserve">Date: </w:t>
    </w:r>
    <w:r w:rsidR="00E54EE3">
      <w:fldChar w:fldCharType="begin"/>
    </w:r>
    <w:r w:rsidR="00E54EE3">
      <w:instrText xml:space="preserve"> REF FilingDate </w:instrText>
    </w:r>
    <w:r w:rsidR="00E54EE3">
      <w:fldChar w:fldCharType="separate"/>
    </w:r>
    <w:r w:rsidR="004D1728">
      <w:t>December 29, 2021</w:t>
    </w:r>
    <w:r w:rsidR="00E54EE3">
      <w:fldChar w:fldCharType="end"/>
    </w:r>
    <w:r>
      <w:tab/>
      <w:t>Page 1 of 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5C0" w:rsidRDefault="000A35C0" w:rsidP="00960E7D">
    <w:pPr>
      <w:pStyle w:val="Header"/>
      <w:tabs>
        <w:tab w:val="clear" w:pos="4320"/>
        <w:tab w:val="clear" w:pos="8640"/>
        <w:tab w:val="right" w:pos="9360"/>
      </w:tabs>
    </w:pPr>
    <w:r>
      <w:fldChar w:fldCharType="begin"/>
    </w:r>
    <w:r>
      <w:instrText xml:space="preserve"> REF DocketLabel</w:instrText>
    </w:r>
    <w:r>
      <w:fldChar w:fldCharType="separate"/>
    </w:r>
    <w:r w:rsidR="004D1728">
      <w:t>Docket No.</w:t>
    </w:r>
    <w:r>
      <w:fldChar w:fldCharType="end"/>
    </w:r>
    <w:r>
      <w:t xml:space="preserve"> </w:t>
    </w:r>
    <w:r>
      <w:fldChar w:fldCharType="begin"/>
    </w:r>
    <w:r>
      <w:instrText xml:space="preserve"> REF DocketList</w:instrText>
    </w:r>
    <w:r>
      <w:fldChar w:fldCharType="separate"/>
    </w:r>
    <w:r w:rsidR="004D1728">
      <w:t>20210055-WU</w:t>
    </w:r>
    <w:r>
      <w:fldChar w:fldCharType="end"/>
    </w:r>
    <w:r>
      <w:tab/>
      <w:t>Schedule No. 1-B</w:t>
    </w:r>
  </w:p>
  <w:p w:rsidR="000A35C0" w:rsidRPr="00960E7D" w:rsidRDefault="000A35C0" w:rsidP="00960E7D">
    <w:pPr>
      <w:pStyle w:val="Header"/>
      <w:tabs>
        <w:tab w:val="clear" w:pos="4320"/>
        <w:tab w:val="clear" w:pos="8640"/>
        <w:tab w:val="right" w:pos="9360"/>
      </w:tabs>
      <w:jc w:val="center"/>
    </w:pPr>
    <w:r>
      <w:t xml:space="preserve">Date: </w:t>
    </w:r>
    <w:r w:rsidR="00E54EE3">
      <w:fldChar w:fldCharType="begin"/>
    </w:r>
    <w:r w:rsidR="00E54EE3">
      <w:instrText xml:space="preserve"> REF FilingDate </w:instrText>
    </w:r>
    <w:r w:rsidR="00E54EE3">
      <w:fldChar w:fldCharType="separate"/>
    </w:r>
    <w:r w:rsidR="004D1728">
      <w:t>December 29, 2021</w:t>
    </w:r>
    <w:r w:rsidR="00E54EE3">
      <w:fldChar w:fldCharType="end"/>
    </w:r>
    <w:r>
      <w:tab/>
      <w:t>Page 2 of 2</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5C0" w:rsidRDefault="00E54EE3" w:rsidP="009B5CD6">
    <w:pPr>
      <w:pStyle w:val="Header"/>
      <w:tabs>
        <w:tab w:val="clear" w:pos="4320"/>
        <w:tab w:val="clear" w:pos="8640"/>
        <w:tab w:val="right" w:pos="9360"/>
      </w:tabs>
      <w:jc w:val="center"/>
    </w:pPr>
    <w:r>
      <w:fldChar w:fldCharType="begin"/>
    </w:r>
    <w:r>
      <w:instrText xml:space="preserve"> REF DocketLabel \* MERGEFORMAT </w:instrText>
    </w:r>
    <w:r>
      <w:fldChar w:fldCharType="separate"/>
    </w:r>
    <w:r w:rsidR="004D1728">
      <w:t>Docket No.</w:t>
    </w:r>
    <w:r>
      <w:fldChar w:fldCharType="end"/>
    </w:r>
    <w:r w:rsidR="000A35C0">
      <w:t xml:space="preserve"> </w:t>
    </w:r>
    <w:r>
      <w:fldChar w:fldCharType="begin"/>
    </w:r>
    <w:r>
      <w:instrText xml:space="preserve"> REF DocketList \* MERGEFORMAT </w:instrText>
    </w:r>
    <w:r>
      <w:fldChar w:fldCharType="separate"/>
    </w:r>
    <w:r w:rsidR="004D1728">
      <w:t>20210055-WU</w:t>
    </w:r>
    <w:r>
      <w:fldChar w:fldCharType="end"/>
    </w:r>
    <w:r w:rsidR="000A35C0">
      <w:tab/>
    </w:r>
    <w:r w:rsidR="000A35C0">
      <w:tab/>
      <w:t xml:space="preserve">     Schedule No. 2</w:t>
    </w:r>
  </w:p>
  <w:p w:rsidR="000A35C0" w:rsidRDefault="000A35C0" w:rsidP="009B5CD6">
    <w:pPr>
      <w:pStyle w:val="Header"/>
      <w:tabs>
        <w:tab w:val="clear" w:pos="4320"/>
        <w:tab w:val="clear" w:pos="8640"/>
        <w:tab w:val="right" w:pos="9360"/>
      </w:tabs>
      <w:jc w:val="center"/>
    </w:pPr>
    <w:r>
      <w:t xml:space="preserve">Date: </w:t>
    </w:r>
    <w:r w:rsidR="00E54EE3">
      <w:fldChar w:fldCharType="begin"/>
    </w:r>
    <w:r w:rsidR="00E54EE3">
      <w:instrText xml:space="preserve"> REF FilingDate  \* MERGEFORMAT </w:instrText>
    </w:r>
    <w:r w:rsidR="00E54EE3">
      <w:fldChar w:fldCharType="separate"/>
    </w:r>
    <w:r w:rsidR="004D1728">
      <w:t>December 29, 2021</w:t>
    </w:r>
    <w:r w:rsidR="00E54EE3">
      <w:fldChar w:fldCharType="end"/>
    </w:r>
    <w:r>
      <w:tab/>
    </w:r>
    <w:r>
      <w:tab/>
    </w:r>
    <w:r>
      <w:tab/>
      <w:t>Page 1 of 1</w:t>
    </w:r>
  </w:p>
  <w:p w:rsidR="000A35C0" w:rsidRPr="00960E7D" w:rsidRDefault="000A35C0" w:rsidP="009B5CD6">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5C0" w:rsidRDefault="00E54EE3" w:rsidP="00776A46">
    <w:pPr>
      <w:pStyle w:val="Header"/>
      <w:tabs>
        <w:tab w:val="clear" w:pos="4320"/>
        <w:tab w:val="clear" w:pos="8640"/>
        <w:tab w:val="right" w:pos="9360"/>
      </w:tabs>
      <w:jc w:val="right"/>
    </w:pPr>
    <w:r>
      <w:fldChar w:fldCharType="begin"/>
    </w:r>
    <w:r>
      <w:instrText xml:space="preserve"> REF DocketLabel \* MERGEFORMAT </w:instrText>
    </w:r>
    <w:r>
      <w:fldChar w:fldCharType="separate"/>
    </w:r>
    <w:r w:rsidR="004D1728">
      <w:t>Docket No.</w:t>
    </w:r>
    <w:r>
      <w:fldChar w:fldCharType="end"/>
    </w:r>
    <w:r w:rsidR="000A35C0">
      <w:t xml:space="preserve"> </w:t>
    </w:r>
    <w:r>
      <w:fldChar w:fldCharType="begin"/>
    </w:r>
    <w:r>
      <w:instrText xml:space="preserve"> REF DocketList \* MERGEFORMAT </w:instrText>
    </w:r>
    <w:r>
      <w:fldChar w:fldCharType="separate"/>
    </w:r>
    <w:r w:rsidR="004D1728">
      <w:t>20210055-WU</w:t>
    </w:r>
    <w:r>
      <w:fldChar w:fldCharType="end"/>
    </w:r>
    <w:r w:rsidR="000A35C0">
      <w:tab/>
      <w:t xml:space="preserve"> Schedule No. 3-A</w:t>
    </w:r>
  </w:p>
  <w:p w:rsidR="000A35C0" w:rsidRDefault="000A35C0" w:rsidP="00776A46">
    <w:pPr>
      <w:pStyle w:val="Header"/>
      <w:tabs>
        <w:tab w:val="clear" w:pos="4320"/>
        <w:tab w:val="clear" w:pos="8640"/>
        <w:tab w:val="right" w:pos="9360"/>
      </w:tabs>
      <w:jc w:val="right"/>
    </w:pPr>
    <w:r>
      <w:t xml:space="preserve">Date: </w:t>
    </w:r>
    <w:r w:rsidR="00E54EE3">
      <w:fldChar w:fldCharType="begin"/>
    </w:r>
    <w:r w:rsidR="00E54EE3">
      <w:instrText xml:space="preserve"> REF FilingDate  \* MERGEFORMAT </w:instrText>
    </w:r>
    <w:r w:rsidR="00E54EE3">
      <w:fldChar w:fldCharType="separate"/>
    </w:r>
    <w:r w:rsidR="004D1728">
      <w:t>December 29, 2021</w:t>
    </w:r>
    <w:r w:rsidR="00E54EE3">
      <w:fldChar w:fldCharType="end"/>
    </w:r>
    <w:r>
      <w:tab/>
      <w:t>Page 1 of 3</w:t>
    </w:r>
  </w:p>
  <w:p w:rsidR="000A35C0" w:rsidRPr="00960E7D" w:rsidRDefault="000A35C0" w:rsidP="00776A46">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5C0" w:rsidRDefault="00E54EE3" w:rsidP="00776A46">
    <w:pPr>
      <w:pStyle w:val="Header"/>
      <w:tabs>
        <w:tab w:val="clear" w:pos="4320"/>
        <w:tab w:val="clear" w:pos="8640"/>
        <w:tab w:val="right" w:pos="9360"/>
      </w:tabs>
      <w:jc w:val="right"/>
    </w:pPr>
    <w:r>
      <w:fldChar w:fldCharType="begin"/>
    </w:r>
    <w:r>
      <w:instrText xml:space="preserve"> REF DocketLabel \* MERGEFORMAT </w:instrText>
    </w:r>
    <w:r>
      <w:fldChar w:fldCharType="separate"/>
    </w:r>
    <w:r w:rsidR="004D1728">
      <w:t>Docket No.</w:t>
    </w:r>
    <w:r>
      <w:fldChar w:fldCharType="end"/>
    </w:r>
    <w:r w:rsidR="000A35C0">
      <w:t xml:space="preserve"> </w:t>
    </w:r>
    <w:r>
      <w:fldChar w:fldCharType="begin"/>
    </w:r>
    <w:r>
      <w:instrText xml:space="preserve"> REF DocketList \* MERGEFORMAT </w:instrText>
    </w:r>
    <w:r>
      <w:fldChar w:fldCharType="separate"/>
    </w:r>
    <w:r w:rsidR="004D1728">
      <w:t>20210055-WU</w:t>
    </w:r>
    <w:r>
      <w:fldChar w:fldCharType="end"/>
    </w:r>
    <w:r w:rsidR="000A35C0">
      <w:tab/>
      <w:t xml:space="preserve"> Schedule No. 3</w:t>
    </w:r>
  </w:p>
  <w:p w:rsidR="000A35C0" w:rsidRDefault="000A35C0" w:rsidP="00776A46">
    <w:pPr>
      <w:pStyle w:val="Header"/>
      <w:tabs>
        <w:tab w:val="clear" w:pos="4320"/>
        <w:tab w:val="clear" w:pos="8640"/>
        <w:tab w:val="right" w:pos="9360"/>
      </w:tabs>
      <w:jc w:val="right"/>
    </w:pPr>
    <w:r>
      <w:t xml:space="preserve">Date: </w:t>
    </w:r>
    <w:r w:rsidR="00E54EE3">
      <w:fldChar w:fldCharType="begin"/>
    </w:r>
    <w:r w:rsidR="00E54EE3">
      <w:instrText xml:space="preserve"> REF FilingDate  \* MERGEFORMAT </w:instrText>
    </w:r>
    <w:r w:rsidR="00E54EE3">
      <w:fldChar w:fldCharType="separate"/>
    </w:r>
    <w:r w:rsidR="004D1728">
      <w:t>December 29, 2021</w:t>
    </w:r>
    <w:r w:rsidR="00E54EE3">
      <w:fldChar w:fldCharType="end"/>
    </w:r>
    <w:r>
      <w:tab/>
      <w:t>Page 2 of 3</w:t>
    </w:r>
  </w:p>
  <w:p w:rsidR="000A35C0" w:rsidRPr="00960E7D" w:rsidRDefault="000A35C0" w:rsidP="00776A46">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5C0" w:rsidRDefault="00E54EE3" w:rsidP="00776A46">
    <w:pPr>
      <w:pStyle w:val="Header"/>
      <w:tabs>
        <w:tab w:val="clear" w:pos="4320"/>
        <w:tab w:val="clear" w:pos="8640"/>
        <w:tab w:val="right" w:pos="9360"/>
      </w:tabs>
      <w:jc w:val="right"/>
    </w:pPr>
    <w:r>
      <w:fldChar w:fldCharType="begin"/>
    </w:r>
    <w:r>
      <w:instrText xml:space="preserve"> REF DocketLabel \* MERGEFORMAT </w:instrText>
    </w:r>
    <w:r>
      <w:fldChar w:fldCharType="separate"/>
    </w:r>
    <w:r w:rsidR="004D1728">
      <w:t>Docket No.</w:t>
    </w:r>
    <w:r>
      <w:fldChar w:fldCharType="end"/>
    </w:r>
    <w:r w:rsidR="000A35C0">
      <w:t xml:space="preserve"> </w:t>
    </w:r>
    <w:r>
      <w:fldChar w:fldCharType="begin"/>
    </w:r>
    <w:r>
      <w:instrText xml:space="preserve"> REF DocketList \* MERGEFORMAT </w:instrText>
    </w:r>
    <w:r>
      <w:fldChar w:fldCharType="separate"/>
    </w:r>
    <w:r w:rsidR="004D1728">
      <w:t>20210055-WU</w:t>
    </w:r>
    <w:r>
      <w:fldChar w:fldCharType="end"/>
    </w:r>
    <w:r w:rsidR="000A35C0">
      <w:tab/>
      <w:t xml:space="preserve"> Schedule No. 3-C</w:t>
    </w:r>
  </w:p>
  <w:p w:rsidR="000A35C0" w:rsidRDefault="000A35C0" w:rsidP="00776A46">
    <w:pPr>
      <w:pStyle w:val="Header"/>
      <w:tabs>
        <w:tab w:val="clear" w:pos="4320"/>
        <w:tab w:val="clear" w:pos="8640"/>
        <w:tab w:val="right" w:pos="9360"/>
      </w:tabs>
      <w:jc w:val="right"/>
    </w:pPr>
    <w:r>
      <w:t xml:space="preserve">Date: </w:t>
    </w:r>
    <w:r w:rsidR="00E54EE3">
      <w:fldChar w:fldCharType="begin"/>
    </w:r>
    <w:r w:rsidR="00E54EE3">
      <w:instrText xml:space="preserve"> REF FilingDate  \* MERGEFORMAT </w:instrText>
    </w:r>
    <w:r w:rsidR="00E54EE3">
      <w:fldChar w:fldCharType="separate"/>
    </w:r>
    <w:r w:rsidR="004D1728">
      <w:t>December 29, 2021</w:t>
    </w:r>
    <w:r w:rsidR="00E54EE3">
      <w:fldChar w:fldCharType="end"/>
    </w:r>
    <w:r>
      <w:tab/>
      <w:t>Page 3 of 3</w:t>
    </w:r>
  </w:p>
  <w:p w:rsidR="000A35C0" w:rsidRPr="00960E7D" w:rsidRDefault="000A35C0" w:rsidP="00776A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3A6CEF"/>
    <w:multiLevelType w:val="hybridMultilevel"/>
    <w:tmpl w:val="D81C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3A6724"/>
    <w:rsid w:val="000043D5"/>
    <w:rsid w:val="00006170"/>
    <w:rsid w:val="00010E37"/>
    <w:rsid w:val="000172DA"/>
    <w:rsid w:val="00017BD6"/>
    <w:rsid w:val="000247C5"/>
    <w:rsid w:val="000277C2"/>
    <w:rsid w:val="00035B48"/>
    <w:rsid w:val="00036CE2"/>
    <w:rsid w:val="000437FE"/>
    <w:rsid w:val="000513BE"/>
    <w:rsid w:val="00065A06"/>
    <w:rsid w:val="000666F3"/>
    <w:rsid w:val="00070DCB"/>
    <w:rsid w:val="00072CCA"/>
    <w:rsid w:val="00073120"/>
    <w:rsid w:val="000764D0"/>
    <w:rsid w:val="000828D3"/>
    <w:rsid w:val="00084858"/>
    <w:rsid w:val="000A2B57"/>
    <w:rsid w:val="000A35C0"/>
    <w:rsid w:val="000A418B"/>
    <w:rsid w:val="000B3933"/>
    <w:rsid w:val="000C4431"/>
    <w:rsid w:val="000D1C06"/>
    <w:rsid w:val="000D4319"/>
    <w:rsid w:val="000F374A"/>
    <w:rsid w:val="000F3E39"/>
    <w:rsid w:val="001076AF"/>
    <w:rsid w:val="00117C8C"/>
    <w:rsid w:val="00124C38"/>
    <w:rsid w:val="00124E2E"/>
    <w:rsid w:val="00125ED4"/>
    <w:rsid w:val="001305E9"/>
    <w:rsid w:val="001307AF"/>
    <w:rsid w:val="00135687"/>
    <w:rsid w:val="0015506E"/>
    <w:rsid w:val="00163031"/>
    <w:rsid w:val="00171A90"/>
    <w:rsid w:val="001742B8"/>
    <w:rsid w:val="00180254"/>
    <w:rsid w:val="00191E1F"/>
    <w:rsid w:val="00192943"/>
    <w:rsid w:val="001A7406"/>
    <w:rsid w:val="001B4FEE"/>
    <w:rsid w:val="001B51C5"/>
    <w:rsid w:val="001B6F3F"/>
    <w:rsid w:val="001C1BBF"/>
    <w:rsid w:val="001C52B5"/>
    <w:rsid w:val="001D0D3E"/>
    <w:rsid w:val="001F2245"/>
    <w:rsid w:val="001F2C63"/>
    <w:rsid w:val="001F48C7"/>
    <w:rsid w:val="001F6DA1"/>
    <w:rsid w:val="00203A9E"/>
    <w:rsid w:val="002044E6"/>
    <w:rsid w:val="00205C82"/>
    <w:rsid w:val="00205DC2"/>
    <w:rsid w:val="00212B17"/>
    <w:rsid w:val="002163B6"/>
    <w:rsid w:val="00220732"/>
    <w:rsid w:val="00221D32"/>
    <w:rsid w:val="00225C3F"/>
    <w:rsid w:val="00250C24"/>
    <w:rsid w:val="00263D44"/>
    <w:rsid w:val="002702AD"/>
    <w:rsid w:val="002867CB"/>
    <w:rsid w:val="00292D82"/>
    <w:rsid w:val="002963CB"/>
    <w:rsid w:val="002B4A01"/>
    <w:rsid w:val="002C2278"/>
    <w:rsid w:val="002D226D"/>
    <w:rsid w:val="002F6030"/>
    <w:rsid w:val="003037E1"/>
    <w:rsid w:val="00307E51"/>
    <w:rsid w:val="003103EC"/>
    <w:rsid w:val="003144EF"/>
    <w:rsid w:val="00320102"/>
    <w:rsid w:val="00322F74"/>
    <w:rsid w:val="00340073"/>
    <w:rsid w:val="00341566"/>
    <w:rsid w:val="003632FD"/>
    <w:rsid w:val="00372805"/>
    <w:rsid w:val="00373180"/>
    <w:rsid w:val="00375AB9"/>
    <w:rsid w:val="003821A0"/>
    <w:rsid w:val="003844D6"/>
    <w:rsid w:val="00385B04"/>
    <w:rsid w:val="003864CF"/>
    <w:rsid w:val="003948AE"/>
    <w:rsid w:val="003A22A6"/>
    <w:rsid w:val="003A5494"/>
    <w:rsid w:val="003A672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167A1"/>
    <w:rsid w:val="004242E6"/>
    <w:rsid w:val="00431598"/>
    <w:rsid w:val="004319AD"/>
    <w:rsid w:val="004426B8"/>
    <w:rsid w:val="00444432"/>
    <w:rsid w:val="00444FF9"/>
    <w:rsid w:val="00471860"/>
    <w:rsid w:val="00477026"/>
    <w:rsid w:val="004A744D"/>
    <w:rsid w:val="004A77C8"/>
    <w:rsid w:val="004B60BD"/>
    <w:rsid w:val="004C3150"/>
    <w:rsid w:val="004C3641"/>
    <w:rsid w:val="004C4390"/>
    <w:rsid w:val="004C4AF7"/>
    <w:rsid w:val="004D1728"/>
    <w:rsid w:val="004D2881"/>
    <w:rsid w:val="004D385F"/>
    <w:rsid w:val="004D5B39"/>
    <w:rsid w:val="004E330D"/>
    <w:rsid w:val="004E5147"/>
    <w:rsid w:val="004E69B5"/>
    <w:rsid w:val="004F5C43"/>
    <w:rsid w:val="0050652D"/>
    <w:rsid w:val="00506C03"/>
    <w:rsid w:val="00511A11"/>
    <w:rsid w:val="00512A02"/>
    <w:rsid w:val="00516496"/>
    <w:rsid w:val="00523B11"/>
    <w:rsid w:val="00523E66"/>
    <w:rsid w:val="0052572A"/>
    <w:rsid w:val="00532DFB"/>
    <w:rsid w:val="00543CB3"/>
    <w:rsid w:val="005442E4"/>
    <w:rsid w:val="005453B1"/>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E3234"/>
    <w:rsid w:val="005F468D"/>
    <w:rsid w:val="005F69A3"/>
    <w:rsid w:val="00604CC7"/>
    <w:rsid w:val="00615423"/>
    <w:rsid w:val="006165B2"/>
    <w:rsid w:val="00617276"/>
    <w:rsid w:val="0062527B"/>
    <w:rsid w:val="00625D97"/>
    <w:rsid w:val="00625F1C"/>
    <w:rsid w:val="006279E1"/>
    <w:rsid w:val="00630CEB"/>
    <w:rsid w:val="00632264"/>
    <w:rsid w:val="006470BC"/>
    <w:rsid w:val="006505DE"/>
    <w:rsid w:val="00650EAF"/>
    <w:rsid w:val="006554D3"/>
    <w:rsid w:val="00667036"/>
    <w:rsid w:val="00673BDB"/>
    <w:rsid w:val="00674341"/>
    <w:rsid w:val="006771B8"/>
    <w:rsid w:val="006843B6"/>
    <w:rsid w:val="00684723"/>
    <w:rsid w:val="0068481F"/>
    <w:rsid w:val="00696F5D"/>
    <w:rsid w:val="00697249"/>
    <w:rsid w:val="006B3947"/>
    <w:rsid w:val="006B4293"/>
    <w:rsid w:val="006B624F"/>
    <w:rsid w:val="006C0C95"/>
    <w:rsid w:val="006C28AB"/>
    <w:rsid w:val="006C31E3"/>
    <w:rsid w:val="006D18D3"/>
    <w:rsid w:val="006E08CB"/>
    <w:rsid w:val="006E598D"/>
    <w:rsid w:val="0070437D"/>
    <w:rsid w:val="00704CF1"/>
    <w:rsid w:val="00705B04"/>
    <w:rsid w:val="0071317B"/>
    <w:rsid w:val="00724992"/>
    <w:rsid w:val="0072663F"/>
    <w:rsid w:val="00734820"/>
    <w:rsid w:val="007349DC"/>
    <w:rsid w:val="0074365E"/>
    <w:rsid w:val="00744B55"/>
    <w:rsid w:val="007515FD"/>
    <w:rsid w:val="00760D80"/>
    <w:rsid w:val="00765117"/>
    <w:rsid w:val="00776A46"/>
    <w:rsid w:val="00780C09"/>
    <w:rsid w:val="00780DDF"/>
    <w:rsid w:val="007834E9"/>
    <w:rsid w:val="00787DBC"/>
    <w:rsid w:val="0079019A"/>
    <w:rsid w:val="00792935"/>
    <w:rsid w:val="007A04A1"/>
    <w:rsid w:val="007A0AB8"/>
    <w:rsid w:val="007A1840"/>
    <w:rsid w:val="007C0528"/>
    <w:rsid w:val="007C3D38"/>
    <w:rsid w:val="007C3DBB"/>
    <w:rsid w:val="007D0F35"/>
    <w:rsid w:val="007D4FEB"/>
    <w:rsid w:val="007D6146"/>
    <w:rsid w:val="007E0CE7"/>
    <w:rsid w:val="007F1193"/>
    <w:rsid w:val="007F417F"/>
    <w:rsid w:val="007F7644"/>
    <w:rsid w:val="008042BD"/>
    <w:rsid w:val="00805696"/>
    <w:rsid w:val="00816624"/>
    <w:rsid w:val="00822427"/>
    <w:rsid w:val="00822562"/>
    <w:rsid w:val="00823663"/>
    <w:rsid w:val="00832DDC"/>
    <w:rsid w:val="00836A6D"/>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E4E0E"/>
    <w:rsid w:val="008F2262"/>
    <w:rsid w:val="008F4D2B"/>
    <w:rsid w:val="008F7736"/>
    <w:rsid w:val="0090019E"/>
    <w:rsid w:val="00901086"/>
    <w:rsid w:val="00901C8A"/>
    <w:rsid w:val="00905886"/>
    <w:rsid w:val="009070D6"/>
    <w:rsid w:val="009072DD"/>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0E7D"/>
    <w:rsid w:val="009656F2"/>
    <w:rsid w:val="00966A08"/>
    <w:rsid w:val="00971207"/>
    <w:rsid w:val="00975CB4"/>
    <w:rsid w:val="009863B0"/>
    <w:rsid w:val="00987DE1"/>
    <w:rsid w:val="00990571"/>
    <w:rsid w:val="0099673A"/>
    <w:rsid w:val="009A3330"/>
    <w:rsid w:val="009A7C96"/>
    <w:rsid w:val="009B0E4B"/>
    <w:rsid w:val="009B5CD6"/>
    <w:rsid w:val="009B610F"/>
    <w:rsid w:val="009C1E5D"/>
    <w:rsid w:val="009C3DB9"/>
    <w:rsid w:val="009D46E5"/>
    <w:rsid w:val="009D568A"/>
    <w:rsid w:val="009F04EC"/>
    <w:rsid w:val="009F2A7C"/>
    <w:rsid w:val="009F3B36"/>
    <w:rsid w:val="00A019B9"/>
    <w:rsid w:val="00A12508"/>
    <w:rsid w:val="00A1282B"/>
    <w:rsid w:val="00A13A27"/>
    <w:rsid w:val="00A16532"/>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83646"/>
    <w:rsid w:val="00A865D4"/>
    <w:rsid w:val="00A92FB1"/>
    <w:rsid w:val="00A959C3"/>
    <w:rsid w:val="00A95A0C"/>
    <w:rsid w:val="00AA2765"/>
    <w:rsid w:val="00AA77B5"/>
    <w:rsid w:val="00AB6C5D"/>
    <w:rsid w:val="00AC18AE"/>
    <w:rsid w:val="00AC3401"/>
    <w:rsid w:val="00AC51A7"/>
    <w:rsid w:val="00AD444B"/>
    <w:rsid w:val="00AD5614"/>
    <w:rsid w:val="00AD6C78"/>
    <w:rsid w:val="00AE2EAB"/>
    <w:rsid w:val="00AE671E"/>
    <w:rsid w:val="00AF5F89"/>
    <w:rsid w:val="00AF73CB"/>
    <w:rsid w:val="00B002D6"/>
    <w:rsid w:val="00B03379"/>
    <w:rsid w:val="00B05B51"/>
    <w:rsid w:val="00B11210"/>
    <w:rsid w:val="00B14E5A"/>
    <w:rsid w:val="00B15370"/>
    <w:rsid w:val="00B16DA4"/>
    <w:rsid w:val="00B17BEB"/>
    <w:rsid w:val="00B21A3C"/>
    <w:rsid w:val="00B223C0"/>
    <w:rsid w:val="00B234ED"/>
    <w:rsid w:val="00B249B2"/>
    <w:rsid w:val="00B25CA3"/>
    <w:rsid w:val="00B2765A"/>
    <w:rsid w:val="00B3109A"/>
    <w:rsid w:val="00B516ED"/>
    <w:rsid w:val="00B57A6A"/>
    <w:rsid w:val="00B64D0C"/>
    <w:rsid w:val="00B760F1"/>
    <w:rsid w:val="00B7669E"/>
    <w:rsid w:val="00B7742D"/>
    <w:rsid w:val="00B77DA1"/>
    <w:rsid w:val="00B822A0"/>
    <w:rsid w:val="00B858AE"/>
    <w:rsid w:val="00B85964"/>
    <w:rsid w:val="00B96250"/>
    <w:rsid w:val="00BA0D55"/>
    <w:rsid w:val="00BA37B3"/>
    <w:rsid w:val="00BA4CC6"/>
    <w:rsid w:val="00BB3493"/>
    <w:rsid w:val="00BB7468"/>
    <w:rsid w:val="00BC188A"/>
    <w:rsid w:val="00BC402E"/>
    <w:rsid w:val="00BD0F48"/>
    <w:rsid w:val="00BE0B3C"/>
    <w:rsid w:val="00BE6DDB"/>
    <w:rsid w:val="00BF5010"/>
    <w:rsid w:val="00C03D5F"/>
    <w:rsid w:val="00C12D66"/>
    <w:rsid w:val="00C13791"/>
    <w:rsid w:val="00C23C11"/>
    <w:rsid w:val="00C31BB3"/>
    <w:rsid w:val="00C36977"/>
    <w:rsid w:val="00C42B27"/>
    <w:rsid w:val="00C467DA"/>
    <w:rsid w:val="00C477D9"/>
    <w:rsid w:val="00C60BA3"/>
    <w:rsid w:val="00C623F7"/>
    <w:rsid w:val="00C62A81"/>
    <w:rsid w:val="00C7181A"/>
    <w:rsid w:val="00C75BC5"/>
    <w:rsid w:val="00C81670"/>
    <w:rsid w:val="00C81773"/>
    <w:rsid w:val="00C82861"/>
    <w:rsid w:val="00C85244"/>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018B"/>
    <w:rsid w:val="00D12565"/>
    <w:rsid w:val="00D14127"/>
    <w:rsid w:val="00D14F25"/>
    <w:rsid w:val="00D17FA4"/>
    <w:rsid w:val="00D30FEE"/>
    <w:rsid w:val="00D60B16"/>
    <w:rsid w:val="00D60F02"/>
    <w:rsid w:val="00D66E12"/>
    <w:rsid w:val="00D66E49"/>
    <w:rsid w:val="00D70D71"/>
    <w:rsid w:val="00D72EE8"/>
    <w:rsid w:val="00D72F74"/>
    <w:rsid w:val="00D81563"/>
    <w:rsid w:val="00D83783"/>
    <w:rsid w:val="00D85907"/>
    <w:rsid w:val="00D9073E"/>
    <w:rsid w:val="00D9221D"/>
    <w:rsid w:val="00D958DF"/>
    <w:rsid w:val="00D96DA1"/>
    <w:rsid w:val="00DA014F"/>
    <w:rsid w:val="00DA51E7"/>
    <w:rsid w:val="00DB0260"/>
    <w:rsid w:val="00DB1C78"/>
    <w:rsid w:val="00DB7D96"/>
    <w:rsid w:val="00DC23FE"/>
    <w:rsid w:val="00DC59E6"/>
    <w:rsid w:val="00DD150B"/>
    <w:rsid w:val="00DD5025"/>
    <w:rsid w:val="00DE430E"/>
    <w:rsid w:val="00DF1510"/>
    <w:rsid w:val="00DF212C"/>
    <w:rsid w:val="00E02F1F"/>
    <w:rsid w:val="00E06484"/>
    <w:rsid w:val="00E14BDC"/>
    <w:rsid w:val="00E20A7D"/>
    <w:rsid w:val="00E275D8"/>
    <w:rsid w:val="00E30F6A"/>
    <w:rsid w:val="00E3117C"/>
    <w:rsid w:val="00E375CA"/>
    <w:rsid w:val="00E5364F"/>
    <w:rsid w:val="00E54EE3"/>
    <w:rsid w:val="00E567E8"/>
    <w:rsid w:val="00E64679"/>
    <w:rsid w:val="00E65EBC"/>
    <w:rsid w:val="00E677FE"/>
    <w:rsid w:val="00E73432"/>
    <w:rsid w:val="00E77B0C"/>
    <w:rsid w:val="00E77FB8"/>
    <w:rsid w:val="00E80B91"/>
    <w:rsid w:val="00E838B0"/>
    <w:rsid w:val="00E86A7C"/>
    <w:rsid w:val="00E878E1"/>
    <w:rsid w:val="00E87F2C"/>
    <w:rsid w:val="00E906B4"/>
    <w:rsid w:val="00E9300A"/>
    <w:rsid w:val="00E95278"/>
    <w:rsid w:val="00EA2273"/>
    <w:rsid w:val="00EA7C3C"/>
    <w:rsid w:val="00EB2DB3"/>
    <w:rsid w:val="00EB5B0D"/>
    <w:rsid w:val="00EC3931"/>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B3B77"/>
    <w:rsid w:val="00FC3E9B"/>
    <w:rsid w:val="00FC5469"/>
    <w:rsid w:val="00FC6D7D"/>
    <w:rsid w:val="00FD16B0"/>
    <w:rsid w:val="00FD4FED"/>
    <w:rsid w:val="00FE0577"/>
    <w:rsid w:val="00FE1000"/>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3CA153"/>
  <w15:docId w15:val="{CC363921-B81C-4E2A-AB62-6C18CE24E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3A6724"/>
  </w:style>
  <w:style w:type="character" w:styleId="FootnoteReference">
    <w:name w:val="footnote reference"/>
    <w:unhideWhenUsed/>
    <w:rsid w:val="003A6724"/>
    <w:rPr>
      <w:vertAlign w:val="superscript"/>
    </w:rPr>
  </w:style>
  <w:style w:type="table" w:customStyle="1" w:styleId="TableGrid12">
    <w:name w:val="Table Grid12"/>
    <w:basedOn w:val="TableNormal"/>
    <w:next w:val="TableGrid"/>
    <w:uiPriority w:val="59"/>
    <w:rsid w:val="0080569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960E7D"/>
    <w:rPr>
      <w:sz w:val="24"/>
      <w:szCs w:val="24"/>
    </w:rPr>
  </w:style>
  <w:style w:type="table" w:customStyle="1" w:styleId="TableGrid13">
    <w:name w:val="Table Grid13"/>
    <w:basedOn w:val="TableNormal"/>
    <w:next w:val="TableGrid"/>
    <w:uiPriority w:val="59"/>
    <w:rsid w:val="00960E7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9B5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03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mailto:=@round('4'!L43,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mailto:=@round('4'!L4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567AF-DFA1-465E-9D40-1C4209C90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35</TotalTime>
  <Pages>34</Pages>
  <Words>9087</Words>
  <Characters>51798</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60764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Shannon Hudson</dc:creator>
  <cp:lastModifiedBy>Joseph Cipriani</cp:lastModifiedBy>
  <cp:revision>42</cp:revision>
  <cp:lastPrinted>2021-12-20T21:25:00Z</cp:lastPrinted>
  <dcterms:created xsi:type="dcterms:W3CDTF">2021-12-27T16:11:00Z</dcterms:created>
  <dcterms:modified xsi:type="dcterms:W3CDTF">2021-12-29T14:13:00Z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20210055-WU</vt:lpwstr>
  </property>
  <property fmtid="{D5CDD505-2E9C-101B-9397-08002B2CF9AE}" pid="3" name="MasterDocument">
    <vt:bool>false</vt:bool>
  </property>
</Properties>
</file>