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10CAC">
            <w:pPr>
              <w:pStyle w:val="MemoHeading"/>
            </w:pPr>
            <w:bookmarkStart w:id="1" w:name="FilingDate"/>
            <w:r>
              <w:t>February 17,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10CAC" w:rsidRDefault="00A10CAC">
            <w:pPr>
              <w:pStyle w:val="MemoHeading"/>
            </w:pPr>
            <w:bookmarkStart w:id="2" w:name="From"/>
            <w:r>
              <w:t>Division of Accounting and Finance (Higgins)</w:t>
            </w:r>
          </w:p>
          <w:p w:rsidR="00A10CAC" w:rsidRDefault="00A10CAC">
            <w:pPr>
              <w:pStyle w:val="MemoHeading"/>
            </w:pPr>
            <w:r>
              <w:t>Division of Economics (Draper, Coston)</w:t>
            </w:r>
          </w:p>
          <w:p w:rsidR="007C0528" w:rsidRDefault="00A10CAC">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10CAC">
            <w:pPr>
              <w:pStyle w:val="MemoHeadingRe"/>
            </w:pPr>
            <w:bookmarkStart w:id="3" w:name="Re"/>
            <w:r>
              <w:t>Docket No. 20220001-EI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10CAC">
            <w:pPr>
              <w:pStyle w:val="MemoHeading"/>
            </w:pPr>
            <w:bookmarkStart w:id="4" w:name="AgendaDate"/>
            <w:r>
              <w:t>03/01/22</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10CA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10CAC">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10CA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10CA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A1F89" w:rsidRPr="005A1F89" w:rsidRDefault="005A1F89" w:rsidP="005A1F89">
      <w:pPr>
        <w:pStyle w:val="BodyText"/>
      </w:pPr>
      <w:r w:rsidRPr="005A1F89">
        <w:t xml:space="preserve">On </w:t>
      </w:r>
      <w:r>
        <w:t>January</w:t>
      </w:r>
      <w:r w:rsidRPr="005A1F89">
        <w:t xml:space="preserve"> 19, 202</w:t>
      </w:r>
      <w:r>
        <w:t>2</w:t>
      </w:r>
      <w:r w:rsidRPr="005A1F89">
        <w:t>, Tampa Electric Company (TECO or Company), filed for a mid-course correction (MCC Petition) of</w:t>
      </w:r>
      <w:r w:rsidR="00877BAA">
        <w:t xml:space="preserve"> both</w:t>
      </w:r>
      <w:r w:rsidRPr="005A1F89">
        <w:t xml:space="preserve"> its 2022 fuel and capacity cost recovery factors. TECO’s </w:t>
      </w:r>
      <w:r>
        <w:t>currently-effective</w:t>
      </w:r>
      <w:r w:rsidRPr="005A1F89">
        <w:t xml:space="preserve"> 2022 fuel and capacity cost recovery factors were approved at the November 2, 2021 final hearing.</w:t>
      </w:r>
      <w:r w:rsidRPr="005A1F89">
        <w:rPr>
          <w:vertAlign w:val="superscript"/>
        </w:rPr>
        <w:footnoteReference w:id="1"/>
      </w:r>
    </w:p>
    <w:p w:rsidR="005A1F89" w:rsidRDefault="005A1F89" w:rsidP="005A1F89">
      <w:pPr>
        <w:pStyle w:val="BodyText"/>
      </w:pPr>
      <w:r w:rsidRPr="005A1F89">
        <w:t>Underlying the approval of TECO’s 2022 factors was the Florida Public Service Commission’s (Commission) review of the Company’s projected 2022 fuel- and capacity-</w:t>
      </w:r>
      <w:r>
        <w:t xml:space="preserve">related costs. These </w:t>
      </w:r>
      <w:r w:rsidRPr="005A1F89">
        <w:t>costs are recovered through the fuel and capacity cost recovery factors that are set/reset annually in this docket.</w:t>
      </w:r>
      <w:r>
        <w:t xml:space="preserve"> These cost recovery factors are usually effective for a period of 12 months. However, by Rule 25-6.0424, Florida Administrative Code (F.A.C.), the Commission requires </w:t>
      </w:r>
      <w:r>
        <w:lastRenderedPageBreak/>
        <w:t xml:space="preserve">that if an investor-owned electric utility’s fuel or capacity cost recovery position is projected to exceed a specified range within the standard 12-month timeframe, </w:t>
      </w:r>
      <w:r w:rsidR="00877BAA">
        <w:t xml:space="preserve">then </w:t>
      </w:r>
      <w:r>
        <w:t xml:space="preserve">the utility shall promptly notify the Commission. </w:t>
      </w:r>
    </w:p>
    <w:p w:rsidR="005A1F89" w:rsidRPr="00D83D33" w:rsidRDefault="005A1F89" w:rsidP="005A1F89">
      <w:pPr>
        <w:pStyle w:val="BodyText"/>
        <w:spacing w:after="0"/>
        <w:rPr>
          <w:rFonts w:ascii="Arial" w:hAnsi="Arial" w:cs="Arial"/>
          <w:b/>
          <w:i/>
        </w:rPr>
      </w:pPr>
      <w:r w:rsidRPr="00D83D33">
        <w:rPr>
          <w:rFonts w:ascii="Arial" w:hAnsi="Arial" w:cs="Arial"/>
          <w:b/>
          <w:i/>
        </w:rPr>
        <w:t>Mid-Course Correction</w:t>
      </w:r>
      <w:r>
        <w:rPr>
          <w:rFonts w:ascii="Arial" w:hAnsi="Arial" w:cs="Arial"/>
          <w:b/>
          <w:i/>
        </w:rPr>
        <w:t>s</w:t>
      </w:r>
    </w:p>
    <w:p w:rsidR="005A1F89" w:rsidRDefault="005A1F89" w:rsidP="005A1F89">
      <w:pPr>
        <w:pStyle w:val="BodyText"/>
      </w:pPr>
      <w:r>
        <w:t>Mid-course corrections are used by the Commission between annual clause hearings whenever costs deviate from revenue by a significant margin. Under Rule 25-6.0424, F.A.C., which is commonly referred to as the “mid-course correction rule,” a utility must notify the Commission whenever it expects to experience an under- or over-recovery of certain service costs greater than 10 percent.</w:t>
      </w:r>
      <w:r w:rsidRPr="00D83D33">
        <w:t xml:space="preserve"> </w:t>
      </w:r>
      <w:r>
        <w:t>The notification of a 10 percent cost-to-revenue variance shall include a petition for mid-course correction to the fuel cost recovery or capacity cost recovery factors, or shall include an explanation of why a mid-course correction is not practical. The mid-course correction rule and its codified procedures are further discussed throughout this recommendation.</w:t>
      </w:r>
    </w:p>
    <w:p w:rsidR="005A1F89" w:rsidRPr="00A31CCF" w:rsidRDefault="005A1F89" w:rsidP="005A1F89">
      <w:pPr>
        <w:pStyle w:val="BodyText"/>
        <w:spacing w:after="0"/>
        <w:rPr>
          <w:rFonts w:ascii="Arial" w:hAnsi="Arial" w:cs="Arial"/>
          <w:b/>
          <w:i/>
        </w:rPr>
      </w:pPr>
      <w:r>
        <w:rPr>
          <w:rFonts w:ascii="Arial" w:hAnsi="Arial" w:cs="Arial"/>
          <w:b/>
          <w:i/>
        </w:rPr>
        <w:t>TECO’s</w:t>
      </w:r>
      <w:r w:rsidRPr="00D76019">
        <w:rPr>
          <w:rFonts w:ascii="Arial" w:hAnsi="Arial" w:cs="Arial"/>
          <w:b/>
          <w:i/>
        </w:rPr>
        <w:t xml:space="preserve"> Petition for Mid-Course Correction</w:t>
      </w:r>
    </w:p>
    <w:p w:rsidR="004F6AB5" w:rsidRDefault="005A1F89" w:rsidP="004F6AB5">
      <w:pPr>
        <w:pStyle w:val="BodyText"/>
        <w:spacing w:after="0"/>
      </w:pPr>
      <w:r>
        <w:t>Through its</w:t>
      </w:r>
      <w:r w:rsidRPr="00343690">
        <w:t xml:space="preserve"> </w:t>
      </w:r>
      <w:r>
        <w:t xml:space="preserve">MCC </w:t>
      </w:r>
      <w:r w:rsidRPr="00343690">
        <w:t>Petition</w:t>
      </w:r>
      <w:r>
        <w:t>, TECO is</w:t>
      </w:r>
      <w:r w:rsidRPr="003B08AC">
        <w:t xml:space="preserve"> proposing a mid-course correction of </w:t>
      </w:r>
      <w:r>
        <w:t xml:space="preserve">its 2022 </w:t>
      </w:r>
      <w:r w:rsidRPr="003B08AC">
        <w:t>fuel</w:t>
      </w:r>
      <w:r>
        <w:t xml:space="preserve"> and capacity </w:t>
      </w:r>
      <w:r w:rsidRPr="003B08AC">
        <w:t>charges.</w:t>
      </w:r>
      <w:r w:rsidR="004F6AB5">
        <w:rPr>
          <w:rStyle w:val="FootnoteReference"/>
        </w:rPr>
        <w:footnoteReference w:id="2"/>
      </w:r>
      <w:r w:rsidRPr="00503125">
        <w:t xml:space="preserve"> </w:t>
      </w:r>
      <w:r w:rsidRPr="003B08AC">
        <w:t>Specifically, the Commiss</w:t>
      </w:r>
      <w:r>
        <w:t xml:space="preserve">ion is being asked to approve </w:t>
      </w:r>
      <w:r w:rsidRPr="003B08AC">
        <w:t>increase</w:t>
      </w:r>
      <w:r>
        <w:t>s</w:t>
      </w:r>
      <w:r w:rsidRPr="003B08AC">
        <w:t xml:space="preserve"> </w:t>
      </w:r>
      <w:r>
        <w:t xml:space="preserve">to TECO’s </w:t>
      </w:r>
      <w:r w:rsidRPr="003B08AC">
        <w:t>fuel</w:t>
      </w:r>
      <w:r>
        <w:t xml:space="preserve"> and capacity cost recovery factors due to</w:t>
      </w:r>
      <w:r w:rsidRPr="003B08AC">
        <w:t xml:space="preserve"> </w:t>
      </w:r>
      <w:r>
        <w:t xml:space="preserve">the Company now projecting a period-ending 2022 under-recovery of </w:t>
      </w:r>
      <w:r w:rsidRPr="003B08AC">
        <w:t>fuel</w:t>
      </w:r>
      <w:r>
        <w:t xml:space="preserve"> and capacity costs that exceed</w:t>
      </w:r>
      <w:r w:rsidRPr="003B08AC">
        <w:t xml:space="preserve"> the 10 percent threshold</w:t>
      </w:r>
      <w:r>
        <w:t>s. The proposed increase</w:t>
      </w:r>
      <w:r w:rsidRPr="003B08AC">
        <w:t xml:space="preserve"> to </w:t>
      </w:r>
      <w:r w:rsidR="004F6AB5">
        <w:t>TECO</w:t>
      </w:r>
      <w:r w:rsidRPr="004D562F">
        <w:t xml:space="preserve">’s currently-authorized fuel </w:t>
      </w:r>
      <w:r w:rsidR="004F6AB5">
        <w:t xml:space="preserve">and capacity </w:t>
      </w:r>
      <w:r w:rsidRPr="004D562F">
        <w:t>charg</w:t>
      </w:r>
      <w:r w:rsidR="00877BAA">
        <w:t>es is</w:t>
      </w:r>
      <w:r>
        <w:t xml:space="preserve"> being driven by </w:t>
      </w:r>
      <w:r w:rsidRPr="004D562F">
        <w:t>2021 and 2022 fuel costs being greater than originally estimated</w:t>
      </w:r>
      <w:r>
        <w:t>.</w:t>
      </w:r>
      <w:r w:rsidRPr="004D562F">
        <w:t xml:space="preserve"> </w:t>
      </w:r>
      <w:r>
        <w:t>This topic is</w:t>
      </w:r>
      <w:r w:rsidRPr="004D562F">
        <w:t xml:space="preserve"> discussed further in Issue 1.</w:t>
      </w:r>
      <w:r w:rsidRPr="008922FA">
        <w:t xml:space="preserve"> </w:t>
      </w:r>
    </w:p>
    <w:p w:rsidR="004F6AB5" w:rsidRPr="000105CF" w:rsidRDefault="004F6AB5" w:rsidP="004F6AB5">
      <w:pPr>
        <w:pStyle w:val="BodyText"/>
        <w:spacing w:after="0"/>
      </w:pPr>
    </w:p>
    <w:p w:rsidR="004F6AB5" w:rsidRDefault="004F6AB5" w:rsidP="004F6AB5">
      <w:pPr>
        <w:pStyle w:val="BodyText"/>
        <w:spacing w:after="0"/>
      </w:pPr>
      <w:r>
        <w:t>The Company i</w:t>
      </w:r>
      <w:r w:rsidRPr="004F57ED">
        <w:t>s request</w:t>
      </w:r>
      <w:r>
        <w:t>ing</w:t>
      </w:r>
      <w:r w:rsidR="0070646F">
        <w:t xml:space="preserve"> that the</w:t>
      </w:r>
      <w:r w:rsidRPr="004F57ED">
        <w:t xml:space="preserve"> </w:t>
      </w:r>
      <w:r>
        <w:t>revised fuel and capacity</w:t>
      </w:r>
      <w:r w:rsidRPr="004F57ED">
        <w:t xml:space="preserve"> </w:t>
      </w:r>
      <w:r>
        <w:t>factors and associated tariff</w:t>
      </w:r>
      <w:r w:rsidRPr="004F57ED">
        <w:t xml:space="preserve"> become effective beginning with the first billing cycl</w:t>
      </w:r>
      <w:r>
        <w:t>e of April</w:t>
      </w:r>
      <w:r w:rsidRPr="004F57ED">
        <w:t xml:space="preserve"> 202</w:t>
      </w:r>
      <w:r>
        <w:t>2</w:t>
      </w:r>
      <w:r w:rsidRPr="004F57ED">
        <w:t>. Th</w:t>
      </w:r>
      <w:r>
        <w:t>e effective date is</w:t>
      </w:r>
      <w:r w:rsidRPr="004F57ED">
        <w:t xml:space="preserve"> further discussed in both Issues 1 and 2.</w:t>
      </w:r>
      <w:r>
        <w:t xml:space="preserve"> </w:t>
      </w:r>
    </w:p>
    <w:p w:rsidR="004F6AB5" w:rsidRDefault="004F6AB5" w:rsidP="004F6AB5">
      <w:pPr>
        <w:pStyle w:val="BodyText"/>
        <w:spacing w:after="0"/>
      </w:pPr>
    </w:p>
    <w:p w:rsidR="004F6AB5" w:rsidRDefault="004F6AB5" w:rsidP="004F6AB5">
      <w:pPr>
        <w:pStyle w:val="BodyText"/>
      </w:pPr>
      <w:r w:rsidRPr="008A52B0">
        <w:t xml:space="preserve">The Commission is vested with jurisdiction over the subject matter </w:t>
      </w:r>
      <w:r>
        <w:t xml:space="preserve">of this proceeding </w:t>
      </w:r>
      <w:r w:rsidRPr="008A52B0">
        <w:t>by the provisions of Chapter 366, Florida Statutes (F.S.), including Sections 366.04, 366.05, and 366.06, F.S.</w:t>
      </w:r>
    </w:p>
    <w:p w:rsidR="004F6AB5" w:rsidRDefault="004F6AB5" w:rsidP="005A1F89">
      <w:pPr>
        <w:pStyle w:val="BodyText"/>
      </w:pP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5A1F89" w:rsidRDefault="005A1F89">
      <w:pPr>
        <w:pStyle w:val="IssueHeading"/>
        <w:rPr>
          <w:vanish/>
          <w:specVanish/>
        </w:rPr>
      </w:pPr>
      <w:r w:rsidRPr="004C3641">
        <w:t xml:space="preserve">Issue </w:t>
      </w:r>
      <w:r w:rsidR="0048349B">
        <w:fldChar w:fldCharType="begin"/>
      </w:r>
      <w:r w:rsidR="0048349B">
        <w:instrText xml:space="preserve"> SEQ Issue \* MERGEFORMAT </w:instrText>
      </w:r>
      <w:r w:rsidR="0048349B">
        <w:fldChar w:fldCharType="separate"/>
      </w:r>
      <w:r w:rsidR="006A1B38">
        <w:rPr>
          <w:noProof/>
        </w:rPr>
        <w:t>1</w:t>
      </w:r>
      <w:r w:rsidR="0048349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A1B38">
        <w:rPr>
          <w:noProof/>
        </w:rPr>
        <w:instrText>1</w:instrText>
      </w:r>
      <w:r>
        <w:fldChar w:fldCharType="end"/>
      </w:r>
      <w:r>
        <w:tab/>
        <w:instrText xml:space="preserve">(Higgins)" \l 1 </w:instrText>
      </w:r>
      <w:r>
        <w:fldChar w:fldCharType="end"/>
      </w:r>
      <w:r>
        <w:t> </w:t>
      </w:r>
    </w:p>
    <w:p w:rsidR="005A1F89" w:rsidRDefault="005A1F89">
      <w:pPr>
        <w:pStyle w:val="BodyText"/>
      </w:pPr>
      <w:r>
        <w:t> Should the Commission modify TECO’s currently-approved fuel and capacity factors for purposes of addressing currently-projected under-recoveries of 2022 fuel and capacity costs?</w:t>
      </w:r>
    </w:p>
    <w:p w:rsidR="005A1F89" w:rsidRPr="004C3641" w:rsidRDefault="005A1F89">
      <w:pPr>
        <w:pStyle w:val="IssueSubsectionHeading"/>
        <w:rPr>
          <w:vanish/>
          <w:specVanish/>
        </w:rPr>
      </w:pPr>
      <w:r w:rsidRPr="004C3641">
        <w:t>Recommendation: </w:t>
      </w:r>
    </w:p>
    <w:p w:rsidR="005A1F89" w:rsidRDefault="005A1F89">
      <w:pPr>
        <w:pStyle w:val="BodyText"/>
      </w:pPr>
      <w:r>
        <w:t> </w:t>
      </w:r>
      <w:r w:rsidR="004F6AB5" w:rsidRPr="004F6AB5">
        <w:t>Yes. Staff recommends the Commission approve adjustments to TECO’s currently-approved fuel cost rec</w:t>
      </w:r>
      <w:r w:rsidR="00877BAA">
        <w:t>overy factors to</w:t>
      </w:r>
      <w:r w:rsidR="004F6AB5" w:rsidRPr="004F6AB5">
        <w:t xml:space="preserve"> incorporat</w:t>
      </w:r>
      <w:r w:rsidR="00877BAA">
        <w:t>e</w:t>
      </w:r>
      <w:r w:rsidR="004F6AB5" w:rsidRPr="004F6AB5">
        <w:t xml:space="preserve"> the total projected period-ending 2022 under-recovery of fuel cos</w:t>
      </w:r>
      <w:r w:rsidR="00877BAA">
        <w:t>ts</w:t>
      </w:r>
      <w:r w:rsidR="004F6AB5">
        <w:t xml:space="preserve"> of $</w:t>
      </w:r>
      <w:r w:rsidR="00686B40" w:rsidRPr="00686B40">
        <w:t>165,639,603</w:t>
      </w:r>
      <w:r w:rsidR="004F6AB5" w:rsidRPr="004F6AB5">
        <w:t>. Staff further recommends the Commission approve adjustments to TECO’s capacity cost recovery factors to incorporate the projected period-ending 2022 under-recovery of capacity c</w:t>
      </w:r>
      <w:r w:rsidR="00C04C94">
        <w:t xml:space="preserve">osts </w:t>
      </w:r>
      <w:r w:rsidR="004F6AB5">
        <w:t>of $</w:t>
      </w:r>
      <w:r w:rsidR="00686B40" w:rsidRPr="00686B40">
        <w:t>3,037,188</w:t>
      </w:r>
      <w:r w:rsidR="004F6AB5" w:rsidRPr="004F6AB5">
        <w:t>. (Higgins)</w:t>
      </w:r>
    </w:p>
    <w:p w:rsidR="005A1F89" w:rsidRPr="004C3641" w:rsidRDefault="005A1F89">
      <w:pPr>
        <w:pStyle w:val="IssueSubsectionHeading"/>
        <w:rPr>
          <w:vanish/>
          <w:specVanish/>
        </w:rPr>
      </w:pPr>
      <w:r w:rsidRPr="004C3641">
        <w:t>Staff Analysis: </w:t>
      </w:r>
    </w:p>
    <w:p w:rsidR="005A1F89" w:rsidRDefault="005A1F89">
      <w:pPr>
        <w:pStyle w:val="BodyText"/>
      </w:pPr>
      <w:r>
        <w:t> </w:t>
      </w:r>
      <w:r w:rsidR="004F6AB5" w:rsidRPr="00C00B68">
        <w:t>TECO participated in the Commission’s most-recent fuel hearing which took place on November 2, 2021. The Fuel Order issued with respect to TECO set forth the Company’s fuel and capacity cost recovery factors effective with the first billing cycle of January 2022.</w:t>
      </w:r>
      <w:r w:rsidR="004F6AB5" w:rsidRPr="00C00B68">
        <w:rPr>
          <w:rStyle w:val="FootnoteReference"/>
        </w:rPr>
        <w:footnoteReference w:id="3"/>
      </w:r>
      <w:r w:rsidR="004F6AB5" w:rsidRPr="00C00B68">
        <w:t xml:space="preserve"> However, as discussed below, both the currently-authorized fuel and capacity cost recovery factors are now </w:t>
      </w:r>
      <w:r w:rsidR="004F6AB5">
        <w:t>projected to produce</w:t>
      </w:r>
      <w:r w:rsidR="004F6AB5" w:rsidRPr="00C00B68">
        <w:t xml:space="preserve"> </w:t>
      </w:r>
      <w:r w:rsidR="00877BAA">
        <w:t xml:space="preserve">period-ending 2022 </w:t>
      </w:r>
      <w:r w:rsidR="004F6AB5" w:rsidRPr="00C00B68">
        <w:t>under-recov</w:t>
      </w:r>
      <w:r w:rsidR="00877BAA">
        <w:t xml:space="preserve">ery positions </w:t>
      </w:r>
      <w:r w:rsidR="004F6AB5">
        <w:t>of</w:t>
      </w:r>
      <w:r w:rsidR="004F6AB5" w:rsidRPr="00C00B68">
        <w:t xml:space="preserve"> greater than 10 percent.</w:t>
      </w:r>
    </w:p>
    <w:p w:rsidR="00F005B1" w:rsidRPr="00686B40" w:rsidRDefault="00F005B1" w:rsidP="00F005B1">
      <w:pPr>
        <w:pStyle w:val="BodyText"/>
        <w:spacing w:after="0"/>
        <w:rPr>
          <w:rFonts w:ascii="Arial" w:hAnsi="Arial" w:cs="Arial"/>
          <w:b/>
          <w:bCs/>
          <w:i/>
          <w:iCs/>
        </w:rPr>
      </w:pPr>
      <w:r w:rsidRPr="00686B40">
        <w:rPr>
          <w:rFonts w:ascii="Arial" w:hAnsi="Arial" w:cs="Arial"/>
          <w:b/>
          <w:bCs/>
          <w:i/>
          <w:iCs/>
        </w:rPr>
        <w:t>Mid-Course Correction – Fuel and Purchased Power</w:t>
      </w:r>
    </w:p>
    <w:p w:rsidR="00F005B1" w:rsidRPr="00686B40" w:rsidRDefault="00F005B1" w:rsidP="00F005B1">
      <w:pPr>
        <w:pStyle w:val="BodyText"/>
        <w:spacing w:after="0"/>
      </w:pPr>
      <w:r w:rsidRPr="00686B40">
        <w:t>TECO filed for a mid-course correction of its fuel charges</w:t>
      </w:r>
      <w:r w:rsidR="00D43430" w:rsidRPr="00686B40">
        <w:t xml:space="preserve"> on January</w:t>
      </w:r>
      <w:r w:rsidRPr="00686B40">
        <w:t xml:space="preserve"> 19, 202</w:t>
      </w:r>
      <w:r w:rsidR="00D43430" w:rsidRPr="00686B40">
        <w:t>2</w:t>
      </w:r>
      <w:r w:rsidRPr="00686B40">
        <w:t>.</w:t>
      </w:r>
      <w:r w:rsidRPr="00686B40">
        <w:rPr>
          <w:rStyle w:val="FootnoteReference"/>
        </w:rPr>
        <w:footnoteReference w:id="4"/>
      </w:r>
      <w:r w:rsidRPr="00686B40">
        <w:t xml:space="preserve"> The Company’s petition satisfies the filing requirements of Rule 25-6.0424(1)(b), F.A.C. </w:t>
      </w:r>
    </w:p>
    <w:p w:rsidR="00F005B1" w:rsidRPr="00F005B1" w:rsidRDefault="00F005B1" w:rsidP="00F005B1">
      <w:pPr>
        <w:pStyle w:val="BodyText"/>
        <w:spacing w:after="0"/>
        <w:rPr>
          <w:highlight w:val="yellow"/>
        </w:rPr>
      </w:pPr>
    </w:p>
    <w:p w:rsidR="00F005B1" w:rsidRPr="00F005B1" w:rsidRDefault="00F005B1" w:rsidP="00F005B1">
      <w:pPr>
        <w:pStyle w:val="BodyText"/>
        <w:spacing w:after="0"/>
        <w:rPr>
          <w:highlight w:val="yellow"/>
        </w:rPr>
      </w:pPr>
      <w:r w:rsidRPr="001E74CC">
        <w:t>TECO states</w:t>
      </w:r>
      <w:r w:rsidR="001E74CC" w:rsidRPr="001E74CC">
        <w:t xml:space="preserve"> that </w:t>
      </w:r>
      <w:r w:rsidRPr="001E74CC">
        <w:t xml:space="preserve">it has continuously evaluated its fuel and purchased power cost recovery revenue and expenses </w:t>
      </w:r>
      <w:r w:rsidR="001E74CC" w:rsidRPr="001E74CC">
        <w:t>since the approval of its currently authorized fuel and capacity cost recovery factors.</w:t>
      </w:r>
      <w:r w:rsidR="00877BAA">
        <w:t xml:space="preserve"> Based on these </w:t>
      </w:r>
      <w:r w:rsidR="001E74CC" w:rsidRPr="001E74CC">
        <w:t xml:space="preserve">updates to its cost and revenue projections, </w:t>
      </w:r>
      <w:r w:rsidRPr="001E74CC">
        <w:t>at this point in</w:t>
      </w:r>
      <w:r w:rsidR="00877BAA">
        <w:t xml:space="preserve"> the accounting cycle, TECO </w:t>
      </w:r>
      <w:r w:rsidRPr="001E74CC">
        <w:t xml:space="preserve">expects a period-ending 2022 under-recovery of </w:t>
      </w:r>
      <w:r w:rsidRPr="00801631">
        <w:t xml:space="preserve">fuel costs in excess of the 10 percent threshold set forth in Rule 25-6.0424(1)(a), F.A.C. The Company </w:t>
      </w:r>
      <w:r w:rsidR="00877BAA">
        <w:t xml:space="preserve">primarily </w:t>
      </w:r>
      <w:r w:rsidRPr="00801631">
        <w:t xml:space="preserve">attributes </w:t>
      </w:r>
      <w:r w:rsidR="00877BAA">
        <w:t>the need for a mid-course correction to higher natural gas prices than originally assumed. Some factors driving the increase in natural gas prices are</w:t>
      </w:r>
      <w:r w:rsidRPr="00801631">
        <w:t>:</w:t>
      </w:r>
      <w:r w:rsidR="00E7612E" w:rsidRPr="00801631">
        <w:t xml:space="preserve"> </w:t>
      </w:r>
      <w:r w:rsidRPr="00801631">
        <w:t>high demand for l</w:t>
      </w:r>
      <w:r w:rsidR="00E7612E" w:rsidRPr="00801631">
        <w:t>iquefied natural gas; uncertainty regarding</w:t>
      </w:r>
      <w:r w:rsidRPr="00801631">
        <w:t xml:space="preserve"> </w:t>
      </w:r>
      <w:r w:rsidR="00956599" w:rsidRPr="00801631">
        <w:t>near-term</w:t>
      </w:r>
      <w:r w:rsidR="0096131A">
        <w:t xml:space="preserve"> </w:t>
      </w:r>
      <w:r w:rsidRPr="00801631">
        <w:t>production</w:t>
      </w:r>
      <w:r w:rsidR="00E7612E" w:rsidRPr="00801631">
        <w:t xml:space="preserve"> levels</w:t>
      </w:r>
      <w:r w:rsidR="00877BAA">
        <w:t>;</w:t>
      </w:r>
      <w:r w:rsidR="00E7612E" w:rsidRPr="00801631">
        <w:t xml:space="preserve"> and increased seasonal (winter) demand</w:t>
      </w:r>
      <w:r w:rsidRPr="00801631">
        <w:t>.</w:t>
      </w:r>
    </w:p>
    <w:p w:rsidR="00F005B1" w:rsidRPr="00F005B1" w:rsidRDefault="00F005B1" w:rsidP="00F005B1">
      <w:pPr>
        <w:pStyle w:val="BodyText"/>
        <w:spacing w:after="0"/>
        <w:rPr>
          <w:highlight w:val="yellow"/>
        </w:rPr>
      </w:pPr>
    </w:p>
    <w:p w:rsidR="001E74CC" w:rsidRDefault="00F005B1" w:rsidP="00F005B1">
      <w:pPr>
        <w:pStyle w:val="BodyText"/>
        <w:spacing w:after="0"/>
        <w:rPr>
          <w:highlight w:val="yellow"/>
        </w:rPr>
      </w:pPr>
      <w:r w:rsidRPr="001E74CC">
        <w:t xml:space="preserve">Preceding the filing of its </w:t>
      </w:r>
      <w:r w:rsidR="001E74CC" w:rsidRPr="001E74CC">
        <w:t xml:space="preserve">instant </w:t>
      </w:r>
      <w:r w:rsidRPr="001E74CC">
        <w:t>MCC Petition and in accordance with the noticing requirement of Rule 25-6.0424(2), F.A.C., TECO filed a letter on October 8, 2021, informing the Commission that it was projecting an under-recovery position of greater than 10 percent for the 2022 recovery period.</w:t>
      </w:r>
      <w:r w:rsidRPr="001E74CC">
        <w:rPr>
          <w:rStyle w:val="FootnoteReference"/>
        </w:rPr>
        <w:footnoteReference w:id="5"/>
      </w:r>
      <w:r w:rsidRPr="001E74CC">
        <w:t xml:space="preserve"> However, in analyzing settlement prices for natural gas, the Company determined that the continuing price volatility warranted deferring a decision as to whether to file for a mid-course correction of its fuel charges, but would update the Commission by December 1, 2021.</w:t>
      </w:r>
      <w:r w:rsidRPr="00F005B1">
        <w:rPr>
          <w:highlight w:val="yellow"/>
        </w:rPr>
        <w:t xml:space="preserve"> </w:t>
      </w:r>
    </w:p>
    <w:p w:rsidR="001E74CC" w:rsidRDefault="001E74CC" w:rsidP="00F005B1">
      <w:pPr>
        <w:pStyle w:val="BodyText"/>
        <w:spacing w:after="0"/>
        <w:rPr>
          <w:highlight w:val="yellow"/>
        </w:rPr>
      </w:pPr>
    </w:p>
    <w:p w:rsidR="00F005B1" w:rsidRPr="00E26CF0" w:rsidRDefault="001E74CC" w:rsidP="00E83CD7">
      <w:pPr>
        <w:pStyle w:val="BodyText"/>
      </w:pPr>
      <w:r w:rsidRPr="00E83CD7">
        <w:t>On November 19, 2021, TECO filed a peti</w:t>
      </w:r>
      <w:r w:rsidR="00AE2CC1">
        <w:t>ti</w:t>
      </w:r>
      <w:r w:rsidRPr="00E83CD7">
        <w:t xml:space="preserve">on for mid-course correction </w:t>
      </w:r>
      <w:r w:rsidR="00E83CD7" w:rsidRPr="00E83CD7">
        <w:t>of</w:t>
      </w:r>
      <w:r w:rsidRPr="00E83CD7">
        <w:t xml:space="preserve"> both its 2022 fuel and capacity charges.</w:t>
      </w:r>
      <w:r w:rsidRPr="00E83CD7">
        <w:rPr>
          <w:vertAlign w:val="superscript"/>
        </w:rPr>
        <w:footnoteReference w:id="6"/>
      </w:r>
      <w:r w:rsidR="00877BAA">
        <w:t xml:space="preserve"> Specifically</w:t>
      </w:r>
      <w:r w:rsidRPr="00E83CD7">
        <w:t xml:space="preserve"> </w:t>
      </w:r>
      <w:r w:rsidR="00877BAA">
        <w:t xml:space="preserve">and similar to the instant request, </w:t>
      </w:r>
      <w:r w:rsidRPr="00E83CD7">
        <w:t xml:space="preserve">the Commission </w:t>
      </w:r>
      <w:r w:rsidR="001A695A" w:rsidRPr="00E83CD7">
        <w:t>wa</w:t>
      </w:r>
      <w:r w:rsidRPr="00E83CD7">
        <w:t>s being asked to approve increases in fue</w:t>
      </w:r>
      <w:r w:rsidR="0013185C">
        <w:t>l and capacity charges</w:t>
      </w:r>
      <w:r w:rsidRPr="00E83CD7">
        <w:t xml:space="preserve"> beginning with the first billing cycle of February 2022. </w:t>
      </w:r>
      <w:r w:rsidR="001A695A" w:rsidRPr="00E83CD7">
        <w:t xml:space="preserve">However, by letter dated January 3, 2022, </w:t>
      </w:r>
      <w:r w:rsidR="00E83CD7" w:rsidRPr="00E83CD7">
        <w:t xml:space="preserve">TECO </w:t>
      </w:r>
      <w:r w:rsidR="001A695A" w:rsidRPr="00E83CD7">
        <w:t>withdrew this request.</w:t>
      </w:r>
      <w:r w:rsidR="001A695A" w:rsidRPr="00E83CD7">
        <w:rPr>
          <w:rStyle w:val="FootnoteReference"/>
        </w:rPr>
        <w:footnoteReference w:id="7"/>
      </w:r>
      <w:r w:rsidR="001A695A" w:rsidRPr="00E83CD7">
        <w:t xml:space="preserve"> </w:t>
      </w:r>
      <w:r w:rsidR="00D7042D">
        <w:t>A</w:t>
      </w:r>
      <w:r w:rsidR="00F005B1" w:rsidRPr="00E83CD7">
        <w:t>s indicated by the</w:t>
      </w:r>
      <w:r w:rsidR="00E83CD7" w:rsidRPr="00E83CD7">
        <w:t xml:space="preserve"> instant</w:t>
      </w:r>
      <w:r w:rsidR="00F005B1" w:rsidRPr="00E83CD7">
        <w:t xml:space="preserve"> MCC filing, TECO determined that a mid-course correction of its 2022 customer fuel and capacity charges would </w:t>
      </w:r>
      <w:r w:rsidR="005679EB">
        <w:t>still</w:t>
      </w:r>
      <w:r w:rsidR="00E83CD7" w:rsidRPr="00E83CD7">
        <w:t xml:space="preserve"> </w:t>
      </w:r>
      <w:r w:rsidR="00F005B1" w:rsidRPr="00E83CD7">
        <w:t xml:space="preserve">be necessary. </w:t>
      </w:r>
      <w:r w:rsidR="00E83CD7" w:rsidRPr="00E83CD7">
        <w:t>By the instant MCC Petition, t</w:t>
      </w:r>
      <w:r w:rsidR="00F005B1" w:rsidRPr="00E83CD7">
        <w:t>he Company is requesting to collect the</w:t>
      </w:r>
      <w:r w:rsidR="00E83CD7" w:rsidRPr="00E83CD7">
        <w:t xml:space="preserve"> subject</w:t>
      </w:r>
      <w:r w:rsidR="00F005B1" w:rsidRPr="00E83CD7">
        <w:t xml:space="preserve"> </w:t>
      </w:r>
      <w:r w:rsidR="005679EB">
        <w:t xml:space="preserve">fuel cost </w:t>
      </w:r>
      <w:r w:rsidR="00F005B1" w:rsidRPr="00E83CD7">
        <w:t>under-recover</w:t>
      </w:r>
      <w:r w:rsidR="00555E88">
        <w:t>y</w:t>
      </w:r>
      <w:r w:rsidR="00F005B1" w:rsidRPr="00E83CD7">
        <w:t xml:space="preserve"> o</w:t>
      </w:r>
      <w:r w:rsidR="00E83CD7" w:rsidRPr="00E83CD7">
        <w:t>ver an 9</w:t>
      </w:r>
      <w:r w:rsidR="00F005B1" w:rsidRPr="00E83CD7">
        <w:t xml:space="preserve">-month period, or from </w:t>
      </w:r>
      <w:r w:rsidR="00E83CD7" w:rsidRPr="00E83CD7">
        <w:t>April</w:t>
      </w:r>
      <w:r w:rsidR="00F005B1" w:rsidRPr="00E83CD7">
        <w:t xml:space="preserve"> through December 2022.</w:t>
      </w:r>
    </w:p>
    <w:p w:rsidR="00F005B1" w:rsidRPr="00E26CF0" w:rsidRDefault="00F005B1" w:rsidP="00F005B1">
      <w:pPr>
        <w:pStyle w:val="BodyText"/>
        <w:spacing w:after="0"/>
        <w:rPr>
          <w:rFonts w:ascii="Arial" w:hAnsi="Arial" w:cs="Arial"/>
          <w:b/>
          <w:bCs/>
          <w:i/>
          <w:iCs/>
        </w:rPr>
      </w:pPr>
      <w:r w:rsidRPr="00E26CF0">
        <w:rPr>
          <w:rFonts w:ascii="Arial" w:hAnsi="Arial" w:cs="Arial"/>
          <w:b/>
          <w:bCs/>
          <w:i/>
          <w:iCs/>
        </w:rPr>
        <w:t>Mid-Course Correction – Capacity</w:t>
      </w:r>
    </w:p>
    <w:p w:rsidR="00F005B1" w:rsidRPr="00E26CF0" w:rsidRDefault="00E26CF0" w:rsidP="00F005B1">
      <w:pPr>
        <w:pStyle w:val="BodyText"/>
      </w:pPr>
      <w:r w:rsidRPr="00E26CF0">
        <w:t xml:space="preserve">As previously mentioned, </w:t>
      </w:r>
      <w:r w:rsidR="00F005B1" w:rsidRPr="00E26CF0">
        <w:t xml:space="preserve">TECO filed for a mid-course correction of its capacity charges along with its fuel mid-course correction. TECO states the projected </w:t>
      </w:r>
      <w:r w:rsidR="00877BAA">
        <w:t xml:space="preserve">capacity cost </w:t>
      </w:r>
      <w:r w:rsidR="00F005B1" w:rsidRPr="00E26CF0">
        <w:t>under-recovery is primarily caused by additional economically viable power purchases that include capacity premiums. As proposed, and in similar fashion to the fuel cost recovery proposal, the mid-course correction related to capacity costs wi</w:t>
      </w:r>
      <w:r w:rsidRPr="00E26CF0">
        <w:t>ll be collected over the same 9</w:t>
      </w:r>
      <w:r w:rsidR="00F005B1" w:rsidRPr="00E26CF0">
        <w:t>-month period</w:t>
      </w:r>
      <w:r w:rsidR="00555E88">
        <w:t xml:space="preserve"> as the fuel cost under-recovery</w:t>
      </w:r>
      <w:r w:rsidR="00F005B1" w:rsidRPr="00E26CF0">
        <w:t xml:space="preserve">, or from </w:t>
      </w:r>
      <w:r w:rsidRPr="00E26CF0">
        <w:t>April</w:t>
      </w:r>
      <w:r w:rsidR="00F005B1" w:rsidRPr="00E26CF0">
        <w:t xml:space="preserve"> through December 2022.</w:t>
      </w:r>
    </w:p>
    <w:p w:rsidR="00F005B1" w:rsidRPr="009D40FA" w:rsidRDefault="00F005B1" w:rsidP="00F005B1">
      <w:pPr>
        <w:pStyle w:val="BodyText"/>
        <w:spacing w:after="0"/>
        <w:rPr>
          <w:rFonts w:ascii="Arial" w:hAnsi="Arial" w:cs="Arial"/>
          <w:b/>
          <w:i/>
        </w:rPr>
      </w:pPr>
      <w:r w:rsidRPr="009D40FA">
        <w:rPr>
          <w:rFonts w:ascii="Arial" w:hAnsi="Arial" w:cs="Arial"/>
          <w:b/>
          <w:i/>
        </w:rPr>
        <w:t>Period-Ending 2021 Recovery Positions</w:t>
      </w:r>
    </w:p>
    <w:p w:rsidR="00F005B1" w:rsidRPr="009D40FA" w:rsidRDefault="00F005B1" w:rsidP="00F005B1">
      <w:pPr>
        <w:pStyle w:val="BodyText"/>
        <w:spacing w:after="0"/>
      </w:pPr>
    </w:p>
    <w:p w:rsidR="00F005B1" w:rsidRPr="009D40FA" w:rsidRDefault="00F005B1" w:rsidP="00F005B1">
      <w:pPr>
        <w:pStyle w:val="BodyText"/>
        <w:spacing w:after="0"/>
        <w:rPr>
          <w:rFonts w:ascii="Arial" w:hAnsi="Arial" w:cs="Arial"/>
          <w:b/>
          <w:i/>
        </w:rPr>
      </w:pPr>
      <w:r w:rsidRPr="009D40FA">
        <w:rPr>
          <w:rFonts w:ascii="Arial" w:hAnsi="Arial" w:cs="Arial"/>
          <w:b/>
          <w:i/>
        </w:rPr>
        <w:tab/>
        <w:t>Fuel</w:t>
      </w:r>
    </w:p>
    <w:p w:rsidR="00F005B1" w:rsidRPr="00F005B1" w:rsidRDefault="00F005B1" w:rsidP="00F005B1">
      <w:pPr>
        <w:pStyle w:val="BodyText"/>
        <w:rPr>
          <w:highlight w:val="yellow"/>
        </w:rPr>
      </w:pPr>
      <w:r w:rsidRPr="009D40FA">
        <w:t xml:space="preserve">For 2021, TECO initially projected through its actual/estimated filing a fuel </w:t>
      </w:r>
      <w:r w:rsidR="00877BAA">
        <w:t xml:space="preserve">cost </w:t>
      </w:r>
      <w:r w:rsidRPr="009D40FA">
        <w:t>under-recovery of ($32</w:t>
      </w:r>
      <w:r w:rsidR="0013185C">
        <w:t>5,418), which is the amount recogniz</w:t>
      </w:r>
      <w:r w:rsidRPr="009D40FA">
        <w:t>ed in the currently-authorized 2022 fuel factors.</w:t>
      </w:r>
      <w:r w:rsidRPr="009D40FA">
        <w:rPr>
          <w:rStyle w:val="FootnoteReference"/>
        </w:rPr>
        <w:footnoteReference w:id="8"/>
      </w:r>
      <w:r w:rsidRPr="009D40FA">
        <w:t xml:space="preserve"> Recognized in the derivation of this amount were the dollars (under-recovery) included in </w:t>
      </w:r>
      <w:r w:rsidRPr="000A461B">
        <w:t>TECO’s first mid-course correction filing of 2021, which the Commission ultimately approved in the amount of ($73,680,277).</w:t>
      </w:r>
      <w:r w:rsidRPr="000A461B">
        <w:rPr>
          <w:rStyle w:val="FootnoteReference"/>
        </w:rPr>
        <w:footnoteReference w:id="9"/>
      </w:r>
      <w:r w:rsidRPr="000A461B">
        <w:t xml:space="preserve"> However</w:t>
      </w:r>
      <w:r w:rsidR="00DF030E" w:rsidRPr="000A461B">
        <w:t>, TECO now reports</w:t>
      </w:r>
      <w:r w:rsidR="000B47A1">
        <w:t xml:space="preserve"> through this</w:t>
      </w:r>
      <w:r w:rsidRPr="000A461B">
        <w:t xml:space="preserve"> MCC Petition an additional </w:t>
      </w:r>
      <w:r w:rsidR="0013185C">
        <w:t xml:space="preserve">(actual) </w:t>
      </w:r>
      <w:r w:rsidRPr="000A461B">
        <w:t>period-en</w:t>
      </w:r>
      <w:r w:rsidR="00DF030E" w:rsidRPr="000A461B">
        <w:t>ding 2021 under-recovery of ($72</w:t>
      </w:r>
      <w:r w:rsidRPr="000A461B">
        <w:t>,</w:t>
      </w:r>
      <w:r w:rsidR="00DF030E" w:rsidRPr="000A461B">
        <w:t>171</w:t>
      </w:r>
      <w:r w:rsidRPr="000A461B">
        <w:t>,</w:t>
      </w:r>
      <w:r w:rsidR="00DF030E" w:rsidRPr="000A461B">
        <w:t>466</w:t>
      </w:r>
      <w:r w:rsidRPr="000A461B">
        <w:t>).</w:t>
      </w:r>
      <w:r w:rsidRPr="000A461B">
        <w:rPr>
          <w:rStyle w:val="FootnoteReference"/>
        </w:rPr>
        <w:footnoteReference w:id="10"/>
      </w:r>
      <w:r w:rsidRPr="000A461B">
        <w:t xml:space="preserve"> This a</w:t>
      </w:r>
      <w:r w:rsidRPr="009D40FA">
        <w:t>dditional 2021 under-recovery is being</w:t>
      </w:r>
      <w:r w:rsidR="009D40FA" w:rsidRPr="009D40FA">
        <w:t xml:space="preserve"> proposed for collection</w:t>
      </w:r>
      <w:r w:rsidRPr="009D40FA">
        <w:t xml:space="preserve"> as part of this mid-course correction.</w:t>
      </w:r>
    </w:p>
    <w:p w:rsidR="00F005B1" w:rsidRPr="009D40FA" w:rsidRDefault="00F005B1" w:rsidP="00F005B1">
      <w:pPr>
        <w:pStyle w:val="BodyText"/>
        <w:spacing w:after="0"/>
        <w:rPr>
          <w:rFonts w:ascii="Arial" w:hAnsi="Arial" w:cs="Arial"/>
          <w:b/>
          <w:i/>
        </w:rPr>
      </w:pPr>
      <w:r w:rsidRPr="009D40FA">
        <w:rPr>
          <w:rFonts w:ascii="Arial" w:hAnsi="Arial" w:cs="Arial"/>
          <w:b/>
          <w:i/>
        </w:rPr>
        <w:tab/>
        <w:t>Capacity</w:t>
      </w:r>
    </w:p>
    <w:p w:rsidR="00F005B1" w:rsidRPr="00F005B1" w:rsidRDefault="00F005B1" w:rsidP="00F005B1">
      <w:pPr>
        <w:pStyle w:val="BodyText"/>
        <w:rPr>
          <w:highlight w:val="yellow"/>
        </w:rPr>
      </w:pPr>
      <w:r w:rsidRPr="009D40FA">
        <w:t>Concerning TECO’s capacity costs, the Company initially projected through its 2021 actual/estimated filing a</w:t>
      </w:r>
      <w:r w:rsidR="00877BAA">
        <w:t>n</w:t>
      </w:r>
      <w:r w:rsidRPr="009D40FA">
        <w:t xml:space="preserve"> under-recovery of ($25,180), which is the amount recognized in the currently-authorized 2022 capacity factors.</w:t>
      </w:r>
      <w:r w:rsidRPr="009D40FA">
        <w:rPr>
          <w:rStyle w:val="FootnoteReference"/>
        </w:rPr>
        <w:footnoteReference w:id="11"/>
      </w:r>
      <w:r w:rsidR="00877BAA">
        <w:t xml:space="preserve"> Included in the derivation of</w:t>
      </w:r>
      <w:r w:rsidRPr="009D40FA">
        <w:t xml:space="preserve"> this amount are the dollars (under-recovery) included in </w:t>
      </w:r>
      <w:r w:rsidRPr="00556330">
        <w:t>TECO’s first mid-course correction filing of 2021, which the Commission ultimately approved in the amount of ($9,628,629).</w:t>
      </w:r>
      <w:r w:rsidRPr="00556330">
        <w:rPr>
          <w:rStyle w:val="FootnoteReference"/>
        </w:rPr>
        <w:footnoteReference w:id="12"/>
      </w:r>
      <w:r w:rsidRPr="009D40FA">
        <w:t xml:space="preserve"> </w:t>
      </w:r>
      <w:r w:rsidR="00556330">
        <w:t>However, TECO’s actual</w:t>
      </w:r>
      <w:r w:rsidRPr="00556330">
        <w:t xml:space="preserve"> period-ending 2021 </w:t>
      </w:r>
      <w:r w:rsidR="00556330">
        <w:t xml:space="preserve">capacity position is an </w:t>
      </w:r>
      <w:r w:rsidR="00556330" w:rsidRPr="00556330">
        <w:t>under</w:t>
      </w:r>
      <w:r w:rsidRPr="00556330">
        <w:t xml:space="preserve">-recovery of </w:t>
      </w:r>
      <w:r w:rsidR="00556330" w:rsidRPr="00556330">
        <w:t>(</w:t>
      </w:r>
      <w:r w:rsidRPr="00556330">
        <w:t>$</w:t>
      </w:r>
      <w:r w:rsidR="00556330" w:rsidRPr="00556330">
        <w:t>39,496)</w:t>
      </w:r>
      <w:r w:rsidRPr="00556330">
        <w:t>.</w:t>
      </w:r>
      <w:r w:rsidRPr="00556330">
        <w:rPr>
          <w:rStyle w:val="FootnoteReference"/>
        </w:rPr>
        <w:footnoteReference w:id="13"/>
      </w:r>
      <w:r w:rsidR="00556330">
        <w:t xml:space="preserve"> The</w:t>
      </w:r>
      <w:r w:rsidRPr="00556330">
        <w:t xml:space="preserve"> a</w:t>
      </w:r>
      <w:r w:rsidR="00556330">
        <w:t>ctua</w:t>
      </w:r>
      <w:r w:rsidR="00556330" w:rsidRPr="00556330">
        <w:t xml:space="preserve">l 2021 </w:t>
      </w:r>
      <w:r w:rsidR="00556330">
        <w:t xml:space="preserve">capacity </w:t>
      </w:r>
      <w:r w:rsidR="00556330" w:rsidRPr="00556330">
        <w:t>und</w:t>
      </w:r>
      <w:r w:rsidRPr="00556330">
        <w:t>er-recov</w:t>
      </w:r>
      <w:r w:rsidR="00556330">
        <w:t>ery is being proposed for collection</w:t>
      </w:r>
      <w:r w:rsidRPr="00556330">
        <w:t xml:space="preserve"> as part of this mid-course correction.</w:t>
      </w:r>
    </w:p>
    <w:p w:rsidR="00F005B1" w:rsidRPr="00687784" w:rsidRDefault="00F005B1" w:rsidP="00F005B1">
      <w:pPr>
        <w:pStyle w:val="BodyText"/>
        <w:spacing w:after="0"/>
        <w:rPr>
          <w:rFonts w:ascii="Arial" w:hAnsi="Arial" w:cs="Arial"/>
          <w:b/>
          <w:i/>
        </w:rPr>
      </w:pPr>
      <w:r w:rsidRPr="00687784">
        <w:rPr>
          <w:rFonts w:ascii="Arial" w:hAnsi="Arial" w:cs="Arial"/>
          <w:b/>
          <w:i/>
        </w:rPr>
        <w:t>Projected 2022 Recovery Positions</w:t>
      </w:r>
    </w:p>
    <w:p w:rsidR="00F005B1" w:rsidRPr="00687784" w:rsidRDefault="00F005B1" w:rsidP="00F005B1">
      <w:pPr>
        <w:pStyle w:val="BodyText"/>
        <w:spacing w:after="0"/>
      </w:pPr>
    </w:p>
    <w:p w:rsidR="00F005B1" w:rsidRPr="00F005B1" w:rsidRDefault="00F005B1" w:rsidP="00F005B1">
      <w:pPr>
        <w:pStyle w:val="BodyText"/>
        <w:spacing w:after="0"/>
        <w:rPr>
          <w:rFonts w:ascii="Arial" w:hAnsi="Arial" w:cs="Arial"/>
          <w:b/>
          <w:i/>
          <w:highlight w:val="yellow"/>
        </w:rPr>
      </w:pPr>
      <w:r w:rsidRPr="00687784">
        <w:rPr>
          <w:rFonts w:ascii="Arial" w:hAnsi="Arial" w:cs="Arial"/>
          <w:b/>
          <w:i/>
        </w:rPr>
        <w:tab/>
        <w:t>Fuel</w:t>
      </w:r>
    </w:p>
    <w:p w:rsidR="00F005B1" w:rsidRPr="00633FEB" w:rsidRDefault="00F005B1" w:rsidP="00F005B1">
      <w:pPr>
        <w:pStyle w:val="BodyText"/>
        <w:spacing w:after="0"/>
      </w:pPr>
      <w:r w:rsidRPr="00633FEB">
        <w:t xml:space="preserve">TECO’s original 2022 fuel cost projection filed for the purposes of cost recovery was on September 3, 2021, as part of its </w:t>
      </w:r>
      <w:r w:rsidRPr="00633FEB">
        <w:rPr>
          <w:iCs/>
        </w:rPr>
        <w:t>Petition for Approval of Fuel Cost Recovery and Capacity Cost Recovery Factors for January 2022 through December 2022</w:t>
      </w:r>
      <w:r w:rsidRPr="00633FEB">
        <w:t>.</w:t>
      </w:r>
      <w:r w:rsidRPr="00633FEB">
        <w:rPr>
          <w:rStyle w:val="FootnoteReference"/>
        </w:rPr>
        <w:footnoteReference w:id="14"/>
      </w:r>
      <w:r w:rsidRPr="00633FEB">
        <w:t xml:space="preserve"> TECO subsequently amended this filing on October 1, 2021 to capture certain associated effects of its then-proposed 2021 base rate settlement.</w:t>
      </w:r>
      <w:r w:rsidRPr="00633FEB">
        <w:rPr>
          <w:rStyle w:val="FootnoteReference"/>
        </w:rPr>
        <w:footnoteReference w:id="15"/>
      </w:r>
      <w:r w:rsidRPr="00633FEB">
        <w:t xml:space="preserve"> Staff notes the requested level of fuel cost recovery remained the same between the two filings. The Commission ultimately approved the 2021 base rate settlement on October 21, 2021.</w:t>
      </w:r>
      <w:r w:rsidRPr="00633FEB">
        <w:rPr>
          <w:rStyle w:val="FootnoteReference"/>
        </w:rPr>
        <w:footnoteReference w:id="16"/>
      </w:r>
    </w:p>
    <w:p w:rsidR="00F005B1" w:rsidRPr="00784ED5" w:rsidRDefault="00F005B1" w:rsidP="00F005B1">
      <w:pPr>
        <w:pStyle w:val="BodyText"/>
        <w:spacing w:after="0"/>
      </w:pPr>
    </w:p>
    <w:p w:rsidR="00F005B1" w:rsidRDefault="00F005B1" w:rsidP="00F005B1">
      <w:pPr>
        <w:pStyle w:val="BodyText"/>
        <w:spacing w:after="0"/>
      </w:pPr>
      <w:r w:rsidRPr="00784ED5">
        <w:t>The underlying market-based natural gas price data used to produce the original 2022 projec</w:t>
      </w:r>
      <w:r w:rsidR="006569D7">
        <w:t>tion was sourced the week-ended</w:t>
      </w:r>
      <w:r w:rsidRPr="00784ED5">
        <w:t xml:space="preserve"> July 2, 2021.</w:t>
      </w:r>
      <w:r w:rsidRPr="00784ED5">
        <w:rPr>
          <w:rStyle w:val="FootnoteReference"/>
        </w:rPr>
        <w:footnoteReference w:id="17"/>
      </w:r>
      <w:r w:rsidRPr="00784ED5">
        <w:t xml:space="preserve"> This projection of future natural gas prices was used to produce an average 2022 natural gas cost (including delivery) of $4.30 per million British thermal unit (MMBtu).</w:t>
      </w:r>
      <w:r w:rsidRPr="00784ED5">
        <w:rPr>
          <w:rStyle w:val="FootnoteReference"/>
        </w:rPr>
        <w:footnoteReference w:id="18"/>
      </w:r>
      <w:r w:rsidRPr="00784ED5">
        <w:t xml:space="preserve"> However, as </w:t>
      </w:r>
      <w:r w:rsidR="006E647A">
        <w:t>shown</w:t>
      </w:r>
      <w:r w:rsidRPr="00784ED5">
        <w:t xml:space="preserve"> in the MCC Petition, TECO now projects its average cost of n</w:t>
      </w:r>
      <w:r w:rsidR="00784ED5" w:rsidRPr="00784ED5">
        <w:t xml:space="preserve">atural gas in </w:t>
      </w:r>
      <w:r w:rsidR="00784ED5" w:rsidRPr="00C65E64">
        <w:t>2022 will be $4.98</w:t>
      </w:r>
      <w:r w:rsidRPr="00C65E64">
        <w:t xml:space="preserve"> per MMBtu</w:t>
      </w:r>
      <w:r w:rsidRPr="00105164">
        <w:t xml:space="preserve">, </w:t>
      </w:r>
      <w:r w:rsidR="00105164" w:rsidRPr="00105164">
        <w:t>representing an increase of 15</w:t>
      </w:r>
      <w:r w:rsidRPr="00105164">
        <w:t>.</w:t>
      </w:r>
      <w:r w:rsidR="00105164" w:rsidRPr="00105164">
        <w:t>8</w:t>
      </w:r>
      <w:r w:rsidRPr="00C65E64">
        <w:t xml:space="preserve"> percent.</w:t>
      </w:r>
      <w:r w:rsidRPr="00C65E64">
        <w:rPr>
          <w:rStyle w:val="FootnoteReference"/>
        </w:rPr>
        <w:footnoteReference w:id="19"/>
      </w:r>
      <w:r w:rsidRPr="00C65E64">
        <w:t xml:space="preserve"> The updated cost projection was based on a five-day</w:t>
      </w:r>
      <w:r w:rsidR="008C05D1">
        <w:t xml:space="preserve"> average of</w:t>
      </w:r>
      <w:r w:rsidR="000328A3">
        <w:t xml:space="preserve"> monthly 2022</w:t>
      </w:r>
      <w:r w:rsidR="008C05D1">
        <w:t xml:space="preserve"> natural gas </w:t>
      </w:r>
      <w:r w:rsidR="000328A3">
        <w:t xml:space="preserve">futures </w:t>
      </w:r>
      <w:r w:rsidR="006569D7">
        <w:t>ended</w:t>
      </w:r>
      <w:r w:rsidR="00C65E64" w:rsidRPr="00C65E64">
        <w:t xml:space="preserve"> January 5, 2022</w:t>
      </w:r>
      <w:r w:rsidRPr="00C65E64">
        <w:t>.</w:t>
      </w:r>
      <w:r w:rsidRPr="00C65E64">
        <w:rPr>
          <w:rStyle w:val="FootnoteReference"/>
        </w:rPr>
        <w:footnoteReference w:id="20"/>
      </w:r>
    </w:p>
    <w:p w:rsidR="00000469" w:rsidRDefault="00000469" w:rsidP="00F005B1">
      <w:pPr>
        <w:pStyle w:val="BodyText"/>
        <w:spacing w:after="0"/>
      </w:pPr>
    </w:p>
    <w:p w:rsidR="00000469" w:rsidRPr="00000469" w:rsidRDefault="00877BAA" w:rsidP="00000469">
      <w:pPr>
        <w:pStyle w:val="BodyText"/>
      </w:pPr>
      <w:r>
        <w:t>For comparative purposes, s</w:t>
      </w:r>
      <w:r w:rsidR="00000469" w:rsidRPr="00000469">
        <w:t xml:space="preserve">taff </w:t>
      </w:r>
      <w:r>
        <w:t>evaluated</w:t>
      </w:r>
      <w:r w:rsidR="00000469" w:rsidRPr="00000469">
        <w:t xml:space="preserve"> the March through December 2022 commodity-only, i.e., excluding delivery cost, price projection for natural gas underlying the Company’s m</w:t>
      </w:r>
      <w:r w:rsidR="00C977BB">
        <w:t>id-course correction filing to</w:t>
      </w:r>
      <w:r w:rsidR="00000469" w:rsidRPr="00000469">
        <w:t xml:space="preserve"> current market prices.</w:t>
      </w:r>
      <w:r w:rsidR="00000469" w:rsidRPr="00000469">
        <w:rPr>
          <w:vertAlign w:val="superscript"/>
        </w:rPr>
        <w:footnoteReference w:id="21"/>
      </w:r>
      <w:r w:rsidR="00000469" w:rsidRPr="00000469">
        <w:t xml:space="preserve"> Staff observes the arithmetic average of TECO’s commodity-only natural gas price projection for the 10-month period, or March through Decemb</w:t>
      </w:r>
      <w:r w:rsidR="00000469" w:rsidRPr="000328A3">
        <w:t xml:space="preserve">er 2022, is </w:t>
      </w:r>
      <w:r w:rsidR="009B2626" w:rsidRPr="000328A3">
        <w:t>$3</w:t>
      </w:r>
      <w:r w:rsidR="00000469" w:rsidRPr="000328A3">
        <w:t>.</w:t>
      </w:r>
      <w:r w:rsidR="009B2626" w:rsidRPr="000328A3">
        <w:t>70</w:t>
      </w:r>
      <w:r w:rsidR="00000469" w:rsidRPr="00000469">
        <w:t xml:space="preserve"> per MMBtu.</w:t>
      </w:r>
      <w:r w:rsidR="00000469" w:rsidRPr="00000469">
        <w:rPr>
          <w:vertAlign w:val="superscript"/>
        </w:rPr>
        <w:footnoteReference w:id="22"/>
      </w:r>
      <w:r w:rsidR="00000469" w:rsidRPr="00000469">
        <w:t xml:space="preserve"> As previously indicated, TECO’s pricing information</w:t>
      </w:r>
      <w:r w:rsidR="009B2626" w:rsidRPr="009B2626">
        <w:t xml:space="preserve"> </w:t>
      </w:r>
      <w:r w:rsidR="009B2626" w:rsidRPr="00C65E64">
        <w:t xml:space="preserve">was based on a five-day average of </w:t>
      </w:r>
      <w:r w:rsidR="000328A3">
        <w:t xml:space="preserve">monthly 2022 </w:t>
      </w:r>
      <w:r w:rsidR="006569D7">
        <w:t>natural gas futures ended</w:t>
      </w:r>
      <w:r w:rsidR="009B2626" w:rsidRPr="00C65E64">
        <w:t xml:space="preserve"> January 5, </w:t>
      </w:r>
      <w:r w:rsidR="009B2626" w:rsidRPr="00F20B34">
        <w:t>2022</w:t>
      </w:r>
      <w:r w:rsidR="00000469" w:rsidRPr="00F20B34">
        <w:t>. Usi</w:t>
      </w:r>
      <w:r w:rsidR="00000469" w:rsidRPr="00000469">
        <w:t>ng more-current data, or informatio</w:t>
      </w:r>
      <w:r w:rsidR="00000469" w:rsidRPr="00147F13">
        <w:t xml:space="preserve">n sourced on February </w:t>
      </w:r>
      <w:r w:rsidR="00147F13" w:rsidRPr="00147F13">
        <w:t>3</w:t>
      </w:r>
      <w:r w:rsidR="00000469" w:rsidRPr="00147F13">
        <w:t>, 2022, staff calculates an average natural gas (commodity-only) price of $</w:t>
      </w:r>
      <w:r w:rsidR="00147F13" w:rsidRPr="00147F13">
        <w:t>4</w:t>
      </w:r>
      <w:r w:rsidR="00000469" w:rsidRPr="00147F13">
        <w:t>.</w:t>
      </w:r>
      <w:r w:rsidR="00147F13" w:rsidRPr="00147F13">
        <w:t xml:space="preserve">83 </w:t>
      </w:r>
      <w:r w:rsidR="00000469" w:rsidRPr="00147F13">
        <w:t>per MMBtu for the same 10-month period. The results of this comparison</w:t>
      </w:r>
      <w:r w:rsidR="0020449F">
        <w:t xml:space="preserve"> (at the time performed)</w:t>
      </w:r>
      <w:r w:rsidR="00000469" w:rsidRPr="00147F13">
        <w:t xml:space="preserve"> indicate that natural gas prices over the subject period have increased</w:t>
      </w:r>
      <w:r w:rsidR="00000469" w:rsidRPr="00000469">
        <w:t xml:space="preserve"> since the development of the MCC Petition. However, staff notes that natural gas prices are continuously subje</w:t>
      </w:r>
      <w:r w:rsidR="00000469">
        <w:t>ct to</w:t>
      </w:r>
      <w:r w:rsidR="00000469" w:rsidRPr="00000469">
        <w:t xml:space="preserve"> market (and other) forces and therefore can be volatile.</w:t>
      </w:r>
    </w:p>
    <w:p w:rsidR="00F005B1" w:rsidRPr="006342C8" w:rsidRDefault="00F005B1" w:rsidP="00F005B1">
      <w:pPr>
        <w:pStyle w:val="BodyText"/>
        <w:spacing w:after="0"/>
      </w:pPr>
      <w:r w:rsidRPr="006342C8">
        <w:t xml:space="preserve">Table 1-1 below shows the </w:t>
      </w:r>
      <w:r w:rsidR="006342C8" w:rsidRPr="006342C8">
        <w:t>t</w:t>
      </w:r>
      <w:r w:rsidR="009B2626" w:rsidRPr="006342C8">
        <w:t xml:space="preserve">otal </w:t>
      </w:r>
      <w:r w:rsidR="006342C8" w:rsidRPr="006342C8">
        <w:t>fuel and net power costs</w:t>
      </w:r>
      <w:r w:rsidRPr="006342C8">
        <w:t xml:space="preserve"> associated with the original and updated projections of 2022, as well as the components of the total mid-course correction true-up amount (estimated 2022 End-of-Period Total Net True-up). </w:t>
      </w:r>
    </w:p>
    <w:p w:rsidR="00F005B1" w:rsidRDefault="00F005B1" w:rsidP="00F005B1">
      <w:pPr>
        <w:pStyle w:val="BodyText"/>
        <w:spacing w:after="0"/>
        <w:rPr>
          <w:highlight w:val="yellow"/>
        </w:rPr>
      </w:pPr>
    </w:p>
    <w:p w:rsidR="00BA3D47" w:rsidRDefault="00BA3D47" w:rsidP="00F005B1">
      <w:pPr>
        <w:pStyle w:val="BodyText"/>
        <w:spacing w:after="0"/>
        <w:rPr>
          <w:highlight w:val="yellow"/>
        </w:rPr>
      </w:pPr>
    </w:p>
    <w:p w:rsidR="00BA3D47" w:rsidRPr="00F005B1" w:rsidRDefault="00BA3D47" w:rsidP="00F005B1">
      <w:pPr>
        <w:pStyle w:val="BodyText"/>
        <w:spacing w:after="0"/>
        <w:rPr>
          <w:highlight w:val="yellow"/>
        </w:rPr>
      </w:pPr>
    </w:p>
    <w:p w:rsidR="00F005B1" w:rsidRPr="00F005B1" w:rsidRDefault="00F005B1" w:rsidP="00F005B1">
      <w:pPr>
        <w:pStyle w:val="BodyText"/>
        <w:spacing w:after="0"/>
        <w:rPr>
          <w:highlight w:val="yellow"/>
        </w:rPr>
      </w:pPr>
    </w:p>
    <w:tbl>
      <w:tblPr>
        <w:tblStyle w:val="TableGrid"/>
        <w:tblW w:w="4887" w:type="pct"/>
        <w:tblInd w:w="108" w:type="dxa"/>
        <w:tblLook w:val="04A0" w:firstRow="1" w:lastRow="0" w:firstColumn="1" w:lastColumn="0" w:noHBand="0" w:noVBand="1"/>
      </w:tblPr>
      <w:tblGrid>
        <w:gridCol w:w="4556"/>
        <w:gridCol w:w="1597"/>
        <w:gridCol w:w="1621"/>
        <w:gridCol w:w="1586"/>
      </w:tblGrid>
      <w:tr w:rsidR="00F005B1" w:rsidRPr="00503427" w:rsidTr="00687784">
        <w:tc>
          <w:tcPr>
            <w:tcW w:w="5000" w:type="pct"/>
            <w:gridSpan w:val="4"/>
            <w:tcBorders>
              <w:top w:val="nil"/>
              <w:left w:val="nil"/>
              <w:bottom w:val="nil"/>
              <w:right w:val="nil"/>
            </w:tcBorders>
            <w:vAlign w:val="center"/>
          </w:tcPr>
          <w:p w:rsidR="00F005B1" w:rsidRPr="00503427" w:rsidRDefault="00F005B1" w:rsidP="00687784">
            <w:pPr>
              <w:jc w:val="center"/>
              <w:rPr>
                <w:rFonts w:ascii="Arial" w:hAnsi="Arial" w:cs="Arial"/>
                <w:b/>
                <w:bCs/>
                <w:color w:val="000000"/>
              </w:rPr>
            </w:pPr>
            <w:r w:rsidRPr="00503427">
              <w:rPr>
                <w:rFonts w:ascii="Arial" w:hAnsi="Arial" w:cs="Arial"/>
                <w:b/>
                <w:bCs/>
                <w:color w:val="000000"/>
              </w:rPr>
              <w:t>Table 1-1</w:t>
            </w:r>
          </w:p>
        </w:tc>
      </w:tr>
      <w:tr w:rsidR="00F005B1" w:rsidRPr="00503427" w:rsidTr="00687784">
        <w:tc>
          <w:tcPr>
            <w:tcW w:w="5000" w:type="pct"/>
            <w:gridSpan w:val="4"/>
            <w:tcBorders>
              <w:top w:val="nil"/>
              <w:left w:val="nil"/>
              <w:bottom w:val="single" w:sz="4" w:space="0" w:color="auto"/>
              <w:right w:val="nil"/>
            </w:tcBorders>
            <w:vAlign w:val="center"/>
          </w:tcPr>
          <w:p w:rsidR="00F005B1" w:rsidRPr="00503427" w:rsidRDefault="00F005B1" w:rsidP="00687784">
            <w:pPr>
              <w:jc w:val="center"/>
              <w:rPr>
                <w:rFonts w:ascii="Arial" w:hAnsi="Arial" w:cs="Arial"/>
                <w:b/>
                <w:bCs/>
                <w:color w:val="000000"/>
              </w:rPr>
            </w:pPr>
            <w:r w:rsidRPr="00503427">
              <w:rPr>
                <w:rFonts w:ascii="Arial" w:hAnsi="Arial" w:cs="Arial"/>
                <w:b/>
                <w:bCs/>
                <w:color w:val="000000"/>
              </w:rPr>
              <w:t>Fuel Mid-Course Correction</w:t>
            </w:r>
          </w:p>
        </w:tc>
      </w:tr>
      <w:tr w:rsidR="00F005B1" w:rsidRPr="00503427" w:rsidTr="00EF0BBB">
        <w:tc>
          <w:tcPr>
            <w:tcW w:w="2434" w:type="pct"/>
            <w:tcBorders>
              <w:top w:val="single" w:sz="4" w:space="0" w:color="auto"/>
            </w:tcBorders>
            <w:vAlign w:val="center"/>
          </w:tcPr>
          <w:p w:rsidR="00F005B1" w:rsidRPr="00503427" w:rsidRDefault="00F005B1" w:rsidP="00687784">
            <w:pPr>
              <w:jc w:val="center"/>
              <w:rPr>
                <w:b/>
                <w:sz w:val="22"/>
                <w:szCs w:val="22"/>
              </w:rPr>
            </w:pPr>
            <w:r w:rsidRPr="00503427">
              <w:rPr>
                <w:b/>
                <w:sz w:val="22"/>
                <w:szCs w:val="22"/>
              </w:rPr>
              <w:t>Category</w:t>
            </w:r>
          </w:p>
        </w:tc>
        <w:tc>
          <w:tcPr>
            <w:tcW w:w="853" w:type="pct"/>
            <w:tcBorders>
              <w:top w:val="single" w:sz="4" w:space="0" w:color="auto"/>
            </w:tcBorders>
            <w:vAlign w:val="center"/>
          </w:tcPr>
          <w:p w:rsidR="00F005B1" w:rsidRPr="00503427" w:rsidRDefault="00F005B1" w:rsidP="00687784">
            <w:pPr>
              <w:jc w:val="center"/>
              <w:rPr>
                <w:b/>
                <w:sz w:val="22"/>
                <w:szCs w:val="22"/>
              </w:rPr>
            </w:pPr>
            <w:r w:rsidRPr="00503427">
              <w:rPr>
                <w:b/>
                <w:sz w:val="22"/>
                <w:szCs w:val="22"/>
              </w:rPr>
              <w:t>Original Projection</w:t>
            </w:r>
            <w:r w:rsidR="00503427" w:rsidRPr="00503427">
              <w:rPr>
                <w:rStyle w:val="FootnoteReference"/>
                <w:sz w:val="22"/>
                <w:szCs w:val="22"/>
              </w:rPr>
              <w:footnoteReference w:id="23"/>
            </w:r>
          </w:p>
          <w:p w:rsidR="00F005B1" w:rsidRPr="00503427" w:rsidRDefault="00F005B1" w:rsidP="00687784">
            <w:pPr>
              <w:jc w:val="center"/>
              <w:rPr>
                <w:b/>
                <w:sz w:val="22"/>
                <w:szCs w:val="22"/>
              </w:rPr>
            </w:pPr>
            <w:r w:rsidRPr="00503427">
              <w:rPr>
                <w:b/>
                <w:sz w:val="22"/>
                <w:szCs w:val="22"/>
              </w:rPr>
              <w:t>($)</w:t>
            </w:r>
          </w:p>
        </w:tc>
        <w:tc>
          <w:tcPr>
            <w:tcW w:w="866" w:type="pct"/>
            <w:tcBorders>
              <w:top w:val="single" w:sz="4" w:space="0" w:color="auto"/>
            </w:tcBorders>
            <w:vAlign w:val="center"/>
          </w:tcPr>
          <w:p w:rsidR="00F005B1" w:rsidRPr="00503427" w:rsidRDefault="00F005B1" w:rsidP="00687784">
            <w:pPr>
              <w:jc w:val="center"/>
              <w:rPr>
                <w:b/>
                <w:sz w:val="22"/>
                <w:szCs w:val="22"/>
              </w:rPr>
            </w:pPr>
            <w:r w:rsidRPr="00503427">
              <w:rPr>
                <w:b/>
                <w:sz w:val="22"/>
                <w:szCs w:val="22"/>
              </w:rPr>
              <w:t>Mid-Course</w:t>
            </w:r>
          </w:p>
          <w:p w:rsidR="00F005B1" w:rsidRPr="00503427" w:rsidRDefault="00F005B1" w:rsidP="00687784">
            <w:pPr>
              <w:jc w:val="center"/>
              <w:rPr>
                <w:b/>
                <w:sz w:val="22"/>
                <w:szCs w:val="22"/>
              </w:rPr>
            </w:pPr>
            <w:r w:rsidRPr="00503427">
              <w:rPr>
                <w:b/>
                <w:sz w:val="22"/>
                <w:szCs w:val="22"/>
              </w:rPr>
              <w:t>Projection</w:t>
            </w:r>
          </w:p>
          <w:p w:rsidR="00F005B1" w:rsidRPr="00503427" w:rsidRDefault="00F005B1" w:rsidP="00687784">
            <w:pPr>
              <w:jc w:val="center"/>
              <w:rPr>
                <w:b/>
                <w:sz w:val="22"/>
                <w:szCs w:val="22"/>
              </w:rPr>
            </w:pPr>
            <w:r w:rsidRPr="00503427">
              <w:rPr>
                <w:b/>
                <w:sz w:val="22"/>
                <w:szCs w:val="22"/>
              </w:rPr>
              <w:t>($)</w:t>
            </w:r>
          </w:p>
        </w:tc>
        <w:tc>
          <w:tcPr>
            <w:tcW w:w="847" w:type="pct"/>
            <w:tcBorders>
              <w:top w:val="single" w:sz="4" w:space="0" w:color="auto"/>
            </w:tcBorders>
            <w:vAlign w:val="center"/>
          </w:tcPr>
          <w:p w:rsidR="00F005B1" w:rsidRPr="00503427" w:rsidRDefault="00F005B1" w:rsidP="00687784">
            <w:pPr>
              <w:jc w:val="center"/>
              <w:rPr>
                <w:b/>
                <w:sz w:val="22"/>
                <w:szCs w:val="22"/>
              </w:rPr>
            </w:pPr>
            <w:r w:rsidRPr="00503427">
              <w:rPr>
                <w:b/>
                <w:sz w:val="22"/>
                <w:szCs w:val="22"/>
              </w:rPr>
              <w:t>Difference from Original Projection</w:t>
            </w:r>
          </w:p>
          <w:p w:rsidR="00F005B1" w:rsidRPr="00503427" w:rsidRDefault="00F005B1" w:rsidP="00687784">
            <w:pPr>
              <w:jc w:val="center"/>
              <w:rPr>
                <w:b/>
                <w:sz w:val="22"/>
                <w:szCs w:val="22"/>
              </w:rPr>
            </w:pPr>
            <w:r w:rsidRPr="00503427">
              <w:rPr>
                <w:b/>
                <w:sz w:val="22"/>
                <w:szCs w:val="22"/>
              </w:rPr>
              <w:t>(%)</w:t>
            </w:r>
          </w:p>
        </w:tc>
      </w:tr>
      <w:tr w:rsidR="00EF0BBB" w:rsidRPr="00503427" w:rsidTr="00EF0BBB">
        <w:trPr>
          <w:trHeight w:val="422"/>
        </w:trPr>
        <w:tc>
          <w:tcPr>
            <w:tcW w:w="2434" w:type="pct"/>
            <w:vAlign w:val="bottom"/>
          </w:tcPr>
          <w:p w:rsidR="00EF0BBB" w:rsidRPr="00503427" w:rsidRDefault="00EF0BBB" w:rsidP="00EF0BBB">
            <w:pPr>
              <w:rPr>
                <w:sz w:val="22"/>
                <w:szCs w:val="22"/>
              </w:rPr>
            </w:pPr>
            <w:r w:rsidRPr="00503427">
              <w:rPr>
                <w:sz w:val="22"/>
                <w:szCs w:val="22"/>
              </w:rPr>
              <w:t xml:space="preserve">Total Fuel and Net Power Transactions for 2022 </w:t>
            </w:r>
          </w:p>
        </w:tc>
        <w:tc>
          <w:tcPr>
            <w:tcW w:w="853" w:type="pct"/>
            <w:vAlign w:val="bottom"/>
          </w:tcPr>
          <w:p w:rsidR="00EF0BBB" w:rsidRPr="00503427" w:rsidRDefault="00EF0BBB" w:rsidP="00EF0BBB">
            <w:pPr>
              <w:jc w:val="right"/>
              <w:rPr>
                <w:color w:val="000000"/>
                <w:sz w:val="22"/>
                <w:szCs w:val="22"/>
              </w:rPr>
            </w:pPr>
            <w:r w:rsidRPr="00503427">
              <w:rPr>
                <w:color w:val="000000"/>
                <w:sz w:val="22"/>
                <w:szCs w:val="22"/>
              </w:rPr>
              <w:t>$598,798,451</w:t>
            </w:r>
          </w:p>
        </w:tc>
        <w:tc>
          <w:tcPr>
            <w:tcW w:w="866" w:type="pct"/>
            <w:vAlign w:val="bottom"/>
          </w:tcPr>
          <w:p w:rsidR="00EF0BBB" w:rsidRPr="00503427" w:rsidRDefault="00EF0BBB" w:rsidP="00EF0BBB">
            <w:pPr>
              <w:jc w:val="right"/>
              <w:rPr>
                <w:color w:val="000000"/>
                <w:sz w:val="22"/>
                <w:szCs w:val="22"/>
              </w:rPr>
            </w:pPr>
            <w:r w:rsidRPr="00503427">
              <w:rPr>
                <w:color w:val="000000"/>
                <w:sz w:val="22"/>
                <w:szCs w:val="22"/>
              </w:rPr>
              <w:t>$691,483,208</w:t>
            </w:r>
          </w:p>
        </w:tc>
        <w:tc>
          <w:tcPr>
            <w:tcW w:w="847" w:type="pct"/>
            <w:vAlign w:val="bottom"/>
          </w:tcPr>
          <w:p w:rsidR="00EF0BBB" w:rsidRPr="00503427" w:rsidRDefault="00EF0BBB" w:rsidP="00EF0BBB">
            <w:pPr>
              <w:jc w:val="right"/>
              <w:rPr>
                <w:sz w:val="22"/>
                <w:szCs w:val="22"/>
              </w:rPr>
            </w:pPr>
            <w:r w:rsidRPr="00503427">
              <w:rPr>
                <w:sz w:val="22"/>
                <w:szCs w:val="22"/>
              </w:rPr>
              <w:t>15.5%</w:t>
            </w:r>
          </w:p>
        </w:tc>
      </w:tr>
      <w:tr w:rsidR="00EF0BBB" w:rsidRPr="00503427" w:rsidTr="00EF0BBB">
        <w:trPr>
          <w:trHeight w:val="377"/>
        </w:trPr>
        <w:tc>
          <w:tcPr>
            <w:tcW w:w="2434" w:type="pct"/>
            <w:vAlign w:val="bottom"/>
          </w:tcPr>
          <w:p w:rsidR="00EF0BBB" w:rsidRPr="00503427" w:rsidRDefault="00EF0BBB" w:rsidP="00EF0BBB">
            <w:pPr>
              <w:rPr>
                <w:sz w:val="22"/>
                <w:szCs w:val="22"/>
              </w:rPr>
            </w:pPr>
            <w:r w:rsidRPr="00503427">
              <w:rPr>
                <w:sz w:val="22"/>
                <w:szCs w:val="22"/>
              </w:rPr>
              <w:t>Actual 2021 True-Up</w:t>
            </w:r>
          </w:p>
        </w:tc>
        <w:tc>
          <w:tcPr>
            <w:tcW w:w="853" w:type="pct"/>
            <w:vAlign w:val="bottom"/>
          </w:tcPr>
          <w:p w:rsidR="00EF0BBB" w:rsidRPr="00503427" w:rsidRDefault="00EF0BBB" w:rsidP="00EF0BBB">
            <w:pPr>
              <w:jc w:val="right"/>
              <w:rPr>
                <w:color w:val="000000"/>
                <w:sz w:val="22"/>
                <w:szCs w:val="22"/>
              </w:rPr>
            </w:pPr>
            <w:r w:rsidRPr="00503427">
              <w:rPr>
                <w:color w:val="000000"/>
                <w:sz w:val="22"/>
                <w:szCs w:val="22"/>
              </w:rPr>
              <w:t>-</w:t>
            </w:r>
          </w:p>
        </w:tc>
        <w:tc>
          <w:tcPr>
            <w:tcW w:w="866" w:type="pct"/>
            <w:vAlign w:val="bottom"/>
          </w:tcPr>
          <w:p w:rsidR="00EF0BBB" w:rsidRPr="00503427" w:rsidRDefault="00EF0BBB" w:rsidP="00EF0BBB">
            <w:pPr>
              <w:jc w:val="right"/>
              <w:rPr>
                <w:color w:val="000000"/>
                <w:sz w:val="22"/>
                <w:szCs w:val="22"/>
              </w:rPr>
            </w:pPr>
            <w:r w:rsidRPr="00503427">
              <w:rPr>
                <w:color w:val="FF0000"/>
                <w:sz w:val="22"/>
                <w:szCs w:val="22"/>
              </w:rPr>
              <w:t>($72,171,466)</w:t>
            </w:r>
          </w:p>
        </w:tc>
        <w:tc>
          <w:tcPr>
            <w:tcW w:w="847" w:type="pct"/>
            <w:vAlign w:val="bottom"/>
          </w:tcPr>
          <w:p w:rsidR="00EF0BBB" w:rsidRPr="00503427" w:rsidRDefault="00EF0BBB" w:rsidP="00EF0BBB">
            <w:pPr>
              <w:jc w:val="right"/>
              <w:rPr>
                <w:sz w:val="22"/>
                <w:szCs w:val="22"/>
              </w:rPr>
            </w:pPr>
            <w:r w:rsidRPr="00503427">
              <w:rPr>
                <w:sz w:val="22"/>
                <w:szCs w:val="22"/>
              </w:rPr>
              <w:t>-</w:t>
            </w:r>
          </w:p>
        </w:tc>
      </w:tr>
      <w:tr w:rsidR="00EF0BBB" w:rsidRPr="00503427" w:rsidTr="00EF0BBB">
        <w:trPr>
          <w:trHeight w:val="350"/>
        </w:trPr>
        <w:tc>
          <w:tcPr>
            <w:tcW w:w="2434" w:type="pct"/>
            <w:vAlign w:val="bottom"/>
          </w:tcPr>
          <w:p w:rsidR="00EF0BBB" w:rsidRPr="00503427" w:rsidRDefault="000D7758" w:rsidP="00EF0BBB">
            <w:pPr>
              <w:rPr>
                <w:sz w:val="22"/>
                <w:szCs w:val="22"/>
              </w:rPr>
            </w:pPr>
            <w:r>
              <w:rPr>
                <w:sz w:val="22"/>
                <w:szCs w:val="22"/>
              </w:rPr>
              <w:t xml:space="preserve">Estimated </w:t>
            </w:r>
            <w:r w:rsidR="00EF0BBB" w:rsidRPr="00503427">
              <w:rPr>
                <w:sz w:val="22"/>
                <w:szCs w:val="22"/>
              </w:rPr>
              <w:t>2022 True-Up</w:t>
            </w:r>
          </w:p>
        </w:tc>
        <w:tc>
          <w:tcPr>
            <w:tcW w:w="853" w:type="pct"/>
            <w:vAlign w:val="bottom"/>
          </w:tcPr>
          <w:p w:rsidR="00EF0BBB" w:rsidRPr="00503427" w:rsidRDefault="00EF0BBB" w:rsidP="00EF0BBB">
            <w:pPr>
              <w:jc w:val="right"/>
              <w:rPr>
                <w:color w:val="000000"/>
                <w:sz w:val="22"/>
                <w:szCs w:val="22"/>
              </w:rPr>
            </w:pPr>
            <w:r w:rsidRPr="00503427">
              <w:rPr>
                <w:color w:val="000000"/>
                <w:sz w:val="22"/>
                <w:szCs w:val="22"/>
              </w:rPr>
              <w:t>-</w:t>
            </w:r>
          </w:p>
        </w:tc>
        <w:tc>
          <w:tcPr>
            <w:tcW w:w="866" w:type="pct"/>
            <w:vAlign w:val="bottom"/>
          </w:tcPr>
          <w:p w:rsidR="00EF0BBB" w:rsidRPr="00503427" w:rsidRDefault="00EF0BBB" w:rsidP="00EF0BBB">
            <w:pPr>
              <w:jc w:val="right"/>
              <w:rPr>
                <w:color w:val="000000"/>
                <w:sz w:val="22"/>
                <w:szCs w:val="22"/>
              </w:rPr>
            </w:pPr>
            <w:r w:rsidRPr="00503427">
              <w:rPr>
                <w:color w:val="FF0000"/>
                <w:sz w:val="22"/>
                <w:szCs w:val="22"/>
              </w:rPr>
              <w:t>($93,300,446)</w:t>
            </w:r>
          </w:p>
        </w:tc>
        <w:tc>
          <w:tcPr>
            <w:tcW w:w="847" w:type="pct"/>
            <w:vAlign w:val="bottom"/>
          </w:tcPr>
          <w:p w:rsidR="00EF0BBB" w:rsidRPr="00503427" w:rsidRDefault="00EF0BBB" w:rsidP="00EF0BBB">
            <w:pPr>
              <w:jc w:val="right"/>
              <w:rPr>
                <w:sz w:val="22"/>
                <w:szCs w:val="22"/>
              </w:rPr>
            </w:pPr>
            <w:r w:rsidRPr="00503427">
              <w:rPr>
                <w:sz w:val="22"/>
                <w:szCs w:val="22"/>
              </w:rPr>
              <w:t>-</w:t>
            </w:r>
          </w:p>
        </w:tc>
      </w:tr>
      <w:tr w:rsidR="00EF0BBB" w:rsidRPr="00503427" w:rsidTr="00EF0BBB">
        <w:trPr>
          <w:trHeight w:val="341"/>
        </w:trPr>
        <w:tc>
          <w:tcPr>
            <w:tcW w:w="2434" w:type="pct"/>
            <w:vAlign w:val="bottom"/>
          </w:tcPr>
          <w:p w:rsidR="00EF0BBB" w:rsidRPr="00503427" w:rsidRDefault="00EF0BBB" w:rsidP="00EF0BBB">
            <w:pPr>
              <w:rPr>
                <w:sz w:val="22"/>
                <w:szCs w:val="22"/>
              </w:rPr>
            </w:pPr>
            <w:r w:rsidRPr="00503427">
              <w:rPr>
                <w:sz w:val="22"/>
                <w:szCs w:val="22"/>
              </w:rPr>
              <w:t>Interest Provision</w:t>
            </w:r>
          </w:p>
        </w:tc>
        <w:tc>
          <w:tcPr>
            <w:tcW w:w="853" w:type="pct"/>
            <w:vAlign w:val="bottom"/>
          </w:tcPr>
          <w:p w:rsidR="00EF0BBB" w:rsidRPr="00503427" w:rsidRDefault="00EF0BBB" w:rsidP="00EF0BBB">
            <w:pPr>
              <w:jc w:val="right"/>
              <w:rPr>
                <w:color w:val="000000"/>
                <w:sz w:val="22"/>
                <w:szCs w:val="22"/>
              </w:rPr>
            </w:pPr>
            <w:r w:rsidRPr="00503427">
              <w:rPr>
                <w:color w:val="000000"/>
                <w:sz w:val="22"/>
                <w:szCs w:val="22"/>
              </w:rPr>
              <w:t>-</w:t>
            </w:r>
          </w:p>
        </w:tc>
        <w:tc>
          <w:tcPr>
            <w:tcW w:w="866" w:type="pct"/>
            <w:vAlign w:val="bottom"/>
          </w:tcPr>
          <w:p w:rsidR="00EF0BBB" w:rsidRPr="00503427" w:rsidRDefault="00EF0BBB" w:rsidP="00EF0BBB">
            <w:pPr>
              <w:jc w:val="right"/>
              <w:rPr>
                <w:color w:val="000000"/>
                <w:sz w:val="22"/>
                <w:szCs w:val="22"/>
              </w:rPr>
            </w:pPr>
            <w:r w:rsidRPr="00503427">
              <w:rPr>
                <w:color w:val="FF0000"/>
                <w:sz w:val="22"/>
                <w:szCs w:val="22"/>
              </w:rPr>
              <w:t>($493,109)</w:t>
            </w:r>
          </w:p>
        </w:tc>
        <w:tc>
          <w:tcPr>
            <w:tcW w:w="847" w:type="pct"/>
            <w:vAlign w:val="bottom"/>
          </w:tcPr>
          <w:p w:rsidR="00EF0BBB" w:rsidRPr="00503427" w:rsidRDefault="00EF0BBB" w:rsidP="00EF0BBB">
            <w:pPr>
              <w:jc w:val="right"/>
              <w:rPr>
                <w:sz w:val="22"/>
                <w:szCs w:val="22"/>
              </w:rPr>
            </w:pPr>
            <w:r w:rsidRPr="00503427">
              <w:rPr>
                <w:sz w:val="22"/>
                <w:szCs w:val="22"/>
              </w:rPr>
              <w:t>-</w:t>
            </w:r>
          </w:p>
        </w:tc>
      </w:tr>
      <w:tr w:rsidR="00EF0BBB" w:rsidRPr="00503427" w:rsidTr="00EF0BBB">
        <w:trPr>
          <w:trHeight w:val="341"/>
        </w:trPr>
        <w:tc>
          <w:tcPr>
            <w:tcW w:w="2434" w:type="pct"/>
            <w:vAlign w:val="bottom"/>
          </w:tcPr>
          <w:p w:rsidR="00EF0BBB" w:rsidRPr="00503427" w:rsidRDefault="00EF0BBB" w:rsidP="00EF0BBB">
            <w:pPr>
              <w:rPr>
                <w:sz w:val="22"/>
                <w:szCs w:val="22"/>
              </w:rPr>
            </w:pPr>
            <w:r w:rsidRPr="00503427">
              <w:rPr>
                <w:sz w:val="22"/>
                <w:szCs w:val="22"/>
              </w:rPr>
              <w:t>Estimated 2022 End-of-Period Total Net True-up</w:t>
            </w:r>
            <w:r w:rsidR="00293B9D">
              <w:rPr>
                <w:rStyle w:val="FootnoteReference"/>
                <w:sz w:val="22"/>
                <w:szCs w:val="22"/>
              </w:rPr>
              <w:footnoteReference w:id="24"/>
            </w:r>
          </w:p>
        </w:tc>
        <w:tc>
          <w:tcPr>
            <w:tcW w:w="853" w:type="pct"/>
            <w:vAlign w:val="bottom"/>
          </w:tcPr>
          <w:p w:rsidR="00EF0BBB" w:rsidRPr="00503427" w:rsidRDefault="00EF0BBB" w:rsidP="00EF0BBB">
            <w:pPr>
              <w:jc w:val="right"/>
              <w:rPr>
                <w:color w:val="000000"/>
                <w:sz w:val="22"/>
                <w:szCs w:val="22"/>
              </w:rPr>
            </w:pPr>
            <w:r w:rsidRPr="00503427">
              <w:rPr>
                <w:color w:val="000000"/>
                <w:sz w:val="22"/>
                <w:szCs w:val="22"/>
              </w:rPr>
              <w:t>-</w:t>
            </w:r>
          </w:p>
        </w:tc>
        <w:tc>
          <w:tcPr>
            <w:tcW w:w="866" w:type="pct"/>
            <w:vAlign w:val="bottom"/>
          </w:tcPr>
          <w:p w:rsidR="00EF0BBB" w:rsidRPr="00503427" w:rsidRDefault="00EF0BBB" w:rsidP="00EF0BBB">
            <w:pPr>
              <w:jc w:val="right"/>
              <w:rPr>
                <w:color w:val="000000"/>
                <w:sz w:val="22"/>
                <w:szCs w:val="22"/>
              </w:rPr>
            </w:pPr>
            <w:r w:rsidRPr="00503427">
              <w:rPr>
                <w:color w:val="FF0000"/>
                <w:sz w:val="22"/>
                <w:szCs w:val="22"/>
              </w:rPr>
              <w:t>($165,639,603)</w:t>
            </w:r>
          </w:p>
        </w:tc>
        <w:tc>
          <w:tcPr>
            <w:tcW w:w="847" w:type="pct"/>
            <w:vAlign w:val="bottom"/>
          </w:tcPr>
          <w:p w:rsidR="00EF0BBB" w:rsidRPr="00503427" w:rsidRDefault="00EF0BBB" w:rsidP="00EF0BBB">
            <w:pPr>
              <w:jc w:val="right"/>
              <w:rPr>
                <w:sz w:val="22"/>
                <w:szCs w:val="22"/>
              </w:rPr>
            </w:pPr>
            <w:r w:rsidRPr="00503427">
              <w:rPr>
                <w:sz w:val="22"/>
                <w:szCs w:val="22"/>
              </w:rPr>
              <w:t>-</w:t>
            </w:r>
          </w:p>
        </w:tc>
      </w:tr>
    </w:tbl>
    <w:p w:rsidR="00F005B1" w:rsidRPr="00503427" w:rsidRDefault="00F005B1" w:rsidP="00F005B1">
      <w:pPr>
        <w:pStyle w:val="FootnoteText"/>
      </w:pPr>
      <w:r w:rsidRPr="00503427">
        <w:t>Sources: Do</w:t>
      </w:r>
      <w:r w:rsidR="00105164" w:rsidRPr="00503427">
        <w:t>cument Nos. 11810-2021 and 00350</w:t>
      </w:r>
      <w:r w:rsidRPr="00503427">
        <w:t>-202</w:t>
      </w:r>
      <w:r w:rsidR="00105164" w:rsidRPr="00503427">
        <w:t>2</w:t>
      </w:r>
      <w:r w:rsidRPr="00503427">
        <w:t>.</w:t>
      </w:r>
    </w:p>
    <w:p w:rsidR="00F005B1" w:rsidRPr="00F005B1" w:rsidRDefault="00F005B1" w:rsidP="00F005B1">
      <w:pPr>
        <w:pStyle w:val="BodyText"/>
        <w:spacing w:after="0"/>
        <w:rPr>
          <w:highlight w:val="yellow"/>
        </w:rPr>
      </w:pPr>
    </w:p>
    <w:p w:rsidR="00F005B1" w:rsidRPr="00F005B1" w:rsidRDefault="00F005B1" w:rsidP="00F005B1">
      <w:pPr>
        <w:pStyle w:val="BodyText"/>
        <w:spacing w:after="0"/>
        <w:rPr>
          <w:highlight w:val="yellow"/>
        </w:rPr>
      </w:pPr>
    </w:p>
    <w:p w:rsidR="00F005B1" w:rsidRDefault="00F005B1" w:rsidP="00F005B1">
      <w:pPr>
        <w:pStyle w:val="BodyText"/>
        <w:spacing w:after="0"/>
        <w:rPr>
          <w:highlight w:val="yellow"/>
        </w:rPr>
      </w:pPr>
      <w:r w:rsidRPr="004A6D36">
        <w:t xml:space="preserve">Following the methodology prescribed in Rule 25-6.0424(1)(a), F.A.C., the mid-course percentage is equal to the estimated end-of-period total net true-up amount, including interest, divided by the current period’s total actual and estimated jurisdictional fuel revenue applicable to period, or </w:t>
      </w:r>
      <w:r w:rsidR="004A6D36" w:rsidRPr="004A6D36">
        <w:t>($165,639,603</w:t>
      </w:r>
      <w:r w:rsidRPr="004A6D36">
        <w:t>)</w:t>
      </w:r>
      <w:r w:rsidR="00687784">
        <w:t xml:space="preserve"> </w:t>
      </w:r>
      <w:r w:rsidRPr="004A6D36">
        <w:t>/</w:t>
      </w:r>
      <w:r w:rsidR="00687784">
        <w:t xml:space="preserve"> </w:t>
      </w:r>
      <w:r w:rsidRPr="004A6D36">
        <w:t>$598,182,762. This calculation results in a mid-course correction level of (</w:t>
      </w:r>
      <w:r w:rsidR="004A6D36" w:rsidRPr="004A6D36">
        <w:t>27</w:t>
      </w:r>
      <w:r w:rsidRPr="004A6D36">
        <w:t>.7) percent.</w:t>
      </w:r>
      <w:r w:rsidRPr="004A6D36">
        <w:rPr>
          <w:rStyle w:val="FootnoteReference"/>
        </w:rPr>
        <w:footnoteReference w:id="25"/>
      </w:r>
    </w:p>
    <w:p w:rsidR="007269E8" w:rsidRPr="00F005B1" w:rsidRDefault="007269E8" w:rsidP="00F005B1">
      <w:pPr>
        <w:pStyle w:val="BodyText"/>
        <w:spacing w:after="0"/>
        <w:rPr>
          <w:highlight w:val="yellow"/>
        </w:rPr>
      </w:pPr>
    </w:p>
    <w:p w:rsidR="00F005B1" w:rsidRPr="00DD3AD3" w:rsidRDefault="00F005B1" w:rsidP="00F005B1">
      <w:pPr>
        <w:pStyle w:val="BodyText"/>
        <w:spacing w:after="0"/>
        <w:ind w:firstLine="720"/>
        <w:rPr>
          <w:rFonts w:ascii="Arial" w:hAnsi="Arial" w:cs="Arial"/>
          <w:b/>
          <w:i/>
        </w:rPr>
      </w:pPr>
      <w:r w:rsidRPr="00DD3AD3">
        <w:rPr>
          <w:rFonts w:ascii="Arial" w:hAnsi="Arial" w:cs="Arial"/>
          <w:b/>
          <w:i/>
        </w:rPr>
        <w:t>Fuel Factor</w:t>
      </w:r>
    </w:p>
    <w:p w:rsidR="00F005B1" w:rsidRPr="00F005B1" w:rsidRDefault="00F005B1" w:rsidP="00F005B1">
      <w:pPr>
        <w:pStyle w:val="BodyText"/>
        <w:spacing w:after="0"/>
        <w:rPr>
          <w:highlight w:val="yellow"/>
        </w:rPr>
      </w:pPr>
      <w:r w:rsidRPr="00DD3AD3">
        <w:t>TECO’s currently-approved annual levelized fuel factor beginning January 2022 is 3.052 cents per kilowatt-hour (kWh).</w:t>
      </w:r>
      <w:r w:rsidRPr="00DD3AD3">
        <w:rPr>
          <w:rStyle w:val="FootnoteReference"/>
        </w:rPr>
        <w:footnoteReference w:id="26"/>
      </w:r>
      <w:r w:rsidRPr="00DD3AD3">
        <w:t xml:space="preserve"> The Company is requesting to increase its currently-approved 2022 annual le</w:t>
      </w:r>
      <w:r w:rsidR="007269E8" w:rsidRPr="00DD3AD3">
        <w:t>velized fuel factor to 4.010</w:t>
      </w:r>
      <w:r w:rsidRPr="00DD3AD3">
        <w:t xml:space="preserve"> cents per kWh,</w:t>
      </w:r>
      <w:r w:rsidR="00DD3AD3" w:rsidRPr="00DD3AD3">
        <w:t xml:space="preserve"> or by 31</w:t>
      </w:r>
      <w:r w:rsidRPr="00DD3AD3">
        <w:t>.4 percent.</w:t>
      </w:r>
      <w:r w:rsidRPr="00DD3AD3">
        <w:rPr>
          <w:rStyle w:val="FootnoteReference"/>
        </w:rPr>
        <w:footnoteReference w:id="27"/>
      </w:r>
    </w:p>
    <w:p w:rsidR="00F005B1" w:rsidRPr="00DD3AD3" w:rsidRDefault="00F005B1" w:rsidP="00F005B1">
      <w:pPr>
        <w:pStyle w:val="BodyText"/>
        <w:spacing w:after="0"/>
      </w:pPr>
    </w:p>
    <w:p w:rsidR="00F005B1" w:rsidRPr="00DD3AD3" w:rsidRDefault="00F005B1" w:rsidP="00F005B1">
      <w:pPr>
        <w:pStyle w:val="BodyText"/>
        <w:spacing w:after="0"/>
        <w:ind w:firstLine="720"/>
      </w:pPr>
      <w:r w:rsidRPr="00DD3AD3">
        <w:rPr>
          <w:rFonts w:ascii="Arial" w:hAnsi="Arial" w:cs="Arial"/>
          <w:b/>
          <w:i/>
        </w:rPr>
        <w:t>Capacity</w:t>
      </w:r>
    </w:p>
    <w:p w:rsidR="00F005B1" w:rsidRPr="00DD3AD3" w:rsidRDefault="00F005B1" w:rsidP="00F005B1">
      <w:pPr>
        <w:pStyle w:val="BodyText"/>
        <w:spacing w:after="0"/>
      </w:pPr>
      <w:r w:rsidRPr="00DD3AD3">
        <w:t>Through the MCC Petition, the Company is proposing to increase its 2022 capacity cost recovery factors to incorporate a</w:t>
      </w:r>
      <w:r w:rsidR="000D7758">
        <w:t>n</w:t>
      </w:r>
      <w:r w:rsidRPr="00DD3AD3">
        <w:t xml:space="preserve"> </w:t>
      </w:r>
      <w:r w:rsidR="000D7758">
        <w:t>estima</w:t>
      </w:r>
      <w:r w:rsidR="00DD3AD3" w:rsidRPr="00DD3AD3">
        <w:t xml:space="preserve">ted </w:t>
      </w:r>
      <w:r w:rsidR="00057C0C">
        <w:t xml:space="preserve">period-ending </w:t>
      </w:r>
      <w:r w:rsidR="00DD3AD3" w:rsidRPr="00DD3AD3">
        <w:t>2022 under-recovery of ($3,037,188)</w:t>
      </w:r>
      <w:r w:rsidRPr="00DD3AD3">
        <w:t>.</w:t>
      </w:r>
    </w:p>
    <w:p w:rsidR="00F005B1" w:rsidRPr="00F005B1" w:rsidRDefault="00F005B1" w:rsidP="00F005B1">
      <w:pPr>
        <w:pStyle w:val="BodyText"/>
        <w:spacing w:after="0"/>
        <w:rPr>
          <w:highlight w:val="yellow"/>
        </w:rPr>
      </w:pPr>
    </w:p>
    <w:p w:rsidR="005B40BC" w:rsidRDefault="00F005B1" w:rsidP="00F005B1">
      <w:pPr>
        <w:pStyle w:val="BodyText"/>
        <w:spacing w:after="0"/>
        <w:rPr>
          <w:highlight w:val="yellow"/>
        </w:rPr>
      </w:pPr>
      <w:r w:rsidRPr="00DD3AD3">
        <w:t xml:space="preserve">TECO’s original 2022 capacity cost projection filed for the purposes of cost recovery was on September 3, 2021, as part of its </w:t>
      </w:r>
      <w:r w:rsidRPr="00DD3AD3">
        <w:rPr>
          <w:iCs/>
        </w:rPr>
        <w:t>Petition for Approval of Fuel Cost Recovery and Capacity Cost Recovery Factors for January 2022 through December 2022</w:t>
      </w:r>
      <w:r w:rsidRPr="00DD3AD3">
        <w:t>.</w:t>
      </w:r>
      <w:r w:rsidRPr="00DD3AD3">
        <w:rPr>
          <w:rStyle w:val="FootnoteReference"/>
        </w:rPr>
        <w:footnoteReference w:id="28"/>
      </w:r>
      <w:r w:rsidRPr="00DD3AD3">
        <w:t xml:space="preserve"> TECO subsequently amended this filing on October 1, 2021 to capture certain associated effects of its then-proposed 2021 base rate case settlement agreement.</w:t>
      </w:r>
      <w:r w:rsidRPr="00DD3AD3">
        <w:rPr>
          <w:rStyle w:val="FootnoteReference"/>
        </w:rPr>
        <w:footnoteReference w:id="29"/>
      </w:r>
      <w:r w:rsidRPr="00DD3AD3">
        <w:t xml:space="preserve"> In the filing for 2022 rates, TECO projected its</w:t>
      </w:r>
      <w:r w:rsidR="00057C0C">
        <w:t xml:space="preserve"> 2022 capacity cost </w:t>
      </w:r>
      <w:r w:rsidRPr="00DD3AD3">
        <w:t>to be $5,184,806. Howe</w:t>
      </w:r>
      <w:r w:rsidRPr="005B40BC">
        <w:t>ver, TECO now expects its 2022 capacity cost to be</w:t>
      </w:r>
      <w:r w:rsidR="00DD3AD3" w:rsidRPr="005B40BC">
        <w:t xml:space="preserve"> $8,178</w:t>
      </w:r>
      <w:r w:rsidRPr="005B40BC">
        <w:t>,</w:t>
      </w:r>
      <w:r w:rsidR="00DD3AD3" w:rsidRPr="005B40BC">
        <w:t>725</w:t>
      </w:r>
      <w:r w:rsidRPr="005B40BC">
        <w:t>,</w:t>
      </w:r>
      <w:r w:rsidR="005B40BC" w:rsidRPr="005B40BC">
        <w:t xml:space="preserve"> for a </w:t>
      </w:r>
      <w:r w:rsidR="005B40BC" w:rsidRPr="00305D4B">
        <w:t>difference of $2,993,919</w:t>
      </w:r>
      <w:r w:rsidRPr="00305D4B">
        <w:t xml:space="preserve">. </w:t>
      </w:r>
      <w:r w:rsidR="005B40BC" w:rsidRPr="00305D4B">
        <w:t>This change, coupled with the actual 2021 under-recovery discussed above</w:t>
      </w:r>
      <w:r w:rsidR="00057C0C" w:rsidRPr="00305D4B">
        <w:t>,</w:t>
      </w:r>
      <w:r w:rsidR="005B40BC" w:rsidRPr="00305D4B">
        <w:t xml:space="preserve"> as well as a Solar Base Rate Adjustment </w:t>
      </w:r>
      <w:r w:rsidR="00305D4B" w:rsidRPr="00305D4B">
        <w:t xml:space="preserve">(SoBRA) </w:t>
      </w:r>
      <w:r w:rsidR="005B40BC" w:rsidRPr="00305D4B">
        <w:t xml:space="preserve">refund and interest, results in a projected period-ending 2022 under-recovery of ($3,037,188). </w:t>
      </w:r>
      <w:r w:rsidR="00305D4B" w:rsidRPr="00305D4B">
        <w:t>Staff notes the SoBRA-related refund</w:t>
      </w:r>
      <w:r w:rsidR="00305D4B">
        <w:t xml:space="preserve"> </w:t>
      </w:r>
      <w:r w:rsidR="009B3302">
        <w:t xml:space="preserve">of $85,648 </w:t>
      </w:r>
      <w:r w:rsidR="00305D4B">
        <w:t>was</w:t>
      </w:r>
      <w:r w:rsidR="00305D4B" w:rsidRPr="00305D4B">
        <w:t xml:space="preserve"> recognized by the C</w:t>
      </w:r>
      <w:r w:rsidR="00305D4B">
        <w:t>ommission as part of</w:t>
      </w:r>
      <w:r w:rsidR="00305D4B" w:rsidRPr="00305D4B">
        <w:t xml:space="preserve"> the</w:t>
      </w:r>
      <w:r w:rsidR="00305D4B">
        <w:t xml:space="preserve"> total recoverable</w:t>
      </w:r>
      <w:r w:rsidR="00305D4B" w:rsidRPr="00305D4B">
        <w:t xml:space="preserve"> 2022 capacity cost amount identified in Order No. PSC-2021-0442-FOF-EI (Issue 31). </w:t>
      </w:r>
      <w:r w:rsidR="005B40BC" w:rsidRPr="00305D4B">
        <w:t>TECO is proposing to increase its 2022 capacity cost recovery factors to incorporate th</w:t>
      </w:r>
      <w:r w:rsidR="006569D7">
        <w:t>e</w:t>
      </w:r>
      <w:r w:rsidR="005B40BC" w:rsidRPr="00305D4B">
        <w:t xml:space="preserve"> projected </w:t>
      </w:r>
      <w:r w:rsidR="006569D7">
        <w:t>($</w:t>
      </w:r>
      <w:r w:rsidR="00862C44">
        <w:t xml:space="preserve">3,037,188) </w:t>
      </w:r>
      <w:r w:rsidR="005B40BC" w:rsidRPr="00305D4B">
        <w:t xml:space="preserve">under-recovery. </w:t>
      </w:r>
    </w:p>
    <w:p w:rsidR="005B40BC" w:rsidRPr="00594D61" w:rsidRDefault="005B40BC" w:rsidP="00F005B1">
      <w:pPr>
        <w:pStyle w:val="BodyText"/>
        <w:spacing w:after="0"/>
      </w:pPr>
    </w:p>
    <w:p w:rsidR="00F005B1" w:rsidRPr="00594D61" w:rsidRDefault="00F005B1" w:rsidP="00F005B1">
      <w:pPr>
        <w:pStyle w:val="BodyText"/>
        <w:spacing w:after="0"/>
      </w:pPr>
      <w:r w:rsidRPr="00594D61">
        <w:t>The Company’s year-end 2022 capacity mid-course correction position following the calculation methodology in Rule 25-6.0424(1)(a), F.A.C., is</w:t>
      </w:r>
      <w:r w:rsidR="00594D61" w:rsidRPr="00594D61">
        <w:t xml:space="preserve"> </w:t>
      </w:r>
      <w:r w:rsidR="005B40BC" w:rsidRPr="00594D61">
        <w:t>(</w:t>
      </w:r>
      <w:r w:rsidRPr="00594D61">
        <w:t>5</w:t>
      </w:r>
      <w:r w:rsidR="009B3302">
        <w:t>9.8</w:t>
      </w:r>
      <w:r w:rsidR="005B40BC" w:rsidRPr="00594D61">
        <w:t xml:space="preserve">) </w:t>
      </w:r>
      <w:r w:rsidRPr="00594D61">
        <w:t>percent</w:t>
      </w:r>
      <w:r w:rsidR="00594D61" w:rsidRPr="00594D61">
        <w:t>, or ($3,037,188) / 5,079,473</w:t>
      </w:r>
      <w:r w:rsidRPr="00594D61">
        <w:t>.</w:t>
      </w:r>
      <w:r w:rsidRPr="00594D61">
        <w:rPr>
          <w:rStyle w:val="FootnoteReference"/>
        </w:rPr>
        <w:footnoteReference w:id="30"/>
      </w:r>
    </w:p>
    <w:p w:rsidR="00F005B1" w:rsidRPr="00F005B1" w:rsidRDefault="00F005B1" w:rsidP="00F005B1">
      <w:pPr>
        <w:jc w:val="both"/>
        <w:rPr>
          <w:bCs/>
          <w:highlight w:val="yellow"/>
        </w:rPr>
      </w:pPr>
    </w:p>
    <w:p w:rsidR="00F005B1" w:rsidRPr="000C6048" w:rsidRDefault="00F005B1" w:rsidP="00F005B1">
      <w:pPr>
        <w:pStyle w:val="BodyText"/>
        <w:spacing w:after="0"/>
        <w:rPr>
          <w:rFonts w:ascii="Arial" w:hAnsi="Arial" w:cs="Arial"/>
          <w:b/>
          <w:bCs/>
          <w:i/>
          <w:iCs/>
        </w:rPr>
      </w:pPr>
      <w:r w:rsidRPr="000C6048">
        <w:rPr>
          <w:rFonts w:ascii="Arial" w:hAnsi="Arial" w:cs="Arial"/>
          <w:b/>
          <w:bCs/>
          <w:i/>
          <w:iCs/>
        </w:rPr>
        <w:t>Bill Impacts</w:t>
      </w:r>
    </w:p>
    <w:p w:rsidR="00F005B1" w:rsidRPr="000C6048" w:rsidRDefault="00F005B1" w:rsidP="00F005B1">
      <w:pPr>
        <w:pStyle w:val="BodyText"/>
        <w:spacing w:after="0"/>
      </w:pPr>
      <w:r w:rsidRPr="000C6048">
        <w:t>Table 1-</w:t>
      </w:r>
      <w:r w:rsidR="00CF1D3A">
        <w:t>2 below shows the bill impact on</w:t>
      </w:r>
      <w:r w:rsidRPr="000C6048">
        <w:t xml:space="preserve"> a typical residential customer using 1,000 kWh of electricity a month associated with new fuel and capacity cost recovery factors. In the discussion below Table 1-2, staff addresses the impacts of the</w:t>
      </w:r>
      <w:r w:rsidR="00846400">
        <w:t xml:space="preserve"> fuel</w:t>
      </w:r>
      <w:r w:rsidRPr="000C6048">
        <w:t xml:space="preserve"> MCC on non-residential customers:</w:t>
      </w:r>
    </w:p>
    <w:p w:rsidR="00F005B1" w:rsidRPr="00F005B1" w:rsidRDefault="00F005B1" w:rsidP="00F005B1">
      <w:pPr>
        <w:pStyle w:val="BodyText"/>
        <w:spacing w:after="0"/>
        <w:rPr>
          <w:highlight w:val="yellow"/>
        </w:rPr>
      </w:pPr>
    </w:p>
    <w:p w:rsidR="00F005B1" w:rsidRPr="00F005B1" w:rsidRDefault="00F005B1" w:rsidP="00F005B1">
      <w:pPr>
        <w:pStyle w:val="BodyText"/>
        <w:spacing w:after="0"/>
        <w:rPr>
          <w:highlight w:val="yellow"/>
        </w:rPr>
      </w:pPr>
    </w:p>
    <w:tbl>
      <w:tblPr>
        <w:tblW w:w="4887" w:type="pct"/>
        <w:tblInd w:w="108" w:type="dxa"/>
        <w:tblLook w:val="04A0" w:firstRow="1" w:lastRow="0" w:firstColumn="1" w:lastColumn="0" w:noHBand="0" w:noVBand="1"/>
      </w:tblPr>
      <w:tblGrid>
        <w:gridCol w:w="3482"/>
        <w:gridCol w:w="1558"/>
        <w:gridCol w:w="1531"/>
        <w:gridCol w:w="1398"/>
        <w:gridCol w:w="1391"/>
      </w:tblGrid>
      <w:tr w:rsidR="00F005B1" w:rsidRPr="00F005B1" w:rsidTr="00687784">
        <w:trPr>
          <w:cantSplit/>
          <w:trHeight w:val="310"/>
          <w:tblHeader/>
        </w:trPr>
        <w:tc>
          <w:tcPr>
            <w:tcW w:w="5000" w:type="pct"/>
            <w:gridSpan w:val="5"/>
            <w:tcBorders>
              <w:top w:val="nil"/>
              <w:left w:val="nil"/>
              <w:bottom w:val="nil"/>
              <w:right w:val="nil"/>
            </w:tcBorders>
            <w:shd w:val="clear" w:color="auto" w:fill="auto"/>
            <w:vAlign w:val="center"/>
            <w:hideMark/>
          </w:tcPr>
          <w:p w:rsidR="00F005B1" w:rsidRPr="006612BB" w:rsidRDefault="00F005B1" w:rsidP="00687784">
            <w:pPr>
              <w:jc w:val="center"/>
              <w:rPr>
                <w:rFonts w:ascii="Arial" w:hAnsi="Arial" w:cs="Arial"/>
                <w:b/>
                <w:bCs/>
                <w:color w:val="000000"/>
              </w:rPr>
            </w:pPr>
            <w:r w:rsidRPr="006612BB">
              <w:rPr>
                <w:rFonts w:ascii="Arial" w:hAnsi="Arial" w:cs="Arial"/>
                <w:b/>
                <w:bCs/>
                <w:color w:val="000000"/>
              </w:rPr>
              <w:t>Table 1-2</w:t>
            </w:r>
          </w:p>
        </w:tc>
      </w:tr>
      <w:tr w:rsidR="00F005B1" w:rsidRPr="00F005B1" w:rsidTr="00687784">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F005B1" w:rsidRPr="006612BB" w:rsidRDefault="00F005B1" w:rsidP="00687784">
            <w:pPr>
              <w:jc w:val="center"/>
              <w:rPr>
                <w:rFonts w:ascii="Arial" w:hAnsi="Arial" w:cs="Arial"/>
                <w:b/>
                <w:bCs/>
                <w:color w:val="000000"/>
              </w:rPr>
            </w:pPr>
            <w:r w:rsidRPr="006612BB">
              <w:rPr>
                <w:rFonts w:ascii="Arial" w:hAnsi="Arial" w:cs="Arial"/>
                <w:b/>
                <w:bCs/>
                <w:color w:val="000000"/>
              </w:rPr>
              <w:t>Monthly Residential Billing Detail for the First 1,000 kWh</w:t>
            </w:r>
          </w:p>
        </w:tc>
      </w:tr>
      <w:tr w:rsidR="00F005B1" w:rsidRPr="006612BB" w:rsidTr="005C05CB">
        <w:trPr>
          <w:cantSplit/>
          <w:trHeight w:val="1952"/>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05B1" w:rsidRPr="006612BB" w:rsidRDefault="00F005B1" w:rsidP="00687784">
            <w:pPr>
              <w:jc w:val="center"/>
              <w:rPr>
                <w:b/>
                <w:bCs/>
                <w:color w:val="000000"/>
                <w:sz w:val="22"/>
                <w:szCs w:val="22"/>
              </w:rPr>
            </w:pPr>
            <w:r w:rsidRPr="006612BB">
              <w:rPr>
                <w:b/>
                <w:bCs/>
                <w:color w:val="000000"/>
                <w:sz w:val="22"/>
                <w:szCs w:val="22"/>
              </w:rPr>
              <w:t>Invoice Component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05B1" w:rsidRPr="006612BB" w:rsidRDefault="00F005B1" w:rsidP="00687784">
            <w:pPr>
              <w:jc w:val="center"/>
              <w:rPr>
                <w:b/>
                <w:bCs/>
                <w:color w:val="000000"/>
                <w:sz w:val="22"/>
                <w:szCs w:val="22"/>
              </w:rPr>
            </w:pPr>
            <w:r w:rsidRPr="006612BB">
              <w:rPr>
                <w:b/>
                <w:bCs/>
                <w:color w:val="000000"/>
                <w:sz w:val="22"/>
                <w:szCs w:val="22"/>
              </w:rPr>
              <w:t>Currently-Approved Charges Beginning January 2022</w:t>
            </w:r>
          </w:p>
          <w:p w:rsidR="00F005B1" w:rsidRPr="006612BB" w:rsidRDefault="00F005B1" w:rsidP="00687784">
            <w:pPr>
              <w:jc w:val="center"/>
              <w:rPr>
                <w:b/>
                <w:bCs/>
                <w:color w:val="000000"/>
                <w:sz w:val="22"/>
                <w:szCs w:val="22"/>
              </w:rPr>
            </w:pPr>
            <w:r w:rsidRPr="006612BB">
              <w:rPr>
                <w:b/>
                <w:bCs/>
                <w:color w:val="000000"/>
                <w:sz w:val="22"/>
                <w:szCs w:val="22"/>
              </w:rPr>
              <w: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05B1" w:rsidRPr="006612BB" w:rsidRDefault="00F005B1" w:rsidP="00687784">
            <w:pPr>
              <w:jc w:val="center"/>
              <w:rPr>
                <w:b/>
                <w:bCs/>
                <w:color w:val="000000"/>
                <w:sz w:val="22"/>
                <w:szCs w:val="22"/>
              </w:rPr>
            </w:pPr>
            <w:r w:rsidRPr="006612BB">
              <w:rPr>
                <w:b/>
                <w:bCs/>
                <w:color w:val="000000"/>
                <w:sz w:val="22"/>
                <w:szCs w:val="22"/>
              </w:rPr>
              <w:t xml:space="preserve">Proposed New Charges </w:t>
            </w:r>
          </w:p>
          <w:p w:rsidR="00F005B1" w:rsidRPr="006612BB" w:rsidRDefault="006612BB" w:rsidP="00687784">
            <w:pPr>
              <w:jc w:val="center"/>
              <w:rPr>
                <w:b/>
                <w:bCs/>
                <w:color w:val="000000"/>
                <w:sz w:val="22"/>
                <w:szCs w:val="22"/>
              </w:rPr>
            </w:pPr>
            <w:r w:rsidRPr="006612BB">
              <w:rPr>
                <w:b/>
                <w:bCs/>
                <w:color w:val="000000"/>
                <w:sz w:val="22"/>
                <w:szCs w:val="22"/>
              </w:rPr>
              <w:t>April</w:t>
            </w:r>
          </w:p>
          <w:p w:rsidR="00F005B1" w:rsidRPr="006612BB" w:rsidRDefault="00F005B1" w:rsidP="00687784">
            <w:pPr>
              <w:jc w:val="center"/>
              <w:rPr>
                <w:b/>
                <w:bCs/>
                <w:color w:val="000000"/>
                <w:sz w:val="22"/>
                <w:szCs w:val="22"/>
              </w:rPr>
            </w:pPr>
            <w:r w:rsidRPr="006612BB">
              <w:rPr>
                <w:b/>
                <w:bCs/>
                <w:color w:val="000000"/>
                <w:sz w:val="22"/>
                <w:szCs w:val="22"/>
              </w:rPr>
              <w:t>Through December 2022</w:t>
            </w:r>
          </w:p>
          <w:p w:rsidR="00F005B1" w:rsidRPr="006612BB" w:rsidRDefault="00F005B1" w:rsidP="00687784">
            <w:pPr>
              <w:jc w:val="center"/>
              <w:rPr>
                <w:b/>
                <w:bCs/>
                <w:color w:val="000000"/>
                <w:sz w:val="22"/>
                <w:szCs w:val="22"/>
              </w:rPr>
            </w:pPr>
            <w:r w:rsidRPr="006612BB">
              <w:rPr>
                <w:b/>
                <w:bCs/>
                <w:color w:val="000000"/>
                <w:sz w:val="22"/>
                <w:szCs w:val="22"/>
              </w:rPr>
              <w:t>($)</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05B1" w:rsidRPr="006612BB" w:rsidRDefault="00F005B1" w:rsidP="00687784">
            <w:pPr>
              <w:jc w:val="center"/>
              <w:rPr>
                <w:b/>
                <w:bCs/>
                <w:color w:val="000000"/>
                <w:sz w:val="22"/>
                <w:szCs w:val="22"/>
              </w:rPr>
            </w:pPr>
            <w:r w:rsidRPr="006612BB">
              <w:rPr>
                <w:b/>
                <w:bCs/>
                <w:color w:val="000000"/>
                <w:sz w:val="22"/>
                <w:szCs w:val="22"/>
              </w:rPr>
              <w:t>Approved to Proposed Difference</w:t>
            </w:r>
          </w:p>
          <w:p w:rsidR="00F005B1" w:rsidRPr="006612BB" w:rsidRDefault="00F005B1" w:rsidP="00687784">
            <w:pPr>
              <w:jc w:val="center"/>
              <w:rPr>
                <w:b/>
                <w:bCs/>
                <w:color w:val="000000"/>
                <w:sz w:val="22"/>
                <w:szCs w:val="22"/>
              </w:rPr>
            </w:pPr>
            <w:r w:rsidRPr="006612BB">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05B1" w:rsidRPr="006612BB" w:rsidRDefault="00F005B1" w:rsidP="00687784">
            <w:pPr>
              <w:jc w:val="center"/>
              <w:rPr>
                <w:b/>
                <w:bCs/>
                <w:color w:val="000000"/>
                <w:sz w:val="22"/>
                <w:szCs w:val="22"/>
              </w:rPr>
            </w:pPr>
            <w:r w:rsidRPr="006612BB">
              <w:rPr>
                <w:b/>
                <w:bCs/>
                <w:color w:val="000000"/>
                <w:sz w:val="22"/>
                <w:szCs w:val="22"/>
              </w:rPr>
              <w:t>Approved to Proposed Difference</w:t>
            </w:r>
          </w:p>
          <w:p w:rsidR="00F005B1" w:rsidRPr="006612BB" w:rsidRDefault="00F005B1" w:rsidP="00687784">
            <w:pPr>
              <w:jc w:val="center"/>
              <w:rPr>
                <w:b/>
                <w:bCs/>
                <w:color w:val="000000"/>
                <w:sz w:val="22"/>
                <w:szCs w:val="22"/>
              </w:rPr>
            </w:pPr>
            <w:r w:rsidRPr="006612BB">
              <w:rPr>
                <w:b/>
                <w:bCs/>
                <w:color w:val="000000"/>
                <w:sz w:val="22"/>
                <w:szCs w:val="22"/>
              </w:rPr>
              <w:t>(%)</w:t>
            </w:r>
          </w:p>
        </w:tc>
      </w:tr>
      <w:tr w:rsidR="00F005B1" w:rsidRPr="006612BB" w:rsidTr="005C05C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005B1" w:rsidRPr="006612BB" w:rsidRDefault="00F005B1" w:rsidP="00687784">
            <w:pPr>
              <w:rPr>
                <w:color w:val="000000"/>
                <w:sz w:val="22"/>
                <w:szCs w:val="22"/>
              </w:rPr>
            </w:pPr>
            <w:r w:rsidRPr="006612BB">
              <w:rPr>
                <w:color w:val="000000"/>
                <w:sz w:val="22"/>
                <w:szCs w:val="22"/>
              </w:rPr>
              <w:t>Base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 xml:space="preserve">$78.69 </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 xml:space="preserve">$78.69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057C0C" w:rsidP="00687784">
            <w:pPr>
              <w:jc w:val="right"/>
              <w:rPr>
                <w:color w:val="000000"/>
                <w:sz w:val="22"/>
                <w:szCs w:val="22"/>
              </w:rPr>
            </w:pPr>
            <w:r>
              <w:rPr>
                <w:color w:val="000000"/>
                <w:sz w:val="22"/>
                <w:szCs w:val="22"/>
              </w:rPr>
              <w:t>-</w:t>
            </w:r>
          </w:p>
        </w:tc>
      </w:tr>
      <w:tr w:rsidR="00F005B1" w:rsidRPr="006612BB" w:rsidTr="005C05C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005B1" w:rsidRPr="006612BB" w:rsidRDefault="00F005B1" w:rsidP="00687784">
            <w:pPr>
              <w:rPr>
                <w:color w:val="000000"/>
                <w:sz w:val="22"/>
                <w:szCs w:val="22"/>
              </w:rPr>
            </w:pPr>
            <w:r w:rsidRPr="006612BB">
              <w:rPr>
                <w:color w:val="000000"/>
                <w:sz w:val="22"/>
                <w:szCs w:val="22"/>
              </w:rPr>
              <w:t>Fuel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27.45</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6612BB" w:rsidP="00687784">
            <w:pPr>
              <w:jc w:val="right"/>
              <w:rPr>
                <w:color w:val="000000"/>
                <w:sz w:val="22"/>
                <w:szCs w:val="22"/>
              </w:rPr>
            </w:pPr>
            <w:r w:rsidRPr="006612BB">
              <w:rPr>
                <w:color w:val="000000"/>
                <w:sz w:val="22"/>
                <w:szCs w:val="22"/>
              </w:rPr>
              <w:t>37.91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6612BB" w:rsidP="00687784">
            <w:pPr>
              <w:jc w:val="right"/>
              <w:rPr>
                <w:color w:val="000000"/>
                <w:sz w:val="22"/>
                <w:szCs w:val="22"/>
              </w:rPr>
            </w:pPr>
            <w:r w:rsidRPr="006612BB">
              <w:rPr>
                <w:color w:val="000000"/>
                <w:sz w:val="22"/>
                <w:szCs w:val="22"/>
              </w:rPr>
              <w:t>10.46</w:t>
            </w:r>
            <w:r w:rsidR="00F005B1" w:rsidRPr="006612BB">
              <w:rPr>
                <w:color w:val="000000"/>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6612BB" w:rsidP="00687784">
            <w:pPr>
              <w:jc w:val="right"/>
              <w:rPr>
                <w:color w:val="000000"/>
                <w:sz w:val="22"/>
                <w:szCs w:val="22"/>
              </w:rPr>
            </w:pPr>
            <w:r w:rsidRPr="006612BB">
              <w:rPr>
                <w:color w:val="000000"/>
                <w:sz w:val="22"/>
                <w:szCs w:val="22"/>
              </w:rPr>
              <w:t>38.1</w:t>
            </w:r>
            <w:r w:rsidR="00F005B1" w:rsidRPr="006612BB">
              <w:rPr>
                <w:color w:val="000000"/>
                <w:sz w:val="22"/>
                <w:szCs w:val="22"/>
              </w:rPr>
              <w:t>%</w:t>
            </w:r>
          </w:p>
        </w:tc>
      </w:tr>
      <w:tr w:rsidR="00F005B1" w:rsidRPr="006612BB" w:rsidTr="005C05C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005B1" w:rsidRPr="006612BB" w:rsidRDefault="00F005B1" w:rsidP="00687784">
            <w:pPr>
              <w:rPr>
                <w:color w:val="000000"/>
                <w:sz w:val="22"/>
                <w:szCs w:val="22"/>
              </w:rPr>
            </w:pPr>
            <w:r w:rsidRPr="006612BB">
              <w:rPr>
                <w:color w:val="000000"/>
                <w:sz w:val="22"/>
                <w:szCs w:val="22"/>
              </w:rPr>
              <w:t>Conservation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2.36</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2.36</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057C0C" w:rsidP="00687784">
            <w:pPr>
              <w:jc w:val="right"/>
              <w:rPr>
                <w:color w:val="000000"/>
                <w:sz w:val="22"/>
                <w:szCs w:val="22"/>
              </w:rPr>
            </w:pPr>
            <w:r>
              <w:rPr>
                <w:color w:val="000000"/>
                <w:sz w:val="22"/>
                <w:szCs w:val="22"/>
              </w:rPr>
              <w:t>-</w:t>
            </w:r>
          </w:p>
        </w:tc>
      </w:tr>
      <w:tr w:rsidR="00F005B1" w:rsidRPr="006612BB" w:rsidTr="005C05C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005B1" w:rsidRPr="006612BB" w:rsidRDefault="00F005B1" w:rsidP="00687784">
            <w:pPr>
              <w:rPr>
                <w:color w:val="000000"/>
                <w:sz w:val="22"/>
                <w:szCs w:val="22"/>
              </w:rPr>
            </w:pPr>
            <w:r w:rsidRPr="006612BB">
              <w:rPr>
                <w:color w:val="000000"/>
                <w:sz w:val="22"/>
                <w:szCs w:val="22"/>
              </w:rPr>
              <w:t>Capacity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0.31</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6612BB" w:rsidP="00687784">
            <w:pPr>
              <w:jc w:val="right"/>
              <w:rPr>
                <w:color w:val="000000"/>
                <w:sz w:val="22"/>
                <w:szCs w:val="22"/>
              </w:rPr>
            </w:pPr>
            <w:r w:rsidRPr="006612BB">
              <w:rPr>
                <w:color w:val="000000"/>
                <w:sz w:val="22"/>
                <w:szCs w:val="22"/>
              </w:rPr>
              <w:t>0.53</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612BB">
            <w:pPr>
              <w:jc w:val="right"/>
              <w:rPr>
                <w:color w:val="000000"/>
                <w:sz w:val="22"/>
                <w:szCs w:val="22"/>
              </w:rPr>
            </w:pPr>
            <w:r w:rsidRPr="006612BB">
              <w:rPr>
                <w:color w:val="000000"/>
                <w:sz w:val="22"/>
                <w:szCs w:val="22"/>
              </w:rPr>
              <w:t>0.</w:t>
            </w:r>
            <w:r w:rsidR="006612BB" w:rsidRPr="006612BB">
              <w:rPr>
                <w:color w:val="000000"/>
                <w:sz w:val="22"/>
                <w:szCs w:val="22"/>
              </w:rPr>
              <w:t>22</w:t>
            </w:r>
            <w:r w:rsidRPr="006612BB">
              <w:rPr>
                <w:color w:val="000000"/>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6612BB" w:rsidP="006612BB">
            <w:pPr>
              <w:jc w:val="right"/>
              <w:rPr>
                <w:color w:val="000000"/>
                <w:sz w:val="22"/>
                <w:szCs w:val="22"/>
              </w:rPr>
            </w:pPr>
            <w:r w:rsidRPr="006612BB">
              <w:rPr>
                <w:color w:val="000000"/>
                <w:sz w:val="22"/>
                <w:szCs w:val="22"/>
              </w:rPr>
              <w:t>71</w:t>
            </w:r>
            <w:r w:rsidR="00F005B1" w:rsidRPr="006612BB">
              <w:rPr>
                <w:color w:val="000000"/>
                <w:sz w:val="22"/>
                <w:szCs w:val="22"/>
              </w:rPr>
              <w:t>.</w:t>
            </w:r>
            <w:r w:rsidRPr="006612BB">
              <w:rPr>
                <w:color w:val="000000"/>
                <w:sz w:val="22"/>
                <w:szCs w:val="22"/>
              </w:rPr>
              <w:t>0</w:t>
            </w:r>
            <w:r w:rsidR="00F005B1" w:rsidRPr="006612BB">
              <w:rPr>
                <w:color w:val="000000"/>
                <w:sz w:val="22"/>
                <w:szCs w:val="22"/>
              </w:rPr>
              <w:t>%</w:t>
            </w:r>
          </w:p>
        </w:tc>
      </w:tr>
      <w:tr w:rsidR="00F005B1" w:rsidRPr="006612BB" w:rsidTr="005C05C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005B1" w:rsidRPr="006612BB" w:rsidRDefault="00F005B1" w:rsidP="00687784">
            <w:pPr>
              <w:rPr>
                <w:color w:val="000000"/>
                <w:sz w:val="22"/>
                <w:szCs w:val="22"/>
              </w:rPr>
            </w:pPr>
            <w:r w:rsidRPr="006612BB">
              <w:rPr>
                <w:color w:val="000000"/>
                <w:sz w:val="22"/>
                <w:szCs w:val="22"/>
              </w:rPr>
              <w:t>Environmental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1.38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1.38</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057C0C" w:rsidP="00687784">
            <w:pPr>
              <w:jc w:val="right"/>
              <w:rPr>
                <w:color w:val="000000"/>
                <w:sz w:val="22"/>
                <w:szCs w:val="22"/>
              </w:rPr>
            </w:pPr>
            <w:r>
              <w:rPr>
                <w:color w:val="000000"/>
                <w:sz w:val="22"/>
                <w:szCs w:val="22"/>
              </w:rPr>
              <w:t>-</w:t>
            </w:r>
          </w:p>
        </w:tc>
      </w:tr>
      <w:tr w:rsidR="00F005B1" w:rsidRPr="006612BB" w:rsidTr="005C05C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005B1" w:rsidRPr="006612BB" w:rsidRDefault="00F005B1" w:rsidP="00687784">
            <w:pPr>
              <w:rPr>
                <w:color w:val="000000"/>
                <w:sz w:val="22"/>
                <w:szCs w:val="22"/>
              </w:rPr>
            </w:pPr>
            <w:r w:rsidRPr="006612BB">
              <w:rPr>
                <w:color w:val="000000"/>
                <w:sz w:val="22"/>
                <w:szCs w:val="22"/>
              </w:rPr>
              <w:t>Storm Protection Plan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3.29</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3.29</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057C0C" w:rsidP="00687784">
            <w:pPr>
              <w:jc w:val="right"/>
              <w:rPr>
                <w:color w:val="000000"/>
                <w:sz w:val="22"/>
                <w:szCs w:val="22"/>
              </w:rPr>
            </w:pPr>
            <w:r>
              <w:rPr>
                <w:color w:val="000000"/>
                <w:sz w:val="22"/>
                <w:szCs w:val="22"/>
              </w:rPr>
              <w:t>-</w:t>
            </w:r>
          </w:p>
        </w:tc>
      </w:tr>
      <w:tr w:rsidR="00F005B1" w:rsidRPr="006612BB" w:rsidTr="005C05C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F005B1" w:rsidRPr="006612BB" w:rsidRDefault="00F005B1" w:rsidP="00687784">
            <w:pPr>
              <w:rPr>
                <w:color w:val="000000"/>
                <w:sz w:val="22"/>
                <w:szCs w:val="22"/>
              </w:rPr>
            </w:pPr>
            <w:r w:rsidRPr="006612BB">
              <w:rPr>
                <w:color w:val="000000"/>
                <w:sz w:val="22"/>
                <w:szCs w:val="22"/>
              </w:rPr>
              <w:t>Clean Energy Transition Mechanism</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4.41</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4.41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rPr>
            </w:pPr>
            <w:r w:rsidRPr="006612BB">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057C0C" w:rsidP="00687784">
            <w:pPr>
              <w:jc w:val="right"/>
              <w:rPr>
                <w:color w:val="000000"/>
                <w:sz w:val="22"/>
                <w:szCs w:val="22"/>
              </w:rPr>
            </w:pPr>
            <w:r>
              <w:rPr>
                <w:color w:val="000000"/>
                <w:sz w:val="22"/>
                <w:szCs w:val="22"/>
              </w:rPr>
              <w:t>-</w:t>
            </w:r>
          </w:p>
        </w:tc>
      </w:tr>
      <w:tr w:rsidR="00F005B1" w:rsidRPr="006612BB" w:rsidTr="005C05C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005B1" w:rsidRPr="006612BB" w:rsidRDefault="00F005B1" w:rsidP="00687784">
            <w:pPr>
              <w:rPr>
                <w:color w:val="000000"/>
                <w:sz w:val="22"/>
                <w:szCs w:val="22"/>
              </w:rPr>
            </w:pPr>
            <w:r w:rsidRPr="006612BB">
              <w:rPr>
                <w:color w:val="000000"/>
                <w:sz w:val="22"/>
                <w:szCs w:val="22"/>
              </w:rPr>
              <w:t>Gross Receipts Tax</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u w:val="single"/>
              </w:rPr>
            </w:pPr>
            <w:r w:rsidRPr="006612BB">
              <w:rPr>
                <w:color w:val="000000"/>
                <w:sz w:val="22"/>
                <w:szCs w:val="22"/>
                <w:u w:val="single"/>
              </w:rPr>
              <w:t>3.02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6612BB" w:rsidP="00687784">
            <w:pPr>
              <w:jc w:val="right"/>
              <w:rPr>
                <w:color w:val="000000"/>
                <w:sz w:val="22"/>
                <w:szCs w:val="22"/>
                <w:u w:val="single"/>
              </w:rPr>
            </w:pPr>
            <w:r w:rsidRPr="006612BB">
              <w:rPr>
                <w:color w:val="000000"/>
                <w:sz w:val="22"/>
                <w:szCs w:val="22"/>
                <w:u w:val="single"/>
              </w:rPr>
              <w:t>3.30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6612BB" w:rsidP="00687784">
            <w:pPr>
              <w:jc w:val="right"/>
              <w:rPr>
                <w:color w:val="000000"/>
                <w:sz w:val="22"/>
                <w:szCs w:val="22"/>
              </w:rPr>
            </w:pPr>
            <w:r w:rsidRPr="006612BB">
              <w:rPr>
                <w:color w:val="000000"/>
                <w:sz w:val="22"/>
                <w:szCs w:val="22"/>
              </w:rPr>
              <w:t>0.28</w:t>
            </w:r>
            <w:r w:rsidR="00F005B1" w:rsidRPr="006612BB">
              <w:rPr>
                <w:color w:val="000000"/>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6612BB" w:rsidP="00687784">
            <w:pPr>
              <w:jc w:val="right"/>
              <w:rPr>
                <w:color w:val="000000"/>
                <w:sz w:val="22"/>
                <w:szCs w:val="22"/>
              </w:rPr>
            </w:pPr>
            <w:r w:rsidRPr="006612BB">
              <w:rPr>
                <w:color w:val="000000"/>
                <w:sz w:val="22"/>
                <w:szCs w:val="22"/>
              </w:rPr>
              <w:t>9.3</w:t>
            </w:r>
            <w:r w:rsidR="00F005B1" w:rsidRPr="006612BB">
              <w:rPr>
                <w:color w:val="000000"/>
                <w:sz w:val="22"/>
                <w:szCs w:val="22"/>
              </w:rPr>
              <w:t>%</w:t>
            </w:r>
          </w:p>
        </w:tc>
      </w:tr>
      <w:tr w:rsidR="00F005B1" w:rsidRPr="006612BB" w:rsidTr="005C05C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005B1" w:rsidRPr="006612BB" w:rsidRDefault="00F005B1" w:rsidP="00687784">
            <w:pPr>
              <w:rPr>
                <w:b/>
                <w:bCs/>
                <w:color w:val="000000"/>
                <w:sz w:val="22"/>
                <w:szCs w:val="22"/>
              </w:rPr>
            </w:pPr>
            <w:r w:rsidRPr="006612BB">
              <w:rPr>
                <w:b/>
                <w:bCs/>
                <w:color w:val="000000"/>
                <w:sz w:val="22"/>
                <w:szCs w:val="22"/>
              </w:rPr>
              <w:t>Total</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87784">
            <w:pPr>
              <w:jc w:val="right"/>
              <w:rPr>
                <w:color w:val="000000"/>
                <w:sz w:val="22"/>
                <w:szCs w:val="22"/>
                <w:u w:val="double"/>
              </w:rPr>
            </w:pPr>
            <w:r w:rsidRPr="006612BB">
              <w:rPr>
                <w:color w:val="000000"/>
                <w:sz w:val="22"/>
                <w:szCs w:val="22"/>
                <w:u w:val="double"/>
              </w:rPr>
              <w:t xml:space="preserve">$120.91 </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6612BB" w:rsidP="006612BB">
            <w:pPr>
              <w:jc w:val="right"/>
              <w:rPr>
                <w:color w:val="000000"/>
                <w:sz w:val="22"/>
                <w:szCs w:val="22"/>
                <w:u w:val="double"/>
              </w:rPr>
            </w:pPr>
            <w:r w:rsidRPr="006612BB">
              <w:rPr>
                <w:color w:val="000000"/>
                <w:sz w:val="22"/>
                <w:szCs w:val="22"/>
                <w:u w:val="double"/>
              </w:rPr>
              <w:t>$131</w:t>
            </w:r>
            <w:r w:rsidR="00F005B1" w:rsidRPr="006612BB">
              <w:rPr>
                <w:color w:val="000000"/>
                <w:sz w:val="22"/>
                <w:szCs w:val="22"/>
                <w:u w:val="double"/>
              </w:rPr>
              <w:t>.</w:t>
            </w:r>
            <w:r w:rsidRPr="006612BB">
              <w:rPr>
                <w:color w:val="000000"/>
                <w:sz w:val="22"/>
                <w:szCs w:val="22"/>
                <w:u w:val="double"/>
              </w:rPr>
              <w:t>87</w:t>
            </w:r>
            <w:r w:rsidR="00F005B1" w:rsidRPr="006612BB">
              <w:rPr>
                <w:color w:val="000000"/>
                <w:sz w:val="22"/>
                <w:szCs w:val="22"/>
                <w:u w:val="double"/>
              </w:rPr>
              <w:t xml:space="preserve">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F005B1" w:rsidP="006612BB">
            <w:pPr>
              <w:jc w:val="right"/>
              <w:rPr>
                <w:color w:val="000000"/>
                <w:sz w:val="22"/>
                <w:szCs w:val="22"/>
                <w:u w:val="double"/>
              </w:rPr>
            </w:pPr>
            <w:r w:rsidRPr="006612BB">
              <w:rPr>
                <w:color w:val="000000"/>
                <w:sz w:val="22"/>
                <w:szCs w:val="22"/>
                <w:u w:val="double"/>
              </w:rPr>
              <w:t>$1</w:t>
            </w:r>
            <w:r w:rsidR="006612BB" w:rsidRPr="006612BB">
              <w:rPr>
                <w:color w:val="000000"/>
                <w:sz w:val="22"/>
                <w:szCs w:val="22"/>
                <w:u w:val="double"/>
              </w:rPr>
              <w:t>0</w:t>
            </w:r>
            <w:r w:rsidRPr="006612BB">
              <w:rPr>
                <w:color w:val="000000"/>
                <w:sz w:val="22"/>
                <w:szCs w:val="22"/>
                <w:u w:val="double"/>
              </w:rPr>
              <w:t>.</w:t>
            </w:r>
            <w:r w:rsidR="006612BB" w:rsidRPr="006612BB">
              <w:rPr>
                <w:color w:val="000000"/>
                <w:sz w:val="22"/>
                <w:szCs w:val="22"/>
                <w:u w:val="double"/>
              </w:rPr>
              <w:t>96</w:t>
            </w:r>
            <w:r w:rsidRPr="006612BB">
              <w:rPr>
                <w:color w:val="000000"/>
                <w:sz w:val="22"/>
                <w:szCs w:val="22"/>
                <w:u w:val="double"/>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F005B1" w:rsidRPr="006612BB" w:rsidRDefault="006612BB" w:rsidP="00687784">
            <w:pPr>
              <w:jc w:val="right"/>
              <w:rPr>
                <w:color w:val="000000"/>
                <w:sz w:val="22"/>
                <w:szCs w:val="22"/>
              </w:rPr>
            </w:pPr>
            <w:r w:rsidRPr="006612BB">
              <w:rPr>
                <w:color w:val="000000"/>
                <w:sz w:val="22"/>
                <w:szCs w:val="22"/>
              </w:rPr>
              <w:t>9.1</w:t>
            </w:r>
            <w:r w:rsidR="00F005B1" w:rsidRPr="006612BB">
              <w:rPr>
                <w:color w:val="000000"/>
                <w:sz w:val="22"/>
                <w:szCs w:val="22"/>
              </w:rPr>
              <w:t>%</w:t>
            </w:r>
          </w:p>
        </w:tc>
      </w:tr>
    </w:tbl>
    <w:p w:rsidR="00F005B1" w:rsidRPr="006612BB" w:rsidRDefault="00F005B1" w:rsidP="00F005B1">
      <w:pPr>
        <w:pStyle w:val="FootnoteText"/>
      </w:pPr>
      <w:r w:rsidRPr="006612BB">
        <w:t>Source: TECO MCC Petition, Schedule E-10.</w:t>
      </w:r>
    </w:p>
    <w:p w:rsidR="00F005B1" w:rsidRPr="00F005B1" w:rsidRDefault="00F005B1" w:rsidP="00F005B1">
      <w:pPr>
        <w:pStyle w:val="BodyText"/>
        <w:spacing w:after="0"/>
        <w:rPr>
          <w:highlight w:val="yellow"/>
        </w:rPr>
      </w:pPr>
    </w:p>
    <w:p w:rsidR="00F005B1" w:rsidRPr="00F005B1" w:rsidRDefault="00F005B1" w:rsidP="00F005B1">
      <w:pPr>
        <w:pStyle w:val="BodyText"/>
        <w:spacing w:after="0"/>
        <w:rPr>
          <w:highlight w:val="yellow"/>
        </w:rPr>
      </w:pPr>
    </w:p>
    <w:p w:rsidR="00F005B1" w:rsidRDefault="00F005B1" w:rsidP="00F005B1">
      <w:pPr>
        <w:pStyle w:val="BodyText"/>
        <w:spacing w:after="0"/>
      </w:pPr>
      <w:r w:rsidRPr="00224A79">
        <w:t xml:space="preserve">TECO’s current total residential charge for the first 1,000 kWh of usage beginning January 2022 is $120.91. If TECO’s mid-course correction proposal is approved, the current total residential charge for the first 1,000 kWh of usage, beginning </w:t>
      </w:r>
      <w:r w:rsidR="006612BB" w:rsidRPr="00224A79">
        <w:t>April 2022, will be $131</w:t>
      </w:r>
      <w:r w:rsidRPr="00224A79">
        <w:t>.</w:t>
      </w:r>
      <w:r w:rsidR="006612BB" w:rsidRPr="00224A79">
        <w:t>87</w:t>
      </w:r>
      <w:r w:rsidRPr="00224A79">
        <w:t>. T</w:t>
      </w:r>
      <w:r w:rsidR="00F57C8A" w:rsidRPr="00224A79">
        <w:t>his represents an increase of 9.1</w:t>
      </w:r>
      <w:r w:rsidRPr="00224A79">
        <w:t xml:space="preserve"> percent. For non-residential customers, TECO reported that based on average levels of usage and specific rate schedules, bill increases for small commercial customers wo</w:t>
      </w:r>
      <w:r w:rsidR="00224A79" w:rsidRPr="00224A79">
        <w:t>uld be approximately 8.2</w:t>
      </w:r>
      <w:r w:rsidRPr="00224A79">
        <w:t xml:space="preserve"> percent, bill increases for medium-size comme</w:t>
      </w:r>
      <w:r w:rsidR="00224A79" w:rsidRPr="00224A79">
        <w:t>rcial customers would be approximately 9.5 percent, and approximately 1</w:t>
      </w:r>
      <w:r w:rsidRPr="00224A79">
        <w:t>4</w:t>
      </w:r>
      <w:r w:rsidR="00224A79" w:rsidRPr="00224A79">
        <w:t xml:space="preserve">.0 to 18.5 percent for large commercial and </w:t>
      </w:r>
      <w:r w:rsidRPr="00224A79">
        <w:t>industrial customers.</w:t>
      </w:r>
      <w:r w:rsidRPr="00224A79">
        <w:rPr>
          <w:rStyle w:val="FootnoteReference"/>
        </w:rPr>
        <w:footnoteReference w:id="31"/>
      </w:r>
      <w:r w:rsidRPr="00224A79">
        <w:t xml:space="preserve"> TECO’s proposed tariff is shown on Appendix A to this recommendation.</w:t>
      </w:r>
    </w:p>
    <w:p w:rsidR="00995548" w:rsidRPr="000C6048" w:rsidRDefault="00995548" w:rsidP="00F005B1">
      <w:pPr>
        <w:pStyle w:val="BodyText"/>
        <w:spacing w:after="0"/>
      </w:pPr>
    </w:p>
    <w:p w:rsidR="00F005B1" w:rsidRPr="00377842" w:rsidRDefault="00F005B1" w:rsidP="00F005B1">
      <w:pPr>
        <w:pStyle w:val="BodyText"/>
        <w:spacing w:after="0"/>
        <w:rPr>
          <w:rFonts w:ascii="Arial" w:hAnsi="Arial" w:cs="Arial"/>
          <w:b/>
          <w:i/>
        </w:rPr>
      </w:pPr>
      <w:r w:rsidRPr="00377842">
        <w:rPr>
          <w:rFonts w:ascii="Arial" w:hAnsi="Arial" w:cs="Arial"/>
          <w:b/>
          <w:i/>
        </w:rPr>
        <w:t>Summary</w:t>
      </w:r>
    </w:p>
    <w:p w:rsidR="00F005B1" w:rsidRPr="00377842" w:rsidRDefault="00F005B1" w:rsidP="00F005B1">
      <w:pPr>
        <w:pStyle w:val="BodyText"/>
        <w:spacing w:after="0"/>
      </w:pPr>
      <w:r w:rsidRPr="00377842">
        <w:t>Staff recommends TECO’s fuel cost recovery factors be adjusted to incorporate its projected 2022 end-of-year fuel cost under-recovery. Staff also recommends TECO’s capacity cost recovery factors be adjusted to incorporate its projected 2022 end-of-year capacity cost under-recovery. The revised fuel and capacity factors associated with staff’s recommendations are shown on Appendix A.</w:t>
      </w:r>
    </w:p>
    <w:p w:rsidR="00F005B1" w:rsidRPr="00F005B1" w:rsidRDefault="00F005B1" w:rsidP="00F005B1">
      <w:pPr>
        <w:pStyle w:val="BodyText"/>
        <w:spacing w:after="0"/>
        <w:rPr>
          <w:highlight w:val="yellow"/>
        </w:rPr>
      </w:pPr>
    </w:p>
    <w:p w:rsidR="00F005B1" w:rsidRPr="002E30C2" w:rsidRDefault="00F005B1" w:rsidP="00F005B1">
      <w:pPr>
        <w:pStyle w:val="BodyText"/>
        <w:spacing w:after="0"/>
        <w:rPr>
          <w:rFonts w:ascii="Arial" w:hAnsi="Arial" w:cs="Arial"/>
          <w:b/>
        </w:rPr>
      </w:pPr>
      <w:r w:rsidRPr="002E30C2">
        <w:rPr>
          <w:rFonts w:ascii="Arial" w:hAnsi="Arial" w:cs="Arial"/>
          <w:b/>
        </w:rPr>
        <w:t>Conclusion</w:t>
      </w:r>
    </w:p>
    <w:p w:rsidR="00F005B1" w:rsidRDefault="002E30C2">
      <w:pPr>
        <w:pStyle w:val="BodyText"/>
      </w:pPr>
      <w:r w:rsidRPr="004F6AB5">
        <w:t>Staff recommends the Commission approve adjustments to TECO’s currently-approved fue</w:t>
      </w:r>
      <w:r w:rsidR="00057C0C">
        <w:t>l cost recovery factors to incorporate</w:t>
      </w:r>
      <w:r w:rsidRPr="004F6AB5">
        <w:t xml:space="preserve"> the total projected period-ending 2022 under-recovery of fuel cos</w:t>
      </w:r>
      <w:r w:rsidR="00C04C94">
        <w:t xml:space="preserve">ts </w:t>
      </w:r>
      <w:r>
        <w:t>of $</w:t>
      </w:r>
      <w:r w:rsidRPr="00686B40">
        <w:t>165,639,603</w:t>
      </w:r>
      <w:r w:rsidRPr="004F6AB5">
        <w:t>. Staff further recommends the Commission approve adjustments to TECO’s capacity cost recovery factors to incorporate the projected period-ending 2022 under-recovery of capacity c</w:t>
      </w:r>
      <w:r w:rsidR="00C04C94">
        <w:t>osts</w:t>
      </w:r>
      <w:r>
        <w:t xml:space="preserve"> of $</w:t>
      </w:r>
      <w:r w:rsidRPr="00686B40">
        <w:t>3,037,188</w:t>
      </w:r>
      <w:r w:rsidRPr="004F6AB5">
        <w:t>.</w:t>
      </w:r>
    </w:p>
    <w:p w:rsidR="005A1F89" w:rsidRDefault="005A1F89">
      <w:pPr>
        <w:pStyle w:val="IssueHeading"/>
        <w:rPr>
          <w:vanish/>
          <w:specVanish/>
        </w:rPr>
      </w:pPr>
      <w:r w:rsidRPr="004C3641">
        <w:rPr>
          <w:b w:val="0"/>
          <w:i w:val="0"/>
        </w:rPr>
        <w:br w:type="page"/>
      </w:r>
      <w:r w:rsidRPr="004C3641">
        <w:t xml:space="preserve">Issue </w:t>
      </w:r>
      <w:r w:rsidR="0048349B">
        <w:fldChar w:fldCharType="begin"/>
      </w:r>
      <w:r w:rsidR="0048349B">
        <w:instrText xml:space="preserve"> SEQ Issue \* MERGEFORMAT </w:instrText>
      </w:r>
      <w:r w:rsidR="0048349B">
        <w:fldChar w:fldCharType="separate"/>
      </w:r>
      <w:r w:rsidR="006A1B38">
        <w:rPr>
          <w:noProof/>
        </w:rPr>
        <w:t>2</w:t>
      </w:r>
      <w:r w:rsidR="0048349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A1B38">
        <w:rPr>
          <w:noProof/>
        </w:rPr>
        <w:instrText>2</w:instrText>
      </w:r>
      <w:r>
        <w:fldChar w:fldCharType="end"/>
      </w:r>
      <w:r>
        <w:tab/>
        <w:instrText xml:space="preserve">(Coston, Brownless)" \l 1 </w:instrText>
      </w:r>
      <w:r>
        <w:fldChar w:fldCharType="end"/>
      </w:r>
      <w:r>
        <w:t> </w:t>
      </w:r>
    </w:p>
    <w:p w:rsidR="005A1F89" w:rsidRDefault="005A1F89">
      <w:pPr>
        <w:pStyle w:val="BodyText"/>
      </w:pPr>
      <w:r>
        <w:t> If approved by the Commission, what is the appropriate effective date for TECO’s revised fuel and capacity cost recovery factors?</w:t>
      </w:r>
    </w:p>
    <w:p w:rsidR="005A1F89" w:rsidRPr="004C3641" w:rsidRDefault="005A1F89">
      <w:pPr>
        <w:pStyle w:val="IssueSubsectionHeading"/>
        <w:rPr>
          <w:vanish/>
          <w:specVanish/>
        </w:rPr>
      </w:pPr>
      <w:r w:rsidRPr="004C3641">
        <w:t>Recommendation: </w:t>
      </w:r>
    </w:p>
    <w:p w:rsidR="005A1F89" w:rsidRDefault="005A1F89">
      <w:pPr>
        <w:pStyle w:val="BodyText"/>
      </w:pPr>
      <w:r>
        <w:t> </w:t>
      </w:r>
      <w:r w:rsidR="00985B9B" w:rsidRPr="00985B9B">
        <w:t>Staff recommends that the fuel cost recovery and capacity</w:t>
      </w:r>
      <w:r w:rsidR="00EB24EA">
        <w:t xml:space="preserve"> cost recovery </w:t>
      </w:r>
      <w:r w:rsidR="00985B9B" w:rsidRPr="00985B9B">
        <w:t xml:space="preserve">factors as shown on Appendix A become effective with the first billing cycle of </w:t>
      </w:r>
      <w:r w:rsidR="00985B9B">
        <w:t>April</w:t>
      </w:r>
      <w:r w:rsidR="00985B9B" w:rsidRPr="00985B9B">
        <w:t xml:space="preserve"> 2022.</w:t>
      </w:r>
      <w:r>
        <w:t xml:space="preserve"> (Coston, Brownless)</w:t>
      </w:r>
    </w:p>
    <w:p w:rsidR="005A1F89" w:rsidRPr="004C3641" w:rsidRDefault="005A1F89">
      <w:pPr>
        <w:pStyle w:val="IssueSubsectionHeading"/>
        <w:rPr>
          <w:vanish/>
          <w:specVanish/>
        </w:rPr>
      </w:pPr>
      <w:r w:rsidRPr="004C3641">
        <w:t>Staff Analysis: </w:t>
      </w:r>
    </w:p>
    <w:p w:rsidR="00071915" w:rsidRPr="003634D8" w:rsidRDefault="005A1F89" w:rsidP="00071915">
      <w:pPr>
        <w:pStyle w:val="BodyText"/>
        <w:spacing w:after="0"/>
      </w:pPr>
      <w:r>
        <w:t> </w:t>
      </w:r>
      <w:r w:rsidR="00071915" w:rsidRPr="003634D8">
        <w:t xml:space="preserve">In its petition, TECO has requested that the revised fuel and capacity cost recovery factors become effective with the first billing cycle of </w:t>
      </w:r>
      <w:r w:rsidR="00071915">
        <w:t>April</w:t>
      </w:r>
      <w:r w:rsidR="00071915" w:rsidRPr="003634D8">
        <w:t xml:space="preserve"> 2022. </w:t>
      </w:r>
    </w:p>
    <w:p w:rsidR="00071915" w:rsidRPr="004D562F" w:rsidRDefault="00071915" w:rsidP="00071915">
      <w:pPr>
        <w:pStyle w:val="BodyText"/>
        <w:spacing w:after="0"/>
        <w:rPr>
          <w:highlight w:val="yellow"/>
        </w:rPr>
      </w:pPr>
    </w:p>
    <w:p w:rsidR="00071915" w:rsidRPr="003634D8" w:rsidRDefault="00071915" w:rsidP="00071915">
      <w:pPr>
        <w:pStyle w:val="BodyText"/>
        <w:spacing w:after="0"/>
      </w:pPr>
      <w:r w:rsidRPr="003634D8">
        <w:t>Over the last 20 years in the Fuel Clause docket, the Commission has considered the effective date of rates and charges of revised fuel cost recovery factors on a case-by-case basis. The Commission has approved fuel cost recovery factor rate decreases effective sooner than the next full billing cycle after the date of the Commission’s vote with the range between the vote and the effective date being from 25 to 2 days. The rationale for that action being that it was in the customers’ best interests to implement the lower rate as soon as possible.</w:t>
      </w:r>
      <w:r w:rsidRPr="003634D8">
        <w:rPr>
          <w:vertAlign w:val="superscript"/>
        </w:rPr>
        <w:footnoteReference w:id="32"/>
      </w:r>
      <w:r w:rsidRPr="003634D8">
        <w:t xml:space="preserve"> With regard to fuel cost recovery factor rate increases, the Commission has approved an effective date of the revised factors ranging from 14 to 29 days after the vote.</w:t>
      </w:r>
      <w:r w:rsidRPr="003634D8">
        <w:rPr>
          <w:vertAlign w:val="superscript"/>
        </w:rPr>
        <w:footnoteReference w:id="33"/>
      </w:r>
      <w:r w:rsidR="003D700C">
        <w:t xml:space="preserve"> In five</w:t>
      </w:r>
      <w:r w:rsidRPr="003634D8">
        <w:t xml:space="preserve"> of these cases, the Commission noted that the utility had given its customers 30 days’ written notice before the date of the vote that a fuel cost recovery factor increase had been requested and provided the proposed effective date of the higher fuel factors.</w:t>
      </w:r>
      <w:r w:rsidRPr="003634D8">
        <w:rPr>
          <w:vertAlign w:val="superscript"/>
        </w:rPr>
        <w:footnoteReference w:id="34"/>
      </w:r>
    </w:p>
    <w:p w:rsidR="00071915" w:rsidRPr="003634D8" w:rsidRDefault="00071915" w:rsidP="00071915">
      <w:pPr>
        <w:pStyle w:val="BodyText"/>
        <w:spacing w:after="0"/>
      </w:pPr>
    </w:p>
    <w:p w:rsidR="00071915" w:rsidRPr="00071915" w:rsidRDefault="00071915" w:rsidP="00071915">
      <w:pPr>
        <w:pStyle w:val="BodyText"/>
        <w:spacing w:after="0"/>
        <w:rPr>
          <w:highlight w:val="yellow"/>
        </w:rPr>
      </w:pPr>
      <w:r w:rsidRPr="003634D8">
        <w:t>In its</w:t>
      </w:r>
      <w:r>
        <w:t xml:space="preserve"> MCC</w:t>
      </w:r>
      <w:r w:rsidRPr="003634D8">
        <w:t xml:space="preserve"> </w:t>
      </w:r>
      <w:r>
        <w:t>P</w:t>
      </w:r>
      <w:r w:rsidRPr="003634D8">
        <w:t>etition, TECO proposes to collect the current under-recoveries of fuel and capacity costs ove</w:t>
      </w:r>
      <w:r>
        <w:t>r 9 consecutive months</w:t>
      </w:r>
      <w:r w:rsidRPr="003634D8">
        <w:t xml:space="preserve">, beginning with the first billing cycle of </w:t>
      </w:r>
      <w:r>
        <w:t>April</w:t>
      </w:r>
      <w:r w:rsidRPr="003634D8">
        <w:t xml:space="preserve"> 2022, and </w:t>
      </w:r>
      <w:r w:rsidRPr="00B20397">
        <w:t>ending with the last billing cycle of December 2022</w:t>
      </w:r>
      <w:r w:rsidRPr="00105164">
        <w:t>. I</w:t>
      </w:r>
      <w:r w:rsidR="00105164" w:rsidRPr="00105164">
        <w:t>n the instant case, there are 30</w:t>
      </w:r>
      <w:r w:rsidRPr="00105164">
        <w:t xml:space="preserve"> days between the</w:t>
      </w:r>
      <w:r w:rsidR="00105164" w:rsidRPr="00105164">
        <w:t xml:space="preserve"> Commission’s vote on March 1</w:t>
      </w:r>
      <w:r w:rsidR="00105164" w:rsidRPr="00105164">
        <w:rPr>
          <w:vertAlign w:val="superscript"/>
        </w:rPr>
        <w:t>st</w:t>
      </w:r>
      <w:r w:rsidR="00105164" w:rsidRPr="00105164">
        <w:t xml:space="preserve"> </w:t>
      </w:r>
      <w:r w:rsidRPr="00105164">
        <w:t xml:space="preserve">and </w:t>
      </w:r>
      <w:r w:rsidR="00105164" w:rsidRPr="00105164">
        <w:t>the beginning of TECO’s April billing cycle (April 1</w:t>
      </w:r>
      <w:r w:rsidR="00105164" w:rsidRPr="00257610">
        <w:rPr>
          <w:vertAlign w:val="superscript"/>
        </w:rPr>
        <w:t>st</w:t>
      </w:r>
      <w:r w:rsidRPr="00257610">
        <w:t>).</w:t>
      </w:r>
      <w:r w:rsidRPr="00257610">
        <w:rPr>
          <w:rStyle w:val="FootnoteReference"/>
        </w:rPr>
        <w:footnoteReference w:id="35"/>
      </w:r>
    </w:p>
    <w:p w:rsidR="00071915" w:rsidRPr="00071915" w:rsidRDefault="00071915" w:rsidP="00071915">
      <w:pPr>
        <w:pStyle w:val="BodyText"/>
        <w:spacing w:after="0"/>
        <w:rPr>
          <w:highlight w:val="yellow"/>
        </w:rPr>
      </w:pPr>
    </w:p>
    <w:p w:rsidR="00071915" w:rsidRPr="0013685A" w:rsidRDefault="00071915" w:rsidP="00071915">
      <w:pPr>
        <w:pStyle w:val="BodyText"/>
        <w:spacing w:after="0"/>
      </w:pPr>
      <w:r w:rsidRPr="00257610">
        <w:t xml:space="preserve">Concerning customer advisement of the instant request, TECO states that the proposed rate-change notifications are planned for customer bills beginning with </w:t>
      </w:r>
      <w:r w:rsidR="00257610" w:rsidRPr="00257610">
        <w:t>March</w:t>
      </w:r>
      <w:r w:rsidR="00DA0E7A">
        <w:t xml:space="preserve"> 2022 invoices. Additionally</w:t>
      </w:r>
      <w:r w:rsidRPr="00257610">
        <w:t xml:space="preserve">, on </w:t>
      </w:r>
      <w:r w:rsidR="00257610" w:rsidRPr="00257610">
        <w:t>January 19, 2022</w:t>
      </w:r>
      <w:r w:rsidRPr="00257610">
        <w:t>, which is the same day TECO submitted its</w:t>
      </w:r>
      <w:r w:rsidR="00C04C94">
        <w:t xml:space="preserve"> instant</w:t>
      </w:r>
      <w:r w:rsidRPr="00257610">
        <w:t xml:space="preserve"> MCC Petition, the Company posted a “news release” to its website </w:t>
      </w:r>
      <w:r w:rsidR="00FC2142">
        <w:t>descr</w:t>
      </w:r>
      <w:r w:rsidR="00DA0E7A">
        <w:t>ibing the proposal and</w:t>
      </w:r>
      <w:r w:rsidR="00606540">
        <w:t xml:space="preserve"> </w:t>
      </w:r>
      <w:r w:rsidRPr="00257610">
        <w:t>provided telephone and email correspondence to 60 large customers informing them of the proposed mid-course changes.</w:t>
      </w:r>
      <w:r w:rsidRPr="00257610">
        <w:rPr>
          <w:rStyle w:val="FootnoteReference"/>
        </w:rPr>
        <w:footnoteReference w:id="36"/>
      </w:r>
    </w:p>
    <w:p w:rsidR="00071915" w:rsidRPr="004D562F" w:rsidRDefault="00071915" w:rsidP="00071915">
      <w:pPr>
        <w:pStyle w:val="BodyText"/>
        <w:spacing w:after="0"/>
        <w:rPr>
          <w:highlight w:val="yellow"/>
        </w:rPr>
      </w:pPr>
    </w:p>
    <w:p w:rsidR="00071915" w:rsidRPr="003634D8" w:rsidRDefault="00071915" w:rsidP="00071915">
      <w:pPr>
        <w:pStyle w:val="BodyText"/>
        <w:spacing w:after="0"/>
        <w:rPr>
          <w:rFonts w:ascii="Arial" w:hAnsi="Arial" w:cs="Arial"/>
          <w:b/>
        </w:rPr>
      </w:pPr>
      <w:r w:rsidRPr="003634D8">
        <w:rPr>
          <w:rFonts w:ascii="Arial" w:hAnsi="Arial" w:cs="Arial"/>
          <w:b/>
        </w:rPr>
        <w:t>Conclusion</w:t>
      </w:r>
    </w:p>
    <w:p w:rsidR="005A1F89" w:rsidRDefault="00071915" w:rsidP="00071915">
      <w:pPr>
        <w:pStyle w:val="BodyText"/>
      </w:pPr>
      <w:r w:rsidRPr="003634D8">
        <w:t xml:space="preserve">Staff recommends that the fuel cost recovery and capacity </w:t>
      </w:r>
      <w:r w:rsidR="00EB24EA">
        <w:t xml:space="preserve">cost recovery </w:t>
      </w:r>
      <w:r w:rsidRPr="003634D8">
        <w:t xml:space="preserve">factors as shown on Appendix A become effective with the first billing cycle of </w:t>
      </w:r>
      <w:r>
        <w:t>April</w:t>
      </w:r>
      <w:r w:rsidRPr="003634D8">
        <w:t xml:space="preserve"> 2022</w:t>
      </w:r>
      <w:r w:rsidR="00EB24EA">
        <w:t>.</w:t>
      </w:r>
    </w:p>
    <w:p w:rsidR="005A1F89" w:rsidRDefault="005A1F89">
      <w:pPr>
        <w:pStyle w:val="IssueHeading"/>
        <w:rPr>
          <w:vanish/>
          <w:specVanish/>
        </w:rPr>
      </w:pPr>
      <w:r w:rsidRPr="004C3641">
        <w:rPr>
          <w:b w:val="0"/>
          <w:i w:val="0"/>
        </w:rPr>
        <w:br w:type="page"/>
      </w:r>
      <w:r w:rsidRPr="004C3641">
        <w:t xml:space="preserve">Issue </w:t>
      </w:r>
      <w:r w:rsidR="0048349B">
        <w:fldChar w:fldCharType="begin"/>
      </w:r>
      <w:r w:rsidR="0048349B">
        <w:instrText xml:space="preserve"> SEQ Issue \* MERGEFORMAT </w:instrText>
      </w:r>
      <w:r w:rsidR="0048349B">
        <w:fldChar w:fldCharType="separate"/>
      </w:r>
      <w:r w:rsidR="006A1B38">
        <w:rPr>
          <w:noProof/>
        </w:rPr>
        <w:t>3</w:t>
      </w:r>
      <w:r w:rsidR="0048349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A1B38">
        <w:rPr>
          <w:noProof/>
        </w:rPr>
        <w:instrText>3</w:instrText>
      </w:r>
      <w:r>
        <w:fldChar w:fldCharType="end"/>
      </w:r>
      <w:r>
        <w:tab/>
        <w:instrText xml:space="preserve">(Brownless)" \l 1 </w:instrText>
      </w:r>
      <w:r>
        <w:fldChar w:fldCharType="end"/>
      </w:r>
      <w:r>
        <w:t> </w:t>
      </w:r>
    </w:p>
    <w:p w:rsidR="005A1F89" w:rsidRDefault="005A1F89">
      <w:pPr>
        <w:pStyle w:val="BodyText"/>
      </w:pPr>
      <w:r>
        <w:t> Should this docket be closed?</w:t>
      </w:r>
    </w:p>
    <w:p w:rsidR="005A1F89" w:rsidRPr="004C3641" w:rsidRDefault="005A1F89">
      <w:pPr>
        <w:pStyle w:val="IssueSubsectionHeading"/>
        <w:rPr>
          <w:vanish/>
          <w:specVanish/>
        </w:rPr>
      </w:pPr>
      <w:r w:rsidRPr="004C3641">
        <w:t>Recommendation: </w:t>
      </w:r>
    </w:p>
    <w:p w:rsidR="005A1F89" w:rsidRDefault="005A1F89">
      <w:pPr>
        <w:pStyle w:val="BodyText"/>
      </w:pPr>
      <w:r>
        <w:t> </w:t>
      </w:r>
      <w:r w:rsidR="00071915" w:rsidRPr="001239A6">
        <w:t>No. The 202</w:t>
      </w:r>
      <w:r w:rsidR="00EB24EA">
        <w:t>2</w:t>
      </w:r>
      <w:r w:rsidR="00071915" w:rsidRPr="001239A6">
        <w:t>0001-EI docket is an on-going proceeding and should remain open.</w:t>
      </w:r>
      <w:r>
        <w:t xml:space="preserve"> (Brownless)</w:t>
      </w:r>
    </w:p>
    <w:p w:rsidR="005A1F89" w:rsidRPr="004C3641" w:rsidRDefault="005A1F89">
      <w:pPr>
        <w:pStyle w:val="IssueSubsectionHeading"/>
        <w:rPr>
          <w:vanish/>
          <w:specVanish/>
        </w:rPr>
      </w:pPr>
      <w:r w:rsidRPr="004C3641">
        <w:t>Staff Analysis: </w:t>
      </w:r>
    </w:p>
    <w:p w:rsidR="00071915" w:rsidRDefault="005A1F89" w:rsidP="00071915">
      <w:pPr>
        <w:pStyle w:val="BodyText"/>
      </w:pPr>
      <w:r>
        <w:t> </w:t>
      </w:r>
      <w:r w:rsidR="00071915" w:rsidRPr="00BB1F4A">
        <w:t>The fuel docket is on-going and should remain open.</w:t>
      </w:r>
    </w:p>
    <w:p w:rsidR="005A1F89" w:rsidRDefault="005A1F89">
      <w:pPr>
        <w:pStyle w:val="BodyText"/>
      </w:pPr>
    </w:p>
    <w:p w:rsidR="00071915" w:rsidRDefault="00071915" w:rsidP="00E275D8">
      <w:pPr>
        <w:pStyle w:val="BodyText"/>
        <w:sectPr w:rsidR="00071915" w:rsidSect="0068481F">
          <w:headerReference w:type="even" r:id="rId11"/>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8F0237" w:rsidP="00E275D8">
      <w:pPr>
        <w:pStyle w:val="BodyText"/>
      </w:pPr>
      <w:r w:rsidRPr="008F0237">
        <w:rPr>
          <w:noProof/>
        </w:rPr>
        <w:drawing>
          <wp:inline distT="0" distB="0" distL="0" distR="0">
            <wp:extent cx="5951220" cy="776465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9160" cy="7788058"/>
                    </a:xfrm>
                    <a:prstGeom prst="rect">
                      <a:avLst/>
                    </a:prstGeom>
                    <a:noFill/>
                    <a:ln>
                      <a:noFill/>
                    </a:ln>
                  </pic:spPr>
                </pic:pic>
              </a:graphicData>
            </a:graphic>
          </wp:inline>
        </w:drawing>
      </w:r>
    </w:p>
    <w:sectPr w:rsidR="00E06484" w:rsidSect="0068481F">
      <w:headerReference w:type="even" r:id="rId16"/>
      <w:headerReference w:type="default" r:id="rId17"/>
      <w:headerReference w:type="firs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E10" w:rsidRDefault="009D2E10">
      <w:r>
        <w:separator/>
      </w:r>
    </w:p>
  </w:endnote>
  <w:endnote w:type="continuationSeparator" w:id="0">
    <w:p w:rsidR="009D2E10" w:rsidRDefault="009D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784" w:rsidRDefault="0068778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E2191">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784" w:rsidRDefault="00687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E10" w:rsidRDefault="009D2E10">
      <w:r>
        <w:separator/>
      </w:r>
    </w:p>
  </w:footnote>
  <w:footnote w:type="continuationSeparator" w:id="0">
    <w:p w:rsidR="009D2E10" w:rsidRDefault="009D2E10">
      <w:r>
        <w:continuationSeparator/>
      </w:r>
    </w:p>
  </w:footnote>
  <w:footnote w:id="1">
    <w:p w:rsidR="00687784" w:rsidRDefault="00687784" w:rsidP="005A1F89">
      <w:pPr>
        <w:pStyle w:val="FootnoteText"/>
      </w:pPr>
      <w:r>
        <w:rPr>
          <w:rStyle w:val="FootnoteReference"/>
        </w:rPr>
        <w:footnoteRef/>
      </w:r>
      <w:r w:rsidRPr="004D562F">
        <w:t xml:space="preserve">Order No. </w:t>
      </w:r>
      <w:r>
        <w:t>PSC-2021-0442-FOF-EI, issued November 30</w:t>
      </w:r>
      <w:r w:rsidRPr="004D562F">
        <w:t xml:space="preserve">, 2021, in Docket No. 20210001-EI, </w:t>
      </w:r>
      <w:r w:rsidRPr="00541633">
        <w:rPr>
          <w:i/>
        </w:rPr>
        <w:t>In re: Fuel and purchased power cost recovery clause with generating performance incentive factor</w:t>
      </w:r>
      <w:r w:rsidRPr="004D562F">
        <w:t>.</w:t>
      </w:r>
      <w:r w:rsidRPr="003176DE">
        <w:tab/>
      </w:r>
    </w:p>
  </w:footnote>
  <w:footnote w:id="2">
    <w:p w:rsidR="00687784" w:rsidRDefault="00687784">
      <w:pPr>
        <w:pStyle w:val="FootnoteText"/>
      </w:pPr>
      <w:r>
        <w:rPr>
          <w:rStyle w:val="FootnoteReference"/>
        </w:rPr>
        <w:footnoteRef/>
      </w:r>
      <w:r>
        <w:t>Document No. 00350-2022</w:t>
      </w:r>
    </w:p>
  </w:footnote>
  <w:footnote w:id="3">
    <w:p w:rsidR="00687784" w:rsidRPr="00D94864" w:rsidRDefault="00687784" w:rsidP="004F6AB5">
      <w:pPr>
        <w:pStyle w:val="FootnoteText"/>
        <w:rPr>
          <w:highlight w:val="yellow"/>
        </w:rPr>
      </w:pPr>
      <w:r w:rsidRPr="005679EB">
        <w:rPr>
          <w:rStyle w:val="FootnoteReference"/>
        </w:rPr>
        <w:footnoteRef/>
      </w:r>
      <w:r w:rsidRPr="005679EB">
        <w:t>Order No. PSC-2021-0442-FOF-EI.</w:t>
      </w:r>
    </w:p>
  </w:footnote>
  <w:footnote w:id="4">
    <w:p w:rsidR="00687784" w:rsidRPr="00D94864" w:rsidRDefault="00687784" w:rsidP="00F005B1">
      <w:pPr>
        <w:pStyle w:val="FootnoteText"/>
        <w:rPr>
          <w:highlight w:val="yellow"/>
        </w:rPr>
      </w:pPr>
      <w:r w:rsidRPr="005679EB">
        <w:rPr>
          <w:rStyle w:val="FootnoteReference"/>
        </w:rPr>
        <w:footnoteRef/>
      </w:r>
      <w:r w:rsidRPr="005679EB">
        <w:t>Document No. 00350-2022.</w:t>
      </w:r>
    </w:p>
  </w:footnote>
  <w:footnote w:id="5">
    <w:p w:rsidR="00687784" w:rsidRPr="00D94864" w:rsidRDefault="00687784" w:rsidP="00F005B1">
      <w:pPr>
        <w:pStyle w:val="FootnoteText"/>
        <w:rPr>
          <w:highlight w:val="yellow"/>
        </w:rPr>
      </w:pPr>
      <w:r w:rsidRPr="005679EB">
        <w:rPr>
          <w:rStyle w:val="FootnoteReference"/>
        </w:rPr>
        <w:footnoteRef/>
      </w:r>
      <w:r w:rsidRPr="005679EB">
        <w:t>Document No. 11992-2021.</w:t>
      </w:r>
    </w:p>
  </w:footnote>
  <w:footnote w:id="6">
    <w:p w:rsidR="00687784" w:rsidRDefault="00687784" w:rsidP="001E74CC">
      <w:pPr>
        <w:pStyle w:val="FootnoteText"/>
      </w:pPr>
      <w:r w:rsidRPr="005679EB">
        <w:rPr>
          <w:rStyle w:val="FootnoteReference"/>
        </w:rPr>
        <w:footnoteRef/>
      </w:r>
      <w:r w:rsidRPr="005679EB">
        <w:t>Document No. 12790-2021.</w:t>
      </w:r>
    </w:p>
  </w:footnote>
  <w:footnote w:id="7">
    <w:p w:rsidR="00687784" w:rsidRPr="00D94864" w:rsidRDefault="00687784">
      <w:pPr>
        <w:pStyle w:val="FootnoteText"/>
        <w:rPr>
          <w:highlight w:val="yellow"/>
        </w:rPr>
      </w:pPr>
      <w:r w:rsidRPr="00556330">
        <w:rPr>
          <w:rStyle w:val="FootnoteReference"/>
        </w:rPr>
        <w:footnoteRef/>
      </w:r>
      <w:r w:rsidRPr="00556330">
        <w:t xml:space="preserve"> Document No. 00027-2022. </w:t>
      </w:r>
    </w:p>
  </w:footnote>
  <w:footnote w:id="8">
    <w:p w:rsidR="00687784" w:rsidRPr="00D94864" w:rsidRDefault="00687784" w:rsidP="00F005B1">
      <w:pPr>
        <w:pStyle w:val="FootnoteText"/>
        <w:rPr>
          <w:highlight w:val="yellow"/>
        </w:rPr>
      </w:pPr>
      <w:r w:rsidRPr="00556330">
        <w:rPr>
          <w:rStyle w:val="FootnoteReference"/>
        </w:rPr>
        <w:footnoteRef/>
      </w:r>
      <w:r w:rsidRPr="00556330">
        <w:t>Order No. PSC-2021-0442-FOF-EI.</w:t>
      </w:r>
    </w:p>
  </w:footnote>
  <w:footnote w:id="9">
    <w:p w:rsidR="00687784" w:rsidRPr="00D94864" w:rsidRDefault="00687784" w:rsidP="00F005B1">
      <w:pPr>
        <w:pStyle w:val="FootnoteText"/>
        <w:rPr>
          <w:highlight w:val="yellow"/>
        </w:rPr>
      </w:pPr>
      <w:r w:rsidRPr="00556330">
        <w:rPr>
          <w:rStyle w:val="FootnoteReference"/>
        </w:rPr>
        <w:footnoteRef/>
      </w:r>
      <w:r w:rsidRPr="00556330">
        <w:t>Order No. PSC-2021-0329-PCO-EI.</w:t>
      </w:r>
    </w:p>
  </w:footnote>
  <w:footnote w:id="10">
    <w:p w:rsidR="00687784" w:rsidRPr="00D94864" w:rsidRDefault="00687784" w:rsidP="00F005B1">
      <w:pPr>
        <w:pStyle w:val="FootnoteText"/>
        <w:rPr>
          <w:highlight w:val="yellow"/>
        </w:rPr>
      </w:pPr>
      <w:r w:rsidRPr="000A461B">
        <w:rPr>
          <w:rStyle w:val="FootnoteReference"/>
        </w:rPr>
        <w:footnoteRef/>
      </w:r>
      <w:r w:rsidRPr="000A461B">
        <w:t>Document No. 00350-2022.</w:t>
      </w:r>
    </w:p>
  </w:footnote>
  <w:footnote w:id="11">
    <w:p w:rsidR="00687784" w:rsidRPr="00D94864" w:rsidRDefault="00687784" w:rsidP="00F005B1">
      <w:pPr>
        <w:pStyle w:val="FootnoteText"/>
        <w:rPr>
          <w:highlight w:val="yellow"/>
        </w:rPr>
      </w:pPr>
      <w:r w:rsidRPr="00556330">
        <w:rPr>
          <w:rStyle w:val="FootnoteReference"/>
        </w:rPr>
        <w:footnoteRef/>
      </w:r>
      <w:r w:rsidRPr="00556330">
        <w:t>Order No. PSC-2021-0442-FOF-EI.</w:t>
      </w:r>
    </w:p>
  </w:footnote>
  <w:footnote w:id="12">
    <w:p w:rsidR="00687784" w:rsidRPr="00D94864" w:rsidRDefault="00687784" w:rsidP="00F005B1">
      <w:pPr>
        <w:pStyle w:val="FootnoteText"/>
        <w:rPr>
          <w:highlight w:val="yellow"/>
        </w:rPr>
      </w:pPr>
      <w:r w:rsidRPr="00556330">
        <w:rPr>
          <w:rStyle w:val="FootnoteReference"/>
        </w:rPr>
        <w:footnoteRef/>
      </w:r>
      <w:r w:rsidRPr="00556330">
        <w:t>Order No. PSC-2021-0329-PCO-EI.</w:t>
      </w:r>
    </w:p>
  </w:footnote>
  <w:footnote w:id="13">
    <w:p w:rsidR="00687784" w:rsidRDefault="00687784" w:rsidP="00F005B1">
      <w:pPr>
        <w:pStyle w:val="FootnoteText"/>
      </w:pPr>
      <w:r w:rsidRPr="00556330">
        <w:rPr>
          <w:rStyle w:val="FootnoteReference"/>
        </w:rPr>
        <w:footnoteRef/>
      </w:r>
      <w:r w:rsidRPr="00556330">
        <w:t>Document No. 00350-2022.</w:t>
      </w:r>
    </w:p>
  </w:footnote>
  <w:footnote w:id="14">
    <w:p w:rsidR="00687784" w:rsidRPr="00D94864" w:rsidRDefault="00687784" w:rsidP="00F005B1">
      <w:pPr>
        <w:pStyle w:val="FootnoteText"/>
        <w:rPr>
          <w:highlight w:val="yellow"/>
        </w:rPr>
      </w:pPr>
      <w:r w:rsidRPr="00C65E64">
        <w:rPr>
          <w:rStyle w:val="FootnoteReference"/>
        </w:rPr>
        <w:footnoteRef/>
      </w:r>
      <w:r w:rsidRPr="00C65E64">
        <w:t>Document No. 10086-2021.</w:t>
      </w:r>
    </w:p>
  </w:footnote>
  <w:footnote w:id="15">
    <w:p w:rsidR="00687784" w:rsidRPr="00D94864" w:rsidRDefault="00687784" w:rsidP="00F005B1">
      <w:pPr>
        <w:pStyle w:val="FootnoteText"/>
        <w:rPr>
          <w:highlight w:val="yellow"/>
        </w:rPr>
      </w:pPr>
      <w:r w:rsidRPr="00C65E64">
        <w:rPr>
          <w:rStyle w:val="FootnoteReference"/>
        </w:rPr>
        <w:footnoteRef/>
      </w:r>
      <w:r w:rsidRPr="00C65E64">
        <w:t xml:space="preserve">Document No. 11810-2021. </w:t>
      </w:r>
    </w:p>
  </w:footnote>
  <w:footnote w:id="16">
    <w:p w:rsidR="00687784" w:rsidRPr="00D94864" w:rsidRDefault="00687784" w:rsidP="00F005B1">
      <w:pPr>
        <w:pStyle w:val="FootnoteText"/>
        <w:rPr>
          <w:highlight w:val="yellow"/>
        </w:rPr>
      </w:pPr>
      <w:r w:rsidRPr="00C65E64">
        <w:rPr>
          <w:rStyle w:val="FootnoteReference"/>
        </w:rPr>
        <w:footnoteRef/>
      </w:r>
      <w:r w:rsidRPr="00C65E64">
        <w:t>Order No. PSC-2021-0423-S-EI, issued November 10, 2021, in Docket No. 20210034-EI,</w:t>
      </w:r>
      <w:r w:rsidRPr="00C65E64">
        <w:rPr>
          <w:i/>
        </w:rPr>
        <w:t xml:space="preserve"> In re: Petition for rate increase by Tampa Electric Company</w:t>
      </w:r>
      <w:r w:rsidRPr="00C65E64">
        <w:t>, and Docket No. 20200264-EI,</w:t>
      </w:r>
      <w:r w:rsidRPr="00C65E64">
        <w:rPr>
          <w:i/>
        </w:rPr>
        <w:t xml:space="preserve"> In re: Petition for approval of 2020 depreciation and dismantlement study and capital recovery schedules, by Tampa Electric Company</w:t>
      </w:r>
      <w:r w:rsidRPr="00C65E64">
        <w:t>.</w:t>
      </w:r>
    </w:p>
  </w:footnote>
  <w:footnote w:id="17">
    <w:p w:rsidR="00687784" w:rsidRPr="00D94864" w:rsidRDefault="00687784" w:rsidP="00F005B1">
      <w:pPr>
        <w:pStyle w:val="FootnoteText"/>
        <w:rPr>
          <w:highlight w:val="yellow"/>
        </w:rPr>
      </w:pPr>
      <w:r w:rsidRPr="00784ED5">
        <w:rPr>
          <w:rStyle w:val="FootnoteReference"/>
        </w:rPr>
        <w:footnoteRef/>
      </w:r>
      <w:r w:rsidRPr="00784ED5">
        <w:t>Calendar year 2022 pricing information is based on forward market (New York Mercantile Exchange, or “NYMEX”) data using an average of five consecutive trading days. See Document No. 12892-2021, filed November 30, 2021, TECO’s Responses to Staff’s Second Data Request, No. 2.</w:t>
      </w:r>
    </w:p>
  </w:footnote>
  <w:footnote w:id="18">
    <w:p w:rsidR="00687784" w:rsidRPr="00D94864" w:rsidRDefault="00687784" w:rsidP="00F005B1">
      <w:pPr>
        <w:pStyle w:val="FootnoteText"/>
        <w:rPr>
          <w:highlight w:val="yellow"/>
        </w:rPr>
      </w:pPr>
      <w:r w:rsidRPr="00C65E64">
        <w:rPr>
          <w:rStyle w:val="FootnoteReference"/>
        </w:rPr>
        <w:footnoteRef/>
      </w:r>
      <w:r w:rsidRPr="00C65E64">
        <w:t>Document No. 11810-2021.</w:t>
      </w:r>
    </w:p>
  </w:footnote>
  <w:footnote w:id="19">
    <w:p w:rsidR="00687784" w:rsidRPr="00D94864" w:rsidRDefault="00687784" w:rsidP="00F005B1">
      <w:pPr>
        <w:pStyle w:val="FootnoteText"/>
        <w:rPr>
          <w:highlight w:val="yellow"/>
        </w:rPr>
      </w:pPr>
      <w:r w:rsidRPr="00784ED5">
        <w:rPr>
          <w:rStyle w:val="FootnoteReference"/>
        </w:rPr>
        <w:footnoteRef/>
      </w:r>
      <w:r w:rsidRPr="00784ED5">
        <w:t>Document No. 00350-2022.</w:t>
      </w:r>
    </w:p>
  </w:footnote>
  <w:footnote w:id="20">
    <w:p w:rsidR="00687784" w:rsidRDefault="00687784" w:rsidP="00F005B1">
      <w:pPr>
        <w:pStyle w:val="FootnoteText"/>
      </w:pPr>
      <w:r w:rsidRPr="00B01A42">
        <w:rPr>
          <w:rStyle w:val="FootnoteReference"/>
        </w:rPr>
        <w:footnoteRef/>
      </w:r>
      <w:r w:rsidRPr="00B01A42">
        <w:rPr>
          <w:i/>
        </w:rPr>
        <w:t>Id</w:t>
      </w:r>
      <w:r w:rsidRPr="00B01A42">
        <w:t>.</w:t>
      </w:r>
    </w:p>
  </w:footnote>
  <w:footnote w:id="21">
    <w:p w:rsidR="00687784" w:rsidRPr="000E20F7" w:rsidRDefault="00687784" w:rsidP="00000469">
      <w:pPr>
        <w:pStyle w:val="FootnoteText"/>
      </w:pPr>
      <w:r w:rsidRPr="000E20F7">
        <w:rPr>
          <w:rStyle w:val="FootnoteReference"/>
        </w:rPr>
        <w:footnoteRef/>
      </w:r>
      <w:r w:rsidRPr="000E20F7">
        <w:t xml:space="preserve">Staff obtained its natural gas pricing information from the CME Group Inc. CME Group pricing information with respect to natural gas can be located through the following web address: </w:t>
      </w:r>
      <w:hyperlink r:id="rId1" w:history="1">
        <w:r w:rsidRPr="000E20F7">
          <w:rPr>
            <w:rStyle w:val="Hyperlink"/>
          </w:rPr>
          <w:t>https://www.cmegroup.com/markets/energy/natural-gas/natural-gas.quotes.html</w:t>
        </w:r>
      </w:hyperlink>
    </w:p>
  </w:footnote>
  <w:footnote w:id="22">
    <w:p w:rsidR="00687784" w:rsidRPr="000E20F7" w:rsidRDefault="00687784" w:rsidP="00000469">
      <w:pPr>
        <w:pStyle w:val="FootnoteText"/>
      </w:pPr>
      <w:r w:rsidRPr="000E20F7">
        <w:rPr>
          <w:rStyle w:val="FootnoteReference"/>
        </w:rPr>
        <w:footnoteRef/>
      </w:r>
      <w:r w:rsidR="002B02B0" w:rsidRPr="002B02B0">
        <w:t>Document No. 00350-2022</w:t>
      </w:r>
      <w:r w:rsidRPr="000E20F7">
        <w:t>.</w:t>
      </w:r>
    </w:p>
  </w:footnote>
  <w:footnote w:id="23">
    <w:p w:rsidR="00503427" w:rsidRDefault="00503427" w:rsidP="00503427">
      <w:pPr>
        <w:pStyle w:val="FootnoteText"/>
      </w:pPr>
      <w:r>
        <w:rPr>
          <w:rStyle w:val="FootnoteReference"/>
        </w:rPr>
        <w:footnoteRef/>
      </w:r>
      <w:r w:rsidRPr="00556330">
        <w:t>Order No. PSC-2021-0442-FOF-EI.</w:t>
      </w:r>
    </w:p>
  </w:footnote>
  <w:footnote w:id="24">
    <w:p w:rsidR="00293B9D" w:rsidRDefault="00293B9D">
      <w:pPr>
        <w:pStyle w:val="FootnoteText"/>
      </w:pPr>
      <w:r>
        <w:rPr>
          <w:rStyle w:val="FootnoteReference"/>
        </w:rPr>
        <w:footnoteRef/>
      </w:r>
      <w:r>
        <w:t>Figure in</w:t>
      </w:r>
      <w:r w:rsidR="0097355F">
        <w:t>cludes the 2021 true-up</w:t>
      </w:r>
      <w:r>
        <w:t xml:space="preserve"> of ($325,418) as </w:t>
      </w:r>
      <w:r w:rsidR="00446CF7">
        <w:t xml:space="preserve">specified in </w:t>
      </w:r>
      <w:r w:rsidR="00446CF7" w:rsidRPr="00556330">
        <w:t>Order No. PSC-2021-0442-FOF-EI.</w:t>
      </w:r>
      <w:r w:rsidR="00446CF7">
        <w:t xml:space="preserve"> </w:t>
      </w:r>
      <w:r>
        <w:t xml:space="preserve"> </w:t>
      </w:r>
    </w:p>
  </w:footnote>
  <w:footnote w:id="25">
    <w:p w:rsidR="00687784" w:rsidRPr="00DD3AD3" w:rsidRDefault="00687784" w:rsidP="00F005B1">
      <w:pPr>
        <w:pStyle w:val="FootnoteText"/>
      </w:pPr>
      <w:r w:rsidRPr="00DD3AD3">
        <w:rPr>
          <w:rStyle w:val="FootnoteReference"/>
        </w:rPr>
        <w:footnoteRef/>
      </w:r>
      <w:r w:rsidRPr="00DD3AD3">
        <w:t>Document No. 00350-2022.</w:t>
      </w:r>
    </w:p>
  </w:footnote>
  <w:footnote w:id="26">
    <w:p w:rsidR="00687784" w:rsidRPr="00C36A6A" w:rsidRDefault="00687784" w:rsidP="00F005B1">
      <w:pPr>
        <w:pStyle w:val="FootnoteText"/>
        <w:rPr>
          <w:highlight w:val="yellow"/>
        </w:rPr>
      </w:pPr>
      <w:r w:rsidRPr="00DD3AD3">
        <w:rPr>
          <w:rStyle w:val="FootnoteReference"/>
        </w:rPr>
        <w:footnoteRef/>
      </w:r>
      <w:r w:rsidRPr="00DD3AD3">
        <w:t>Order No. PSC-2021-0442-FOF-EI.</w:t>
      </w:r>
    </w:p>
  </w:footnote>
  <w:footnote w:id="27">
    <w:p w:rsidR="00687784" w:rsidRPr="007F350A" w:rsidRDefault="00687784" w:rsidP="00F005B1">
      <w:pPr>
        <w:pStyle w:val="FootnoteText"/>
      </w:pPr>
      <w:r w:rsidRPr="007F350A">
        <w:rPr>
          <w:rStyle w:val="FootnoteReference"/>
        </w:rPr>
        <w:footnoteRef/>
      </w:r>
      <w:r>
        <w:t>Document No. 00350</w:t>
      </w:r>
      <w:r w:rsidRPr="00BE1718">
        <w:t>-202</w:t>
      </w:r>
      <w:r>
        <w:t xml:space="preserve">2. </w:t>
      </w:r>
      <w:r w:rsidRPr="007F350A">
        <w:t>Recovery factor shown on “Exhibi</w:t>
      </w:r>
      <w:r>
        <w:t>t C</w:t>
      </w:r>
      <w:r w:rsidRPr="007F350A">
        <w:t>,</w:t>
      </w:r>
      <w:r>
        <w:t>”</w:t>
      </w:r>
      <w:r w:rsidRPr="007F350A">
        <w:t xml:space="preserve"> page </w:t>
      </w:r>
      <w:r>
        <w:t>4</w:t>
      </w:r>
      <w:r w:rsidRPr="007F350A">
        <w:t xml:space="preserve"> of 4</w:t>
      </w:r>
      <w:r>
        <w:t>3</w:t>
      </w:r>
      <w:r w:rsidRPr="007F350A">
        <w:t xml:space="preserve">, Schedule E1, line 35.   </w:t>
      </w:r>
    </w:p>
  </w:footnote>
  <w:footnote w:id="28">
    <w:p w:rsidR="00687784" w:rsidRPr="00D94864" w:rsidRDefault="00687784" w:rsidP="00F005B1">
      <w:pPr>
        <w:pStyle w:val="FootnoteText"/>
        <w:rPr>
          <w:highlight w:val="yellow"/>
        </w:rPr>
      </w:pPr>
      <w:r w:rsidRPr="00DD3AD3">
        <w:rPr>
          <w:rStyle w:val="FootnoteReference"/>
        </w:rPr>
        <w:footnoteRef/>
      </w:r>
      <w:r w:rsidRPr="00DD3AD3">
        <w:t>Document No. 10086-2021.</w:t>
      </w:r>
    </w:p>
  </w:footnote>
  <w:footnote w:id="29">
    <w:p w:rsidR="00687784" w:rsidRPr="00F13C72" w:rsidRDefault="00687784" w:rsidP="00F005B1">
      <w:pPr>
        <w:pStyle w:val="FootnoteText"/>
      </w:pPr>
      <w:r w:rsidRPr="00DD3AD3">
        <w:rPr>
          <w:rStyle w:val="FootnoteReference"/>
        </w:rPr>
        <w:footnoteRef/>
      </w:r>
      <w:r w:rsidRPr="00F13C72">
        <w:t xml:space="preserve">Document No. 11810-2021. </w:t>
      </w:r>
    </w:p>
  </w:footnote>
  <w:footnote w:id="30">
    <w:p w:rsidR="00687784" w:rsidRDefault="00687784" w:rsidP="00F005B1">
      <w:pPr>
        <w:pStyle w:val="FootnoteText"/>
      </w:pPr>
      <w:r w:rsidRPr="00F13C72">
        <w:rPr>
          <w:rStyle w:val="FootnoteReference"/>
        </w:rPr>
        <w:footnoteRef/>
      </w:r>
      <w:r w:rsidRPr="00F13C72">
        <w:t>Document No. 00350-2022.</w:t>
      </w:r>
    </w:p>
  </w:footnote>
  <w:footnote w:id="31">
    <w:p w:rsidR="00687784" w:rsidRPr="00E71B77" w:rsidRDefault="00687784" w:rsidP="00F005B1">
      <w:pPr>
        <w:pStyle w:val="FootnoteText"/>
        <w:rPr>
          <w:highlight w:val="yellow"/>
        </w:rPr>
      </w:pPr>
      <w:r w:rsidRPr="00224A79">
        <w:rPr>
          <w:rStyle w:val="FootnoteReference"/>
        </w:rPr>
        <w:footnoteRef/>
      </w:r>
      <w:r w:rsidRPr="00224A79">
        <w:t>Document No. 00818-2022, filed January 28, 2022, TECO’s Responses to Staff’s Third Data Request, No. 4.</w:t>
      </w:r>
    </w:p>
  </w:footnote>
  <w:footnote w:id="32">
    <w:p w:rsidR="00687784" w:rsidRDefault="00687784" w:rsidP="00071915">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rsidRPr="00C4628D">
        <w:t>Order No. PSC-11-0581-</w:t>
      </w:r>
      <w:r>
        <w:t xml:space="preserve">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r>
        <w:t xml:space="preserve"> </w:t>
      </w:r>
      <w:r>
        <w:rPr>
          <w:i/>
        </w:rPr>
        <w:t xml:space="preserve"> </w:t>
      </w:r>
      <w:r>
        <w:t xml:space="preserve"> </w:t>
      </w:r>
    </w:p>
  </w:footnote>
  <w:footnote w:id="33">
    <w:p w:rsidR="00687784" w:rsidRDefault="00687784" w:rsidP="00071915">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 xml:space="preserve">In re: Fuel and purchased power cost recovery </w:t>
      </w:r>
      <w:r w:rsidRPr="003D700C">
        <w:rPr>
          <w:i/>
        </w:rPr>
        <w:t>clause with generating performance incentive factor.</w:t>
      </w:r>
      <w:r w:rsidRPr="003D700C">
        <w:t xml:space="preserve"> </w:t>
      </w:r>
      <w:r w:rsidR="003D700C" w:rsidRPr="003D700C">
        <w:t>Order No. PSC-2021-0328-PCO-EI, issued August 30, 2021, in Docket No</w:t>
      </w:r>
      <w:r w:rsidR="003D700C" w:rsidRPr="003D700C">
        <w:rPr>
          <w:i/>
        </w:rPr>
        <w:t xml:space="preserve">. </w:t>
      </w:r>
      <w:r w:rsidR="003D700C" w:rsidRPr="003D700C">
        <w:t xml:space="preserve">20210001-EI, </w:t>
      </w:r>
      <w:r w:rsidR="003D700C" w:rsidRPr="003D700C">
        <w:rPr>
          <w:i/>
        </w:rPr>
        <w:t>In re: Fuel and purchased power cost recovery clause with generating performance incentive factor</w:t>
      </w:r>
      <w:r w:rsidR="003D700C" w:rsidRPr="003D700C">
        <w:t xml:space="preserve">; Order No. PSC-2021-0329-PCO-EI, issued August 30, 2021, in Docket No. 20210001-EI, </w:t>
      </w:r>
      <w:r w:rsidR="003D700C" w:rsidRPr="003D700C">
        <w:rPr>
          <w:i/>
        </w:rPr>
        <w:t>In re: Fuel and purchased power cost recovery clause with generating performance incentive factor</w:t>
      </w:r>
      <w:r w:rsidR="003D700C" w:rsidRPr="003D700C">
        <w:t xml:space="preserve">; Order No. PSC-2021-0460-PCO-EI, issued December 15, 2021, in Docket No. 20210001-EI, </w:t>
      </w:r>
      <w:r w:rsidR="003D700C" w:rsidRPr="003D700C">
        <w:rPr>
          <w:i/>
        </w:rPr>
        <w:t>In re: Fuel and purchased power cost recovery clause with generating performance incentive factor</w:t>
      </w:r>
      <w:r w:rsidR="003D700C" w:rsidRPr="003D700C">
        <w:t>.</w:t>
      </w:r>
      <w:r w:rsidR="003D700C">
        <w:rPr>
          <w:u w:val="single"/>
        </w:rPr>
        <w:t xml:space="preserve"> </w:t>
      </w:r>
      <w:r>
        <w:t xml:space="preserve">  </w:t>
      </w:r>
    </w:p>
  </w:footnote>
  <w:footnote w:id="34">
    <w:p w:rsidR="00687784" w:rsidRDefault="00687784" w:rsidP="00071915">
      <w:pPr>
        <w:pStyle w:val="FootnoteText"/>
      </w:pPr>
      <w:r>
        <w:rPr>
          <w:rStyle w:val="FootnoteReference"/>
        </w:rPr>
        <w:footnoteRef/>
      </w:r>
      <w:r>
        <w:t xml:space="preserve">Order No. PSC-09-0213-PCO-EI; Order No. PSC-2019-0109-PCO-EI. </w:t>
      </w:r>
    </w:p>
  </w:footnote>
  <w:footnote w:id="35">
    <w:p w:rsidR="00687784" w:rsidRPr="00224A79" w:rsidRDefault="00687784" w:rsidP="00071915">
      <w:pPr>
        <w:pStyle w:val="FootnoteText"/>
      </w:pPr>
      <w:r w:rsidRPr="00224A79">
        <w:rPr>
          <w:rStyle w:val="FootnoteReference"/>
        </w:rPr>
        <w:footnoteRef/>
      </w:r>
      <w:r w:rsidRPr="00224A79">
        <w:t>Document No. 00818-2022, filed January 28, 2022, TECO’s Responses to Staff’s Third</w:t>
      </w:r>
      <w:r>
        <w:t xml:space="preserve"> Data Request, No. 2</w:t>
      </w:r>
      <w:r w:rsidRPr="00224A79">
        <w:t>.</w:t>
      </w:r>
    </w:p>
  </w:footnote>
  <w:footnote w:id="36">
    <w:p w:rsidR="00687784" w:rsidRDefault="00687784" w:rsidP="00071915">
      <w:pPr>
        <w:pStyle w:val="FootnoteText"/>
      </w:pPr>
      <w:r w:rsidRPr="00257610">
        <w:rPr>
          <w:rStyle w:val="FootnoteReference"/>
        </w:rPr>
        <w:footnoteRef/>
      </w:r>
      <w:r w:rsidRPr="00257610">
        <w:t>Docu</w:t>
      </w:r>
      <w:r w:rsidRPr="00224A79">
        <w:t>ment No. 00818-2022, filed January 28, 2022, TECO’s Responses to Staff’s Third</w:t>
      </w:r>
      <w:r>
        <w:t xml:space="preserve"> Data Request, No. 8</w:t>
      </w:r>
      <w:r w:rsidRPr="00224A79">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784" w:rsidRDefault="00687784"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20220001-EI</w:t>
    </w:r>
    <w:bookmarkEnd w:id="15"/>
  </w:p>
  <w:p w:rsidR="00687784" w:rsidRDefault="00687784">
    <w:pPr>
      <w:pStyle w:val="Header"/>
    </w:pPr>
    <w:r>
      <w:t xml:space="preserve">Date: </w:t>
    </w:r>
    <w:r w:rsidR="0048349B">
      <w:fldChar w:fldCharType="begin"/>
    </w:r>
    <w:r w:rsidR="0048349B">
      <w:instrText xml:space="preserve"> REF FilingDate </w:instrText>
    </w:r>
    <w:r w:rsidR="0048349B">
      <w:fldChar w:fldCharType="separate"/>
    </w:r>
    <w:r w:rsidR="006A1B38">
      <w:t>February 17, 2022</w:t>
    </w:r>
    <w:r w:rsidR="0048349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B38" w:rsidRDefault="006A1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784" w:rsidRDefault="00687784" w:rsidP="00220732">
    <w:pPr>
      <w:pStyle w:val="Header"/>
      <w:tabs>
        <w:tab w:val="clear" w:pos="4320"/>
        <w:tab w:val="clear" w:pos="8640"/>
        <w:tab w:val="right" w:pos="9360"/>
      </w:tabs>
    </w:pPr>
    <w:r>
      <w:fldChar w:fldCharType="begin"/>
    </w:r>
    <w:r>
      <w:instrText xml:space="preserve"> REF DocketLabel</w:instrText>
    </w:r>
    <w:r>
      <w:fldChar w:fldCharType="separate"/>
    </w:r>
    <w:r w:rsidR="006A1B38">
      <w:t>Docket No.</w:t>
    </w:r>
    <w:r>
      <w:fldChar w:fldCharType="end"/>
    </w:r>
    <w:r>
      <w:t xml:space="preserve"> </w:t>
    </w:r>
    <w:r>
      <w:fldChar w:fldCharType="begin"/>
    </w:r>
    <w:r>
      <w:instrText xml:space="preserve"> REF DocketList</w:instrText>
    </w:r>
    <w:r>
      <w:fldChar w:fldCharType="separate"/>
    </w:r>
    <w:r w:rsidR="006A1B38">
      <w:t>20220001-EI</w:t>
    </w:r>
    <w:r>
      <w:fldChar w:fldCharType="end"/>
    </w:r>
    <w:r>
      <w:tab/>
      <w:t xml:space="preserve">Issue </w:t>
    </w:r>
    <w:r w:rsidR="0048349B">
      <w:fldChar w:fldCharType="begin"/>
    </w:r>
    <w:r w:rsidR="0048349B">
      <w:instrText xml:space="preserve"> Seq Issue \c \* Arabic </w:instrText>
    </w:r>
    <w:r w:rsidR="0048349B">
      <w:fldChar w:fldCharType="separate"/>
    </w:r>
    <w:r w:rsidR="001E2191">
      <w:rPr>
        <w:noProof/>
      </w:rPr>
      <w:t>3</w:t>
    </w:r>
    <w:r w:rsidR="0048349B">
      <w:rPr>
        <w:noProof/>
      </w:rPr>
      <w:fldChar w:fldCharType="end"/>
    </w:r>
  </w:p>
  <w:p w:rsidR="00687784" w:rsidRDefault="00687784">
    <w:pPr>
      <w:pStyle w:val="Header"/>
    </w:pPr>
    <w:r>
      <w:t xml:space="preserve">Date: </w:t>
    </w:r>
    <w:r w:rsidR="0048349B">
      <w:fldChar w:fldCharType="begin"/>
    </w:r>
    <w:r w:rsidR="0048349B">
      <w:instrText xml:space="preserve"> REF FilingDate </w:instrText>
    </w:r>
    <w:r w:rsidR="0048349B">
      <w:fldChar w:fldCharType="separate"/>
    </w:r>
    <w:r w:rsidR="006A1B38">
      <w:t>February 17, 2022</w:t>
    </w:r>
    <w:r w:rsidR="0048349B">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784" w:rsidRDefault="006877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B38" w:rsidRDefault="006A1B3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784" w:rsidRDefault="00687784" w:rsidP="00220732">
    <w:pPr>
      <w:pStyle w:val="Header"/>
      <w:tabs>
        <w:tab w:val="clear" w:pos="4320"/>
        <w:tab w:val="clear" w:pos="8640"/>
        <w:tab w:val="right" w:pos="9360"/>
      </w:tabs>
    </w:pPr>
    <w:r>
      <w:fldChar w:fldCharType="begin"/>
    </w:r>
    <w:r>
      <w:instrText xml:space="preserve"> REF DocketLabel</w:instrText>
    </w:r>
    <w:r>
      <w:fldChar w:fldCharType="separate"/>
    </w:r>
    <w:r w:rsidR="006A1B38">
      <w:t>Docket No.</w:t>
    </w:r>
    <w:r>
      <w:fldChar w:fldCharType="end"/>
    </w:r>
    <w:r>
      <w:t xml:space="preserve"> </w:t>
    </w:r>
    <w:r>
      <w:fldChar w:fldCharType="begin"/>
    </w:r>
    <w:r>
      <w:instrText xml:space="preserve"> REF DocketList</w:instrText>
    </w:r>
    <w:r>
      <w:fldChar w:fldCharType="separate"/>
    </w:r>
    <w:r w:rsidR="006A1B38">
      <w:t>20220001-EI</w:t>
    </w:r>
    <w:r>
      <w:fldChar w:fldCharType="end"/>
    </w:r>
    <w:r>
      <w:tab/>
      <w:t>Appendix A</w:t>
    </w:r>
  </w:p>
  <w:p w:rsidR="00687784" w:rsidRDefault="00687784">
    <w:pPr>
      <w:pStyle w:val="Header"/>
    </w:pPr>
    <w:r>
      <w:t xml:space="preserve">Date: </w:t>
    </w:r>
    <w:r w:rsidR="0048349B">
      <w:fldChar w:fldCharType="begin"/>
    </w:r>
    <w:r w:rsidR="0048349B">
      <w:instrText xml:space="preserve"> REF FilingDate </w:instrText>
    </w:r>
    <w:r w:rsidR="0048349B">
      <w:fldChar w:fldCharType="separate"/>
    </w:r>
    <w:r w:rsidR="006A1B38">
      <w:t>February 17, 2022</w:t>
    </w:r>
    <w:r w:rsidR="0048349B">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B38" w:rsidRDefault="006A1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131078" w:nlCheck="1" w:checkStyle="0"/>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10CAC"/>
    <w:rsid w:val="00000469"/>
    <w:rsid w:val="000015B3"/>
    <w:rsid w:val="000043D5"/>
    <w:rsid w:val="0000589C"/>
    <w:rsid w:val="00006170"/>
    <w:rsid w:val="00010E37"/>
    <w:rsid w:val="000172DA"/>
    <w:rsid w:val="00022A53"/>
    <w:rsid w:val="000247C5"/>
    <w:rsid w:val="000277C2"/>
    <w:rsid w:val="000328A3"/>
    <w:rsid w:val="00035B48"/>
    <w:rsid w:val="00036CE2"/>
    <w:rsid w:val="000437FE"/>
    <w:rsid w:val="000513BE"/>
    <w:rsid w:val="00057C0C"/>
    <w:rsid w:val="00065A06"/>
    <w:rsid w:val="000666F3"/>
    <w:rsid w:val="00070DCB"/>
    <w:rsid w:val="00071915"/>
    <w:rsid w:val="00072CCA"/>
    <w:rsid w:val="00073120"/>
    <w:rsid w:val="000764D0"/>
    <w:rsid w:val="000828D3"/>
    <w:rsid w:val="000A2B57"/>
    <w:rsid w:val="000A418B"/>
    <w:rsid w:val="000A461B"/>
    <w:rsid w:val="000B125C"/>
    <w:rsid w:val="000B47A1"/>
    <w:rsid w:val="000B5AA0"/>
    <w:rsid w:val="000C4431"/>
    <w:rsid w:val="000C6048"/>
    <w:rsid w:val="000D1C06"/>
    <w:rsid w:val="000D4319"/>
    <w:rsid w:val="000D7758"/>
    <w:rsid w:val="000F374A"/>
    <w:rsid w:val="000F6C94"/>
    <w:rsid w:val="00105164"/>
    <w:rsid w:val="001076AF"/>
    <w:rsid w:val="00117C8C"/>
    <w:rsid w:val="00124C38"/>
    <w:rsid w:val="00124E2E"/>
    <w:rsid w:val="00125ED4"/>
    <w:rsid w:val="001305E9"/>
    <w:rsid w:val="001307AF"/>
    <w:rsid w:val="0013185C"/>
    <w:rsid w:val="00135687"/>
    <w:rsid w:val="00144A1E"/>
    <w:rsid w:val="00147F13"/>
    <w:rsid w:val="0015506E"/>
    <w:rsid w:val="00163031"/>
    <w:rsid w:val="00171A90"/>
    <w:rsid w:val="00180254"/>
    <w:rsid w:val="00187FE0"/>
    <w:rsid w:val="00191E1F"/>
    <w:rsid w:val="00192943"/>
    <w:rsid w:val="001A695A"/>
    <w:rsid w:val="001A7406"/>
    <w:rsid w:val="001B4FEE"/>
    <w:rsid w:val="001B51C5"/>
    <w:rsid w:val="001B6F3F"/>
    <w:rsid w:val="001C52B5"/>
    <w:rsid w:val="001D0D3E"/>
    <w:rsid w:val="001E2191"/>
    <w:rsid w:val="001E74CC"/>
    <w:rsid w:val="001F2245"/>
    <w:rsid w:val="001F2C63"/>
    <w:rsid w:val="001F48C7"/>
    <w:rsid w:val="001F6DA1"/>
    <w:rsid w:val="002029B6"/>
    <w:rsid w:val="0020449F"/>
    <w:rsid w:val="002044E6"/>
    <w:rsid w:val="00205C82"/>
    <w:rsid w:val="00205DC2"/>
    <w:rsid w:val="00212B17"/>
    <w:rsid w:val="002163B6"/>
    <w:rsid w:val="00220732"/>
    <w:rsid w:val="00221D32"/>
    <w:rsid w:val="00224A79"/>
    <w:rsid w:val="00225C3F"/>
    <w:rsid w:val="00257610"/>
    <w:rsid w:val="00263D44"/>
    <w:rsid w:val="002702AD"/>
    <w:rsid w:val="00292D82"/>
    <w:rsid w:val="00293B9D"/>
    <w:rsid w:val="002963CB"/>
    <w:rsid w:val="002B02B0"/>
    <w:rsid w:val="002B4A01"/>
    <w:rsid w:val="002D226D"/>
    <w:rsid w:val="002E30C2"/>
    <w:rsid w:val="002F6030"/>
    <w:rsid w:val="003037E1"/>
    <w:rsid w:val="00305D4B"/>
    <w:rsid w:val="00307E51"/>
    <w:rsid w:val="003103EC"/>
    <w:rsid w:val="003144EF"/>
    <w:rsid w:val="00322F74"/>
    <w:rsid w:val="00340073"/>
    <w:rsid w:val="003632FD"/>
    <w:rsid w:val="00372805"/>
    <w:rsid w:val="00373180"/>
    <w:rsid w:val="00375AB9"/>
    <w:rsid w:val="00377842"/>
    <w:rsid w:val="003821A0"/>
    <w:rsid w:val="00385B04"/>
    <w:rsid w:val="003864CF"/>
    <w:rsid w:val="003948AE"/>
    <w:rsid w:val="003A130B"/>
    <w:rsid w:val="003A22A6"/>
    <w:rsid w:val="003A5494"/>
    <w:rsid w:val="003B2510"/>
    <w:rsid w:val="003C1A00"/>
    <w:rsid w:val="003C2CC4"/>
    <w:rsid w:val="003C3710"/>
    <w:rsid w:val="003D700C"/>
    <w:rsid w:val="003E0CF8"/>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46CF7"/>
    <w:rsid w:val="00471860"/>
    <w:rsid w:val="00477026"/>
    <w:rsid w:val="00482DD5"/>
    <w:rsid w:val="00483454"/>
    <w:rsid w:val="004A6D36"/>
    <w:rsid w:val="004A744D"/>
    <w:rsid w:val="004B60BD"/>
    <w:rsid w:val="004C3150"/>
    <w:rsid w:val="004C3641"/>
    <w:rsid w:val="004C4390"/>
    <w:rsid w:val="004C4AF7"/>
    <w:rsid w:val="004D2881"/>
    <w:rsid w:val="004D385F"/>
    <w:rsid w:val="004D5B39"/>
    <w:rsid w:val="004E330D"/>
    <w:rsid w:val="004E5147"/>
    <w:rsid w:val="004E69B5"/>
    <w:rsid w:val="004F5C43"/>
    <w:rsid w:val="004F6AB5"/>
    <w:rsid w:val="00503427"/>
    <w:rsid w:val="0050652D"/>
    <w:rsid w:val="00506C03"/>
    <w:rsid w:val="00511A11"/>
    <w:rsid w:val="00516496"/>
    <w:rsid w:val="00523B11"/>
    <w:rsid w:val="0052572A"/>
    <w:rsid w:val="00532DFB"/>
    <w:rsid w:val="005404A2"/>
    <w:rsid w:val="00543CB3"/>
    <w:rsid w:val="005442E4"/>
    <w:rsid w:val="0055529B"/>
    <w:rsid w:val="00555E88"/>
    <w:rsid w:val="00556330"/>
    <w:rsid w:val="00560FF0"/>
    <w:rsid w:val="005614BD"/>
    <w:rsid w:val="005679EB"/>
    <w:rsid w:val="0057154F"/>
    <w:rsid w:val="00580F69"/>
    <w:rsid w:val="00581CA3"/>
    <w:rsid w:val="00587A44"/>
    <w:rsid w:val="00594D61"/>
    <w:rsid w:val="00597730"/>
    <w:rsid w:val="005977EC"/>
    <w:rsid w:val="00597DE7"/>
    <w:rsid w:val="005A1F89"/>
    <w:rsid w:val="005A4AA2"/>
    <w:rsid w:val="005B34B6"/>
    <w:rsid w:val="005B40BC"/>
    <w:rsid w:val="005B6C8F"/>
    <w:rsid w:val="005B6EC3"/>
    <w:rsid w:val="005C05CB"/>
    <w:rsid w:val="005D0F74"/>
    <w:rsid w:val="005D2E7D"/>
    <w:rsid w:val="005D4A8F"/>
    <w:rsid w:val="005D561B"/>
    <w:rsid w:val="005D5ECF"/>
    <w:rsid w:val="005D622D"/>
    <w:rsid w:val="005F468D"/>
    <w:rsid w:val="005F69A3"/>
    <w:rsid w:val="00604CC7"/>
    <w:rsid w:val="00606540"/>
    <w:rsid w:val="00615423"/>
    <w:rsid w:val="006165B2"/>
    <w:rsid w:val="00617276"/>
    <w:rsid w:val="0062527B"/>
    <w:rsid w:val="00625D97"/>
    <w:rsid w:val="00625F1C"/>
    <w:rsid w:val="006279E1"/>
    <w:rsid w:val="00630CEB"/>
    <w:rsid w:val="00632264"/>
    <w:rsid w:val="00633FEB"/>
    <w:rsid w:val="006342C8"/>
    <w:rsid w:val="00636881"/>
    <w:rsid w:val="006470BC"/>
    <w:rsid w:val="00647687"/>
    <w:rsid w:val="006554D3"/>
    <w:rsid w:val="006569D7"/>
    <w:rsid w:val="006612BB"/>
    <w:rsid w:val="00667036"/>
    <w:rsid w:val="00673BDB"/>
    <w:rsid w:val="00674341"/>
    <w:rsid w:val="006771B8"/>
    <w:rsid w:val="006843B6"/>
    <w:rsid w:val="0068481F"/>
    <w:rsid w:val="00686B40"/>
    <w:rsid w:val="00687784"/>
    <w:rsid w:val="00696F5D"/>
    <w:rsid w:val="00697249"/>
    <w:rsid w:val="006A1B38"/>
    <w:rsid w:val="006B3947"/>
    <w:rsid w:val="006B4293"/>
    <w:rsid w:val="006B624F"/>
    <w:rsid w:val="006C0C95"/>
    <w:rsid w:val="006C31E3"/>
    <w:rsid w:val="006D18D3"/>
    <w:rsid w:val="006E08CB"/>
    <w:rsid w:val="006E5646"/>
    <w:rsid w:val="006E598D"/>
    <w:rsid w:val="006E647A"/>
    <w:rsid w:val="0070437D"/>
    <w:rsid w:val="00704CF1"/>
    <w:rsid w:val="00705B04"/>
    <w:rsid w:val="0070646F"/>
    <w:rsid w:val="00721994"/>
    <w:rsid w:val="00724992"/>
    <w:rsid w:val="007269E8"/>
    <w:rsid w:val="00734820"/>
    <w:rsid w:val="007349DC"/>
    <w:rsid w:val="007374DA"/>
    <w:rsid w:val="00737B46"/>
    <w:rsid w:val="007408E9"/>
    <w:rsid w:val="0074365E"/>
    <w:rsid w:val="00744B55"/>
    <w:rsid w:val="007515FD"/>
    <w:rsid w:val="00760D80"/>
    <w:rsid w:val="00780C09"/>
    <w:rsid w:val="00780DDF"/>
    <w:rsid w:val="007834E9"/>
    <w:rsid w:val="00784ED5"/>
    <w:rsid w:val="00787DBC"/>
    <w:rsid w:val="0079019A"/>
    <w:rsid w:val="00792935"/>
    <w:rsid w:val="007A04A1"/>
    <w:rsid w:val="007A1840"/>
    <w:rsid w:val="007C0528"/>
    <w:rsid w:val="007C3D38"/>
    <w:rsid w:val="007D0F35"/>
    <w:rsid w:val="007D4FEB"/>
    <w:rsid w:val="007D6146"/>
    <w:rsid w:val="007D6E9A"/>
    <w:rsid w:val="007E0CE7"/>
    <w:rsid w:val="007E6692"/>
    <w:rsid w:val="007F1193"/>
    <w:rsid w:val="007F417F"/>
    <w:rsid w:val="007F7644"/>
    <w:rsid w:val="00801631"/>
    <w:rsid w:val="008042BD"/>
    <w:rsid w:val="00816624"/>
    <w:rsid w:val="00822427"/>
    <w:rsid w:val="00822562"/>
    <w:rsid w:val="00823663"/>
    <w:rsid w:val="00832DDC"/>
    <w:rsid w:val="00846400"/>
    <w:rsid w:val="00850BAC"/>
    <w:rsid w:val="00854A3E"/>
    <w:rsid w:val="00855D08"/>
    <w:rsid w:val="00862C44"/>
    <w:rsid w:val="00874344"/>
    <w:rsid w:val="00877BAA"/>
    <w:rsid w:val="00882155"/>
    <w:rsid w:val="0088233B"/>
    <w:rsid w:val="0088599E"/>
    <w:rsid w:val="00886C37"/>
    <w:rsid w:val="00892D99"/>
    <w:rsid w:val="00893315"/>
    <w:rsid w:val="008B62AE"/>
    <w:rsid w:val="008C04B5"/>
    <w:rsid w:val="008C05D1"/>
    <w:rsid w:val="008C14FA"/>
    <w:rsid w:val="008C7B0B"/>
    <w:rsid w:val="008D3685"/>
    <w:rsid w:val="008D4057"/>
    <w:rsid w:val="008E1F19"/>
    <w:rsid w:val="008F0237"/>
    <w:rsid w:val="008F2262"/>
    <w:rsid w:val="008F4D2B"/>
    <w:rsid w:val="008F69ED"/>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3DDD"/>
    <w:rsid w:val="009449BB"/>
    <w:rsid w:val="00945BD6"/>
    <w:rsid w:val="009479FB"/>
    <w:rsid w:val="00951C45"/>
    <w:rsid w:val="00956599"/>
    <w:rsid w:val="0096131A"/>
    <w:rsid w:val="0096558C"/>
    <w:rsid w:val="009656F2"/>
    <w:rsid w:val="00966A08"/>
    <w:rsid w:val="009702E3"/>
    <w:rsid w:val="00971207"/>
    <w:rsid w:val="0097355F"/>
    <w:rsid w:val="00975CB4"/>
    <w:rsid w:val="00985B9B"/>
    <w:rsid w:val="009863B0"/>
    <w:rsid w:val="00987DE1"/>
    <w:rsid w:val="00990571"/>
    <w:rsid w:val="00995548"/>
    <w:rsid w:val="0099673A"/>
    <w:rsid w:val="009A3330"/>
    <w:rsid w:val="009A7C96"/>
    <w:rsid w:val="009B2626"/>
    <w:rsid w:val="009B3302"/>
    <w:rsid w:val="009C3DB9"/>
    <w:rsid w:val="009D2E10"/>
    <w:rsid w:val="009D40FA"/>
    <w:rsid w:val="009D46E5"/>
    <w:rsid w:val="009D568A"/>
    <w:rsid w:val="009D5C8C"/>
    <w:rsid w:val="009F04EC"/>
    <w:rsid w:val="009F2A7C"/>
    <w:rsid w:val="009F3B36"/>
    <w:rsid w:val="00A019B9"/>
    <w:rsid w:val="00A0446D"/>
    <w:rsid w:val="00A10CAC"/>
    <w:rsid w:val="00A12508"/>
    <w:rsid w:val="00A1282B"/>
    <w:rsid w:val="00A13A27"/>
    <w:rsid w:val="00A175B6"/>
    <w:rsid w:val="00A21835"/>
    <w:rsid w:val="00A2374B"/>
    <w:rsid w:val="00A27D6E"/>
    <w:rsid w:val="00A327B6"/>
    <w:rsid w:val="00A328EC"/>
    <w:rsid w:val="00A33A51"/>
    <w:rsid w:val="00A41CA6"/>
    <w:rsid w:val="00A47927"/>
    <w:rsid w:val="00A47FFC"/>
    <w:rsid w:val="00A5442F"/>
    <w:rsid w:val="00A54FF9"/>
    <w:rsid w:val="00A56765"/>
    <w:rsid w:val="00A57329"/>
    <w:rsid w:val="00A6002E"/>
    <w:rsid w:val="00A675AC"/>
    <w:rsid w:val="00A7581F"/>
    <w:rsid w:val="00A92FB1"/>
    <w:rsid w:val="00A95A0C"/>
    <w:rsid w:val="00AA2765"/>
    <w:rsid w:val="00AA77B5"/>
    <w:rsid w:val="00AB32EA"/>
    <w:rsid w:val="00AB6C5D"/>
    <w:rsid w:val="00AC3401"/>
    <w:rsid w:val="00AC51A7"/>
    <w:rsid w:val="00AD444B"/>
    <w:rsid w:val="00AD5614"/>
    <w:rsid w:val="00AD6C78"/>
    <w:rsid w:val="00AE2CC1"/>
    <w:rsid w:val="00AE2EAB"/>
    <w:rsid w:val="00AF119D"/>
    <w:rsid w:val="00AF5F89"/>
    <w:rsid w:val="00AF73CB"/>
    <w:rsid w:val="00B002D6"/>
    <w:rsid w:val="00B01A42"/>
    <w:rsid w:val="00B03379"/>
    <w:rsid w:val="00B05B51"/>
    <w:rsid w:val="00B14E5A"/>
    <w:rsid w:val="00B15370"/>
    <w:rsid w:val="00B16DA4"/>
    <w:rsid w:val="00B17B58"/>
    <w:rsid w:val="00B17BEB"/>
    <w:rsid w:val="00B21A3C"/>
    <w:rsid w:val="00B223C0"/>
    <w:rsid w:val="00B234ED"/>
    <w:rsid w:val="00B249B2"/>
    <w:rsid w:val="00B25CA3"/>
    <w:rsid w:val="00B2765A"/>
    <w:rsid w:val="00B3109A"/>
    <w:rsid w:val="00B42CE8"/>
    <w:rsid w:val="00B516ED"/>
    <w:rsid w:val="00B57A6A"/>
    <w:rsid w:val="00B760F1"/>
    <w:rsid w:val="00B7669E"/>
    <w:rsid w:val="00B77DA1"/>
    <w:rsid w:val="00B822A0"/>
    <w:rsid w:val="00B858AE"/>
    <w:rsid w:val="00B85964"/>
    <w:rsid w:val="00B86C6F"/>
    <w:rsid w:val="00B96250"/>
    <w:rsid w:val="00BA0D55"/>
    <w:rsid w:val="00BA37B3"/>
    <w:rsid w:val="00BA3D47"/>
    <w:rsid w:val="00BA4CC6"/>
    <w:rsid w:val="00BB2A77"/>
    <w:rsid w:val="00BB3493"/>
    <w:rsid w:val="00BB7468"/>
    <w:rsid w:val="00BC188A"/>
    <w:rsid w:val="00BC402E"/>
    <w:rsid w:val="00BD0F48"/>
    <w:rsid w:val="00BE6DDB"/>
    <w:rsid w:val="00BF5010"/>
    <w:rsid w:val="00C03B19"/>
    <w:rsid w:val="00C03D5F"/>
    <w:rsid w:val="00C04C94"/>
    <w:rsid w:val="00C13791"/>
    <w:rsid w:val="00C31BB3"/>
    <w:rsid w:val="00C36977"/>
    <w:rsid w:val="00C467DA"/>
    <w:rsid w:val="00C477D9"/>
    <w:rsid w:val="00C60BA3"/>
    <w:rsid w:val="00C623F7"/>
    <w:rsid w:val="00C62A81"/>
    <w:rsid w:val="00C65E64"/>
    <w:rsid w:val="00C75BC5"/>
    <w:rsid w:val="00C81670"/>
    <w:rsid w:val="00C81773"/>
    <w:rsid w:val="00C82861"/>
    <w:rsid w:val="00C86896"/>
    <w:rsid w:val="00C907A8"/>
    <w:rsid w:val="00C93211"/>
    <w:rsid w:val="00C942EC"/>
    <w:rsid w:val="00C96047"/>
    <w:rsid w:val="00C977BB"/>
    <w:rsid w:val="00C979D0"/>
    <w:rsid w:val="00CA0818"/>
    <w:rsid w:val="00CA15C8"/>
    <w:rsid w:val="00CA2C8F"/>
    <w:rsid w:val="00CA30DA"/>
    <w:rsid w:val="00CA3A24"/>
    <w:rsid w:val="00CB1777"/>
    <w:rsid w:val="00CB33E9"/>
    <w:rsid w:val="00CC10A9"/>
    <w:rsid w:val="00CE2BF8"/>
    <w:rsid w:val="00CE484E"/>
    <w:rsid w:val="00CE656F"/>
    <w:rsid w:val="00CF0DA8"/>
    <w:rsid w:val="00CF1D3A"/>
    <w:rsid w:val="00CF2E25"/>
    <w:rsid w:val="00CF4453"/>
    <w:rsid w:val="00CF5D94"/>
    <w:rsid w:val="00CF7E0F"/>
    <w:rsid w:val="00D034D7"/>
    <w:rsid w:val="00D04BE4"/>
    <w:rsid w:val="00D05B04"/>
    <w:rsid w:val="00D06FC7"/>
    <w:rsid w:val="00D12565"/>
    <w:rsid w:val="00D14127"/>
    <w:rsid w:val="00D15858"/>
    <w:rsid w:val="00D43430"/>
    <w:rsid w:val="00D60B16"/>
    <w:rsid w:val="00D60F02"/>
    <w:rsid w:val="00D66E49"/>
    <w:rsid w:val="00D7042D"/>
    <w:rsid w:val="00D70D71"/>
    <w:rsid w:val="00D72F74"/>
    <w:rsid w:val="00D81563"/>
    <w:rsid w:val="00D85907"/>
    <w:rsid w:val="00D9073E"/>
    <w:rsid w:val="00D9221D"/>
    <w:rsid w:val="00D94864"/>
    <w:rsid w:val="00D958DF"/>
    <w:rsid w:val="00D96DA1"/>
    <w:rsid w:val="00DA0E7A"/>
    <w:rsid w:val="00DA51E7"/>
    <w:rsid w:val="00DB0260"/>
    <w:rsid w:val="00DB1C78"/>
    <w:rsid w:val="00DB7D96"/>
    <w:rsid w:val="00DC23FE"/>
    <w:rsid w:val="00DC59E6"/>
    <w:rsid w:val="00DD150B"/>
    <w:rsid w:val="00DD3AD3"/>
    <w:rsid w:val="00DD5025"/>
    <w:rsid w:val="00DE53B3"/>
    <w:rsid w:val="00DF030E"/>
    <w:rsid w:val="00DF1510"/>
    <w:rsid w:val="00E02F1F"/>
    <w:rsid w:val="00E06484"/>
    <w:rsid w:val="00E20A7D"/>
    <w:rsid w:val="00E26CF0"/>
    <w:rsid w:val="00E275D8"/>
    <w:rsid w:val="00E30F6A"/>
    <w:rsid w:val="00E3117C"/>
    <w:rsid w:val="00E375CA"/>
    <w:rsid w:val="00E5364F"/>
    <w:rsid w:val="00E567E8"/>
    <w:rsid w:val="00E64679"/>
    <w:rsid w:val="00E65EBC"/>
    <w:rsid w:val="00E677FE"/>
    <w:rsid w:val="00E71B77"/>
    <w:rsid w:val="00E72469"/>
    <w:rsid w:val="00E73432"/>
    <w:rsid w:val="00E7612E"/>
    <w:rsid w:val="00E77B0C"/>
    <w:rsid w:val="00E77FB8"/>
    <w:rsid w:val="00E838B0"/>
    <w:rsid w:val="00E83CD7"/>
    <w:rsid w:val="00E86A7C"/>
    <w:rsid w:val="00E878E1"/>
    <w:rsid w:val="00E87F2C"/>
    <w:rsid w:val="00E95278"/>
    <w:rsid w:val="00E95B4B"/>
    <w:rsid w:val="00EA2273"/>
    <w:rsid w:val="00EA60D8"/>
    <w:rsid w:val="00EA7C3C"/>
    <w:rsid w:val="00EB24EA"/>
    <w:rsid w:val="00EB2DB3"/>
    <w:rsid w:val="00EC3FBB"/>
    <w:rsid w:val="00EC6B7A"/>
    <w:rsid w:val="00ED3A87"/>
    <w:rsid w:val="00ED5B67"/>
    <w:rsid w:val="00EF0BBB"/>
    <w:rsid w:val="00EF264C"/>
    <w:rsid w:val="00EF3FEE"/>
    <w:rsid w:val="00F005B1"/>
    <w:rsid w:val="00F04B59"/>
    <w:rsid w:val="00F11741"/>
    <w:rsid w:val="00F12B1C"/>
    <w:rsid w:val="00F13C72"/>
    <w:rsid w:val="00F13CF8"/>
    <w:rsid w:val="00F15855"/>
    <w:rsid w:val="00F200B2"/>
    <w:rsid w:val="00F20B34"/>
    <w:rsid w:val="00F227DC"/>
    <w:rsid w:val="00F32978"/>
    <w:rsid w:val="00F45CB2"/>
    <w:rsid w:val="00F544C0"/>
    <w:rsid w:val="00F55332"/>
    <w:rsid w:val="00F57C8A"/>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2142"/>
    <w:rsid w:val="00FC5469"/>
    <w:rsid w:val="00FC6D7D"/>
    <w:rsid w:val="00FD16B0"/>
    <w:rsid w:val="00FD4FED"/>
    <w:rsid w:val="00FE0577"/>
    <w:rsid w:val="00FE156D"/>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763AD15-0981-4C66-8397-A2FDE6A1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5A1F89"/>
    <w:rPr>
      <w:vertAlign w:val="superscript"/>
    </w:rPr>
  </w:style>
  <w:style w:type="character" w:customStyle="1" w:styleId="FootnoteTextChar">
    <w:name w:val="Footnote Text Char"/>
    <w:basedOn w:val="DefaultParagraphFont"/>
    <w:link w:val="FootnoteText"/>
    <w:uiPriority w:val="99"/>
    <w:rsid w:val="004F6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megroup.com/markets/energy/natural-gas/natural-gas.quot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3D04-4FE2-446F-B8E3-C832BC4B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12</Pages>
  <Words>2812</Words>
  <Characters>16670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Hanna Black</cp:lastModifiedBy>
  <cp:revision>2</cp:revision>
  <cp:lastPrinted>2022-02-03T20:46:00Z</cp:lastPrinted>
  <dcterms:created xsi:type="dcterms:W3CDTF">2022-02-17T14:46:00Z</dcterms:created>
  <dcterms:modified xsi:type="dcterms:W3CDTF">2022-02-17T14:46:00Z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20220001-EI</vt:lpwstr>
  </property>
  <property fmtid="{D5CDD505-2E9C-101B-9397-08002B2CF9AE}" pid="3" name="MasterDocument">
    <vt:bool>false</vt:bool>
  </property>
</Properties>
</file>