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5819D7">
            <w:pPr>
              <w:pStyle w:val="MemoHeading"/>
            </w:pPr>
            <w:bookmarkStart w:id="1" w:name="FilingDate"/>
            <w:r>
              <w:t>March 24</w:t>
            </w:r>
            <w:r w:rsidR="00482F5F">
              <w:t>, 2022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82F5F" w:rsidRDefault="00482F5F">
            <w:pPr>
              <w:pStyle w:val="MemoHeading"/>
            </w:pPr>
            <w:bookmarkStart w:id="2" w:name="From"/>
            <w:r>
              <w:t>Divisi</w:t>
            </w:r>
            <w:r w:rsidR="00321FA8">
              <w:t>on of Economics (Hampson</w:t>
            </w:r>
            <w:r>
              <w:t>)</w:t>
            </w:r>
          </w:p>
          <w:p w:rsidR="007C0528" w:rsidRDefault="00482F5F">
            <w:pPr>
              <w:pStyle w:val="MemoHeading"/>
            </w:pPr>
            <w:r>
              <w:t>Office of the General Counsel (Stiller)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82F5F">
            <w:pPr>
              <w:pStyle w:val="MemoHeadingRe"/>
            </w:pPr>
            <w:bookmarkStart w:id="3" w:name="Re"/>
            <w:r>
              <w:t>Docket No. 20220037-EI – Petition for approval of a new small commercial lighting tariff,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85572">
            <w:pPr>
              <w:pStyle w:val="MemoHeading"/>
            </w:pPr>
            <w:bookmarkStart w:id="4" w:name="AgendaDate"/>
            <w:r>
              <w:t>04/05</w:t>
            </w:r>
            <w:r w:rsidR="00482F5F">
              <w:t>/22</w:t>
            </w:r>
            <w:bookmarkEnd w:id="4"/>
            <w:r w:rsidR="007C0528">
              <w:t xml:space="preserve"> – </w:t>
            </w:r>
            <w:bookmarkStart w:id="5" w:name="PermittedStatus"/>
            <w:r w:rsidR="00482F5F">
              <w:t xml:space="preserve">Regular Agenda – </w:t>
            </w:r>
            <w:r>
              <w:t>Tariff Suspension – Participation is at the discretion of the Commission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2F5F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2F5F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2F5F">
            <w:pPr>
              <w:pStyle w:val="MemoHeading"/>
            </w:pPr>
            <w:bookmarkStart w:id="9" w:name="CriticalDates"/>
            <w:r>
              <w:t>04/20/22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482F5F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 w:rsidP="001E5589">
      <w:pPr>
        <w:pStyle w:val="BodyText"/>
        <w:spacing w:line="120" w:lineRule="auto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5819D7" w:rsidRDefault="00882130" w:rsidP="00526624">
      <w:pPr>
        <w:pStyle w:val="Default"/>
        <w:jc w:val="both"/>
        <w:sectPr w:rsidR="005819D7" w:rsidSect="008D3D0C">
          <w:headerReference w:type="default" r:id="rId9"/>
          <w:footerReference w:type="default" r:id="rId10"/>
          <w:type w:val="continuous"/>
          <w:pgSz w:w="12240" w:h="15840" w:code="1"/>
          <w:pgMar w:top="1584" w:right="1440" w:bottom="990" w:left="1440" w:header="720" w:footer="720" w:gutter="0"/>
          <w:cols w:space="720"/>
          <w:formProt w:val="0"/>
          <w:titlePg/>
          <w:docGrid w:linePitch="360"/>
        </w:sectPr>
      </w:pPr>
      <w:r>
        <w:t>On February 18, 2022, Tampa Electric Company (TECO) filed a petition for approval of a new Small Commercial Bright Choices Outdoor Lighting Agreement tariff</w:t>
      </w:r>
      <w:r w:rsidR="0055379B">
        <w:t xml:space="preserve"> (Small Commercial lighting agreement)</w:t>
      </w:r>
      <w:r>
        <w:t xml:space="preserve">. </w:t>
      </w:r>
      <w:r w:rsidR="00A92F31">
        <w:t>The proposed Small Commercial lighting agreement would allow customers installing less than $20,000 of lighting equipment on commercial property to take lighting service on a month-to-month term</w:t>
      </w:r>
      <w:r w:rsidR="008D3D0C">
        <w:t xml:space="preserve">, as opposed to the ten-year term specified in the </w:t>
      </w:r>
      <w:r w:rsidR="003E3D07">
        <w:t xml:space="preserve">current </w:t>
      </w:r>
      <w:r w:rsidR="00253665">
        <w:t>Commission-approved lighting service tariff</w:t>
      </w:r>
      <w:r w:rsidR="008D3D0C">
        <w:t>. The proposed Small Commercial lighting agreement can be</w:t>
      </w:r>
      <w:r w:rsidR="00A92F31">
        <w:t xml:space="preserve"> terminated by either party with 30 days’ notice.</w:t>
      </w:r>
      <w:r w:rsidR="008D3D0C">
        <w:t xml:space="preserve"> </w:t>
      </w:r>
      <w:r w:rsidR="00A92F31">
        <w:t xml:space="preserve">This proposal is similar to the Small Residential lighting agreement, </w:t>
      </w:r>
      <w:r w:rsidR="008D3D0C">
        <w:t xml:space="preserve">which was </w:t>
      </w:r>
      <w:r w:rsidR="00A92F31">
        <w:t>initially implemented p</w:t>
      </w:r>
      <w:r>
        <w:t xml:space="preserve">ursuant to </w:t>
      </w:r>
      <w:r w:rsidR="002C3DEB">
        <w:t>TECO’s</w:t>
      </w:r>
      <w:r w:rsidR="00020D63">
        <w:t xml:space="preserve"> </w:t>
      </w:r>
      <w:r w:rsidR="00167B09">
        <w:t xml:space="preserve">Commission-approved 2021 </w:t>
      </w:r>
      <w:r w:rsidR="00A92F31">
        <w:t>settlement agreement.</w:t>
      </w:r>
      <w:r w:rsidR="00167B09">
        <w:rPr>
          <w:rStyle w:val="FootnoteReference"/>
        </w:rPr>
        <w:footnoteReference w:id="1"/>
      </w:r>
      <w:bookmarkEnd w:id="12"/>
      <w:r w:rsidR="00526624">
        <w:t xml:space="preserve"> </w:t>
      </w:r>
      <w:r w:rsidR="008D3D0C">
        <w:t xml:space="preserve">TECO further proposes several modifications and clarifications to its current lighting tariffs and lighting agreements. </w:t>
      </w:r>
      <w:r w:rsidR="00A92F31">
        <w:rPr>
          <w:color w:val="232323"/>
          <w:sz w:val="23"/>
          <w:szCs w:val="23"/>
        </w:rPr>
        <w:t xml:space="preserve">This </w:t>
      </w:r>
      <w:r w:rsidR="00A92F31">
        <w:rPr>
          <w:color w:val="0B0B0B"/>
          <w:sz w:val="23"/>
          <w:szCs w:val="23"/>
        </w:rPr>
        <w:t xml:space="preserve">recommendation is to </w:t>
      </w:r>
      <w:r w:rsidR="00A92F31">
        <w:rPr>
          <w:color w:val="232323"/>
          <w:sz w:val="23"/>
          <w:szCs w:val="23"/>
        </w:rPr>
        <w:t xml:space="preserve">suspend </w:t>
      </w:r>
      <w:r w:rsidR="00A92F31">
        <w:rPr>
          <w:color w:val="0B0B0B"/>
          <w:sz w:val="23"/>
          <w:szCs w:val="23"/>
        </w:rPr>
        <w:t xml:space="preserve">the proposed tariffs. </w:t>
      </w:r>
      <w:r w:rsidR="00526624">
        <w:rPr>
          <w:sz w:val="23"/>
          <w:szCs w:val="23"/>
        </w:rPr>
        <w:t>The</w:t>
      </w:r>
      <w:r w:rsidR="001E5589">
        <w:rPr>
          <w:sz w:val="23"/>
          <w:szCs w:val="23"/>
        </w:rPr>
        <w:t xml:space="preserve"> </w:t>
      </w:r>
      <w:r w:rsidR="00526624">
        <w:rPr>
          <w:sz w:val="23"/>
          <w:szCs w:val="23"/>
        </w:rPr>
        <w:t xml:space="preserve">Commission has jurisdiction over this matter pursuant to Sections 366.03, 366.04, 366.05, and </w:t>
      </w:r>
      <w:r w:rsidR="005830AD">
        <w:rPr>
          <w:sz w:val="23"/>
          <w:szCs w:val="23"/>
        </w:rPr>
        <w:t>366.06, Florida Statutes (F.S.)</w:t>
      </w:r>
      <w:r w:rsidR="000B376F">
        <w:rPr>
          <w:sz w:val="23"/>
          <w:szCs w:val="23"/>
        </w:rPr>
        <w:t>.</w:t>
      </w: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215059" w:rsidRDefault="00215059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253665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53665">
        <w:rPr>
          <w:noProof/>
        </w:rPr>
        <w:instrText>1</w:instrText>
      </w:r>
      <w:r>
        <w:fldChar w:fldCharType="end"/>
      </w:r>
      <w:r>
        <w:tab/>
        <w:instrText xml:space="preserve">(Hampson)" \l 1 </w:instrText>
      </w:r>
      <w:r>
        <w:fldChar w:fldCharType="end"/>
      </w:r>
      <w:r>
        <w:t> </w:t>
      </w:r>
    </w:p>
    <w:p w:rsidR="00215059" w:rsidRDefault="00215059">
      <w:pPr>
        <w:pStyle w:val="BodyText"/>
      </w:pPr>
      <w:r>
        <w:t xml:space="preserve"> Should the Commission suspend TECO's proposed Small Commercial lighting agreement </w:t>
      </w:r>
      <w:r w:rsidR="00FA6771">
        <w:t>and other revised lighting tariff sheets</w:t>
      </w:r>
      <w:r>
        <w:t>?</w:t>
      </w:r>
    </w:p>
    <w:p w:rsidR="00215059" w:rsidRPr="004C3641" w:rsidRDefault="00215059">
      <w:pPr>
        <w:pStyle w:val="IssueSubsectionHeading"/>
        <w:rPr>
          <w:vanish/>
          <w:specVanish/>
        </w:rPr>
      </w:pPr>
      <w:r w:rsidRPr="004C3641">
        <w:t>Recommendation: </w:t>
      </w:r>
    </w:p>
    <w:p w:rsidR="00215059" w:rsidRDefault="00215059">
      <w:pPr>
        <w:pStyle w:val="BodyText"/>
      </w:pPr>
      <w:r>
        <w:t> </w:t>
      </w:r>
      <w:r>
        <w:rPr>
          <w:sz w:val="23"/>
          <w:szCs w:val="23"/>
        </w:rPr>
        <w:t xml:space="preserve">Yes. Staff recommends that TECO’s proposed </w:t>
      </w:r>
      <w:r>
        <w:t>Small Commercial lighting agreement</w:t>
      </w:r>
      <w:r>
        <w:rPr>
          <w:sz w:val="23"/>
          <w:szCs w:val="23"/>
        </w:rPr>
        <w:t xml:space="preserve"> </w:t>
      </w:r>
      <w:r w:rsidR="00FA6771">
        <w:t>and other revised lighting tariff sheets</w:t>
      </w:r>
      <w:r w:rsidR="00FA6771">
        <w:rPr>
          <w:sz w:val="23"/>
          <w:szCs w:val="23"/>
        </w:rPr>
        <w:t xml:space="preserve"> </w:t>
      </w:r>
      <w:r>
        <w:rPr>
          <w:sz w:val="23"/>
          <w:szCs w:val="23"/>
        </w:rPr>
        <w:t>be suspended to allow staff sufficient time to review the petition and gather all pertinent information in order to present the Commission with an informed recommendation on the tariff proposal.</w:t>
      </w:r>
      <w:r>
        <w:t xml:space="preserve"> (Hampson)</w:t>
      </w:r>
    </w:p>
    <w:p w:rsidR="00215059" w:rsidRPr="004C3641" w:rsidRDefault="00215059">
      <w:pPr>
        <w:pStyle w:val="IssueSubsectionHeading"/>
        <w:rPr>
          <w:vanish/>
          <w:specVanish/>
        </w:rPr>
      </w:pPr>
      <w:r w:rsidRPr="004C3641">
        <w:t>Staff Analysis: </w:t>
      </w:r>
    </w:p>
    <w:p w:rsidR="00215059" w:rsidRDefault="00215059">
      <w:pPr>
        <w:pStyle w:val="BodyText"/>
      </w:pPr>
      <w:r>
        <w:t> </w:t>
      </w:r>
      <w:r>
        <w:rPr>
          <w:sz w:val="23"/>
          <w:szCs w:val="23"/>
        </w:rPr>
        <w:t xml:space="preserve">Staff recommends that TECO’s proposed </w:t>
      </w:r>
      <w:r>
        <w:t>Small Commercial lighting agreement</w:t>
      </w:r>
      <w:r>
        <w:rPr>
          <w:sz w:val="23"/>
          <w:szCs w:val="23"/>
        </w:rPr>
        <w:t xml:space="preserve"> </w:t>
      </w:r>
      <w:r w:rsidR="00FA6771">
        <w:t>and other revised lighting tariff sheets</w:t>
      </w:r>
      <w:r w:rsidR="00FA6771">
        <w:rPr>
          <w:sz w:val="23"/>
          <w:szCs w:val="23"/>
        </w:rPr>
        <w:t xml:space="preserve"> </w:t>
      </w:r>
      <w:r>
        <w:rPr>
          <w:sz w:val="23"/>
          <w:szCs w:val="23"/>
        </w:rPr>
        <w:t>be suspended to allow staff sufficient time to review the petition and gather all pertinent information in order to present the Commission with an informed recommendation on the tariff proposal.</w:t>
      </w:r>
    </w:p>
    <w:p w:rsidR="002F37A1" w:rsidRDefault="00215059">
      <w:pPr>
        <w:pStyle w:val="IssueHeading"/>
        <w:rPr>
          <w:vanish/>
          <w:specVanish/>
        </w:rPr>
      </w:pPr>
      <w:r w:rsidRPr="002F37A1">
        <w:rPr>
          <w:rFonts w:ascii="Times New Roman" w:hAnsi="Times New Roman" w:cs="Times New Roman"/>
          <w:b w:val="0"/>
          <w:i w:val="0"/>
          <w:szCs w:val="23"/>
        </w:rPr>
        <w:t>Pursuant to Section 366.06(3), F.S., the Commission may withhold consent to the operation of all or any portion of a new rate schedule, delivering to the utility requesting such a change, a reason, or written statement of good cause for doing so within 60 days. Staff believes that the reason stated above is a good cause consistent with the requir</w:t>
      </w:r>
      <w:r w:rsidR="000C3F0F">
        <w:rPr>
          <w:rFonts w:ascii="Times New Roman" w:hAnsi="Times New Roman" w:cs="Times New Roman"/>
          <w:b w:val="0"/>
          <w:i w:val="0"/>
          <w:szCs w:val="23"/>
        </w:rPr>
        <w:t xml:space="preserve">ement of Section 366.06(3), F.S. </w:t>
      </w:r>
      <w:r w:rsidR="002F37A1" w:rsidRPr="004C3641">
        <w:rPr>
          <w:b w:val="0"/>
          <w:i w:val="0"/>
        </w:rPr>
        <w:br w:type="page"/>
      </w:r>
      <w:r w:rsidR="002F37A1" w:rsidRPr="004C3641">
        <w:lastRenderedPageBreak/>
        <w:t xml:space="preserve">Issue </w:t>
      </w:r>
      <w:fldSimple w:instr=" SEQ Issue \* MERGEFORMAT ">
        <w:r w:rsidR="00253665">
          <w:rPr>
            <w:noProof/>
          </w:rPr>
          <w:t>2</w:t>
        </w:r>
      </w:fldSimple>
      <w:r w:rsidR="002F37A1" w:rsidRPr="004C3641">
        <w:t>:</w:t>
      </w:r>
      <w:r w:rsidR="002F37A1">
        <w:fldChar w:fldCharType="begin"/>
      </w:r>
      <w:r w:rsidR="002F37A1">
        <w:instrText xml:space="preserve"> TC "</w:instrText>
      </w:r>
      <w:r w:rsidR="002F37A1">
        <w:fldChar w:fldCharType="begin"/>
      </w:r>
      <w:r w:rsidR="002F37A1">
        <w:instrText xml:space="preserve"> SEQ issue \c </w:instrText>
      </w:r>
      <w:r w:rsidR="002F37A1">
        <w:fldChar w:fldCharType="separate"/>
      </w:r>
      <w:r w:rsidR="00253665">
        <w:rPr>
          <w:noProof/>
        </w:rPr>
        <w:instrText>2</w:instrText>
      </w:r>
      <w:r w:rsidR="002F37A1">
        <w:fldChar w:fldCharType="end"/>
      </w:r>
      <w:r w:rsidR="002F37A1">
        <w:tab/>
        <w:instrText xml:space="preserve">(Stiller)" \l 1 </w:instrText>
      </w:r>
      <w:r w:rsidR="002F37A1">
        <w:fldChar w:fldCharType="end"/>
      </w:r>
      <w:r w:rsidR="002F37A1">
        <w:t> </w:t>
      </w:r>
    </w:p>
    <w:p w:rsidR="002F37A1" w:rsidRDefault="002F37A1">
      <w:pPr>
        <w:pStyle w:val="BodyText"/>
      </w:pPr>
      <w:r>
        <w:t> Should this docket be closed?</w:t>
      </w:r>
    </w:p>
    <w:p w:rsidR="002F37A1" w:rsidRPr="004C3641" w:rsidRDefault="002F37A1">
      <w:pPr>
        <w:pStyle w:val="IssueSubsectionHeading"/>
        <w:rPr>
          <w:vanish/>
          <w:specVanish/>
        </w:rPr>
      </w:pPr>
      <w:r w:rsidRPr="004C3641">
        <w:t>Recommendation: </w:t>
      </w:r>
    </w:p>
    <w:p w:rsidR="002F37A1" w:rsidRDefault="002F37A1">
      <w:pPr>
        <w:pStyle w:val="BodyText"/>
      </w:pPr>
      <w:r>
        <w:t> </w:t>
      </w:r>
      <w:r w:rsidRPr="002F37A1">
        <w:t>No. This docket should remain open pending the Commission decision on the proposed tariffs.</w:t>
      </w:r>
      <w:r>
        <w:t xml:space="preserve"> (Stiller)</w:t>
      </w:r>
    </w:p>
    <w:p w:rsidR="002F37A1" w:rsidRPr="004C3641" w:rsidRDefault="002F37A1">
      <w:pPr>
        <w:pStyle w:val="IssueSubsectionHeading"/>
        <w:rPr>
          <w:vanish/>
          <w:specVanish/>
        </w:rPr>
      </w:pPr>
      <w:r w:rsidRPr="004C3641">
        <w:t>Staff Analysis: </w:t>
      </w:r>
    </w:p>
    <w:p w:rsidR="002F37A1" w:rsidRDefault="002F37A1">
      <w:pPr>
        <w:pStyle w:val="BodyText"/>
      </w:pPr>
      <w:r>
        <w:t> </w:t>
      </w:r>
      <w:r w:rsidRPr="002F37A1">
        <w:t>This docket should remain open pending the Commission decision on the proposed tariffs.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5F" w:rsidRDefault="00482F5F">
      <w:r>
        <w:separator/>
      </w:r>
    </w:p>
  </w:endnote>
  <w:endnote w:type="continuationSeparator" w:id="0">
    <w:p w:rsidR="00482F5F" w:rsidRDefault="0048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1DB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5F" w:rsidRDefault="00482F5F">
      <w:r>
        <w:separator/>
      </w:r>
    </w:p>
  </w:footnote>
  <w:footnote w:type="continuationSeparator" w:id="0">
    <w:p w:rsidR="00482F5F" w:rsidRDefault="00482F5F">
      <w:r>
        <w:continuationSeparator/>
      </w:r>
    </w:p>
  </w:footnote>
  <w:footnote w:id="1">
    <w:p w:rsidR="00167B09" w:rsidRPr="00215059" w:rsidRDefault="00167B09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526624">
        <w:t>Order No. PSC-2021-0423-S-EI, issued November 10, 2021</w:t>
      </w:r>
      <w:r w:rsidR="00215059">
        <w:t xml:space="preserve">, in Docket No. 20210034-EI, </w:t>
      </w:r>
      <w:r w:rsidR="00215059">
        <w:rPr>
          <w:i/>
        </w:rPr>
        <w:t xml:space="preserve">In re: </w:t>
      </w:r>
      <w:r w:rsidR="00215059" w:rsidRPr="00215059">
        <w:rPr>
          <w:i/>
        </w:rPr>
        <w:t>Petition for rate increase by Tampa Electric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482F5F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20220037-EI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253665">
        <w:t>March 24, 2022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25366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253665">
      <w:t>20220037-EI</w:t>
    </w:r>
    <w:r>
      <w:fldChar w:fldCharType="end"/>
    </w:r>
    <w:r>
      <w:tab/>
      <w:t xml:space="preserve">Issue </w:t>
    </w:r>
    <w:r w:rsidR="001435B0">
      <w:fldChar w:fldCharType="begin"/>
    </w:r>
    <w:r w:rsidR="001435B0">
      <w:instrText xml:space="preserve"> Seq Issue \c \* Arabic </w:instrText>
    </w:r>
    <w:r w:rsidR="001435B0">
      <w:fldChar w:fldCharType="separate"/>
    </w:r>
    <w:r w:rsidR="00911DB6">
      <w:rPr>
        <w:noProof/>
      </w:rPr>
      <w:t>2</w:t>
    </w:r>
    <w:r w:rsidR="001435B0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253665">
        <w:t>March 24, 2022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482F5F"/>
    <w:rsid w:val="000043D5"/>
    <w:rsid w:val="00006170"/>
    <w:rsid w:val="00010E37"/>
    <w:rsid w:val="000172DA"/>
    <w:rsid w:val="00020D63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28D3"/>
    <w:rsid w:val="00085572"/>
    <w:rsid w:val="000A2B57"/>
    <w:rsid w:val="000A418B"/>
    <w:rsid w:val="000B376F"/>
    <w:rsid w:val="000C3F0F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67B09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E5589"/>
    <w:rsid w:val="001F2245"/>
    <w:rsid w:val="001F2C63"/>
    <w:rsid w:val="001F48C7"/>
    <w:rsid w:val="001F6DA1"/>
    <w:rsid w:val="002044E6"/>
    <w:rsid w:val="00205C82"/>
    <w:rsid w:val="00205DC2"/>
    <w:rsid w:val="00212B17"/>
    <w:rsid w:val="00215059"/>
    <w:rsid w:val="002163B6"/>
    <w:rsid w:val="00220732"/>
    <w:rsid w:val="00221D32"/>
    <w:rsid w:val="00225C3F"/>
    <w:rsid w:val="00253665"/>
    <w:rsid w:val="00263D44"/>
    <w:rsid w:val="002702AD"/>
    <w:rsid w:val="00291EDE"/>
    <w:rsid w:val="00292D82"/>
    <w:rsid w:val="002963CB"/>
    <w:rsid w:val="002B4A01"/>
    <w:rsid w:val="002C3DEB"/>
    <w:rsid w:val="002D226D"/>
    <w:rsid w:val="002F37A1"/>
    <w:rsid w:val="002F6030"/>
    <w:rsid w:val="003037E1"/>
    <w:rsid w:val="00307E51"/>
    <w:rsid w:val="003103EC"/>
    <w:rsid w:val="003144EF"/>
    <w:rsid w:val="00321FA8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3D07"/>
    <w:rsid w:val="003E4A2B"/>
    <w:rsid w:val="003E5344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71860"/>
    <w:rsid w:val="00477026"/>
    <w:rsid w:val="00482F5F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26624"/>
    <w:rsid w:val="00532DFB"/>
    <w:rsid w:val="00543CB3"/>
    <w:rsid w:val="005442E4"/>
    <w:rsid w:val="0055379B"/>
    <w:rsid w:val="0055529B"/>
    <w:rsid w:val="00560FF0"/>
    <w:rsid w:val="005614BD"/>
    <w:rsid w:val="0057154F"/>
    <w:rsid w:val="00580F69"/>
    <w:rsid w:val="005819D7"/>
    <w:rsid w:val="00581CA3"/>
    <w:rsid w:val="005830AD"/>
    <w:rsid w:val="00583C6D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335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93433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30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3D0C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1DB6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31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31C3"/>
    <w:rsid w:val="00B760F1"/>
    <w:rsid w:val="00B7669E"/>
    <w:rsid w:val="00B77DA1"/>
    <w:rsid w:val="00B822A0"/>
    <w:rsid w:val="00B858AE"/>
    <w:rsid w:val="00B85964"/>
    <w:rsid w:val="00B96250"/>
    <w:rsid w:val="00B97591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C23D4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364F"/>
    <w:rsid w:val="00E567E8"/>
    <w:rsid w:val="00E64679"/>
    <w:rsid w:val="00E65EBC"/>
    <w:rsid w:val="00E677FE"/>
    <w:rsid w:val="00E73432"/>
    <w:rsid w:val="00E73FF7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4E09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A6771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07C8154-6D52-41A1-BA21-C592AB1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167B09"/>
    <w:rPr>
      <w:vertAlign w:val="superscript"/>
    </w:rPr>
  </w:style>
  <w:style w:type="paragraph" w:customStyle="1" w:styleId="Default">
    <w:name w:val="Default"/>
    <w:rsid w:val="005266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3F4E-9328-4FEB-93DB-D7217D10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3</Pages>
  <Words>455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Corey Hampson</dc:creator>
  <cp:lastModifiedBy>Andrea Mick</cp:lastModifiedBy>
  <cp:revision>2</cp:revision>
  <cp:lastPrinted>2022-03-09T15:49:00Z</cp:lastPrinted>
  <dcterms:created xsi:type="dcterms:W3CDTF">2022-03-24T12:58:00Z</dcterms:created>
  <dcterms:modified xsi:type="dcterms:W3CDTF">2022-03-24T12:58:00Z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20220037-EI</vt:lpwstr>
  </property>
  <property fmtid="{D5CDD505-2E9C-101B-9397-08002B2CF9AE}" pid="3" name="MasterDocument">
    <vt:bool>false</vt:bool>
  </property>
</Properties>
</file>