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6022" w:rsidP="00F96022">
      <w:pPr>
        <w:pStyle w:val="OrderHeading"/>
      </w:pPr>
      <w:r>
        <w:t>BEFORE THE FLORIDA PUBLIC SERVICE COMMISSION</w:t>
      </w:r>
    </w:p>
    <w:p w:rsidR="00F96022" w:rsidRDefault="00F96022" w:rsidP="00F96022">
      <w:pPr>
        <w:pStyle w:val="OrderBody"/>
      </w:pPr>
    </w:p>
    <w:p w:rsidR="00F96022" w:rsidRDefault="00F96022" w:rsidP="00F960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6022" w:rsidRPr="00C63FCF" w:rsidTr="00C63FCF">
        <w:trPr>
          <w:trHeight w:val="828"/>
        </w:trPr>
        <w:tc>
          <w:tcPr>
            <w:tcW w:w="4788" w:type="dxa"/>
            <w:tcBorders>
              <w:bottom w:val="single" w:sz="8" w:space="0" w:color="auto"/>
              <w:right w:val="double" w:sz="6" w:space="0" w:color="auto"/>
            </w:tcBorders>
            <w:shd w:val="clear" w:color="auto" w:fill="auto"/>
          </w:tcPr>
          <w:p w:rsidR="00F96022" w:rsidRDefault="00F96022" w:rsidP="00C63FCF">
            <w:pPr>
              <w:pStyle w:val="OrderBody"/>
              <w:tabs>
                <w:tab w:val="center" w:pos="4320"/>
                <w:tab w:val="right" w:pos="8640"/>
              </w:tabs>
              <w:jc w:val="left"/>
            </w:pPr>
            <w:r>
              <w:t xml:space="preserve">In re: </w:t>
            </w:r>
            <w:bookmarkStart w:id="0" w:name="SSInRe"/>
            <w:bookmarkEnd w:id="0"/>
            <w:r>
              <w:t>Application for staff-assisted rate case in Marion County, and request for interim rate increase, by Leighton Estates Utilities, LLC.</w:t>
            </w:r>
          </w:p>
        </w:tc>
        <w:tc>
          <w:tcPr>
            <w:tcW w:w="4788" w:type="dxa"/>
            <w:tcBorders>
              <w:left w:val="double" w:sz="6" w:space="0" w:color="auto"/>
            </w:tcBorders>
            <w:shd w:val="clear" w:color="auto" w:fill="auto"/>
          </w:tcPr>
          <w:p w:rsidR="00F96022" w:rsidRDefault="00F96022" w:rsidP="00F96022">
            <w:pPr>
              <w:pStyle w:val="OrderBody"/>
            </w:pPr>
            <w:r>
              <w:t xml:space="preserve">DOCKET NO. </w:t>
            </w:r>
            <w:bookmarkStart w:id="1" w:name="SSDocketNo"/>
            <w:bookmarkEnd w:id="1"/>
            <w:r>
              <w:t>20220026-WU</w:t>
            </w:r>
          </w:p>
          <w:p w:rsidR="00F96022" w:rsidRDefault="00F96022" w:rsidP="00C63FCF">
            <w:pPr>
              <w:pStyle w:val="OrderBody"/>
              <w:tabs>
                <w:tab w:val="center" w:pos="4320"/>
                <w:tab w:val="right" w:pos="8640"/>
              </w:tabs>
              <w:jc w:val="left"/>
            </w:pPr>
            <w:r>
              <w:t xml:space="preserve">ORDER NO. </w:t>
            </w:r>
            <w:bookmarkStart w:id="2" w:name="OrderNo0142"/>
            <w:r w:rsidR="00A1727F">
              <w:t>PSC-2022-0142A-PCO-WU</w:t>
            </w:r>
            <w:bookmarkEnd w:id="2"/>
          </w:p>
          <w:p w:rsidR="00F96022" w:rsidRDefault="00F96022" w:rsidP="00C63FCF">
            <w:pPr>
              <w:pStyle w:val="OrderBody"/>
              <w:tabs>
                <w:tab w:val="center" w:pos="4320"/>
                <w:tab w:val="right" w:pos="8640"/>
              </w:tabs>
              <w:jc w:val="left"/>
            </w:pPr>
            <w:r>
              <w:t xml:space="preserve">ISSUED: </w:t>
            </w:r>
            <w:r w:rsidR="00A1727F">
              <w:t>April 27, 2022</w:t>
            </w:r>
          </w:p>
        </w:tc>
      </w:tr>
    </w:tbl>
    <w:p w:rsidR="00F96022" w:rsidRDefault="00F96022" w:rsidP="00F96022"/>
    <w:p w:rsidR="00F96022" w:rsidRDefault="00F96022" w:rsidP="00F96022"/>
    <w:p w:rsidR="00F96022" w:rsidRDefault="00F96022" w:rsidP="00B67A43">
      <w:pPr>
        <w:ind w:firstLine="720"/>
        <w:jc w:val="both"/>
      </w:pPr>
      <w:bookmarkStart w:id="3" w:name="Commissioners"/>
      <w:bookmarkEnd w:id="3"/>
      <w:r>
        <w:t>The following Commissioners participated in the disposition of this matter:</w:t>
      </w:r>
    </w:p>
    <w:p w:rsidR="00F96022" w:rsidRDefault="00F96022" w:rsidP="00B67A43"/>
    <w:p w:rsidR="00F96022" w:rsidRDefault="00F96022" w:rsidP="00477699">
      <w:pPr>
        <w:jc w:val="center"/>
      </w:pPr>
      <w:r>
        <w:t>ANDREW GILES FAY, Chairman</w:t>
      </w:r>
    </w:p>
    <w:p w:rsidR="00F96022" w:rsidRDefault="00F96022" w:rsidP="00B67A43">
      <w:pPr>
        <w:jc w:val="center"/>
      </w:pPr>
      <w:r>
        <w:t>ART GRAHAM</w:t>
      </w:r>
    </w:p>
    <w:p w:rsidR="00F96022" w:rsidRDefault="00F96022" w:rsidP="00B67A43">
      <w:pPr>
        <w:jc w:val="center"/>
      </w:pPr>
      <w:r>
        <w:t>GARY F. CLARK</w:t>
      </w:r>
    </w:p>
    <w:p w:rsidR="00F96022" w:rsidRDefault="00F96022" w:rsidP="00B67A43">
      <w:pPr>
        <w:jc w:val="center"/>
      </w:pPr>
      <w:r>
        <w:t>MIKE LA ROSA</w:t>
      </w:r>
    </w:p>
    <w:p w:rsidR="00F96022" w:rsidRPr="005F2751" w:rsidRDefault="00F96022" w:rsidP="00B67A43">
      <w:pPr>
        <w:jc w:val="center"/>
      </w:pPr>
      <w:r w:rsidRPr="005F2751">
        <w:rPr>
          <w:lang w:val="en"/>
        </w:rPr>
        <w:t>GABRIELLA PASSIDOMO</w:t>
      </w:r>
    </w:p>
    <w:p w:rsidR="00F96022" w:rsidRDefault="00F96022" w:rsidP="00B67A43"/>
    <w:p w:rsidR="00F96022" w:rsidRDefault="00F96022" w:rsidP="00B67A43"/>
    <w:p w:rsidR="00CB5276" w:rsidRDefault="00CB5276">
      <w:pPr>
        <w:pStyle w:val="OrderBody"/>
      </w:pPr>
    </w:p>
    <w:p w:rsidR="00F96022" w:rsidRDefault="001D5939" w:rsidP="00F96022">
      <w:pPr>
        <w:pStyle w:val="CenterUnderline"/>
      </w:pPr>
      <w:r>
        <w:t xml:space="preserve">AMENDATORY </w:t>
      </w:r>
      <w:r w:rsidR="00F96022">
        <w:t>ORDER</w:t>
      </w:r>
      <w:bookmarkStart w:id="4" w:name="OrderTitle"/>
      <w:r w:rsidR="00F96022">
        <w:t xml:space="preserve"> </w:t>
      </w:r>
      <w:r w:rsidR="007F0383">
        <w:t>GRANTING INTERIM REVENUE INCREASE</w:t>
      </w:r>
      <w:r w:rsidR="007F0383" w:rsidRPr="00AB37D0" w:rsidDel="007F0383">
        <w:t xml:space="preserve"> </w:t>
      </w:r>
      <w:bookmarkEnd w:id="4"/>
    </w:p>
    <w:p w:rsidR="00F96022" w:rsidRDefault="00F96022" w:rsidP="00F96022">
      <w:pPr>
        <w:pStyle w:val="CenterUnderline"/>
      </w:pPr>
    </w:p>
    <w:p w:rsidR="00921A69" w:rsidRDefault="00921A69" w:rsidP="00F96022">
      <w:pPr>
        <w:pStyle w:val="CenterUnderline"/>
      </w:pPr>
    </w:p>
    <w:p w:rsidR="00A6070C" w:rsidRPr="00A6070C" w:rsidRDefault="00F96022" w:rsidP="00A33E0A">
      <w:pPr>
        <w:pStyle w:val="OrderBody"/>
      </w:pPr>
      <w:r>
        <w:t>BY THE COMMISSION:</w:t>
      </w:r>
    </w:p>
    <w:p w:rsidR="00921A69" w:rsidRDefault="00921A69" w:rsidP="00921A69">
      <w:pPr>
        <w:ind w:firstLine="720"/>
        <w:jc w:val="both"/>
      </w:pPr>
      <w:bookmarkStart w:id="5" w:name="RecToC"/>
      <w:bookmarkStart w:id="6" w:name="CaseBackground"/>
      <w:bookmarkEnd w:id="5"/>
    </w:p>
    <w:p w:rsidR="00921A69" w:rsidRPr="00F87121" w:rsidRDefault="00921A69" w:rsidP="00921A69">
      <w:pPr>
        <w:ind w:firstLine="720"/>
        <w:jc w:val="both"/>
      </w:pPr>
      <w:r w:rsidRPr="00F87121">
        <w:t xml:space="preserve">On </w:t>
      </w:r>
      <w:r>
        <w:t>April 12, 2022</w:t>
      </w:r>
      <w:r w:rsidRPr="00F87121">
        <w:t>, we issue</w:t>
      </w:r>
      <w:r w:rsidRPr="00921A69">
        <w:t xml:space="preserve">d </w:t>
      </w:r>
      <w:r w:rsidRPr="00921A69">
        <w:rPr>
          <w:color w:val="333333"/>
        </w:rPr>
        <w:t>Order PSC-2022-0142-PCO-WU</w:t>
      </w:r>
      <w:r w:rsidRPr="00921A69">
        <w:rPr>
          <w:bCs/>
          <w:iCs/>
        </w:rPr>
        <w:t>.</w:t>
      </w:r>
      <w:r w:rsidRPr="00921A69">
        <w:t xml:space="preserve"> However, due to a scrivener’s error, </w:t>
      </w:r>
      <w:r>
        <w:t>Schedule 1, containing the Commission approved interim rates, was not attached.</w:t>
      </w:r>
      <w:r w:rsidRPr="00F87121">
        <w:t xml:space="preserve">  Therefore, Order No. </w:t>
      </w:r>
      <w:r w:rsidRPr="00F87121">
        <w:rPr>
          <w:bCs/>
        </w:rPr>
        <w:t>PSC-</w:t>
      </w:r>
      <w:r w:rsidRPr="00921A69">
        <w:rPr>
          <w:color w:val="333333"/>
        </w:rPr>
        <w:t>2022-0142-PCO-WU</w:t>
      </w:r>
      <w:r w:rsidRPr="00F87121">
        <w:rPr>
          <w:bCs/>
        </w:rPr>
        <w:t xml:space="preserve"> </w:t>
      </w:r>
      <w:r w:rsidRPr="00F87121">
        <w:t>is amended to reflect</w:t>
      </w:r>
      <w:r w:rsidRPr="00F87121">
        <w:rPr>
          <w:bCs/>
          <w:iCs/>
        </w:rPr>
        <w:t xml:space="preserve"> </w:t>
      </w:r>
      <w:r>
        <w:rPr>
          <w:bCs/>
          <w:iCs/>
        </w:rPr>
        <w:t>the attachment of our approved interim rates.</w:t>
      </w:r>
    </w:p>
    <w:p w:rsidR="00921A69" w:rsidRPr="00F87121" w:rsidRDefault="00921A69" w:rsidP="00921A69">
      <w:pPr>
        <w:jc w:val="both"/>
      </w:pPr>
    </w:p>
    <w:p w:rsidR="00921A69" w:rsidRPr="00F87121" w:rsidRDefault="00921A69" w:rsidP="00921A69">
      <w:pPr>
        <w:jc w:val="both"/>
      </w:pPr>
      <w:r w:rsidRPr="00F87121">
        <w:tab/>
        <w:t>Based on the foregoing, it is</w:t>
      </w:r>
    </w:p>
    <w:p w:rsidR="00921A69" w:rsidRPr="00F87121" w:rsidRDefault="00921A69" w:rsidP="00921A69">
      <w:pPr>
        <w:jc w:val="both"/>
      </w:pPr>
    </w:p>
    <w:p w:rsidR="00921A69" w:rsidRPr="00F87121" w:rsidRDefault="00921A69" w:rsidP="00921A69">
      <w:pPr>
        <w:jc w:val="both"/>
      </w:pPr>
      <w:r w:rsidRPr="00F87121">
        <w:tab/>
        <w:t xml:space="preserve">ORDERED by the Florida Public Service Commission that Order No. </w:t>
      </w:r>
      <w:r w:rsidRPr="00921A69">
        <w:rPr>
          <w:color w:val="333333"/>
        </w:rPr>
        <w:t>PSC-2022-0142-PCO-WU</w:t>
      </w:r>
      <w:r>
        <w:rPr>
          <w:color w:val="333333"/>
        </w:rPr>
        <w:t xml:space="preserve"> </w:t>
      </w:r>
      <w:r w:rsidRPr="00F87121">
        <w:t xml:space="preserve">is hereby amended to reflect </w:t>
      </w:r>
      <w:r>
        <w:t>the attachment of Schedule 1, containing the Commission approved interim rates.</w:t>
      </w:r>
      <w:r w:rsidRPr="00F87121">
        <w:t xml:space="preserve">  It is further</w:t>
      </w:r>
    </w:p>
    <w:p w:rsidR="00921A69" w:rsidRPr="00F87121" w:rsidRDefault="00921A69" w:rsidP="00921A69">
      <w:pPr>
        <w:jc w:val="both"/>
      </w:pPr>
    </w:p>
    <w:p w:rsidR="00921A69" w:rsidRDefault="00921A69" w:rsidP="00921A69">
      <w:pPr>
        <w:jc w:val="both"/>
      </w:pPr>
      <w:r w:rsidRPr="00F87121">
        <w:tab/>
        <w:t xml:space="preserve">ORDERED that Order No. </w:t>
      </w:r>
      <w:r w:rsidRPr="00921A69">
        <w:rPr>
          <w:color w:val="333333"/>
        </w:rPr>
        <w:t>Order PSC-2022-0142-PCO-WU</w:t>
      </w:r>
      <w:r w:rsidRPr="00F87121">
        <w:t xml:space="preserve"> is reaffirmed in all other respects.</w:t>
      </w:r>
    </w:p>
    <w:p w:rsidR="00921A69" w:rsidRPr="00F87121" w:rsidRDefault="00921A69" w:rsidP="00921A69">
      <w:pPr>
        <w:jc w:val="both"/>
      </w:pPr>
    </w:p>
    <w:bookmarkEnd w:id="6"/>
    <w:p w:rsidR="00F96022" w:rsidRDefault="00F96022" w:rsidP="00A1727F">
      <w:pPr>
        <w:pStyle w:val="OrderBody"/>
        <w:ind w:firstLine="720"/>
      </w:pPr>
      <w:r w:rsidRPr="000735EA">
        <w:t xml:space="preserve">By ORDER of the Florida Public Service Commission this </w:t>
      </w:r>
      <w:bookmarkStart w:id="7" w:name="replaceDate"/>
      <w:bookmarkEnd w:id="7"/>
      <w:r w:rsidR="00A1727F">
        <w:rPr>
          <w:u w:val="single"/>
        </w:rPr>
        <w:t>27th</w:t>
      </w:r>
      <w:r w:rsidR="00A1727F">
        <w:t xml:space="preserve"> day of </w:t>
      </w:r>
      <w:r w:rsidR="00A1727F">
        <w:rPr>
          <w:u w:val="single"/>
        </w:rPr>
        <w:t>April</w:t>
      </w:r>
      <w:r w:rsidR="00A1727F">
        <w:t xml:space="preserve">, </w:t>
      </w:r>
      <w:r w:rsidR="00A1727F">
        <w:rPr>
          <w:u w:val="single"/>
        </w:rPr>
        <w:t>2022</w:t>
      </w:r>
      <w:r w:rsidR="00A1727F">
        <w:t>.</w:t>
      </w:r>
    </w:p>
    <w:p w:rsidR="00A1727F" w:rsidRPr="00A1727F" w:rsidRDefault="00A1727F" w:rsidP="00A1727F">
      <w:pPr>
        <w:pStyle w:val="OrderBody"/>
        <w:ind w:firstLine="720"/>
      </w:pPr>
    </w:p>
    <w:p w:rsidR="00F96022" w:rsidRDefault="00F96022" w:rsidP="00F9602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96022" w:rsidTr="00F96022">
        <w:tc>
          <w:tcPr>
            <w:tcW w:w="720" w:type="dxa"/>
            <w:shd w:val="clear" w:color="auto" w:fill="auto"/>
          </w:tcPr>
          <w:p w:rsidR="00F96022" w:rsidRDefault="00F96022" w:rsidP="00F96022">
            <w:pPr>
              <w:pStyle w:val="OrderBody"/>
              <w:keepNext/>
              <w:keepLines/>
            </w:pPr>
            <w:bookmarkStart w:id="8" w:name="bkmrkSignature" w:colFirst="0" w:colLast="0"/>
          </w:p>
        </w:tc>
        <w:tc>
          <w:tcPr>
            <w:tcW w:w="4320" w:type="dxa"/>
            <w:tcBorders>
              <w:bottom w:val="single" w:sz="4" w:space="0" w:color="auto"/>
            </w:tcBorders>
            <w:shd w:val="clear" w:color="auto" w:fill="auto"/>
          </w:tcPr>
          <w:p w:rsidR="00F96022" w:rsidRDefault="00AE1238" w:rsidP="00F96022">
            <w:pPr>
              <w:pStyle w:val="OrderBody"/>
              <w:keepNext/>
              <w:keepLines/>
            </w:pPr>
            <w:r>
              <w:t>/s/ Adam J. Teitzman</w:t>
            </w:r>
            <w:bookmarkStart w:id="9" w:name="_GoBack"/>
            <w:bookmarkEnd w:id="9"/>
          </w:p>
        </w:tc>
      </w:tr>
      <w:bookmarkEnd w:id="8"/>
      <w:tr w:rsidR="00F96022" w:rsidTr="00F96022">
        <w:tc>
          <w:tcPr>
            <w:tcW w:w="720" w:type="dxa"/>
            <w:shd w:val="clear" w:color="auto" w:fill="auto"/>
          </w:tcPr>
          <w:p w:rsidR="00F96022" w:rsidRDefault="00F96022" w:rsidP="00F96022">
            <w:pPr>
              <w:pStyle w:val="OrderBody"/>
              <w:keepNext/>
              <w:keepLines/>
            </w:pPr>
          </w:p>
        </w:tc>
        <w:tc>
          <w:tcPr>
            <w:tcW w:w="4320" w:type="dxa"/>
            <w:tcBorders>
              <w:top w:val="single" w:sz="4" w:space="0" w:color="auto"/>
            </w:tcBorders>
            <w:shd w:val="clear" w:color="auto" w:fill="auto"/>
          </w:tcPr>
          <w:p w:rsidR="00F96022" w:rsidRDefault="00F96022" w:rsidP="00F96022">
            <w:pPr>
              <w:pStyle w:val="OrderBody"/>
              <w:keepNext/>
              <w:keepLines/>
            </w:pPr>
            <w:r>
              <w:t>ADAM J. TEITZMAN</w:t>
            </w:r>
          </w:p>
          <w:p w:rsidR="00F96022" w:rsidRDefault="00F96022" w:rsidP="00F96022">
            <w:pPr>
              <w:pStyle w:val="OrderBody"/>
              <w:keepNext/>
              <w:keepLines/>
            </w:pPr>
            <w:r>
              <w:t>Commission Clerk</w:t>
            </w:r>
          </w:p>
        </w:tc>
      </w:tr>
    </w:tbl>
    <w:p w:rsidR="00F96022" w:rsidRDefault="00F96022" w:rsidP="00F96022">
      <w:pPr>
        <w:pStyle w:val="OrderSigInfo"/>
        <w:keepNext/>
        <w:keepLines/>
      </w:pPr>
      <w:r>
        <w:t>Florida Public Service Commission</w:t>
      </w:r>
    </w:p>
    <w:p w:rsidR="00F96022" w:rsidRDefault="00F96022" w:rsidP="00F96022">
      <w:pPr>
        <w:pStyle w:val="OrderSigInfo"/>
        <w:keepNext/>
        <w:keepLines/>
      </w:pPr>
      <w:r>
        <w:t>2540 Shumard Oak Boulevard</w:t>
      </w:r>
    </w:p>
    <w:p w:rsidR="00F96022" w:rsidRDefault="00F96022" w:rsidP="00F96022">
      <w:pPr>
        <w:pStyle w:val="OrderSigInfo"/>
        <w:keepNext/>
        <w:keepLines/>
      </w:pPr>
      <w:r>
        <w:t>Tallahassee, Florida 32399</w:t>
      </w:r>
    </w:p>
    <w:p w:rsidR="00F96022" w:rsidRDefault="00F96022" w:rsidP="00F96022">
      <w:pPr>
        <w:pStyle w:val="OrderSigInfo"/>
        <w:keepNext/>
        <w:keepLines/>
      </w:pPr>
      <w:r>
        <w:t>(850) 413</w:t>
      </w:r>
      <w:r>
        <w:noBreakHyphen/>
        <w:t>6770</w:t>
      </w:r>
    </w:p>
    <w:p w:rsidR="00F96022" w:rsidRDefault="00F96022" w:rsidP="00F96022">
      <w:pPr>
        <w:pStyle w:val="OrderSigInfo"/>
        <w:keepNext/>
        <w:keepLines/>
      </w:pPr>
      <w:r>
        <w:t>www.floridapsc.com</w:t>
      </w:r>
    </w:p>
    <w:p w:rsidR="00F96022" w:rsidRDefault="00F96022" w:rsidP="00F96022">
      <w:pPr>
        <w:pStyle w:val="OrderSigInfo"/>
        <w:keepNext/>
        <w:keepLines/>
      </w:pPr>
    </w:p>
    <w:p w:rsidR="00F96022" w:rsidRDefault="00F96022" w:rsidP="00F96022">
      <w:pPr>
        <w:pStyle w:val="OrderSigInfo"/>
        <w:keepNext/>
        <w:keepLines/>
      </w:pPr>
      <w:r>
        <w:t>Copies furnished:  A copy of this document is provided to the parties of record at the time of issuance and, if applicable, interested persons.</w:t>
      </w:r>
    </w:p>
    <w:p w:rsidR="00F96022" w:rsidRDefault="00F96022" w:rsidP="00F96022">
      <w:pPr>
        <w:pStyle w:val="OrderBody"/>
        <w:keepNext/>
        <w:keepLines/>
      </w:pPr>
    </w:p>
    <w:p w:rsidR="00F96022" w:rsidRDefault="00F96022" w:rsidP="00F96022">
      <w:pPr>
        <w:pStyle w:val="OrderBody"/>
        <w:keepNext/>
        <w:keepLines/>
      </w:pPr>
    </w:p>
    <w:p w:rsidR="00F96022" w:rsidRDefault="00F96022" w:rsidP="00F96022">
      <w:pPr>
        <w:pStyle w:val="OrderBody"/>
        <w:keepNext/>
        <w:keepLines/>
      </w:pPr>
      <w:r>
        <w:t>WLT</w:t>
      </w:r>
      <w:r w:rsidR="00A40037">
        <w:t>/SG</w:t>
      </w:r>
    </w:p>
    <w:p w:rsidR="00A6070C" w:rsidRDefault="00A6070C" w:rsidP="00F96022">
      <w:pPr>
        <w:pStyle w:val="CenterUnderline"/>
      </w:pPr>
    </w:p>
    <w:p w:rsidR="00F96022" w:rsidRDefault="00F96022" w:rsidP="00F96022">
      <w:pPr>
        <w:pStyle w:val="CenterUnderline"/>
      </w:pPr>
    </w:p>
    <w:p w:rsidR="00F96022" w:rsidRDefault="00F96022" w:rsidP="00F96022">
      <w:pPr>
        <w:pStyle w:val="CenterUnderline"/>
      </w:pPr>
      <w:r>
        <w:t>NOTICE OF FURTHER PROCEEDINGS OR JUDICIAL REVIEW</w:t>
      </w:r>
    </w:p>
    <w:p w:rsidR="00F96022" w:rsidRDefault="00F96022" w:rsidP="00F96022">
      <w:pPr>
        <w:autoSpaceDE w:val="0"/>
        <w:autoSpaceDN w:val="0"/>
      </w:pPr>
      <w:bookmarkStart w:id="10" w:name="OrderText"/>
      <w:bookmarkEnd w:id="10"/>
    </w:p>
    <w:p w:rsidR="00AE18A2" w:rsidRDefault="00AE18A2" w:rsidP="00AE18A2">
      <w:pPr>
        <w:pStyle w:val="OrderBody"/>
      </w:pPr>
    </w:p>
    <w:p w:rsidR="00AE18A2" w:rsidRDefault="00AE18A2" w:rsidP="00AE18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18A2" w:rsidRDefault="00AE18A2" w:rsidP="00AE18A2">
      <w:pPr>
        <w:pStyle w:val="OrderBody"/>
      </w:pPr>
    </w:p>
    <w:p w:rsidR="00CB5276" w:rsidRDefault="00AE18A2" w:rsidP="00AE18A2">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r w:rsidR="008E2703">
        <w:t xml:space="preserve"> </w:t>
      </w:r>
    </w:p>
    <w:p w:rsidR="00DD4E56" w:rsidRDefault="00DD4E56">
      <w:pPr>
        <w:sectPr w:rsidR="00DD4E56">
          <w:headerReference w:type="default" r:id="rId7"/>
          <w:footerReference w:type="first" r:id="rId8"/>
          <w:pgSz w:w="12240" w:h="15840" w:code="1"/>
          <w:pgMar w:top="1440" w:right="1440" w:bottom="1440" w:left="1440" w:header="720" w:footer="720" w:gutter="0"/>
          <w:cols w:space="720"/>
          <w:titlePg/>
          <w:docGrid w:linePitch="360"/>
        </w:sectPr>
      </w:pPr>
    </w:p>
    <w:p w:rsidR="005F2751" w:rsidRDefault="005F2751"/>
    <w:p w:rsidR="001D5939" w:rsidRDefault="001D5939"/>
    <w:p w:rsidR="001D5939" w:rsidRDefault="001D5939">
      <w:r w:rsidRPr="0026420D">
        <w:rPr>
          <w:noProof/>
        </w:rPr>
        <w:drawing>
          <wp:inline distT="0" distB="0" distL="0" distR="0" wp14:anchorId="2C83439A" wp14:editId="42C52C22">
            <wp:extent cx="5534025" cy="3905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3905250"/>
                    </a:xfrm>
                    <a:prstGeom prst="rect">
                      <a:avLst/>
                    </a:prstGeom>
                    <a:noFill/>
                    <a:ln>
                      <a:noFill/>
                    </a:ln>
                  </pic:spPr>
                </pic:pic>
              </a:graphicData>
            </a:graphic>
          </wp:inline>
        </w:drawing>
      </w:r>
    </w:p>
    <w:sectPr w:rsidR="001D5939" w:rsidSect="00DD4E5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22" w:rsidRDefault="00F96022">
      <w:r>
        <w:separator/>
      </w:r>
    </w:p>
  </w:endnote>
  <w:endnote w:type="continuationSeparator" w:id="0">
    <w:p w:rsidR="00F96022" w:rsidRDefault="00F9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22" w:rsidRDefault="00F96022">
      <w:r>
        <w:separator/>
      </w:r>
    </w:p>
  </w:footnote>
  <w:footnote w:type="continuationSeparator" w:id="0">
    <w:p w:rsidR="00F96022" w:rsidRDefault="00F9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2 ">
      <w:r w:rsidR="00AE1238">
        <w:t>PSC-2022-0142A-PCO-WU</w:t>
      </w:r>
    </w:fldSimple>
  </w:p>
  <w:p w:rsidR="00FA6EFD" w:rsidRDefault="00F96022">
    <w:pPr>
      <w:pStyle w:val="OrderHeader"/>
    </w:pPr>
    <w:bookmarkStart w:id="11" w:name="HeaderDocketNo"/>
    <w:bookmarkEnd w:id="11"/>
    <w:r>
      <w:t>DOCKET NO. 20220026-WU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1238">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E56" w:rsidRDefault="00DD4E56">
    <w:pPr>
      <w:pStyle w:val="OrderHeader"/>
    </w:pPr>
    <w:r>
      <w:t xml:space="preserve">ORDER NO. </w:t>
    </w:r>
    <w:r w:rsidR="00A1727F">
      <w:fldChar w:fldCharType="begin"/>
    </w:r>
    <w:r w:rsidR="00A1727F">
      <w:instrText xml:space="preserve"> REF OrderNo0142 </w:instrText>
    </w:r>
    <w:r w:rsidR="00A1727F">
      <w:fldChar w:fldCharType="separate"/>
    </w:r>
    <w:r w:rsidR="00AE1238">
      <w:t>PSC-2022-0142A-PCO-WU</w:t>
    </w:r>
    <w:r w:rsidR="00A1727F">
      <w:fldChar w:fldCharType="end"/>
    </w:r>
    <w:r>
      <w:tab/>
    </w:r>
    <w:r>
      <w:tab/>
      <w:t>Schedule No. 1</w:t>
    </w:r>
  </w:p>
  <w:p w:rsidR="00DD4E56" w:rsidRDefault="00DD4E56">
    <w:pPr>
      <w:pStyle w:val="OrderHeader"/>
    </w:pPr>
    <w:r>
      <w:t>DOCKET NO. 20220026-WU</w:t>
    </w:r>
  </w:p>
  <w:p w:rsidR="00DD4E56" w:rsidRDefault="00DD4E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1238">
      <w:rPr>
        <w:rStyle w:val="PageNumber"/>
        <w:noProof/>
      </w:rPr>
      <w:t>3</w:t>
    </w:r>
    <w:r>
      <w:rPr>
        <w:rStyle w:val="PageNumber"/>
      </w:rPr>
      <w:fldChar w:fldCharType="end"/>
    </w:r>
  </w:p>
  <w:p w:rsidR="00DD4E56" w:rsidRDefault="00DD4E56">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6-WU"/>
  </w:docVars>
  <w:rsids>
    <w:rsidRoot w:val="00F960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5EA"/>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5939"/>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7645"/>
    <w:rsid w:val="00270F89"/>
    <w:rsid w:val="00276CDC"/>
    <w:rsid w:val="00277655"/>
    <w:rsid w:val="002824B7"/>
    <w:rsid w:val="00282AC4"/>
    <w:rsid w:val="00293DC9"/>
    <w:rsid w:val="00297C37"/>
    <w:rsid w:val="002A11AC"/>
    <w:rsid w:val="002A6F30"/>
    <w:rsid w:val="002B3111"/>
    <w:rsid w:val="002C118E"/>
    <w:rsid w:val="002C2096"/>
    <w:rsid w:val="002C3B6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39B9"/>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0C3B"/>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314D"/>
    <w:rsid w:val="004D2D1B"/>
    <w:rsid w:val="004D5067"/>
    <w:rsid w:val="004D6838"/>
    <w:rsid w:val="004D72BC"/>
    <w:rsid w:val="004E469D"/>
    <w:rsid w:val="004E7F4F"/>
    <w:rsid w:val="004F2DDE"/>
    <w:rsid w:val="004F5A55"/>
    <w:rsid w:val="004F7826"/>
    <w:rsid w:val="0050097F"/>
    <w:rsid w:val="00510649"/>
    <w:rsid w:val="00514B1F"/>
    <w:rsid w:val="00523C5C"/>
    <w:rsid w:val="00525E93"/>
    <w:rsid w:val="0052671D"/>
    <w:rsid w:val="005300C0"/>
    <w:rsid w:val="00533EF6"/>
    <w:rsid w:val="00540E6B"/>
    <w:rsid w:val="0055595D"/>
    <w:rsid w:val="00556A10"/>
    <w:rsid w:val="00557F50"/>
    <w:rsid w:val="00571D3D"/>
    <w:rsid w:val="0058264B"/>
    <w:rsid w:val="0058276B"/>
    <w:rsid w:val="00586368"/>
    <w:rsid w:val="005868AA"/>
    <w:rsid w:val="00590845"/>
    <w:rsid w:val="00595CDF"/>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08A"/>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417"/>
    <w:rsid w:val="00721B44"/>
    <w:rsid w:val="007232A2"/>
    <w:rsid w:val="00726366"/>
    <w:rsid w:val="00731E4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383"/>
    <w:rsid w:val="007F15BB"/>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2703"/>
    <w:rsid w:val="008E42D2"/>
    <w:rsid w:val="008E6328"/>
    <w:rsid w:val="008F578F"/>
    <w:rsid w:val="008F5D04"/>
    <w:rsid w:val="009040EE"/>
    <w:rsid w:val="009057FD"/>
    <w:rsid w:val="00906FBA"/>
    <w:rsid w:val="009163E8"/>
    <w:rsid w:val="00921A69"/>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722A"/>
    <w:rsid w:val="00A1727F"/>
    <w:rsid w:val="00A22B28"/>
    <w:rsid w:val="00A33E0A"/>
    <w:rsid w:val="00A40037"/>
    <w:rsid w:val="00A4303C"/>
    <w:rsid w:val="00A46CAF"/>
    <w:rsid w:val="00A470FD"/>
    <w:rsid w:val="00A50B5E"/>
    <w:rsid w:val="00A6070C"/>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1238"/>
    <w:rsid w:val="00AE18A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171"/>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D31"/>
    <w:rsid w:val="00DA6B78"/>
    <w:rsid w:val="00DB122B"/>
    <w:rsid w:val="00DC1D94"/>
    <w:rsid w:val="00DC42CF"/>
    <w:rsid w:val="00DD382A"/>
    <w:rsid w:val="00DD4E56"/>
    <w:rsid w:val="00DE057F"/>
    <w:rsid w:val="00DE2082"/>
    <w:rsid w:val="00DE2289"/>
    <w:rsid w:val="00DF09A7"/>
    <w:rsid w:val="00DF2B51"/>
    <w:rsid w:val="00E001D6"/>
    <w:rsid w:val="00E03A76"/>
    <w:rsid w:val="00E04410"/>
    <w:rsid w:val="00E07484"/>
    <w:rsid w:val="00E11351"/>
    <w:rsid w:val="00E20950"/>
    <w:rsid w:val="00E37F18"/>
    <w:rsid w:val="00E4225C"/>
    <w:rsid w:val="00E44879"/>
    <w:rsid w:val="00E72914"/>
    <w:rsid w:val="00E75AE0"/>
    <w:rsid w:val="00E83C1F"/>
    <w:rsid w:val="00E85684"/>
    <w:rsid w:val="00E8794B"/>
    <w:rsid w:val="00E96BA5"/>
    <w:rsid w:val="00E97656"/>
    <w:rsid w:val="00EA004A"/>
    <w:rsid w:val="00EA172C"/>
    <w:rsid w:val="00EA259B"/>
    <w:rsid w:val="00EA35A3"/>
    <w:rsid w:val="00EA3E6A"/>
    <w:rsid w:val="00EB18EF"/>
    <w:rsid w:val="00EB58F4"/>
    <w:rsid w:val="00EB7951"/>
    <w:rsid w:val="00EB7EEC"/>
    <w:rsid w:val="00ED6A79"/>
    <w:rsid w:val="00EE17DF"/>
    <w:rsid w:val="00EF1482"/>
    <w:rsid w:val="00EF4621"/>
    <w:rsid w:val="00EF4D52"/>
    <w:rsid w:val="00EF6312"/>
    <w:rsid w:val="00EF789B"/>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6022"/>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6070C"/>
  </w:style>
  <w:style w:type="character" w:customStyle="1" w:styleId="cosearchterm">
    <w:name w:val="co_searchterm"/>
    <w:basedOn w:val="DefaultParagraphFont"/>
    <w:rsid w:val="00A40037"/>
  </w:style>
  <w:style w:type="character" w:styleId="Hyperlink">
    <w:name w:val="Hyperlink"/>
    <w:basedOn w:val="DefaultParagraphFont"/>
    <w:uiPriority w:val="99"/>
    <w:semiHidden/>
    <w:unhideWhenUsed/>
    <w:rsid w:val="00A40037"/>
    <w:rPr>
      <w:color w:val="0000FF"/>
      <w:u w:val="single"/>
    </w:rPr>
  </w:style>
  <w:style w:type="paragraph" w:styleId="BalloonText">
    <w:name w:val="Balloon Text"/>
    <w:basedOn w:val="Normal"/>
    <w:link w:val="BalloonTextChar"/>
    <w:semiHidden/>
    <w:unhideWhenUsed/>
    <w:rsid w:val="00B53171"/>
    <w:rPr>
      <w:rFonts w:ascii="Segoe UI" w:hAnsi="Segoe UI" w:cs="Segoe UI"/>
      <w:sz w:val="18"/>
      <w:szCs w:val="18"/>
    </w:rPr>
  </w:style>
  <w:style w:type="character" w:customStyle="1" w:styleId="BalloonTextChar">
    <w:name w:val="Balloon Text Char"/>
    <w:basedOn w:val="DefaultParagraphFont"/>
    <w:link w:val="BalloonText"/>
    <w:semiHidden/>
    <w:rsid w:val="00B53171"/>
    <w:rPr>
      <w:rFonts w:ascii="Segoe UI" w:hAnsi="Segoe UI" w:cs="Segoe UI"/>
      <w:sz w:val="18"/>
      <w:szCs w:val="18"/>
    </w:rPr>
  </w:style>
  <w:style w:type="paragraph" w:styleId="ListParagraph">
    <w:name w:val="List Paragraph"/>
    <w:basedOn w:val="Normal"/>
    <w:uiPriority w:val="34"/>
    <w:qFormat/>
    <w:rsid w:val="00731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946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2022-04-27T17:34:00Z</dcterms:created>
  <dcterms:modified xsi:type="dcterms:W3CDTF">2022-04-27T18:55:00Z</dcterms:modified>
</cp:coreProperties>
</file>