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813DA3">
            <w:pPr>
              <w:pStyle w:val="MemoHeading"/>
            </w:pPr>
            <w:bookmarkStart w:id="1" w:name="FilingDate"/>
            <w:r>
              <w:t>May 25</w:t>
            </w:r>
            <w:r w:rsidR="000077D5">
              <w:t>, 2022</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0077D5" w:rsidRDefault="000077D5">
            <w:pPr>
              <w:pStyle w:val="MemoHeading"/>
            </w:pPr>
            <w:bookmarkStart w:id="2" w:name="From"/>
            <w:r>
              <w:t>Office of the General Counsel (Harper, Cowdery, Sunshine)</w:t>
            </w:r>
          </w:p>
          <w:p w:rsidR="007C0528" w:rsidRDefault="000077D5" w:rsidP="00F1695E">
            <w:pPr>
              <w:pStyle w:val="MemoHeading"/>
            </w:pPr>
            <w:r>
              <w:t>Office of Industry Development and Market Analysis (</w:t>
            </w:r>
            <w:r w:rsidR="00F1695E">
              <w:t>Hinton</w:t>
            </w:r>
            <w:r>
              <w:t>)</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0077D5">
            <w:pPr>
              <w:pStyle w:val="MemoHeadingRe"/>
            </w:pPr>
            <w:bookmarkStart w:id="3" w:name="Re"/>
            <w:r>
              <w:t>Docket No. 20210137-PU – Proposed adoption of Rule 25-18.010, F.A.C., Pole Attachment Complaints.</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813DA3" w:rsidP="004B4A3F">
            <w:pPr>
              <w:pStyle w:val="MemoHeading"/>
            </w:pPr>
            <w:bookmarkStart w:id="4" w:name="AgendaDate"/>
            <w:r>
              <w:t>June 7, 2022</w:t>
            </w:r>
            <w:bookmarkEnd w:id="4"/>
            <w:r w:rsidR="007C0528">
              <w:t xml:space="preserve"> – </w:t>
            </w:r>
            <w:bookmarkStart w:id="5" w:name="PermittedStatus"/>
            <w:r w:rsidR="000077D5">
              <w:t>Regular Agenda –</w:t>
            </w:r>
            <w:bookmarkEnd w:id="5"/>
            <w:r w:rsidR="003D7B04">
              <w:t xml:space="preserve"> </w:t>
            </w:r>
            <w:r w:rsidR="004B4A3F">
              <w:t>Ministerial Act – Public P</w:t>
            </w:r>
            <w:r w:rsidR="00A6270B">
              <w:t xml:space="preserve">articipation </w:t>
            </w:r>
            <w:r w:rsidR="004B4A3F">
              <w:t>Is A</w:t>
            </w:r>
            <w:r w:rsidR="00A6270B">
              <w:t xml:space="preserve">t </w:t>
            </w:r>
            <w:r w:rsidR="004B4A3F">
              <w:t>The Commission’s D</w:t>
            </w:r>
            <w:r w:rsidR="00A6270B">
              <w:t>iscretion</w:t>
            </w:r>
            <w:r w:rsidR="003D7B04">
              <w:t>.</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0077D5">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0077D5">
            <w:pPr>
              <w:pStyle w:val="MemoHeading"/>
            </w:pPr>
            <w:bookmarkStart w:id="7" w:name="PrehearingOfficer"/>
            <w:r>
              <w:t>Fay</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C85AE2" w:rsidP="00506C03">
            <w:pPr>
              <w:pStyle w:val="MemoHeadingLabel"/>
            </w:pPr>
            <w:bookmarkStart w:id="8" w:name="CriticalDatesLabel"/>
            <w:r>
              <w:t>CRITICAL DATE</w:t>
            </w:r>
            <w:r w:rsidR="000077D5">
              <w:t>S:</w:t>
            </w:r>
            <w:bookmarkEnd w:id="8"/>
          </w:p>
        </w:tc>
        <w:tc>
          <w:tcPr>
            <w:tcW w:w="5785" w:type="dxa"/>
            <w:tcBorders>
              <w:top w:val="nil"/>
              <w:left w:val="nil"/>
              <w:bottom w:val="nil"/>
              <w:right w:val="nil"/>
            </w:tcBorders>
            <w:shd w:val="clear" w:color="auto" w:fill="auto"/>
          </w:tcPr>
          <w:p w:rsidR="007C0528" w:rsidRDefault="00C85AE2" w:rsidP="003F1586">
            <w:pPr>
              <w:pStyle w:val="MemoHeading"/>
            </w:pPr>
            <w:r>
              <w:t>None</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0077D5">
            <w:pPr>
              <w:pStyle w:val="MemoHeading"/>
            </w:pPr>
            <w:bookmarkStart w:id="9" w:name="SpecialInstructions"/>
            <w:r>
              <w:t>None</w:t>
            </w:r>
            <w:bookmarkEnd w:id="9"/>
          </w:p>
        </w:tc>
      </w:tr>
    </w:tbl>
    <w:p w:rsidR="007C0528" w:rsidRDefault="007C0528">
      <w:pPr>
        <w:pStyle w:val="BodyText"/>
      </w:pPr>
    </w:p>
    <w:p w:rsidR="00EA7424" w:rsidRDefault="007C0528">
      <w:pPr>
        <w:pStyle w:val="RecommendationMajorSectionHeading"/>
      </w:pPr>
      <w:bookmarkStart w:id="10" w:name="RecToC"/>
      <w:bookmarkEnd w:id="10"/>
      <w:r>
        <w:t xml:space="preserve"> </w:t>
      </w:r>
      <w:bookmarkStart w:id="11" w:name="CaseBackground"/>
      <w:r>
        <w:t>Case Background</w:t>
      </w:r>
    </w:p>
    <w:p w:rsidR="00AB1B64" w:rsidRDefault="008E48A4" w:rsidP="00454F09">
      <w:pPr>
        <w:pStyle w:val="BodyText"/>
      </w:pPr>
      <w:r>
        <w:t xml:space="preserve">The 2021 Legislature </w:t>
      </w:r>
      <w:r w:rsidR="00A8301B">
        <w:t>amended</w:t>
      </w:r>
      <w:r>
        <w:t xml:space="preserve"> Section 366.04, Florida Statutes (F.S.), Jurisdiction of Commission, to </w:t>
      </w:r>
      <w:r w:rsidR="009D2FBC">
        <w:t>add subsection (8)</w:t>
      </w:r>
      <w:r w:rsidR="00A8301B">
        <w:t xml:space="preserve"> </w:t>
      </w:r>
      <w:r w:rsidR="009D2FBC">
        <w:t xml:space="preserve">that </w:t>
      </w:r>
      <w:r>
        <w:t>require</w:t>
      </w:r>
      <w:r w:rsidR="009D2FBC">
        <w:t>s</w:t>
      </w:r>
      <w:r>
        <w:t xml:space="preserve"> the Commission to </w:t>
      </w:r>
      <w:r w:rsidR="00A8301B">
        <w:t>hear and resolve complaints concerning rates, charges, terms, conditions, voluntary agreements, or any denial of access relative to pole attachment</w:t>
      </w:r>
      <w:r w:rsidR="00493E75">
        <w:t>s</w:t>
      </w:r>
      <w:r w:rsidR="00A8301B">
        <w:t xml:space="preserve">. </w:t>
      </w:r>
      <w:r w:rsidR="002D3AC8">
        <w:t>Section 366.04(8)</w:t>
      </w:r>
      <w:r w:rsidR="00681916">
        <w:t>(g)</w:t>
      </w:r>
      <w:r w:rsidR="002D3AC8">
        <w:t xml:space="preserve">, F.S., </w:t>
      </w:r>
      <w:r w:rsidR="00681916">
        <w:t>required the Commission to propose procedural rules</w:t>
      </w:r>
      <w:r w:rsidR="0068287C" w:rsidRPr="00681916">
        <w:t xml:space="preserve"> </w:t>
      </w:r>
      <w:r w:rsidR="00681916">
        <w:t>to administer and implement Section 366.04(8), F.S., no later than January 1, 2022.</w:t>
      </w:r>
      <w:r w:rsidR="00681916" w:rsidRPr="00681916">
        <w:t xml:space="preserve"> </w:t>
      </w:r>
      <w:r w:rsidR="00C20248">
        <w:t>In accordance</w:t>
      </w:r>
      <w:r w:rsidR="00681916">
        <w:t xml:space="preserve"> with this statutory mandate, the Commission proposed Rule 25-18.010, Florida Administrative Code (F.A.C.), Pole Attachment Complaints,</w:t>
      </w:r>
      <w:r w:rsidR="004B4A3F">
        <w:rPr>
          <w:rStyle w:val="FootnoteReference"/>
        </w:rPr>
        <w:footnoteReference w:id="1"/>
      </w:r>
      <w:r w:rsidR="00340CE9">
        <w:t xml:space="preserve"> on November 4, 2021</w:t>
      </w:r>
      <w:r w:rsidR="00681916">
        <w:t>, by publication in the Florida Administrative Register (F.A.R.).</w:t>
      </w:r>
      <w:r w:rsidR="00681916" w:rsidRPr="00681916">
        <w:t xml:space="preserve"> </w:t>
      </w:r>
    </w:p>
    <w:p w:rsidR="00681916" w:rsidRPr="008204E0" w:rsidRDefault="004B4A3F" w:rsidP="00454F09">
      <w:pPr>
        <w:pStyle w:val="BodyText"/>
      </w:pPr>
      <w:r>
        <w:lastRenderedPageBreak/>
        <w:t>After considering evidence and argument at two rule hearings,</w:t>
      </w:r>
      <w:r w:rsidR="00681916">
        <w:t xml:space="preserve"> the Commission voted to make changes to the proposed rule, and a Notice of Change was published in the F</w:t>
      </w:r>
      <w:r w:rsidR="00AB1B64">
        <w:t>.A.R.</w:t>
      </w:r>
      <w:r w:rsidR="00681916">
        <w:t xml:space="preserve"> on March 3, 2022. On March 11, 2022, AT&amp;T filed a rule challenge at </w:t>
      </w:r>
      <w:r w:rsidR="00AB1B64">
        <w:t>the Division of Administrative Hearings (</w:t>
      </w:r>
      <w:r w:rsidR="00681916">
        <w:t>DOAH</w:t>
      </w:r>
      <w:r w:rsidR="00AB1B64">
        <w:t>)</w:t>
      </w:r>
      <w:r>
        <w:t>, alleging that Proposed Rule 25-18.010 was an unlawful delegation of legislative authority under Section 120.52(8), F.S.</w:t>
      </w:r>
      <w:r w:rsidR="00454F09">
        <w:t xml:space="preserve"> By Final Order issued o</w:t>
      </w:r>
      <w:r w:rsidR="00681916" w:rsidRPr="008204E0">
        <w:t>n May 19, 2022, DOAH dismissed AT&amp;T's petition, finding that Proposed Rule 25-18.010</w:t>
      </w:r>
      <w:r w:rsidR="00C20248">
        <w:t xml:space="preserve"> </w:t>
      </w:r>
      <w:r w:rsidR="00681916" w:rsidRPr="008204E0">
        <w:t xml:space="preserve">does not constitute an invalid exercise of delegated legislative authority as to the objections raised by AT&amp;T. </w:t>
      </w:r>
    </w:p>
    <w:p w:rsidR="00454F09" w:rsidRDefault="00454F09" w:rsidP="00454F09">
      <w:pPr>
        <w:pStyle w:val="BodyText"/>
      </w:pPr>
      <w:r>
        <w:t>On May 19, 2022, Rule 25-18.010, F.A.C.</w:t>
      </w:r>
      <w:r w:rsidR="00AB1B64">
        <w:t>,</w:t>
      </w:r>
      <w:r>
        <w:t xml:space="preserve"> was filed </w:t>
      </w:r>
      <w:r w:rsidR="00C20248">
        <w:t xml:space="preserve">for adoption </w:t>
      </w:r>
      <w:r>
        <w:t>with the Department of State</w:t>
      </w:r>
      <w:r w:rsidR="00C20248">
        <w:t xml:space="preserve"> and</w:t>
      </w:r>
      <w:r>
        <w:t xml:space="preserve"> will become effective on June 8, 2022.</w:t>
      </w:r>
      <w:r w:rsidR="00AB1B64">
        <w:rPr>
          <w:rStyle w:val="FootnoteReference"/>
        </w:rPr>
        <w:footnoteReference w:id="2"/>
      </w:r>
      <w:r w:rsidR="00AB1B64">
        <w:t xml:space="preserve"> </w:t>
      </w:r>
      <w:r>
        <w:t xml:space="preserve"> Section 366.04(8)(g), F.S., require</w:t>
      </w:r>
      <w:r w:rsidR="00AB1B64">
        <w:t>s</w:t>
      </w:r>
      <w:r>
        <w:t xml:space="preserve"> that upon adoption of the procedural rule, the Commission</w:t>
      </w:r>
      <w:r w:rsidRPr="00454F09">
        <w:t xml:space="preserve"> </w:t>
      </w:r>
      <w:r>
        <w:t>must provide its certification to the Federal Communications Commission (FCC) pursuant to 47 U.S.C. § 224(c)(2).</w:t>
      </w:r>
    </w:p>
    <w:p w:rsidR="00454F09" w:rsidRDefault="004B4A3F" w:rsidP="00454F09">
      <w:pPr>
        <w:pStyle w:val="BodyText"/>
      </w:pPr>
      <w:r>
        <w:t xml:space="preserve">Section </w:t>
      </w:r>
      <w:r w:rsidR="00454F09">
        <w:t xml:space="preserve"> 224(c)(2) </w:t>
      </w:r>
      <w:r>
        <w:t xml:space="preserve">of 47 U.S.C. </w:t>
      </w:r>
      <w:r w:rsidR="00454F09">
        <w:t xml:space="preserve">states: </w:t>
      </w:r>
    </w:p>
    <w:p w:rsidR="00454F09" w:rsidRDefault="00454F09" w:rsidP="00454F09">
      <w:pPr>
        <w:pStyle w:val="BodyText"/>
        <w:ind w:left="720"/>
      </w:pPr>
      <w:r>
        <w:t>(c) State Regulatory Authority</w:t>
      </w:r>
      <w:r w:rsidR="00AB1B64">
        <w:t xml:space="preserve"> </w:t>
      </w:r>
      <w:r>
        <w:t>Over Rates, Terms, and Conditions; Preemption; Certification; Circumstances Constituting State Regulation</w:t>
      </w:r>
    </w:p>
    <w:p w:rsidR="00454F09" w:rsidRDefault="00454F09" w:rsidP="00454F09">
      <w:pPr>
        <w:pStyle w:val="BodyText"/>
        <w:ind w:left="1170" w:right="720"/>
      </w:pPr>
      <w:r>
        <w:t>(2) Each State which regulates the rates, terms, and conditions for pole attachments shall certify to the Commission that—</w:t>
      </w:r>
    </w:p>
    <w:p w:rsidR="00454F09" w:rsidRDefault="00454F09" w:rsidP="00454F09">
      <w:pPr>
        <w:pStyle w:val="BodyText"/>
        <w:ind w:left="720" w:right="720"/>
      </w:pPr>
      <w:r>
        <w:tab/>
        <w:t>(A) it regulates such rates, terms, and conditions; and</w:t>
      </w:r>
    </w:p>
    <w:p w:rsidR="00454F09" w:rsidRDefault="00454F09" w:rsidP="00454F09">
      <w:pPr>
        <w:pStyle w:val="BodyText"/>
        <w:ind w:left="1440" w:right="720"/>
      </w:pPr>
      <w:r>
        <w:t>(B) in so regulating such rates, terms, and conditions, the State has the authority to consider and does consider the interests of the subscribers of the services offered via such attachments, as well as the interests of the consumers of the utility services.</w:t>
      </w:r>
    </w:p>
    <w:p w:rsidR="00AB1B64" w:rsidRPr="00297123" w:rsidRDefault="004B4A3F" w:rsidP="00340CE9">
      <w:pPr>
        <w:pStyle w:val="BodyText"/>
        <w:rPr>
          <w:rFonts w:eastAsiaTheme="minorHAnsi"/>
        </w:rPr>
      </w:pPr>
      <w:r>
        <w:t>A</w:t>
      </w:r>
      <w:r w:rsidR="00C20248">
        <w:t>dditional detail on t</w:t>
      </w:r>
      <w:r w:rsidR="006804E1">
        <w:t xml:space="preserve">he certification requirement </w:t>
      </w:r>
      <w:r w:rsidR="00C20248">
        <w:t>of 47 U.S.C. § 224(c)(2)</w:t>
      </w:r>
      <w:r w:rsidR="006804E1">
        <w:t>(A)</w:t>
      </w:r>
      <w:r w:rsidR="006804E1" w:rsidRPr="006804E1">
        <w:t xml:space="preserve"> </w:t>
      </w:r>
      <w:r w:rsidR="006804E1">
        <w:t>is given in 47 U.S.C. § 224(c)(3)</w:t>
      </w:r>
      <w:r w:rsidR="00041C07">
        <w:t>(A)</w:t>
      </w:r>
      <w:r w:rsidR="006804E1">
        <w:t xml:space="preserve">, </w:t>
      </w:r>
      <w:r w:rsidR="00041C07">
        <w:t>which provides that a</w:t>
      </w:r>
      <w:r w:rsidR="00AB1B64">
        <w:t xml:space="preserve"> State shall not be considered to </w:t>
      </w:r>
      <w:r w:rsidR="00041C07">
        <w:t>“</w:t>
      </w:r>
      <w:r w:rsidR="00AB1B64">
        <w:t>regulate the rates, terms, and conditions</w:t>
      </w:r>
      <w:r w:rsidR="00041C07">
        <w:t>”</w:t>
      </w:r>
      <w:r w:rsidR="00AB1B64">
        <w:t xml:space="preserve"> for pole attachments unless the State </w:t>
      </w:r>
      <w:r w:rsidR="00041C07">
        <w:t>“</w:t>
      </w:r>
      <w:r w:rsidR="00AB1B64">
        <w:t>has issued and made effective rules and regulations implementing the State’s regulatory authority over pole attachments</w:t>
      </w:r>
      <w:r w:rsidR="00041C07">
        <w:t xml:space="preserve">.” </w:t>
      </w:r>
      <w:r w:rsidR="003D08AA">
        <w:t xml:space="preserve"> </w:t>
      </w:r>
      <w:r>
        <w:t>A federal</w:t>
      </w:r>
      <w:r w:rsidR="00041C07">
        <w:t xml:space="preserve"> regulation implementing </w:t>
      </w:r>
      <w:r w:rsidR="006804E1">
        <w:t>47 U.S.C. § 224(c)</w:t>
      </w:r>
      <w:r w:rsidR="00041C07">
        <w:t>(3)(A)</w:t>
      </w:r>
      <w:r w:rsidR="006804E1">
        <w:t xml:space="preserve">, </w:t>
      </w:r>
      <w:r w:rsidRPr="00297123">
        <w:t>47 C.F.R. § 1.1405</w:t>
      </w:r>
      <w:r>
        <w:t xml:space="preserve">(b)(3), </w:t>
      </w:r>
      <w:r w:rsidR="003D08AA">
        <w:t xml:space="preserve">gives further guidance </w:t>
      </w:r>
      <w:r>
        <w:t>and states</w:t>
      </w:r>
      <w:r w:rsidR="00AB1B64">
        <w:t xml:space="preserve"> that it will be rebuttably presumed that the state is not regulating pole attachments if the FCC does not receive certification from a state that</w:t>
      </w:r>
      <w:r w:rsidR="00AB1B64" w:rsidRPr="00297123">
        <w:t>:</w:t>
      </w:r>
      <w:r w:rsidR="00AB1B64" w:rsidRPr="00297123">
        <w:rPr>
          <w:rFonts w:eastAsiaTheme="minorHAnsi"/>
        </w:rPr>
        <w:t xml:space="preserve"> </w:t>
      </w:r>
    </w:p>
    <w:p w:rsidR="00AB1B64" w:rsidRDefault="004B4A3F" w:rsidP="00AB1B64">
      <w:pPr>
        <w:spacing w:line="276" w:lineRule="auto"/>
        <w:ind w:left="990" w:right="720" w:hanging="270"/>
        <w:jc w:val="both"/>
        <w:rPr>
          <w:rFonts w:eastAsiaTheme="minorHAnsi"/>
        </w:rPr>
      </w:pPr>
      <w:r>
        <w:rPr>
          <w:rFonts w:eastAsiaTheme="minorHAnsi"/>
        </w:rPr>
        <w:t xml:space="preserve">    </w:t>
      </w:r>
      <w:r w:rsidR="00AB1B64" w:rsidRPr="009F4506">
        <w:rPr>
          <w:rFonts w:eastAsiaTheme="minorHAnsi"/>
        </w:rPr>
        <w:t>It has issued and made effective rules and regulations implementing the state’s regulatory authority over pole attachments (including a specific methodology for such regulation which has been made publicly available in the state).</w:t>
      </w:r>
    </w:p>
    <w:p w:rsidR="00AB1B64" w:rsidRDefault="00AB1B64" w:rsidP="00AB1B64">
      <w:pPr>
        <w:spacing w:line="276" w:lineRule="auto"/>
        <w:ind w:left="990" w:right="720" w:hanging="270"/>
        <w:jc w:val="both"/>
        <w:rPr>
          <w:rFonts w:eastAsiaTheme="minorHAnsi"/>
        </w:rPr>
      </w:pPr>
    </w:p>
    <w:p w:rsidR="00173C15" w:rsidRDefault="004B4A3F" w:rsidP="00507C61">
      <w:pPr>
        <w:pStyle w:val="BodyText"/>
      </w:pPr>
      <w:r>
        <w:t>This</w:t>
      </w:r>
      <w:r w:rsidR="006804E1">
        <w:t xml:space="preserve"> r</w:t>
      </w:r>
      <w:r w:rsidR="00F94BD4">
        <w:t>ecommendation address</w:t>
      </w:r>
      <w:r w:rsidR="006804E1">
        <w:t>es</w:t>
      </w:r>
      <w:r w:rsidR="00F94BD4">
        <w:t xml:space="preserve"> the next step in the required process se</w:t>
      </w:r>
      <w:r w:rsidR="00AB1B64">
        <w:t xml:space="preserve">t out in Section 366.04(8), F.S., </w:t>
      </w:r>
      <w:r w:rsidR="00454F09">
        <w:t>which is for the</w:t>
      </w:r>
      <w:r w:rsidR="009C358D">
        <w:t xml:space="preserve"> </w:t>
      </w:r>
      <w:r w:rsidR="00F94BD4">
        <w:t xml:space="preserve">Commission </w:t>
      </w:r>
      <w:r w:rsidR="00454F09">
        <w:t>to</w:t>
      </w:r>
      <w:r w:rsidR="00F94BD4">
        <w:t xml:space="preserve"> provide its certification to the </w:t>
      </w:r>
      <w:r w:rsidR="00454F09">
        <w:t>FCC</w:t>
      </w:r>
      <w:r w:rsidR="00F94BD4">
        <w:t xml:space="preserve"> pursuant to 47 U.S.C. § 224(c)(2). </w:t>
      </w:r>
      <w:bookmarkEnd w:id="11"/>
      <w:r w:rsidR="00F94BD4">
        <w:t>The Commission has jurisdiction under Section 366.04(8), F.S.</w:t>
      </w:r>
    </w:p>
    <w:p w:rsidR="00173C15" w:rsidRDefault="00173C15" w:rsidP="002B2616">
      <w:pPr>
        <w:jc w:val="both"/>
        <w:sectPr w:rsidR="00173C15">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4" w:name="DiscussionOfIssues"/>
      <w:r>
        <w:lastRenderedPageBreak/>
        <w:t>Discussion of Issues</w:t>
      </w:r>
    </w:p>
    <w:bookmarkEnd w:id="14"/>
    <w:p w:rsidR="000077D5" w:rsidRDefault="000077D5">
      <w:pPr>
        <w:pStyle w:val="IssueHeading"/>
        <w:rPr>
          <w:vanish/>
          <w:specVanish/>
        </w:rPr>
      </w:pPr>
      <w:r w:rsidRPr="004C3641">
        <w:t xml:space="preserve">Issue </w:t>
      </w:r>
      <w:fldSimple w:instr=" SEQ Issue \* MERGEFORMAT ">
        <w:r w:rsidR="001852BB">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1852BB">
        <w:rPr>
          <w:noProof/>
        </w:rPr>
        <w:instrText>1</w:instrText>
      </w:r>
      <w:r>
        <w:fldChar w:fldCharType="end"/>
      </w:r>
      <w:r>
        <w:tab/>
        <w:instrText xml:space="preserve">" \l 1 </w:instrText>
      </w:r>
      <w:r>
        <w:fldChar w:fldCharType="end"/>
      </w:r>
      <w:r>
        <w:t> </w:t>
      </w:r>
    </w:p>
    <w:p w:rsidR="000077D5" w:rsidRDefault="000077D5">
      <w:pPr>
        <w:pStyle w:val="BodyText"/>
      </w:pPr>
      <w:r>
        <w:t> </w:t>
      </w:r>
      <w:r w:rsidR="00CB2EA9">
        <w:t xml:space="preserve">Should the Commission provide its certification to the FCC pursuant to 47 U.S.C. § 224(c)(2), as required by </w:t>
      </w:r>
      <w:r w:rsidR="007B4FC0">
        <w:t>Section</w:t>
      </w:r>
      <w:r w:rsidR="00CB2EA9">
        <w:t xml:space="preserve"> 366.04(8)(g), F.S.?</w:t>
      </w:r>
    </w:p>
    <w:p w:rsidR="000077D5" w:rsidRPr="004C3641" w:rsidRDefault="000077D5">
      <w:pPr>
        <w:pStyle w:val="IssueSubsectionHeading"/>
        <w:rPr>
          <w:vanish/>
          <w:specVanish/>
        </w:rPr>
      </w:pPr>
      <w:r w:rsidRPr="004C3641">
        <w:t>Recommendation: </w:t>
      </w:r>
    </w:p>
    <w:p w:rsidR="000077D5" w:rsidRDefault="000077D5">
      <w:pPr>
        <w:pStyle w:val="BodyText"/>
      </w:pPr>
      <w:r>
        <w:t> </w:t>
      </w:r>
      <w:r w:rsidR="00CB2EA9">
        <w:t>Yes</w:t>
      </w:r>
      <w:r w:rsidR="00372007">
        <w:t>.  A</w:t>
      </w:r>
      <w:r w:rsidR="009F4506">
        <w:t>s required by Section 366.04(8)</w:t>
      </w:r>
      <w:r w:rsidR="00CA3101">
        <w:t>(g)</w:t>
      </w:r>
      <w:r w:rsidR="009F4506">
        <w:t xml:space="preserve">, F.S., </w:t>
      </w:r>
      <w:r w:rsidR="00CB2EA9">
        <w:t xml:space="preserve">the Commission should </w:t>
      </w:r>
      <w:r w:rsidR="00AB1B64">
        <w:t>file</w:t>
      </w:r>
      <w:r w:rsidR="00CB2EA9">
        <w:t xml:space="preserve"> its certification</w:t>
      </w:r>
      <w:r w:rsidR="009F4506">
        <w:t xml:space="preserve"> </w:t>
      </w:r>
      <w:r w:rsidR="00AB1B64">
        <w:t>with</w:t>
      </w:r>
      <w:r w:rsidR="00CB2EA9">
        <w:t xml:space="preserve"> the </w:t>
      </w:r>
      <w:r w:rsidR="001852BB">
        <w:t>FCC</w:t>
      </w:r>
      <w:r w:rsidR="00CB2EA9">
        <w:t xml:space="preserve"> </w:t>
      </w:r>
      <w:r w:rsidR="009F4506">
        <w:t>as set forth in Attachment A</w:t>
      </w:r>
      <w:r w:rsidR="006804E1">
        <w:t xml:space="preserve"> once the rule becomes effective on June 8, 2022</w:t>
      </w:r>
      <w:r w:rsidR="00D65A42">
        <w:t>.</w:t>
      </w:r>
      <w:r w:rsidR="002B2616">
        <w:t xml:space="preserve"> (Cowdery, </w:t>
      </w:r>
      <w:r w:rsidR="00F1695E">
        <w:t>Hinton</w:t>
      </w:r>
      <w:r w:rsidR="002B2616">
        <w:t>)</w:t>
      </w:r>
    </w:p>
    <w:p w:rsidR="000077D5" w:rsidRPr="004C3641" w:rsidRDefault="000077D5">
      <w:pPr>
        <w:pStyle w:val="IssueSubsectionHeading"/>
        <w:rPr>
          <w:vanish/>
          <w:specVanish/>
        </w:rPr>
      </w:pPr>
      <w:r w:rsidRPr="004C3641">
        <w:t>Staff Analysis: </w:t>
      </w:r>
    </w:p>
    <w:p w:rsidR="000077D5" w:rsidRDefault="000077D5">
      <w:pPr>
        <w:pStyle w:val="BodyText"/>
      </w:pPr>
      <w:r>
        <w:t> </w:t>
      </w:r>
      <w:r w:rsidR="00041C07">
        <w:t>As described in the Case Background, under</w:t>
      </w:r>
      <w:r w:rsidR="006804E1">
        <w:t xml:space="preserve"> </w:t>
      </w:r>
      <w:r w:rsidR="00372007">
        <w:t>47 U.S.C. § 224(c)(2)</w:t>
      </w:r>
      <w:r w:rsidR="00041C07">
        <w:t>, the Commission must certify to two things, which are:</w:t>
      </w:r>
      <w:r w:rsidR="00372007">
        <w:t xml:space="preserve"> </w:t>
      </w:r>
    </w:p>
    <w:p w:rsidR="00041C07" w:rsidRDefault="00041C07" w:rsidP="00041C07">
      <w:pPr>
        <w:pStyle w:val="BodyText"/>
        <w:ind w:left="720" w:right="720"/>
      </w:pPr>
      <w:r>
        <w:t>(A) it regulates such rates, terms, and conditions</w:t>
      </w:r>
      <w:r w:rsidR="00DF5FA5">
        <w:t xml:space="preserve"> for pole attachments</w:t>
      </w:r>
      <w:r>
        <w:t>; and</w:t>
      </w:r>
    </w:p>
    <w:p w:rsidR="00041C07" w:rsidRDefault="00041C07" w:rsidP="00570FF5">
      <w:pPr>
        <w:pStyle w:val="BodyText"/>
        <w:ind w:left="720" w:right="720"/>
      </w:pPr>
      <w:r>
        <w:t>(B) in so regulating such rates, terms, and conditions, the State has the authority to consider and does consider the interests of the subscribers of the services offered via such attachments, as well as the interests of the consumers of the utility services.</w:t>
      </w:r>
    </w:p>
    <w:p w:rsidR="004B4A3F" w:rsidRDefault="004B4A3F" w:rsidP="00DF5FA5">
      <w:pPr>
        <w:pStyle w:val="BodyText"/>
      </w:pPr>
      <w:r>
        <w:t>As explained in more detail below, the Commission can and should make its certification to the FCC via the order appended as Attachment A.</w:t>
      </w:r>
    </w:p>
    <w:p w:rsidR="00AB1B64" w:rsidRDefault="00D84CD3" w:rsidP="00DF5FA5">
      <w:pPr>
        <w:pStyle w:val="BodyText"/>
      </w:pPr>
      <w:r>
        <w:t>The plain language of Section 366.04(8)(a), F.S., shows that the Legislature delegated to the Commission the power and duty to “regulate and enforce rates, charges, terms, and conditions for pole attachments,”</w:t>
      </w:r>
      <w:r w:rsidR="002D3AC8">
        <w:t xml:space="preserve"> as</w:t>
      </w:r>
      <w:r>
        <w:t xml:space="preserve"> set forth in</w:t>
      </w:r>
      <w:r w:rsidR="002D3AC8">
        <w:t xml:space="preserve"> 47 U.S.C. § 224(c)(2)(A)</w:t>
      </w:r>
      <w:r>
        <w:t xml:space="preserve"> and directed the Commission</w:t>
      </w:r>
      <w:r w:rsidR="002833AA">
        <w:t>,</w:t>
      </w:r>
      <w:r>
        <w:t xml:space="preserve"> </w:t>
      </w:r>
      <w:r w:rsidR="002D3AC8">
        <w:t>in so regulating</w:t>
      </w:r>
      <w:r w:rsidR="002833AA">
        <w:t>,</w:t>
      </w:r>
      <w:r w:rsidR="002D3AC8">
        <w:t xml:space="preserve"> </w:t>
      </w:r>
      <w:r>
        <w:t>to consider the interests of subscribers and consumers as require</w:t>
      </w:r>
      <w:r w:rsidR="0078339B">
        <w:t>d by 47 U.S.C. § 224(c)(2)(B). T</w:t>
      </w:r>
      <w:r w:rsidR="00A35309">
        <w:t>he Commission regulates rates, terms, and conditions for pole attachments</w:t>
      </w:r>
      <w:r w:rsidR="00781655">
        <w:t xml:space="preserve"> as required by 47 U.S.C. § 224(c)(2)(A)</w:t>
      </w:r>
      <w:r w:rsidR="00DF5FA5">
        <w:t xml:space="preserve">, as further detailed in 47 U.S.C. § 224(c)(3)(A) and </w:t>
      </w:r>
      <w:r w:rsidR="00DF5FA5" w:rsidRPr="00297123">
        <w:t>47 C.F.R. § 1.1405</w:t>
      </w:r>
      <w:r w:rsidR="00DF5FA5">
        <w:t xml:space="preserve">(b)(3), </w:t>
      </w:r>
      <w:r w:rsidR="00A35309">
        <w:t xml:space="preserve">through the requirements of </w:t>
      </w:r>
      <w:r w:rsidR="006F2E59">
        <w:t>Rule 25-18.010</w:t>
      </w:r>
      <w:r w:rsidR="004B4A3F">
        <w:t xml:space="preserve"> </w:t>
      </w:r>
      <w:r w:rsidR="006F2E59">
        <w:t xml:space="preserve">and </w:t>
      </w:r>
      <w:r w:rsidR="00A35309">
        <w:t xml:space="preserve">Section 366.04(8), F.S. </w:t>
      </w:r>
    </w:p>
    <w:p w:rsidR="0078339B" w:rsidRDefault="0078339B" w:rsidP="0078339B">
      <w:pPr>
        <w:pStyle w:val="BodyText"/>
      </w:pPr>
      <w:r>
        <w:t>Rule 25-18.010 implements the State’s regulatory authority over pole attachments by identifying the information that needs to be in a pole attachment complaint and response; explaining how a filing date is set; and establishing the time limits for the Commission to take final action on a complaint. This procedure sets forth a specific methodology for filing a complaint to initiate the complaint resolution process.</w:t>
      </w:r>
      <w:r w:rsidR="00060345" w:rsidRPr="00060345">
        <w:t xml:space="preserve"> </w:t>
      </w:r>
      <w:r w:rsidR="00060345">
        <w:t>As stated in the Case Background, in order for the Commission to be considered to regulate the rates, terms, and conditions for pole attachments, 47 U.S.C. § 224(c)(3)(A) requires the rules implementing the State’s regulatory authority over pole attachments to be “effective</w:t>
      </w:r>
      <w:r w:rsidR="00BB5469">
        <w:t>.</w:t>
      </w:r>
      <w:r w:rsidR="00060345">
        <w:t>” Rule 25-18.010 becomes effective on June 8, 2022.</w:t>
      </w:r>
    </w:p>
    <w:p w:rsidR="002D3AC8" w:rsidRDefault="0011762D" w:rsidP="002D3AC8">
      <w:pPr>
        <w:pStyle w:val="BodyText"/>
      </w:pPr>
      <w:r>
        <w:t>Section 366.04(8), F.S.</w:t>
      </w:r>
      <w:r w:rsidR="006F2E59">
        <w:t>, sets forth requirements that the Commission must follow concerning resolving pole attachment complaints.</w:t>
      </w:r>
      <w:r>
        <w:t xml:space="preserve"> Among other requirements,</w:t>
      </w:r>
      <w:r w:rsidR="00DF5FA5">
        <w:t xml:space="preserve"> Section 366.04(8)(d), F.S., </w:t>
      </w:r>
      <w:r>
        <w:t xml:space="preserve">provides that a party’s right to nondiscriminatory access to a pole is identical to the rights afforded under 47 U.S.C. </w:t>
      </w:r>
      <w:r w:rsidR="00303194">
        <w:t>§</w:t>
      </w:r>
      <w:r>
        <w:t xml:space="preserve"> 224(f)(1). </w:t>
      </w:r>
      <w:r w:rsidR="00874887">
        <w:t xml:space="preserve">Section 366.04(8)(e), F.S., specifies </w:t>
      </w:r>
      <w:r w:rsidR="00F03356">
        <w:t xml:space="preserve">what </w:t>
      </w:r>
      <w:r w:rsidR="00FA3B8C">
        <w:t xml:space="preserve">information </w:t>
      </w:r>
      <w:r w:rsidR="00F03356">
        <w:t xml:space="preserve">the Commission must </w:t>
      </w:r>
      <w:r w:rsidR="00FA3B8C">
        <w:t xml:space="preserve">consider and </w:t>
      </w:r>
      <w:r w:rsidR="00F03356">
        <w:t>apply in determining</w:t>
      </w:r>
      <w:r w:rsidR="00874887">
        <w:t xml:space="preserve"> just and reasonable pole attachment rates, terms, and conditions. </w:t>
      </w:r>
      <w:r w:rsidR="00021DB1">
        <w:t>Secti</w:t>
      </w:r>
      <w:r w:rsidR="007B4FC0">
        <w:t>on 366.04(8)(</w:t>
      </w:r>
      <w:r w:rsidR="00874887">
        <w:t>f</w:t>
      </w:r>
      <w:r w:rsidR="007B4FC0">
        <w:t>)</w:t>
      </w:r>
      <w:r w:rsidR="00874887">
        <w:t>, F.S., requires the</w:t>
      </w:r>
      <w:r w:rsidR="002D3AC8">
        <w:t xml:space="preserve"> Commission in the administration and implementation of subsection (8) t</w:t>
      </w:r>
      <w:r w:rsidR="00781655">
        <w:t>o</w:t>
      </w:r>
      <w:r w:rsidR="002D3AC8">
        <w:t xml:space="preserve"> </w:t>
      </w:r>
      <w:r w:rsidR="00874887">
        <w:t xml:space="preserve">follow a specified procedure in </w:t>
      </w:r>
      <w:r w:rsidR="00F03356">
        <w:t xml:space="preserve">conducting </w:t>
      </w:r>
      <w:r w:rsidR="00874887">
        <w:t xml:space="preserve">administrative proceedings to determine pole attachments rates under Section 366.04(8), F.S., </w:t>
      </w:r>
      <w:r w:rsidR="00F03356">
        <w:lastRenderedPageBreak/>
        <w:t>including</w:t>
      </w:r>
      <w:r w:rsidR="00874887">
        <w:t xml:space="preserve"> that the “initial four proceedings are intended to provide </w:t>
      </w:r>
      <w:r w:rsidR="00A35309">
        <w:t>[C]</w:t>
      </w:r>
      <w:r w:rsidR="00874887">
        <w:t xml:space="preserve">ommission precedent on the establishment of pole attachment rates by the </w:t>
      </w:r>
      <w:r w:rsidR="00A35309">
        <w:t>[C]</w:t>
      </w:r>
      <w:r w:rsidR="00874887">
        <w:t>ommission and help guide negotiations toward voluntary pole attachment agreements.</w:t>
      </w:r>
      <w:r w:rsidR="00A35309">
        <w:t>”</w:t>
      </w:r>
      <w:r w:rsidR="00303194">
        <w:t xml:space="preserve"> </w:t>
      </w:r>
      <w:r w:rsidR="00B924ED">
        <w:t>All these requirements and procedures</w:t>
      </w:r>
      <w:r w:rsidR="00781655">
        <w:t xml:space="preserve">, along with Rule 25-18.010, F.A.C., </w:t>
      </w:r>
      <w:r w:rsidR="00B924ED">
        <w:t>constitute a specific methodology</w:t>
      </w:r>
      <w:r w:rsidR="00FA3B8C">
        <w:t xml:space="preserve"> which has been made publically available in </w:t>
      </w:r>
      <w:r w:rsidR="00060345">
        <w:t>Florida</w:t>
      </w:r>
      <w:r w:rsidR="00303194">
        <w:t>.</w:t>
      </w:r>
    </w:p>
    <w:p w:rsidR="006F1F97" w:rsidRDefault="006F1F97" w:rsidP="006F1F97">
      <w:pPr>
        <w:pStyle w:val="First-LevelSubheading"/>
      </w:pPr>
      <w:r>
        <w:t>C</w:t>
      </w:r>
      <w:r w:rsidR="00D65A42">
        <w:t>onclusion</w:t>
      </w:r>
    </w:p>
    <w:p w:rsidR="00D65A42" w:rsidRPr="00D65A42" w:rsidRDefault="00CD2DDB" w:rsidP="00D65A42">
      <w:pPr>
        <w:pStyle w:val="BodyText"/>
      </w:pPr>
      <w:r>
        <w:t>As require</w:t>
      </w:r>
      <w:r w:rsidR="0093476B">
        <w:t>d by Section 366.04(8)(g), F.S.</w:t>
      </w:r>
      <w:r w:rsidR="00B924ED">
        <w:t>, t</w:t>
      </w:r>
      <w:r w:rsidR="00D65A42">
        <w:t xml:space="preserve">he Commission should </w:t>
      </w:r>
      <w:r w:rsidR="00AB1B64">
        <w:t>file</w:t>
      </w:r>
      <w:r w:rsidR="00D65A42">
        <w:t xml:space="preserve"> its certification</w:t>
      </w:r>
      <w:r>
        <w:t xml:space="preserve"> </w:t>
      </w:r>
      <w:r w:rsidR="00D65A42">
        <w:t xml:space="preserve">to the </w:t>
      </w:r>
      <w:r w:rsidR="001852BB">
        <w:t>FCC</w:t>
      </w:r>
      <w:r w:rsidR="00D65A42">
        <w:t xml:space="preserve"> </w:t>
      </w:r>
      <w:r>
        <w:t xml:space="preserve">as set forth in Attachment A </w:t>
      </w:r>
      <w:r w:rsidR="006804E1">
        <w:t>once the rule becomes effective on June 8, 2022</w:t>
      </w:r>
      <w:r w:rsidR="00D65A42">
        <w:t xml:space="preserve">.  </w:t>
      </w:r>
    </w:p>
    <w:p w:rsidR="000077D5" w:rsidRDefault="000077D5">
      <w:pPr>
        <w:pStyle w:val="IssueHeading"/>
        <w:rPr>
          <w:vanish/>
          <w:specVanish/>
        </w:rPr>
      </w:pPr>
      <w:r w:rsidRPr="004C3641">
        <w:rPr>
          <w:b w:val="0"/>
          <w:i w:val="0"/>
        </w:rPr>
        <w:br w:type="page"/>
      </w:r>
      <w:r w:rsidRPr="004C3641">
        <w:lastRenderedPageBreak/>
        <w:t xml:space="preserve">Issue </w:t>
      </w:r>
      <w:fldSimple w:instr=" SEQ Issue \* MERGEFORMAT ">
        <w:r w:rsidR="001852BB">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1852BB">
        <w:rPr>
          <w:noProof/>
        </w:rPr>
        <w:instrText>2</w:instrText>
      </w:r>
      <w:r>
        <w:fldChar w:fldCharType="end"/>
      </w:r>
      <w:r>
        <w:tab/>
        <w:instrText xml:space="preserve">" \l 1 </w:instrText>
      </w:r>
      <w:r>
        <w:fldChar w:fldCharType="end"/>
      </w:r>
      <w:r>
        <w:t> </w:t>
      </w:r>
    </w:p>
    <w:p w:rsidR="000077D5" w:rsidRDefault="000077D5">
      <w:pPr>
        <w:pStyle w:val="BodyText"/>
      </w:pPr>
      <w:r>
        <w:t> Should this docket be closed?</w:t>
      </w:r>
    </w:p>
    <w:p w:rsidR="000077D5" w:rsidRPr="004C3641" w:rsidRDefault="000077D5">
      <w:pPr>
        <w:pStyle w:val="IssueSubsectionHeading"/>
        <w:rPr>
          <w:vanish/>
          <w:specVanish/>
        </w:rPr>
      </w:pPr>
      <w:r w:rsidRPr="004C3641">
        <w:t>Recommendation: </w:t>
      </w:r>
    </w:p>
    <w:p w:rsidR="000077D5" w:rsidRDefault="000077D5">
      <w:pPr>
        <w:pStyle w:val="BodyText"/>
      </w:pPr>
      <w:r>
        <w:t> </w:t>
      </w:r>
      <w:r w:rsidR="00DD6EDC">
        <w:t xml:space="preserve">Yes. </w:t>
      </w:r>
      <w:r w:rsidR="00004E91">
        <w:t>This docket should be closed upon filing</w:t>
      </w:r>
      <w:r w:rsidR="00DD6EDC">
        <w:t xml:space="preserve"> of the </w:t>
      </w:r>
      <w:r w:rsidR="00CD2DDB">
        <w:t>47 U.S.C.</w:t>
      </w:r>
      <w:r w:rsidR="00CD2DDB" w:rsidRPr="002B2616">
        <w:t xml:space="preserve"> </w:t>
      </w:r>
      <w:r w:rsidR="00CD2DDB">
        <w:t>§ 224(c) C</w:t>
      </w:r>
      <w:r w:rsidR="00DD6EDC">
        <w:t>ertification</w:t>
      </w:r>
      <w:r w:rsidR="00CD2DDB">
        <w:t xml:space="preserve"> </w:t>
      </w:r>
      <w:r w:rsidR="00AB1B64">
        <w:t>with</w:t>
      </w:r>
      <w:r w:rsidR="00CD2DDB">
        <w:t xml:space="preserve"> the </w:t>
      </w:r>
      <w:r w:rsidR="00BB5469">
        <w:t>FCC</w:t>
      </w:r>
      <w:r w:rsidR="00DD6EDC">
        <w:t>. (Cowdery)</w:t>
      </w:r>
      <w:r>
        <w:t xml:space="preserve"> </w:t>
      </w:r>
    </w:p>
    <w:p w:rsidR="000077D5" w:rsidRPr="004C3641" w:rsidRDefault="000077D5">
      <w:pPr>
        <w:pStyle w:val="IssueSubsectionHeading"/>
        <w:rPr>
          <w:vanish/>
          <w:specVanish/>
        </w:rPr>
      </w:pPr>
      <w:r w:rsidRPr="004C3641">
        <w:t>Staff Analysis: </w:t>
      </w:r>
    </w:p>
    <w:p w:rsidR="000077D5" w:rsidRDefault="000077D5">
      <w:pPr>
        <w:pStyle w:val="BodyText"/>
      </w:pPr>
      <w:r>
        <w:t> </w:t>
      </w:r>
      <w:r w:rsidR="00004E91">
        <w:t xml:space="preserve">This docket should be closed upon filing </w:t>
      </w:r>
      <w:r w:rsidR="00DD6EDC">
        <w:t xml:space="preserve">of the </w:t>
      </w:r>
      <w:r w:rsidR="00CD2DDB">
        <w:t>47 U.S.C.</w:t>
      </w:r>
      <w:r w:rsidR="00CD2DDB" w:rsidRPr="002B2616">
        <w:t xml:space="preserve"> </w:t>
      </w:r>
      <w:r w:rsidR="00CD2DDB">
        <w:t>§ 224(c) C</w:t>
      </w:r>
      <w:r w:rsidR="00DD6EDC">
        <w:t>ertification</w:t>
      </w:r>
      <w:r w:rsidR="00CD2DDB">
        <w:t xml:space="preserve"> </w:t>
      </w:r>
      <w:r w:rsidR="00AB1B64">
        <w:t>with</w:t>
      </w:r>
      <w:r w:rsidR="00CD2DDB">
        <w:t xml:space="preserve"> the </w:t>
      </w:r>
      <w:r w:rsidR="00BB5469">
        <w:t>FCC</w:t>
      </w:r>
      <w:r w:rsidR="00DD6EDC">
        <w:t>.</w:t>
      </w:r>
    </w:p>
    <w:p w:rsidR="0061420D" w:rsidRDefault="0061420D" w:rsidP="00E275D8">
      <w:pPr>
        <w:pStyle w:val="BodyText"/>
        <w:sectPr w:rsidR="0061420D"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E06484" w:rsidRDefault="00E06484" w:rsidP="00E275D8">
      <w:pPr>
        <w:pStyle w:val="BodyText"/>
      </w:pPr>
    </w:p>
    <w:p w:rsidR="002833AA" w:rsidRPr="002833AA" w:rsidRDefault="002833AA" w:rsidP="0061420D">
      <w:pPr>
        <w:pStyle w:val="OrderHeading"/>
        <w:rPr>
          <w:b/>
          <w:sz w:val="32"/>
          <w:szCs w:val="32"/>
        </w:rPr>
      </w:pPr>
      <w:r>
        <w:rPr>
          <w:b/>
          <w:sz w:val="32"/>
          <w:szCs w:val="32"/>
        </w:rPr>
        <w:t>DRAFT</w:t>
      </w:r>
    </w:p>
    <w:p w:rsidR="002833AA" w:rsidRDefault="002833AA" w:rsidP="0061420D">
      <w:pPr>
        <w:pStyle w:val="OrderHeading"/>
      </w:pPr>
    </w:p>
    <w:p w:rsidR="0061420D" w:rsidRDefault="0061420D" w:rsidP="0061420D">
      <w:pPr>
        <w:pStyle w:val="OrderHeading"/>
      </w:pPr>
      <w:r>
        <w:t>BEFORE THE FLORIDA PUBLIC SERVICE COMMISSION</w:t>
      </w:r>
    </w:p>
    <w:p w:rsidR="0061420D" w:rsidRDefault="0061420D" w:rsidP="0061420D">
      <w:pPr>
        <w:pStyle w:val="OrderBody"/>
      </w:pPr>
    </w:p>
    <w:p w:rsidR="0061420D" w:rsidRDefault="0061420D" w:rsidP="0061420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1420D" w:rsidRPr="00C63FCF" w:rsidTr="007C1CEF">
        <w:trPr>
          <w:trHeight w:val="828"/>
        </w:trPr>
        <w:tc>
          <w:tcPr>
            <w:tcW w:w="4788" w:type="dxa"/>
            <w:tcBorders>
              <w:bottom w:val="single" w:sz="8" w:space="0" w:color="auto"/>
              <w:right w:val="double" w:sz="6" w:space="0" w:color="auto"/>
            </w:tcBorders>
            <w:shd w:val="clear" w:color="auto" w:fill="auto"/>
          </w:tcPr>
          <w:p w:rsidR="0061420D" w:rsidRDefault="0061420D" w:rsidP="007C1CEF">
            <w:pPr>
              <w:pStyle w:val="OrderBody"/>
              <w:tabs>
                <w:tab w:val="center" w:pos="4320"/>
                <w:tab w:val="right" w:pos="8640"/>
              </w:tabs>
              <w:jc w:val="left"/>
            </w:pPr>
            <w:r>
              <w:t xml:space="preserve">In re: </w:t>
            </w:r>
            <w:bookmarkStart w:id="15" w:name="SSInRe"/>
            <w:bookmarkEnd w:id="15"/>
            <w:r>
              <w:t>Proposed adoption of Rule 25-18.010, F.A.C., Pole Attachment Complaints.</w:t>
            </w:r>
          </w:p>
        </w:tc>
        <w:tc>
          <w:tcPr>
            <w:tcW w:w="4788" w:type="dxa"/>
            <w:tcBorders>
              <w:left w:val="double" w:sz="6" w:space="0" w:color="auto"/>
            </w:tcBorders>
            <w:shd w:val="clear" w:color="auto" w:fill="auto"/>
          </w:tcPr>
          <w:p w:rsidR="0061420D" w:rsidRDefault="0061420D" w:rsidP="007C1CEF">
            <w:pPr>
              <w:pStyle w:val="OrderBody"/>
            </w:pPr>
            <w:r>
              <w:t xml:space="preserve">DOCKET NO. </w:t>
            </w:r>
            <w:bookmarkStart w:id="16" w:name="SSDocketNo"/>
            <w:bookmarkEnd w:id="16"/>
            <w:r>
              <w:t>20210137-PU</w:t>
            </w:r>
          </w:p>
          <w:p w:rsidR="0061420D" w:rsidRDefault="0061420D" w:rsidP="007C1CEF">
            <w:pPr>
              <w:pStyle w:val="OrderBody"/>
              <w:tabs>
                <w:tab w:val="center" w:pos="4320"/>
                <w:tab w:val="right" w:pos="8640"/>
              </w:tabs>
              <w:jc w:val="left"/>
            </w:pPr>
            <w:r>
              <w:t xml:space="preserve">ORDER NO. </w:t>
            </w:r>
            <w:bookmarkStart w:id="17" w:name="SSOrderNo"/>
            <w:bookmarkEnd w:id="17"/>
          </w:p>
          <w:p w:rsidR="0061420D" w:rsidRDefault="0061420D" w:rsidP="007C1CEF">
            <w:pPr>
              <w:pStyle w:val="OrderBody"/>
              <w:tabs>
                <w:tab w:val="center" w:pos="4320"/>
                <w:tab w:val="right" w:pos="8640"/>
              </w:tabs>
              <w:jc w:val="left"/>
            </w:pPr>
            <w:r>
              <w:t xml:space="preserve">ISSUED: </w:t>
            </w:r>
            <w:bookmarkStart w:id="18" w:name="SSIssued"/>
            <w:bookmarkEnd w:id="18"/>
          </w:p>
        </w:tc>
      </w:tr>
    </w:tbl>
    <w:p w:rsidR="0061420D" w:rsidRDefault="0061420D" w:rsidP="0061420D"/>
    <w:p w:rsidR="0061420D" w:rsidRDefault="0061420D" w:rsidP="0061420D"/>
    <w:p w:rsidR="0061420D" w:rsidRDefault="0061420D" w:rsidP="0061420D">
      <w:pPr>
        <w:ind w:firstLine="720"/>
        <w:jc w:val="both"/>
      </w:pPr>
      <w:bookmarkStart w:id="19" w:name="Commissioners"/>
      <w:bookmarkEnd w:id="19"/>
      <w:r>
        <w:t>The following Commissioners participated in the disposition of this matter:</w:t>
      </w:r>
    </w:p>
    <w:p w:rsidR="0061420D" w:rsidRDefault="0061420D" w:rsidP="0061420D"/>
    <w:p w:rsidR="0061420D" w:rsidRDefault="0061420D" w:rsidP="0061420D">
      <w:pPr>
        <w:jc w:val="center"/>
      </w:pPr>
      <w:r>
        <w:t>ANDREW GILES FAY, Chairman</w:t>
      </w:r>
    </w:p>
    <w:p w:rsidR="0061420D" w:rsidRDefault="0061420D" w:rsidP="0061420D">
      <w:pPr>
        <w:jc w:val="center"/>
      </w:pPr>
      <w:r>
        <w:t>ART GRAHAM</w:t>
      </w:r>
    </w:p>
    <w:p w:rsidR="0061420D" w:rsidRDefault="0061420D" w:rsidP="0061420D">
      <w:pPr>
        <w:jc w:val="center"/>
      </w:pPr>
      <w:r>
        <w:t>GARY F. CLARK</w:t>
      </w:r>
    </w:p>
    <w:p w:rsidR="0061420D" w:rsidRDefault="0061420D" w:rsidP="0061420D">
      <w:pPr>
        <w:jc w:val="center"/>
      </w:pPr>
      <w:r>
        <w:t>MIKE LA ROSA</w:t>
      </w:r>
    </w:p>
    <w:p w:rsidR="0061420D" w:rsidRPr="005F2751" w:rsidRDefault="0061420D" w:rsidP="0061420D">
      <w:pPr>
        <w:jc w:val="center"/>
      </w:pPr>
      <w:r w:rsidRPr="005F2751">
        <w:rPr>
          <w:lang w:val="en"/>
        </w:rPr>
        <w:t>GABRIELLA PASSIDOMO</w:t>
      </w:r>
    </w:p>
    <w:p w:rsidR="0061420D" w:rsidRDefault="0061420D" w:rsidP="0061420D"/>
    <w:p w:rsidR="0061420D" w:rsidRDefault="0061420D" w:rsidP="0061420D"/>
    <w:p w:rsidR="0061420D" w:rsidRDefault="0061420D" w:rsidP="0061420D">
      <w:pPr>
        <w:pStyle w:val="OrderBody"/>
      </w:pPr>
    </w:p>
    <w:p w:rsidR="0061420D" w:rsidRDefault="0061420D" w:rsidP="0061420D">
      <w:pPr>
        <w:pStyle w:val="CenterUnderline"/>
      </w:pPr>
      <w:bookmarkStart w:id="20" w:name="OrderTitle"/>
      <w:r>
        <w:t xml:space="preserve"> 47 U.S.C. §224(c) CERTIFICATION TO THE </w:t>
      </w:r>
    </w:p>
    <w:p w:rsidR="0061420D" w:rsidRDefault="0061420D" w:rsidP="0061420D">
      <w:pPr>
        <w:pStyle w:val="CenterUnderline"/>
      </w:pPr>
      <w:r>
        <w:t xml:space="preserve">FEDERAL COMMUNICATIONS COMMISSION </w:t>
      </w:r>
      <w:bookmarkEnd w:id="20"/>
    </w:p>
    <w:p w:rsidR="0061420D" w:rsidRDefault="0061420D" w:rsidP="0061420D">
      <w:pPr>
        <w:pStyle w:val="CenterUnderline"/>
      </w:pPr>
    </w:p>
    <w:p w:rsidR="0061420D" w:rsidRDefault="0061420D" w:rsidP="0061420D">
      <w:pPr>
        <w:pStyle w:val="OrderBody"/>
      </w:pPr>
      <w:r>
        <w:t>BY THE COMMISSION:</w:t>
      </w:r>
    </w:p>
    <w:p w:rsidR="0061420D" w:rsidRDefault="0061420D" w:rsidP="0061420D">
      <w:pPr>
        <w:pStyle w:val="OrderBody"/>
      </w:pPr>
    </w:p>
    <w:p w:rsidR="0061420D" w:rsidRDefault="0061420D" w:rsidP="0061420D">
      <w:pPr>
        <w:pStyle w:val="OrderBody"/>
      </w:pPr>
      <w:bookmarkStart w:id="21" w:name="OrderText"/>
      <w:bookmarkEnd w:id="21"/>
      <w:r>
        <w:t>The Florida Public Service Commission hereby certifies to the Federal Communications Commission pursuant to 47 U.S.C. § 224(c) that the Florida Public Service Commission as an agency of the State of Florida and as authorized by Section 366.04(8), Florida Statutes</w:t>
      </w:r>
      <w:r w:rsidR="00360054">
        <w:t xml:space="preserve"> (2021)</w:t>
      </w:r>
      <w:r>
        <w:t>:</w:t>
      </w:r>
    </w:p>
    <w:p w:rsidR="0061420D" w:rsidRDefault="0061420D" w:rsidP="0061420D">
      <w:pPr>
        <w:pStyle w:val="OrderBody"/>
      </w:pPr>
    </w:p>
    <w:p w:rsidR="0061420D" w:rsidRDefault="0061420D" w:rsidP="0061420D">
      <w:pPr>
        <w:pStyle w:val="OrderBody"/>
        <w:numPr>
          <w:ilvl w:val="0"/>
          <w:numId w:val="15"/>
        </w:numPr>
      </w:pPr>
      <w:r>
        <w:t>Regulates the rates, terms, and conditions for pole attachments;</w:t>
      </w:r>
    </w:p>
    <w:p w:rsidR="0061420D" w:rsidRDefault="0061420D" w:rsidP="0061420D">
      <w:pPr>
        <w:pStyle w:val="OrderBody"/>
      </w:pPr>
    </w:p>
    <w:p w:rsidR="0061420D" w:rsidRDefault="0061420D" w:rsidP="0061420D">
      <w:pPr>
        <w:pStyle w:val="OrderBody"/>
        <w:numPr>
          <w:ilvl w:val="0"/>
          <w:numId w:val="15"/>
        </w:numPr>
      </w:pPr>
      <w:r>
        <w:t>In so regulating has the authority to consider and does consider the interests of the subscribers of the services offered via such attachments, as well as the interests of the consumers of the utility services; and</w:t>
      </w:r>
    </w:p>
    <w:p w:rsidR="0061420D" w:rsidRDefault="0061420D" w:rsidP="0061420D">
      <w:pPr>
        <w:pStyle w:val="ListParagraph"/>
      </w:pPr>
    </w:p>
    <w:p w:rsidR="0061420D" w:rsidRDefault="0061420D" w:rsidP="0061420D">
      <w:pPr>
        <w:pStyle w:val="OrderBody"/>
        <w:numPr>
          <w:ilvl w:val="0"/>
          <w:numId w:val="15"/>
        </w:numPr>
      </w:pPr>
      <w:r>
        <w:t>Has issued and made effective rules and regulations implementing the State of Florida’s regulatory authority over pole attachments (including a specific methodology for such regulation which has been made publicly available in the state).</w:t>
      </w:r>
    </w:p>
    <w:p w:rsidR="0061420D" w:rsidRDefault="0061420D" w:rsidP="0061420D">
      <w:r>
        <w:br w:type="page"/>
      </w:r>
    </w:p>
    <w:p w:rsidR="0061420D" w:rsidRDefault="0061420D" w:rsidP="0061420D">
      <w:pPr>
        <w:keepNext/>
        <w:keepLines/>
        <w:jc w:val="both"/>
      </w:pPr>
      <w:r>
        <w:lastRenderedPageBreak/>
        <w:tab/>
        <w:t xml:space="preserve">By ORDER of the Florida Public Service Commission this </w:t>
      </w:r>
      <w:bookmarkStart w:id="22" w:name="replaceDate"/>
      <w:bookmarkEnd w:id="22"/>
      <w:r>
        <w:rPr>
          <w:u w:val="single"/>
        </w:rPr>
        <w:t>          </w:t>
      </w:r>
      <w:r>
        <w:t xml:space="preserve"> day of </w:t>
      </w:r>
      <w:r>
        <w:rPr>
          <w:u w:val="single"/>
        </w:rPr>
        <w:t>                              </w:t>
      </w:r>
      <w:r>
        <w:t xml:space="preserve">, </w:t>
      </w:r>
      <w:r>
        <w:rPr>
          <w:u w:val="single"/>
        </w:rPr>
        <w:t>                    </w:t>
      </w:r>
      <w:r>
        <w:t>.</w:t>
      </w:r>
    </w:p>
    <w:p w:rsidR="0061420D" w:rsidRDefault="0061420D" w:rsidP="0061420D">
      <w:pPr>
        <w:keepNext/>
        <w:keepLines/>
        <w:jc w:val="both"/>
      </w:pPr>
    </w:p>
    <w:p w:rsidR="0061420D" w:rsidRDefault="0061420D" w:rsidP="0061420D">
      <w:pPr>
        <w:keepNext/>
        <w:keepLines/>
        <w:jc w:val="both"/>
      </w:pPr>
    </w:p>
    <w:p w:rsidR="0061420D" w:rsidRDefault="0061420D" w:rsidP="0061420D">
      <w:pPr>
        <w:keepNext/>
        <w:keepLines/>
        <w:jc w:val="both"/>
      </w:pPr>
    </w:p>
    <w:p w:rsidR="0061420D" w:rsidRDefault="0061420D" w:rsidP="0061420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1420D" w:rsidTr="007C1CEF">
        <w:tc>
          <w:tcPr>
            <w:tcW w:w="720" w:type="dxa"/>
            <w:shd w:val="clear" w:color="auto" w:fill="auto"/>
          </w:tcPr>
          <w:p w:rsidR="0061420D" w:rsidRDefault="0061420D" w:rsidP="007C1CEF">
            <w:pPr>
              <w:keepNext/>
              <w:keepLines/>
              <w:jc w:val="both"/>
            </w:pPr>
            <w:bookmarkStart w:id="23" w:name="bkmrkSignature" w:colFirst="0" w:colLast="0"/>
          </w:p>
        </w:tc>
        <w:tc>
          <w:tcPr>
            <w:tcW w:w="4320" w:type="dxa"/>
            <w:tcBorders>
              <w:bottom w:val="single" w:sz="4" w:space="0" w:color="auto"/>
            </w:tcBorders>
            <w:shd w:val="clear" w:color="auto" w:fill="auto"/>
          </w:tcPr>
          <w:p w:rsidR="0061420D" w:rsidRDefault="0061420D" w:rsidP="007C1CEF">
            <w:pPr>
              <w:keepNext/>
              <w:keepLines/>
              <w:jc w:val="both"/>
            </w:pPr>
          </w:p>
        </w:tc>
      </w:tr>
      <w:bookmarkEnd w:id="23"/>
      <w:tr w:rsidR="0061420D" w:rsidTr="007C1CEF">
        <w:tc>
          <w:tcPr>
            <w:tcW w:w="720" w:type="dxa"/>
            <w:shd w:val="clear" w:color="auto" w:fill="auto"/>
          </w:tcPr>
          <w:p w:rsidR="0061420D" w:rsidRDefault="0061420D" w:rsidP="007C1CEF">
            <w:pPr>
              <w:keepNext/>
              <w:keepLines/>
              <w:jc w:val="both"/>
            </w:pPr>
          </w:p>
        </w:tc>
        <w:tc>
          <w:tcPr>
            <w:tcW w:w="4320" w:type="dxa"/>
            <w:tcBorders>
              <w:top w:val="single" w:sz="4" w:space="0" w:color="auto"/>
            </w:tcBorders>
            <w:shd w:val="clear" w:color="auto" w:fill="auto"/>
          </w:tcPr>
          <w:p w:rsidR="0061420D" w:rsidRDefault="0061420D" w:rsidP="007C1CEF">
            <w:pPr>
              <w:keepNext/>
              <w:keepLines/>
              <w:jc w:val="both"/>
            </w:pPr>
            <w:r>
              <w:t>ADAM J. TEITZMAN</w:t>
            </w:r>
          </w:p>
          <w:p w:rsidR="0061420D" w:rsidRDefault="0061420D" w:rsidP="007C1CEF">
            <w:pPr>
              <w:keepNext/>
              <w:keepLines/>
              <w:jc w:val="both"/>
            </w:pPr>
            <w:r>
              <w:t>Commission Clerk</w:t>
            </w:r>
          </w:p>
        </w:tc>
      </w:tr>
    </w:tbl>
    <w:p w:rsidR="0061420D" w:rsidRDefault="0061420D" w:rsidP="0061420D">
      <w:pPr>
        <w:pStyle w:val="OrderSigInfo"/>
        <w:keepNext/>
        <w:keepLines/>
      </w:pPr>
      <w:r>
        <w:t>Florida Public Service Commission</w:t>
      </w:r>
    </w:p>
    <w:p w:rsidR="0061420D" w:rsidRDefault="0061420D" w:rsidP="0061420D">
      <w:pPr>
        <w:pStyle w:val="OrderSigInfo"/>
        <w:keepNext/>
        <w:keepLines/>
      </w:pPr>
      <w:r>
        <w:t>2540 Shumard Oak Boulevard</w:t>
      </w:r>
    </w:p>
    <w:p w:rsidR="0061420D" w:rsidRDefault="0061420D" w:rsidP="0061420D">
      <w:pPr>
        <w:pStyle w:val="OrderSigInfo"/>
        <w:keepNext/>
        <w:keepLines/>
      </w:pPr>
      <w:r>
        <w:t>Tallahassee, Florida 32399</w:t>
      </w:r>
    </w:p>
    <w:p w:rsidR="0061420D" w:rsidRDefault="0061420D" w:rsidP="0061420D">
      <w:pPr>
        <w:pStyle w:val="OrderSigInfo"/>
        <w:keepNext/>
        <w:keepLines/>
      </w:pPr>
      <w:r>
        <w:t>(850) 413</w:t>
      </w:r>
      <w:r>
        <w:noBreakHyphen/>
        <w:t>6770</w:t>
      </w:r>
    </w:p>
    <w:p w:rsidR="0061420D" w:rsidRDefault="0061420D" w:rsidP="0061420D">
      <w:pPr>
        <w:pStyle w:val="OrderSigInfo"/>
        <w:keepNext/>
        <w:keepLines/>
      </w:pPr>
      <w:r>
        <w:t>www.floridapsc.com</w:t>
      </w:r>
    </w:p>
    <w:p w:rsidR="0061420D" w:rsidRDefault="0061420D" w:rsidP="0061420D">
      <w:pPr>
        <w:pStyle w:val="OrderSigInfo"/>
        <w:keepNext/>
        <w:keepLines/>
      </w:pPr>
    </w:p>
    <w:p w:rsidR="0061420D" w:rsidRDefault="0061420D" w:rsidP="0061420D">
      <w:pPr>
        <w:pStyle w:val="OrderSigInfo"/>
        <w:keepNext/>
        <w:keepLines/>
      </w:pPr>
      <w:r>
        <w:t>Copies furnished:  A copy of this document is provided to the parties of record at the time of issuance and, if applicable, interested persons.</w:t>
      </w:r>
    </w:p>
    <w:p w:rsidR="0061420D" w:rsidRDefault="0061420D" w:rsidP="0061420D">
      <w:pPr>
        <w:pStyle w:val="OrderBody"/>
        <w:keepNext/>
        <w:keepLines/>
      </w:pPr>
    </w:p>
    <w:p w:rsidR="0061420D" w:rsidRDefault="0061420D" w:rsidP="0061420D">
      <w:pPr>
        <w:keepNext/>
        <w:keepLines/>
        <w:jc w:val="both"/>
      </w:pPr>
    </w:p>
    <w:p w:rsidR="0061420D" w:rsidRDefault="0061420D" w:rsidP="0061420D">
      <w:pPr>
        <w:keepNext/>
        <w:keepLines/>
        <w:jc w:val="both"/>
      </w:pPr>
      <w:r>
        <w:t>KGWC</w:t>
      </w:r>
    </w:p>
    <w:p w:rsidR="0061420D" w:rsidRDefault="0061420D" w:rsidP="0061420D">
      <w:pPr>
        <w:jc w:val="both"/>
      </w:pPr>
    </w:p>
    <w:p w:rsidR="0061420D" w:rsidRDefault="0061420D" w:rsidP="0061420D">
      <w:pPr>
        <w:jc w:val="both"/>
      </w:pPr>
    </w:p>
    <w:p w:rsidR="0061420D" w:rsidRDefault="0061420D" w:rsidP="0061420D">
      <w:pPr>
        <w:jc w:val="both"/>
      </w:pPr>
    </w:p>
    <w:p w:rsidR="0061420D" w:rsidRDefault="0061420D" w:rsidP="0061420D">
      <w:pPr>
        <w:jc w:val="both"/>
      </w:pPr>
    </w:p>
    <w:p w:rsidR="0061420D" w:rsidRDefault="0061420D" w:rsidP="00E275D8">
      <w:pPr>
        <w:pStyle w:val="BodyText"/>
      </w:pPr>
    </w:p>
    <w:sectPr w:rsidR="0061420D" w:rsidSect="0068481F">
      <w:headerReference w:type="defaul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7D5" w:rsidRDefault="000077D5">
      <w:r>
        <w:separator/>
      </w:r>
    </w:p>
  </w:endnote>
  <w:endnote w:type="continuationSeparator" w:id="0">
    <w:p w:rsidR="000077D5" w:rsidRDefault="00007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91542">
      <w:rPr>
        <w:rStyle w:val="PageNumber"/>
        <w:noProof/>
      </w:rPr>
      <w:t>7</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7D5" w:rsidRDefault="000077D5">
      <w:r>
        <w:separator/>
      </w:r>
    </w:p>
  </w:footnote>
  <w:footnote w:type="continuationSeparator" w:id="0">
    <w:p w:rsidR="000077D5" w:rsidRDefault="000077D5">
      <w:r>
        <w:continuationSeparator/>
      </w:r>
    </w:p>
  </w:footnote>
  <w:footnote w:id="1">
    <w:p w:rsidR="004B4A3F" w:rsidRDefault="004B4A3F" w:rsidP="004B4A3F">
      <w:pPr>
        <w:jc w:val="both"/>
      </w:pPr>
      <w:r w:rsidRPr="005B775B">
        <w:rPr>
          <w:rStyle w:val="FootnoteReference"/>
          <w:sz w:val="20"/>
          <w:szCs w:val="20"/>
        </w:rPr>
        <w:footnoteRef/>
      </w:r>
      <w:r w:rsidRPr="005B775B">
        <w:rPr>
          <w:sz w:val="20"/>
          <w:szCs w:val="20"/>
        </w:rPr>
        <w:t xml:space="preserve"> A rule is </w:t>
      </w:r>
      <w:r w:rsidRPr="005B775B">
        <w:rPr>
          <w:i/>
          <w:sz w:val="20"/>
          <w:szCs w:val="20"/>
        </w:rPr>
        <w:t>each</w:t>
      </w:r>
      <w:r w:rsidRPr="005B775B">
        <w:rPr>
          <w:sz w:val="20"/>
          <w:szCs w:val="20"/>
        </w:rPr>
        <w:t xml:space="preserve"> agency statement of general applicability that describes a procedure or practice. § 120.52(16). Thus, Rule </w:t>
      </w:r>
      <w:r>
        <w:rPr>
          <w:sz w:val="20"/>
          <w:szCs w:val="20"/>
        </w:rPr>
        <w:t xml:space="preserve">25-18.010, F.A.C., </w:t>
      </w:r>
      <w:r w:rsidRPr="005B775B">
        <w:rPr>
          <w:sz w:val="20"/>
          <w:szCs w:val="20"/>
        </w:rPr>
        <w:t>is a collection of sub-units, containing a number individual rules and regulations.</w:t>
      </w:r>
    </w:p>
  </w:footnote>
  <w:footnote w:id="2">
    <w:p w:rsidR="00AB1B64" w:rsidRDefault="00AB1B64" w:rsidP="00AB1B64">
      <w:pPr>
        <w:pStyle w:val="FootnoteText"/>
      </w:pPr>
      <w:r>
        <w:rPr>
          <w:rStyle w:val="FootnoteReference"/>
        </w:rPr>
        <w:footnoteRef/>
      </w:r>
      <w:r w:rsidRPr="004B4A3F">
        <w:rPr>
          <w:i/>
        </w:rPr>
        <w:t xml:space="preserve"> </w:t>
      </w:r>
      <w:r w:rsidR="004B4A3F" w:rsidRPr="004B4A3F">
        <w:rPr>
          <w:i/>
        </w:rPr>
        <w:t>See</w:t>
      </w:r>
      <w:r>
        <w:t xml:space="preserve"> Section 120.54</w:t>
      </w:r>
      <w:r w:rsidR="000355B5">
        <w:t>(3)</w:t>
      </w:r>
      <w:r>
        <w:t xml:space="preserve">(e)6., F.S.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DA3" w:rsidRDefault="00813DA3" w:rsidP="00813DA3">
    <w:pPr>
      <w:pStyle w:val="Header"/>
      <w:tabs>
        <w:tab w:val="clear" w:pos="4320"/>
        <w:tab w:val="clear" w:pos="8640"/>
        <w:tab w:val="right" w:pos="9360"/>
      </w:tabs>
    </w:pPr>
    <w:bookmarkStart w:id="12" w:name="DocketLabel"/>
    <w:r>
      <w:t>Docket No.</w:t>
    </w:r>
    <w:bookmarkEnd w:id="12"/>
    <w:r>
      <w:t xml:space="preserve"> </w:t>
    </w:r>
    <w:bookmarkStart w:id="13" w:name="DocketList"/>
    <w:r>
      <w:t>20210137-PU</w:t>
    </w:r>
    <w:bookmarkEnd w:id="13"/>
  </w:p>
  <w:p w:rsidR="00813DA3" w:rsidRDefault="00813DA3" w:rsidP="00813DA3">
    <w:pPr>
      <w:pStyle w:val="Header"/>
    </w:pPr>
    <w:r>
      <w:t xml:space="preserve">Date: </w:t>
    </w:r>
    <w:fldSimple w:instr=" REF FilingDate ">
      <w:r w:rsidR="001852BB">
        <w:t>May 25, 2022</w:t>
      </w:r>
    </w:fldSimple>
  </w:p>
  <w:p w:rsidR="00BC402E" w:rsidRPr="00813DA3" w:rsidRDefault="00BC402E" w:rsidP="00813D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DA3" w:rsidRDefault="00813DA3" w:rsidP="00813DA3">
    <w:pPr>
      <w:pStyle w:val="Header"/>
      <w:tabs>
        <w:tab w:val="clear" w:pos="4320"/>
        <w:tab w:val="clear" w:pos="8640"/>
        <w:tab w:val="right" w:pos="9360"/>
      </w:tabs>
    </w:pPr>
    <w:r>
      <w:fldChar w:fldCharType="begin"/>
    </w:r>
    <w:r>
      <w:instrText xml:space="preserve"> REF DocketLabel</w:instrText>
    </w:r>
    <w:r>
      <w:fldChar w:fldCharType="separate"/>
    </w:r>
    <w:r w:rsidR="001852BB">
      <w:t>Docket No.</w:t>
    </w:r>
    <w:r>
      <w:fldChar w:fldCharType="end"/>
    </w:r>
    <w:r>
      <w:t xml:space="preserve"> </w:t>
    </w:r>
    <w:r>
      <w:fldChar w:fldCharType="begin"/>
    </w:r>
    <w:r>
      <w:instrText xml:space="preserve"> REF DocketList</w:instrText>
    </w:r>
    <w:r>
      <w:fldChar w:fldCharType="separate"/>
    </w:r>
    <w:r w:rsidR="001852BB">
      <w:t>20210137-PU</w:t>
    </w:r>
    <w:r>
      <w:fldChar w:fldCharType="end"/>
    </w:r>
    <w:r>
      <w:tab/>
      <w:t xml:space="preserve">Issue </w:t>
    </w:r>
    <w:fldSimple w:instr=" Seq Issue \c \* Arabic ">
      <w:r w:rsidR="00891542">
        <w:rPr>
          <w:noProof/>
        </w:rPr>
        <w:t>2</w:t>
      </w:r>
    </w:fldSimple>
  </w:p>
  <w:p w:rsidR="00813DA3" w:rsidRDefault="00813DA3" w:rsidP="00813DA3">
    <w:pPr>
      <w:pStyle w:val="Header"/>
    </w:pPr>
    <w:r>
      <w:t xml:space="preserve">Date: </w:t>
    </w:r>
    <w:fldSimple w:instr=" REF FilingDate ">
      <w:r w:rsidR="001852BB">
        <w:t>May 25, 2022</w:t>
      </w:r>
    </w:fldSimple>
  </w:p>
  <w:p w:rsidR="00BC402E" w:rsidRPr="00813DA3" w:rsidRDefault="00BC402E" w:rsidP="00813D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20D" w:rsidRDefault="0061420D" w:rsidP="00813DA3">
    <w:pPr>
      <w:pStyle w:val="Header"/>
      <w:tabs>
        <w:tab w:val="clear" w:pos="4320"/>
        <w:tab w:val="clear" w:pos="8640"/>
        <w:tab w:val="right" w:pos="9360"/>
      </w:tabs>
    </w:pPr>
    <w:r>
      <w:fldChar w:fldCharType="begin"/>
    </w:r>
    <w:r>
      <w:instrText xml:space="preserve"> REF DocketLabel</w:instrText>
    </w:r>
    <w:r>
      <w:fldChar w:fldCharType="separate"/>
    </w:r>
    <w:r w:rsidR="001852BB">
      <w:t>Docket No.</w:t>
    </w:r>
    <w:r>
      <w:fldChar w:fldCharType="end"/>
    </w:r>
    <w:r>
      <w:t xml:space="preserve"> </w:t>
    </w:r>
    <w:r>
      <w:fldChar w:fldCharType="begin"/>
    </w:r>
    <w:r>
      <w:instrText xml:space="preserve"> REF DocketList</w:instrText>
    </w:r>
    <w:r>
      <w:fldChar w:fldCharType="separate"/>
    </w:r>
    <w:r w:rsidR="001852BB">
      <w:t>20210137-PU</w:t>
    </w:r>
    <w:r>
      <w:fldChar w:fldCharType="end"/>
    </w:r>
    <w:r>
      <w:tab/>
      <w:t>ATTACHMENT A</w:t>
    </w:r>
  </w:p>
  <w:p w:rsidR="0061420D" w:rsidRDefault="0061420D" w:rsidP="00813DA3">
    <w:pPr>
      <w:pStyle w:val="Header"/>
    </w:pPr>
    <w:r>
      <w:t xml:space="preserve">Date: </w:t>
    </w:r>
    <w:r w:rsidR="000A3947">
      <w:fldChar w:fldCharType="begin"/>
    </w:r>
    <w:r w:rsidR="000A3947">
      <w:instrText xml:space="preserve"> REF FilingDate </w:instrText>
    </w:r>
    <w:r w:rsidR="000A3947">
      <w:fldChar w:fldCharType="separate"/>
    </w:r>
    <w:r w:rsidR="001852BB">
      <w:t>May 25, 2022</w:t>
    </w:r>
    <w:r w:rsidR="000A3947">
      <w:fldChar w:fldCharType="end"/>
    </w:r>
  </w:p>
  <w:p w:rsidR="0061420D" w:rsidRPr="00813DA3" w:rsidRDefault="0061420D" w:rsidP="00813D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90B10"/>
    <w:multiLevelType w:val="hybridMultilevel"/>
    <w:tmpl w:val="04E6233C"/>
    <w:lvl w:ilvl="0" w:tplc="7F4CF934">
      <w:start w:val="1"/>
      <w:numFmt w:val="lowerRoman"/>
      <w:lvlText w:val="(%1)"/>
      <w:lvlJc w:val="left"/>
      <w:pPr>
        <w:ind w:left="6480" w:hanging="72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1" w15:restartNumberingAfterBreak="0">
    <w:nsid w:val="2F447FA0"/>
    <w:multiLevelType w:val="hybridMultilevel"/>
    <w:tmpl w:val="DF7C5CAE"/>
    <w:lvl w:ilvl="0" w:tplc="7F4CF934">
      <w:start w:val="1"/>
      <w:numFmt w:val="lowerRoman"/>
      <w:lvlText w:val="(%1)"/>
      <w:lvlJc w:val="left"/>
      <w:pPr>
        <w:ind w:left="6480" w:hanging="72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2" w15:restartNumberingAfterBreak="0">
    <w:nsid w:val="44577681"/>
    <w:multiLevelType w:val="hybridMultilevel"/>
    <w:tmpl w:val="89A624DE"/>
    <w:lvl w:ilvl="0" w:tplc="3AA058A0">
      <w:start w:val="1"/>
      <w:numFmt w:val="lowerLetter"/>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7912909"/>
    <w:multiLevelType w:val="hybridMultilevel"/>
    <w:tmpl w:val="78CA6E58"/>
    <w:lvl w:ilvl="0" w:tplc="D5603A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847CAB"/>
    <w:multiLevelType w:val="hybridMultilevel"/>
    <w:tmpl w:val="05C808F4"/>
    <w:lvl w:ilvl="0" w:tplc="94C0014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4"/>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7168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0077D5"/>
    <w:rsid w:val="000043D5"/>
    <w:rsid w:val="00004E91"/>
    <w:rsid w:val="00006170"/>
    <w:rsid w:val="000077D5"/>
    <w:rsid w:val="00010E37"/>
    <w:rsid w:val="000172DA"/>
    <w:rsid w:val="00021DB1"/>
    <w:rsid w:val="000247C5"/>
    <w:rsid w:val="000277C2"/>
    <w:rsid w:val="000355B5"/>
    <w:rsid w:val="00035B48"/>
    <w:rsid w:val="00036CE2"/>
    <w:rsid w:val="00041C07"/>
    <w:rsid w:val="000437FE"/>
    <w:rsid w:val="000513BE"/>
    <w:rsid w:val="00060345"/>
    <w:rsid w:val="00065A06"/>
    <w:rsid w:val="000666F3"/>
    <w:rsid w:val="0006700C"/>
    <w:rsid w:val="00070DCB"/>
    <w:rsid w:val="00072CCA"/>
    <w:rsid w:val="00073120"/>
    <w:rsid w:val="000764D0"/>
    <w:rsid w:val="000828D3"/>
    <w:rsid w:val="000A2B57"/>
    <w:rsid w:val="000A418B"/>
    <w:rsid w:val="000B512F"/>
    <w:rsid w:val="000C4431"/>
    <w:rsid w:val="000D1C06"/>
    <w:rsid w:val="000D4319"/>
    <w:rsid w:val="000F374A"/>
    <w:rsid w:val="000F6302"/>
    <w:rsid w:val="001076AF"/>
    <w:rsid w:val="0011762D"/>
    <w:rsid w:val="00117869"/>
    <w:rsid w:val="00117C8C"/>
    <w:rsid w:val="001218D3"/>
    <w:rsid w:val="00124C38"/>
    <w:rsid w:val="00124E2E"/>
    <w:rsid w:val="00125ED4"/>
    <w:rsid w:val="001305E9"/>
    <w:rsid w:val="001307AF"/>
    <w:rsid w:val="00135687"/>
    <w:rsid w:val="00136B8F"/>
    <w:rsid w:val="0015506E"/>
    <w:rsid w:val="00161714"/>
    <w:rsid w:val="00163031"/>
    <w:rsid w:val="00171A90"/>
    <w:rsid w:val="00173C15"/>
    <w:rsid w:val="00180254"/>
    <w:rsid w:val="001852BB"/>
    <w:rsid w:val="00191E1F"/>
    <w:rsid w:val="00192943"/>
    <w:rsid w:val="001A29BC"/>
    <w:rsid w:val="001A7406"/>
    <w:rsid w:val="001B4FEE"/>
    <w:rsid w:val="001B51C5"/>
    <w:rsid w:val="001B6F3F"/>
    <w:rsid w:val="001C52B5"/>
    <w:rsid w:val="001D0D3E"/>
    <w:rsid w:val="001D11DF"/>
    <w:rsid w:val="001F2245"/>
    <w:rsid w:val="001F2C63"/>
    <w:rsid w:val="001F48C7"/>
    <w:rsid w:val="001F6DA1"/>
    <w:rsid w:val="002044E6"/>
    <w:rsid w:val="00205C82"/>
    <w:rsid w:val="00205DC2"/>
    <w:rsid w:val="00206F33"/>
    <w:rsid w:val="00207DDB"/>
    <w:rsid w:val="00212B17"/>
    <w:rsid w:val="002148D1"/>
    <w:rsid w:val="002163B6"/>
    <w:rsid w:val="00220732"/>
    <w:rsid w:val="00221D32"/>
    <w:rsid w:val="00225C3F"/>
    <w:rsid w:val="00236C19"/>
    <w:rsid w:val="00263D44"/>
    <w:rsid w:val="002644D9"/>
    <w:rsid w:val="002702AD"/>
    <w:rsid w:val="002833AA"/>
    <w:rsid w:val="00292D82"/>
    <w:rsid w:val="002963CB"/>
    <w:rsid w:val="00297123"/>
    <w:rsid w:val="002B2616"/>
    <w:rsid w:val="002B4A01"/>
    <w:rsid w:val="002B5A7E"/>
    <w:rsid w:val="002D226D"/>
    <w:rsid w:val="002D271E"/>
    <w:rsid w:val="002D3AC8"/>
    <w:rsid w:val="002F6030"/>
    <w:rsid w:val="00303194"/>
    <w:rsid w:val="003037E1"/>
    <w:rsid w:val="00307E51"/>
    <w:rsid w:val="003103EC"/>
    <w:rsid w:val="003144EF"/>
    <w:rsid w:val="00322F74"/>
    <w:rsid w:val="00337DCD"/>
    <w:rsid w:val="00340073"/>
    <w:rsid w:val="00340CE9"/>
    <w:rsid w:val="00360054"/>
    <w:rsid w:val="003632FD"/>
    <w:rsid w:val="00372007"/>
    <w:rsid w:val="00372805"/>
    <w:rsid w:val="00373180"/>
    <w:rsid w:val="00375AB9"/>
    <w:rsid w:val="003821A0"/>
    <w:rsid w:val="00385B04"/>
    <w:rsid w:val="003864CF"/>
    <w:rsid w:val="003948AE"/>
    <w:rsid w:val="003A22A6"/>
    <w:rsid w:val="003A5494"/>
    <w:rsid w:val="003B2510"/>
    <w:rsid w:val="003C2CC4"/>
    <w:rsid w:val="003C3710"/>
    <w:rsid w:val="003D08AA"/>
    <w:rsid w:val="003D7B04"/>
    <w:rsid w:val="003E0EFC"/>
    <w:rsid w:val="003E132B"/>
    <w:rsid w:val="003E4A2B"/>
    <w:rsid w:val="003E76C2"/>
    <w:rsid w:val="003F1586"/>
    <w:rsid w:val="003F1679"/>
    <w:rsid w:val="003F21EB"/>
    <w:rsid w:val="003F4A35"/>
    <w:rsid w:val="003F7FDD"/>
    <w:rsid w:val="00402481"/>
    <w:rsid w:val="004042B4"/>
    <w:rsid w:val="00410DC4"/>
    <w:rsid w:val="00412DAE"/>
    <w:rsid w:val="004242E6"/>
    <w:rsid w:val="00425B35"/>
    <w:rsid w:val="00426B78"/>
    <w:rsid w:val="00431598"/>
    <w:rsid w:val="004319AD"/>
    <w:rsid w:val="004426B8"/>
    <w:rsid w:val="00444432"/>
    <w:rsid w:val="00454F09"/>
    <w:rsid w:val="00471860"/>
    <w:rsid w:val="00477026"/>
    <w:rsid w:val="00493E75"/>
    <w:rsid w:val="004A744D"/>
    <w:rsid w:val="004B4A3F"/>
    <w:rsid w:val="004B60BD"/>
    <w:rsid w:val="004C3150"/>
    <w:rsid w:val="004C3641"/>
    <w:rsid w:val="004C3FC1"/>
    <w:rsid w:val="004C4390"/>
    <w:rsid w:val="004C4AF7"/>
    <w:rsid w:val="004C5555"/>
    <w:rsid w:val="004D2881"/>
    <w:rsid w:val="004D385F"/>
    <w:rsid w:val="004D5B39"/>
    <w:rsid w:val="004D636F"/>
    <w:rsid w:val="004E1498"/>
    <w:rsid w:val="004E330D"/>
    <w:rsid w:val="004E5147"/>
    <w:rsid w:val="004E69B5"/>
    <w:rsid w:val="004F2C91"/>
    <w:rsid w:val="004F5C43"/>
    <w:rsid w:val="0050652D"/>
    <w:rsid w:val="00506C03"/>
    <w:rsid w:val="00507C61"/>
    <w:rsid w:val="00511A11"/>
    <w:rsid w:val="00516496"/>
    <w:rsid w:val="00523B11"/>
    <w:rsid w:val="0052572A"/>
    <w:rsid w:val="00526504"/>
    <w:rsid w:val="00532DFB"/>
    <w:rsid w:val="00543CB3"/>
    <w:rsid w:val="005442E4"/>
    <w:rsid w:val="0055529B"/>
    <w:rsid w:val="00560FF0"/>
    <w:rsid w:val="005614BD"/>
    <w:rsid w:val="00570FF5"/>
    <w:rsid w:val="0057154F"/>
    <w:rsid w:val="00580F69"/>
    <w:rsid w:val="00581CA3"/>
    <w:rsid w:val="00587A44"/>
    <w:rsid w:val="00597730"/>
    <w:rsid w:val="005977EC"/>
    <w:rsid w:val="00597DE7"/>
    <w:rsid w:val="005A4AA2"/>
    <w:rsid w:val="005B34B6"/>
    <w:rsid w:val="005B6C8F"/>
    <w:rsid w:val="005B6EC3"/>
    <w:rsid w:val="005B775B"/>
    <w:rsid w:val="005D0F74"/>
    <w:rsid w:val="005D2E7D"/>
    <w:rsid w:val="005D4A8F"/>
    <w:rsid w:val="005D561B"/>
    <w:rsid w:val="005D5ECF"/>
    <w:rsid w:val="005F468D"/>
    <w:rsid w:val="005F69A3"/>
    <w:rsid w:val="00604CC7"/>
    <w:rsid w:val="0061420D"/>
    <w:rsid w:val="00615423"/>
    <w:rsid w:val="006165B2"/>
    <w:rsid w:val="00617276"/>
    <w:rsid w:val="0062527B"/>
    <w:rsid w:val="00625D97"/>
    <w:rsid w:val="00625F1C"/>
    <w:rsid w:val="006279E1"/>
    <w:rsid w:val="00630CEB"/>
    <w:rsid w:val="00632264"/>
    <w:rsid w:val="006470BC"/>
    <w:rsid w:val="006554D3"/>
    <w:rsid w:val="0065751D"/>
    <w:rsid w:val="00667036"/>
    <w:rsid w:val="00673BDB"/>
    <w:rsid w:val="00674341"/>
    <w:rsid w:val="006771B8"/>
    <w:rsid w:val="006804E1"/>
    <w:rsid w:val="00681916"/>
    <w:rsid w:val="0068287C"/>
    <w:rsid w:val="006843B6"/>
    <w:rsid w:val="0068481F"/>
    <w:rsid w:val="00696F5D"/>
    <w:rsid w:val="00697249"/>
    <w:rsid w:val="006B3947"/>
    <w:rsid w:val="006B4293"/>
    <w:rsid w:val="006B624F"/>
    <w:rsid w:val="006C0C95"/>
    <w:rsid w:val="006C31E3"/>
    <w:rsid w:val="006D18D3"/>
    <w:rsid w:val="006E08CB"/>
    <w:rsid w:val="006E598D"/>
    <w:rsid w:val="006F1F97"/>
    <w:rsid w:val="006F2E59"/>
    <w:rsid w:val="0070437D"/>
    <w:rsid w:val="00704CF1"/>
    <w:rsid w:val="00705041"/>
    <w:rsid w:val="00705B04"/>
    <w:rsid w:val="00705CE2"/>
    <w:rsid w:val="00724992"/>
    <w:rsid w:val="00730E29"/>
    <w:rsid w:val="00734820"/>
    <w:rsid w:val="007349DC"/>
    <w:rsid w:val="0074365E"/>
    <w:rsid w:val="00744B55"/>
    <w:rsid w:val="007515FD"/>
    <w:rsid w:val="00760D80"/>
    <w:rsid w:val="007702F3"/>
    <w:rsid w:val="0077125D"/>
    <w:rsid w:val="00780C09"/>
    <w:rsid w:val="00780DDF"/>
    <w:rsid w:val="00781655"/>
    <w:rsid w:val="0078339B"/>
    <w:rsid w:val="007834E9"/>
    <w:rsid w:val="00787DBC"/>
    <w:rsid w:val="0079019A"/>
    <w:rsid w:val="00792935"/>
    <w:rsid w:val="007A04A1"/>
    <w:rsid w:val="007A1840"/>
    <w:rsid w:val="007B4FC0"/>
    <w:rsid w:val="007B6D3E"/>
    <w:rsid w:val="007C0528"/>
    <w:rsid w:val="007C3D38"/>
    <w:rsid w:val="007C64CC"/>
    <w:rsid w:val="007D0F35"/>
    <w:rsid w:val="007D4FEB"/>
    <w:rsid w:val="007D6146"/>
    <w:rsid w:val="007E0CE7"/>
    <w:rsid w:val="007F1193"/>
    <w:rsid w:val="007F417F"/>
    <w:rsid w:val="007F7644"/>
    <w:rsid w:val="00802B84"/>
    <w:rsid w:val="00803D3F"/>
    <w:rsid w:val="008042BD"/>
    <w:rsid w:val="008077DC"/>
    <w:rsid w:val="00813DA3"/>
    <w:rsid w:val="00816624"/>
    <w:rsid w:val="008204E0"/>
    <w:rsid w:val="00822427"/>
    <w:rsid w:val="00822562"/>
    <w:rsid w:val="00822BD8"/>
    <w:rsid w:val="00823663"/>
    <w:rsid w:val="00832DDC"/>
    <w:rsid w:val="00850BAC"/>
    <w:rsid w:val="00854A3E"/>
    <w:rsid w:val="00855D08"/>
    <w:rsid w:val="00863F5C"/>
    <w:rsid w:val="00873F3D"/>
    <w:rsid w:val="00874344"/>
    <w:rsid w:val="00874887"/>
    <w:rsid w:val="00882155"/>
    <w:rsid w:val="0088233B"/>
    <w:rsid w:val="0088599E"/>
    <w:rsid w:val="00886C37"/>
    <w:rsid w:val="00891542"/>
    <w:rsid w:val="00892D99"/>
    <w:rsid w:val="00893315"/>
    <w:rsid w:val="008B2A63"/>
    <w:rsid w:val="008B62AE"/>
    <w:rsid w:val="008C04B5"/>
    <w:rsid w:val="008C14FA"/>
    <w:rsid w:val="008C31E7"/>
    <w:rsid w:val="008C7B0B"/>
    <w:rsid w:val="008D4057"/>
    <w:rsid w:val="008E1F19"/>
    <w:rsid w:val="008E48A4"/>
    <w:rsid w:val="008F2262"/>
    <w:rsid w:val="008F4D2B"/>
    <w:rsid w:val="008F7736"/>
    <w:rsid w:val="0090019E"/>
    <w:rsid w:val="00901086"/>
    <w:rsid w:val="00901C8A"/>
    <w:rsid w:val="00905886"/>
    <w:rsid w:val="009070D6"/>
    <w:rsid w:val="009076C6"/>
    <w:rsid w:val="0091019E"/>
    <w:rsid w:val="009106F1"/>
    <w:rsid w:val="00912404"/>
    <w:rsid w:val="009145D6"/>
    <w:rsid w:val="009205B9"/>
    <w:rsid w:val="00920E64"/>
    <w:rsid w:val="00922002"/>
    <w:rsid w:val="00924020"/>
    <w:rsid w:val="009271A7"/>
    <w:rsid w:val="0092774B"/>
    <w:rsid w:val="0093476B"/>
    <w:rsid w:val="00935E7D"/>
    <w:rsid w:val="0093658B"/>
    <w:rsid w:val="009429FF"/>
    <w:rsid w:val="00945BD6"/>
    <w:rsid w:val="009479FB"/>
    <w:rsid w:val="00951C45"/>
    <w:rsid w:val="009656F2"/>
    <w:rsid w:val="00966A08"/>
    <w:rsid w:val="00971207"/>
    <w:rsid w:val="00975CB4"/>
    <w:rsid w:val="009863B0"/>
    <w:rsid w:val="00987DE1"/>
    <w:rsid w:val="00990571"/>
    <w:rsid w:val="0099673A"/>
    <w:rsid w:val="009A1734"/>
    <w:rsid w:val="009A3330"/>
    <w:rsid w:val="009A7C96"/>
    <w:rsid w:val="009C358D"/>
    <w:rsid w:val="009C3DB9"/>
    <w:rsid w:val="009D2FBC"/>
    <w:rsid w:val="009D46E5"/>
    <w:rsid w:val="009D568A"/>
    <w:rsid w:val="009F04EC"/>
    <w:rsid w:val="009F2A7C"/>
    <w:rsid w:val="009F3B36"/>
    <w:rsid w:val="009F4506"/>
    <w:rsid w:val="009F6F7D"/>
    <w:rsid w:val="00A019B9"/>
    <w:rsid w:val="00A12508"/>
    <w:rsid w:val="00A1282B"/>
    <w:rsid w:val="00A13A27"/>
    <w:rsid w:val="00A175B6"/>
    <w:rsid w:val="00A21835"/>
    <w:rsid w:val="00A2374B"/>
    <w:rsid w:val="00A27D6E"/>
    <w:rsid w:val="00A328EC"/>
    <w:rsid w:val="00A33A51"/>
    <w:rsid w:val="00A35309"/>
    <w:rsid w:val="00A41CA6"/>
    <w:rsid w:val="00A44C7A"/>
    <w:rsid w:val="00A47927"/>
    <w:rsid w:val="00A47FFC"/>
    <w:rsid w:val="00A5442F"/>
    <w:rsid w:val="00A54FF9"/>
    <w:rsid w:val="00A56765"/>
    <w:rsid w:val="00A56FE6"/>
    <w:rsid w:val="00A6270B"/>
    <w:rsid w:val="00A630E2"/>
    <w:rsid w:val="00A675AC"/>
    <w:rsid w:val="00A7581F"/>
    <w:rsid w:val="00A8301B"/>
    <w:rsid w:val="00A86B40"/>
    <w:rsid w:val="00A90E0C"/>
    <w:rsid w:val="00A92FB1"/>
    <w:rsid w:val="00A95A0C"/>
    <w:rsid w:val="00AA2765"/>
    <w:rsid w:val="00AA77B5"/>
    <w:rsid w:val="00AB1B64"/>
    <w:rsid w:val="00AB6C5D"/>
    <w:rsid w:val="00AC3401"/>
    <w:rsid w:val="00AC51A7"/>
    <w:rsid w:val="00AD444B"/>
    <w:rsid w:val="00AD5614"/>
    <w:rsid w:val="00AD6C78"/>
    <w:rsid w:val="00AE0738"/>
    <w:rsid w:val="00AE2EAB"/>
    <w:rsid w:val="00AF5F89"/>
    <w:rsid w:val="00AF73CB"/>
    <w:rsid w:val="00B002D6"/>
    <w:rsid w:val="00B03379"/>
    <w:rsid w:val="00B05B51"/>
    <w:rsid w:val="00B14E5A"/>
    <w:rsid w:val="00B15370"/>
    <w:rsid w:val="00B16DA4"/>
    <w:rsid w:val="00B172E2"/>
    <w:rsid w:val="00B17BEB"/>
    <w:rsid w:val="00B21A3C"/>
    <w:rsid w:val="00B223C0"/>
    <w:rsid w:val="00B234ED"/>
    <w:rsid w:val="00B249B2"/>
    <w:rsid w:val="00B25CA3"/>
    <w:rsid w:val="00B2765A"/>
    <w:rsid w:val="00B3109A"/>
    <w:rsid w:val="00B40F5F"/>
    <w:rsid w:val="00B516ED"/>
    <w:rsid w:val="00B57A6A"/>
    <w:rsid w:val="00B75C24"/>
    <w:rsid w:val="00B760F1"/>
    <w:rsid w:val="00B7669E"/>
    <w:rsid w:val="00B77DA1"/>
    <w:rsid w:val="00B80A74"/>
    <w:rsid w:val="00B822A0"/>
    <w:rsid w:val="00B858AE"/>
    <w:rsid w:val="00B85964"/>
    <w:rsid w:val="00B924ED"/>
    <w:rsid w:val="00B96250"/>
    <w:rsid w:val="00BA0D55"/>
    <w:rsid w:val="00BA37B3"/>
    <w:rsid w:val="00BA4CC6"/>
    <w:rsid w:val="00BB3493"/>
    <w:rsid w:val="00BB5469"/>
    <w:rsid w:val="00BB7468"/>
    <w:rsid w:val="00BC188A"/>
    <w:rsid w:val="00BC402E"/>
    <w:rsid w:val="00BD0F48"/>
    <w:rsid w:val="00BD2A0C"/>
    <w:rsid w:val="00BE6DDB"/>
    <w:rsid w:val="00BF5010"/>
    <w:rsid w:val="00C039DD"/>
    <w:rsid w:val="00C03D5F"/>
    <w:rsid w:val="00C124AB"/>
    <w:rsid w:val="00C13791"/>
    <w:rsid w:val="00C20248"/>
    <w:rsid w:val="00C20A2D"/>
    <w:rsid w:val="00C31BB3"/>
    <w:rsid w:val="00C36977"/>
    <w:rsid w:val="00C467DA"/>
    <w:rsid w:val="00C477D9"/>
    <w:rsid w:val="00C53A8D"/>
    <w:rsid w:val="00C60BA3"/>
    <w:rsid w:val="00C623F7"/>
    <w:rsid w:val="00C62A81"/>
    <w:rsid w:val="00C75BC5"/>
    <w:rsid w:val="00C81670"/>
    <w:rsid w:val="00C81773"/>
    <w:rsid w:val="00C82861"/>
    <w:rsid w:val="00C85AE2"/>
    <w:rsid w:val="00C86896"/>
    <w:rsid w:val="00C907A8"/>
    <w:rsid w:val="00C93211"/>
    <w:rsid w:val="00C93D9E"/>
    <w:rsid w:val="00C942EC"/>
    <w:rsid w:val="00C96047"/>
    <w:rsid w:val="00C979D0"/>
    <w:rsid w:val="00CA021D"/>
    <w:rsid w:val="00CA0818"/>
    <w:rsid w:val="00CA15C8"/>
    <w:rsid w:val="00CA2C8F"/>
    <w:rsid w:val="00CA30DA"/>
    <w:rsid w:val="00CA3101"/>
    <w:rsid w:val="00CA3A24"/>
    <w:rsid w:val="00CB1777"/>
    <w:rsid w:val="00CB2EA9"/>
    <w:rsid w:val="00CB33E9"/>
    <w:rsid w:val="00CC10A9"/>
    <w:rsid w:val="00CD1516"/>
    <w:rsid w:val="00CD2DDB"/>
    <w:rsid w:val="00CE2BF8"/>
    <w:rsid w:val="00CE484E"/>
    <w:rsid w:val="00CE656F"/>
    <w:rsid w:val="00CF0DA8"/>
    <w:rsid w:val="00CF2E25"/>
    <w:rsid w:val="00CF4453"/>
    <w:rsid w:val="00CF5D94"/>
    <w:rsid w:val="00CF7E0F"/>
    <w:rsid w:val="00D034D7"/>
    <w:rsid w:val="00D04BE4"/>
    <w:rsid w:val="00D06FC7"/>
    <w:rsid w:val="00D12565"/>
    <w:rsid w:val="00D14127"/>
    <w:rsid w:val="00D16A6E"/>
    <w:rsid w:val="00D16F2A"/>
    <w:rsid w:val="00D31AEE"/>
    <w:rsid w:val="00D3762F"/>
    <w:rsid w:val="00D55265"/>
    <w:rsid w:val="00D60B16"/>
    <w:rsid w:val="00D60F02"/>
    <w:rsid w:val="00D65A42"/>
    <w:rsid w:val="00D66E49"/>
    <w:rsid w:val="00D70D71"/>
    <w:rsid w:val="00D72F74"/>
    <w:rsid w:val="00D81563"/>
    <w:rsid w:val="00D84CD3"/>
    <w:rsid w:val="00D85907"/>
    <w:rsid w:val="00D9073E"/>
    <w:rsid w:val="00D9221D"/>
    <w:rsid w:val="00D958DF"/>
    <w:rsid w:val="00D96DA1"/>
    <w:rsid w:val="00DA18AD"/>
    <w:rsid w:val="00DA51E7"/>
    <w:rsid w:val="00DB0260"/>
    <w:rsid w:val="00DB1C78"/>
    <w:rsid w:val="00DB7D96"/>
    <w:rsid w:val="00DC23FE"/>
    <w:rsid w:val="00DC59E6"/>
    <w:rsid w:val="00DD0297"/>
    <w:rsid w:val="00DD150B"/>
    <w:rsid w:val="00DD5025"/>
    <w:rsid w:val="00DD6EDC"/>
    <w:rsid w:val="00DF1510"/>
    <w:rsid w:val="00DF5FA5"/>
    <w:rsid w:val="00E02F1F"/>
    <w:rsid w:val="00E06484"/>
    <w:rsid w:val="00E17076"/>
    <w:rsid w:val="00E20A7D"/>
    <w:rsid w:val="00E275D8"/>
    <w:rsid w:val="00E30F6A"/>
    <w:rsid w:val="00E3117C"/>
    <w:rsid w:val="00E375CA"/>
    <w:rsid w:val="00E42089"/>
    <w:rsid w:val="00E47074"/>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39A4"/>
    <w:rsid w:val="00EA7424"/>
    <w:rsid w:val="00EA7C3C"/>
    <w:rsid w:val="00EB2DB3"/>
    <w:rsid w:val="00EC3FBB"/>
    <w:rsid w:val="00EC6B7A"/>
    <w:rsid w:val="00ED3A87"/>
    <w:rsid w:val="00ED5B67"/>
    <w:rsid w:val="00EE5D76"/>
    <w:rsid w:val="00EF1EBC"/>
    <w:rsid w:val="00EF264C"/>
    <w:rsid w:val="00EF3FEE"/>
    <w:rsid w:val="00F03356"/>
    <w:rsid w:val="00F04B59"/>
    <w:rsid w:val="00F11741"/>
    <w:rsid w:val="00F12B1C"/>
    <w:rsid w:val="00F13CF8"/>
    <w:rsid w:val="00F15855"/>
    <w:rsid w:val="00F1695E"/>
    <w:rsid w:val="00F200B2"/>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94BD4"/>
    <w:rsid w:val="00F96994"/>
    <w:rsid w:val="00FA17AC"/>
    <w:rsid w:val="00FA32DE"/>
    <w:rsid w:val="00FA3382"/>
    <w:rsid w:val="00FA3B8C"/>
    <w:rsid w:val="00FA59CD"/>
    <w:rsid w:val="00FB1740"/>
    <w:rsid w:val="00FC3234"/>
    <w:rsid w:val="00FC5469"/>
    <w:rsid w:val="00FC6D7D"/>
    <w:rsid w:val="00FD16B0"/>
    <w:rsid w:val="00FD4FED"/>
    <w:rsid w:val="00FE0577"/>
    <w:rsid w:val="00FE3721"/>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5:docId w15:val="{B8C6BFE5-562B-4C58-BEE4-5B02D2C2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link w:val="PlainTextChar"/>
    <w:uiPriority w:val="99"/>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803D3F"/>
    <w:rPr>
      <w:vertAlign w:val="superscript"/>
    </w:rPr>
  </w:style>
  <w:style w:type="paragraph" w:styleId="ListParagraph">
    <w:name w:val="List Paragraph"/>
    <w:basedOn w:val="Normal"/>
    <w:uiPriority w:val="34"/>
    <w:qFormat/>
    <w:rsid w:val="009F4506"/>
    <w:pPr>
      <w:ind w:left="720"/>
      <w:contextualSpacing/>
    </w:pPr>
  </w:style>
  <w:style w:type="character" w:customStyle="1" w:styleId="PlainTextChar">
    <w:name w:val="Plain Text Char"/>
    <w:basedOn w:val="DefaultParagraphFont"/>
    <w:link w:val="PlainText"/>
    <w:uiPriority w:val="99"/>
    <w:rsid w:val="008204E0"/>
    <w:rPr>
      <w:rFonts w:ascii="Courier New" w:hAnsi="Courier New" w:cs="Courier New"/>
    </w:rPr>
  </w:style>
  <w:style w:type="paragraph" w:customStyle="1" w:styleId="OrderBody">
    <w:name w:val="Order Body"/>
    <w:basedOn w:val="Normal"/>
    <w:link w:val="OrderBodyChar"/>
    <w:rsid w:val="0061420D"/>
    <w:pPr>
      <w:jc w:val="both"/>
    </w:pPr>
  </w:style>
  <w:style w:type="character" w:customStyle="1" w:styleId="OrderBodyChar">
    <w:name w:val="Order Body Char"/>
    <w:link w:val="OrderBody"/>
    <w:rsid w:val="0061420D"/>
    <w:rPr>
      <w:sz w:val="24"/>
      <w:szCs w:val="24"/>
    </w:rPr>
  </w:style>
  <w:style w:type="paragraph" w:customStyle="1" w:styleId="CenterUnderline">
    <w:name w:val="CenterUnderline"/>
    <w:basedOn w:val="Normal"/>
    <w:rsid w:val="0061420D"/>
    <w:pPr>
      <w:jc w:val="center"/>
    </w:pPr>
    <w:rPr>
      <w:u w:val="single"/>
    </w:rPr>
  </w:style>
  <w:style w:type="paragraph" w:customStyle="1" w:styleId="OrderHeading">
    <w:name w:val="Order Heading"/>
    <w:basedOn w:val="Normal"/>
    <w:rsid w:val="0061420D"/>
    <w:pPr>
      <w:jc w:val="center"/>
    </w:pPr>
  </w:style>
  <w:style w:type="paragraph" w:customStyle="1" w:styleId="OrderSigInfo">
    <w:name w:val="Order Sig Info"/>
    <w:basedOn w:val="OrderBody"/>
    <w:next w:val="OrderBody"/>
    <w:rsid w:val="0061420D"/>
    <w:pPr>
      <w:ind w:left="4464"/>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397330">
      <w:bodyDiv w:val="1"/>
      <w:marLeft w:val="0"/>
      <w:marRight w:val="0"/>
      <w:marTop w:val="0"/>
      <w:marBottom w:val="0"/>
      <w:divBdr>
        <w:top w:val="none" w:sz="0" w:space="0" w:color="auto"/>
        <w:left w:val="none" w:sz="0" w:space="0" w:color="auto"/>
        <w:bottom w:val="none" w:sz="0" w:space="0" w:color="auto"/>
        <w:right w:val="none" w:sz="0" w:space="0" w:color="auto"/>
      </w:divBdr>
    </w:div>
    <w:div w:id="151345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DAAB3-C36B-466D-9D4A-ECEF36159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7</Pages>
  <Words>1445</Words>
  <Characters>8538</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Julie Phillips</dc:creator>
  <cp:lastModifiedBy>Julie Phillips</cp:lastModifiedBy>
  <cp:revision>2</cp:revision>
  <cp:lastPrinted>2022-05-19T19:15:00Z</cp:lastPrinted>
  <dcterms:created xsi:type="dcterms:W3CDTF">2022-05-25T12:01:00Z</dcterms:created>
  <dcterms:modified xsi:type="dcterms:W3CDTF">2022-05-25T12:01:00Z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20210137-PU</vt:lpwstr>
  </property>
  <property fmtid="{D5CDD505-2E9C-101B-9397-08002B2CF9AE}" pid="3" name="MasterDocument">
    <vt:bool>false</vt:bool>
  </property>
</Properties>
</file>