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FF13A6">
            <w:pPr>
              <w:pStyle w:val="MemoHeading"/>
            </w:pPr>
            <w:bookmarkStart w:id="1" w:name="FilingDate"/>
            <w:r>
              <w:t>May 25, 2022</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FF13A6" w:rsidRDefault="00FF13A6">
            <w:pPr>
              <w:pStyle w:val="MemoHeading"/>
            </w:pPr>
            <w:bookmarkStart w:id="2" w:name="From"/>
            <w:r>
              <w:t>Division of Engineering (Phillips, Ellis)</w:t>
            </w:r>
          </w:p>
          <w:p w:rsidR="007C0528" w:rsidRDefault="00FF13A6">
            <w:pPr>
              <w:pStyle w:val="MemoHeading"/>
            </w:pPr>
            <w:r>
              <w:t>Office of the General Counsel (Imig)</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FF13A6">
            <w:pPr>
              <w:pStyle w:val="MemoHeadingRe"/>
            </w:pPr>
            <w:bookmarkStart w:id="3" w:name="Re"/>
            <w:r>
              <w:t>Docket No. 20220072-EQ – Petition for approval of revised standard offer contract and a revised accompanying rate schedule QS-2, by Florida Power &amp; Light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FF13A6">
            <w:pPr>
              <w:pStyle w:val="MemoHeading"/>
            </w:pPr>
            <w:bookmarkStart w:id="4" w:name="AgendaDate"/>
            <w:r>
              <w:t>06/07/22</w:t>
            </w:r>
            <w:bookmarkEnd w:id="4"/>
            <w:r w:rsidR="007C0528">
              <w:t xml:space="preserve"> – </w:t>
            </w:r>
            <w:bookmarkStart w:id="5" w:name="PermittedStatus"/>
            <w:r>
              <w:t xml:space="preserve">Regular Agenda – </w:t>
            </w:r>
            <w:r w:rsidR="00604500">
              <w:t xml:space="preserve">Proposed Agency Action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FF13A6">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FF13A6">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FF13A6">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FF13A6">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68481F" w:rsidRDefault="00834E7F">
      <w:pPr>
        <w:pStyle w:val="BodyText"/>
      </w:pPr>
      <w:r>
        <w:t>Section 366.91(3), Florida Statutes (F.S.), requires each investor-owned utility (IOU) to continuously offer to purchase capacity and energy from renewable generating facilities and small qualifying facilities. Florida Public Service Commission (Commission) Rules 25-17.200 through 25-17.310, Florida Administrative Code (F.A.C.), implement the statute and require each IOU to file with the Commission, by April 1 of each year, a revised standard offer contract based on the next avoidable fossil-fueled generating unit of each technology type identified in the utility’s current Ten-Year Site Plan</w:t>
      </w:r>
      <w:r w:rsidR="00CA6F60">
        <w:t xml:space="preserve"> </w:t>
      </w:r>
      <w:r w:rsidR="00CA6F60" w:rsidRPr="00DB1BD9">
        <w:t>(TYSP)</w:t>
      </w:r>
      <w:r w:rsidRPr="00DB1BD9">
        <w:t>.</w:t>
      </w:r>
      <w:r>
        <w:t xml:space="preserve"> </w:t>
      </w:r>
      <w:r w:rsidRPr="006846C8">
        <w:t xml:space="preserve">On April l, 2022, Florida Power &amp; Light Company (FPL) filed a petition for approval of its </w:t>
      </w:r>
      <w:bookmarkStart w:id="14" w:name="_Hlk37233164"/>
      <w:r w:rsidRPr="006846C8">
        <w:t>amended standard offer contract</w:t>
      </w:r>
      <w:bookmarkEnd w:id="14"/>
      <w:r w:rsidRPr="006846C8">
        <w:t xml:space="preserve"> based on its 2022</w:t>
      </w:r>
      <w:r w:rsidR="00DB1BD9">
        <w:t xml:space="preserve"> TYSP</w:t>
      </w:r>
      <w:r w:rsidRPr="006846C8">
        <w:t>. The Commission ha</w:t>
      </w:r>
      <w:r>
        <w:t>s jurisdiction over this amended standard offer contract pursuant to Sections 366.04 through 366.055, and 366.91, F.S.</w:t>
      </w:r>
    </w:p>
    <w:bookmarkEnd w:id="12"/>
    <w:p w:rsidR="00EA2273" w:rsidRDefault="00EA2273">
      <w:pPr>
        <w:pStyle w:val="RecommendationMajorSectionHeading"/>
        <w:sectPr w:rsidR="00EA2273">
          <w:headerReference w:type="default" r:id="rId8"/>
          <w:footerReference w:type="default" r:id="rId9"/>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7" w:name="DiscussionOfIssues"/>
      <w:r>
        <w:lastRenderedPageBreak/>
        <w:t>Discussion of Issues</w:t>
      </w:r>
    </w:p>
    <w:bookmarkEnd w:id="17"/>
    <w:p w:rsidR="00FF13A6" w:rsidRDefault="00FF13A6">
      <w:pPr>
        <w:pStyle w:val="IssueHeading"/>
        <w:rPr>
          <w:vanish/>
          <w:specVanish/>
        </w:rPr>
      </w:pPr>
      <w:r w:rsidRPr="004C3641">
        <w:t xml:space="preserve">Issue </w:t>
      </w:r>
      <w:fldSimple w:instr=" SEQ Issue \* MERGEFORMAT ">
        <w:r w:rsidR="006653E7">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6653E7">
        <w:rPr>
          <w:noProof/>
        </w:rPr>
        <w:instrText>1</w:instrText>
      </w:r>
      <w:r>
        <w:fldChar w:fldCharType="end"/>
      </w:r>
      <w:r>
        <w:tab/>
        <w:instrText xml:space="preserve">" \l 1 </w:instrText>
      </w:r>
      <w:r>
        <w:fldChar w:fldCharType="end"/>
      </w:r>
      <w:r>
        <w:t> </w:t>
      </w:r>
    </w:p>
    <w:p w:rsidR="00FF13A6" w:rsidRDefault="00FF13A6">
      <w:pPr>
        <w:pStyle w:val="BodyText"/>
      </w:pPr>
      <w:r>
        <w:t> </w:t>
      </w:r>
      <w:r w:rsidR="003B76D8" w:rsidRPr="005F68CF">
        <w:rPr>
          <w:color w:val="000000"/>
        </w:rPr>
        <w:t xml:space="preserve">Should the Commission approve the </w:t>
      </w:r>
      <w:r w:rsidR="003B76D8">
        <w:rPr>
          <w:color w:val="000000"/>
        </w:rPr>
        <w:t xml:space="preserve">renewable energy tariff and the </w:t>
      </w:r>
      <w:r w:rsidR="003B76D8" w:rsidRPr="005F68CF">
        <w:rPr>
          <w:color w:val="000000"/>
        </w:rPr>
        <w:t xml:space="preserve">amended standard offer contract </w:t>
      </w:r>
      <w:r w:rsidR="003B76D8">
        <w:rPr>
          <w:color w:val="000000"/>
        </w:rPr>
        <w:t>Florida Power and Light</w:t>
      </w:r>
      <w:r w:rsidR="003B76D8" w:rsidRPr="005F68CF">
        <w:rPr>
          <w:color w:val="000000"/>
        </w:rPr>
        <w:t>?</w:t>
      </w:r>
    </w:p>
    <w:p w:rsidR="00FF13A6" w:rsidRPr="004C3641" w:rsidRDefault="00FF13A6">
      <w:pPr>
        <w:pStyle w:val="IssueSubsectionHeading"/>
        <w:rPr>
          <w:vanish/>
          <w:specVanish/>
        </w:rPr>
      </w:pPr>
      <w:r w:rsidRPr="004C3641">
        <w:t>Recommendation: </w:t>
      </w:r>
    </w:p>
    <w:p w:rsidR="00FF13A6" w:rsidRDefault="00FF13A6">
      <w:pPr>
        <w:pStyle w:val="BodyText"/>
      </w:pPr>
      <w:r>
        <w:t> </w:t>
      </w:r>
      <w:r w:rsidR="00834E7F" w:rsidRPr="00B7665F">
        <w:t xml:space="preserve">Yes. The provisions of FPL’s </w:t>
      </w:r>
      <w:r w:rsidR="00834E7F" w:rsidRPr="00B7665F">
        <w:rPr>
          <w:color w:val="000000"/>
        </w:rPr>
        <w:t>renewable energy tariff and</w:t>
      </w:r>
      <w:r w:rsidR="00834E7F" w:rsidRPr="00B7665F">
        <w:t xml:space="preserve"> amended standard offer contract conforms to the requirements of Rules 25-17.200 through 25-17.310, F.A.C. The amended standard offer contract offers multiple payment options so that a developer of renewable generation may select the payment stream best suited to its financial needs. (Phillips)</w:t>
      </w:r>
    </w:p>
    <w:p w:rsidR="00FF13A6" w:rsidRPr="004C3641" w:rsidRDefault="00FF13A6">
      <w:pPr>
        <w:pStyle w:val="IssueSubsectionHeading"/>
        <w:rPr>
          <w:vanish/>
          <w:specVanish/>
        </w:rPr>
      </w:pPr>
      <w:r w:rsidRPr="004C3641">
        <w:t>Staff Analysis: </w:t>
      </w:r>
    </w:p>
    <w:p w:rsidR="00834E7F" w:rsidRPr="00622E8C" w:rsidRDefault="00FF13A6" w:rsidP="00BD1BBC">
      <w:pPr>
        <w:spacing w:after="240"/>
        <w:jc w:val="both"/>
      </w:pPr>
      <w:r>
        <w:t> </w:t>
      </w:r>
      <w:r w:rsidR="00834E7F">
        <w:t> Section 366.91(3), F.S., and Rule 25-17.250, F.A.C., require that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w:t>
      </w:r>
      <w:r w:rsidR="00CA6F60">
        <w:t>s most recent TYSP</w:t>
      </w:r>
      <w:r w:rsidR="00834E7F">
        <w:t>, or if no avoided unit is identified, its n</w:t>
      </w:r>
      <w:r w:rsidR="00BD1BBC">
        <w:t xml:space="preserve">ext avoidable planned purchase. </w:t>
      </w:r>
      <w:r w:rsidR="00834E7F">
        <w:t xml:space="preserve">While FPL’s 2022 TYSP </w:t>
      </w:r>
      <w:r w:rsidR="00834E7F" w:rsidRPr="00086F03">
        <w:t xml:space="preserve">does not feature an avoidable fossil-fueled generating unit or planned purchases that could be deferred during the planning period, </w:t>
      </w:r>
      <w:r w:rsidR="00834E7F">
        <w:t>FPL</w:t>
      </w:r>
      <w:r w:rsidR="00834E7F" w:rsidRPr="003F17B0">
        <w:t xml:space="preserve"> has identified a </w:t>
      </w:r>
      <w:r w:rsidR="00834E7F">
        <w:t>1,991</w:t>
      </w:r>
      <w:r w:rsidR="00834E7F" w:rsidRPr="003F17B0">
        <w:t xml:space="preserve"> megawatt (MW) </w:t>
      </w:r>
      <w:r w:rsidR="00834E7F">
        <w:t>combined cycle</w:t>
      </w:r>
      <w:r w:rsidR="00834E7F" w:rsidRPr="003F17B0">
        <w:t xml:space="preserve"> </w:t>
      </w:r>
      <w:r w:rsidR="00834E7F">
        <w:t xml:space="preserve">with a projected in-service date of June 1, 2032 </w:t>
      </w:r>
      <w:r w:rsidR="00834E7F" w:rsidRPr="003F17B0">
        <w:t>as the next avoidable planned generating un</w:t>
      </w:r>
      <w:r w:rsidR="00834E7F" w:rsidRPr="00E251CF">
        <w:t>it.</w:t>
      </w:r>
      <w:r w:rsidR="00BD1BBC" w:rsidRPr="00E251CF">
        <w:t xml:space="preserve"> </w:t>
      </w:r>
      <w:r w:rsidR="00FF5C19" w:rsidRPr="00E251CF">
        <w:t xml:space="preserve">FPL submitted two planning scenarios for </w:t>
      </w:r>
      <w:r w:rsidR="006653E7">
        <w:t>its</w:t>
      </w:r>
      <w:r w:rsidR="00FF5C19" w:rsidRPr="00E251CF">
        <w:t xml:space="preserve"> 2022</w:t>
      </w:r>
      <w:r w:rsidR="00E251CF" w:rsidRPr="00E251CF">
        <w:t xml:space="preserve"> </w:t>
      </w:r>
      <w:r w:rsidR="00FC434A">
        <w:t>TYSP</w:t>
      </w:r>
      <w:r w:rsidR="003D0B77">
        <w:t>;</w:t>
      </w:r>
      <w:r w:rsidR="006653E7">
        <w:t xml:space="preserve"> and</w:t>
      </w:r>
      <w:r w:rsidR="00FF5C19" w:rsidRPr="00E251CF">
        <w:t>, the avoided unit is identical in both scenarios.</w:t>
      </w:r>
      <w:r w:rsidR="003D0B77">
        <w:rPr>
          <w:rStyle w:val="FootnoteReference"/>
        </w:rPr>
        <w:footnoteReference w:id="1"/>
      </w:r>
      <w:r w:rsidR="00FF5C19">
        <w:t xml:space="preserve"> </w:t>
      </w:r>
      <w:r w:rsidR="00BD1BBC">
        <w:t>The Commission has previously approved using a unit outside of the TYSP planning period as the avoided unit for standard offer contract purposes.</w:t>
      </w:r>
      <w:r w:rsidR="00BD1BBC">
        <w:rPr>
          <w:rStyle w:val="FootnoteReference"/>
        </w:rPr>
        <w:footnoteReference w:id="2"/>
      </w:r>
    </w:p>
    <w:p w:rsidR="00FF13A6" w:rsidRDefault="00834E7F" w:rsidP="00834E7F">
      <w:pPr>
        <w:pStyle w:val="BodyText"/>
      </w:pPr>
      <w:r w:rsidRPr="00801F39">
        <w:t>Under FPL’s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4C3A76" w:rsidRDefault="004C3A76" w:rsidP="00834E7F">
      <w:pPr>
        <w:pStyle w:val="BodyText"/>
      </w:pPr>
    </w:p>
    <w:p w:rsidR="003A411E" w:rsidRDefault="003A411E" w:rsidP="00834E7F">
      <w:pPr>
        <w:pStyle w:val="BodyText"/>
        <w:sectPr w:rsidR="003A411E" w:rsidSect="0068481F">
          <w:headerReference w:type="default" r:id="rId10"/>
          <w:headerReference w:type="first" r:id="rId11"/>
          <w:footerReference w:type="first" r:id="rId12"/>
          <w:pgSz w:w="12240" w:h="15840" w:code="1"/>
          <w:pgMar w:top="1584" w:right="1440" w:bottom="1440" w:left="1440" w:header="720" w:footer="720" w:gutter="0"/>
          <w:cols w:space="720"/>
          <w:formProt w:val="0"/>
          <w:docGrid w:linePitch="360"/>
        </w:sectPr>
      </w:pPr>
    </w:p>
    <w:p w:rsidR="00834E7F" w:rsidRPr="00801F39" w:rsidRDefault="00834E7F" w:rsidP="00834E7F">
      <w:pPr>
        <w:pStyle w:val="BodyText"/>
      </w:pPr>
      <w:r w:rsidRPr="00801F39">
        <w:lastRenderedPageBreak/>
        <w:t xml:space="preserve">In order to promote renewable generation, the Commission requires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2032), and thereafter, begin receiving capacity payments in addition to </w:t>
      </w:r>
      <w:r w:rsidR="006653E7">
        <w:t xml:space="preserve"> firm</w:t>
      </w:r>
      <w:r w:rsidRPr="00801F39">
        <w:t xml:space="preserve">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 </w:t>
      </w:r>
    </w:p>
    <w:p w:rsidR="00834E7F" w:rsidRDefault="00834E7F" w:rsidP="003D0B77">
      <w:pPr>
        <w:pStyle w:val="BodyText"/>
        <w:spacing w:after="0"/>
      </w:pPr>
      <w:r>
        <w:t>Table 1 contains FPL’s estimates of the annual payments for each payment option available under the revised standard offer contract to an operator with a 50 MW facility operating at a capacity factor of 94 percent, which is the minimum capacity factor required under the contract to qualify for full capacity payments. N</w:t>
      </w:r>
      <w:r w:rsidRPr="0088185E">
        <w:t>ormal and levelized capacity payments begin with the projected in-service date o</w:t>
      </w:r>
      <w:r>
        <w:t>f the avoided unit (June 1, 2032</w:t>
      </w:r>
      <w:r w:rsidRPr="0088185E">
        <w:t>)</w:t>
      </w:r>
      <w:r>
        <w:t xml:space="preserve"> and continue for 10 years, while </w:t>
      </w:r>
      <w:r w:rsidRPr="0015673D">
        <w:t xml:space="preserve">early </w:t>
      </w:r>
      <w:r>
        <w:t>and</w:t>
      </w:r>
      <w:r w:rsidRPr="0015673D">
        <w:t xml:space="preserve"> early levelized capacity payments</w:t>
      </w:r>
      <w:r>
        <w:t xml:space="preserve"> begin </w:t>
      </w:r>
      <w:r w:rsidR="0020117B">
        <w:t>four</w:t>
      </w:r>
      <w:r>
        <w:t xml:space="preserve"> years prior to the in-service date, or 2028 for this example.</w:t>
      </w:r>
    </w:p>
    <w:p w:rsidR="003A411E" w:rsidRDefault="003A411E" w:rsidP="003D0B77">
      <w:pPr>
        <w:pStyle w:val="TableNumber"/>
        <w:keepNext/>
        <w:sectPr w:rsidR="003A411E" w:rsidSect="0068481F">
          <w:pgSz w:w="12240" w:h="15840" w:code="1"/>
          <w:pgMar w:top="1584" w:right="1440" w:bottom="1440" w:left="1440" w:header="720" w:footer="720" w:gutter="0"/>
          <w:cols w:space="720"/>
          <w:formProt w:val="0"/>
          <w:docGrid w:linePitch="360"/>
        </w:sectPr>
      </w:pPr>
    </w:p>
    <w:p w:rsidR="00834E7F" w:rsidRDefault="00834E7F" w:rsidP="003D0B77">
      <w:pPr>
        <w:pStyle w:val="TableNumber"/>
        <w:keepNext/>
      </w:pPr>
      <w:r>
        <w:lastRenderedPageBreak/>
        <w:t xml:space="preserve">Table </w:t>
      </w:r>
      <w:fldSimple w:instr=" SEQ Issue \c ">
        <w:r w:rsidR="006653E7">
          <w:rPr>
            <w:noProof/>
          </w:rPr>
          <w:t>1</w:t>
        </w:r>
      </w:fldSimple>
      <w:r>
        <w:t>-</w:t>
      </w:r>
      <w:r w:rsidRPr="004640DC">
        <w:rPr>
          <w:rFonts w:cs="Arial"/>
        </w:rPr>
        <w:t xml:space="preserve"> </w:t>
      </w:r>
      <w:r w:rsidRPr="00451CDD">
        <w:rPr>
          <w:rFonts w:cs="Arial"/>
        </w:rPr>
        <w:t>Estimated Annual Payments to a 50 MW Renewable Facility</w:t>
      </w:r>
    </w:p>
    <w:p w:rsidR="00834E7F" w:rsidRDefault="00834E7F" w:rsidP="00834E7F">
      <w:pPr>
        <w:pStyle w:val="TableTitle"/>
        <w:keepNext/>
      </w:pPr>
      <w:r>
        <w:rPr>
          <w:rFonts w:cs="Arial"/>
        </w:rPr>
        <w:t>(</w:t>
      </w:r>
      <w:r w:rsidRPr="004640DC">
        <w:rPr>
          <w:rFonts w:cs="Arial"/>
        </w:rPr>
        <w:t>94</w:t>
      </w:r>
      <w:r w:rsidRPr="00451CDD">
        <w:rPr>
          <w:rFonts w:cs="Arial"/>
        </w:rPr>
        <w:t>% Capacity Factor</w:t>
      </w:r>
      <w:r>
        <w:rPr>
          <w:rFonts w:cs="Arial"/>
        </w:rPr>
        <w:t>)</w:t>
      </w: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0F2674" w:rsidTr="00E66E68">
        <w:tc>
          <w:tcPr>
            <w:tcW w:w="1596" w:type="dxa"/>
            <w:vMerge w:val="restart"/>
          </w:tcPr>
          <w:p w:rsidR="000F2674" w:rsidRDefault="000F2674" w:rsidP="00E66E68"/>
          <w:p w:rsidR="000F2674" w:rsidRPr="004640DC" w:rsidRDefault="000F2674" w:rsidP="00E66E68">
            <w:pPr>
              <w:jc w:val="center"/>
            </w:pPr>
            <w:r>
              <w:rPr>
                <w:color w:val="000000"/>
              </w:rPr>
              <w:t>Year</w:t>
            </w:r>
          </w:p>
        </w:tc>
        <w:tc>
          <w:tcPr>
            <w:tcW w:w="1596" w:type="dxa"/>
            <w:vMerge w:val="restart"/>
          </w:tcPr>
          <w:p w:rsidR="000F2674" w:rsidRDefault="000F2674" w:rsidP="00E66E68">
            <w:pPr>
              <w:jc w:val="center"/>
            </w:pPr>
            <w:r>
              <w:rPr>
                <w:color w:val="000000"/>
              </w:rPr>
              <w:t>Energy Payment</w:t>
            </w:r>
          </w:p>
        </w:tc>
        <w:tc>
          <w:tcPr>
            <w:tcW w:w="6384" w:type="dxa"/>
            <w:gridSpan w:val="4"/>
          </w:tcPr>
          <w:p w:rsidR="000F2674" w:rsidRDefault="000F2674" w:rsidP="00E66E68">
            <w:pPr>
              <w:jc w:val="center"/>
            </w:pPr>
            <w:r>
              <w:rPr>
                <w:color w:val="000000"/>
              </w:rPr>
              <w:t>Capacity Payment</w:t>
            </w:r>
          </w:p>
        </w:tc>
      </w:tr>
      <w:tr w:rsidR="000F2674" w:rsidTr="00E66E68">
        <w:tc>
          <w:tcPr>
            <w:tcW w:w="1596" w:type="dxa"/>
            <w:vMerge/>
          </w:tcPr>
          <w:p w:rsidR="000F2674" w:rsidRDefault="000F2674" w:rsidP="00E66E68"/>
        </w:tc>
        <w:tc>
          <w:tcPr>
            <w:tcW w:w="1596" w:type="dxa"/>
            <w:vMerge/>
          </w:tcPr>
          <w:p w:rsidR="000F2674" w:rsidRDefault="000F2674" w:rsidP="00E66E68"/>
        </w:tc>
        <w:tc>
          <w:tcPr>
            <w:tcW w:w="1596" w:type="dxa"/>
            <w:vAlign w:val="center"/>
          </w:tcPr>
          <w:p w:rsidR="000F2674" w:rsidRDefault="000F2674" w:rsidP="00E66E68">
            <w:pPr>
              <w:jc w:val="center"/>
              <w:rPr>
                <w:color w:val="000000"/>
              </w:rPr>
            </w:pPr>
            <w:r>
              <w:rPr>
                <w:color w:val="000000"/>
              </w:rPr>
              <w:t>Normal</w:t>
            </w:r>
          </w:p>
        </w:tc>
        <w:tc>
          <w:tcPr>
            <w:tcW w:w="1596" w:type="dxa"/>
            <w:vAlign w:val="center"/>
          </w:tcPr>
          <w:p w:rsidR="000F2674" w:rsidRDefault="000F2674" w:rsidP="00E66E68">
            <w:pPr>
              <w:jc w:val="center"/>
              <w:rPr>
                <w:color w:val="000000"/>
              </w:rPr>
            </w:pPr>
            <w:r>
              <w:rPr>
                <w:color w:val="000000"/>
              </w:rPr>
              <w:t>Levelized</w:t>
            </w:r>
          </w:p>
        </w:tc>
        <w:tc>
          <w:tcPr>
            <w:tcW w:w="1596" w:type="dxa"/>
            <w:vAlign w:val="center"/>
          </w:tcPr>
          <w:p w:rsidR="000F2674" w:rsidRDefault="000F2674" w:rsidP="00E66E68">
            <w:pPr>
              <w:jc w:val="center"/>
              <w:rPr>
                <w:color w:val="000000"/>
              </w:rPr>
            </w:pPr>
            <w:r>
              <w:rPr>
                <w:color w:val="000000"/>
              </w:rPr>
              <w:t>Early</w:t>
            </w:r>
          </w:p>
        </w:tc>
        <w:tc>
          <w:tcPr>
            <w:tcW w:w="1596" w:type="dxa"/>
            <w:vAlign w:val="center"/>
          </w:tcPr>
          <w:p w:rsidR="000F2674" w:rsidRDefault="000F2674" w:rsidP="00E66E68">
            <w:pPr>
              <w:jc w:val="center"/>
              <w:rPr>
                <w:color w:val="000000"/>
              </w:rPr>
            </w:pPr>
            <w:r>
              <w:rPr>
                <w:color w:val="000000"/>
              </w:rPr>
              <w:t>Early Levelized</w:t>
            </w:r>
          </w:p>
        </w:tc>
      </w:tr>
      <w:tr w:rsidR="000F2674" w:rsidTr="00E66E68">
        <w:tc>
          <w:tcPr>
            <w:tcW w:w="1596" w:type="dxa"/>
            <w:vMerge/>
          </w:tcPr>
          <w:p w:rsidR="000F2674" w:rsidRDefault="000F2674" w:rsidP="00E66E68"/>
        </w:tc>
        <w:tc>
          <w:tcPr>
            <w:tcW w:w="1596" w:type="dxa"/>
            <w:vAlign w:val="center"/>
          </w:tcPr>
          <w:p w:rsidR="000F2674" w:rsidRDefault="000F2674" w:rsidP="00E66E68">
            <w:pPr>
              <w:jc w:val="center"/>
              <w:rPr>
                <w:color w:val="000000"/>
              </w:rPr>
            </w:pPr>
            <w:r>
              <w:rPr>
                <w:color w:val="000000"/>
              </w:rPr>
              <w:t>$(000)</w:t>
            </w:r>
          </w:p>
        </w:tc>
        <w:tc>
          <w:tcPr>
            <w:tcW w:w="1596" w:type="dxa"/>
            <w:vAlign w:val="center"/>
          </w:tcPr>
          <w:p w:rsidR="000F2674" w:rsidRDefault="000F2674" w:rsidP="00E66E68">
            <w:pPr>
              <w:jc w:val="center"/>
              <w:rPr>
                <w:color w:val="000000"/>
              </w:rPr>
            </w:pPr>
            <w:r>
              <w:rPr>
                <w:color w:val="000000"/>
              </w:rPr>
              <w:t>$(000)</w:t>
            </w:r>
          </w:p>
        </w:tc>
        <w:tc>
          <w:tcPr>
            <w:tcW w:w="1596" w:type="dxa"/>
            <w:vAlign w:val="center"/>
          </w:tcPr>
          <w:p w:rsidR="000F2674" w:rsidRDefault="000F2674" w:rsidP="00E66E68">
            <w:pPr>
              <w:jc w:val="center"/>
              <w:rPr>
                <w:color w:val="000000"/>
              </w:rPr>
            </w:pPr>
            <w:r>
              <w:rPr>
                <w:color w:val="000000"/>
              </w:rPr>
              <w:t>$(000)</w:t>
            </w:r>
          </w:p>
        </w:tc>
        <w:tc>
          <w:tcPr>
            <w:tcW w:w="1596" w:type="dxa"/>
            <w:vAlign w:val="center"/>
          </w:tcPr>
          <w:p w:rsidR="000F2674" w:rsidRDefault="000F2674" w:rsidP="00E66E68">
            <w:pPr>
              <w:jc w:val="center"/>
              <w:rPr>
                <w:color w:val="000000"/>
              </w:rPr>
            </w:pPr>
            <w:r>
              <w:rPr>
                <w:color w:val="000000"/>
              </w:rPr>
              <w:t>$(000)</w:t>
            </w:r>
          </w:p>
        </w:tc>
        <w:tc>
          <w:tcPr>
            <w:tcW w:w="1596" w:type="dxa"/>
            <w:vAlign w:val="center"/>
          </w:tcPr>
          <w:p w:rsidR="000F2674" w:rsidRDefault="000F2674" w:rsidP="00E66E68">
            <w:pPr>
              <w:jc w:val="center"/>
              <w:rPr>
                <w:color w:val="000000"/>
              </w:rPr>
            </w:pPr>
            <w:r>
              <w:rPr>
                <w:color w:val="000000"/>
              </w:rPr>
              <w:t>$(000)</w:t>
            </w:r>
          </w:p>
        </w:tc>
      </w:tr>
      <w:tr w:rsidR="000F2674" w:rsidTr="00E66E68">
        <w:trPr>
          <w:trHeight w:val="251"/>
        </w:trPr>
        <w:tc>
          <w:tcPr>
            <w:tcW w:w="1596" w:type="dxa"/>
            <w:vAlign w:val="center"/>
          </w:tcPr>
          <w:p w:rsidR="000F2674" w:rsidRDefault="000F2674" w:rsidP="00E66E68">
            <w:pPr>
              <w:jc w:val="center"/>
              <w:rPr>
                <w:color w:val="000000"/>
              </w:rPr>
            </w:pPr>
            <w:r>
              <w:rPr>
                <w:color w:val="000000"/>
              </w:rPr>
              <w:t>2023</w:t>
            </w:r>
          </w:p>
        </w:tc>
        <w:tc>
          <w:tcPr>
            <w:tcW w:w="1596" w:type="dxa"/>
            <w:shd w:val="clear" w:color="auto" w:fill="auto"/>
          </w:tcPr>
          <w:p w:rsidR="000F2674" w:rsidRPr="009A4573" w:rsidRDefault="000F2674" w:rsidP="00E66E68">
            <w:pPr>
              <w:jc w:val="center"/>
            </w:pPr>
            <w:r w:rsidRPr="009A4573">
              <w:t>10,849</w:t>
            </w:r>
          </w:p>
        </w:tc>
        <w:tc>
          <w:tcPr>
            <w:tcW w:w="1596" w:type="dxa"/>
            <w:shd w:val="clear" w:color="auto" w:fill="auto"/>
            <w:vAlign w:val="center"/>
          </w:tcPr>
          <w:p w:rsidR="000F2674" w:rsidRDefault="000F2674" w:rsidP="00E66E68">
            <w:pPr>
              <w:jc w:val="center"/>
              <w:rPr>
                <w:color w:val="000000"/>
              </w:rPr>
            </w:pPr>
            <w:r>
              <w:rPr>
                <w:color w:val="000000"/>
              </w:rPr>
              <w:t>-</w:t>
            </w:r>
          </w:p>
        </w:tc>
        <w:tc>
          <w:tcPr>
            <w:tcW w:w="1596" w:type="dxa"/>
            <w:shd w:val="clear" w:color="auto" w:fill="auto"/>
            <w:vAlign w:val="center"/>
          </w:tcPr>
          <w:p w:rsidR="000F2674" w:rsidRDefault="000F2674" w:rsidP="00E66E68">
            <w:pPr>
              <w:jc w:val="center"/>
            </w:pPr>
            <w:r w:rsidRPr="0019308F">
              <w:rPr>
                <w:color w:val="000000"/>
              </w:rPr>
              <w:t>-</w:t>
            </w:r>
          </w:p>
        </w:tc>
        <w:tc>
          <w:tcPr>
            <w:tcW w:w="1596" w:type="dxa"/>
            <w:shd w:val="clear" w:color="auto" w:fill="auto"/>
            <w:vAlign w:val="center"/>
          </w:tcPr>
          <w:p w:rsidR="000F2674" w:rsidRDefault="000F2674" w:rsidP="00E66E68">
            <w:pPr>
              <w:jc w:val="center"/>
            </w:pPr>
            <w:r w:rsidRPr="00BB1C47">
              <w:rPr>
                <w:color w:val="000000"/>
              </w:rPr>
              <w:t>-</w:t>
            </w:r>
          </w:p>
        </w:tc>
        <w:tc>
          <w:tcPr>
            <w:tcW w:w="1596" w:type="dxa"/>
            <w:shd w:val="clear" w:color="auto" w:fill="auto"/>
            <w:vAlign w:val="center"/>
          </w:tcPr>
          <w:p w:rsidR="000F2674" w:rsidRDefault="000F2674" w:rsidP="00E66E68">
            <w:pPr>
              <w:jc w:val="center"/>
            </w:pPr>
            <w:r w:rsidRPr="00FC76EF">
              <w:rPr>
                <w:color w:val="000000"/>
              </w:rPr>
              <w:t>-</w:t>
            </w:r>
          </w:p>
        </w:tc>
      </w:tr>
      <w:tr w:rsidR="000F2674" w:rsidTr="00E66E68">
        <w:tc>
          <w:tcPr>
            <w:tcW w:w="1596" w:type="dxa"/>
            <w:vAlign w:val="center"/>
          </w:tcPr>
          <w:p w:rsidR="000F2674" w:rsidRDefault="000F2674" w:rsidP="00E66E68">
            <w:pPr>
              <w:jc w:val="center"/>
              <w:rPr>
                <w:color w:val="000000"/>
              </w:rPr>
            </w:pPr>
            <w:r>
              <w:rPr>
                <w:color w:val="000000"/>
              </w:rPr>
              <w:t>2024</w:t>
            </w:r>
          </w:p>
        </w:tc>
        <w:tc>
          <w:tcPr>
            <w:tcW w:w="1596" w:type="dxa"/>
            <w:shd w:val="clear" w:color="auto" w:fill="auto"/>
          </w:tcPr>
          <w:p w:rsidR="000F2674" w:rsidRPr="009A4573" w:rsidRDefault="000F2674" w:rsidP="00E66E68">
            <w:pPr>
              <w:jc w:val="center"/>
            </w:pPr>
            <w:r w:rsidRPr="009A4573">
              <w:t>8,776</w:t>
            </w:r>
          </w:p>
        </w:tc>
        <w:tc>
          <w:tcPr>
            <w:tcW w:w="1596" w:type="dxa"/>
            <w:shd w:val="clear" w:color="auto" w:fill="auto"/>
            <w:vAlign w:val="center"/>
          </w:tcPr>
          <w:p w:rsidR="000F2674" w:rsidRDefault="000F2674" w:rsidP="00E66E68">
            <w:pPr>
              <w:jc w:val="center"/>
            </w:pPr>
            <w:r w:rsidRPr="00F9275D">
              <w:rPr>
                <w:color w:val="000000"/>
              </w:rPr>
              <w:t>-</w:t>
            </w:r>
          </w:p>
        </w:tc>
        <w:tc>
          <w:tcPr>
            <w:tcW w:w="1596" w:type="dxa"/>
            <w:shd w:val="clear" w:color="auto" w:fill="auto"/>
            <w:vAlign w:val="center"/>
          </w:tcPr>
          <w:p w:rsidR="000F2674" w:rsidRDefault="000F2674" w:rsidP="00E66E68">
            <w:pPr>
              <w:jc w:val="center"/>
            </w:pPr>
            <w:r w:rsidRPr="0019308F">
              <w:rPr>
                <w:color w:val="000000"/>
              </w:rPr>
              <w:t>-</w:t>
            </w:r>
          </w:p>
        </w:tc>
        <w:tc>
          <w:tcPr>
            <w:tcW w:w="1596" w:type="dxa"/>
            <w:shd w:val="clear" w:color="auto" w:fill="auto"/>
            <w:vAlign w:val="center"/>
          </w:tcPr>
          <w:p w:rsidR="000F2674" w:rsidRDefault="000F2674" w:rsidP="00E66E68">
            <w:pPr>
              <w:jc w:val="center"/>
            </w:pPr>
            <w:r w:rsidRPr="00BB1C47">
              <w:rPr>
                <w:color w:val="000000"/>
              </w:rPr>
              <w:t>-</w:t>
            </w:r>
          </w:p>
        </w:tc>
        <w:tc>
          <w:tcPr>
            <w:tcW w:w="1596" w:type="dxa"/>
            <w:shd w:val="clear" w:color="auto" w:fill="auto"/>
            <w:vAlign w:val="center"/>
          </w:tcPr>
          <w:p w:rsidR="000F2674" w:rsidRDefault="000F2674" w:rsidP="00E66E68">
            <w:pPr>
              <w:jc w:val="center"/>
            </w:pPr>
            <w:r w:rsidRPr="00FC76EF">
              <w:rPr>
                <w:color w:val="000000"/>
              </w:rPr>
              <w:t>-</w:t>
            </w:r>
          </w:p>
        </w:tc>
      </w:tr>
      <w:tr w:rsidR="000F2674" w:rsidTr="00E66E68">
        <w:tc>
          <w:tcPr>
            <w:tcW w:w="1596" w:type="dxa"/>
            <w:vAlign w:val="center"/>
          </w:tcPr>
          <w:p w:rsidR="000F2674" w:rsidRDefault="000F2674" w:rsidP="00E66E68">
            <w:pPr>
              <w:jc w:val="center"/>
              <w:rPr>
                <w:color w:val="000000"/>
              </w:rPr>
            </w:pPr>
            <w:r>
              <w:rPr>
                <w:color w:val="000000"/>
              </w:rPr>
              <w:t>2025</w:t>
            </w:r>
          </w:p>
        </w:tc>
        <w:tc>
          <w:tcPr>
            <w:tcW w:w="1596" w:type="dxa"/>
            <w:shd w:val="clear" w:color="auto" w:fill="auto"/>
          </w:tcPr>
          <w:p w:rsidR="000F2674" w:rsidRPr="009A4573" w:rsidRDefault="000F2674" w:rsidP="00E66E68">
            <w:pPr>
              <w:jc w:val="center"/>
            </w:pPr>
            <w:r w:rsidRPr="009A4573">
              <w:t>8,929</w:t>
            </w:r>
          </w:p>
        </w:tc>
        <w:tc>
          <w:tcPr>
            <w:tcW w:w="1596" w:type="dxa"/>
            <w:shd w:val="clear" w:color="auto" w:fill="auto"/>
            <w:vAlign w:val="center"/>
          </w:tcPr>
          <w:p w:rsidR="000F2674" w:rsidRDefault="000F2674" w:rsidP="00E66E68">
            <w:pPr>
              <w:jc w:val="center"/>
            </w:pPr>
            <w:r w:rsidRPr="00F9275D">
              <w:rPr>
                <w:color w:val="000000"/>
              </w:rPr>
              <w:t>-</w:t>
            </w:r>
          </w:p>
        </w:tc>
        <w:tc>
          <w:tcPr>
            <w:tcW w:w="1596" w:type="dxa"/>
            <w:shd w:val="clear" w:color="auto" w:fill="auto"/>
            <w:vAlign w:val="center"/>
          </w:tcPr>
          <w:p w:rsidR="000F2674" w:rsidRDefault="000F2674" w:rsidP="00E66E68">
            <w:pPr>
              <w:jc w:val="center"/>
            </w:pPr>
            <w:r w:rsidRPr="0019308F">
              <w:rPr>
                <w:color w:val="000000"/>
              </w:rPr>
              <w:t>-</w:t>
            </w:r>
          </w:p>
        </w:tc>
        <w:tc>
          <w:tcPr>
            <w:tcW w:w="1596" w:type="dxa"/>
            <w:shd w:val="clear" w:color="auto" w:fill="auto"/>
            <w:vAlign w:val="center"/>
          </w:tcPr>
          <w:p w:rsidR="000F2674" w:rsidRDefault="000F2674" w:rsidP="00E66E68">
            <w:pPr>
              <w:jc w:val="center"/>
            </w:pPr>
            <w:r w:rsidRPr="00BB1C47">
              <w:rPr>
                <w:color w:val="000000"/>
              </w:rPr>
              <w:t>-</w:t>
            </w:r>
          </w:p>
        </w:tc>
        <w:tc>
          <w:tcPr>
            <w:tcW w:w="1596" w:type="dxa"/>
            <w:shd w:val="clear" w:color="auto" w:fill="auto"/>
            <w:vAlign w:val="center"/>
          </w:tcPr>
          <w:p w:rsidR="000F2674" w:rsidRDefault="000F2674" w:rsidP="00E66E68">
            <w:pPr>
              <w:jc w:val="center"/>
            </w:pPr>
            <w:r w:rsidRPr="00FC76EF">
              <w:rPr>
                <w:color w:val="000000"/>
              </w:rPr>
              <w:t>-</w:t>
            </w:r>
          </w:p>
        </w:tc>
      </w:tr>
      <w:tr w:rsidR="000F2674" w:rsidTr="00E66E68">
        <w:tc>
          <w:tcPr>
            <w:tcW w:w="1596" w:type="dxa"/>
            <w:vAlign w:val="center"/>
          </w:tcPr>
          <w:p w:rsidR="000F2674" w:rsidRDefault="000F2674" w:rsidP="00E66E68">
            <w:pPr>
              <w:jc w:val="center"/>
              <w:rPr>
                <w:color w:val="000000"/>
              </w:rPr>
            </w:pPr>
            <w:r>
              <w:rPr>
                <w:color w:val="000000"/>
              </w:rPr>
              <w:t>2026</w:t>
            </w:r>
          </w:p>
        </w:tc>
        <w:tc>
          <w:tcPr>
            <w:tcW w:w="1596" w:type="dxa"/>
            <w:shd w:val="clear" w:color="auto" w:fill="auto"/>
          </w:tcPr>
          <w:p w:rsidR="000F2674" w:rsidRPr="009A4573" w:rsidRDefault="000F2674" w:rsidP="00E66E68">
            <w:pPr>
              <w:jc w:val="center"/>
            </w:pPr>
            <w:r w:rsidRPr="009A4573">
              <w:t>9,196</w:t>
            </w:r>
          </w:p>
        </w:tc>
        <w:tc>
          <w:tcPr>
            <w:tcW w:w="1596" w:type="dxa"/>
            <w:shd w:val="clear" w:color="auto" w:fill="auto"/>
            <w:vAlign w:val="center"/>
          </w:tcPr>
          <w:p w:rsidR="000F2674" w:rsidRDefault="000F2674" w:rsidP="00E66E68">
            <w:pPr>
              <w:jc w:val="center"/>
            </w:pPr>
            <w:r w:rsidRPr="00F9275D">
              <w:rPr>
                <w:color w:val="000000"/>
              </w:rPr>
              <w:t>-</w:t>
            </w:r>
          </w:p>
        </w:tc>
        <w:tc>
          <w:tcPr>
            <w:tcW w:w="1596" w:type="dxa"/>
            <w:shd w:val="clear" w:color="auto" w:fill="auto"/>
            <w:vAlign w:val="center"/>
          </w:tcPr>
          <w:p w:rsidR="000F2674" w:rsidRDefault="000F2674" w:rsidP="00E66E68">
            <w:pPr>
              <w:jc w:val="center"/>
            </w:pPr>
            <w:r w:rsidRPr="0019308F">
              <w:rPr>
                <w:color w:val="000000"/>
              </w:rPr>
              <w:t>-</w:t>
            </w:r>
          </w:p>
        </w:tc>
        <w:tc>
          <w:tcPr>
            <w:tcW w:w="1596" w:type="dxa"/>
            <w:shd w:val="clear" w:color="auto" w:fill="auto"/>
            <w:vAlign w:val="center"/>
          </w:tcPr>
          <w:p w:rsidR="000F2674" w:rsidRDefault="000F2674" w:rsidP="00E66E68">
            <w:pPr>
              <w:jc w:val="center"/>
            </w:pPr>
            <w:r w:rsidRPr="00BB1C47">
              <w:rPr>
                <w:color w:val="000000"/>
              </w:rPr>
              <w:t>-</w:t>
            </w:r>
          </w:p>
        </w:tc>
        <w:tc>
          <w:tcPr>
            <w:tcW w:w="1596" w:type="dxa"/>
            <w:shd w:val="clear" w:color="auto" w:fill="auto"/>
            <w:vAlign w:val="center"/>
          </w:tcPr>
          <w:p w:rsidR="000F2674" w:rsidRDefault="000F2674" w:rsidP="00E66E68">
            <w:pPr>
              <w:jc w:val="center"/>
            </w:pPr>
            <w:r w:rsidRPr="00FC76EF">
              <w:rPr>
                <w:color w:val="000000"/>
              </w:rPr>
              <w:t>-</w:t>
            </w:r>
          </w:p>
        </w:tc>
      </w:tr>
      <w:tr w:rsidR="000F2674" w:rsidTr="00E66E68">
        <w:tc>
          <w:tcPr>
            <w:tcW w:w="1596" w:type="dxa"/>
            <w:vAlign w:val="center"/>
          </w:tcPr>
          <w:p w:rsidR="000F2674" w:rsidRDefault="000F2674" w:rsidP="00E66E68">
            <w:pPr>
              <w:jc w:val="center"/>
              <w:rPr>
                <w:color w:val="000000"/>
              </w:rPr>
            </w:pPr>
            <w:r>
              <w:rPr>
                <w:color w:val="000000"/>
              </w:rPr>
              <w:t>2027</w:t>
            </w:r>
          </w:p>
        </w:tc>
        <w:tc>
          <w:tcPr>
            <w:tcW w:w="1596" w:type="dxa"/>
            <w:shd w:val="clear" w:color="auto" w:fill="auto"/>
          </w:tcPr>
          <w:p w:rsidR="000F2674" w:rsidRPr="007E7430" w:rsidRDefault="000F2674" w:rsidP="00E66E68">
            <w:pPr>
              <w:jc w:val="center"/>
            </w:pPr>
            <w:r w:rsidRPr="007E7430">
              <w:t>8,917</w:t>
            </w:r>
          </w:p>
        </w:tc>
        <w:tc>
          <w:tcPr>
            <w:tcW w:w="1596" w:type="dxa"/>
            <w:shd w:val="clear" w:color="auto" w:fill="auto"/>
            <w:vAlign w:val="center"/>
          </w:tcPr>
          <w:p w:rsidR="000F2674" w:rsidRPr="007E7430" w:rsidRDefault="000F2674" w:rsidP="00E66E68">
            <w:pPr>
              <w:jc w:val="center"/>
            </w:pPr>
            <w:r w:rsidRPr="007E7430">
              <w:rPr>
                <w:color w:val="000000"/>
              </w:rPr>
              <w:t>-</w:t>
            </w:r>
          </w:p>
        </w:tc>
        <w:tc>
          <w:tcPr>
            <w:tcW w:w="1596" w:type="dxa"/>
            <w:shd w:val="clear" w:color="auto" w:fill="auto"/>
            <w:vAlign w:val="center"/>
          </w:tcPr>
          <w:p w:rsidR="000F2674" w:rsidRPr="007E7430" w:rsidRDefault="000F2674" w:rsidP="00E66E68">
            <w:pPr>
              <w:jc w:val="center"/>
            </w:pPr>
            <w:r w:rsidRPr="007E7430">
              <w:rPr>
                <w:color w:val="000000"/>
              </w:rPr>
              <w:t>-</w:t>
            </w:r>
          </w:p>
        </w:tc>
        <w:tc>
          <w:tcPr>
            <w:tcW w:w="1596" w:type="dxa"/>
            <w:shd w:val="clear" w:color="auto" w:fill="auto"/>
            <w:vAlign w:val="center"/>
          </w:tcPr>
          <w:p w:rsidR="000F2674" w:rsidRPr="007E7430" w:rsidRDefault="000F2674" w:rsidP="00E66E68">
            <w:pPr>
              <w:jc w:val="center"/>
            </w:pPr>
            <w:r w:rsidRPr="007E7430">
              <w:rPr>
                <w:color w:val="000000"/>
              </w:rPr>
              <w:t>-</w:t>
            </w:r>
          </w:p>
        </w:tc>
        <w:tc>
          <w:tcPr>
            <w:tcW w:w="1596" w:type="dxa"/>
            <w:shd w:val="clear" w:color="auto" w:fill="auto"/>
            <w:vAlign w:val="center"/>
          </w:tcPr>
          <w:p w:rsidR="000F2674" w:rsidRPr="007E7430" w:rsidRDefault="000F2674" w:rsidP="00E66E68">
            <w:pPr>
              <w:jc w:val="center"/>
            </w:pPr>
            <w:r w:rsidRPr="007E7430">
              <w:rPr>
                <w:color w:val="000000"/>
              </w:rPr>
              <w:t>-</w:t>
            </w:r>
          </w:p>
        </w:tc>
      </w:tr>
      <w:tr w:rsidR="000F2674" w:rsidTr="00E66E68">
        <w:tc>
          <w:tcPr>
            <w:tcW w:w="1596" w:type="dxa"/>
            <w:vAlign w:val="center"/>
          </w:tcPr>
          <w:p w:rsidR="000F2674" w:rsidRDefault="000F2674" w:rsidP="00E66E68">
            <w:pPr>
              <w:jc w:val="center"/>
              <w:rPr>
                <w:color w:val="000000"/>
              </w:rPr>
            </w:pPr>
            <w:r>
              <w:rPr>
                <w:color w:val="000000"/>
              </w:rPr>
              <w:t>2028</w:t>
            </w:r>
          </w:p>
        </w:tc>
        <w:tc>
          <w:tcPr>
            <w:tcW w:w="1596" w:type="dxa"/>
            <w:shd w:val="clear" w:color="auto" w:fill="auto"/>
          </w:tcPr>
          <w:p w:rsidR="000F2674" w:rsidRPr="007E7430" w:rsidRDefault="000F2674" w:rsidP="00E66E68">
            <w:pPr>
              <w:jc w:val="center"/>
            </w:pPr>
            <w:r w:rsidRPr="007E7430">
              <w:t>9,389</w:t>
            </w:r>
          </w:p>
        </w:tc>
        <w:tc>
          <w:tcPr>
            <w:tcW w:w="1596" w:type="dxa"/>
            <w:shd w:val="clear" w:color="auto" w:fill="auto"/>
            <w:vAlign w:val="center"/>
          </w:tcPr>
          <w:p w:rsidR="000F2674" w:rsidRPr="007E7430" w:rsidRDefault="000F2674" w:rsidP="00E66E68">
            <w:pPr>
              <w:jc w:val="center"/>
            </w:pPr>
            <w:r w:rsidRPr="007E7430">
              <w:rPr>
                <w:color w:val="000000"/>
              </w:rPr>
              <w:t>-</w:t>
            </w:r>
          </w:p>
        </w:tc>
        <w:tc>
          <w:tcPr>
            <w:tcW w:w="1596" w:type="dxa"/>
            <w:shd w:val="clear" w:color="auto" w:fill="auto"/>
            <w:vAlign w:val="center"/>
          </w:tcPr>
          <w:p w:rsidR="000F2674" w:rsidRPr="007E7430" w:rsidRDefault="000F2674" w:rsidP="00E66E68">
            <w:pPr>
              <w:jc w:val="center"/>
            </w:pPr>
            <w:r w:rsidRPr="007E7430">
              <w:rPr>
                <w:color w:val="000000"/>
              </w:rPr>
              <w:t>-</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1,211</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1,358</w:t>
            </w:r>
          </w:p>
        </w:tc>
      </w:tr>
      <w:tr w:rsidR="000F2674" w:rsidTr="00E66E68">
        <w:tc>
          <w:tcPr>
            <w:tcW w:w="1596" w:type="dxa"/>
            <w:vAlign w:val="center"/>
          </w:tcPr>
          <w:p w:rsidR="000F2674" w:rsidRDefault="000F2674" w:rsidP="00E66E68">
            <w:pPr>
              <w:jc w:val="center"/>
              <w:rPr>
                <w:color w:val="000000"/>
              </w:rPr>
            </w:pPr>
            <w:r>
              <w:rPr>
                <w:color w:val="000000"/>
              </w:rPr>
              <w:t>2029</w:t>
            </w:r>
          </w:p>
        </w:tc>
        <w:tc>
          <w:tcPr>
            <w:tcW w:w="1596" w:type="dxa"/>
            <w:shd w:val="clear" w:color="auto" w:fill="auto"/>
          </w:tcPr>
          <w:p w:rsidR="000F2674" w:rsidRPr="007E7430" w:rsidRDefault="000F2674" w:rsidP="00E66E68">
            <w:pPr>
              <w:jc w:val="center"/>
            </w:pPr>
            <w:r w:rsidRPr="007E7430">
              <w:t>10,160</w:t>
            </w:r>
          </w:p>
        </w:tc>
        <w:tc>
          <w:tcPr>
            <w:tcW w:w="1596" w:type="dxa"/>
            <w:shd w:val="clear" w:color="auto" w:fill="auto"/>
            <w:vAlign w:val="center"/>
          </w:tcPr>
          <w:p w:rsidR="000F2674" w:rsidRPr="007E7430" w:rsidRDefault="000F2674" w:rsidP="00E66E68">
            <w:pPr>
              <w:jc w:val="center"/>
            </w:pPr>
            <w:r w:rsidRPr="007E7430">
              <w:rPr>
                <w:color w:val="000000"/>
              </w:rPr>
              <w:t>-</w:t>
            </w:r>
          </w:p>
        </w:tc>
        <w:tc>
          <w:tcPr>
            <w:tcW w:w="1596" w:type="dxa"/>
            <w:shd w:val="clear" w:color="auto" w:fill="auto"/>
            <w:vAlign w:val="center"/>
          </w:tcPr>
          <w:p w:rsidR="000F2674" w:rsidRPr="007E7430" w:rsidRDefault="000F2674" w:rsidP="00E66E68">
            <w:pPr>
              <w:jc w:val="center"/>
            </w:pPr>
            <w:r w:rsidRPr="007E7430">
              <w:rPr>
                <w:color w:val="000000"/>
              </w:rPr>
              <w:t>-</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2,102</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2,328</w:t>
            </w:r>
          </w:p>
        </w:tc>
      </w:tr>
      <w:tr w:rsidR="000F2674" w:rsidTr="00E66E68">
        <w:tc>
          <w:tcPr>
            <w:tcW w:w="1596" w:type="dxa"/>
            <w:vAlign w:val="center"/>
          </w:tcPr>
          <w:p w:rsidR="000F2674" w:rsidRDefault="000F2674" w:rsidP="00E66E68">
            <w:pPr>
              <w:jc w:val="center"/>
              <w:rPr>
                <w:color w:val="000000"/>
              </w:rPr>
            </w:pPr>
            <w:r>
              <w:rPr>
                <w:color w:val="000000"/>
              </w:rPr>
              <w:t>2030</w:t>
            </w:r>
          </w:p>
        </w:tc>
        <w:tc>
          <w:tcPr>
            <w:tcW w:w="1596" w:type="dxa"/>
            <w:shd w:val="clear" w:color="auto" w:fill="auto"/>
          </w:tcPr>
          <w:p w:rsidR="000F2674" w:rsidRPr="007E7430" w:rsidRDefault="000F2674" w:rsidP="00E66E68">
            <w:pPr>
              <w:jc w:val="center"/>
            </w:pPr>
            <w:r w:rsidRPr="007E7430">
              <w:t>10,595</w:t>
            </w:r>
          </w:p>
        </w:tc>
        <w:tc>
          <w:tcPr>
            <w:tcW w:w="1596" w:type="dxa"/>
            <w:shd w:val="clear" w:color="auto" w:fill="auto"/>
            <w:vAlign w:val="center"/>
          </w:tcPr>
          <w:p w:rsidR="000F2674" w:rsidRPr="007E7430" w:rsidRDefault="000F2674" w:rsidP="00E66E68">
            <w:pPr>
              <w:jc w:val="center"/>
            </w:pPr>
            <w:r w:rsidRPr="007E7430">
              <w:rPr>
                <w:color w:val="000000"/>
              </w:rPr>
              <w:t>-</w:t>
            </w:r>
          </w:p>
        </w:tc>
        <w:tc>
          <w:tcPr>
            <w:tcW w:w="1596" w:type="dxa"/>
            <w:shd w:val="clear" w:color="auto" w:fill="auto"/>
            <w:vAlign w:val="center"/>
          </w:tcPr>
          <w:p w:rsidR="000F2674" w:rsidRPr="007E7430" w:rsidRDefault="000F2674" w:rsidP="00E66E68">
            <w:pPr>
              <w:jc w:val="center"/>
            </w:pPr>
            <w:r w:rsidRPr="007E7430">
              <w:rPr>
                <w:color w:val="000000"/>
              </w:rPr>
              <w:t>-</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2,146</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2,328</w:t>
            </w:r>
          </w:p>
        </w:tc>
      </w:tr>
      <w:tr w:rsidR="000F2674" w:rsidTr="00E66E68">
        <w:tc>
          <w:tcPr>
            <w:tcW w:w="1596" w:type="dxa"/>
            <w:vAlign w:val="center"/>
          </w:tcPr>
          <w:p w:rsidR="000F2674" w:rsidRDefault="000F2674" w:rsidP="00E66E68">
            <w:pPr>
              <w:jc w:val="center"/>
              <w:rPr>
                <w:color w:val="000000"/>
              </w:rPr>
            </w:pPr>
            <w:r>
              <w:rPr>
                <w:color w:val="000000"/>
              </w:rPr>
              <w:t>2031</w:t>
            </w:r>
          </w:p>
        </w:tc>
        <w:tc>
          <w:tcPr>
            <w:tcW w:w="1596" w:type="dxa"/>
            <w:shd w:val="clear" w:color="auto" w:fill="auto"/>
          </w:tcPr>
          <w:p w:rsidR="000F2674" w:rsidRPr="007E7430" w:rsidRDefault="000F2674" w:rsidP="00E66E68">
            <w:pPr>
              <w:jc w:val="center"/>
            </w:pPr>
            <w:r w:rsidRPr="007E7430">
              <w:t>10,861</w:t>
            </w:r>
          </w:p>
        </w:tc>
        <w:tc>
          <w:tcPr>
            <w:tcW w:w="1596" w:type="dxa"/>
            <w:shd w:val="clear" w:color="auto" w:fill="auto"/>
            <w:vAlign w:val="center"/>
          </w:tcPr>
          <w:p w:rsidR="000F2674" w:rsidRPr="007E7430" w:rsidRDefault="000F2674" w:rsidP="00E66E68">
            <w:pPr>
              <w:jc w:val="center"/>
            </w:pPr>
            <w:r w:rsidRPr="007E7430">
              <w:rPr>
                <w:color w:val="000000"/>
              </w:rPr>
              <w:t>-</w:t>
            </w:r>
          </w:p>
        </w:tc>
        <w:tc>
          <w:tcPr>
            <w:tcW w:w="1596" w:type="dxa"/>
            <w:shd w:val="clear" w:color="auto" w:fill="auto"/>
            <w:vAlign w:val="center"/>
          </w:tcPr>
          <w:p w:rsidR="000F2674" w:rsidRPr="007E7430" w:rsidRDefault="000F2674" w:rsidP="00E66E68">
            <w:pPr>
              <w:jc w:val="center"/>
            </w:pPr>
            <w:r w:rsidRPr="007E7430">
              <w:rPr>
                <w:color w:val="000000"/>
              </w:rPr>
              <w:t>-</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2,191</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2,328</w:t>
            </w:r>
          </w:p>
        </w:tc>
      </w:tr>
      <w:tr w:rsidR="000F2674" w:rsidTr="00E66E68">
        <w:tc>
          <w:tcPr>
            <w:tcW w:w="1596" w:type="dxa"/>
            <w:vAlign w:val="center"/>
          </w:tcPr>
          <w:p w:rsidR="000F2674" w:rsidRDefault="000F2674" w:rsidP="00E66E68">
            <w:pPr>
              <w:jc w:val="center"/>
              <w:rPr>
                <w:color w:val="000000"/>
              </w:rPr>
            </w:pPr>
            <w:r>
              <w:rPr>
                <w:color w:val="000000"/>
              </w:rPr>
              <w:t>2032</w:t>
            </w:r>
          </w:p>
        </w:tc>
        <w:tc>
          <w:tcPr>
            <w:tcW w:w="1596" w:type="dxa"/>
            <w:shd w:val="clear" w:color="auto" w:fill="auto"/>
          </w:tcPr>
          <w:p w:rsidR="000F2674" w:rsidRPr="007E7430" w:rsidRDefault="000F2674" w:rsidP="00E66E68">
            <w:pPr>
              <w:jc w:val="center"/>
            </w:pPr>
            <w:r>
              <w:t>10,</w:t>
            </w:r>
            <w:r w:rsidRPr="007E7430">
              <w:t>409</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2,064</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2,243</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2,237</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2,328</w:t>
            </w:r>
          </w:p>
        </w:tc>
      </w:tr>
      <w:tr w:rsidR="000F2674" w:rsidTr="00E66E68">
        <w:tc>
          <w:tcPr>
            <w:tcW w:w="1596" w:type="dxa"/>
            <w:vAlign w:val="center"/>
          </w:tcPr>
          <w:p w:rsidR="000F2674" w:rsidRDefault="000F2674" w:rsidP="00E66E68">
            <w:pPr>
              <w:jc w:val="center"/>
              <w:rPr>
                <w:color w:val="000000"/>
              </w:rPr>
            </w:pPr>
            <w:r>
              <w:rPr>
                <w:color w:val="000000"/>
              </w:rPr>
              <w:t>2033</w:t>
            </w:r>
          </w:p>
        </w:tc>
        <w:tc>
          <w:tcPr>
            <w:tcW w:w="1596" w:type="dxa"/>
            <w:shd w:val="clear" w:color="auto" w:fill="auto"/>
          </w:tcPr>
          <w:p w:rsidR="000F2674" w:rsidRPr="007E7430" w:rsidRDefault="000F2674" w:rsidP="00E66E68">
            <w:pPr>
              <w:jc w:val="center"/>
            </w:pPr>
            <w:r w:rsidRPr="007E7430">
              <w:t>9,958</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3,582</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3,845</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2,284</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2,328</w:t>
            </w:r>
          </w:p>
        </w:tc>
      </w:tr>
      <w:tr w:rsidR="000F2674" w:rsidTr="00E66E68">
        <w:tc>
          <w:tcPr>
            <w:tcW w:w="1596" w:type="dxa"/>
            <w:vAlign w:val="center"/>
          </w:tcPr>
          <w:p w:rsidR="000F2674" w:rsidRDefault="000F2674" w:rsidP="00E66E68">
            <w:pPr>
              <w:jc w:val="center"/>
              <w:rPr>
                <w:color w:val="000000"/>
              </w:rPr>
            </w:pPr>
            <w:r>
              <w:rPr>
                <w:color w:val="000000"/>
              </w:rPr>
              <w:t>2034</w:t>
            </w:r>
          </w:p>
        </w:tc>
        <w:tc>
          <w:tcPr>
            <w:tcW w:w="1596" w:type="dxa"/>
            <w:shd w:val="clear" w:color="auto" w:fill="auto"/>
          </w:tcPr>
          <w:p w:rsidR="000F2674" w:rsidRPr="007E7430" w:rsidRDefault="000F2674" w:rsidP="00E66E68">
            <w:pPr>
              <w:jc w:val="center"/>
            </w:pPr>
            <w:r w:rsidRPr="007E7430">
              <w:t>10,230</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3,657</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3,845</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2,332</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2,328</w:t>
            </w:r>
          </w:p>
        </w:tc>
      </w:tr>
      <w:tr w:rsidR="000F2674" w:rsidTr="00E66E68">
        <w:tc>
          <w:tcPr>
            <w:tcW w:w="1596" w:type="dxa"/>
            <w:vAlign w:val="center"/>
          </w:tcPr>
          <w:p w:rsidR="000F2674" w:rsidRDefault="000F2674" w:rsidP="00E66E68">
            <w:pPr>
              <w:jc w:val="center"/>
              <w:rPr>
                <w:color w:val="000000"/>
              </w:rPr>
            </w:pPr>
            <w:r>
              <w:rPr>
                <w:color w:val="000000"/>
              </w:rPr>
              <w:t>2035</w:t>
            </w:r>
          </w:p>
        </w:tc>
        <w:tc>
          <w:tcPr>
            <w:tcW w:w="1596" w:type="dxa"/>
            <w:shd w:val="clear" w:color="auto" w:fill="auto"/>
          </w:tcPr>
          <w:p w:rsidR="000F2674" w:rsidRPr="007E7430" w:rsidRDefault="000F2674" w:rsidP="00E66E68">
            <w:pPr>
              <w:jc w:val="center"/>
            </w:pPr>
            <w:r w:rsidRPr="007E7430">
              <w:t>10,527</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3,734</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3,845</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2,381</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2,328</w:t>
            </w:r>
          </w:p>
        </w:tc>
      </w:tr>
      <w:tr w:rsidR="000F2674" w:rsidTr="00E66E68">
        <w:tc>
          <w:tcPr>
            <w:tcW w:w="1596" w:type="dxa"/>
            <w:vAlign w:val="center"/>
          </w:tcPr>
          <w:p w:rsidR="000F2674" w:rsidRDefault="000F2674" w:rsidP="00E66E68">
            <w:pPr>
              <w:jc w:val="center"/>
              <w:rPr>
                <w:color w:val="000000"/>
              </w:rPr>
            </w:pPr>
            <w:r>
              <w:rPr>
                <w:color w:val="000000"/>
              </w:rPr>
              <w:t>2036</w:t>
            </w:r>
          </w:p>
        </w:tc>
        <w:tc>
          <w:tcPr>
            <w:tcW w:w="1596" w:type="dxa"/>
            <w:shd w:val="clear" w:color="auto" w:fill="auto"/>
          </w:tcPr>
          <w:p w:rsidR="000F2674" w:rsidRPr="007E7430" w:rsidRDefault="000F2674" w:rsidP="00E66E68">
            <w:pPr>
              <w:jc w:val="center"/>
            </w:pPr>
            <w:r w:rsidRPr="007E7430">
              <w:t>10,854</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3,812</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3,845</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2,431</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2,328</w:t>
            </w:r>
          </w:p>
        </w:tc>
      </w:tr>
      <w:tr w:rsidR="000F2674" w:rsidTr="00E66E68">
        <w:tc>
          <w:tcPr>
            <w:tcW w:w="1596" w:type="dxa"/>
            <w:vAlign w:val="center"/>
          </w:tcPr>
          <w:p w:rsidR="000F2674" w:rsidRDefault="000F2674" w:rsidP="00E66E68">
            <w:pPr>
              <w:jc w:val="center"/>
              <w:rPr>
                <w:color w:val="000000"/>
              </w:rPr>
            </w:pPr>
            <w:r>
              <w:rPr>
                <w:color w:val="000000"/>
              </w:rPr>
              <w:t>2037</w:t>
            </w:r>
          </w:p>
        </w:tc>
        <w:tc>
          <w:tcPr>
            <w:tcW w:w="1596" w:type="dxa"/>
            <w:shd w:val="clear" w:color="auto" w:fill="auto"/>
          </w:tcPr>
          <w:p w:rsidR="000F2674" w:rsidRPr="007E7430" w:rsidRDefault="000F2674" w:rsidP="00E66E68">
            <w:pPr>
              <w:jc w:val="center"/>
            </w:pPr>
            <w:r w:rsidRPr="007E7430">
              <w:t>11,023</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3,893</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3,845</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2,483</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2,328</w:t>
            </w:r>
          </w:p>
        </w:tc>
      </w:tr>
      <w:tr w:rsidR="000F2674" w:rsidTr="00E66E68">
        <w:tc>
          <w:tcPr>
            <w:tcW w:w="1596" w:type="dxa"/>
            <w:vAlign w:val="center"/>
          </w:tcPr>
          <w:p w:rsidR="000F2674" w:rsidRDefault="000F2674" w:rsidP="00E66E68">
            <w:pPr>
              <w:jc w:val="center"/>
              <w:rPr>
                <w:color w:val="000000"/>
              </w:rPr>
            </w:pPr>
            <w:r>
              <w:rPr>
                <w:color w:val="000000"/>
              </w:rPr>
              <w:t>2038</w:t>
            </w:r>
          </w:p>
        </w:tc>
        <w:tc>
          <w:tcPr>
            <w:tcW w:w="1596" w:type="dxa"/>
            <w:shd w:val="clear" w:color="auto" w:fill="auto"/>
          </w:tcPr>
          <w:p w:rsidR="000F2674" w:rsidRPr="007E7430" w:rsidRDefault="000F2674" w:rsidP="00E66E68">
            <w:pPr>
              <w:jc w:val="center"/>
            </w:pPr>
            <w:r w:rsidRPr="007E7430">
              <w:t>11,271</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3,97</w:t>
            </w:r>
            <w:r>
              <w:rPr>
                <w:color w:val="000000"/>
              </w:rPr>
              <w:t>5</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3,845</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2,535</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2,328</w:t>
            </w:r>
          </w:p>
        </w:tc>
      </w:tr>
      <w:tr w:rsidR="000F2674" w:rsidTr="00E66E68">
        <w:tc>
          <w:tcPr>
            <w:tcW w:w="1596" w:type="dxa"/>
            <w:vAlign w:val="center"/>
          </w:tcPr>
          <w:p w:rsidR="000F2674" w:rsidRDefault="000F2674" w:rsidP="00E66E68">
            <w:pPr>
              <w:jc w:val="center"/>
              <w:rPr>
                <w:color w:val="000000"/>
              </w:rPr>
            </w:pPr>
            <w:r>
              <w:rPr>
                <w:color w:val="000000"/>
              </w:rPr>
              <w:t>2039</w:t>
            </w:r>
          </w:p>
        </w:tc>
        <w:tc>
          <w:tcPr>
            <w:tcW w:w="1596" w:type="dxa"/>
            <w:shd w:val="clear" w:color="auto" w:fill="auto"/>
          </w:tcPr>
          <w:p w:rsidR="000F2674" w:rsidRPr="007E7430" w:rsidRDefault="000F2674" w:rsidP="00E66E68">
            <w:pPr>
              <w:jc w:val="center"/>
            </w:pPr>
            <w:r w:rsidRPr="007E7430">
              <w:t>11,445</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4,058</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3,845</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2,588</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2,328</w:t>
            </w:r>
          </w:p>
        </w:tc>
      </w:tr>
      <w:tr w:rsidR="000F2674" w:rsidTr="00E66E68">
        <w:tc>
          <w:tcPr>
            <w:tcW w:w="1596" w:type="dxa"/>
            <w:vAlign w:val="center"/>
          </w:tcPr>
          <w:p w:rsidR="000F2674" w:rsidRDefault="000F2674" w:rsidP="00E66E68">
            <w:pPr>
              <w:jc w:val="center"/>
              <w:rPr>
                <w:color w:val="000000"/>
              </w:rPr>
            </w:pPr>
            <w:r>
              <w:rPr>
                <w:color w:val="000000"/>
              </w:rPr>
              <w:t>2040</w:t>
            </w:r>
          </w:p>
        </w:tc>
        <w:tc>
          <w:tcPr>
            <w:tcW w:w="1596" w:type="dxa"/>
            <w:shd w:val="clear" w:color="auto" w:fill="auto"/>
          </w:tcPr>
          <w:p w:rsidR="000F2674" w:rsidRPr="007E7430" w:rsidRDefault="000F2674" w:rsidP="00E66E68">
            <w:pPr>
              <w:jc w:val="center"/>
            </w:pPr>
            <w:r w:rsidRPr="007E7430">
              <w:t>11,675</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4,144</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3,845</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2,643</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2,328</w:t>
            </w:r>
          </w:p>
        </w:tc>
      </w:tr>
      <w:tr w:rsidR="000F2674" w:rsidTr="00E66E68">
        <w:tc>
          <w:tcPr>
            <w:tcW w:w="1596" w:type="dxa"/>
            <w:vAlign w:val="center"/>
          </w:tcPr>
          <w:p w:rsidR="000F2674" w:rsidRDefault="000F2674" w:rsidP="00E66E68">
            <w:pPr>
              <w:jc w:val="center"/>
              <w:rPr>
                <w:color w:val="000000"/>
              </w:rPr>
            </w:pPr>
            <w:r>
              <w:rPr>
                <w:color w:val="000000"/>
              </w:rPr>
              <w:t>2041</w:t>
            </w:r>
          </w:p>
        </w:tc>
        <w:tc>
          <w:tcPr>
            <w:tcW w:w="1596" w:type="dxa"/>
            <w:shd w:val="clear" w:color="auto" w:fill="auto"/>
          </w:tcPr>
          <w:p w:rsidR="000F2674" w:rsidRPr="007E7430" w:rsidRDefault="000F2674" w:rsidP="00E66E68">
            <w:pPr>
              <w:jc w:val="center"/>
            </w:pPr>
            <w:r w:rsidRPr="007E7430">
              <w:t>11,743</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4,231</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3,845</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2,698</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2,328</w:t>
            </w:r>
          </w:p>
        </w:tc>
      </w:tr>
      <w:tr w:rsidR="000F2674" w:rsidTr="00E66E68">
        <w:tc>
          <w:tcPr>
            <w:tcW w:w="1596" w:type="dxa"/>
            <w:vAlign w:val="center"/>
          </w:tcPr>
          <w:p w:rsidR="000F2674" w:rsidRDefault="000F2674" w:rsidP="00E66E68">
            <w:pPr>
              <w:jc w:val="center"/>
              <w:rPr>
                <w:color w:val="000000"/>
              </w:rPr>
            </w:pPr>
            <w:r>
              <w:rPr>
                <w:color w:val="000000"/>
              </w:rPr>
              <w:t>2042</w:t>
            </w:r>
          </w:p>
        </w:tc>
        <w:tc>
          <w:tcPr>
            <w:tcW w:w="1596" w:type="dxa"/>
            <w:shd w:val="clear" w:color="auto" w:fill="auto"/>
          </w:tcPr>
          <w:p w:rsidR="000F2674" w:rsidRPr="007E7430" w:rsidRDefault="000F2674" w:rsidP="00E66E68">
            <w:pPr>
              <w:jc w:val="center"/>
            </w:pPr>
            <w:r w:rsidRPr="007E7430">
              <w:t>11,842</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1,778</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1,602</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1,134</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970</w:t>
            </w:r>
          </w:p>
        </w:tc>
      </w:tr>
      <w:tr w:rsidR="000F2674" w:rsidTr="00E66E68">
        <w:tc>
          <w:tcPr>
            <w:tcW w:w="1596" w:type="dxa"/>
            <w:vAlign w:val="center"/>
          </w:tcPr>
          <w:p w:rsidR="000F2674" w:rsidRDefault="000F2674" w:rsidP="00E66E68">
            <w:pPr>
              <w:jc w:val="center"/>
              <w:rPr>
                <w:color w:val="000000"/>
              </w:rPr>
            </w:pPr>
            <w:r>
              <w:rPr>
                <w:color w:val="000000"/>
              </w:rPr>
              <w:t>Total</w:t>
            </w:r>
          </w:p>
        </w:tc>
        <w:tc>
          <w:tcPr>
            <w:tcW w:w="1596" w:type="dxa"/>
            <w:shd w:val="clear" w:color="auto" w:fill="auto"/>
          </w:tcPr>
          <w:p w:rsidR="000F2674" w:rsidRPr="007E7430" w:rsidRDefault="000F2674" w:rsidP="00E66E68">
            <w:pPr>
              <w:jc w:val="center"/>
            </w:pPr>
            <w:r w:rsidRPr="007E7430">
              <w:t>208,651</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38,927</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38,450</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33,396</w:t>
            </w:r>
          </w:p>
        </w:tc>
        <w:tc>
          <w:tcPr>
            <w:tcW w:w="1596" w:type="dxa"/>
            <w:shd w:val="clear" w:color="auto" w:fill="auto"/>
            <w:vAlign w:val="center"/>
          </w:tcPr>
          <w:p w:rsidR="000F2674" w:rsidRPr="007E7430" w:rsidRDefault="000F2674" w:rsidP="00E66E68">
            <w:pPr>
              <w:jc w:val="center"/>
              <w:rPr>
                <w:color w:val="000000"/>
              </w:rPr>
            </w:pPr>
            <w:r w:rsidRPr="007E7430">
              <w:rPr>
                <w:color w:val="000000"/>
              </w:rPr>
              <w:t>32,599</w:t>
            </w:r>
          </w:p>
        </w:tc>
      </w:tr>
      <w:tr w:rsidR="000F2674" w:rsidTr="00E66E68">
        <w:trPr>
          <w:trHeight w:val="64"/>
        </w:trPr>
        <w:tc>
          <w:tcPr>
            <w:tcW w:w="1596" w:type="dxa"/>
            <w:vAlign w:val="center"/>
          </w:tcPr>
          <w:p w:rsidR="000F2674" w:rsidRDefault="000F2674" w:rsidP="00E66E68">
            <w:pPr>
              <w:jc w:val="center"/>
              <w:rPr>
                <w:color w:val="000000"/>
              </w:rPr>
            </w:pPr>
            <w:r>
              <w:rPr>
                <w:color w:val="000000"/>
              </w:rPr>
              <w:t>Total (NPV)</w:t>
            </w:r>
          </w:p>
        </w:tc>
        <w:tc>
          <w:tcPr>
            <w:tcW w:w="1596" w:type="dxa"/>
            <w:shd w:val="clear" w:color="auto" w:fill="auto"/>
          </w:tcPr>
          <w:p w:rsidR="000F2674" w:rsidRPr="00025976" w:rsidRDefault="000F2674" w:rsidP="00E66E68">
            <w:pPr>
              <w:jc w:val="center"/>
            </w:pPr>
            <w:r w:rsidRPr="00025976">
              <w:t>10</w:t>
            </w:r>
            <w:r>
              <w:t>3</w:t>
            </w:r>
            <w:r w:rsidRPr="00025976">
              <w:t>,</w:t>
            </w:r>
            <w:r>
              <w:t>307</w:t>
            </w:r>
          </w:p>
        </w:tc>
        <w:tc>
          <w:tcPr>
            <w:tcW w:w="1596" w:type="dxa"/>
            <w:shd w:val="clear" w:color="auto" w:fill="auto"/>
          </w:tcPr>
          <w:p w:rsidR="000F2674" w:rsidRPr="002465AA" w:rsidRDefault="000F2674" w:rsidP="00E66E68">
            <w:pPr>
              <w:jc w:val="center"/>
            </w:pPr>
            <w:r w:rsidRPr="002465AA">
              <w:t>13,38</w:t>
            </w:r>
            <w:r>
              <w:t>2</w:t>
            </w:r>
          </w:p>
        </w:tc>
        <w:tc>
          <w:tcPr>
            <w:tcW w:w="1596" w:type="dxa"/>
            <w:shd w:val="clear" w:color="auto" w:fill="auto"/>
          </w:tcPr>
          <w:p w:rsidR="000F2674" w:rsidRPr="002465AA" w:rsidRDefault="000F2674" w:rsidP="00E66E68">
            <w:pPr>
              <w:jc w:val="center"/>
            </w:pPr>
            <w:r w:rsidRPr="002465AA">
              <w:t>1</w:t>
            </w:r>
            <w:r>
              <w:t>3,382</w:t>
            </w:r>
          </w:p>
        </w:tc>
        <w:tc>
          <w:tcPr>
            <w:tcW w:w="1596" w:type="dxa"/>
            <w:shd w:val="clear" w:color="auto" w:fill="auto"/>
          </w:tcPr>
          <w:p w:rsidR="000F2674" w:rsidRPr="002465AA" w:rsidRDefault="000F2674" w:rsidP="00E66E68">
            <w:pPr>
              <w:jc w:val="center"/>
            </w:pPr>
            <w:r>
              <w:t>13,382</w:t>
            </w:r>
          </w:p>
        </w:tc>
        <w:tc>
          <w:tcPr>
            <w:tcW w:w="1596" w:type="dxa"/>
            <w:shd w:val="clear" w:color="auto" w:fill="auto"/>
          </w:tcPr>
          <w:p w:rsidR="000F2674" w:rsidRPr="002465AA" w:rsidRDefault="000F2674" w:rsidP="00E66E68">
            <w:pPr>
              <w:jc w:val="center"/>
            </w:pPr>
            <w:r>
              <w:t>13,382</w:t>
            </w:r>
          </w:p>
        </w:tc>
      </w:tr>
    </w:tbl>
    <w:p w:rsidR="00834E7F" w:rsidRDefault="00834E7F" w:rsidP="00834E7F">
      <w:pPr>
        <w:pStyle w:val="BodyText"/>
        <w:rPr>
          <w:sz w:val="20"/>
          <w:szCs w:val="20"/>
        </w:rPr>
      </w:pPr>
      <w:r w:rsidRPr="00BF7504">
        <w:rPr>
          <w:sz w:val="20"/>
          <w:szCs w:val="20"/>
        </w:rPr>
        <w:t>Source:</w:t>
      </w:r>
      <w:r>
        <w:t xml:space="preserve"> </w:t>
      </w:r>
      <w:r w:rsidRPr="00463756">
        <w:rPr>
          <w:sz w:val="20"/>
          <w:szCs w:val="20"/>
        </w:rPr>
        <w:t>Response to Staff’s First Data Request</w:t>
      </w:r>
      <w:r>
        <w:rPr>
          <w:rStyle w:val="FootnoteReference"/>
        </w:rPr>
        <w:footnoteReference w:id="3"/>
      </w:r>
    </w:p>
    <w:p w:rsidR="00834E7F" w:rsidRDefault="00834E7F" w:rsidP="00834E7F">
      <w:pPr>
        <w:pStyle w:val="BodyText"/>
      </w:pPr>
      <w:r>
        <w:t>FPL</w:t>
      </w:r>
      <w:r w:rsidRPr="003D0942">
        <w:t>’s standard offer contract</w:t>
      </w:r>
      <w:r>
        <w:t xml:space="preserve">, in </w:t>
      </w:r>
      <w:r w:rsidRPr="00175A1E">
        <w:t>type-and-strike format</w:t>
      </w:r>
      <w:r>
        <w:t>, is</w:t>
      </w:r>
      <w:r w:rsidRPr="00175A1E">
        <w:t xml:space="preserve"> included as </w:t>
      </w:r>
      <w:r w:rsidRPr="00E04D4A">
        <w:t>Attachment A</w:t>
      </w:r>
      <w:r w:rsidRPr="00175A1E">
        <w:t xml:space="preserve"> to this recommendation. </w:t>
      </w:r>
      <w:r w:rsidRPr="00E3753A">
        <w:t xml:space="preserve">The changes made to </w:t>
      </w:r>
      <w:r>
        <w:t>FPL</w:t>
      </w:r>
      <w:r w:rsidRPr="00E3753A">
        <w:t>’s tariff sheets are consistent with the updated avoided unit.</w:t>
      </w:r>
      <w:r>
        <w:t xml:space="preserve"> Revisions include updates to calendar dates and payment information which reflect the current economic and financial assumptions for the avoided unit.</w:t>
      </w:r>
      <w:r w:rsidR="00172FBF" w:rsidRPr="00172FBF">
        <w:t xml:space="preserve"> </w:t>
      </w:r>
      <w:r w:rsidR="006653E7">
        <w:t>In addition, t</w:t>
      </w:r>
      <w:r w:rsidR="00720653">
        <w:t>he language in S</w:t>
      </w:r>
      <w:r w:rsidR="00172FBF" w:rsidRPr="00172FBF">
        <w:t xml:space="preserve">ection </w:t>
      </w:r>
      <w:r w:rsidR="00172FBF">
        <w:t>15</w:t>
      </w:r>
      <w:r w:rsidR="00720653">
        <w:t>,</w:t>
      </w:r>
      <w:r w:rsidR="00172FBF" w:rsidRPr="00172FBF">
        <w:t xml:space="preserve"> </w:t>
      </w:r>
      <w:r w:rsidR="00720653">
        <w:t>S</w:t>
      </w:r>
      <w:r w:rsidR="00172FBF" w:rsidRPr="00172FBF">
        <w:t xml:space="preserve">heet </w:t>
      </w:r>
      <w:r w:rsidR="00720653">
        <w:t>N</w:t>
      </w:r>
      <w:r w:rsidR="00172FBF" w:rsidRPr="00172FBF">
        <w:t>o. 9.</w:t>
      </w:r>
      <w:r w:rsidR="00172FBF">
        <w:t>042</w:t>
      </w:r>
      <w:r w:rsidR="006653E7">
        <w:t xml:space="preserve">, which addresses insurance, </w:t>
      </w:r>
      <w:r w:rsidR="00172FBF" w:rsidRPr="00172FBF">
        <w:t xml:space="preserve">has </w:t>
      </w:r>
      <w:r w:rsidR="00172FBF" w:rsidRPr="00604500">
        <w:t>be</w:t>
      </w:r>
      <w:r w:rsidR="00604500">
        <w:t>en</w:t>
      </w:r>
      <w:r w:rsidR="00172FBF" w:rsidRPr="00172FBF">
        <w:t xml:space="preserve"> </w:t>
      </w:r>
      <w:r w:rsidR="00172FBF">
        <w:t xml:space="preserve">updated. </w:t>
      </w:r>
      <w:r w:rsidR="006653E7">
        <w:t xml:space="preserve">The current language requires insurance with a minimum limit of one </w:t>
      </w:r>
      <w:r w:rsidR="00533C7E">
        <w:t>million dollars per occurrence. T</w:t>
      </w:r>
      <w:r w:rsidR="00172FBF">
        <w:t xml:space="preserve">he new language </w:t>
      </w:r>
      <w:r w:rsidR="006653E7">
        <w:t>requires that</w:t>
      </w:r>
      <w:r w:rsidR="00F26795">
        <w:t>,</w:t>
      </w:r>
      <w:r w:rsidR="006653E7">
        <w:t xml:space="preserve"> </w:t>
      </w:r>
      <w:r w:rsidR="003A411E">
        <w:t xml:space="preserve">in addition to the one million, </w:t>
      </w:r>
      <w:r w:rsidR="00172FBF">
        <w:t xml:space="preserve">the QF insurance shall have a two million dollar combined aggregate limit for bodily injury or property damage. </w:t>
      </w:r>
      <w:r w:rsidR="003A411E" w:rsidRPr="00F91A47">
        <w:t xml:space="preserve">In response to staff’s data request, FPL states that the proposed change aligns with current market conditions and is similar </w:t>
      </w:r>
      <w:r w:rsidR="003A411E" w:rsidRPr="00F91A47">
        <w:lastRenderedPageBreak/>
        <w:t>to other utilities.</w:t>
      </w:r>
      <w:r w:rsidR="003A411E" w:rsidRPr="00F91A47">
        <w:rPr>
          <w:rStyle w:val="FootnoteReference"/>
        </w:rPr>
        <w:footnoteReference w:id="4"/>
      </w:r>
      <w:r w:rsidR="003A411E" w:rsidRPr="00F91A47">
        <w:t xml:space="preserve"> For customer-owned net metering interconnections, Rule 25-6.065(5)(e), F.A.C., allows for up to $2 million in liability insurance for Tier 3 (100 kW to 2 MW) installations. </w:t>
      </w:r>
      <w:r w:rsidR="00933EDD" w:rsidRPr="00F91A47">
        <w:t>S</w:t>
      </w:r>
      <w:r w:rsidR="003A411E" w:rsidRPr="00F91A47">
        <w:t>taff</w:t>
      </w:r>
      <w:r w:rsidR="00933EDD" w:rsidRPr="00F91A47">
        <w:t xml:space="preserve"> believes the</w:t>
      </w:r>
      <w:r w:rsidR="003A411E" w:rsidRPr="00F91A47">
        <w:t xml:space="preserve"> </w:t>
      </w:r>
      <w:r w:rsidR="00933EDD" w:rsidRPr="00F91A47">
        <w:t>change</w:t>
      </w:r>
      <w:r w:rsidR="003A411E" w:rsidRPr="00F91A47">
        <w:t xml:space="preserve"> </w:t>
      </w:r>
      <w:r w:rsidR="00933EDD" w:rsidRPr="00F91A47">
        <w:t xml:space="preserve">to the language in Section 15 </w:t>
      </w:r>
      <w:r w:rsidR="003A411E" w:rsidRPr="00F91A47">
        <w:t>is reasonable and consistent with other approved utility standard offer contracts and net metering standards.</w:t>
      </w:r>
    </w:p>
    <w:p w:rsidR="00834E7F" w:rsidRPr="00B7665F" w:rsidRDefault="00834E7F" w:rsidP="00834E7F">
      <w:pPr>
        <w:pStyle w:val="First-LevelSubheading"/>
        <w:rPr>
          <w:b w:val="0"/>
        </w:rPr>
      </w:pPr>
      <w:r w:rsidRPr="00B7665F">
        <w:t>Conclusion</w:t>
      </w:r>
    </w:p>
    <w:p w:rsidR="00834E7F" w:rsidRDefault="00834E7F" w:rsidP="00834E7F">
      <w:pPr>
        <w:pStyle w:val="BodyText"/>
      </w:pPr>
      <w:r w:rsidRPr="00B7665F">
        <w:t xml:space="preserve">Yes. The provisions of FPL’s </w:t>
      </w:r>
      <w:r w:rsidRPr="00B7665F">
        <w:rPr>
          <w:color w:val="000000"/>
        </w:rPr>
        <w:t>renewable energy tariff and</w:t>
      </w:r>
      <w:r w:rsidRPr="00B7665F">
        <w:t xml:space="preserve"> amended standard offer contract conforms to the requirements of Rules 25-17.200 through 25-17.310, F.A.C. The amended standard offer contract offers multiple payment options so that a developer of renewable generation may select the payment stream best suited to its financial needs.</w:t>
      </w:r>
    </w:p>
    <w:p w:rsidR="00FF13A6" w:rsidRDefault="00FF13A6">
      <w:pPr>
        <w:pStyle w:val="IssueHeading"/>
        <w:rPr>
          <w:vanish/>
          <w:specVanish/>
        </w:rPr>
      </w:pPr>
      <w:r w:rsidRPr="004C3641">
        <w:rPr>
          <w:b w:val="0"/>
          <w:i w:val="0"/>
        </w:rPr>
        <w:br w:type="page"/>
      </w:r>
      <w:r w:rsidRPr="004C3641">
        <w:lastRenderedPageBreak/>
        <w:t xml:space="preserve">Issue </w:t>
      </w:r>
      <w:fldSimple w:instr=" SEQ Issue \* MERGEFORMAT ">
        <w:r w:rsidR="006653E7">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6653E7">
        <w:rPr>
          <w:noProof/>
        </w:rPr>
        <w:instrText>2</w:instrText>
      </w:r>
      <w:r>
        <w:fldChar w:fldCharType="end"/>
      </w:r>
      <w:r>
        <w:tab/>
        <w:instrText xml:space="preserve">" \l 1 </w:instrText>
      </w:r>
      <w:r>
        <w:fldChar w:fldCharType="end"/>
      </w:r>
      <w:r>
        <w:t> </w:t>
      </w:r>
    </w:p>
    <w:p w:rsidR="00FF13A6" w:rsidRDefault="00FF13A6">
      <w:pPr>
        <w:pStyle w:val="BodyText"/>
      </w:pPr>
      <w:r>
        <w:t> Should this docket be closed?</w:t>
      </w:r>
    </w:p>
    <w:p w:rsidR="00FF13A6" w:rsidRPr="004C3641" w:rsidRDefault="00FF13A6">
      <w:pPr>
        <w:pStyle w:val="IssueSubsectionHeading"/>
        <w:rPr>
          <w:vanish/>
          <w:specVanish/>
        </w:rPr>
      </w:pPr>
      <w:r w:rsidRPr="004C3641">
        <w:t>Recommendation: </w:t>
      </w:r>
    </w:p>
    <w:p w:rsidR="00FF13A6" w:rsidRDefault="00FF13A6">
      <w:pPr>
        <w:pStyle w:val="BodyText"/>
      </w:pPr>
      <w:r>
        <w:t> </w:t>
      </w:r>
      <w:r w:rsidR="00A036C3">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FPL’s standard offer contract may subsequently be revised.</w:t>
      </w:r>
      <w:r>
        <w:t xml:space="preserve"> </w:t>
      </w:r>
      <w:r w:rsidR="0031326E">
        <w:t>(Imig)</w:t>
      </w:r>
    </w:p>
    <w:p w:rsidR="00FF13A6" w:rsidRPr="004C3641" w:rsidRDefault="00FF13A6">
      <w:pPr>
        <w:pStyle w:val="IssueSubsectionHeading"/>
        <w:rPr>
          <w:vanish/>
          <w:specVanish/>
        </w:rPr>
      </w:pPr>
      <w:r w:rsidRPr="004C3641">
        <w:t>Staff Analysis: </w:t>
      </w:r>
    </w:p>
    <w:p w:rsidR="00FF13A6" w:rsidRDefault="00FF13A6">
      <w:pPr>
        <w:pStyle w:val="BodyText"/>
      </w:pPr>
      <w:r>
        <w:t> </w:t>
      </w:r>
      <w:r w:rsidR="00A036C3">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FPL’s standard offer contract may subsequently be revised.</w:t>
      </w:r>
    </w:p>
    <w:p w:rsidR="00A036C3" w:rsidRDefault="00A036C3">
      <w:pPr>
        <w:pStyle w:val="BodyText"/>
      </w:pPr>
    </w:p>
    <w:p w:rsidR="00630470" w:rsidRDefault="00630470" w:rsidP="00E275D8">
      <w:pPr>
        <w:pStyle w:val="BodyText"/>
        <w:sectPr w:rsidR="00630470" w:rsidSect="0068481F">
          <w:pgSz w:w="12240" w:h="15840" w:code="1"/>
          <w:pgMar w:top="1584" w:right="1440" w:bottom="1440" w:left="1440" w:header="720" w:footer="720" w:gutter="0"/>
          <w:cols w:space="720"/>
          <w:formProt w:val="0"/>
          <w:docGrid w:linePitch="360"/>
        </w:sectPr>
      </w:pPr>
    </w:p>
    <w:p w:rsidR="00630470" w:rsidRDefault="00630470" w:rsidP="00E275D8">
      <w:pPr>
        <w:pStyle w:val="BodyText"/>
      </w:pPr>
      <w:r>
        <w:rPr>
          <w:noProof/>
        </w:rPr>
        <w:lastRenderedPageBreak/>
        <w:drawing>
          <wp:inline distT="0" distB="0" distL="0" distR="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630470" w:rsidRDefault="00630470" w:rsidP="00E275D8">
      <w:pPr>
        <w:pStyle w:val="BodyText"/>
      </w:pPr>
      <w:r>
        <w:rPr>
          <w:noProof/>
        </w:rPr>
        <w:lastRenderedPageBreak/>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30470" w:rsidRDefault="00630470" w:rsidP="00630470">
      <w:r>
        <w:br w:type="page"/>
      </w:r>
    </w:p>
    <w:p w:rsidR="00E06484" w:rsidRDefault="00630470" w:rsidP="00E275D8">
      <w:pPr>
        <w:pStyle w:val="BodyText"/>
      </w:pPr>
      <w:r>
        <w:rPr>
          <w:noProof/>
        </w:rPr>
        <w:lastRenderedPageBreak/>
        <w:drawing>
          <wp:inline distT="0" distB="0" distL="0" distR="0">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55"/>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13A6" w:rsidRDefault="00FF13A6">
      <w:r>
        <w:separator/>
      </w:r>
    </w:p>
  </w:endnote>
  <w:endnote w:type="continuationSeparator" w:id="0">
    <w:p w:rsidR="00FF13A6" w:rsidRDefault="00FF13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551C0D">
      <w:rPr>
        <w:rStyle w:val="PageNumber"/>
        <w:noProof/>
      </w:rPr>
      <w:t>20</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13A6" w:rsidRDefault="00FF13A6">
      <w:r>
        <w:separator/>
      </w:r>
    </w:p>
  </w:footnote>
  <w:footnote w:type="continuationSeparator" w:id="0">
    <w:p w:rsidR="00FF13A6" w:rsidRDefault="00FF13A6">
      <w:r>
        <w:continuationSeparator/>
      </w:r>
    </w:p>
  </w:footnote>
  <w:footnote w:id="1">
    <w:p w:rsidR="003D0B77" w:rsidRDefault="003D0B77" w:rsidP="003D0B77">
      <w:pPr>
        <w:pStyle w:val="FootnoteText"/>
      </w:pPr>
      <w:r>
        <w:rPr>
          <w:rStyle w:val="FootnoteReference"/>
        </w:rPr>
        <w:footnoteRef/>
      </w:r>
      <w:r>
        <w:t xml:space="preserve">FPL’s 2022 TYSP contains two scenarios, the </w:t>
      </w:r>
      <w:r w:rsidR="00720653">
        <w:t>Recommended</w:t>
      </w:r>
      <w:r>
        <w:t xml:space="preserve"> scenario and the Business as Usual (BAU) scenario. The Recommended scenario uses a novel methodology for forecasting winter peak demand based on potential extreme winter weather events. The BAU scenario uses the same methodology as FPL’s prior TYSPs for forecasting winter peak demand. FPL also submitted alternative versions of each of these scenarios assuming the passage of new federal tax credits for batteries and solar for informational purposes only.</w:t>
      </w:r>
    </w:p>
  </w:footnote>
  <w:footnote w:id="2">
    <w:p w:rsidR="00BD1BBC" w:rsidRPr="00422D55" w:rsidRDefault="00BD1BBC" w:rsidP="00BD1BBC">
      <w:pPr>
        <w:pStyle w:val="FootnoteText"/>
      </w:pPr>
      <w:r>
        <w:rPr>
          <w:rStyle w:val="FootnoteReference"/>
        </w:rPr>
        <w:footnoteRef/>
      </w:r>
      <w:r w:rsidRPr="00447003">
        <w:t>See Order No. PSC-2018-0316-PAA-EQ</w:t>
      </w:r>
      <w:r>
        <w:t xml:space="preserve">, </w:t>
      </w:r>
      <w:r w:rsidRPr="00447003">
        <w:t xml:space="preserve">issued June 20, </w:t>
      </w:r>
      <w:r>
        <w:t xml:space="preserve">2018, in Docket No. 20180083-EQ, </w:t>
      </w:r>
      <w:r w:rsidRPr="0092092D">
        <w:t xml:space="preserve">In re: </w:t>
      </w:r>
      <w:r w:rsidRPr="0092092D">
        <w:rPr>
          <w:i/>
        </w:rPr>
        <w:t>Petition for approval of renewable energy tariff and standard offer contract, b</w:t>
      </w:r>
      <w:r>
        <w:rPr>
          <w:i/>
        </w:rPr>
        <w:t>y Florida Power &amp; Light Company;</w:t>
      </w:r>
      <w:r>
        <w:t xml:space="preserve"> </w:t>
      </w:r>
      <w:r w:rsidRPr="00447003">
        <w:t>Order No. PSC-2020-0212-PAA-EQ</w:t>
      </w:r>
      <w:r>
        <w:t>,</w:t>
      </w:r>
      <w:r w:rsidRPr="00447003">
        <w:t xml:space="preserve"> iss</w:t>
      </w:r>
      <w:r>
        <w:t xml:space="preserve">ued June 26, 2020, in Docket No. </w:t>
      </w:r>
      <w:r w:rsidRPr="00447003">
        <w:t>20200114-EQ</w:t>
      </w:r>
      <w:r>
        <w:t xml:space="preserve">, In re: </w:t>
      </w:r>
      <w:r w:rsidRPr="0092092D">
        <w:rPr>
          <w:i/>
        </w:rPr>
        <w:t>Florida Power &amp; Light Company’s Petition for Approval of a Renewable Energy Tar</w:t>
      </w:r>
      <w:r>
        <w:rPr>
          <w:i/>
        </w:rPr>
        <w:t>iff and Standard Offer Contract;</w:t>
      </w:r>
      <w:r>
        <w:t xml:space="preserve"> and </w:t>
      </w:r>
      <w:r w:rsidRPr="00447003">
        <w:t>Order No. PSC-2020-0213-PAA-EQ</w:t>
      </w:r>
      <w:r>
        <w:t>,</w:t>
      </w:r>
      <w:r w:rsidRPr="00447003">
        <w:t xml:space="preserve"> issued June </w:t>
      </w:r>
      <w:r>
        <w:t>26, 2020, in Docket No. 20200115</w:t>
      </w:r>
      <w:r w:rsidRPr="00447003">
        <w:t>-EQ</w:t>
      </w:r>
      <w:r>
        <w:rPr>
          <w:i/>
        </w:rPr>
        <w:t>,</w:t>
      </w:r>
      <w:r w:rsidRPr="0092092D">
        <w:t xml:space="preserve"> In re</w:t>
      </w:r>
      <w:r w:rsidRPr="0092092D">
        <w:rPr>
          <w:i/>
        </w:rPr>
        <w:t>: Petition for approval of new standard offer for purchase of firm capacity and energy from renewable energy facilities or small qualifying facilities and rate schedule QS-2, by Gulf Power Company</w:t>
      </w:r>
      <w:r>
        <w:rPr>
          <w:i/>
        </w:rPr>
        <w:t>.</w:t>
      </w:r>
    </w:p>
    <w:p w:rsidR="00BD1BBC" w:rsidRPr="00914B03" w:rsidRDefault="00BD1BBC" w:rsidP="00BD1BBC">
      <w:pPr>
        <w:pStyle w:val="FootnoteText"/>
        <w:rPr>
          <w:i/>
          <w:iCs/>
        </w:rPr>
      </w:pPr>
    </w:p>
  </w:footnote>
  <w:footnote w:id="3">
    <w:p w:rsidR="00834E7F" w:rsidRDefault="00834E7F" w:rsidP="00834E7F">
      <w:pPr>
        <w:pStyle w:val="FootnoteText"/>
      </w:pPr>
      <w:r>
        <w:rPr>
          <w:rStyle w:val="FootnoteReference"/>
        </w:rPr>
        <w:footnoteRef/>
      </w:r>
      <w:r>
        <w:t xml:space="preserve">Document No. 02718-2022, filed April 29, 2022, in Docket No. </w:t>
      </w:r>
      <w:r w:rsidRPr="003D0942">
        <w:t>202</w:t>
      </w:r>
      <w:r>
        <w:t>2</w:t>
      </w:r>
      <w:r w:rsidRPr="003D0942">
        <w:t>00</w:t>
      </w:r>
      <w:r>
        <w:t>72-EQ.</w:t>
      </w:r>
    </w:p>
  </w:footnote>
  <w:footnote w:id="4">
    <w:p w:rsidR="003A411E" w:rsidRDefault="003A411E" w:rsidP="003A411E">
      <w:pPr>
        <w:pStyle w:val="FootnoteText"/>
      </w:pPr>
      <w:r>
        <w:rPr>
          <w:rStyle w:val="FootnoteReference"/>
        </w:rPr>
        <w:footnoteRef/>
      </w:r>
      <w:r>
        <w:t xml:space="preserve"> Duke Energy Florida, LLC’s standard offer contract increased liability insurance requirements to $5 million as of 2014</w:t>
      </w:r>
      <w:r w:rsidR="00933EDD">
        <w:t>. See</w:t>
      </w:r>
      <w:r>
        <w:t xml:space="preserve"> Order PSC-2014-0391-PAA-EI, issued July 28, 2014, in Docket 20140065-EI, in re: </w:t>
      </w:r>
      <w:r w:rsidRPr="007046D3">
        <w:rPr>
          <w:i/>
        </w:rPr>
        <w:t>Petition for approval of amended standard offer contract COG-2 by Duke Energy Florida, Inc.</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FF13A6" w:rsidP="00220732">
    <w:pPr>
      <w:pStyle w:val="Header"/>
      <w:tabs>
        <w:tab w:val="clear" w:pos="4320"/>
        <w:tab w:val="clear" w:pos="8640"/>
        <w:tab w:val="right" w:pos="9360"/>
      </w:tabs>
    </w:pPr>
    <w:bookmarkStart w:id="15" w:name="DocketLabel"/>
    <w:r>
      <w:t>Docket No.</w:t>
    </w:r>
    <w:bookmarkEnd w:id="15"/>
    <w:r w:rsidR="00BC402E">
      <w:t xml:space="preserve"> </w:t>
    </w:r>
    <w:bookmarkStart w:id="16" w:name="DocketList"/>
    <w:r>
      <w:t>20220072-EQ</w:t>
    </w:r>
    <w:bookmarkEnd w:id="16"/>
  </w:p>
  <w:p w:rsidR="00BC402E" w:rsidRDefault="00BC402E">
    <w:pPr>
      <w:pStyle w:val="Header"/>
    </w:pPr>
    <w:r>
      <w:t xml:space="preserve">Date: </w:t>
    </w:r>
    <w:fldSimple w:instr=" REF FilingDate ">
      <w:r w:rsidR="006653E7">
        <w:t>May 25, 2022</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6653E7">
      <w:t>Docket No.</w:t>
    </w:r>
    <w:r>
      <w:fldChar w:fldCharType="end"/>
    </w:r>
    <w:r>
      <w:t xml:space="preserve"> </w:t>
    </w:r>
    <w:r>
      <w:fldChar w:fldCharType="begin"/>
    </w:r>
    <w:r>
      <w:instrText xml:space="preserve"> REF DocketList</w:instrText>
    </w:r>
    <w:r>
      <w:fldChar w:fldCharType="separate"/>
    </w:r>
    <w:r w:rsidR="006653E7">
      <w:t>20220072-EQ</w:t>
    </w:r>
    <w:r>
      <w:fldChar w:fldCharType="end"/>
    </w:r>
    <w:r>
      <w:tab/>
      <w:t xml:space="preserve">Issue </w:t>
    </w:r>
    <w:r w:rsidR="00E9136D">
      <w:fldChar w:fldCharType="begin"/>
    </w:r>
    <w:r w:rsidR="00E9136D">
      <w:instrText xml:space="preserve"> Seq Issue \c \* Arabic </w:instrText>
    </w:r>
    <w:r w:rsidR="00E9136D">
      <w:fldChar w:fldCharType="separate"/>
    </w:r>
    <w:r w:rsidR="00551C0D">
      <w:rPr>
        <w:noProof/>
      </w:rPr>
      <w:t>2</w:t>
    </w:r>
    <w:r w:rsidR="00E9136D">
      <w:rPr>
        <w:noProof/>
      </w:rPr>
      <w:fldChar w:fldCharType="end"/>
    </w:r>
  </w:p>
  <w:p w:rsidR="00BC402E" w:rsidRDefault="00BC402E">
    <w:pPr>
      <w:pStyle w:val="Header"/>
    </w:pPr>
    <w:r>
      <w:t xml:space="preserve">Date: </w:t>
    </w:r>
    <w:fldSimple w:instr=" REF FilingDate ">
      <w:r w:rsidR="006653E7">
        <w:t>May 25, 2022</w:t>
      </w:r>
    </w:fldSimple>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0470" w:rsidRDefault="00630470" w:rsidP="009511B8">
    <w:pPr>
      <w:pStyle w:val="Header"/>
      <w:tabs>
        <w:tab w:val="clear" w:pos="4320"/>
        <w:tab w:val="clear" w:pos="8640"/>
      </w:tabs>
    </w:pPr>
    <w:r>
      <w:fldChar w:fldCharType="begin"/>
    </w:r>
    <w:r>
      <w:instrText xml:space="preserve"> REF DocketLabel</w:instrText>
    </w:r>
    <w:r>
      <w:fldChar w:fldCharType="separate"/>
    </w:r>
    <w:r w:rsidR="006653E7">
      <w:t>Docket No.</w:t>
    </w:r>
    <w:r>
      <w:fldChar w:fldCharType="end"/>
    </w:r>
    <w:r>
      <w:t xml:space="preserve"> </w:t>
    </w:r>
    <w:r>
      <w:fldChar w:fldCharType="begin"/>
    </w:r>
    <w:r>
      <w:instrText xml:space="preserve"> REF DocketList</w:instrText>
    </w:r>
    <w:r>
      <w:fldChar w:fldCharType="separate"/>
    </w:r>
    <w:r w:rsidR="006653E7">
      <w:t>20220072-EQ</w:t>
    </w:r>
    <w:r>
      <w:fldChar w:fldCharType="end"/>
    </w:r>
    <w:r>
      <w:tab/>
    </w:r>
    <w:r w:rsidR="009511B8">
      <w:tab/>
    </w:r>
    <w:r w:rsidR="009511B8">
      <w:tab/>
    </w:r>
    <w:r w:rsidR="009511B8">
      <w:tab/>
    </w:r>
    <w:r w:rsidR="009511B8">
      <w:tab/>
    </w:r>
    <w:r w:rsidR="009511B8">
      <w:tab/>
    </w:r>
    <w:r w:rsidR="009511B8">
      <w:tab/>
    </w:r>
    <w:r w:rsidR="009511B8">
      <w:tab/>
      <w:t xml:space="preserve"> </w:t>
    </w:r>
    <w:r>
      <w:t>Attachment A</w:t>
    </w:r>
  </w:p>
  <w:p w:rsidR="00630470" w:rsidRDefault="00630470" w:rsidP="009511B8">
    <w:pPr>
      <w:pStyle w:val="Header"/>
      <w:tabs>
        <w:tab w:val="clear" w:pos="4320"/>
        <w:tab w:val="clear" w:pos="8640"/>
      </w:tabs>
    </w:pPr>
    <w:r>
      <w:t xml:space="preserve">Date: </w:t>
    </w:r>
    <w:fldSimple w:instr=" REF FilingDate ">
      <w:r w:rsidR="006653E7">
        <w:t>May 25, 2022</w:t>
      </w:r>
    </w:fldSimple>
    <w:r w:rsidR="009511B8">
      <w:tab/>
    </w:r>
    <w:r w:rsidR="009511B8">
      <w:tab/>
    </w:r>
    <w:r w:rsidR="009511B8">
      <w:tab/>
    </w:r>
    <w:r w:rsidR="009511B8">
      <w:tab/>
    </w:r>
    <w:r w:rsidR="009511B8">
      <w:tab/>
    </w:r>
    <w:r w:rsidR="009511B8">
      <w:tab/>
    </w:r>
    <w:r w:rsidR="009511B8">
      <w:tab/>
    </w:r>
    <w:r w:rsidR="009511B8">
      <w:tab/>
    </w:r>
    <w:r w:rsidR="009511B8">
      <w:tab/>
      <w:t xml:space="preserve"> Page </w:t>
    </w:r>
    <w:r w:rsidR="009511B8">
      <w:fldChar w:fldCharType="begin"/>
    </w:r>
    <w:r w:rsidR="009511B8">
      <w:instrText>=</w:instrText>
    </w:r>
    <w:r w:rsidR="009511B8">
      <w:fldChar w:fldCharType="begin"/>
    </w:r>
    <w:r w:rsidR="009511B8">
      <w:instrText>Page</w:instrText>
    </w:r>
    <w:r w:rsidR="009511B8">
      <w:fldChar w:fldCharType="separate"/>
    </w:r>
    <w:r w:rsidR="00551C0D">
      <w:rPr>
        <w:noProof/>
      </w:rPr>
      <w:instrText>20</w:instrText>
    </w:r>
    <w:r w:rsidR="009511B8">
      <w:fldChar w:fldCharType="end"/>
    </w:r>
    <w:r w:rsidR="00AB400D">
      <w:instrText>-6</w:instrText>
    </w:r>
    <w:r w:rsidR="009511B8">
      <w:instrText xml:space="preserve"> </w:instrText>
    </w:r>
    <w:r w:rsidR="009511B8">
      <w:fldChar w:fldCharType="separate"/>
    </w:r>
    <w:r w:rsidR="00551C0D">
      <w:rPr>
        <w:noProof/>
      </w:rPr>
      <w:t>14</w:t>
    </w:r>
    <w:r w:rsidR="009511B8">
      <w:fldChar w:fldCharType="end"/>
    </w:r>
    <w:r w:rsidR="009511B8">
      <w:t xml:space="preserve"> of 42</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5"/>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51201"/>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FF13A6"/>
    <w:rsid w:val="000043D5"/>
    <w:rsid w:val="00006170"/>
    <w:rsid w:val="00010E37"/>
    <w:rsid w:val="000172DA"/>
    <w:rsid w:val="0002134C"/>
    <w:rsid w:val="000247C5"/>
    <w:rsid w:val="000277C2"/>
    <w:rsid w:val="00035B48"/>
    <w:rsid w:val="00036CE2"/>
    <w:rsid w:val="000437FE"/>
    <w:rsid w:val="000513BE"/>
    <w:rsid w:val="00065A06"/>
    <w:rsid w:val="000666F3"/>
    <w:rsid w:val="00070DCB"/>
    <w:rsid w:val="00072CCA"/>
    <w:rsid w:val="00073120"/>
    <w:rsid w:val="000764D0"/>
    <w:rsid w:val="000828D3"/>
    <w:rsid w:val="000A2B57"/>
    <w:rsid w:val="000A418B"/>
    <w:rsid w:val="000B7E67"/>
    <w:rsid w:val="000C4431"/>
    <w:rsid w:val="000D1C06"/>
    <w:rsid w:val="000D4319"/>
    <w:rsid w:val="000F2674"/>
    <w:rsid w:val="000F374A"/>
    <w:rsid w:val="001076AF"/>
    <w:rsid w:val="00117C8C"/>
    <w:rsid w:val="00124C38"/>
    <w:rsid w:val="00124E2E"/>
    <w:rsid w:val="00125ED4"/>
    <w:rsid w:val="001305E9"/>
    <w:rsid w:val="001307AF"/>
    <w:rsid w:val="00135687"/>
    <w:rsid w:val="0015506E"/>
    <w:rsid w:val="00163031"/>
    <w:rsid w:val="00171A90"/>
    <w:rsid w:val="00172FBF"/>
    <w:rsid w:val="00180254"/>
    <w:rsid w:val="00191E1F"/>
    <w:rsid w:val="00192943"/>
    <w:rsid w:val="001A7406"/>
    <w:rsid w:val="001B4FEE"/>
    <w:rsid w:val="001B51C5"/>
    <w:rsid w:val="001B6F3F"/>
    <w:rsid w:val="001C52B5"/>
    <w:rsid w:val="001D0D3E"/>
    <w:rsid w:val="001F2245"/>
    <w:rsid w:val="001F2C63"/>
    <w:rsid w:val="001F48C7"/>
    <w:rsid w:val="001F6DA1"/>
    <w:rsid w:val="0020117B"/>
    <w:rsid w:val="002044E6"/>
    <w:rsid w:val="00205C82"/>
    <w:rsid w:val="00205DC2"/>
    <w:rsid w:val="00212B17"/>
    <w:rsid w:val="002163B6"/>
    <w:rsid w:val="00220732"/>
    <w:rsid w:val="00221D32"/>
    <w:rsid w:val="00225C3F"/>
    <w:rsid w:val="002465AA"/>
    <w:rsid w:val="00263D44"/>
    <w:rsid w:val="002702AD"/>
    <w:rsid w:val="0029261B"/>
    <w:rsid w:val="00292D82"/>
    <w:rsid w:val="002963CB"/>
    <w:rsid w:val="002B4A01"/>
    <w:rsid w:val="002D226D"/>
    <w:rsid w:val="002F6030"/>
    <w:rsid w:val="003037E1"/>
    <w:rsid w:val="00307E51"/>
    <w:rsid w:val="003103EC"/>
    <w:rsid w:val="0031326E"/>
    <w:rsid w:val="003144EF"/>
    <w:rsid w:val="00322F74"/>
    <w:rsid w:val="00340073"/>
    <w:rsid w:val="003632FD"/>
    <w:rsid w:val="00372805"/>
    <w:rsid w:val="00373180"/>
    <w:rsid w:val="00375AB9"/>
    <w:rsid w:val="00376C86"/>
    <w:rsid w:val="003821A0"/>
    <w:rsid w:val="00385B04"/>
    <w:rsid w:val="003864CF"/>
    <w:rsid w:val="003948AE"/>
    <w:rsid w:val="003A22A6"/>
    <w:rsid w:val="003A411E"/>
    <w:rsid w:val="003A5494"/>
    <w:rsid w:val="003B2510"/>
    <w:rsid w:val="003B76D8"/>
    <w:rsid w:val="003C2CC4"/>
    <w:rsid w:val="003C3710"/>
    <w:rsid w:val="003D0B77"/>
    <w:rsid w:val="003E0EFC"/>
    <w:rsid w:val="003E4A2B"/>
    <w:rsid w:val="003E76C2"/>
    <w:rsid w:val="003F1679"/>
    <w:rsid w:val="003F21EB"/>
    <w:rsid w:val="003F4A35"/>
    <w:rsid w:val="003F6A6A"/>
    <w:rsid w:val="003F7FDD"/>
    <w:rsid w:val="00402481"/>
    <w:rsid w:val="004042B4"/>
    <w:rsid w:val="00410DC4"/>
    <w:rsid w:val="00412DAE"/>
    <w:rsid w:val="004242E6"/>
    <w:rsid w:val="00431598"/>
    <w:rsid w:val="004319AD"/>
    <w:rsid w:val="004426B8"/>
    <w:rsid w:val="0044412D"/>
    <w:rsid w:val="00444432"/>
    <w:rsid w:val="00471860"/>
    <w:rsid w:val="00477026"/>
    <w:rsid w:val="004A744D"/>
    <w:rsid w:val="004B60BD"/>
    <w:rsid w:val="004C3150"/>
    <w:rsid w:val="004C3641"/>
    <w:rsid w:val="004C3A76"/>
    <w:rsid w:val="004C4390"/>
    <w:rsid w:val="004C4AF7"/>
    <w:rsid w:val="004D2881"/>
    <w:rsid w:val="004D385F"/>
    <w:rsid w:val="004D5B39"/>
    <w:rsid w:val="004E330D"/>
    <w:rsid w:val="004E5147"/>
    <w:rsid w:val="004E69B5"/>
    <w:rsid w:val="004F5C43"/>
    <w:rsid w:val="0050652D"/>
    <w:rsid w:val="00506C03"/>
    <w:rsid w:val="00511A11"/>
    <w:rsid w:val="00512B8F"/>
    <w:rsid w:val="00516496"/>
    <w:rsid w:val="00523B11"/>
    <w:rsid w:val="0052572A"/>
    <w:rsid w:val="00532DFB"/>
    <w:rsid w:val="00533C7E"/>
    <w:rsid w:val="00543CB3"/>
    <w:rsid w:val="005442E4"/>
    <w:rsid w:val="00551C0D"/>
    <w:rsid w:val="0055529B"/>
    <w:rsid w:val="00560FF0"/>
    <w:rsid w:val="005614BD"/>
    <w:rsid w:val="0057154F"/>
    <w:rsid w:val="00580F69"/>
    <w:rsid w:val="00581CA3"/>
    <w:rsid w:val="00587A44"/>
    <w:rsid w:val="00597730"/>
    <w:rsid w:val="005977EC"/>
    <w:rsid w:val="00597DE7"/>
    <w:rsid w:val="005A4AA2"/>
    <w:rsid w:val="005B34B6"/>
    <w:rsid w:val="005B6C8F"/>
    <w:rsid w:val="005B6EC3"/>
    <w:rsid w:val="005D0F74"/>
    <w:rsid w:val="005D2E7D"/>
    <w:rsid w:val="005D4A8F"/>
    <w:rsid w:val="005D561B"/>
    <w:rsid w:val="005D5ECF"/>
    <w:rsid w:val="005F468D"/>
    <w:rsid w:val="005F69A3"/>
    <w:rsid w:val="00604500"/>
    <w:rsid w:val="00604CC7"/>
    <w:rsid w:val="00615423"/>
    <w:rsid w:val="006165B2"/>
    <w:rsid w:val="00617276"/>
    <w:rsid w:val="0062527B"/>
    <w:rsid w:val="00625D97"/>
    <w:rsid w:val="00625F1C"/>
    <w:rsid w:val="006279E1"/>
    <w:rsid w:val="00630470"/>
    <w:rsid w:val="00630CEB"/>
    <w:rsid w:val="00632264"/>
    <w:rsid w:val="006470BC"/>
    <w:rsid w:val="006554D3"/>
    <w:rsid w:val="006653E7"/>
    <w:rsid w:val="00667036"/>
    <w:rsid w:val="00673BDB"/>
    <w:rsid w:val="00674341"/>
    <w:rsid w:val="006771B8"/>
    <w:rsid w:val="006843B6"/>
    <w:rsid w:val="0068481F"/>
    <w:rsid w:val="00696F5D"/>
    <w:rsid w:val="00697249"/>
    <w:rsid w:val="006A31D1"/>
    <w:rsid w:val="006B3947"/>
    <w:rsid w:val="006B4293"/>
    <w:rsid w:val="006B624F"/>
    <w:rsid w:val="006C0C95"/>
    <w:rsid w:val="006C31E3"/>
    <w:rsid w:val="006D18D3"/>
    <w:rsid w:val="006E08CB"/>
    <w:rsid w:val="006E598D"/>
    <w:rsid w:val="0070437D"/>
    <w:rsid w:val="00704CF1"/>
    <w:rsid w:val="00705B04"/>
    <w:rsid w:val="00720653"/>
    <w:rsid w:val="00724992"/>
    <w:rsid w:val="00733727"/>
    <w:rsid w:val="00734820"/>
    <w:rsid w:val="007349DC"/>
    <w:rsid w:val="0074365E"/>
    <w:rsid w:val="00744B55"/>
    <w:rsid w:val="007515FD"/>
    <w:rsid w:val="00760D80"/>
    <w:rsid w:val="00780C09"/>
    <w:rsid w:val="00780DDF"/>
    <w:rsid w:val="007834E9"/>
    <w:rsid w:val="00787DBC"/>
    <w:rsid w:val="0079019A"/>
    <w:rsid w:val="00792935"/>
    <w:rsid w:val="007A04A1"/>
    <w:rsid w:val="007A1840"/>
    <w:rsid w:val="007C0528"/>
    <w:rsid w:val="007C3D38"/>
    <w:rsid w:val="007D0F35"/>
    <w:rsid w:val="007D4FEB"/>
    <w:rsid w:val="007D6146"/>
    <w:rsid w:val="007E0CE7"/>
    <w:rsid w:val="007F1193"/>
    <w:rsid w:val="007F417F"/>
    <w:rsid w:val="007F7644"/>
    <w:rsid w:val="008042BD"/>
    <w:rsid w:val="00816624"/>
    <w:rsid w:val="00822427"/>
    <w:rsid w:val="00822562"/>
    <w:rsid w:val="00823663"/>
    <w:rsid w:val="00832DDC"/>
    <w:rsid w:val="00834E7F"/>
    <w:rsid w:val="00847634"/>
    <w:rsid w:val="00850BAC"/>
    <w:rsid w:val="00854A3E"/>
    <w:rsid w:val="00855D08"/>
    <w:rsid w:val="00874344"/>
    <w:rsid w:val="00882155"/>
    <w:rsid w:val="0088233B"/>
    <w:rsid w:val="0088599E"/>
    <w:rsid w:val="00886C37"/>
    <w:rsid w:val="00892D99"/>
    <w:rsid w:val="00893315"/>
    <w:rsid w:val="008B62AE"/>
    <w:rsid w:val="008C04B5"/>
    <w:rsid w:val="008C14FA"/>
    <w:rsid w:val="008C7B0B"/>
    <w:rsid w:val="008D4057"/>
    <w:rsid w:val="008E1F19"/>
    <w:rsid w:val="008F2262"/>
    <w:rsid w:val="008F4D2B"/>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3EDD"/>
    <w:rsid w:val="0093658B"/>
    <w:rsid w:val="009429FF"/>
    <w:rsid w:val="00945BD6"/>
    <w:rsid w:val="009479FB"/>
    <w:rsid w:val="009511B8"/>
    <w:rsid w:val="00951C45"/>
    <w:rsid w:val="009656F2"/>
    <w:rsid w:val="00966A08"/>
    <w:rsid w:val="00971207"/>
    <w:rsid w:val="00975CB4"/>
    <w:rsid w:val="0098387B"/>
    <w:rsid w:val="009863B0"/>
    <w:rsid w:val="00987DE1"/>
    <w:rsid w:val="00990571"/>
    <w:rsid w:val="0099673A"/>
    <w:rsid w:val="009A3330"/>
    <w:rsid w:val="009A7C96"/>
    <w:rsid w:val="009C3DB9"/>
    <w:rsid w:val="009D46E5"/>
    <w:rsid w:val="009D568A"/>
    <w:rsid w:val="009F04EC"/>
    <w:rsid w:val="009F2A7C"/>
    <w:rsid w:val="009F3B36"/>
    <w:rsid w:val="00A019B9"/>
    <w:rsid w:val="00A036C3"/>
    <w:rsid w:val="00A12508"/>
    <w:rsid w:val="00A1282B"/>
    <w:rsid w:val="00A13A27"/>
    <w:rsid w:val="00A175B6"/>
    <w:rsid w:val="00A21835"/>
    <w:rsid w:val="00A2374B"/>
    <w:rsid w:val="00A27D6E"/>
    <w:rsid w:val="00A328EC"/>
    <w:rsid w:val="00A33A51"/>
    <w:rsid w:val="00A41CA6"/>
    <w:rsid w:val="00A47927"/>
    <w:rsid w:val="00A47FFC"/>
    <w:rsid w:val="00A5442F"/>
    <w:rsid w:val="00A54FF9"/>
    <w:rsid w:val="00A56765"/>
    <w:rsid w:val="00A675AC"/>
    <w:rsid w:val="00A7581F"/>
    <w:rsid w:val="00A92FB1"/>
    <w:rsid w:val="00A95A0C"/>
    <w:rsid w:val="00AA2765"/>
    <w:rsid w:val="00AA77B5"/>
    <w:rsid w:val="00AB400D"/>
    <w:rsid w:val="00AB6C5D"/>
    <w:rsid w:val="00AC3401"/>
    <w:rsid w:val="00AC51A7"/>
    <w:rsid w:val="00AD444B"/>
    <w:rsid w:val="00AD5614"/>
    <w:rsid w:val="00AD6C78"/>
    <w:rsid w:val="00AE2EAB"/>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516ED"/>
    <w:rsid w:val="00B57A6A"/>
    <w:rsid w:val="00B760F1"/>
    <w:rsid w:val="00B7669E"/>
    <w:rsid w:val="00B77DA1"/>
    <w:rsid w:val="00B822A0"/>
    <w:rsid w:val="00B858AE"/>
    <w:rsid w:val="00B85964"/>
    <w:rsid w:val="00B96250"/>
    <w:rsid w:val="00BA0D55"/>
    <w:rsid w:val="00BA37B3"/>
    <w:rsid w:val="00BA4CC6"/>
    <w:rsid w:val="00BB3493"/>
    <w:rsid w:val="00BB7468"/>
    <w:rsid w:val="00BC188A"/>
    <w:rsid w:val="00BC3496"/>
    <w:rsid w:val="00BC402E"/>
    <w:rsid w:val="00BD0F48"/>
    <w:rsid w:val="00BD1BBC"/>
    <w:rsid w:val="00BE6DDB"/>
    <w:rsid w:val="00BF5010"/>
    <w:rsid w:val="00BF7504"/>
    <w:rsid w:val="00C03D5F"/>
    <w:rsid w:val="00C13791"/>
    <w:rsid w:val="00C31BB3"/>
    <w:rsid w:val="00C36977"/>
    <w:rsid w:val="00C467DA"/>
    <w:rsid w:val="00C477D9"/>
    <w:rsid w:val="00C60BA3"/>
    <w:rsid w:val="00C623F7"/>
    <w:rsid w:val="00C62A81"/>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A6F60"/>
    <w:rsid w:val="00CB1777"/>
    <w:rsid w:val="00CB33E9"/>
    <w:rsid w:val="00CC10A9"/>
    <w:rsid w:val="00CE2BF8"/>
    <w:rsid w:val="00CE484E"/>
    <w:rsid w:val="00CE656F"/>
    <w:rsid w:val="00CF0DA8"/>
    <w:rsid w:val="00CF2E25"/>
    <w:rsid w:val="00CF4453"/>
    <w:rsid w:val="00CF5D94"/>
    <w:rsid w:val="00CF7E0F"/>
    <w:rsid w:val="00D034D7"/>
    <w:rsid w:val="00D04BE4"/>
    <w:rsid w:val="00D06FC7"/>
    <w:rsid w:val="00D12565"/>
    <w:rsid w:val="00D14127"/>
    <w:rsid w:val="00D60B16"/>
    <w:rsid w:val="00D60F02"/>
    <w:rsid w:val="00D66E49"/>
    <w:rsid w:val="00D70D71"/>
    <w:rsid w:val="00D72F74"/>
    <w:rsid w:val="00D81563"/>
    <w:rsid w:val="00D85907"/>
    <w:rsid w:val="00D9073E"/>
    <w:rsid w:val="00D9221D"/>
    <w:rsid w:val="00D958DF"/>
    <w:rsid w:val="00D96DA1"/>
    <w:rsid w:val="00DA0108"/>
    <w:rsid w:val="00DA51E7"/>
    <w:rsid w:val="00DB0260"/>
    <w:rsid w:val="00DB1BD9"/>
    <w:rsid w:val="00DB1C78"/>
    <w:rsid w:val="00DB7D96"/>
    <w:rsid w:val="00DC23FE"/>
    <w:rsid w:val="00DC59E6"/>
    <w:rsid w:val="00DD150B"/>
    <w:rsid w:val="00DD5025"/>
    <w:rsid w:val="00DD5A9F"/>
    <w:rsid w:val="00DF1510"/>
    <w:rsid w:val="00E02F1F"/>
    <w:rsid w:val="00E06484"/>
    <w:rsid w:val="00E20A7D"/>
    <w:rsid w:val="00E251CF"/>
    <w:rsid w:val="00E275D8"/>
    <w:rsid w:val="00E30F6A"/>
    <w:rsid w:val="00E3117C"/>
    <w:rsid w:val="00E375CA"/>
    <w:rsid w:val="00E5364F"/>
    <w:rsid w:val="00E567E8"/>
    <w:rsid w:val="00E64679"/>
    <w:rsid w:val="00E65EBC"/>
    <w:rsid w:val="00E677FE"/>
    <w:rsid w:val="00E73432"/>
    <w:rsid w:val="00E77B0C"/>
    <w:rsid w:val="00E77FB8"/>
    <w:rsid w:val="00E838B0"/>
    <w:rsid w:val="00E86A7C"/>
    <w:rsid w:val="00E878E1"/>
    <w:rsid w:val="00E87F2C"/>
    <w:rsid w:val="00E95278"/>
    <w:rsid w:val="00EA2273"/>
    <w:rsid w:val="00EA7C3C"/>
    <w:rsid w:val="00EB2DB3"/>
    <w:rsid w:val="00EC3FBB"/>
    <w:rsid w:val="00EC6B7A"/>
    <w:rsid w:val="00EC6E70"/>
    <w:rsid w:val="00ED3A87"/>
    <w:rsid w:val="00ED5B67"/>
    <w:rsid w:val="00EF264C"/>
    <w:rsid w:val="00EF3FEE"/>
    <w:rsid w:val="00F04B59"/>
    <w:rsid w:val="00F11741"/>
    <w:rsid w:val="00F12B1C"/>
    <w:rsid w:val="00F13CF8"/>
    <w:rsid w:val="00F15855"/>
    <w:rsid w:val="00F200B2"/>
    <w:rsid w:val="00F227DC"/>
    <w:rsid w:val="00F26795"/>
    <w:rsid w:val="00F32978"/>
    <w:rsid w:val="00F45CB2"/>
    <w:rsid w:val="00F544C0"/>
    <w:rsid w:val="00F55332"/>
    <w:rsid w:val="00F6504A"/>
    <w:rsid w:val="00F65519"/>
    <w:rsid w:val="00F713C0"/>
    <w:rsid w:val="00F75DDC"/>
    <w:rsid w:val="00F7792F"/>
    <w:rsid w:val="00F842AA"/>
    <w:rsid w:val="00F8476F"/>
    <w:rsid w:val="00F853E1"/>
    <w:rsid w:val="00F85604"/>
    <w:rsid w:val="00F91A47"/>
    <w:rsid w:val="00F94B7A"/>
    <w:rsid w:val="00FA17AC"/>
    <w:rsid w:val="00FA32DE"/>
    <w:rsid w:val="00FA3382"/>
    <w:rsid w:val="00FA59CD"/>
    <w:rsid w:val="00FB1740"/>
    <w:rsid w:val="00FC434A"/>
    <w:rsid w:val="00FC5469"/>
    <w:rsid w:val="00FC6D7D"/>
    <w:rsid w:val="00FD16B0"/>
    <w:rsid w:val="00FD4FED"/>
    <w:rsid w:val="00FE0577"/>
    <w:rsid w:val="00FE59EC"/>
    <w:rsid w:val="00FE5B67"/>
    <w:rsid w:val="00FE60D6"/>
    <w:rsid w:val="00FF13A6"/>
    <w:rsid w:val="00FF5C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01"/>
    <o:shapelayout v:ext="edit">
      <o:idmap v:ext="edit" data="1"/>
    </o:shapelayout>
  </w:shapeDefaults>
  <w:decimalSymbol w:val="."/>
  <w:listSeparator w:val=","/>
  <w15:docId w15:val="{F313D60A-6AA4-4520-95AE-63C1918320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834E7F"/>
    <w:rPr>
      <w:vertAlign w:val="superscript"/>
    </w:rPr>
  </w:style>
  <w:style w:type="character" w:customStyle="1" w:styleId="FootnoteTextChar">
    <w:name w:val="Footnote Text Char"/>
    <w:basedOn w:val="DefaultParagraphFont"/>
    <w:link w:val="FootnoteText"/>
    <w:rsid w:val="00BD1B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header" Target="header4.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image" Target="media/image30.JPG"/><Relationship Id="rId54" Type="http://schemas.openxmlformats.org/officeDocument/2006/relationships/image" Target="media/image4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8.JPG"/><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0.JP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(Regular).dotm</Template>
  <TotalTime>0</TotalTime>
  <Pages>48</Pages>
  <Words>1354</Words>
  <Characters>7860</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9196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Joann Parsons</dc:creator>
  <cp:lastModifiedBy>Joann Parsons</cp:lastModifiedBy>
  <cp:revision>2</cp:revision>
  <cp:lastPrinted>2022-05-17T18:46:00Z</cp:lastPrinted>
  <dcterms:created xsi:type="dcterms:W3CDTF">2022-05-25T12:39:00Z</dcterms:created>
  <dcterms:modified xsi:type="dcterms:W3CDTF">2022-05-25T12:39:00Z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20220072-EQ</vt:lpwstr>
  </property>
  <property fmtid="{D5CDD505-2E9C-101B-9397-08002B2CF9AE}" pid="3" name="MasterDocument">
    <vt:bool>false</vt:bool>
  </property>
</Properties>
</file>