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4B36AC" w:rsidRDefault="00BB47DB" w:rsidP="00BB47DB">
      <w:pPr>
        <w:pStyle w:val="OrderHeading"/>
      </w:pPr>
      <w:r w:rsidRPr="004B36AC">
        <w:t>BEFORE THE FLORIDA PUBLIC SERVICE COMMISSION</w:t>
      </w:r>
    </w:p>
    <w:p w:rsidR="00BB47DB" w:rsidRPr="004B36AC" w:rsidRDefault="00BB47DB" w:rsidP="00BB47DB">
      <w:pPr>
        <w:pStyle w:val="OrderBody"/>
      </w:pPr>
    </w:p>
    <w:p w:rsidR="00BB47DB" w:rsidRPr="004B36AC" w:rsidRDefault="00BB47DB" w:rsidP="00BB47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47DB" w:rsidRPr="004B36AC" w:rsidTr="00C63FCF">
        <w:trPr>
          <w:trHeight w:val="828"/>
        </w:trPr>
        <w:tc>
          <w:tcPr>
            <w:tcW w:w="4788" w:type="dxa"/>
            <w:tcBorders>
              <w:bottom w:val="single" w:sz="8" w:space="0" w:color="auto"/>
              <w:right w:val="double" w:sz="6" w:space="0" w:color="auto"/>
            </w:tcBorders>
            <w:shd w:val="clear" w:color="auto" w:fill="auto"/>
          </w:tcPr>
          <w:p w:rsidR="00BB47DB" w:rsidRPr="004B36AC" w:rsidRDefault="00BB47DB" w:rsidP="00C63FCF">
            <w:pPr>
              <w:pStyle w:val="OrderBody"/>
              <w:tabs>
                <w:tab w:val="center" w:pos="4320"/>
                <w:tab w:val="right" w:pos="8640"/>
              </w:tabs>
              <w:jc w:val="left"/>
            </w:pPr>
            <w:r w:rsidRPr="004B36AC">
              <w:t xml:space="preserve">In re: </w:t>
            </w:r>
            <w:bookmarkStart w:id="0" w:name="SSInRe"/>
            <w:bookmarkEnd w:id="0"/>
            <w:r w:rsidRPr="004B36AC">
              <w:t>Review of Storm Protection Plan, pursuant to Rule 25-6.030, F.A.C., Florida Power &amp; Light Company.</w:t>
            </w:r>
          </w:p>
        </w:tc>
        <w:tc>
          <w:tcPr>
            <w:tcW w:w="4788" w:type="dxa"/>
            <w:tcBorders>
              <w:left w:val="double" w:sz="6" w:space="0" w:color="auto"/>
            </w:tcBorders>
            <w:shd w:val="clear" w:color="auto" w:fill="auto"/>
          </w:tcPr>
          <w:p w:rsidR="00BB47DB" w:rsidRPr="004B36AC" w:rsidRDefault="00BB47DB" w:rsidP="00BB47DB">
            <w:pPr>
              <w:pStyle w:val="OrderBody"/>
            </w:pPr>
            <w:r w:rsidRPr="004B36AC">
              <w:t xml:space="preserve">DOCKET NO. </w:t>
            </w:r>
            <w:bookmarkStart w:id="1" w:name="SSDocketNo"/>
            <w:bookmarkEnd w:id="1"/>
            <w:r w:rsidRPr="004B36AC">
              <w:t>20220051-EI</w:t>
            </w:r>
          </w:p>
          <w:p w:rsidR="00BB47DB" w:rsidRPr="004B36AC" w:rsidRDefault="00BB47DB" w:rsidP="00C63FCF">
            <w:pPr>
              <w:pStyle w:val="OrderBody"/>
              <w:tabs>
                <w:tab w:val="center" w:pos="4320"/>
                <w:tab w:val="right" w:pos="8640"/>
              </w:tabs>
              <w:jc w:val="left"/>
            </w:pPr>
            <w:r w:rsidRPr="004B36AC">
              <w:t xml:space="preserve">ORDER NO. </w:t>
            </w:r>
            <w:bookmarkStart w:id="2" w:name="OrderNo0194"/>
            <w:r w:rsidR="007907D3">
              <w:t>PSC-2022-0194-PCO-EI</w:t>
            </w:r>
            <w:bookmarkEnd w:id="2"/>
          </w:p>
          <w:p w:rsidR="00BB47DB" w:rsidRPr="004B36AC" w:rsidRDefault="00BB47DB" w:rsidP="00C63FCF">
            <w:pPr>
              <w:pStyle w:val="OrderBody"/>
              <w:tabs>
                <w:tab w:val="center" w:pos="4320"/>
                <w:tab w:val="right" w:pos="8640"/>
              </w:tabs>
              <w:jc w:val="left"/>
            </w:pPr>
            <w:r w:rsidRPr="004B36AC">
              <w:t xml:space="preserve">ISSUED: </w:t>
            </w:r>
            <w:r w:rsidR="007907D3">
              <w:t>May 25, 2022</w:t>
            </w:r>
          </w:p>
        </w:tc>
      </w:tr>
    </w:tbl>
    <w:p w:rsidR="00BB47DB" w:rsidRPr="004B36AC" w:rsidRDefault="00BB47DB" w:rsidP="00BB47DB"/>
    <w:p w:rsidR="00BB47DB" w:rsidRPr="004B36AC" w:rsidRDefault="00BB47DB" w:rsidP="00BB47DB"/>
    <w:p w:rsidR="00BB47DB" w:rsidRPr="004B36AC" w:rsidRDefault="00BB47DB" w:rsidP="00BB47DB">
      <w:pPr>
        <w:pStyle w:val="CenterUnderline"/>
      </w:pPr>
      <w:bookmarkStart w:id="3" w:name="Commissioners"/>
      <w:bookmarkEnd w:id="3"/>
      <w:r w:rsidRPr="004B36AC">
        <w:t>ORDER</w:t>
      </w:r>
      <w:bookmarkStart w:id="4" w:name="OrderTitle"/>
      <w:r w:rsidRPr="004B36AC">
        <w:t xml:space="preserve"> DENYING OPC’S MOTION TO COMPEL DISCOVERY</w:t>
      </w:r>
    </w:p>
    <w:p w:rsidR="00BB47DB" w:rsidRPr="004B36AC" w:rsidRDefault="00BB47DB" w:rsidP="00BB47DB">
      <w:pPr>
        <w:pStyle w:val="CenterUnderline"/>
      </w:pPr>
      <w:r w:rsidRPr="004B36AC">
        <w:t>AND MOTION TO ENLARGE DISCOVERY DEADLINES,</w:t>
      </w:r>
    </w:p>
    <w:p w:rsidR="00CB5276" w:rsidRPr="004B36AC" w:rsidRDefault="00BB47DB" w:rsidP="00BB47DB">
      <w:pPr>
        <w:pStyle w:val="CenterUnderline"/>
      </w:pPr>
      <w:r w:rsidRPr="004B36AC">
        <w:t xml:space="preserve">TESTIMONY DUE DATES, AND HEARING DATES </w:t>
      </w:r>
      <w:bookmarkEnd w:id="4"/>
    </w:p>
    <w:p w:rsidR="00BB47DB" w:rsidRPr="004B36AC" w:rsidRDefault="00BB47DB" w:rsidP="00BB47DB">
      <w:pPr>
        <w:pStyle w:val="CenterUnderline"/>
      </w:pPr>
    </w:p>
    <w:p w:rsidR="00BB47DB" w:rsidRPr="004B36AC" w:rsidRDefault="00BB47DB" w:rsidP="00BB47DB">
      <w:pPr>
        <w:pStyle w:val="OrderBody"/>
      </w:pPr>
      <w:r w:rsidRPr="004B36AC">
        <w:t>BY THE COMMISSION:</w:t>
      </w:r>
    </w:p>
    <w:p w:rsidR="00BB47DB" w:rsidRPr="004B36AC" w:rsidRDefault="00BB47DB" w:rsidP="00BB47DB">
      <w:pPr>
        <w:pStyle w:val="OrderBody"/>
      </w:pPr>
    </w:p>
    <w:p w:rsidR="00457ED4" w:rsidRPr="004B36AC" w:rsidRDefault="00BB47DB" w:rsidP="00294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rsidRPr="004B36AC">
        <w:tab/>
      </w:r>
      <w:r w:rsidR="00261D0A">
        <w:t>The Review of Florida Power &amp; Light Company’s (FPL) Storm Protection Plan</w:t>
      </w:r>
      <w:r w:rsidR="0038719D">
        <w:t xml:space="preserve"> (SPP) docket was </w:t>
      </w:r>
      <w:r w:rsidR="00261D0A">
        <w:t xml:space="preserve">established on March 9, 2022. </w:t>
      </w:r>
      <w:r w:rsidR="002942E9" w:rsidRPr="004B36AC">
        <w:t xml:space="preserve">Office of Public Counsel’s (OPC) intervention was acknowledged </w:t>
      </w:r>
      <w:r w:rsidR="00705568" w:rsidRPr="004B36AC">
        <w:t xml:space="preserve">in this docket </w:t>
      </w:r>
      <w:r w:rsidR="00762BE5" w:rsidRPr="004B36AC">
        <w:t>on March 14, 2022.</w:t>
      </w:r>
      <w:r w:rsidR="006C30BD" w:rsidRPr="004B36AC">
        <w:t xml:space="preserve"> </w:t>
      </w:r>
    </w:p>
    <w:p w:rsidR="006C30BD" w:rsidRPr="004B36AC" w:rsidRDefault="006C30BD" w:rsidP="006C30BD">
      <w:pPr>
        <w:ind w:firstLine="720"/>
        <w:jc w:val="both"/>
        <w:rPr>
          <w:highlight w:val="yellow"/>
        </w:rPr>
      </w:pPr>
      <w:r w:rsidRPr="004B36AC">
        <w:rPr>
          <w:highlight w:val="yellow"/>
        </w:rPr>
        <w:t xml:space="preserve"> </w:t>
      </w:r>
    </w:p>
    <w:p w:rsidR="00261D0A" w:rsidRDefault="006C30BD" w:rsidP="006C30BD">
      <w:pPr>
        <w:ind w:firstLine="720"/>
        <w:jc w:val="both"/>
      </w:pPr>
      <w:r w:rsidRPr="004B36AC">
        <w:t xml:space="preserve">By </w:t>
      </w:r>
      <w:r w:rsidR="00261D0A">
        <w:t xml:space="preserve">the Order Establishing </w:t>
      </w:r>
      <w:r w:rsidR="00CC3AF7">
        <w:t>Procedure</w:t>
      </w:r>
      <w:r w:rsidR="00261D0A">
        <w:t xml:space="preserve">, </w:t>
      </w:r>
      <w:r w:rsidR="00705568" w:rsidRPr="004B36AC">
        <w:t xml:space="preserve">Order No. PSC-2022-01119-PCO-EI, issued on March 17, 2022, </w:t>
      </w:r>
      <w:r w:rsidRPr="004B36AC">
        <w:t>th</w:t>
      </w:r>
      <w:r w:rsidR="00705568" w:rsidRPr="004B36AC">
        <w:t>is docket was consolidated</w:t>
      </w:r>
      <w:r w:rsidR="00F05917">
        <w:t xml:space="preserve"> with</w:t>
      </w:r>
      <w:r w:rsidR="0038719D">
        <w:t xml:space="preserve"> </w:t>
      </w:r>
      <w:r w:rsidR="00F05917">
        <w:t>Docket Nos. 20220048-EI, 20220049-EI,</w:t>
      </w:r>
      <w:r w:rsidR="00DD6651">
        <w:t xml:space="preserve"> and</w:t>
      </w:r>
      <w:r w:rsidR="00F05917">
        <w:t xml:space="preserve"> 20220050-EI </w:t>
      </w:r>
      <w:r w:rsidR="00705568" w:rsidRPr="004B36AC">
        <w:t xml:space="preserve">for the purpose of hearing to review each of the investor-owned electric utilities’ SPPs, and a procedural schedule was established, including dates and procedures for conducting </w:t>
      </w:r>
      <w:r w:rsidR="00CC3AF7" w:rsidRPr="004B36AC">
        <w:t>discovery. The</w:t>
      </w:r>
      <w:r w:rsidR="00705568" w:rsidRPr="004B36AC">
        <w:t xml:space="preserve"> </w:t>
      </w:r>
      <w:r w:rsidR="00DD6651">
        <w:t>evidentiary</w:t>
      </w:r>
      <w:r w:rsidR="00705568" w:rsidRPr="004B36AC">
        <w:t xml:space="preserve"> hearing is scheduled to be held from August 2-4, 2022.</w:t>
      </w:r>
    </w:p>
    <w:p w:rsidR="00705568" w:rsidRPr="004B36AC" w:rsidRDefault="00705568" w:rsidP="006C30BD">
      <w:pPr>
        <w:ind w:firstLine="720"/>
        <w:jc w:val="both"/>
      </w:pPr>
    </w:p>
    <w:p w:rsidR="006A1C84" w:rsidRPr="004B36AC" w:rsidRDefault="00762BE5" w:rsidP="006C30BD">
      <w:pPr>
        <w:pStyle w:val="Default"/>
        <w:ind w:firstLine="720"/>
        <w:jc w:val="both"/>
        <w:rPr>
          <w:color w:val="auto"/>
        </w:rPr>
      </w:pPr>
      <w:r w:rsidRPr="004B36AC">
        <w:rPr>
          <w:color w:val="auto"/>
        </w:rPr>
        <w:t xml:space="preserve">On March 22, 2022, OPC served its First Set of Interrogatories (Nos. 1-8) and First Request for Production of Documents (Nos. 1-5) upon FPL. On March 30, 2022, FPL served its initial </w:t>
      </w:r>
      <w:r w:rsidR="00AE2774" w:rsidRPr="004B36AC">
        <w:rPr>
          <w:color w:val="auto"/>
        </w:rPr>
        <w:t>O</w:t>
      </w:r>
      <w:r w:rsidRPr="004B36AC">
        <w:rPr>
          <w:color w:val="auto"/>
        </w:rPr>
        <w:t>bjection</w:t>
      </w:r>
      <w:r w:rsidR="00BE115C" w:rsidRPr="004B36AC">
        <w:rPr>
          <w:color w:val="auto"/>
        </w:rPr>
        <w:t xml:space="preserve"> </w:t>
      </w:r>
      <w:r w:rsidR="00F05917">
        <w:rPr>
          <w:color w:val="auto"/>
        </w:rPr>
        <w:t>regarding</w:t>
      </w:r>
      <w:r w:rsidR="00F05917" w:rsidRPr="004B36AC">
        <w:rPr>
          <w:color w:val="auto"/>
        </w:rPr>
        <w:t xml:space="preserve"> </w:t>
      </w:r>
      <w:r w:rsidR="00BE115C" w:rsidRPr="004B36AC">
        <w:rPr>
          <w:color w:val="auto"/>
        </w:rPr>
        <w:t>OPC</w:t>
      </w:r>
      <w:r w:rsidR="00AE2774" w:rsidRPr="004B36AC">
        <w:rPr>
          <w:color w:val="auto"/>
        </w:rPr>
        <w:t>’s</w:t>
      </w:r>
      <w:r w:rsidR="00394BD3" w:rsidRPr="004B36AC">
        <w:rPr>
          <w:color w:val="auto"/>
        </w:rPr>
        <w:t xml:space="preserve"> propounding </w:t>
      </w:r>
      <w:r w:rsidR="00AE2774" w:rsidRPr="004B36AC">
        <w:rPr>
          <w:color w:val="auto"/>
        </w:rPr>
        <w:t xml:space="preserve">of </w:t>
      </w:r>
      <w:r w:rsidR="00BE115C" w:rsidRPr="004B36AC">
        <w:rPr>
          <w:color w:val="auto"/>
        </w:rPr>
        <w:t xml:space="preserve">detailed </w:t>
      </w:r>
      <w:r w:rsidR="00394BD3" w:rsidRPr="004B36AC">
        <w:rPr>
          <w:color w:val="auto"/>
        </w:rPr>
        <w:t xml:space="preserve">discovery prior to the </w:t>
      </w:r>
      <w:r w:rsidR="00F05917">
        <w:rPr>
          <w:color w:val="auto"/>
        </w:rPr>
        <w:t>filing of the Direct testimony</w:t>
      </w:r>
      <w:r w:rsidR="00BE115C" w:rsidRPr="004B36AC">
        <w:rPr>
          <w:color w:val="auto"/>
        </w:rPr>
        <w:t xml:space="preserve">. </w:t>
      </w:r>
      <w:r w:rsidR="00F05917">
        <w:rPr>
          <w:color w:val="auto"/>
        </w:rPr>
        <w:t>On</w:t>
      </w:r>
      <w:r w:rsidR="00F05917" w:rsidRPr="004B36AC">
        <w:t xml:space="preserve"> April 11, 2021, FPL filed its </w:t>
      </w:r>
      <w:r w:rsidR="00F05917">
        <w:t xml:space="preserve">initial Direct testimony and its </w:t>
      </w:r>
      <w:r w:rsidR="00F05917" w:rsidRPr="004B36AC">
        <w:t>Transmission and Dist</w:t>
      </w:r>
      <w:r w:rsidR="0038719D">
        <w:t>ribution SPP</w:t>
      </w:r>
      <w:r w:rsidR="00F05917" w:rsidRPr="004B36AC">
        <w:t xml:space="preserve"> pursuant to Section 366.95(5), F.S., and Rule 25-6.030, F.A.C.</w:t>
      </w:r>
      <w:r w:rsidR="00F05917" w:rsidRPr="00F05917">
        <w:rPr>
          <w:color w:val="auto"/>
        </w:rPr>
        <w:t xml:space="preserve"> </w:t>
      </w:r>
      <w:r w:rsidR="00DF5B6D">
        <w:rPr>
          <w:color w:val="auto"/>
        </w:rPr>
        <w:t xml:space="preserve"> </w:t>
      </w:r>
      <w:r w:rsidR="00DF5B6D" w:rsidRPr="004B36AC">
        <w:rPr>
          <w:color w:val="auto"/>
        </w:rPr>
        <w:t>FPL provided Responses and additional Objections to OPC’s First Set of Interrogatories and First Request for Production of Documents on April 14, 2022.</w:t>
      </w:r>
      <w:r w:rsidR="00DF5B6D">
        <w:rPr>
          <w:color w:val="auto"/>
        </w:rPr>
        <w:t xml:space="preserve"> </w:t>
      </w:r>
      <w:r w:rsidR="00DF5B6D" w:rsidRPr="004B36AC">
        <w:rPr>
          <w:color w:val="auto"/>
        </w:rPr>
        <w:t>On April 15, 2022, OPC served its Second Set of Interrogatories (Nos. 9-13) and Second Request for Production of Documents (Request for Production) (No. 6) upon FPL. FPL served its Responses and Objections to OPC’s second round of Discovery on May 5, 2022.</w:t>
      </w:r>
    </w:p>
    <w:p w:rsidR="00AE2774" w:rsidRPr="004B36AC" w:rsidRDefault="00AE2774" w:rsidP="006C30BD">
      <w:pPr>
        <w:pStyle w:val="Default"/>
        <w:ind w:firstLine="720"/>
        <w:jc w:val="both"/>
        <w:rPr>
          <w:color w:val="auto"/>
        </w:rPr>
      </w:pPr>
    </w:p>
    <w:p w:rsidR="00AE2774" w:rsidRDefault="00AE2774" w:rsidP="00AE2774">
      <w:pPr>
        <w:ind w:firstLine="720"/>
        <w:jc w:val="both"/>
      </w:pPr>
      <w:r w:rsidRPr="004B36AC">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261D0A" w:rsidRPr="004B36AC" w:rsidRDefault="00261D0A" w:rsidP="00AE2774">
      <w:pPr>
        <w:ind w:firstLine="720"/>
        <w:jc w:val="both"/>
      </w:pPr>
    </w:p>
    <w:p w:rsidR="00AE2774" w:rsidRPr="004B36AC" w:rsidRDefault="00AE2774" w:rsidP="00AE2774">
      <w:pPr>
        <w:jc w:val="both"/>
      </w:pPr>
    </w:p>
    <w:p w:rsidR="00AE2774" w:rsidRPr="004B36AC" w:rsidRDefault="00AE2774" w:rsidP="00AE2774">
      <w:pPr>
        <w:pStyle w:val="OrderBody"/>
        <w:jc w:val="center"/>
      </w:pPr>
      <w:r w:rsidRPr="004B36AC">
        <w:rPr>
          <w:u w:val="single"/>
        </w:rPr>
        <w:t>Motion to Compel and Responses</w:t>
      </w:r>
    </w:p>
    <w:p w:rsidR="00AE2774" w:rsidRPr="004B36AC" w:rsidRDefault="00AE2774" w:rsidP="006C30BD">
      <w:pPr>
        <w:pStyle w:val="Default"/>
        <w:ind w:firstLine="720"/>
        <w:jc w:val="both"/>
        <w:rPr>
          <w:color w:val="auto"/>
        </w:rPr>
      </w:pPr>
    </w:p>
    <w:p w:rsidR="00AE2774" w:rsidRPr="004B36AC" w:rsidRDefault="00E062AD" w:rsidP="006C30BD">
      <w:pPr>
        <w:pStyle w:val="Default"/>
        <w:ind w:firstLine="720"/>
        <w:jc w:val="both"/>
        <w:rPr>
          <w:color w:val="auto"/>
        </w:rPr>
      </w:pPr>
      <w:r w:rsidRPr="004B36AC">
        <w:rPr>
          <w:color w:val="auto"/>
        </w:rPr>
        <w:t xml:space="preserve">On </w:t>
      </w:r>
      <w:r w:rsidR="00873957" w:rsidRPr="004B36AC">
        <w:rPr>
          <w:color w:val="auto"/>
        </w:rPr>
        <w:t xml:space="preserve">May 5, 2022, OPC filed </w:t>
      </w:r>
      <w:r w:rsidRPr="004B36AC">
        <w:rPr>
          <w:color w:val="auto"/>
        </w:rPr>
        <w:t>a</w:t>
      </w:r>
      <w:r w:rsidR="00873957" w:rsidRPr="004B36AC">
        <w:rPr>
          <w:color w:val="auto"/>
        </w:rPr>
        <w:t xml:space="preserve"> Motion to</w:t>
      </w:r>
      <w:r w:rsidR="006A1C84" w:rsidRPr="004B36AC">
        <w:rPr>
          <w:color w:val="auto"/>
        </w:rPr>
        <w:t xml:space="preserve"> </w:t>
      </w:r>
      <w:r w:rsidR="00873957" w:rsidRPr="004B36AC">
        <w:rPr>
          <w:color w:val="auto"/>
        </w:rPr>
        <w:t xml:space="preserve">Compel Discovery </w:t>
      </w:r>
      <w:r w:rsidR="00AE2774" w:rsidRPr="004B36AC">
        <w:rPr>
          <w:color w:val="auto"/>
        </w:rPr>
        <w:t>concerning OPC’s Second Set of Interrogatories, Interrogatory 13 and OPC’s Second Request for Production of Documents No. 6. OPC’s Interrogatory 13 request</w:t>
      </w:r>
      <w:r w:rsidR="00A65A5E" w:rsidRPr="004B36AC">
        <w:rPr>
          <w:color w:val="auto"/>
        </w:rPr>
        <w:t>ed</w:t>
      </w:r>
      <w:r w:rsidR="00AE2774" w:rsidRPr="004B36AC">
        <w:rPr>
          <w:color w:val="auto"/>
        </w:rPr>
        <w:t xml:space="preserve"> a list of persons primarily responsible for developing </w:t>
      </w:r>
      <w:r w:rsidR="00AE2774" w:rsidRPr="004B36AC">
        <w:rPr>
          <w:color w:val="auto"/>
        </w:rPr>
        <w:lastRenderedPageBreak/>
        <w:t>FPL’s "entire suite of winter weather emergency preparedness measures</w:t>
      </w:r>
      <w:r w:rsidR="002D2F8C" w:rsidRPr="004B36AC">
        <w:rPr>
          <w:color w:val="auto"/>
        </w:rPr>
        <w:t>.</w:t>
      </w:r>
      <w:r w:rsidR="00AE2774" w:rsidRPr="004B36AC">
        <w:rPr>
          <w:color w:val="auto"/>
        </w:rPr>
        <w:t xml:space="preserve">” </w:t>
      </w:r>
      <w:r w:rsidR="00A65A5E" w:rsidRPr="004B36AC">
        <w:rPr>
          <w:color w:val="auto"/>
        </w:rPr>
        <w:t xml:space="preserve">OPC’s </w:t>
      </w:r>
      <w:r w:rsidR="00AE2774" w:rsidRPr="004B36AC">
        <w:rPr>
          <w:color w:val="auto"/>
        </w:rPr>
        <w:t xml:space="preserve">Request for Production No. 6 </w:t>
      </w:r>
      <w:r w:rsidR="00A65A5E" w:rsidRPr="004B36AC">
        <w:rPr>
          <w:color w:val="auto"/>
        </w:rPr>
        <w:t xml:space="preserve">was </w:t>
      </w:r>
      <w:r w:rsidR="00DF5B6D">
        <w:rPr>
          <w:color w:val="auto"/>
        </w:rPr>
        <w:t xml:space="preserve">a </w:t>
      </w:r>
      <w:r w:rsidR="00AE2774" w:rsidRPr="004B36AC">
        <w:rPr>
          <w:color w:val="auto"/>
        </w:rPr>
        <w:t xml:space="preserve">similar </w:t>
      </w:r>
      <w:r w:rsidR="002D2F8C" w:rsidRPr="004B36AC">
        <w:rPr>
          <w:color w:val="auto"/>
        </w:rPr>
        <w:t xml:space="preserve">request </w:t>
      </w:r>
      <w:r w:rsidR="00A65A5E" w:rsidRPr="004B36AC">
        <w:rPr>
          <w:color w:val="auto"/>
        </w:rPr>
        <w:t xml:space="preserve">for </w:t>
      </w:r>
      <w:r w:rsidR="002D2F8C" w:rsidRPr="004B36AC">
        <w:rPr>
          <w:color w:val="auto"/>
        </w:rPr>
        <w:t>FPL</w:t>
      </w:r>
      <w:r w:rsidR="00A65A5E" w:rsidRPr="004B36AC">
        <w:rPr>
          <w:color w:val="auto"/>
        </w:rPr>
        <w:t xml:space="preserve"> to</w:t>
      </w:r>
      <w:r w:rsidR="002D2F8C" w:rsidRPr="004B36AC">
        <w:rPr>
          <w:color w:val="auto"/>
        </w:rPr>
        <w:t xml:space="preserve"> provide each document and all supporting workpapers that fully describe the company’s "entire suite of winter weather emergency preparedness measures.”</w:t>
      </w:r>
      <w:r w:rsidR="00AE2774" w:rsidRPr="004B36AC">
        <w:rPr>
          <w:color w:val="auto"/>
        </w:rPr>
        <w:t xml:space="preserve"> </w:t>
      </w:r>
      <w:r w:rsidR="003365C9" w:rsidRPr="004B36AC">
        <w:rPr>
          <w:color w:val="auto"/>
        </w:rPr>
        <w:t>In its Motion, OPC argues that it is unable to properly prepare their expert witness, comply with the</w:t>
      </w:r>
      <w:r w:rsidR="00DF5B6D">
        <w:rPr>
          <w:color w:val="auto"/>
        </w:rPr>
        <w:t xml:space="preserve"> May 31, 2022,</w:t>
      </w:r>
      <w:r w:rsidR="003365C9" w:rsidRPr="004B36AC">
        <w:rPr>
          <w:color w:val="auto"/>
        </w:rPr>
        <w:t xml:space="preserve"> Intervenor Testimony deadline</w:t>
      </w:r>
      <w:r w:rsidR="00A21FB1">
        <w:rPr>
          <w:color w:val="auto"/>
        </w:rPr>
        <w:t>,</w:t>
      </w:r>
      <w:r w:rsidR="003365C9" w:rsidRPr="004B36AC">
        <w:rPr>
          <w:color w:val="auto"/>
        </w:rPr>
        <w:t xml:space="preserve"> or prepare for hearing due to FPL’s objections and refusal to provide complete responses to the discovery.</w:t>
      </w:r>
    </w:p>
    <w:p w:rsidR="00AE2774" w:rsidRPr="004B36AC" w:rsidRDefault="00AE2774" w:rsidP="006C30BD">
      <w:pPr>
        <w:pStyle w:val="Default"/>
        <w:ind w:firstLine="720"/>
        <w:jc w:val="both"/>
        <w:rPr>
          <w:color w:val="auto"/>
        </w:rPr>
      </w:pPr>
    </w:p>
    <w:p w:rsidR="00181A86" w:rsidRPr="004B36AC" w:rsidRDefault="00873957" w:rsidP="006C30BD">
      <w:pPr>
        <w:pStyle w:val="Default"/>
        <w:ind w:firstLine="720"/>
        <w:jc w:val="both"/>
        <w:rPr>
          <w:color w:val="auto"/>
        </w:rPr>
      </w:pPr>
      <w:r w:rsidRPr="004B36AC">
        <w:rPr>
          <w:color w:val="auto"/>
        </w:rPr>
        <w:t xml:space="preserve">FPL filed its Response in Opposition to OPC’s Motions on May 13, 2022. </w:t>
      </w:r>
      <w:r w:rsidR="006C30BD" w:rsidRPr="004B36AC">
        <w:rPr>
          <w:color w:val="auto"/>
        </w:rPr>
        <w:t>FPL</w:t>
      </w:r>
      <w:r w:rsidR="003365C9" w:rsidRPr="004B36AC">
        <w:rPr>
          <w:color w:val="auto"/>
        </w:rPr>
        <w:t>’s</w:t>
      </w:r>
      <w:r w:rsidR="006C30BD" w:rsidRPr="004B36AC">
        <w:rPr>
          <w:color w:val="auto"/>
        </w:rPr>
        <w:t xml:space="preserve"> </w:t>
      </w:r>
      <w:r w:rsidR="00A65A5E" w:rsidRPr="004B36AC">
        <w:rPr>
          <w:color w:val="auto"/>
        </w:rPr>
        <w:t xml:space="preserve">primary objections </w:t>
      </w:r>
      <w:r w:rsidR="006C30BD" w:rsidRPr="004B36AC">
        <w:rPr>
          <w:color w:val="auto"/>
        </w:rPr>
        <w:t xml:space="preserve">to providing discovery </w:t>
      </w:r>
      <w:r w:rsidR="00A65A5E" w:rsidRPr="004B36AC">
        <w:rPr>
          <w:color w:val="auto"/>
        </w:rPr>
        <w:t xml:space="preserve">in addition to what it had already provided in response to OPC’s Interrogatory 13 and Request for Production No. 6 </w:t>
      </w:r>
      <w:r w:rsidR="00DF5B6D">
        <w:rPr>
          <w:color w:val="auto"/>
        </w:rPr>
        <w:t>are</w:t>
      </w:r>
      <w:r w:rsidR="00DF5B6D" w:rsidRPr="004B36AC">
        <w:rPr>
          <w:color w:val="auto"/>
        </w:rPr>
        <w:t xml:space="preserve"> </w:t>
      </w:r>
      <w:r w:rsidR="00A65A5E" w:rsidRPr="004B36AC">
        <w:rPr>
          <w:color w:val="auto"/>
        </w:rPr>
        <w:t>that</w:t>
      </w:r>
      <w:r w:rsidR="00E20AFC">
        <w:rPr>
          <w:color w:val="auto"/>
        </w:rPr>
        <w:t>:</w:t>
      </w:r>
      <w:r w:rsidR="00A65A5E" w:rsidRPr="004B36AC">
        <w:rPr>
          <w:color w:val="auto"/>
        </w:rPr>
        <w:t xml:space="preserve"> </w:t>
      </w:r>
      <w:r w:rsidR="006C30BD" w:rsidRPr="004B36AC">
        <w:rPr>
          <w:color w:val="auto"/>
        </w:rPr>
        <w:t xml:space="preserve">(1) </w:t>
      </w:r>
      <w:r w:rsidR="00A65A5E" w:rsidRPr="004B36AC">
        <w:rPr>
          <w:color w:val="auto"/>
        </w:rPr>
        <w:t xml:space="preserve">FPL had already provided information relevant to </w:t>
      </w:r>
      <w:r w:rsidR="006C30BD" w:rsidRPr="004B36AC">
        <w:rPr>
          <w:color w:val="auto"/>
        </w:rPr>
        <w:t xml:space="preserve">the </w:t>
      </w:r>
      <w:r w:rsidR="00A65A5E" w:rsidRPr="004B36AC">
        <w:rPr>
          <w:color w:val="auto"/>
        </w:rPr>
        <w:t>Distribution and Transmission Winterization Programs included in FPL’s 2023-2032 Storm Protection Plan and that any additional c</w:t>
      </w:r>
      <w:r w:rsidR="006C30BD" w:rsidRPr="004B36AC">
        <w:rPr>
          <w:color w:val="auto"/>
        </w:rPr>
        <w:t xml:space="preserve">ontested </w:t>
      </w:r>
      <w:r w:rsidR="00A65A5E" w:rsidRPr="004B36AC">
        <w:rPr>
          <w:color w:val="auto"/>
        </w:rPr>
        <w:t>d</w:t>
      </w:r>
      <w:r w:rsidR="006C30BD" w:rsidRPr="004B36AC">
        <w:rPr>
          <w:color w:val="auto"/>
        </w:rPr>
        <w:t xml:space="preserve">iscovery </w:t>
      </w:r>
      <w:r w:rsidR="00A65A5E" w:rsidRPr="004B36AC">
        <w:rPr>
          <w:color w:val="auto"/>
        </w:rPr>
        <w:t xml:space="preserve">is beyond the scope of this proceeding, irrelevant, immaterial, and not reasonably calculated to lead to the discovery of admissible or relevant evidence, and (2) that </w:t>
      </w:r>
      <w:r w:rsidR="006C30BD" w:rsidRPr="004B36AC">
        <w:rPr>
          <w:color w:val="auto"/>
        </w:rPr>
        <w:t xml:space="preserve">the </w:t>
      </w:r>
      <w:r w:rsidR="00A65A5E" w:rsidRPr="004B36AC">
        <w:rPr>
          <w:color w:val="auto"/>
        </w:rPr>
        <w:t xml:space="preserve">additional contested discovery was the subject of the current Ten Year Site Plan </w:t>
      </w:r>
      <w:r w:rsidR="00181A86" w:rsidRPr="004B36AC">
        <w:rPr>
          <w:color w:val="auto"/>
        </w:rPr>
        <w:t xml:space="preserve">(TYSP) </w:t>
      </w:r>
      <w:r w:rsidR="00A65A5E" w:rsidRPr="004B36AC">
        <w:rPr>
          <w:color w:val="auto"/>
        </w:rPr>
        <w:t xml:space="preserve">proceeding, or addressed </w:t>
      </w:r>
      <w:r w:rsidR="006C30BD" w:rsidRPr="004B36AC">
        <w:rPr>
          <w:color w:val="auto"/>
        </w:rPr>
        <w:t xml:space="preserve">in subsequent and separate filings in the Commission’s </w:t>
      </w:r>
      <w:r w:rsidR="00A65A5E" w:rsidRPr="004B36AC">
        <w:rPr>
          <w:color w:val="auto"/>
        </w:rPr>
        <w:t xml:space="preserve">Storm Protection Plan Cost Recovery Clause </w:t>
      </w:r>
      <w:r w:rsidR="00181A86" w:rsidRPr="004B36AC">
        <w:rPr>
          <w:color w:val="auto"/>
        </w:rPr>
        <w:t>pr</w:t>
      </w:r>
      <w:r w:rsidR="006C30BD" w:rsidRPr="004B36AC">
        <w:rPr>
          <w:color w:val="auto"/>
        </w:rPr>
        <w:t>oceeding (</w:t>
      </w:r>
      <w:r w:rsidR="00EB686C" w:rsidRPr="004B36AC">
        <w:rPr>
          <w:color w:val="auto"/>
        </w:rPr>
        <w:t>Docket No. 2020010-EI</w:t>
      </w:r>
      <w:r w:rsidR="006C30BD" w:rsidRPr="004B36AC">
        <w:rPr>
          <w:color w:val="auto"/>
        </w:rPr>
        <w:t>)</w:t>
      </w:r>
      <w:r w:rsidR="00181A86" w:rsidRPr="004B36AC">
        <w:rPr>
          <w:color w:val="auto"/>
        </w:rPr>
        <w:t>, or in a future rate case</w:t>
      </w:r>
      <w:r w:rsidR="006C30BD" w:rsidRPr="004B36AC">
        <w:rPr>
          <w:color w:val="auto"/>
        </w:rPr>
        <w:t xml:space="preserve">. </w:t>
      </w:r>
    </w:p>
    <w:p w:rsidR="00181A86" w:rsidRPr="004B36AC" w:rsidRDefault="00181A86" w:rsidP="006C30BD">
      <w:pPr>
        <w:pStyle w:val="Default"/>
        <w:ind w:firstLine="720"/>
        <w:jc w:val="both"/>
        <w:rPr>
          <w:color w:val="auto"/>
        </w:rPr>
      </w:pPr>
    </w:p>
    <w:p w:rsidR="00DD6651" w:rsidRDefault="00DF5B6D" w:rsidP="006C30BD">
      <w:pPr>
        <w:pStyle w:val="Default"/>
        <w:ind w:firstLine="720"/>
        <w:jc w:val="both"/>
        <w:rPr>
          <w:color w:val="auto"/>
        </w:rPr>
      </w:pPr>
      <w:r>
        <w:rPr>
          <w:color w:val="auto"/>
        </w:rPr>
        <w:t>FPL argues that while it did</w:t>
      </w:r>
      <w:r w:rsidR="00F652DB" w:rsidRPr="004B36AC">
        <w:rPr>
          <w:color w:val="auto"/>
        </w:rPr>
        <w:t xml:space="preserve"> not </w:t>
      </w:r>
      <w:r w:rsidR="00BC491B" w:rsidRPr="004B36AC">
        <w:rPr>
          <w:color w:val="auto"/>
        </w:rPr>
        <w:t>waiv</w:t>
      </w:r>
      <w:r w:rsidR="00BC491B">
        <w:rPr>
          <w:color w:val="auto"/>
        </w:rPr>
        <w:t>e</w:t>
      </w:r>
      <w:r w:rsidR="00BC491B" w:rsidRPr="004B36AC">
        <w:rPr>
          <w:color w:val="auto"/>
        </w:rPr>
        <w:t xml:space="preserve"> </w:t>
      </w:r>
      <w:r>
        <w:rPr>
          <w:color w:val="auto"/>
        </w:rPr>
        <w:t>its</w:t>
      </w:r>
      <w:r w:rsidRPr="004B36AC">
        <w:rPr>
          <w:color w:val="auto"/>
        </w:rPr>
        <w:t xml:space="preserve"> </w:t>
      </w:r>
      <w:r w:rsidR="00F652DB" w:rsidRPr="004B36AC">
        <w:rPr>
          <w:color w:val="auto"/>
        </w:rPr>
        <w:t xml:space="preserve">objections </w:t>
      </w:r>
      <w:r w:rsidR="00181A86" w:rsidRPr="004B36AC">
        <w:rPr>
          <w:color w:val="auto"/>
        </w:rPr>
        <w:t xml:space="preserve">that the additional discovery </w:t>
      </w:r>
      <w:r w:rsidR="00F652DB" w:rsidRPr="004B36AC">
        <w:rPr>
          <w:color w:val="auto"/>
        </w:rPr>
        <w:t xml:space="preserve">responses </w:t>
      </w:r>
      <w:r w:rsidR="00181A86" w:rsidRPr="004B36AC">
        <w:rPr>
          <w:color w:val="auto"/>
        </w:rPr>
        <w:t xml:space="preserve">sought by OPC </w:t>
      </w:r>
      <w:r w:rsidR="00F652DB" w:rsidRPr="004B36AC">
        <w:rPr>
          <w:color w:val="auto"/>
        </w:rPr>
        <w:t>are</w:t>
      </w:r>
      <w:r w:rsidR="00181A86" w:rsidRPr="004B36AC">
        <w:rPr>
          <w:color w:val="auto"/>
        </w:rPr>
        <w:t xml:space="preserve"> beyond the scope of this proceeding, and </w:t>
      </w:r>
      <w:r>
        <w:rPr>
          <w:color w:val="auto"/>
        </w:rPr>
        <w:t xml:space="preserve">are </w:t>
      </w:r>
      <w:r w:rsidR="00181A86" w:rsidRPr="004B36AC">
        <w:rPr>
          <w:color w:val="auto"/>
        </w:rPr>
        <w:t>unlikely to lead to admissible evidence, FPL has participated in substantial informal discovery with OPC by sharing its filings and data request responses from the TYSP, engag</w:t>
      </w:r>
      <w:r w:rsidR="003365C9" w:rsidRPr="004B36AC">
        <w:rPr>
          <w:color w:val="auto"/>
        </w:rPr>
        <w:t>ing</w:t>
      </w:r>
      <w:r w:rsidR="00181A86" w:rsidRPr="004B36AC">
        <w:rPr>
          <w:color w:val="auto"/>
        </w:rPr>
        <w:t xml:space="preserve"> in email exchanges of information, and provid</w:t>
      </w:r>
      <w:r w:rsidR="00A21FB1">
        <w:rPr>
          <w:color w:val="auto"/>
        </w:rPr>
        <w:t>ing</w:t>
      </w:r>
      <w:r w:rsidR="00181A86" w:rsidRPr="004B36AC">
        <w:rPr>
          <w:color w:val="auto"/>
        </w:rPr>
        <w:t xml:space="preserve"> the names of FPL’s Winterization Generation and Winterization Transmission and Distribution representatives for deposition by OPC. </w:t>
      </w:r>
      <w:r>
        <w:rPr>
          <w:color w:val="auto"/>
        </w:rPr>
        <w:t xml:space="preserve">FPL states that the </w:t>
      </w:r>
      <w:r w:rsidR="00BE4E25">
        <w:rPr>
          <w:color w:val="auto"/>
        </w:rPr>
        <w:t>two</w:t>
      </w:r>
      <w:r w:rsidR="00BE4E25" w:rsidRPr="004B36AC">
        <w:rPr>
          <w:color w:val="auto"/>
        </w:rPr>
        <w:t xml:space="preserve"> </w:t>
      </w:r>
      <w:r w:rsidR="00181A86" w:rsidRPr="004B36AC">
        <w:rPr>
          <w:color w:val="auto"/>
        </w:rPr>
        <w:t xml:space="preserve">depositions of FPL’s Winterization witnesses </w:t>
      </w:r>
      <w:r w:rsidR="00E70268">
        <w:rPr>
          <w:color w:val="auto"/>
        </w:rPr>
        <w:t>are scheduled</w:t>
      </w:r>
      <w:r w:rsidR="00633685" w:rsidRPr="004B36AC">
        <w:rPr>
          <w:color w:val="auto"/>
        </w:rPr>
        <w:t xml:space="preserve"> </w:t>
      </w:r>
      <w:r w:rsidR="00181A86" w:rsidRPr="004B36AC">
        <w:rPr>
          <w:color w:val="auto"/>
        </w:rPr>
        <w:t>on May 23-24, 2022.</w:t>
      </w:r>
    </w:p>
    <w:p w:rsidR="002B6838" w:rsidRDefault="002B6838" w:rsidP="006C30BD">
      <w:pPr>
        <w:pStyle w:val="Default"/>
        <w:ind w:firstLine="720"/>
        <w:jc w:val="both"/>
        <w:rPr>
          <w:color w:val="auto"/>
        </w:rPr>
      </w:pPr>
    </w:p>
    <w:p w:rsidR="000B2FB8" w:rsidRDefault="000B2FB8" w:rsidP="006C30BD">
      <w:pPr>
        <w:pStyle w:val="Default"/>
        <w:ind w:firstLine="720"/>
        <w:jc w:val="both"/>
        <w:rPr>
          <w:color w:val="auto"/>
        </w:rPr>
      </w:pPr>
    </w:p>
    <w:p w:rsidR="002B6838" w:rsidRDefault="002B6838" w:rsidP="002B6838">
      <w:pPr>
        <w:pStyle w:val="Default"/>
        <w:ind w:firstLine="720"/>
        <w:jc w:val="center"/>
        <w:rPr>
          <w:color w:val="auto"/>
        </w:rPr>
      </w:pPr>
      <w:r w:rsidRPr="004B36AC">
        <w:rPr>
          <w:u w:val="single"/>
        </w:rPr>
        <w:t xml:space="preserve">Motion to </w:t>
      </w:r>
      <w:r>
        <w:rPr>
          <w:u w:val="single"/>
        </w:rPr>
        <w:t>Enlarge Discovery</w:t>
      </w:r>
      <w:r w:rsidRPr="004B36AC">
        <w:rPr>
          <w:u w:val="single"/>
        </w:rPr>
        <w:t xml:space="preserve"> and </w:t>
      </w:r>
      <w:r>
        <w:rPr>
          <w:u w:val="single"/>
        </w:rPr>
        <w:t>Change Dates</w:t>
      </w:r>
    </w:p>
    <w:p w:rsidR="00DD6651" w:rsidRDefault="00DD6651" w:rsidP="006C30BD">
      <w:pPr>
        <w:pStyle w:val="Default"/>
        <w:ind w:firstLine="720"/>
        <w:jc w:val="both"/>
        <w:rPr>
          <w:color w:val="auto"/>
        </w:rPr>
      </w:pPr>
    </w:p>
    <w:p w:rsidR="007063E7" w:rsidRDefault="00F652DB" w:rsidP="00D12ECD">
      <w:pPr>
        <w:pStyle w:val="Default"/>
        <w:ind w:firstLine="720"/>
        <w:jc w:val="both"/>
        <w:rPr>
          <w:u w:val="single"/>
        </w:rPr>
      </w:pPr>
      <w:r w:rsidRPr="004B36AC">
        <w:rPr>
          <w:color w:val="auto"/>
        </w:rPr>
        <w:t xml:space="preserve"> </w:t>
      </w:r>
      <w:r w:rsidR="00DD6651" w:rsidRPr="004B36AC">
        <w:t xml:space="preserve">OPC’s Motion to Enlarge Discovery Deadlines, Testimony Due Dates, and Hearing Date, </w:t>
      </w:r>
      <w:r w:rsidR="00DD6651">
        <w:t xml:space="preserve">is </w:t>
      </w:r>
      <w:r w:rsidR="00DD6651" w:rsidRPr="004B36AC">
        <w:t xml:space="preserve">based upon the assertion that OPC suffered harm as a result of FPL’s alleged failure to provide the contested discovery. </w:t>
      </w:r>
      <w:r w:rsidR="002B6838">
        <w:t xml:space="preserve">OPC requests that the Intervenor Testimony due date, discovery deadline, and hearing be delayed if the additional information requested about the SPP winterization programs is not produced in a timely fashion. In the alternative, OPC requests that FPL’s Winterization Programs be stricken from the SPP docket. As discussed above, </w:t>
      </w:r>
      <w:r w:rsidR="00D12ECD">
        <w:t xml:space="preserve">without waiving its objections, FPL </w:t>
      </w:r>
      <w:r w:rsidR="002B6838">
        <w:t>has already provided the requested information to OPC, through a combination of formal and informal discovery</w:t>
      </w:r>
      <w:r w:rsidR="007063E7">
        <w:t xml:space="preserve">. </w:t>
      </w:r>
    </w:p>
    <w:p w:rsidR="000B2FB8" w:rsidRDefault="000B2FB8" w:rsidP="000B2FB8">
      <w:pPr>
        <w:pStyle w:val="CenterUnderline"/>
      </w:pPr>
    </w:p>
    <w:p w:rsidR="000B2FB8" w:rsidRDefault="000B2FB8" w:rsidP="000B2FB8">
      <w:pPr>
        <w:pStyle w:val="CenterUnderline"/>
      </w:pPr>
    </w:p>
    <w:p w:rsidR="000E2C47" w:rsidRPr="004B36AC" w:rsidRDefault="000E2C47" w:rsidP="000B2FB8">
      <w:pPr>
        <w:pStyle w:val="CenterUnderline"/>
      </w:pPr>
      <w:r w:rsidRPr="004B36AC">
        <w:t>Standard of Review</w:t>
      </w:r>
    </w:p>
    <w:p w:rsidR="000E2C47" w:rsidRPr="004B36AC" w:rsidRDefault="000E2C47" w:rsidP="000E2C47">
      <w:pPr>
        <w:autoSpaceDE w:val="0"/>
        <w:autoSpaceDN w:val="0"/>
        <w:adjustRightInd w:val="0"/>
        <w:jc w:val="both"/>
      </w:pPr>
    </w:p>
    <w:p w:rsidR="000E2C47" w:rsidRPr="004B36AC" w:rsidRDefault="000E2C47" w:rsidP="000E2C47">
      <w:pPr>
        <w:autoSpaceDE w:val="0"/>
        <w:autoSpaceDN w:val="0"/>
        <w:adjustRightInd w:val="0"/>
        <w:ind w:firstLine="720"/>
        <w:jc w:val="both"/>
      </w:pPr>
      <w:r w:rsidRPr="004B36AC">
        <w:t>Rule 28-106.206, Florida Administrative Code (F.A.C.), provides that:</w:t>
      </w:r>
    </w:p>
    <w:p w:rsidR="000E2C47" w:rsidRPr="004B36AC" w:rsidRDefault="000E2C47" w:rsidP="000E2C47">
      <w:pPr>
        <w:autoSpaceDE w:val="0"/>
        <w:autoSpaceDN w:val="0"/>
        <w:adjustRightInd w:val="0"/>
        <w:jc w:val="both"/>
      </w:pPr>
    </w:p>
    <w:p w:rsidR="000E2C47" w:rsidRPr="004B36AC" w:rsidRDefault="000E2C47" w:rsidP="00EB0CFE">
      <w:pPr>
        <w:autoSpaceDE w:val="0"/>
        <w:autoSpaceDN w:val="0"/>
        <w:adjustRightInd w:val="0"/>
        <w:ind w:left="720" w:right="720"/>
        <w:jc w:val="both"/>
      </w:pPr>
      <w:r w:rsidRPr="004B36AC">
        <w:t xml:space="preserve">After commencement of a proceeding, parties may obtain discovery through the means and in the manner provided in Rules 1.280 through 1.400, Florida Rules of </w:t>
      </w:r>
      <w:r w:rsidRPr="004B36AC">
        <w:lastRenderedPageBreak/>
        <w:t>Civil Procedure. The presiding officer may issue appropriate orders to effectuate the purposes of discovery and to prevent delay, including the imposition of sanctions in accordance with the Florida Rules of Civil Procedure, except contempt.</w:t>
      </w:r>
    </w:p>
    <w:p w:rsidR="000E2C47" w:rsidRPr="004B36AC" w:rsidRDefault="000E2C47" w:rsidP="000E2C47">
      <w:pPr>
        <w:autoSpaceDE w:val="0"/>
        <w:autoSpaceDN w:val="0"/>
        <w:adjustRightInd w:val="0"/>
        <w:jc w:val="both"/>
      </w:pPr>
    </w:p>
    <w:p w:rsidR="000E2C47" w:rsidRPr="004B36AC" w:rsidRDefault="000E2C47" w:rsidP="000E2C47">
      <w:pPr>
        <w:autoSpaceDE w:val="0"/>
        <w:autoSpaceDN w:val="0"/>
        <w:adjustRightInd w:val="0"/>
        <w:ind w:firstLine="720"/>
        <w:jc w:val="both"/>
      </w:pPr>
      <w:r w:rsidRPr="004B36AC">
        <w:t xml:space="preserve">The purpose of discovery is to “eliminate surprise, to encourage settlement, and to assist in arriving at the truth.” </w:t>
      </w:r>
      <w:r w:rsidRPr="004B36AC">
        <w:rPr>
          <w:i/>
        </w:rPr>
        <w:t>Spencer v. Beverly</w:t>
      </w:r>
      <w:r w:rsidRPr="004B36AC">
        <w:t>, 307 So. 2d 461, 462 (Fla. 4</w:t>
      </w:r>
      <w:r w:rsidRPr="004B36AC">
        <w:rPr>
          <w:vertAlign w:val="superscript"/>
        </w:rPr>
        <w:t>th</w:t>
      </w:r>
      <w:r w:rsidRPr="004B36AC">
        <w:rPr>
          <w:sz w:val="16"/>
          <w:szCs w:val="16"/>
        </w:rPr>
        <w:t xml:space="preserve"> </w:t>
      </w:r>
      <w:r w:rsidRPr="004B36AC">
        <w:t xml:space="preserve">DCA 1975); </w:t>
      </w:r>
      <w:r w:rsidRPr="004B36AC">
        <w:rPr>
          <w:i/>
        </w:rPr>
        <w:t>Binger v. King Pest Control</w:t>
      </w:r>
      <w:r w:rsidRPr="004B36AC">
        <w:t xml:space="preserve">, 401 So. 2d 1310, 1313 (Fla. 1981); </w:t>
      </w:r>
      <w:r w:rsidRPr="004B36AC">
        <w:rPr>
          <w:i/>
        </w:rPr>
        <w:t>Elkins v. Syken (Elkins)</w:t>
      </w:r>
      <w:r w:rsidRPr="004B36AC">
        <w:t xml:space="preserve">, 672 So. 2d 517, 522 (Fla. 1996) (“Pretrial discovery was implemented to simplify the issues in a case, to eliminate the element of surprise, to encourage the settlement of cases, to avoid costly litigation, and to achieve a balanced search for the truth to ensure a fair trial.”) </w:t>
      </w:r>
    </w:p>
    <w:p w:rsidR="000E2C47" w:rsidRPr="004B36AC" w:rsidRDefault="000E2C47" w:rsidP="000E2C47">
      <w:pPr>
        <w:autoSpaceDE w:val="0"/>
        <w:autoSpaceDN w:val="0"/>
        <w:adjustRightInd w:val="0"/>
        <w:ind w:firstLine="720"/>
        <w:jc w:val="both"/>
      </w:pPr>
    </w:p>
    <w:p w:rsidR="000E2C47" w:rsidRPr="004B36AC" w:rsidRDefault="000E2C47" w:rsidP="000E2C47">
      <w:pPr>
        <w:autoSpaceDE w:val="0"/>
        <w:autoSpaceDN w:val="0"/>
        <w:adjustRightInd w:val="0"/>
        <w:ind w:firstLine="720"/>
        <w:jc w:val="both"/>
      </w:pPr>
      <w:r w:rsidRPr="004B36AC">
        <w:t xml:space="preserve">The scope of discovery is broad under Florida law: “any matter that is relevant to the subject matter or reasonably calculated to lead to the discovery of admissible evidence.” Rule 1.280(b)(1), Florida Rules of Civil Procedure; </w:t>
      </w:r>
      <w:r w:rsidRPr="004B36AC">
        <w:rPr>
          <w:i/>
        </w:rPr>
        <w:t>Allstate Insurance Co. v. Langston</w:t>
      </w:r>
      <w:r w:rsidRPr="004B36AC">
        <w:t xml:space="preserve">, 655 So. 2d 91 (Fla. 1995). The discovery rules are to be liberally construed so as to permit any form of discovery within the scope of the rules. </w:t>
      </w:r>
      <w:r w:rsidRPr="004B36AC">
        <w:rPr>
          <w:i/>
        </w:rPr>
        <w:t>Weyant v. Rawlings</w:t>
      </w:r>
      <w:r w:rsidRPr="004B36AC">
        <w:t>, 389 So. 2d 710 (Fla. 2</w:t>
      </w:r>
      <w:r w:rsidRPr="004B36AC">
        <w:rPr>
          <w:vertAlign w:val="superscript"/>
        </w:rPr>
        <w:t>nd</w:t>
      </w:r>
      <w:r w:rsidRPr="004B36AC">
        <w:t xml:space="preserve"> DCA 1980). However, discovery should be denied when it has been established that the information requested is neither relevant to any pending claim or defense nor will it lead to the discovery of admissible evidence. </w:t>
      </w:r>
      <w:r w:rsidRPr="004B36AC">
        <w:rPr>
          <w:i/>
        </w:rPr>
        <w:t>Poston v. Wiggins</w:t>
      </w:r>
      <w:r w:rsidRPr="004B36AC">
        <w:t>, 112 So. 3d 783 (Fla. 1</w:t>
      </w:r>
      <w:r w:rsidRPr="004B36AC">
        <w:rPr>
          <w:vertAlign w:val="superscript"/>
        </w:rPr>
        <w:t>st</w:t>
      </w:r>
      <w:r w:rsidRPr="004B36AC">
        <w:t xml:space="preserve"> DCA 2013). If a logical connection is not readily apparent, the questioner should make it apparent by pointing out to the court his reasoning process based on facts and inferences demonstrating how he calculates that the sought information will reasonably lead to admissible evidence. </w:t>
      </w:r>
      <w:r w:rsidRPr="004B36AC">
        <w:rPr>
          <w:i/>
        </w:rPr>
        <w:t>Calderbank v. Cazares</w:t>
      </w:r>
      <w:r w:rsidRPr="004B36AC">
        <w:t xml:space="preserve">, 435 So. 2d 377 (Fla. 5th DCA, 1983). Further, in deciding whether a party should be required to respond to a discovery request, the court must weigh the relevance of the information sought against the burdensomeness of the request. </w:t>
      </w:r>
      <w:r w:rsidRPr="004B36AC">
        <w:rPr>
          <w:i/>
        </w:rPr>
        <w:t>Elkins</w:t>
      </w:r>
      <w:r w:rsidRPr="004B36AC">
        <w:t>, 672 So. 2d at 522.</w:t>
      </w:r>
    </w:p>
    <w:p w:rsidR="000E2C47" w:rsidRDefault="000E2C47" w:rsidP="000E2C47">
      <w:pPr>
        <w:autoSpaceDE w:val="0"/>
        <w:autoSpaceDN w:val="0"/>
        <w:adjustRightInd w:val="0"/>
        <w:jc w:val="both"/>
      </w:pPr>
    </w:p>
    <w:p w:rsidR="000B2FB8" w:rsidRPr="004B36AC" w:rsidRDefault="000B2FB8" w:rsidP="000E2C47">
      <w:pPr>
        <w:autoSpaceDE w:val="0"/>
        <w:autoSpaceDN w:val="0"/>
        <w:adjustRightInd w:val="0"/>
        <w:jc w:val="both"/>
      </w:pPr>
    </w:p>
    <w:p w:rsidR="000E2C47" w:rsidRPr="004B36AC" w:rsidRDefault="000E2C47" w:rsidP="00F652DB">
      <w:pPr>
        <w:autoSpaceDE w:val="0"/>
        <w:autoSpaceDN w:val="0"/>
        <w:adjustRightInd w:val="0"/>
        <w:jc w:val="center"/>
        <w:rPr>
          <w:u w:val="single"/>
        </w:rPr>
      </w:pPr>
      <w:r w:rsidRPr="004B36AC">
        <w:rPr>
          <w:u w:val="single"/>
        </w:rPr>
        <w:t>Decision</w:t>
      </w:r>
    </w:p>
    <w:p w:rsidR="000E2C47" w:rsidRPr="004B36AC" w:rsidRDefault="000E2C47" w:rsidP="000E2C47">
      <w:pPr>
        <w:autoSpaceDE w:val="0"/>
        <w:autoSpaceDN w:val="0"/>
        <w:adjustRightInd w:val="0"/>
        <w:ind w:firstLine="720"/>
        <w:jc w:val="both"/>
      </w:pPr>
    </w:p>
    <w:p w:rsidR="003D7CEE" w:rsidRPr="004B36AC" w:rsidRDefault="000E2C47" w:rsidP="00855162">
      <w:pPr>
        <w:autoSpaceDE w:val="0"/>
        <w:autoSpaceDN w:val="0"/>
        <w:adjustRightInd w:val="0"/>
        <w:ind w:firstLine="720"/>
        <w:jc w:val="both"/>
      </w:pPr>
      <w:r w:rsidRPr="004B36AC">
        <w:t>Having reviewed the arguments in OPC’s Motion to Compel</w:t>
      </w:r>
      <w:r w:rsidR="00633685" w:rsidRPr="004B36AC">
        <w:t>,</w:t>
      </w:r>
      <w:r w:rsidRPr="004B36AC">
        <w:t xml:space="preserve"> FPL’s </w:t>
      </w:r>
      <w:r w:rsidR="00633685" w:rsidRPr="004B36AC">
        <w:t>R</w:t>
      </w:r>
      <w:r w:rsidRPr="004B36AC">
        <w:t>esponse</w:t>
      </w:r>
      <w:r w:rsidR="00633685" w:rsidRPr="004B36AC">
        <w:t xml:space="preserve"> in Opposition</w:t>
      </w:r>
      <w:r w:rsidR="00855162" w:rsidRPr="004B36AC">
        <w:t>,</w:t>
      </w:r>
      <w:r w:rsidR="00633685" w:rsidRPr="004B36AC">
        <w:t xml:space="preserve"> and the discovery record in this docket, </w:t>
      </w:r>
      <w:r w:rsidR="00855162" w:rsidRPr="004B36AC">
        <w:t>OPC’s</w:t>
      </w:r>
      <w:r w:rsidRPr="004B36AC">
        <w:t xml:space="preserve"> Motion</w:t>
      </w:r>
      <w:r w:rsidR="00627633">
        <w:t xml:space="preserve"> to Compel</w:t>
      </w:r>
      <w:r w:rsidRPr="004B36AC">
        <w:t xml:space="preserve"> is hereby denied. </w:t>
      </w:r>
      <w:r w:rsidR="00DF5B6D">
        <w:t xml:space="preserve">I note that </w:t>
      </w:r>
      <w:r w:rsidR="00E70268">
        <w:t>OPC argues that additional information i</w:t>
      </w:r>
      <w:r w:rsidR="00CC3AF7">
        <w:t>s required for their understanding</w:t>
      </w:r>
      <w:r w:rsidR="00E70268">
        <w:t xml:space="preserve"> of the SPP</w:t>
      </w:r>
      <w:r w:rsidR="00DF5B6D">
        <w:t>. However,</w:t>
      </w:r>
      <w:r w:rsidR="00E70268">
        <w:t xml:space="preserve"> </w:t>
      </w:r>
      <w:r w:rsidR="00855162" w:rsidRPr="004B36AC">
        <w:t xml:space="preserve">I find that </w:t>
      </w:r>
      <w:r w:rsidR="00633685" w:rsidRPr="004B36AC">
        <w:t>the scope of OPC’s Interrogatory 13 and Request for Production No. 6</w:t>
      </w:r>
      <w:r w:rsidR="00D61023">
        <w:t xml:space="preserve"> is overly broad for this proceeding. Additionally</w:t>
      </w:r>
      <w:r w:rsidR="00633685" w:rsidRPr="004B36AC">
        <w:t xml:space="preserve"> </w:t>
      </w:r>
      <w:r w:rsidR="00855162" w:rsidRPr="004B36AC">
        <w:t>FPL, without waiving its objections,</w:t>
      </w:r>
      <w:r w:rsidR="00633685" w:rsidRPr="004B36AC">
        <w:t xml:space="preserve"> </w:t>
      </w:r>
      <w:r w:rsidR="00855162" w:rsidRPr="004B36AC">
        <w:t xml:space="preserve">cooperated with OPC by </w:t>
      </w:r>
      <w:r w:rsidR="00633685" w:rsidRPr="004B36AC">
        <w:t>provid</w:t>
      </w:r>
      <w:r w:rsidR="00855162" w:rsidRPr="004B36AC">
        <w:t>ing</w:t>
      </w:r>
      <w:r w:rsidR="00633685" w:rsidRPr="004B36AC">
        <w:t xml:space="preserve"> access to the requested information</w:t>
      </w:r>
      <w:r w:rsidR="007B19E7" w:rsidRPr="004B36AC">
        <w:t xml:space="preserve">, in the normal course of </w:t>
      </w:r>
      <w:r w:rsidR="00633685" w:rsidRPr="004B36AC">
        <w:t xml:space="preserve">formal and informal discovery processes. </w:t>
      </w:r>
      <w:r w:rsidR="007B19E7" w:rsidRPr="004B36AC">
        <w:t xml:space="preserve"> </w:t>
      </w:r>
    </w:p>
    <w:p w:rsidR="00633685" w:rsidRPr="004B36AC" w:rsidRDefault="00633685" w:rsidP="000E2C47">
      <w:pPr>
        <w:autoSpaceDE w:val="0"/>
        <w:autoSpaceDN w:val="0"/>
        <w:adjustRightInd w:val="0"/>
        <w:jc w:val="both"/>
      </w:pPr>
    </w:p>
    <w:p w:rsidR="00D12ECD" w:rsidRPr="004B36AC" w:rsidRDefault="00E70268" w:rsidP="00D12ECD">
      <w:pPr>
        <w:pStyle w:val="Default"/>
        <w:ind w:firstLine="720"/>
        <w:jc w:val="both"/>
        <w:rPr>
          <w:color w:val="auto"/>
        </w:rPr>
      </w:pPr>
      <w:r>
        <w:t>Further,</w:t>
      </w:r>
      <w:r w:rsidRPr="004B36AC">
        <w:t xml:space="preserve"> </w:t>
      </w:r>
      <w:r w:rsidR="00D12ECD">
        <w:t xml:space="preserve">as the basis for OPC’s </w:t>
      </w:r>
      <w:r w:rsidR="00D12ECD" w:rsidRPr="004B36AC">
        <w:t xml:space="preserve">Motion to Enlarge Discovery Deadlines, Testimony Due Dates, and Hearing Date, </w:t>
      </w:r>
      <w:r w:rsidR="00D12ECD">
        <w:t xml:space="preserve">I have determined that there is no failure to provide the contested </w:t>
      </w:r>
      <w:r w:rsidR="00BE4E25">
        <w:t>information</w:t>
      </w:r>
      <w:r w:rsidR="00D61023">
        <w:t xml:space="preserve">; therefore, I </w:t>
      </w:r>
      <w:r w:rsidR="00D12ECD">
        <w:t xml:space="preserve">find that the Motion </w:t>
      </w:r>
      <w:r w:rsidR="00D12ECD" w:rsidRPr="004B36AC">
        <w:t xml:space="preserve">to Enlarge Discovery Deadlines, Testimony Due Dates, and Hearing Date is </w:t>
      </w:r>
      <w:r w:rsidR="00D12ECD">
        <w:t xml:space="preserve">also </w:t>
      </w:r>
      <w:r w:rsidR="00D12ECD" w:rsidRPr="004B36AC">
        <w:t>denied.</w:t>
      </w:r>
    </w:p>
    <w:p w:rsidR="00855162" w:rsidRPr="004B36AC" w:rsidRDefault="00855162" w:rsidP="003D7CEE">
      <w:pPr>
        <w:autoSpaceDE w:val="0"/>
        <w:autoSpaceDN w:val="0"/>
        <w:adjustRightInd w:val="0"/>
        <w:jc w:val="both"/>
      </w:pPr>
    </w:p>
    <w:p w:rsidR="007B19E7" w:rsidRPr="004B36AC" w:rsidRDefault="006C2DE5" w:rsidP="00E33B44">
      <w:pPr>
        <w:tabs>
          <w:tab w:val="left" w:pos="720"/>
          <w:tab w:val="left" w:pos="1440"/>
          <w:tab w:val="left" w:pos="2160"/>
          <w:tab w:val="right" w:pos="9360"/>
        </w:tabs>
        <w:autoSpaceDE w:val="0"/>
        <w:autoSpaceDN w:val="0"/>
        <w:adjustRightInd w:val="0"/>
        <w:jc w:val="both"/>
        <w:rPr>
          <w:iCs/>
        </w:rPr>
      </w:pPr>
      <w:r w:rsidRPr="004B36AC">
        <w:tab/>
      </w:r>
      <w:r w:rsidRPr="004B36AC">
        <w:rPr>
          <w:iCs/>
        </w:rPr>
        <w:t>Therefore, it is</w:t>
      </w:r>
      <w:r w:rsidR="007B19E7" w:rsidRPr="004B36AC">
        <w:rPr>
          <w:iCs/>
        </w:rPr>
        <w:t xml:space="preserve"> </w:t>
      </w:r>
      <w:r w:rsidR="00BE4E25">
        <w:rPr>
          <w:iCs/>
        </w:rPr>
        <w:tab/>
      </w:r>
    </w:p>
    <w:p w:rsidR="007B19E7" w:rsidRPr="004B36AC" w:rsidRDefault="007B19E7" w:rsidP="007B19E7">
      <w:pPr>
        <w:autoSpaceDE w:val="0"/>
        <w:autoSpaceDN w:val="0"/>
        <w:adjustRightInd w:val="0"/>
        <w:jc w:val="both"/>
        <w:rPr>
          <w:iCs/>
        </w:rPr>
      </w:pPr>
    </w:p>
    <w:p w:rsidR="007B19E7" w:rsidRPr="004B36AC" w:rsidRDefault="00BB47DB" w:rsidP="007B19E7">
      <w:pPr>
        <w:autoSpaceDE w:val="0"/>
        <w:autoSpaceDN w:val="0"/>
        <w:adjustRightInd w:val="0"/>
        <w:ind w:firstLine="720"/>
        <w:jc w:val="both"/>
      </w:pPr>
      <w:r w:rsidRPr="004B36AC">
        <w:lastRenderedPageBreak/>
        <w:t>ORDERED by Commissioner Mike La Rosa, as Prehearing Officer, that the Office of Public Counsel’s Motion to Compel Discovery is hereby denied. It is further</w:t>
      </w:r>
    </w:p>
    <w:p w:rsidR="007B19E7" w:rsidRPr="004B36AC" w:rsidRDefault="007B19E7" w:rsidP="007B19E7">
      <w:pPr>
        <w:autoSpaceDE w:val="0"/>
        <w:autoSpaceDN w:val="0"/>
        <w:adjustRightInd w:val="0"/>
        <w:ind w:firstLine="720"/>
        <w:jc w:val="both"/>
      </w:pPr>
    </w:p>
    <w:p w:rsidR="007B19E7" w:rsidRPr="004B36AC" w:rsidRDefault="006C2DE5" w:rsidP="007B19E7">
      <w:pPr>
        <w:autoSpaceDE w:val="0"/>
        <w:autoSpaceDN w:val="0"/>
        <w:adjustRightInd w:val="0"/>
        <w:ind w:firstLine="720"/>
        <w:jc w:val="both"/>
      </w:pPr>
      <w:r w:rsidRPr="004B36AC">
        <w:t>ORDERED that OPC’s Motion to Enlarge Discovery Deadlines, Testimony Due Dates, and Hearing Date is denied. It is further,</w:t>
      </w:r>
    </w:p>
    <w:p w:rsidR="007B19E7" w:rsidRPr="004B36AC" w:rsidRDefault="007B19E7" w:rsidP="007B19E7">
      <w:pPr>
        <w:autoSpaceDE w:val="0"/>
        <w:autoSpaceDN w:val="0"/>
        <w:adjustRightInd w:val="0"/>
        <w:ind w:firstLine="720"/>
        <w:jc w:val="both"/>
      </w:pPr>
    </w:p>
    <w:p w:rsidR="00BB47DB" w:rsidRDefault="00BB47DB" w:rsidP="007B19E7">
      <w:pPr>
        <w:autoSpaceDE w:val="0"/>
        <w:autoSpaceDN w:val="0"/>
        <w:adjustRightInd w:val="0"/>
        <w:ind w:firstLine="720"/>
        <w:jc w:val="both"/>
      </w:pPr>
      <w:r w:rsidRPr="004B36AC">
        <w:t xml:space="preserve">ORDERED that the provisions of this Order are applicable </w:t>
      </w:r>
      <w:r w:rsidR="007B19E7" w:rsidRPr="004B36AC">
        <w:t xml:space="preserve">only </w:t>
      </w:r>
      <w:r w:rsidRPr="004B36AC">
        <w:t>to this Florida Power &amp; Light Company SPP proceeding (Docket No. 20220051-EI).</w:t>
      </w:r>
      <w:r w:rsidRPr="004B36AC">
        <w:tab/>
      </w:r>
    </w:p>
    <w:p w:rsidR="00E70268" w:rsidRPr="004B36AC" w:rsidRDefault="00E70268" w:rsidP="007B19E7">
      <w:pPr>
        <w:autoSpaceDE w:val="0"/>
        <w:autoSpaceDN w:val="0"/>
        <w:adjustRightInd w:val="0"/>
        <w:ind w:firstLine="720"/>
        <w:jc w:val="both"/>
      </w:pPr>
    </w:p>
    <w:p w:rsidR="00BB47DB" w:rsidRDefault="00BB47DB" w:rsidP="007907D3">
      <w:pPr>
        <w:pStyle w:val="OrderBody"/>
        <w:keepNext/>
        <w:keepLines/>
        <w:ind w:firstLine="720"/>
      </w:pPr>
      <w:r w:rsidRPr="004B36AC">
        <w:t xml:space="preserve">By ORDER of Commissioner Mike La Rosa, as Prehearing Officer, this </w:t>
      </w:r>
      <w:bookmarkStart w:id="6" w:name="replaceDate"/>
      <w:bookmarkEnd w:id="6"/>
      <w:r w:rsidR="007907D3">
        <w:rPr>
          <w:u w:val="single"/>
        </w:rPr>
        <w:t>25th</w:t>
      </w:r>
      <w:r w:rsidR="007907D3">
        <w:t xml:space="preserve"> day of </w:t>
      </w:r>
      <w:r w:rsidR="007907D3">
        <w:rPr>
          <w:u w:val="single"/>
        </w:rPr>
        <w:t>May</w:t>
      </w:r>
      <w:r w:rsidR="007907D3">
        <w:t xml:space="preserve">, </w:t>
      </w:r>
      <w:r w:rsidR="007907D3">
        <w:rPr>
          <w:u w:val="single"/>
        </w:rPr>
        <w:t>2022</w:t>
      </w:r>
      <w:r w:rsidR="007907D3">
        <w:t>.</w:t>
      </w:r>
    </w:p>
    <w:p w:rsidR="007907D3" w:rsidRPr="007907D3" w:rsidRDefault="007907D3" w:rsidP="007907D3">
      <w:pPr>
        <w:pStyle w:val="OrderBody"/>
        <w:keepNext/>
        <w:keepLines/>
        <w:ind w:firstLine="720"/>
      </w:pPr>
    </w:p>
    <w:p w:rsidR="00BB47DB" w:rsidRPr="004B36AC" w:rsidRDefault="00BB47DB" w:rsidP="00BB47DB">
      <w:pPr>
        <w:pStyle w:val="OrderBody"/>
        <w:keepNext/>
        <w:keepLines/>
      </w:pPr>
    </w:p>
    <w:p w:rsidR="00BB47DB" w:rsidRPr="004B36AC" w:rsidRDefault="00BB47DB" w:rsidP="00BB47DB">
      <w:pPr>
        <w:pStyle w:val="OrderBody"/>
        <w:keepNext/>
        <w:keepLines/>
      </w:pPr>
    </w:p>
    <w:p w:rsidR="00BB47DB" w:rsidRPr="004B36AC" w:rsidRDefault="00BB47DB" w:rsidP="00BB47D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B36AC" w:rsidRPr="004B36AC" w:rsidTr="00BB47DB">
        <w:tc>
          <w:tcPr>
            <w:tcW w:w="720" w:type="dxa"/>
            <w:shd w:val="clear" w:color="auto" w:fill="auto"/>
          </w:tcPr>
          <w:p w:rsidR="00BB47DB" w:rsidRPr="004B36AC" w:rsidRDefault="00BB47DB" w:rsidP="00BB47DB">
            <w:pPr>
              <w:pStyle w:val="OrderBody"/>
              <w:keepNext/>
              <w:keepLines/>
            </w:pPr>
            <w:bookmarkStart w:id="7" w:name="bkmrkSignature" w:colFirst="0" w:colLast="0"/>
          </w:p>
        </w:tc>
        <w:tc>
          <w:tcPr>
            <w:tcW w:w="4320" w:type="dxa"/>
            <w:tcBorders>
              <w:bottom w:val="single" w:sz="4" w:space="0" w:color="auto"/>
            </w:tcBorders>
            <w:shd w:val="clear" w:color="auto" w:fill="auto"/>
          </w:tcPr>
          <w:p w:rsidR="00BB47DB" w:rsidRPr="004B36AC" w:rsidRDefault="007907D3" w:rsidP="00BB47DB">
            <w:pPr>
              <w:pStyle w:val="OrderBody"/>
              <w:keepNext/>
              <w:keepLines/>
            </w:pPr>
            <w:r>
              <w:t>/s/ Mike La Rosa</w:t>
            </w:r>
            <w:bookmarkStart w:id="8" w:name="_GoBack"/>
            <w:bookmarkEnd w:id="8"/>
          </w:p>
        </w:tc>
      </w:tr>
      <w:bookmarkEnd w:id="7"/>
      <w:tr w:rsidR="004B36AC" w:rsidRPr="004B36AC" w:rsidTr="00BB47DB">
        <w:tc>
          <w:tcPr>
            <w:tcW w:w="720" w:type="dxa"/>
            <w:shd w:val="clear" w:color="auto" w:fill="auto"/>
          </w:tcPr>
          <w:p w:rsidR="00BB47DB" w:rsidRPr="004B36AC" w:rsidRDefault="00BB47DB" w:rsidP="00BB47DB">
            <w:pPr>
              <w:pStyle w:val="OrderBody"/>
              <w:keepNext/>
              <w:keepLines/>
            </w:pPr>
          </w:p>
        </w:tc>
        <w:tc>
          <w:tcPr>
            <w:tcW w:w="4320" w:type="dxa"/>
            <w:tcBorders>
              <w:top w:val="single" w:sz="4" w:space="0" w:color="auto"/>
            </w:tcBorders>
            <w:shd w:val="clear" w:color="auto" w:fill="auto"/>
          </w:tcPr>
          <w:p w:rsidR="00BB47DB" w:rsidRPr="004B36AC" w:rsidRDefault="00BB47DB" w:rsidP="00BB47DB">
            <w:pPr>
              <w:pStyle w:val="OrderBody"/>
              <w:keepNext/>
              <w:keepLines/>
            </w:pPr>
            <w:r w:rsidRPr="004B36AC">
              <w:t>Mike La Rosa</w:t>
            </w:r>
          </w:p>
          <w:p w:rsidR="00BB47DB" w:rsidRPr="004B36AC" w:rsidRDefault="00BB47DB" w:rsidP="00BB47DB">
            <w:pPr>
              <w:pStyle w:val="OrderBody"/>
              <w:keepNext/>
              <w:keepLines/>
            </w:pPr>
            <w:r w:rsidRPr="004B36AC">
              <w:t>Commissioner and Prehearing Officer</w:t>
            </w:r>
          </w:p>
        </w:tc>
      </w:tr>
    </w:tbl>
    <w:p w:rsidR="00BB47DB" w:rsidRPr="004B36AC" w:rsidRDefault="00BB47DB" w:rsidP="00BB47DB">
      <w:pPr>
        <w:pStyle w:val="OrderSigInfo"/>
        <w:keepNext/>
        <w:keepLines/>
      </w:pPr>
      <w:r w:rsidRPr="004B36AC">
        <w:t>Florida Public Service Commission</w:t>
      </w:r>
    </w:p>
    <w:p w:rsidR="00BB47DB" w:rsidRPr="004B36AC" w:rsidRDefault="00BB47DB" w:rsidP="00BB47DB">
      <w:pPr>
        <w:pStyle w:val="OrderSigInfo"/>
        <w:keepNext/>
        <w:keepLines/>
      </w:pPr>
      <w:r w:rsidRPr="004B36AC">
        <w:t>2540 Shumard Oak Boulevard</w:t>
      </w:r>
    </w:p>
    <w:p w:rsidR="00BB47DB" w:rsidRPr="004B36AC" w:rsidRDefault="00BB47DB" w:rsidP="00BB47DB">
      <w:pPr>
        <w:pStyle w:val="OrderSigInfo"/>
        <w:keepNext/>
        <w:keepLines/>
      </w:pPr>
      <w:r w:rsidRPr="004B36AC">
        <w:t>Tallahassee, Florida 32399</w:t>
      </w:r>
    </w:p>
    <w:p w:rsidR="00BB47DB" w:rsidRPr="004B36AC" w:rsidRDefault="00BB47DB" w:rsidP="00BB47DB">
      <w:pPr>
        <w:pStyle w:val="OrderSigInfo"/>
        <w:keepNext/>
        <w:keepLines/>
      </w:pPr>
      <w:r w:rsidRPr="004B36AC">
        <w:t>(850) 413</w:t>
      </w:r>
      <w:r w:rsidRPr="004B36AC">
        <w:noBreakHyphen/>
        <w:t>6770</w:t>
      </w:r>
    </w:p>
    <w:p w:rsidR="00BB47DB" w:rsidRPr="004B36AC" w:rsidRDefault="00BB47DB" w:rsidP="00BB47DB">
      <w:pPr>
        <w:pStyle w:val="OrderSigInfo"/>
        <w:keepNext/>
        <w:keepLines/>
      </w:pPr>
      <w:r w:rsidRPr="004B36AC">
        <w:t>www.floridapsc.com</w:t>
      </w:r>
    </w:p>
    <w:p w:rsidR="00BB47DB" w:rsidRPr="004B36AC" w:rsidRDefault="00BB47DB" w:rsidP="00BB47DB">
      <w:pPr>
        <w:pStyle w:val="OrderSigInfo"/>
        <w:keepNext/>
        <w:keepLines/>
      </w:pPr>
    </w:p>
    <w:p w:rsidR="00BB47DB" w:rsidRPr="004B36AC" w:rsidRDefault="00BB47DB" w:rsidP="00BB47DB">
      <w:pPr>
        <w:pStyle w:val="OrderSigInfo"/>
        <w:keepNext/>
        <w:keepLines/>
      </w:pPr>
      <w:r w:rsidRPr="004B36AC">
        <w:t>Copies furnished: A copy of this document is provided to the parties of record at the time of issuance and, if applicable, interested persons.</w:t>
      </w:r>
    </w:p>
    <w:p w:rsidR="00BB47DB" w:rsidRPr="004B36AC" w:rsidRDefault="00BB47DB" w:rsidP="00BB47DB">
      <w:pPr>
        <w:pStyle w:val="OrderBody"/>
        <w:keepNext/>
        <w:keepLines/>
      </w:pPr>
    </w:p>
    <w:p w:rsidR="00BB47DB" w:rsidRPr="004B36AC" w:rsidRDefault="00BB47DB" w:rsidP="00BB47DB">
      <w:pPr>
        <w:pStyle w:val="OrderBody"/>
        <w:keepNext/>
        <w:keepLines/>
      </w:pPr>
    </w:p>
    <w:p w:rsidR="00BB47DB" w:rsidRPr="004B36AC" w:rsidRDefault="00BB47DB" w:rsidP="00BB47DB">
      <w:pPr>
        <w:pStyle w:val="OrderBody"/>
        <w:keepNext/>
        <w:keepLines/>
      </w:pPr>
      <w:r w:rsidRPr="004B36AC">
        <w:t>WLT</w:t>
      </w:r>
    </w:p>
    <w:p w:rsidR="00BB47DB" w:rsidRPr="004B36AC" w:rsidRDefault="00BB47DB" w:rsidP="00BB47DB">
      <w:pPr>
        <w:pStyle w:val="OrderBody"/>
      </w:pPr>
    </w:p>
    <w:p w:rsidR="00BB47DB" w:rsidRPr="004B36AC" w:rsidRDefault="00BB47DB" w:rsidP="00BB47DB">
      <w:pPr>
        <w:pStyle w:val="OrderBody"/>
      </w:pPr>
    </w:p>
    <w:p w:rsidR="00BB47DB" w:rsidRPr="004B36AC" w:rsidRDefault="00BB47DB" w:rsidP="00BB47DB">
      <w:pPr>
        <w:pStyle w:val="CenterUnderline"/>
      </w:pPr>
      <w:r w:rsidRPr="004B36AC">
        <w:t>NOTICE OF FURTHER PROCEEDINGS OR JUDICIAL REVIEW</w:t>
      </w:r>
    </w:p>
    <w:p w:rsidR="00BB47DB" w:rsidRPr="004B36AC" w:rsidRDefault="00BB47DB" w:rsidP="00BB47DB">
      <w:pPr>
        <w:pStyle w:val="CenterUnderline"/>
      </w:pPr>
    </w:p>
    <w:p w:rsidR="00BB47DB" w:rsidRPr="004B36AC" w:rsidRDefault="00BB47DB" w:rsidP="00BB47DB">
      <w:pPr>
        <w:pStyle w:val="OrderBody"/>
      </w:pPr>
      <w:r w:rsidRPr="004B36A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B47DB" w:rsidRPr="004B36AC" w:rsidRDefault="00BB47DB" w:rsidP="00BB47DB">
      <w:pPr>
        <w:pStyle w:val="OrderBody"/>
      </w:pPr>
    </w:p>
    <w:p w:rsidR="00BB47DB" w:rsidRPr="004B36AC" w:rsidRDefault="00BB47DB" w:rsidP="00BB47DB">
      <w:pPr>
        <w:pStyle w:val="OrderBody"/>
      </w:pPr>
      <w:r w:rsidRPr="004B36AC">
        <w:tab/>
        <w:t>Mediation may be available on a case-by-case basis.  If mediation is conducted, it does not affect a substantially interested person's right to a hearing.</w:t>
      </w:r>
    </w:p>
    <w:p w:rsidR="00BB47DB" w:rsidRPr="004B36AC" w:rsidRDefault="00BB47DB" w:rsidP="00BB47DB">
      <w:pPr>
        <w:pStyle w:val="OrderBody"/>
      </w:pPr>
    </w:p>
    <w:p w:rsidR="00BB47DB" w:rsidRPr="004B36AC" w:rsidRDefault="00BB47DB" w:rsidP="00BB47DB">
      <w:pPr>
        <w:pStyle w:val="OrderBody"/>
      </w:pPr>
      <w:r w:rsidRPr="004B36AC">
        <w:tab/>
        <w:t>Any party adversely affected by this order, which is preliminary, procedural or intermediate in nature, may request: (1) reconsideration within 10 days pursuant to Rule 25-</w:t>
      </w:r>
      <w:r w:rsidRPr="004B36AC">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7B19E7" w:rsidRPr="004B36AC">
        <w:t xml:space="preserve"> </w:t>
      </w:r>
    </w:p>
    <w:sectPr w:rsidR="00BB47DB" w:rsidRPr="004B36A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DF2" w:rsidRDefault="003D3DF2">
      <w:r>
        <w:separator/>
      </w:r>
    </w:p>
  </w:endnote>
  <w:endnote w:type="continuationSeparator" w:id="0">
    <w:p w:rsidR="003D3DF2" w:rsidRDefault="003D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DF2" w:rsidRDefault="003D3DF2">
      <w:r>
        <w:separator/>
      </w:r>
    </w:p>
  </w:footnote>
  <w:footnote w:type="continuationSeparator" w:id="0">
    <w:p w:rsidR="003D3DF2" w:rsidRDefault="003D3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4 ">
      <w:r w:rsidR="007907D3">
        <w:t>PSC-2022-0194-PCO-EI</w:t>
      </w:r>
    </w:fldSimple>
  </w:p>
  <w:p w:rsidR="00FA6EFD" w:rsidRDefault="00BB47DB">
    <w:pPr>
      <w:pStyle w:val="OrderHeader"/>
    </w:pPr>
    <w:bookmarkStart w:id="9" w:name="HeaderDocketNo"/>
    <w:bookmarkEnd w:id="9"/>
    <w:r>
      <w:t>DOCKET NO. 20220051-EI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07D3">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E170D"/>
    <w:multiLevelType w:val="hybridMultilevel"/>
    <w:tmpl w:val="178EE51E"/>
    <w:lvl w:ilvl="0" w:tplc="20CC98F2">
      <w:start w:val="1"/>
      <w:numFmt w:val="bullet"/>
      <w:lvlText w:val=""/>
      <w:lvlJc w:val="left"/>
      <w:pPr>
        <w:ind w:left="2160" w:hanging="360"/>
      </w:pPr>
      <w:rPr>
        <w:rFonts w:ascii="Symbol" w:hAnsi="Symbol" w:hint="default"/>
      </w:rPr>
    </w:lvl>
    <w:lvl w:ilvl="1" w:tplc="1C9CDC2C" w:tentative="1">
      <w:start w:val="1"/>
      <w:numFmt w:val="bullet"/>
      <w:lvlText w:val="o"/>
      <w:lvlJc w:val="left"/>
      <w:pPr>
        <w:ind w:left="2880" w:hanging="360"/>
      </w:pPr>
      <w:rPr>
        <w:rFonts w:ascii="Courier New" w:hAnsi="Courier New" w:cs="Courier New" w:hint="default"/>
      </w:rPr>
    </w:lvl>
    <w:lvl w:ilvl="2" w:tplc="31DE6142" w:tentative="1">
      <w:start w:val="1"/>
      <w:numFmt w:val="bullet"/>
      <w:lvlText w:val=""/>
      <w:lvlJc w:val="left"/>
      <w:pPr>
        <w:ind w:left="3600" w:hanging="360"/>
      </w:pPr>
      <w:rPr>
        <w:rFonts w:ascii="Wingdings" w:hAnsi="Wingdings" w:hint="default"/>
      </w:rPr>
    </w:lvl>
    <w:lvl w:ilvl="3" w:tplc="96AE186E" w:tentative="1">
      <w:start w:val="1"/>
      <w:numFmt w:val="bullet"/>
      <w:lvlText w:val=""/>
      <w:lvlJc w:val="left"/>
      <w:pPr>
        <w:ind w:left="4320" w:hanging="360"/>
      </w:pPr>
      <w:rPr>
        <w:rFonts w:ascii="Symbol" w:hAnsi="Symbol" w:hint="default"/>
      </w:rPr>
    </w:lvl>
    <w:lvl w:ilvl="4" w:tplc="83C6C7AA" w:tentative="1">
      <w:start w:val="1"/>
      <w:numFmt w:val="bullet"/>
      <w:lvlText w:val="o"/>
      <w:lvlJc w:val="left"/>
      <w:pPr>
        <w:ind w:left="5040" w:hanging="360"/>
      </w:pPr>
      <w:rPr>
        <w:rFonts w:ascii="Courier New" w:hAnsi="Courier New" w:cs="Courier New" w:hint="default"/>
      </w:rPr>
    </w:lvl>
    <w:lvl w:ilvl="5" w:tplc="5852CD9E" w:tentative="1">
      <w:start w:val="1"/>
      <w:numFmt w:val="bullet"/>
      <w:lvlText w:val=""/>
      <w:lvlJc w:val="left"/>
      <w:pPr>
        <w:ind w:left="5760" w:hanging="360"/>
      </w:pPr>
      <w:rPr>
        <w:rFonts w:ascii="Wingdings" w:hAnsi="Wingdings" w:hint="default"/>
      </w:rPr>
    </w:lvl>
    <w:lvl w:ilvl="6" w:tplc="A77A7C3E" w:tentative="1">
      <w:start w:val="1"/>
      <w:numFmt w:val="bullet"/>
      <w:lvlText w:val=""/>
      <w:lvlJc w:val="left"/>
      <w:pPr>
        <w:ind w:left="6480" w:hanging="360"/>
      </w:pPr>
      <w:rPr>
        <w:rFonts w:ascii="Symbol" w:hAnsi="Symbol" w:hint="default"/>
      </w:rPr>
    </w:lvl>
    <w:lvl w:ilvl="7" w:tplc="B2CEF6C0" w:tentative="1">
      <w:start w:val="1"/>
      <w:numFmt w:val="bullet"/>
      <w:lvlText w:val="o"/>
      <w:lvlJc w:val="left"/>
      <w:pPr>
        <w:ind w:left="7200" w:hanging="360"/>
      </w:pPr>
      <w:rPr>
        <w:rFonts w:ascii="Courier New" w:hAnsi="Courier New" w:cs="Courier New" w:hint="default"/>
      </w:rPr>
    </w:lvl>
    <w:lvl w:ilvl="8" w:tplc="BD0E3AFA" w:tentative="1">
      <w:start w:val="1"/>
      <w:numFmt w:val="bullet"/>
      <w:lvlText w:val=""/>
      <w:lvlJc w:val="left"/>
      <w:pPr>
        <w:ind w:left="7920" w:hanging="360"/>
      </w:pPr>
      <w:rPr>
        <w:rFonts w:ascii="Wingdings" w:hAnsi="Wingdings" w:hint="default"/>
      </w:rPr>
    </w:lvl>
  </w:abstractNum>
  <w:abstractNum w:abstractNumId="1" w15:restartNumberingAfterBreak="0">
    <w:nsid w:val="50C31944"/>
    <w:multiLevelType w:val="hybridMultilevel"/>
    <w:tmpl w:val="61546FB4"/>
    <w:lvl w:ilvl="0" w:tplc="8FEE01B4">
      <w:start w:val="1"/>
      <w:numFmt w:val="decimal"/>
      <w:pStyle w:val="ListParagraph"/>
      <w:lvlText w:val="%1."/>
      <w:lvlJc w:val="left"/>
      <w:pPr>
        <w:ind w:left="720" w:hanging="720"/>
      </w:pPr>
      <w:rPr>
        <w:rFonts w:hint="default"/>
      </w:rPr>
    </w:lvl>
    <w:lvl w:ilvl="1" w:tplc="CF626F5E">
      <w:numFmt w:val="bullet"/>
      <w:lvlText w:val="-"/>
      <w:lvlJc w:val="left"/>
      <w:pPr>
        <w:ind w:left="2160" w:hanging="720"/>
      </w:pPr>
      <w:rPr>
        <w:rFonts w:ascii="Times New Roman" w:eastAsia="Times New Roman" w:hAnsi="Times New Roman" w:cs="Times New Roman" w:hint="default"/>
      </w:rPr>
    </w:lvl>
    <w:lvl w:ilvl="2" w:tplc="F10C1D80" w:tentative="1">
      <w:start w:val="1"/>
      <w:numFmt w:val="lowerRoman"/>
      <w:lvlText w:val="%3."/>
      <w:lvlJc w:val="right"/>
      <w:pPr>
        <w:ind w:left="2520" w:hanging="180"/>
      </w:pPr>
    </w:lvl>
    <w:lvl w:ilvl="3" w:tplc="00867084" w:tentative="1">
      <w:start w:val="1"/>
      <w:numFmt w:val="decimal"/>
      <w:lvlText w:val="%4."/>
      <w:lvlJc w:val="left"/>
      <w:pPr>
        <w:ind w:left="3240" w:hanging="360"/>
      </w:pPr>
    </w:lvl>
    <w:lvl w:ilvl="4" w:tplc="F358297C" w:tentative="1">
      <w:start w:val="1"/>
      <w:numFmt w:val="lowerLetter"/>
      <w:lvlText w:val="%5."/>
      <w:lvlJc w:val="left"/>
      <w:pPr>
        <w:ind w:left="3960" w:hanging="360"/>
      </w:pPr>
    </w:lvl>
    <w:lvl w:ilvl="5" w:tplc="C4B040FA" w:tentative="1">
      <w:start w:val="1"/>
      <w:numFmt w:val="lowerRoman"/>
      <w:lvlText w:val="%6."/>
      <w:lvlJc w:val="right"/>
      <w:pPr>
        <w:ind w:left="4680" w:hanging="180"/>
      </w:pPr>
    </w:lvl>
    <w:lvl w:ilvl="6" w:tplc="039A6E78" w:tentative="1">
      <w:start w:val="1"/>
      <w:numFmt w:val="decimal"/>
      <w:lvlText w:val="%7."/>
      <w:lvlJc w:val="left"/>
      <w:pPr>
        <w:ind w:left="5400" w:hanging="360"/>
      </w:pPr>
    </w:lvl>
    <w:lvl w:ilvl="7" w:tplc="4DC86A96" w:tentative="1">
      <w:start w:val="1"/>
      <w:numFmt w:val="lowerLetter"/>
      <w:lvlText w:val="%8."/>
      <w:lvlJc w:val="left"/>
      <w:pPr>
        <w:ind w:left="6120" w:hanging="360"/>
      </w:pPr>
    </w:lvl>
    <w:lvl w:ilvl="8" w:tplc="56D209D8"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1-EI"/>
  </w:docVars>
  <w:rsids>
    <w:rsidRoot w:val="00BB47DB"/>
    <w:rsid w:val="000022B8"/>
    <w:rsid w:val="00003883"/>
    <w:rsid w:val="00011251"/>
    <w:rsid w:val="00025C2A"/>
    <w:rsid w:val="00025C9D"/>
    <w:rsid w:val="0003433F"/>
    <w:rsid w:val="00035A8C"/>
    <w:rsid w:val="00036BDD"/>
    <w:rsid w:val="00041FFD"/>
    <w:rsid w:val="00042C99"/>
    <w:rsid w:val="00046785"/>
    <w:rsid w:val="00053AB9"/>
    <w:rsid w:val="00056229"/>
    <w:rsid w:val="00057AF1"/>
    <w:rsid w:val="00065FC2"/>
    <w:rsid w:val="00067685"/>
    <w:rsid w:val="00067B07"/>
    <w:rsid w:val="000730D7"/>
    <w:rsid w:val="00076E6B"/>
    <w:rsid w:val="00081AE4"/>
    <w:rsid w:val="0008247D"/>
    <w:rsid w:val="00090AFC"/>
    <w:rsid w:val="00096507"/>
    <w:rsid w:val="000A226C"/>
    <w:rsid w:val="000A774F"/>
    <w:rsid w:val="000B2FB8"/>
    <w:rsid w:val="000B783E"/>
    <w:rsid w:val="000B7D81"/>
    <w:rsid w:val="000C1994"/>
    <w:rsid w:val="000C6926"/>
    <w:rsid w:val="000D02B8"/>
    <w:rsid w:val="000D06E8"/>
    <w:rsid w:val="000D6E65"/>
    <w:rsid w:val="000D78FB"/>
    <w:rsid w:val="000E050C"/>
    <w:rsid w:val="000E20F0"/>
    <w:rsid w:val="000E2593"/>
    <w:rsid w:val="000E2C47"/>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1A86"/>
    <w:rsid w:val="00187E32"/>
    <w:rsid w:val="00193736"/>
    <w:rsid w:val="00194A97"/>
    <w:rsid w:val="00194E81"/>
    <w:rsid w:val="001A15E7"/>
    <w:rsid w:val="001A33C9"/>
    <w:rsid w:val="001A58F3"/>
    <w:rsid w:val="001B034E"/>
    <w:rsid w:val="001C2847"/>
    <w:rsid w:val="001C3BB5"/>
    <w:rsid w:val="001C3F8C"/>
    <w:rsid w:val="001C5854"/>
    <w:rsid w:val="001C6097"/>
    <w:rsid w:val="001C7126"/>
    <w:rsid w:val="001D008A"/>
    <w:rsid w:val="001D205A"/>
    <w:rsid w:val="001E0152"/>
    <w:rsid w:val="001E0FF5"/>
    <w:rsid w:val="001F0095"/>
    <w:rsid w:val="001F36B0"/>
    <w:rsid w:val="001F4CA3"/>
    <w:rsid w:val="001F59E0"/>
    <w:rsid w:val="002002ED"/>
    <w:rsid w:val="002003BF"/>
    <w:rsid w:val="002044DD"/>
    <w:rsid w:val="002170E5"/>
    <w:rsid w:val="00220D57"/>
    <w:rsid w:val="0022721A"/>
    <w:rsid w:val="00230BB9"/>
    <w:rsid w:val="00241CEF"/>
    <w:rsid w:val="0025124E"/>
    <w:rsid w:val="00252B30"/>
    <w:rsid w:val="00255291"/>
    <w:rsid w:val="002613E4"/>
    <w:rsid w:val="00261D0A"/>
    <w:rsid w:val="00262C43"/>
    <w:rsid w:val="0026544B"/>
    <w:rsid w:val="00270F89"/>
    <w:rsid w:val="00276CDC"/>
    <w:rsid w:val="00277655"/>
    <w:rsid w:val="002824B7"/>
    <w:rsid w:val="00282AC4"/>
    <w:rsid w:val="00293DC9"/>
    <w:rsid w:val="002942E9"/>
    <w:rsid w:val="00297C37"/>
    <w:rsid w:val="002A11AC"/>
    <w:rsid w:val="002A6F30"/>
    <w:rsid w:val="002B3111"/>
    <w:rsid w:val="002B6838"/>
    <w:rsid w:val="002C118E"/>
    <w:rsid w:val="002C2096"/>
    <w:rsid w:val="002C7908"/>
    <w:rsid w:val="002D2F8C"/>
    <w:rsid w:val="002D391B"/>
    <w:rsid w:val="002D4B1F"/>
    <w:rsid w:val="002D79E0"/>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879"/>
    <w:rsid w:val="00331ED0"/>
    <w:rsid w:val="00332B0A"/>
    <w:rsid w:val="00333A41"/>
    <w:rsid w:val="003365C9"/>
    <w:rsid w:val="00345434"/>
    <w:rsid w:val="0035495B"/>
    <w:rsid w:val="00355A93"/>
    <w:rsid w:val="00361522"/>
    <w:rsid w:val="003637F5"/>
    <w:rsid w:val="003654E3"/>
    <w:rsid w:val="0037196E"/>
    <w:rsid w:val="003744F5"/>
    <w:rsid w:val="00382C6A"/>
    <w:rsid w:val="0038719D"/>
    <w:rsid w:val="003875A9"/>
    <w:rsid w:val="00387BDE"/>
    <w:rsid w:val="00390DD8"/>
    <w:rsid w:val="00394BD3"/>
    <w:rsid w:val="00394DC6"/>
    <w:rsid w:val="00397C3E"/>
    <w:rsid w:val="003A1B30"/>
    <w:rsid w:val="003B1A09"/>
    <w:rsid w:val="003C0431"/>
    <w:rsid w:val="003C29BB"/>
    <w:rsid w:val="003D3989"/>
    <w:rsid w:val="003D3DF2"/>
    <w:rsid w:val="003D4CCA"/>
    <w:rsid w:val="003D52A6"/>
    <w:rsid w:val="003D6416"/>
    <w:rsid w:val="003D7CEE"/>
    <w:rsid w:val="003E1D48"/>
    <w:rsid w:val="003E711F"/>
    <w:rsid w:val="003F0857"/>
    <w:rsid w:val="003F1D2B"/>
    <w:rsid w:val="003F1D9D"/>
    <w:rsid w:val="003F49A6"/>
    <w:rsid w:val="003F518F"/>
    <w:rsid w:val="003F7445"/>
    <w:rsid w:val="00411DF2"/>
    <w:rsid w:val="00411E8F"/>
    <w:rsid w:val="00420CBE"/>
    <w:rsid w:val="004247F5"/>
    <w:rsid w:val="0042527B"/>
    <w:rsid w:val="00427EAC"/>
    <w:rsid w:val="004431B4"/>
    <w:rsid w:val="0045537F"/>
    <w:rsid w:val="00457DC7"/>
    <w:rsid w:val="00457ED4"/>
    <w:rsid w:val="004640B3"/>
    <w:rsid w:val="00472BCC"/>
    <w:rsid w:val="00477699"/>
    <w:rsid w:val="00483160"/>
    <w:rsid w:val="004A25CD"/>
    <w:rsid w:val="004A26CC"/>
    <w:rsid w:val="004A3772"/>
    <w:rsid w:val="004B2108"/>
    <w:rsid w:val="004B36AC"/>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2419"/>
    <w:rsid w:val="00610221"/>
    <w:rsid w:val="00610E73"/>
    <w:rsid w:val="006119E8"/>
    <w:rsid w:val="00615F9B"/>
    <w:rsid w:val="00616DF2"/>
    <w:rsid w:val="0062385D"/>
    <w:rsid w:val="00627633"/>
    <w:rsid w:val="0063168D"/>
    <w:rsid w:val="00633685"/>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1C84"/>
    <w:rsid w:val="006B0036"/>
    <w:rsid w:val="006B0DA6"/>
    <w:rsid w:val="006B3FA9"/>
    <w:rsid w:val="006C2DE5"/>
    <w:rsid w:val="006C30BD"/>
    <w:rsid w:val="006C547E"/>
    <w:rsid w:val="006D2B51"/>
    <w:rsid w:val="006D54F2"/>
    <w:rsid w:val="006D5575"/>
    <w:rsid w:val="006D7191"/>
    <w:rsid w:val="006E21C4"/>
    <w:rsid w:val="006E42BE"/>
    <w:rsid w:val="006E5D4D"/>
    <w:rsid w:val="006E6D16"/>
    <w:rsid w:val="00703F2A"/>
    <w:rsid w:val="00704C5D"/>
    <w:rsid w:val="00705568"/>
    <w:rsid w:val="007063E7"/>
    <w:rsid w:val="007072BC"/>
    <w:rsid w:val="00715275"/>
    <w:rsid w:val="00721B44"/>
    <w:rsid w:val="007232A2"/>
    <w:rsid w:val="007248FC"/>
    <w:rsid w:val="00726366"/>
    <w:rsid w:val="00731AB6"/>
    <w:rsid w:val="00733B6B"/>
    <w:rsid w:val="00740808"/>
    <w:rsid w:val="007467C4"/>
    <w:rsid w:val="0076170F"/>
    <w:rsid w:val="00762BE5"/>
    <w:rsid w:val="0076669C"/>
    <w:rsid w:val="00766E46"/>
    <w:rsid w:val="00772CCB"/>
    <w:rsid w:val="00777727"/>
    <w:rsid w:val="0078166A"/>
    <w:rsid w:val="00782B79"/>
    <w:rsid w:val="00783811"/>
    <w:rsid w:val="007857F9"/>
    <w:rsid w:val="007865E9"/>
    <w:rsid w:val="007907D3"/>
    <w:rsid w:val="0079237D"/>
    <w:rsid w:val="00792383"/>
    <w:rsid w:val="00794D5A"/>
    <w:rsid w:val="00794DD9"/>
    <w:rsid w:val="007A060F"/>
    <w:rsid w:val="007B19E7"/>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5162"/>
    <w:rsid w:val="00862300"/>
    <w:rsid w:val="00863A66"/>
    <w:rsid w:val="008703D7"/>
    <w:rsid w:val="0087395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0E2C"/>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3794"/>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41AF"/>
    <w:rsid w:val="00A21FB1"/>
    <w:rsid w:val="00A22B28"/>
    <w:rsid w:val="00A3351E"/>
    <w:rsid w:val="00A4303C"/>
    <w:rsid w:val="00A46CAF"/>
    <w:rsid w:val="00A470FD"/>
    <w:rsid w:val="00A50B5E"/>
    <w:rsid w:val="00A62DAB"/>
    <w:rsid w:val="00A65A5E"/>
    <w:rsid w:val="00A6757A"/>
    <w:rsid w:val="00A726A6"/>
    <w:rsid w:val="00A74842"/>
    <w:rsid w:val="00A8269A"/>
    <w:rsid w:val="00A9178A"/>
    <w:rsid w:val="00A9515B"/>
    <w:rsid w:val="00A97535"/>
    <w:rsid w:val="00AA2BAA"/>
    <w:rsid w:val="00AA6516"/>
    <w:rsid w:val="00AA73A8"/>
    <w:rsid w:val="00AA73F1"/>
    <w:rsid w:val="00AB0E1A"/>
    <w:rsid w:val="00AB1A30"/>
    <w:rsid w:val="00AB3C36"/>
    <w:rsid w:val="00AB3D30"/>
    <w:rsid w:val="00AC4B09"/>
    <w:rsid w:val="00AC5A01"/>
    <w:rsid w:val="00AD10EB"/>
    <w:rsid w:val="00AD1ED3"/>
    <w:rsid w:val="00AD3717"/>
    <w:rsid w:val="00AE2774"/>
    <w:rsid w:val="00AF37A5"/>
    <w:rsid w:val="00B019C1"/>
    <w:rsid w:val="00B02001"/>
    <w:rsid w:val="00B03C50"/>
    <w:rsid w:val="00B0777D"/>
    <w:rsid w:val="00B11576"/>
    <w:rsid w:val="00B1195F"/>
    <w:rsid w:val="00B14D10"/>
    <w:rsid w:val="00B209C7"/>
    <w:rsid w:val="00B22167"/>
    <w:rsid w:val="00B33E90"/>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47DB"/>
    <w:rsid w:val="00BC11EC"/>
    <w:rsid w:val="00BC491B"/>
    <w:rsid w:val="00BC786E"/>
    <w:rsid w:val="00BD5C92"/>
    <w:rsid w:val="00BE115C"/>
    <w:rsid w:val="00BE4E25"/>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3474"/>
    <w:rsid w:val="00C66692"/>
    <w:rsid w:val="00C67119"/>
    <w:rsid w:val="00C673B5"/>
    <w:rsid w:val="00C7063D"/>
    <w:rsid w:val="00C72339"/>
    <w:rsid w:val="00C830BC"/>
    <w:rsid w:val="00C8524D"/>
    <w:rsid w:val="00C90904"/>
    <w:rsid w:val="00C91123"/>
    <w:rsid w:val="00C97049"/>
    <w:rsid w:val="00CA71FF"/>
    <w:rsid w:val="00CB5276"/>
    <w:rsid w:val="00CB5BFC"/>
    <w:rsid w:val="00CB68D7"/>
    <w:rsid w:val="00CB785B"/>
    <w:rsid w:val="00CC3AF7"/>
    <w:rsid w:val="00CC7E68"/>
    <w:rsid w:val="00CD3D74"/>
    <w:rsid w:val="00CD66DF"/>
    <w:rsid w:val="00CD7132"/>
    <w:rsid w:val="00CE0E6F"/>
    <w:rsid w:val="00CE3B21"/>
    <w:rsid w:val="00CE56FC"/>
    <w:rsid w:val="00CE7A4D"/>
    <w:rsid w:val="00CF32D2"/>
    <w:rsid w:val="00CF4CFE"/>
    <w:rsid w:val="00D00E8E"/>
    <w:rsid w:val="00D02E0F"/>
    <w:rsid w:val="00D03EE8"/>
    <w:rsid w:val="00D0709D"/>
    <w:rsid w:val="00D07CA6"/>
    <w:rsid w:val="00D12ECD"/>
    <w:rsid w:val="00D13535"/>
    <w:rsid w:val="00D15497"/>
    <w:rsid w:val="00D17B79"/>
    <w:rsid w:val="00D205F5"/>
    <w:rsid w:val="00D23FEA"/>
    <w:rsid w:val="00D269CA"/>
    <w:rsid w:val="00D30B48"/>
    <w:rsid w:val="00D3168A"/>
    <w:rsid w:val="00D46FAA"/>
    <w:rsid w:val="00D47A40"/>
    <w:rsid w:val="00D51D33"/>
    <w:rsid w:val="00D57BB2"/>
    <w:rsid w:val="00D57E57"/>
    <w:rsid w:val="00D61023"/>
    <w:rsid w:val="00D70752"/>
    <w:rsid w:val="00D722E4"/>
    <w:rsid w:val="00D80E2D"/>
    <w:rsid w:val="00D84D5E"/>
    <w:rsid w:val="00D8560E"/>
    <w:rsid w:val="00D8758F"/>
    <w:rsid w:val="00DA4EDD"/>
    <w:rsid w:val="00DA6B78"/>
    <w:rsid w:val="00DB122B"/>
    <w:rsid w:val="00DC1D94"/>
    <w:rsid w:val="00DC42CF"/>
    <w:rsid w:val="00DD382A"/>
    <w:rsid w:val="00DD6651"/>
    <w:rsid w:val="00DE057F"/>
    <w:rsid w:val="00DE2082"/>
    <w:rsid w:val="00DE2289"/>
    <w:rsid w:val="00DF09A7"/>
    <w:rsid w:val="00DF2B51"/>
    <w:rsid w:val="00DF5B6D"/>
    <w:rsid w:val="00E001D6"/>
    <w:rsid w:val="00E03A76"/>
    <w:rsid w:val="00E04410"/>
    <w:rsid w:val="00E062AD"/>
    <w:rsid w:val="00E07484"/>
    <w:rsid w:val="00E11351"/>
    <w:rsid w:val="00E176FC"/>
    <w:rsid w:val="00E20AFC"/>
    <w:rsid w:val="00E33B44"/>
    <w:rsid w:val="00E37D48"/>
    <w:rsid w:val="00E4225C"/>
    <w:rsid w:val="00E42381"/>
    <w:rsid w:val="00E44879"/>
    <w:rsid w:val="00E525BC"/>
    <w:rsid w:val="00E70268"/>
    <w:rsid w:val="00E719EB"/>
    <w:rsid w:val="00E72914"/>
    <w:rsid w:val="00E75AE0"/>
    <w:rsid w:val="00E83C1F"/>
    <w:rsid w:val="00E85684"/>
    <w:rsid w:val="00E8794B"/>
    <w:rsid w:val="00E93DC9"/>
    <w:rsid w:val="00E97656"/>
    <w:rsid w:val="00EA004A"/>
    <w:rsid w:val="00EA172C"/>
    <w:rsid w:val="00EA259B"/>
    <w:rsid w:val="00EA35A3"/>
    <w:rsid w:val="00EA3E6A"/>
    <w:rsid w:val="00EB0CFE"/>
    <w:rsid w:val="00EB18EF"/>
    <w:rsid w:val="00EB58F4"/>
    <w:rsid w:val="00EB686C"/>
    <w:rsid w:val="00EB7951"/>
    <w:rsid w:val="00ED6A79"/>
    <w:rsid w:val="00ED7F17"/>
    <w:rsid w:val="00EE17DF"/>
    <w:rsid w:val="00EF1482"/>
    <w:rsid w:val="00EF4621"/>
    <w:rsid w:val="00EF4D52"/>
    <w:rsid w:val="00EF585C"/>
    <w:rsid w:val="00EF6312"/>
    <w:rsid w:val="00F038B0"/>
    <w:rsid w:val="00F05917"/>
    <w:rsid w:val="00F05F34"/>
    <w:rsid w:val="00F22B27"/>
    <w:rsid w:val="00F234A7"/>
    <w:rsid w:val="00F277B6"/>
    <w:rsid w:val="00F27DA5"/>
    <w:rsid w:val="00F32E36"/>
    <w:rsid w:val="00F36F6A"/>
    <w:rsid w:val="00F37208"/>
    <w:rsid w:val="00F37E07"/>
    <w:rsid w:val="00F4182A"/>
    <w:rsid w:val="00F44EB6"/>
    <w:rsid w:val="00F54380"/>
    <w:rsid w:val="00F54B47"/>
    <w:rsid w:val="00F61247"/>
    <w:rsid w:val="00F61F61"/>
    <w:rsid w:val="00F63191"/>
    <w:rsid w:val="00F652DB"/>
    <w:rsid w:val="00F6702E"/>
    <w:rsid w:val="00F70E84"/>
    <w:rsid w:val="00F94968"/>
    <w:rsid w:val="00F9510D"/>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6C30BD"/>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6C30BD"/>
  </w:style>
  <w:style w:type="paragraph" w:styleId="ListParagraph">
    <w:name w:val="List Paragraph"/>
    <w:basedOn w:val="Normal"/>
    <w:uiPriority w:val="34"/>
    <w:qFormat/>
    <w:rsid w:val="007248FC"/>
    <w:pPr>
      <w:widowControl w:val="0"/>
      <w:numPr>
        <w:numId w:val="1"/>
      </w:numPr>
      <w:spacing w:line="480" w:lineRule="auto"/>
      <w:ind w:left="0" w:firstLine="720"/>
      <w:contextualSpacing/>
      <w:jc w:val="both"/>
    </w:pPr>
  </w:style>
  <w:style w:type="paragraph" w:styleId="BalloonText">
    <w:name w:val="Balloon Text"/>
    <w:basedOn w:val="Normal"/>
    <w:link w:val="BalloonTextChar"/>
    <w:semiHidden/>
    <w:unhideWhenUsed/>
    <w:rsid w:val="004B36AC"/>
    <w:rPr>
      <w:rFonts w:ascii="Segoe UI" w:hAnsi="Segoe UI" w:cs="Segoe UI"/>
      <w:sz w:val="18"/>
      <w:szCs w:val="18"/>
    </w:rPr>
  </w:style>
  <w:style w:type="character" w:customStyle="1" w:styleId="BalloonTextChar">
    <w:name w:val="Balloon Text Char"/>
    <w:basedOn w:val="DefaultParagraphFont"/>
    <w:link w:val="BalloonText"/>
    <w:semiHidden/>
    <w:rsid w:val="004B3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C9E40-9DC0-4AAB-95F2-C1C84150F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2022-05-25T18:47:00Z</dcterms:created>
  <dcterms:modified xsi:type="dcterms:W3CDTF">2022-05-25T19:08:00Z</dcterms:modified>
</cp:coreProperties>
</file>