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CEBB6" w14:textId="77777777" w:rsidR="00CB5276" w:rsidRDefault="00D45063" w:rsidP="00D45063">
      <w:pPr>
        <w:pStyle w:val="OrderHeading"/>
      </w:pPr>
      <w:r>
        <w:t>BEFORE THE FLORIDA PUBLIC SERVICE COMMISSION</w:t>
      </w:r>
    </w:p>
    <w:p w14:paraId="4CDB85A0" w14:textId="77777777" w:rsidR="00D45063" w:rsidRDefault="00D45063" w:rsidP="00D45063">
      <w:pPr>
        <w:pStyle w:val="OrderBody"/>
      </w:pPr>
    </w:p>
    <w:p w14:paraId="1CA2232B" w14:textId="77777777" w:rsidR="00D45063" w:rsidRDefault="00D45063" w:rsidP="00D450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5063" w:rsidRPr="00C63FCF" w14:paraId="60DFAC7E" w14:textId="77777777" w:rsidTr="00C63FCF">
        <w:trPr>
          <w:trHeight w:val="828"/>
        </w:trPr>
        <w:tc>
          <w:tcPr>
            <w:tcW w:w="4788" w:type="dxa"/>
            <w:tcBorders>
              <w:bottom w:val="nil"/>
              <w:right w:val="double" w:sz="6" w:space="0" w:color="auto"/>
            </w:tcBorders>
            <w:shd w:val="clear" w:color="auto" w:fill="auto"/>
          </w:tcPr>
          <w:p w14:paraId="132BEC82" w14:textId="77777777" w:rsidR="00D45063" w:rsidRDefault="00D45063" w:rsidP="00C63FCF">
            <w:pPr>
              <w:pStyle w:val="OrderBody"/>
              <w:tabs>
                <w:tab w:val="center" w:pos="4320"/>
                <w:tab w:val="right" w:pos="8640"/>
              </w:tabs>
              <w:jc w:val="left"/>
            </w:pPr>
            <w:r>
              <w:t xml:space="preserve">In re: </w:t>
            </w:r>
            <w:bookmarkStart w:id="0" w:name="SMInRe"/>
            <w:bookmarkEnd w:id="0"/>
            <w:r>
              <w:t>Review of Storm Protection Plan, pursuant to Rule 25-6.030, F.A.C., Tampa Electric Company.</w:t>
            </w:r>
          </w:p>
          <w:p w14:paraId="171D006F" w14:textId="77777777" w:rsidR="00D45063" w:rsidRDefault="00D450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EA6678F" w14:textId="77777777" w:rsidR="00D45063" w:rsidRDefault="00D45063" w:rsidP="00C63FCF">
            <w:pPr>
              <w:pStyle w:val="OrderBody"/>
              <w:tabs>
                <w:tab w:val="center" w:pos="4320"/>
                <w:tab w:val="right" w:pos="8640"/>
              </w:tabs>
              <w:jc w:val="left"/>
            </w:pPr>
            <w:r>
              <w:t xml:space="preserve">DOCKET NO. </w:t>
            </w:r>
            <w:bookmarkStart w:id="1" w:name="SMDocketNo"/>
            <w:bookmarkEnd w:id="1"/>
            <w:r>
              <w:t>20220048-EI</w:t>
            </w:r>
          </w:p>
        </w:tc>
      </w:tr>
      <w:tr w:rsidR="00D45063" w:rsidRPr="00C63FCF" w14:paraId="4FC547C3" w14:textId="77777777" w:rsidTr="00C63FCF">
        <w:trPr>
          <w:trHeight w:val="828"/>
        </w:trPr>
        <w:tc>
          <w:tcPr>
            <w:tcW w:w="4788" w:type="dxa"/>
            <w:tcBorders>
              <w:bottom w:val="nil"/>
              <w:right w:val="double" w:sz="6" w:space="0" w:color="auto"/>
            </w:tcBorders>
            <w:shd w:val="clear" w:color="auto" w:fill="auto"/>
          </w:tcPr>
          <w:p w14:paraId="7FE94BEA" w14:textId="77777777" w:rsidR="00D45063" w:rsidRDefault="00D45063" w:rsidP="00C63FCF">
            <w:pPr>
              <w:pStyle w:val="OrderBody"/>
              <w:tabs>
                <w:tab w:val="center" w:pos="4320"/>
                <w:tab w:val="right" w:pos="8640"/>
              </w:tabs>
              <w:jc w:val="left"/>
            </w:pPr>
            <w:r>
              <w:t>In re: Review of Storm Protection Plan, pursuant to Rule 25-6.030, F.A.C., Florida Public Utilities Company.</w:t>
            </w:r>
          </w:p>
          <w:p w14:paraId="341250A9" w14:textId="77777777" w:rsidR="00D45063" w:rsidRDefault="00D450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3DAD3897" w14:textId="77777777" w:rsidR="00D45063" w:rsidRDefault="00D45063" w:rsidP="00C63FCF">
            <w:pPr>
              <w:pStyle w:val="OrderBody"/>
              <w:tabs>
                <w:tab w:val="center" w:pos="4320"/>
                <w:tab w:val="right" w:pos="8640"/>
              </w:tabs>
              <w:jc w:val="left"/>
            </w:pPr>
            <w:r>
              <w:t>DOCKET NO. 20220049-EI</w:t>
            </w:r>
          </w:p>
          <w:p w14:paraId="3960C07D" w14:textId="77777777" w:rsidR="00D45063" w:rsidRDefault="00D45063" w:rsidP="00C63FCF">
            <w:pPr>
              <w:pStyle w:val="OrderBody"/>
              <w:tabs>
                <w:tab w:val="center" w:pos="4320"/>
                <w:tab w:val="right" w:pos="8640"/>
              </w:tabs>
              <w:jc w:val="left"/>
            </w:pPr>
          </w:p>
        </w:tc>
      </w:tr>
      <w:tr w:rsidR="00D45063" w:rsidRPr="00C63FCF" w14:paraId="6B3FD618" w14:textId="77777777" w:rsidTr="00C63FCF">
        <w:trPr>
          <w:trHeight w:val="828"/>
        </w:trPr>
        <w:tc>
          <w:tcPr>
            <w:tcW w:w="4788" w:type="dxa"/>
            <w:tcBorders>
              <w:bottom w:val="nil"/>
              <w:right w:val="double" w:sz="6" w:space="0" w:color="auto"/>
            </w:tcBorders>
            <w:shd w:val="clear" w:color="auto" w:fill="auto"/>
          </w:tcPr>
          <w:p w14:paraId="5E5EE133" w14:textId="77777777" w:rsidR="00D45063" w:rsidRDefault="00D45063" w:rsidP="00C63FCF">
            <w:pPr>
              <w:pStyle w:val="OrderBody"/>
              <w:tabs>
                <w:tab w:val="center" w:pos="4320"/>
                <w:tab w:val="right" w:pos="8640"/>
              </w:tabs>
              <w:jc w:val="left"/>
            </w:pPr>
            <w:r>
              <w:t>In re: Review of Storm Protection Plan, pursuant to Rule 25-6.030, F.A.C., Duke Energy Florida, LLC.</w:t>
            </w:r>
          </w:p>
          <w:p w14:paraId="78F247CD" w14:textId="77777777" w:rsidR="00D45063" w:rsidRDefault="00D450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01B9815B" w14:textId="77777777" w:rsidR="00D45063" w:rsidRDefault="00D45063" w:rsidP="00C63FCF">
            <w:pPr>
              <w:pStyle w:val="OrderBody"/>
              <w:tabs>
                <w:tab w:val="center" w:pos="4320"/>
                <w:tab w:val="right" w:pos="8640"/>
              </w:tabs>
              <w:jc w:val="left"/>
            </w:pPr>
            <w:r>
              <w:t>DOCKET NO. 20220050-EI</w:t>
            </w:r>
          </w:p>
          <w:p w14:paraId="44A43987" w14:textId="77777777" w:rsidR="00D45063" w:rsidRDefault="00D45063" w:rsidP="00C63FCF">
            <w:pPr>
              <w:pStyle w:val="OrderBody"/>
              <w:tabs>
                <w:tab w:val="center" w:pos="4320"/>
                <w:tab w:val="right" w:pos="8640"/>
              </w:tabs>
              <w:jc w:val="left"/>
            </w:pPr>
          </w:p>
        </w:tc>
      </w:tr>
      <w:tr w:rsidR="00D45063" w:rsidRPr="00C63FCF" w14:paraId="2457F4C6" w14:textId="77777777" w:rsidTr="00C63FCF">
        <w:trPr>
          <w:trHeight w:val="828"/>
        </w:trPr>
        <w:tc>
          <w:tcPr>
            <w:tcW w:w="4788" w:type="dxa"/>
            <w:tcBorders>
              <w:top w:val="nil"/>
              <w:bottom w:val="single" w:sz="8" w:space="0" w:color="auto"/>
              <w:right w:val="double" w:sz="6" w:space="0" w:color="auto"/>
            </w:tcBorders>
            <w:shd w:val="clear" w:color="auto" w:fill="auto"/>
          </w:tcPr>
          <w:p w14:paraId="0B0556B3" w14:textId="77777777" w:rsidR="00D45063" w:rsidRDefault="00D45063" w:rsidP="00C63FCF">
            <w:pPr>
              <w:pStyle w:val="OrderBody"/>
              <w:tabs>
                <w:tab w:val="center" w:pos="4320"/>
                <w:tab w:val="right" w:pos="8640"/>
              </w:tabs>
              <w:jc w:val="left"/>
            </w:pPr>
            <w:r>
              <w:t>In re: Review of Storm Protection Plan, pursuant to Rule 25-6.030, F.A.C., Florida Power &amp; Light Company.</w:t>
            </w:r>
          </w:p>
        </w:tc>
        <w:tc>
          <w:tcPr>
            <w:tcW w:w="4788" w:type="dxa"/>
            <w:tcBorders>
              <w:left w:val="double" w:sz="6" w:space="0" w:color="auto"/>
            </w:tcBorders>
            <w:shd w:val="clear" w:color="auto" w:fill="auto"/>
          </w:tcPr>
          <w:p w14:paraId="66DBCDCB" w14:textId="77777777" w:rsidR="00D45063" w:rsidRDefault="00D45063" w:rsidP="00D45063">
            <w:pPr>
              <w:pStyle w:val="OrderBody"/>
            </w:pPr>
            <w:r>
              <w:t xml:space="preserve">DOCKET NO. </w:t>
            </w:r>
            <w:bookmarkStart w:id="2" w:name="SMDocketNo2"/>
            <w:bookmarkEnd w:id="2"/>
            <w:r>
              <w:t>20220051-EI</w:t>
            </w:r>
          </w:p>
          <w:p w14:paraId="1972CA80" w14:textId="187A8FB7" w:rsidR="00D45063" w:rsidRDefault="00D45063" w:rsidP="00C63FCF">
            <w:pPr>
              <w:pStyle w:val="OrderBody"/>
              <w:tabs>
                <w:tab w:val="center" w:pos="4320"/>
                <w:tab w:val="right" w:pos="8640"/>
              </w:tabs>
              <w:jc w:val="left"/>
            </w:pPr>
            <w:r>
              <w:t xml:space="preserve">ORDER NO. </w:t>
            </w:r>
            <w:bookmarkStart w:id="3" w:name="OrderNo0226"/>
            <w:r w:rsidR="005E2E8A">
              <w:t>PSC-2022-0226-PCO-EI</w:t>
            </w:r>
            <w:bookmarkEnd w:id="3"/>
          </w:p>
          <w:p w14:paraId="63CF5D99" w14:textId="30E82E28" w:rsidR="00D45063" w:rsidRDefault="00D45063" w:rsidP="00C63FCF">
            <w:pPr>
              <w:pStyle w:val="OrderBody"/>
              <w:tabs>
                <w:tab w:val="center" w:pos="4320"/>
                <w:tab w:val="right" w:pos="8640"/>
              </w:tabs>
              <w:jc w:val="left"/>
            </w:pPr>
            <w:r>
              <w:t xml:space="preserve">ISSUED: </w:t>
            </w:r>
            <w:r w:rsidR="005E2E8A">
              <w:t>June 24, 2022</w:t>
            </w:r>
          </w:p>
          <w:p w14:paraId="2546B344" w14:textId="77777777" w:rsidR="00D45063" w:rsidRDefault="00D45063" w:rsidP="00C63FCF">
            <w:pPr>
              <w:pStyle w:val="OrderBody"/>
              <w:tabs>
                <w:tab w:val="center" w:pos="4320"/>
                <w:tab w:val="right" w:pos="8640"/>
              </w:tabs>
              <w:jc w:val="left"/>
            </w:pPr>
          </w:p>
        </w:tc>
      </w:tr>
    </w:tbl>
    <w:p w14:paraId="5D5604D4" w14:textId="77777777" w:rsidR="00D45063" w:rsidRDefault="00D45063" w:rsidP="00D45063"/>
    <w:p w14:paraId="48041BFF" w14:textId="77777777" w:rsidR="00D45063" w:rsidRDefault="00D45063" w:rsidP="00D45063"/>
    <w:p w14:paraId="60B2DD73" w14:textId="77777777" w:rsidR="005017D1" w:rsidRDefault="00D45063" w:rsidP="00D45063">
      <w:pPr>
        <w:pStyle w:val="CenterUnderline"/>
      </w:pPr>
      <w:bookmarkStart w:id="4" w:name="Commissioners"/>
      <w:bookmarkEnd w:id="4"/>
      <w:r>
        <w:t>FIRST ORDER</w:t>
      </w:r>
      <w:bookmarkStart w:id="5" w:name="OrderTitle"/>
      <w:r>
        <w:t xml:space="preserve"> MODIFYING </w:t>
      </w:r>
      <w:r w:rsidR="005017D1">
        <w:t xml:space="preserve">ORDER ESTABLISHING </w:t>
      </w:r>
      <w:r>
        <w:t>PROCEDURE</w:t>
      </w:r>
    </w:p>
    <w:p w14:paraId="48E6807C" w14:textId="77777777" w:rsidR="00D45063" w:rsidRPr="00F24F9A" w:rsidRDefault="00D45063" w:rsidP="00D45063">
      <w:pPr>
        <w:pStyle w:val="CenterUnderline"/>
      </w:pPr>
      <w:r>
        <w:t xml:space="preserve">AND </w:t>
      </w:r>
      <w:r w:rsidRPr="00F24F9A">
        <w:t xml:space="preserve">GRANTING DUKE ENERGY FLORIDA’S </w:t>
      </w:r>
    </w:p>
    <w:p w14:paraId="4DDBEA9D" w14:textId="77777777" w:rsidR="00D45063" w:rsidRPr="00F24F9A" w:rsidRDefault="00D45063" w:rsidP="00D45063">
      <w:pPr>
        <w:pStyle w:val="CenterUnderline"/>
      </w:pPr>
      <w:r w:rsidRPr="00F24F9A">
        <w:t xml:space="preserve">MOTION TO </w:t>
      </w:r>
      <w:r>
        <w:t>MODIFY</w:t>
      </w:r>
      <w:r w:rsidRPr="00F24F9A">
        <w:t xml:space="preserve"> </w:t>
      </w:r>
      <w:r w:rsidR="005017D1">
        <w:t xml:space="preserve">REBUTTAL </w:t>
      </w:r>
      <w:r w:rsidRPr="00F24F9A">
        <w:t>TESTIMONY FILING D</w:t>
      </w:r>
      <w:r>
        <w:t>ATE</w:t>
      </w:r>
    </w:p>
    <w:p w14:paraId="08C47383" w14:textId="77777777" w:rsidR="00D45063" w:rsidRDefault="00D45063" w:rsidP="00D45063">
      <w:pPr>
        <w:pStyle w:val="CenterUnderline"/>
      </w:pPr>
      <w:r>
        <w:t xml:space="preserve"> </w:t>
      </w:r>
      <w:bookmarkEnd w:id="5"/>
    </w:p>
    <w:p w14:paraId="73902055" w14:textId="77777777" w:rsidR="00D45063" w:rsidRDefault="00D45063" w:rsidP="00D45063">
      <w:pPr>
        <w:pStyle w:val="OrderBody"/>
      </w:pPr>
    </w:p>
    <w:p w14:paraId="7B356279" w14:textId="77777777" w:rsidR="00104C42" w:rsidRDefault="00104C42" w:rsidP="00104C42">
      <w:pPr>
        <w:autoSpaceDE w:val="0"/>
        <w:autoSpaceDN w:val="0"/>
        <w:adjustRightInd w:val="0"/>
        <w:jc w:val="both"/>
      </w:pPr>
      <w:bookmarkStart w:id="6" w:name="OrderText"/>
      <w:bookmarkEnd w:id="6"/>
      <w:r>
        <w:tab/>
        <w:t xml:space="preserve">Docket No. 20220050-EI was opened to review the </w:t>
      </w:r>
      <w:r w:rsidRPr="00AA4623">
        <w:t>Storm Protection Plan (SPP)</w:t>
      </w:r>
      <w:r>
        <w:t xml:space="preserve"> filed by </w:t>
      </w:r>
      <w:r>
        <w:rPr>
          <w:color w:val="101010"/>
          <w:sz w:val="23"/>
          <w:szCs w:val="23"/>
        </w:rPr>
        <w:t xml:space="preserve">Duke </w:t>
      </w:r>
      <w:r>
        <w:rPr>
          <w:color w:val="252525"/>
          <w:sz w:val="23"/>
          <w:szCs w:val="23"/>
        </w:rPr>
        <w:t xml:space="preserve">Energy </w:t>
      </w:r>
      <w:r>
        <w:rPr>
          <w:color w:val="101010"/>
          <w:sz w:val="23"/>
          <w:szCs w:val="23"/>
        </w:rPr>
        <w:t>Florida, LLC</w:t>
      </w:r>
      <w:r>
        <w:rPr>
          <w:color w:val="4B4850"/>
          <w:sz w:val="23"/>
          <w:szCs w:val="23"/>
        </w:rPr>
        <w:t>'</w:t>
      </w:r>
      <w:r>
        <w:rPr>
          <w:color w:val="252525"/>
          <w:sz w:val="23"/>
          <w:szCs w:val="23"/>
        </w:rPr>
        <w:t>s (DEF)</w:t>
      </w:r>
      <w:r>
        <w:t xml:space="preserve"> under Section 366.95(5), Florida Statutes (F.S.). Order No. PSC-2022-0119-PCO-EI, issued on March 17, 2022</w:t>
      </w:r>
      <w:r w:rsidR="00691DB9">
        <w:t xml:space="preserve">, established hearing procedures, hearing dates, and </w:t>
      </w:r>
      <w:r w:rsidR="00691DB9" w:rsidRPr="000C66E5">
        <w:t>consolidated</w:t>
      </w:r>
      <w:r w:rsidR="00691DB9">
        <w:t xml:space="preserve"> DEF’s SPP</w:t>
      </w:r>
      <w:r w:rsidR="00691DB9" w:rsidRPr="000C66E5">
        <w:t xml:space="preserve"> </w:t>
      </w:r>
      <w:r w:rsidR="00691DB9" w:rsidRPr="00C63FDA">
        <w:t xml:space="preserve">for purposes of hearing </w:t>
      </w:r>
      <w:r w:rsidR="00691DB9" w:rsidRPr="000C66E5">
        <w:t xml:space="preserve">with the SPP dockets for </w:t>
      </w:r>
      <w:r w:rsidR="00691DB9">
        <w:t>Florida’s other investor-owned electric utilities</w:t>
      </w:r>
      <w:r w:rsidR="00397C58">
        <w:t>.</w:t>
      </w:r>
      <w:r>
        <w:t xml:space="preserve"> The Office of Public Counsel (OPC), Florida Industrial Power Users Group (FIPUG), White Springs Agricultural Chemicals Inc. d/b/a PCS Phosphate – White Springs</w:t>
      </w:r>
      <w:r w:rsidRPr="00EB5771">
        <w:t xml:space="preserve"> (</w:t>
      </w:r>
      <w:r>
        <w:t>PCS Phosphate</w:t>
      </w:r>
      <w:r w:rsidRPr="00EB5771">
        <w:t>)</w:t>
      </w:r>
      <w:r w:rsidRPr="00E40C9B">
        <w:t xml:space="preserve">, </w:t>
      </w:r>
      <w:r>
        <w:rPr>
          <w:color w:val="101010"/>
          <w:sz w:val="23"/>
          <w:szCs w:val="23"/>
        </w:rPr>
        <w:t>W</w:t>
      </w:r>
      <w:r>
        <w:rPr>
          <w:color w:val="353535"/>
          <w:sz w:val="23"/>
          <w:szCs w:val="23"/>
        </w:rPr>
        <w:t>a</w:t>
      </w:r>
      <w:r>
        <w:rPr>
          <w:color w:val="101010"/>
          <w:sz w:val="23"/>
          <w:szCs w:val="23"/>
        </w:rPr>
        <w:t>lm</w:t>
      </w:r>
      <w:r>
        <w:rPr>
          <w:color w:val="353535"/>
          <w:sz w:val="23"/>
          <w:szCs w:val="23"/>
        </w:rPr>
        <w:t>a</w:t>
      </w:r>
      <w:r>
        <w:rPr>
          <w:color w:val="101010"/>
          <w:sz w:val="23"/>
          <w:szCs w:val="23"/>
        </w:rPr>
        <w:t>rt Inc</w:t>
      </w:r>
      <w:r>
        <w:rPr>
          <w:color w:val="353535"/>
          <w:sz w:val="23"/>
          <w:szCs w:val="23"/>
        </w:rPr>
        <w:t xml:space="preserve">. </w:t>
      </w:r>
      <w:r>
        <w:rPr>
          <w:color w:val="252525"/>
          <w:sz w:val="23"/>
          <w:szCs w:val="23"/>
        </w:rPr>
        <w:t>(Walmart)</w:t>
      </w:r>
      <w:r w:rsidRPr="00E40C9B">
        <w:t xml:space="preserve">, and </w:t>
      </w:r>
      <w:r>
        <w:t>Nucor Steel Florida, Inc. (NUCOR)</w:t>
      </w:r>
      <w:r w:rsidRPr="00EB5771">
        <w:t xml:space="preserve"> </w:t>
      </w:r>
      <w:r>
        <w:t xml:space="preserve">are parties to the </w:t>
      </w:r>
      <w:r w:rsidR="00397C58">
        <w:t xml:space="preserve">DEF </w:t>
      </w:r>
      <w:r>
        <w:t>docket.</w:t>
      </w:r>
    </w:p>
    <w:p w14:paraId="4A0FB710" w14:textId="77777777" w:rsidR="00104C42" w:rsidRDefault="00104C42" w:rsidP="00104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14:paraId="57EECB6F" w14:textId="76F609CF" w:rsidR="006237B5" w:rsidRDefault="00D45063" w:rsidP="00D45063">
      <w:pPr>
        <w:pStyle w:val="Default"/>
        <w:ind w:firstLine="720"/>
        <w:jc w:val="both"/>
      </w:pPr>
      <w:r w:rsidRPr="00E40C9B">
        <w:t xml:space="preserve">On June 15, 2022, DEF filed a Motion to Modify </w:t>
      </w:r>
      <w:r w:rsidR="006D43DF">
        <w:t xml:space="preserve">Rebuttal </w:t>
      </w:r>
      <w:r w:rsidRPr="00E40C9B">
        <w:t xml:space="preserve">Testimony Filing Date, specifically </w:t>
      </w:r>
      <w:r>
        <w:t xml:space="preserve">seeking </w:t>
      </w:r>
      <w:r w:rsidRPr="00E40C9B">
        <w:t>to move its rebuttal testimony filing date to July 1, 2022.</w:t>
      </w:r>
      <w:r w:rsidR="006237B5">
        <w:t xml:space="preserve"> </w:t>
      </w:r>
      <w:r w:rsidR="006237B5" w:rsidRPr="00E40C9B">
        <w:t xml:space="preserve">DEF represents that it has discussed these matters with the parties and that </w:t>
      </w:r>
      <w:r w:rsidR="00A5361C">
        <w:t>OPC</w:t>
      </w:r>
      <w:r w:rsidR="006237B5" w:rsidRPr="00E40C9B">
        <w:t xml:space="preserve"> supports the motion, while </w:t>
      </w:r>
      <w:r w:rsidR="00A5361C">
        <w:t>PCS Phosphate</w:t>
      </w:r>
      <w:r w:rsidR="006237B5" w:rsidRPr="00E40C9B">
        <w:t xml:space="preserve">, </w:t>
      </w:r>
      <w:r w:rsidR="00A5361C">
        <w:t>NUCOR</w:t>
      </w:r>
      <w:r w:rsidR="006237B5" w:rsidRPr="00E40C9B">
        <w:t>, Walmart, and FIPUG do not oppose the motion.</w:t>
      </w:r>
      <w:r w:rsidR="006237B5">
        <w:t xml:space="preserve"> </w:t>
      </w:r>
    </w:p>
    <w:p w14:paraId="7EFF4D5E" w14:textId="77777777" w:rsidR="006237B5" w:rsidRDefault="006237B5" w:rsidP="00D45063">
      <w:pPr>
        <w:pStyle w:val="Default"/>
        <w:ind w:firstLine="720"/>
        <w:jc w:val="both"/>
      </w:pPr>
    </w:p>
    <w:p w14:paraId="23480C81" w14:textId="77777777" w:rsidR="006237B5" w:rsidRDefault="006237B5" w:rsidP="006237B5">
      <w:pPr>
        <w:pStyle w:val="Default"/>
        <w:jc w:val="both"/>
        <w:rPr>
          <w:u w:val="single"/>
        </w:rPr>
      </w:pPr>
      <w:r w:rsidRPr="006237B5">
        <w:rPr>
          <w:u w:val="single"/>
        </w:rPr>
        <w:t>DEF’s Motion</w:t>
      </w:r>
      <w:r w:rsidR="00691DB9">
        <w:rPr>
          <w:u w:val="single"/>
        </w:rPr>
        <w:t xml:space="preserve"> </w:t>
      </w:r>
      <w:r w:rsidR="00F378F0">
        <w:rPr>
          <w:u w:val="single"/>
        </w:rPr>
        <w:t>t</w:t>
      </w:r>
      <w:r w:rsidR="00691DB9">
        <w:rPr>
          <w:u w:val="single"/>
        </w:rPr>
        <w:t>o Modify Rebuttal Testimony Filing Date</w:t>
      </w:r>
    </w:p>
    <w:p w14:paraId="1E14865C" w14:textId="77777777" w:rsidR="006237B5" w:rsidRPr="006237B5" w:rsidRDefault="006237B5" w:rsidP="006237B5">
      <w:pPr>
        <w:pStyle w:val="Default"/>
        <w:jc w:val="both"/>
        <w:rPr>
          <w:u w:val="single"/>
        </w:rPr>
      </w:pPr>
    </w:p>
    <w:p w14:paraId="14733491" w14:textId="28AE6DE5" w:rsidR="00D45063" w:rsidRPr="00E40C9B" w:rsidRDefault="00691DB9" w:rsidP="00D45063">
      <w:pPr>
        <w:pStyle w:val="Default"/>
        <w:ind w:firstLine="720"/>
        <w:jc w:val="both"/>
      </w:pPr>
      <w:r>
        <w:t>DEF requests that its rebuttal testimony filing date be extended</w:t>
      </w:r>
      <w:r w:rsidR="00397C58">
        <w:t xml:space="preserve"> to July 1, 2022</w:t>
      </w:r>
      <w:r w:rsidR="006D43DF">
        <w:t>,</w:t>
      </w:r>
      <w:r w:rsidR="00397C58">
        <w:t xml:space="preserve"> from </w:t>
      </w:r>
      <w:r w:rsidR="00A5361C">
        <w:t>the</w:t>
      </w:r>
      <w:r w:rsidR="00397C58">
        <w:t xml:space="preserve"> June 21, 2022</w:t>
      </w:r>
      <w:r w:rsidR="00A5361C">
        <w:t>,</w:t>
      </w:r>
      <w:r w:rsidR="00397C58">
        <w:t xml:space="preserve"> filing date.</w:t>
      </w:r>
      <w:r>
        <w:t xml:space="preserve"> </w:t>
      </w:r>
      <w:r w:rsidR="00D45063" w:rsidRPr="00E40C9B">
        <w:t xml:space="preserve">In support of its motion, DEF represents that the </w:t>
      </w:r>
      <w:r w:rsidR="005017D1">
        <w:t xml:space="preserve">pre-filed </w:t>
      </w:r>
      <w:r w:rsidR="00D45063" w:rsidRPr="00E40C9B">
        <w:t xml:space="preserve">expert testimony of two of OPC’s expert witnesses </w:t>
      </w:r>
      <w:r w:rsidR="005017D1">
        <w:t xml:space="preserve">is in </w:t>
      </w:r>
      <w:r w:rsidR="00D45063" w:rsidRPr="00E40C9B">
        <w:t xml:space="preserve">conflict with the 2021 Settlement Agreement (SA), </w:t>
      </w:r>
      <w:r w:rsidR="005017D1">
        <w:t>approved by Ord</w:t>
      </w:r>
      <w:r w:rsidR="005017D1" w:rsidRPr="005017D1">
        <w:t xml:space="preserve">er No. </w:t>
      </w:r>
      <w:r w:rsidR="005017D1" w:rsidRPr="005017D1">
        <w:rPr>
          <w:color w:val="333333"/>
        </w:rPr>
        <w:t>PSC-2021-0202-AS-E</w:t>
      </w:r>
      <w:r w:rsidR="005017D1">
        <w:rPr>
          <w:color w:val="333333"/>
        </w:rPr>
        <w:t xml:space="preserve">I, </w:t>
      </w:r>
      <w:r w:rsidR="00490570">
        <w:rPr>
          <w:color w:val="333333"/>
        </w:rPr>
        <w:t>as amended by PSC-Order-2021</w:t>
      </w:r>
      <w:r w:rsidR="00B057BC">
        <w:rPr>
          <w:color w:val="333333"/>
        </w:rPr>
        <w:t>-</w:t>
      </w:r>
      <w:r w:rsidR="00C227DC">
        <w:rPr>
          <w:color w:val="333333"/>
        </w:rPr>
        <w:t>0</w:t>
      </w:r>
      <w:r w:rsidR="00490570">
        <w:rPr>
          <w:color w:val="333333"/>
        </w:rPr>
        <w:t>202</w:t>
      </w:r>
      <w:r w:rsidR="00B057BC">
        <w:rPr>
          <w:color w:val="333333"/>
        </w:rPr>
        <w:t>A</w:t>
      </w:r>
      <w:r w:rsidR="00490570">
        <w:rPr>
          <w:color w:val="333333"/>
        </w:rPr>
        <w:t>-</w:t>
      </w:r>
      <w:r w:rsidR="00490570">
        <w:rPr>
          <w:color w:val="333333"/>
        </w:rPr>
        <w:lastRenderedPageBreak/>
        <w:t xml:space="preserve">AS-EI, </w:t>
      </w:r>
      <w:r w:rsidR="00D45063" w:rsidRPr="00E40C9B">
        <w:t xml:space="preserve">in Docket No. 20210016-EI, in which several parties, including OPC, were signatories. DEF asserts that the conflicting language is contained in paragraph 4 of the SA, which provides: “The Parties agree that DEF has properly removed all costs associated with the Storm Protection Plan (“SPP”) from the costs included in DEF’s MFRs, attached hereto as Exhibit 1, as all such costs spent on approved SPP programs are properly recoverable through the SPP Cost Recovery Clause (“SPPCRC”).” </w:t>
      </w:r>
    </w:p>
    <w:p w14:paraId="22B45A8C" w14:textId="77777777" w:rsidR="00D45063" w:rsidRPr="00E40C9B" w:rsidRDefault="00D45063" w:rsidP="00D45063">
      <w:pPr>
        <w:pStyle w:val="Default"/>
        <w:ind w:firstLine="720"/>
        <w:jc w:val="both"/>
      </w:pPr>
    </w:p>
    <w:p w14:paraId="7C02655A" w14:textId="77777777" w:rsidR="00D45063" w:rsidRPr="00E40C9B" w:rsidRDefault="00D45063" w:rsidP="00D45063">
      <w:pPr>
        <w:pStyle w:val="Default"/>
        <w:ind w:firstLine="720"/>
        <w:jc w:val="both"/>
      </w:pPr>
      <w:r w:rsidRPr="00E40C9B">
        <w:t xml:space="preserve">DEF </w:t>
      </w:r>
      <w:r>
        <w:t>requests</w:t>
      </w:r>
      <w:r w:rsidRPr="00E40C9B">
        <w:t xml:space="preserve"> additional time to explore the matters related to the motion with OPC and seeks to resolve the issues related to this conflict prior to DEF’s filing of its rebuttal testimony. </w:t>
      </w:r>
    </w:p>
    <w:p w14:paraId="02F72C41" w14:textId="77777777" w:rsidR="006237B5" w:rsidRDefault="006237B5" w:rsidP="006237B5">
      <w:pPr>
        <w:pStyle w:val="Default"/>
        <w:jc w:val="both"/>
      </w:pPr>
    </w:p>
    <w:p w14:paraId="5F696525" w14:textId="77777777" w:rsidR="006237B5" w:rsidRPr="006237B5" w:rsidRDefault="006237B5" w:rsidP="006237B5">
      <w:pPr>
        <w:pStyle w:val="Default"/>
        <w:jc w:val="both"/>
        <w:rPr>
          <w:u w:val="single"/>
        </w:rPr>
      </w:pPr>
      <w:r w:rsidRPr="006237B5">
        <w:rPr>
          <w:u w:val="single"/>
        </w:rPr>
        <w:t>Analysis and Ruling</w:t>
      </w:r>
    </w:p>
    <w:p w14:paraId="695A2ABC" w14:textId="77777777" w:rsidR="006237B5" w:rsidRPr="00E40C9B" w:rsidRDefault="006237B5" w:rsidP="006237B5">
      <w:pPr>
        <w:pStyle w:val="Default"/>
        <w:jc w:val="both"/>
      </w:pPr>
    </w:p>
    <w:p w14:paraId="43266D86" w14:textId="77777777" w:rsidR="00D4559E" w:rsidRDefault="00600648" w:rsidP="00D4559E">
      <w:pPr>
        <w:ind w:firstLine="720"/>
        <w:jc w:val="both"/>
        <w:rPr>
          <w:color w:val="000000"/>
        </w:rPr>
      </w:pPr>
      <w:r>
        <w:rPr>
          <w:color w:val="000000"/>
        </w:rPr>
        <w:t>Pursuant to</w:t>
      </w:r>
      <w:r w:rsidR="00D4559E">
        <w:rPr>
          <w:color w:val="000000"/>
        </w:rPr>
        <w:t xml:space="preserve"> Rule 28-106.211, </w:t>
      </w:r>
      <w:r w:rsidR="00D4559E">
        <w:t>Florida Administrative Code</w:t>
      </w:r>
      <w:r w:rsidR="00D4559E">
        <w:rPr>
          <w:color w:val="000000"/>
        </w:rPr>
        <w:t xml:space="preserve"> (F.A.C.),</w:t>
      </w:r>
      <w:r>
        <w:rPr>
          <w:color w:val="000000"/>
        </w:rPr>
        <w:t xml:space="preserve"> the Prehearing Officer</w:t>
      </w:r>
      <w:r w:rsidR="00D4559E">
        <w:rPr>
          <w:color w:val="000000"/>
        </w:rPr>
        <w:t xml:space="preserve"> before whom a case is pending may issue any orders necessary to effectuate discovery, prevent delay, and promote the just, speedy, and inexpensive determination of all aspects of the case</w:t>
      </w:r>
      <w:r>
        <w:rPr>
          <w:color w:val="000000"/>
        </w:rPr>
        <w:t>.</w:t>
      </w:r>
      <w:r w:rsidR="00D4559E">
        <w:rPr>
          <w:color w:val="000000"/>
        </w:rPr>
        <w:t xml:space="preserve"> </w:t>
      </w:r>
      <w:r>
        <w:rPr>
          <w:color w:val="000000"/>
        </w:rPr>
        <w:t>Additionally</w:t>
      </w:r>
      <w:r w:rsidR="00376D21">
        <w:rPr>
          <w:color w:val="000000"/>
        </w:rPr>
        <w:t>,</w:t>
      </w:r>
      <w:r>
        <w:rPr>
          <w:color w:val="000000"/>
        </w:rPr>
        <w:t xml:space="preserve"> </w:t>
      </w:r>
      <w:r w:rsidR="00D4559E">
        <w:rPr>
          <w:color w:val="000000"/>
        </w:rPr>
        <w:t xml:space="preserve">Rule 28-106.204, F.A.C., provides that the presiding officer shall conduct such proceedings and issue such orders as are deemed necessary to dispose of issues raised by the motion. </w:t>
      </w:r>
    </w:p>
    <w:p w14:paraId="344497DB" w14:textId="77777777" w:rsidR="00D4559E" w:rsidRDefault="00D4559E" w:rsidP="00D4559E">
      <w:pPr>
        <w:ind w:firstLine="720"/>
        <w:jc w:val="both"/>
        <w:rPr>
          <w:color w:val="000000"/>
        </w:rPr>
      </w:pPr>
    </w:p>
    <w:p w14:paraId="46826ECC" w14:textId="77042002" w:rsidR="00D45063" w:rsidRDefault="00D4559E" w:rsidP="00D45063">
      <w:pPr>
        <w:pStyle w:val="Default"/>
        <w:ind w:firstLine="720"/>
        <w:jc w:val="both"/>
      </w:pPr>
      <w:r>
        <w:t>After reviewing the motion,</w:t>
      </w:r>
      <w:r w:rsidR="00600648">
        <w:t xml:space="preserve"> </w:t>
      </w:r>
      <w:r w:rsidR="00397C58">
        <w:t>it appears that allowing DEF more</w:t>
      </w:r>
      <w:r w:rsidR="00600648">
        <w:t xml:space="preserve"> time</w:t>
      </w:r>
      <w:r w:rsidR="00397C58">
        <w:t xml:space="preserve"> to file its rebuttal testimony will allow for the opportunity for additional discussion and</w:t>
      </w:r>
      <w:r w:rsidR="00A5361C">
        <w:t xml:space="preserve"> to</w:t>
      </w:r>
      <w:r w:rsidR="00397C58">
        <w:t xml:space="preserve"> promote </w:t>
      </w:r>
      <w:r w:rsidR="00A5361C">
        <w:t>clarification of the a</w:t>
      </w:r>
      <w:r w:rsidR="00CD2D9C">
        <w:t>lleged</w:t>
      </w:r>
      <w:r w:rsidR="00A5361C">
        <w:t xml:space="preserve"> conflict between OPC and DEF</w:t>
      </w:r>
      <w:r w:rsidR="00397C58">
        <w:t xml:space="preserve">. </w:t>
      </w:r>
      <w:r>
        <w:t xml:space="preserve">DEF filed its motion for extension of time prior to the expiration of the deadline and provided good cause for the request in accordance with Rule 28-106.204(4), (F.A.C.). </w:t>
      </w:r>
      <w:r w:rsidR="00D45063" w:rsidRPr="00E40C9B">
        <w:t xml:space="preserve">There is no opposition to this Motion and DEF has set forth sufficient facts upon which to grant an extension. </w:t>
      </w:r>
      <w:r w:rsidR="00397C58">
        <w:t xml:space="preserve">Accordingly, </w:t>
      </w:r>
      <w:r w:rsidR="006D43DF">
        <w:t>DEF’s</w:t>
      </w:r>
      <w:r w:rsidR="00D45063">
        <w:t xml:space="preserve"> </w:t>
      </w:r>
      <w:r w:rsidR="00D45063" w:rsidRPr="00E40C9B">
        <w:t>Motion to Modify Testimony Filing Date</w:t>
      </w:r>
      <w:r w:rsidR="00D45063" w:rsidRPr="00166C38">
        <w:t xml:space="preserve"> is </w:t>
      </w:r>
      <w:r w:rsidR="00D45063">
        <w:t xml:space="preserve">hereby </w:t>
      </w:r>
      <w:r w:rsidR="00D45063" w:rsidRPr="00166C38">
        <w:t>granted.</w:t>
      </w:r>
      <w:r w:rsidR="00D45063">
        <w:t xml:space="preserve"> </w:t>
      </w:r>
    </w:p>
    <w:p w14:paraId="14E15178" w14:textId="77777777" w:rsidR="00D4559E" w:rsidRDefault="00D4559E" w:rsidP="006237B5">
      <w:pPr>
        <w:ind w:firstLine="720"/>
        <w:jc w:val="both"/>
      </w:pPr>
    </w:p>
    <w:p w14:paraId="22FF1567" w14:textId="77777777" w:rsidR="00D45063" w:rsidRDefault="00D45063" w:rsidP="00D45063">
      <w:pPr>
        <w:pStyle w:val="Default"/>
        <w:ind w:firstLine="720"/>
        <w:jc w:val="both"/>
      </w:pPr>
      <w:r>
        <w:t>A</w:t>
      </w:r>
      <w:r w:rsidR="00376D21">
        <w:t>t</w:t>
      </w:r>
      <w:r>
        <w:t xml:space="preserve"> </w:t>
      </w:r>
      <w:r w:rsidR="00397C58">
        <w:t>this time</w:t>
      </w:r>
      <w:r>
        <w:t xml:space="preserve">, Section IX of the </w:t>
      </w:r>
      <w:r w:rsidR="00D25E37">
        <w:t>Order Establishing Procedure (</w:t>
      </w:r>
      <w:r>
        <w:t>OEP</w:t>
      </w:r>
      <w:r w:rsidR="00D25E37">
        <w:t>)</w:t>
      </w:r>
      <w:r>
        <w:t xml:space="preserve"> shall be modified for DEF only, and the </w:t>
      </w:r>
      <w:r w:rsidR="00D4559E">
        <w:t xml:space="preserve">new due date for </w:t>
      </w:r>
      <w:r w:rsidR="00CD2D9C">
        <w:t>DEF to file</w:t>
      </w:r>
      <w:r w:rsidR="00D4559E">
        <w:t xml:space="preserve"> rebuttal testimony</w:t>
      </w:r>
      <w:r>
        <w:t xml:space="preserve"> is July 1, 2022. </w:t>
      </w:r>
      <w:r w:rsidR="00691DB9">
        <w:t xml:space="preserve">However, </w:t>
      </w:r>
      <w:r w:rsidR="00600648">
        <w:t>in recognition of</w:t>
      </w:r>
      <w:r w:rsidR="00CE7DFF">
        <w:t xml:space="preserve"> the reduced number of days for the parties to participate in</w:t>
      </w:r>
      <w:r w:rsidR="00397C58">
        <w:t xml:space="preserve"> discovery</w:t>
      </w:r>
      <w:r w:rsidR="00600648">
        <w:t xml:space="preserve"> based </w:t>
      </w:r>
      <w:r w:rsidR="00397C58">
        <w:t>on DEF’s rebuttal testimony,</w:t>
      </w:r>
      <w:r w:rsidR="00691DB9">
        <w:t xml:space="preserve"> </w:t>
      </w:r>
      <w:r w:rsidRPr="00E40C9B">
        <w:t>the turnaround time</w:t>
      </w:r>
      <w:r>
        <w:t xml:space="preserve"> for DEF</w:t>
      </w:r>
      <w:r w:rsidRPr="00E40C9B">
        <w:t xml:space="preserve"> to provide responses to discovery based upon </w:t>
      </w:r>
      <w:r w:rsidR="00CD2D9C">
        <w:t xml:space="preserve">its </w:t>
      </w:r>
      <w:r w:rsidRPr="00E40C9B">
        <w:t xml:space="preserve">rebuttal testimony is hereby reduced from 10 days, as provided in the current OEP, to 7 days. All other dates and provisions of the initial OEP are affirmed and this order only </w:t>
      </w:r>
      <w:r w:rsidR="00A5361C">
        <w:t>applies to</w:t>
      </w:r>
      <w:r w:rsidRPr="00E40C9B">
        <w:t xml:space="preserve"> the DEF SPP docket</w:t>
      </w:r>
      <w:r>
        <w:t xml:space="preserve"> (Docket No. 20220050-EI)</w:t>
      </w:r>
      <w:r w:rsidRPr="00E40C9B">
        <w:t>.</w:t>
      </w:r>
    </w:p>
    <w:p w14:paraId="2EE4DBB9" w14:textId="77777777" w:rsidR="00D45063" w:rsidRDefault="00D45063" w:rsidP="00D45063">
      <w:pPr>
        <w:pStyle w:val="OrderBody"/>
      </w:pPr>
    </w:p>
    <w:p w14:paraId="1CCE10BD" w14:textId="77777777" w:rsidR="00D45063" w:rsidRPr="00166C38" w:rsidRDefault="00D45063" w:rsidP="00D45063">
      <w:pPr>
        <w:pStyle w:val="OrderBody"/>
        <w:ind w:firstLine="720"/>
      </w:pPr>
      <w:r w:rsidRPr="00166C38">
        <w:t>Based on the foregoing, it is</w:t>
      </w:r>
    </w:p>
    <w:p w14:paraId="2864F5E8" w14:textId="77777777" w:rsidR="00D45063" w:rsidRPr="00166C38" w:rsidRDefault="00D45063" w:rsidP="00D45063">
      <w:pPr>
        <w:pStyle w:val="OrderBody"/>
      </w:pPr>
    </w:p>
    <w:p w14:paraId="443A978D" w14:textId="3CDEA449" w:rsidR="00A5361C" w:rsidRDefault="00D45063" w:rsidP="00D45063">
      <w:pPr>
        <w:pStyle w:val="OrderBody"/>
      </w:pPr>
      <w:r w:rsidRPr="00166C38">
        <w:tab/>
        <w:t xml:space="preserve">ORDERED by </w:t>
      </w:r>
      <w:r>
        <w:t>Commissioner Mike La Rosa</w:t>
      </w:r>
      <w:r w:rsidRPr="00166C38">
        <w:t xml:space="preserve">, as </w:t>
      </w:r>
      <w:r>
        <w:t>Prehearing</w:t>
      </w:r>
      <w:r w:rsidRPr="00166C38">
        <w:t xml:space="preserve"> Officer, that the </w:t>
      </w:r>
      <w:r>
        <w:t xml:space="preserve">Duke Energy Florida’s </w:t>
      </w:r>
      <w:r w:rsidRPr="00E40C9B">
        <w:t xml:space="preserve">Motion to Modify </w:t>
      </w:r>
      <w:r w:rsidR="00D25E37">
        <w:t>Rebuttal</w:t>
      </w:r>
      <w:r w:rsidR="00231C5E">
        <w:t xml:space="preserve"> </w:t>
      </w:r>
      <w:r w:rsidRPr="00E40C9B">
        <w:t>Testimony Filing Date</w:t>
      </w:r>
      <w:r w:rsidRPr="00166C38">
        <w:t xml:space="preserve"> is granted</w:t>
      </w:r>
      <w:r w:rsidR="00A5361C">
        <w:t>. It is further</w:t>
      </w:r>
    </w:p>
    <w:p w14:paraId="16D4E700" w14:textId="77777777" w:rsidR="00A5361C" w:rsidRDefault="00A5361C" w:rsidP="00D45063">
      <w:pPr>
        <w:pStyle w:val="OrderBody"/>
      </w:pPr>
    </w:p>
    <w:p w14:paraId="00AE9843" w14:textId="77777777" w:rsidR="00D45063" w:rsidRPr="00166C38" w:rsidRDefault="00A5361C" w:rsidP="00376D21">
      <w:pPr>
        <w:pStyle w:val="OrderBody"/>
        <w:ind w:firstLine="720"/>
      </w:pPr>
      <w:r>
        <w:t>ORDERED that Duke Energy Florida’s Rebuttal Testimony due date is July 1, 2022</w:t>
      </w:r>
      <w:r w:rsidR="00D45063" w:rsidRPr="00166C38">
        <w:t>. It is further</w:t>
      </w:r>
    </w:p>
    <w:p w14:paraId="4513EABA" w14:textId="77777777" w:rsidR="00D45063" w:rsidRDefault="00D45063" w:rsidP="00D45063">
      <w:pPr>
        <w:pStyle w:val="OrderBody"/>
      </w:pPr>
    </w:p>
    <w:p w14:paraId="2820B7BE" w14:textId="77777777" w:rsidR="00D45063" w:rsidRDefault="00D45063" w:rsidP="00D45063">
      <w:pPr>
        <w:pStyle w:val="OrderBody"/>
      </w:pPr>
      <w:r>
        <w:tab/>
      </w:r>
      <w:r w:rsidRPr="00166C38">
        <w:t xml:space="preserve">ORDERED that the </w:t>
      </w:r>
      <w:r w:rsidRPr="00E40C9B">
        <w:t xml:space="preserve">turnaround time </w:t>
      </w:r>
      <w:r w:rsidR="00CD2D9C">
        <w:t xml:space="preserve">for Duke Energy Florida </w:t>
      </w:r>
      <w:r w:rsidRPr="00E40C9B">
        <w:t xml:space="preserve">to provide responses to discovery based upon </w:t>
      </w:r>
      <w:r w:rsidR="00CD2D9C">
        <w:t xml:space="preserve">its </w:t>
      </w:r>
      <w:r w:rsidRPr="00E40C9B">
        <w:t>rebuttal testimony is hereby reduced to 7 days.</w:t>
      </w:r>
      <w:r>
        <w:t xml:space="preserve"> It is further</w:t>
      </w:r>
    </w:p>
    <w:p w14:paraId="4878BEE3" w14:textId="02BDF599" w:rsidR="00D45063" w:rsidRDefault="00D45063" w:rsidP="00D45063">
      <w:pPr>
        <w:pStyle w:val="OrderBody"/>
      </w:pPr>
      <w:r>
        <w:tab/>
        <w:t xml:space="preserve">ORDERED that Order No. </w:t>
      </w:r>
      <w:r w:rsidRPr="00E40C9B">
        <w:t>PSC-2022-0119</w:t>
      </w:r>
      <w:r w:rsidR="00561F76">
        <w:t>-PCO</w:t>
      </w:r>
      <w:r w:rsidRPr="00E40C9B">
        <w:t xml:space="preserve">-EI, </w:t>
      </w:r>
      <w:r>
        <w:t>is reaffirmed to the extent it is not inconsistent with this Order.</w:t>
      </w:r>
    </w:p>
    <w:p w14:paraId="5B3FDBFC" w14:textId="77777777" w:rsidR="00D45063" w:rsidRDefault="00D45063" w:rsidP="00D45063">
      <w:pPr>
        <w:pStyle w:val="OrderBody"/>
      </w:pPr>
    </w:p>
    <w:p w14:paraId="32367A41" w14:textId="67A8FCF5" w:rsidR="00D45063" w:rsidRDefault="00D45063" w:rsidP="00D45063">
      <w:pPr>
        <w:pStyle w:val="OrderBody"/>
        <w:keepNext/>
        <w:keepLines/>
      </w:pPr>
      <w:r>
        <w:tab/>
        <w:t xml:space="preserve">By ORDER of Commissioner Mike La Rosa, as Prehearing Officer, this </w:t>
      </w:r>
      <w:bookmarkStart w:id="7" w:name="replaceDate"/>
      <w:bookmarkEnd w:id="7"/>
      <w:r w:rsidR="005E2E8A">
        <w:rPr>
          <w:u w:val="single"/>
        </w:rPr>
        <w:t>24th</w:t>
      </w:r>
      <w:r w:rsidR="005E2E8A">
        <w:t xml:space="preserve"> day of </w:t>
      </w:r>
      <w:r w:rsidR="005E2E8A">
        <w:rPr>
          <w:u w:val="single"/>
        </w:rPr>
        <w:t>June</w:t>
      </w:r>
      <w:r w:rsidR="005E2E8A">
        <w:t xml:space="preserve">, </w:t>
      </w:r>
      <w:r w:rsidR="005E2E8A">
        <w:rPr>
          <w:u w:val="single"/>
        </w:rPr>
        <w:t>2022</w:t>
      </w:r>
      <w:r w:rsidR="005E2E8A">
        <w:t>.</w:t>
      </w:r>
    </w:p>
    <w:p w14:paraId="58FD4108" w14:textId="77777777" w:rsidR="005E2E8A" w:rsidRPr="005E2E8A" w:rsidRDefault="005E2E8A" w:rsidP="00D4506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45063" w14:paraId="59D89699" w14:textId="77777777" w:rsidTr="00D45063">
        <w:tc>
          <w:tcPr>
            <w:tcW w:w="720" w:type="dxa"/>
            <w:shd w:val="clear" w:color="auto" w:fill="auto"/>
          </w:tcPr>
          <w:p w14:paraId="6EFCDA9D" w14:textId="77777777" w:rsidR="00D45063" w:rsidRDefault="00D45063" w:rsidP="00D45063">
            <w:pPr>
              <w:pStyle w:val="OrderBody"/>
              <w:keepNext/>
              <w:keepLines/>
            </w:pPr>
            <w:bookmarkStart w:id="8" w:name="bkmrkSignature" w:colFirst="0" w:colLast="0"/>
          </w:p>
        </w:tc>
        <w:tc>
          <w:tcPr>
            <w:tcW w:w="4320" w:type="dxa"/>
            <w:tcBorders>
              <w:bottom w:val="single" w:sz="4" w:space="0" w:color="auto"/>
            </w:tcBorders>
            <w:shd w:val="clear" w:color="auto" w:fill="auto"/>
          </w:tcPr>
          <w:p w14:paraId="755BB26B" w14:textId="2B98A6C0" w:rsidR="00D45063" w:rsidRDefault="00561F76" w:rsidP="00D45063">
            <w:pPr>
              <w:pStyle w:val="OrderBody"/>
              <w:keepNext/>
              <w:keepLines/>
            </w:pPr>
            <w:r>
              <w:t>/s/ Mike La Rosa</w:t>
            </w:r>
            <w:bookmarkStart w:id="9" w:name="_GoBack"/>
            <w:bookmarkEnd w:id="9"/>
          </w:p>
        </w:tc>
      </w:tr>
      <w:bookmarkEnd w:id="8"/>
      <w:tr w:rsidR="00D45063" w14:paraId="0AB7C633" w14:textId="77777777" w:rsidTr="00D45063">
        <w:tc>
          <w:tcPr>
            <w:tcW w:w="720" w:type="dxa"/>
            <w:shd w:val="clear" w:color="auto" w:fill="auto"/>
          </w:tcPr>
          <w:p w14:paraId="651662CA" w14:textId="77777777" w:rsidR="00D45063" w:rsidRDefault="00D45063" w:rsidP="00D45063">
            <w:pPr>
              <w:pStyle w:val="OrderBody"/>
              <w:keepNext/>
              <w:keepLines/>
            </w:pPr>
          </w:p>
        </w:tc>
        <w:tc>
          <w:tcPr>
            <w:tcW w:w="4320" w:type="dxa"/>
            <w:tcBorders>
              <w:top w:val="single" w:sz="4" w:space="0" w:color="auto"/>
            </w:tcBorders>
            <w:shd w:val="clear" w:color="auto" w:fill="auto"/>
          </w:tcPr>
          <w:p w14:paraId="26D8DF36" w14:textId="77777777" w:rsidR="00D45063" w:rsidRDefault="00D45063" w:rsidP="00D45063">
            <w:pPr>
              <w:pStyle w:val="OrderBody"/>
              <w:keepNext/>
              <w:keepLines/>
            </w:pPr>
            <w:r>
              <w:t>Mike La Rosa</w:t>
            </w:r>
          </w:p>
          <w:p w14:paraId="68F7EFCF" w14:textId="77777777" w:rsidR="00D45063" w:rsidRDefault="00D45063" w:rsidP="00D45063">
            <w:pPr>
              <w:pStyle w:val="OrderBody"/>
              <w:keepNext/>
              <w:keepLines/>
            </w:pPr>
            <w:r>
              <w:t>Commissioner and Prehearing Officer</w:t>
            </w:r>
          </w:p>
        </w:tc>
      </w:tr>
    </w:tbl>
    <w:p w14:paraId="473B3884" w14:textId="77777777" w:rsidR="00D45063" w:rsidRDefault="00D45063" w:rsidP="00D45063">
      <w:pPr>
        <w:pStyle w:val="OrderSigInfo"/>
        <w:keepNext/>
        <w:keepLines/>
      </w:pPr>
      <w:r>
        <w:t>Florida Public Service Commission</w:t>
      </w:r>
    </w:p>
    <w:p w14:paraId="45F3FD50" w14:textId="77777777" w:rsidR="00D45063" w:rsidRDefault="00D45063" w:rsidP="00D45063">
      <w:pPr>
        <w:pStyle w:val="OrderSigInfo"/>
        <w:keepNext/>
        <w:keepLines/>
      </w:pPr>
      <w:r>
        <w:t>2540 Shumard Oak Boulevard</w:t>
      </w:r>
    </w:p>
    <w:p w14:paraId="3C49CC57" w14:textId="77777777" w:rsidR="00D45063" w:rsidRDefault="00D45063" w:rsidP="00D45063">
      <w:pPr>
        <w:pStyle w:val="OrderSigInfo"/>
        <w:keepNext/>
        <w:keepLines/>
      </w:pPr>
      <w:r>
        <w:t>Tallahassee, Florida 32399</w:t>
      </w:r>
    </w:p>
    <w:p w14:paraId="7630FD1E" w14:textId="77777777" w:rsidR="00D45063" w:rsidRDefault="00D45063" w:rsidP="00D45063">
      <w:pPr>
        <w:pStyle w:val="OrderSigInfo"/>
        <w:keepNext/>
        <w:keepLines/>
      </w:pPr>
      <w:r>
        <w:t>(850) 413</w:t>
      </w:r>
      <w:r>
        <w:noBreakHyphen/>
        <w:t>6770</w:t>
      </w:r>
    </w:p>
    <w:p w14:paraId="506B6E18" w14:textId="77777777" w:rsidR="00D45063" w:rsidRDefault="00D45063" w:rsidP="00D45063">
      <w:pPr>
        <w:pStyle w:val="OrderSigInfo"/>
        <w:keepNext/>
        <w:keepLines/>
      </w:pPr>
      <w:r>
        <w:t>www.floridapsc.com</w:t>
      </w:r>
    </w:p>
    <w:p w14:paraId="446B74D9" w14:textId="77777777" w:rsidR="00D45063" w:rsidRDefault="00D45063" w:rsidP="00D45063">
      <w:pPr>
        <w:pStyle w:val="OrderSigInfo"/>
        <w:keepNext/>
        <w:keepLines/>
      </w:pPr>
    </w:p>
    <w:p w14:paraId="696E7269" w14:textId="77777777" w:rsidR="00D45063" w:rsidRDefault="00D45063" w:rsidP="00D45063">
      <w:pPr>
        <w:pStyle w:val="OrderSigInfo"/>
        <w:keepNext/>
        <w:keepLines/>
      </w:pPr>
      <w:r>
        <w:t>Copies furnished:  A copy of this document is provided to the parties of record at the time of issuance and, if applicable, interested persons.</w:t>
      </w:r>
    </w:p>
    <w:p w14:paraId="4D280E38" w14:textId="77777777" w:rsidR="00E60D23" w:rsidRDefault="00E60D23" w:rsidP="00D45063">
      <w:pPr>
        <w:pStyle w:val="OrderBody"/>
      </w:pPr>
    </w:p>
    <w:p w14:paraId="14B65FA6" w14:textId="77777777" w:rsidR="00D45063" w:rsidRDefault="00D45063" w:rsidP="00D45063">
      <w:pPr>
        <w:pStyle w:val="OrderBody"/>
      </w:pPr>
      <w:r>
        <w:t>WLT</w:t>
      </w:r>
    </w:p>
    <w:p w14:paraId="33802CF6" w14:textId="7EF609BE" w:rsidR="00E60D23" w:rsidRDefault="00E60D23" w:rsidP="00D45063">
      <w:pPr>
        <w:pStyle w:val="OrderBody"/>
      </w:pPr>
    </w:p>
    <w:p w14:paraId="3FE0B23D" w14:textId="77777777" w:rsidR="005B2A6B" w:rsidRDefault="005B2A6B" w:rsidP="00D45063">
      <w:pPr>
        <w:pStyle w:val="OrderBody"/>
      </w:pPr>
    </w:p>
    <w:p w14:paraId="5749A20C" w14:textId="77777777" w:rsidR="00BE1754" w:rsidRDefault="00BE1754" w:rsidP="00D45063">
      <w:pPr>
        <w:pStyle w:val="OrderBody"/>
      </w:pPr>
    </w:p>
    <w:p w14:paraId="3EDA878B" w14:textId="77777777" w:rsidR="00D45063" w:rsidRDefault="00D45063" w:rsidP="00D45063">
      <w:pPr>
        <w:pStyle w:val="CenterUnderline"/>
      </w:pPr>
      <w:r>
        <w:t>NOTICE OF FURTHER PROCEEDINGS OR JUDICIAL REVIEW</w:t>
      </w:r>
    </w:p>
    <w:p w14:paraId="608EA986" w14:textId="77777777" w:rsidR="00D45063" w:rsidRDefault="00D45063" w:rsidP="00D45063">
      <w:pPr>
        <w:pStyle w:val="CenterUnderline"/>
      </w:pPr>
    </w:p>
    <w:p w14:paraId="5C0A6533" w14:textId="77777777" w:rsidR="00D45063" w:rsidRDefault="00D45063" w:rsidP="00D450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5D94878" w14:textId="77777777" w:rsidR="00D45063" w:rsidRDefault="00D45063" w:rsidP="00D45063">
      <w:pPr>
        <w:pStyle w:val="OrderBody"/>
      </w:pPr>
    </w:p>
    <w:p w14:paraId="4BBDEF7F" w14:textId="77777777" w:rsidR="00D45063" w:rsidRDefault="00D45063" w:rsidP="00D45063">
      <w:pPr>
        <w:pStyle w:val="OrderBody"/>
      </w:pPr>
      <w:r>
        <w:tab/>
        <w:t>Mediation may be available on a case-by-case basis.  If mediation is conducted, it does not affect a substantially interested person's right to a hearing.</w:t>
      </w:r>
    </w:p>
    <w:p w14:paraId="5099B50D" w14:textId="77777777" w:rsidR="00D45063" w:rsidRDefault="00D45063" w:rsidP="00D45063">
      <w:pPr>
        <w:pStyle w:val="OrderBody"/>
      </w:pPr>
    </w:p>
    <w:p w14:paraId="33C38C5D" w14:textId="77777777" w:rsidR="00D45063" w:rsidRDefault="00D45063" w:rsidP="00D450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FECA10D"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FEC8A" w14:textId="77777777" w:rsidR="00D45063" w:rsidRDefault="00D45063">
      <w:r>
        <w:separator/>
      </w:r>
    </w:p>
  </w:endnote>
  <w:endnote w:type="continuationSeparator" w:id="0">
    <w:p w14:paraId="5E0AC9E2" w14:textId="77777777" w:rsidR="00D45063" w:rsidRDefault="00D4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323E" w14:textId="77777777" w:rsidR="00FA6EFD" w:rsidRDefault="00FA6EFD">
    <w:pPr>
      <w:pStyle w:val="Footer"/>
    </w:pPr>
  </w:p>
  <w:p w14:paraId="32A83E0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FEB5" w14:textId="77777777" w:rsidR="00D45063" w:rsidRDefault="00D45063">
      <w:r>
        <w:separator/>
      </w:r>
    </w:p>
  </w:footnote>
  <w:footnote w:type="continuationSeparator" w:id="0">
    <w:p w14:paraId="1F5042D2" w14:textId="77777777" w:rsidR="00D45063" w:rsidRDefault="00D4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FB06" w14:textId="46E07D7F" w:rsidR="00FA6EFD" w:rsidRDefault="00FA6EFD">
    <w:pPr>
      <w:pStyle w:val="OrderHeader"/>
    </w:pPr>
    <w:r>
      <w:t xml:space="preserve">ORDER NO. </w:t>
    </w:r>
    <w:r w:rsidR="00561F76">
      <w:fldChar w:fldCharType="begin"/>
    </w:r>
    <w:r w:rsidR="00561F76">
      <w:instrText xml:space="preserve"> REF OrderNo0226 </w:instrText>
    </w:r>
    <w:r w:rsidR="00561F76">
      <w:fldChar w:fldCharType="separate"/>
    </w:r>
    <w:r w:rsidR="00561F76">
      <w:t>PSC-2022-0226-PCO-EI</w:t>
    </w:r>
    <w:r w:rsidR="00561F76">
      <w:fldChar w:fldCharType="end"/>
    </w:r>
  </w:p>
  <w:p w14:paraId="4DD9D1DF" w14:textId="77777777" w:rsidR="00FA6EFD" w:rsidRDefault="00D45063">
    <w:pPr>
      <w:pStyle w:val="OrderHeader"/>
    </w:pPr>
    <w:bookmarkStart w:id="10" w:name="HeaderDocketNo"/>
    <w:bookmarkEnd w:id="10"/>
    <w:r>
      <w:t>DOCKET NOS. 20220048-EI, 20220049-EI, 20220050-EI, 20220051-EI</w:t>
    </w:r>
  </w:p>
  <w:p w14:paraId="385536CC" w14:textId="19B153F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1F76">
      <w:rPr>
        <w:rStyle w:val="PageNumber"/>
        <w:noProof/>
      </w:rPr>
      <w:t>3</w:t>
    </w:r>
    <w:r>
      <w:rPr>
        <w:rStyle w:val="PageNumber"/>
      </w:rPr>
      <w:fldChar w:fldCharType="end"/>
    </w:r>
  </w:p>
  <w:p w14:paraId="3824015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20220049-EI, 20220050-EI, 20220051-EI"/>
  </w:docVars>
  <w:rsids>
    <w:rsidRoot w:val="00D450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42"/>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2FE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1C5E"/>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6D21"/>
    <w:rsid w:val="00382C6A"/>
    <w:rsid w:val="003875A9"/>
    <w:rsid w:val="00387BDE"/>
    <w:rsid w:val="00390DD8"/>
    <w:rsid w:val="00394DC6"/>
    <w:rsid w:val="00397C3E"/>
    <w:rsid w:val="00397C58"/>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057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17D1"/>
    <w:rsid w:val="00514B1F"/>
    <w:rsid w:val="00523C5C"/>
    <w:rsid w:val="00524884"/>
    <w:rsid w:val="00525E93"/>
    <w:rsid w:val="0052671D"/>
    <w:rsid w:val="005300C0"/>
    <w:rsid w:val="00533EF6"/>
    <w:rsid w:val="00540E6B"/>
    <w:rsid w:val="0054109E"/>
    <w:rsid w:val="0055595D"/>
    <w:rsid w:val="00556A10"/>
    <w:rsid w:val="00557F50"/>
    <w:rsid w:val="00561F76"/>
    <w:rsid w:val="00571D3D"/>
    <w:rsid w:val="0058264B"/>
    <w:rsid w:val="00586368"/>
    <w:rsid w:val="005868AA"/>
    <w:rsid w:val="00590845"/>
    <w:rsid w:val="005963C2"/>
    <w:rsid w:val="005A0D69"/>
    <w:rsid w:val="005A31F4"/>
    <w:rsid w:val="005A73EA"/>
    <w:rsid w:val="005B2A6B"/>
    <w:rsid w:val="005B45F7"/>
    <w:rsid w:val="005B63EA"/>
    <w:rsid w:val="005C1A88"/>
    <w:rsid w:val="005C5033"/>
    <w:rsid w:val="005D4E1B"/>
    <w:rsid w:val="005E2E8A"/>
    <w:rsid w:val="005E751B"/>
    <w:rsid w:val="005F2751"/>
    <w:rsid w:val="005F3354"/>
    <w:rsid w:val="005F4AD6"/>
    <w:rsid w:val="0060005E"/>
    <w:rsid w:val="00600648"/>
    <w:rsid w:val="0060095B"/>
    <w:rsid w:val="00601266"/>
    <w:rsid w:val="00610221"/>
    <w:rsid w:val="00610E73"/>
    <w:rsid w:val="00615F9B"/>
    <w:rsid w:val="00616DF2"/>
    <w:rsid w:val="006237B5"/>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1DB9"/>
    <w:rsid w:val="00693483"/>
    <w:rsid w:val="006A0BF3"/>
    <w:rsid w:val="006B0036"/>
    <w:rsid w:val="006B0DA6"/>
    <w:rsid w:val="006B3FA9"/>
    <w:rsid w:val="006C547E"/>
    <w:rsid w:val="006D2B51"/>
    <w:rsid w:val="006D43DF"/>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A77ED"/>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361C"/>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57BC"/>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1754"/>
    <w:rsid w:val="00BE50E6"/>
    <w:rsid w:val="00BE7A0C"/>
    <w:rsid w:val="00BF2928"/>
    <w:rsid w:val="00BF5D60"/>
    <w:rsid w:val="00BF6691"/>
    <w:rsid w:val="00C028FC"/>
    <w:rsid w:val="00C037F2"/>
    <w:rsid w:val="00C0386D"/>
    <w:rsid w:val="00C065A1"/>
    <w:rsid w:val="00C10ED5"/>
    <w:rsid w:val="00C12574"/>
    <w:rsid w:val="00C151A6"/>
    <w:rsid w:val="00C227DC"/>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2D9C"/>
    <w:rsid w:val="00CD3D74"/>
    <w:rsid w:val="00CD7132"/>
    <w:rsid w:val="00CE0E6F"/>
    <w:rsid w:val="00CE3B21"/>
    <w:rsid w:val="00CE56FC"/>
    <w:rsid w:val="00CE7A4D"/>
    <w:rsid w:val="00CE7DFF"/>
    <w:rsid w:val="00CF32D2"/>
    <w:rsid w:val="00CF4CFE"/>
    <w:rsid w:val="00D00E8E"/>
    <w:rsid w:val="00D02E0F"/>
    <w:rsid w:val="00D03EE8"/>
    <w:rsid w:val="00D13535"/>
    <w:rsid w:val="00D15497"/>
    <w:rsid w:val="00D17B79"/>
    <w:rsid w:val="00D205F5"/>
    <w:rsid w:val="00D23FEA"/>
    <w:rsid w:val="00D25E37"/>
    <w:rsid w:val="00D269CA"/>
    <w:rsid w:val="00D30B48"/>
    <w:rsid w:val="00D3168A"/>
    <w:rsid w:val="00D350D1"/>
    <w:rsid w:val="00D45063"/>
    <w:rsid w:val="00D4559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0D2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8F0"/>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20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D45063"/>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6237B5"/>
    <w:rPr>
      <w:color w:val="0000FF"/>
      <w:u w:val="single"/>
    </w:rPr>
  </w:style>
  <w:style w:type="paragraph" w:styleId="BalloonText">
    <w:name w:val="Balloon Text"/>
    <w:basedOn w:val="Normal"/>
    <w:link w:val="BalloonTextChar"/>
    <w:semiHidden/>
    <w:unhideWhenUsed/>
    <w:rsid w:val="00A5361C"/>
    <w:rPr>
      <w:rFonts w:ascii="Segoe UI" w:hAnsi="Segoe UI" w:cs="Segoe UI"/>
      <w:sz w:val="18"/>
      <w:szCs w:val="18"/>
    </w:rPr>
  </w:style>
  <w:style w:type="character" w:customStyle="1" w:styleId="BalloonTextChar">
    <w:name w:val="Balloon Text Char"/>
    <w:basedOn w:val="DefaultParagraphFont"/>
    <w:link w:val="BalloonText"/>
    <w:semiHidden/>
    <w:rsid w:val="00A5361C"/>
    <w:rPr>
      <w:rFonts w:ascii="Segoe UI" w:hAnsi="Segoe UI" w:cs="Segoe UI"/>
      <w:sz w:val="18"/>
      <w:szCs w:val="18"/>
    </w:rPr>
  </w:style>
  <w:style w:type="character" w:styleId="CommentReference">
    <w:name w:val="annotation reference"/>
    <w:basedOn w:val="DefaultParagraphFont"/>
    <w:semiHidden/>
    <w:unhideWhenUsed/>
    <w:rsid w:val="006D43DF"/>
    <w:rPr>
      <w:sz w:val="16"/>
      <w:szCs w:val="16"/>
    </w:rPr>
  </w:style>
  <w:style w:type="paragraph" w:styleId="CommentText">
    <w:name w:val="annotation text"/>
    <w:basedOn w:val="Normal"/>
    <w:link w:val="CommentTextChar"/>
    <w:semiHidden/>
    <w:unhideWhenUsed/>
    <w:rsid w:val="006D43DF"/>
    <w:rPr>
      <w:sz w:val="20"/>
      <w:szCs w:val="20"/>
    </w:rPr>
  </w:style>
  <w:style w:type="character" w:customStyle="1" w:styleId="CommentTextChar">
    <w:name w:val="Comment Text Char"/>
    <w:basedOn w:val="DefaultParagraphFont"/>
    <w:link w:val="CommentText"/>
    <w:semiHidden/>
    <w:rsid w:val="006D43DF"/>
  </w:style>
  <w:style w:type="paragraph" w:styleId="CommentSubject">
    <w:name w:val="annotation subject"/>
    <w:basedOn w:val="CommentText"/>
    <w:next w:val="CommentText"/>
    <w:link w:val="CommentSubjectChar"/>
    <w:semiHidden/>
    <w:unhideWhenUsed/>
    <w:rsid w:val="006D43DF"/>
    <w:rPr>
      <w:b/>
      <w:bCs/>
    </w:rPr>
  </w:style>
  <w:style w:type="character" w:customStyle="1" w:styleId="CommentSubjectChar">
    <w:name w:val="Comment Subject Char"/>
    <w:basedOn w:val="CommentTextChar"/>
    <w:link w:val="CommentSubject"/>
    <w:semiHidden/>
    <w:rsid w:val="006D4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2419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2022-06-24T17:44:00Z</dcterms:created>
  <dcterms:modified xsi:type="dcterms:W3CDTF">2022-06-24T18:55:00Z</dcterms:modified>
</cp:coreProperties>
</file>