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AEB90" w14:textId="77777777" w:rsidR="00CB5276" w:rsidRDefault="007A56C2" w:rsidP="007A56C2">
      <w:pPr>
        <w:pStyle w:val="OrderHeading"/>
      </w:pPr>
      <w:r>
        <w:t>BEFORE THE FLORIDA PUBLIC SERVICE COMMISSION</w:t>
      </w:r>
    </w:p>
    <w:p w14:paraId="3E2BA690" w14:textId="77777777" w:rsidR="007A56C2" w:rsidRDefault="007A56C2" w:rsidP="007A56C2">
      <w:pPr>
        <w:pStyle w:val="OrderBody"/>
      </w:pPr>
    </w:p>
    <w:p w14:paraId="2BA1C572" w14:textId="77777777" w:rsidR="007A56C2" w:rsidRDefault="007A56C2" w:rsidP="007A56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A56C2" w:rsidRPr="00C63FCF" w14:paraId="51949B66" w14:textId="77777777" w:rsidTr="00C63FCF">
        <w:trPr>
          <w:trHeight w:val="828"/>
        </w:trPr>
        <w:tc>
          <w:tcPr>
            <w:tcW w:w="4788" w:type="dxa"/>
            <w:tcBorders>
              <w:bottom w:val="single" w:sz="8" w:space="0" w:color="auto"/>
              <w:right w:val="double" w:sz="6" w:space="0" w:color="auto"/>
            </w:tcBorders>
            <w:shd w:val="clear" w:color="auto" w:fill="auto"/>
          </w:tcPr>
          <w:p w14:paraId="782065CD" w14:textId="77777777" w:rsidR="007A56C2" w:rsidRDefault="007A56C2" w:rsidP="00C63FCF">
            <w:pPr>
              <w:pStyle w:val="OrderBody"/>
              <w:tabs>
                <w:tab w:val="center" w:pos="4320"/>
                <w:tab w:val="right" w:pos="8640"/>
              </w:tabs>
              <w:jc w:val="left"/>
            </w:pPr>
            <w:r>
              <w:t xml:space="preserve">In re: </w:t>
            </w:r>
            <w:bookmarkStart w:id="0" w:name="SSInRe"/>
            <w:bookmarkEnd w:id="0"/>
            <w:r>
              <w:t>Review of Storm Protection Plan, pursuant to Rule 25-6.030, F.A.C., Duke Energy Florida, LLC.</w:t>
            </w:r>
          </w:p>
        </w:tc>
        <w:tc>
          <w:tcPr>
            <w:tcW w:w="4788" w:type="dxa"/>
            <w:tcBorders>
              <w:left w:val="double" w:sz="6" w:space="0" w:color="auto"/>
            </w:tcBorders>
            <w:shd w:val="clear" w:color="auto" w:fill="auto"/>
          </w:tcPr>
          <w:p w14:paraId="0DEE5CF1" w14:textId="77777777" w:rsidR="007A56C2" w:rsidRDefault="007A56C2" w:rsidP="007A56C2">
            <w:pPr>
              <w:pStyle w:val="OrderBody"/>
            </w:pPr>
            <w:r>
              <w:t xml:space="preserve">DOCKET NO. </w:t>
            </w:r>
            <w:bookmarkStart w:id="1" w:name="SSDocketNo"/>
            <w:bookmarkEnd w:id="1"/>
            <w:r>
              <w:t>20220050-EI</w:t>
            </w:r>
          </w:p>
          <w:p w14:paraId="0C703995" w14:textId="20D752CC" w:rsidR="007A56C2" w:rsidRDefault="007A56C2" w:rsidP="00C63FCF">
            <w:pPr>
              <w:pStyle w:val="OrderBody"/>
              <w:tabs>
                <w:tab w:val="center" w:pos="4320"/>
                <w:tab w:val="right" w:pos="8640"/>
              </w:tabs>
              <w:jc w:val="left"/>
            </w:pPr>
            <w:r>
              <w:t xml:space="preserve">ORDER NO. </w:t>
            </w:r>
            <w:bookmarkStart w:id="2" w:name="OrderNo0271"/>
            <w:r w:rsidR="00826663">
              <w:t>PSC-2022-0271-PCO-EI</w:t>
            </w:r>
            <w:bookmarkEnd w:id="2"/>
          </w:p>
          <w:p w14:paraId="485DCD2A" w14:textId="7F902C5B" w:rsidR="007A56C2" w:rsidRDefault="007A56C2" w:rsidP="00C63FCF">
            <w:pPr>
              <w:pStyle w:val="OrderBody"/>
              <w:tabs>
                <w:tab w:val="center" w:pos="4320"/>
                <w:tab w:val="right" w:pos="8640"/>
              </w:tabs>
              <w:jc w:val="left"/>
            </w:pPr>
            <w:r>
              <w:t xml:space="preserve">ISSUED: </w:t>
            </w:r>
            <w:r w:rsidR="00826663">
              <w:t>July 13, 2022</w:t>
            </w:r>
          </w:p>
        </w:tc>
      </w:tr>
    </w:tbl>
    <w:p w14:paraId="4D1A7B69" w14:textId="77777777" w:rsidR="007A56C2" w:rsidRDefault="007A56C2" w:rsidP="007A56C2"/>
    <w:p w14:paraId="013633A0" w14:textId="5C121F0F" w:rsidR="00DC1B14" w:rsidRDefault="007A56C2" w:rsidP="007A56C2">
      <w:pPr>
        <w:pStyle w:val="CenterUnderline"/>
      </w:pPr>
      <w:bookmarkStart w:id="3" w:name="Commissioners"/>
      <w:bookmarkEnd w:id="3"/>
      <w:r>
        <w:t>ORDER</w:t>
      </w:r>
      <w:bookmarkStart w:id="4" w:name="OrderTitle"/>
      <w:r>
        <w:t xml:space="preserve"> GRANTING </w:t>
      </w:r>
      <w:r w:rsidR="00197606">
        <w:t xml:space="preserve">THE </w:t>
      </w:r>
      <w:r>
        <w:t xml:space="preserve">OFFICE OF PUBLIC COUNSEL’S </w:t>
      </w:r>
    </w:p>
    <w:p w14:paraId="05D3A7C4" w14:textId="6E48FD9C" w:rsidR="00DC1B14" w:rsidRDefault="007A56C2" w:rsidP="007A56C2">
      <w:pPr>
        <w:pStyle w:val="CenterUnderline"/>
      </w:pPr>
      <w:r>
        <w:t xml:space="preserve">UNOPPOSED MOTION TO ACCEPT THE AMENDED DIRECT TESTIMONY </w:t>
      </w:r>
    </w:p>
    <w:p w14:paraId="0BFD3F71" w14:textId="229C86A7" w:rsidR="00CB5276" w:rsidRDefault="007A56C2" w:rsidP="007A56C2">
      <w:pPr>
        <w:pStyle w:val="CenterUnderline"/>
      </w:pPr>
      <w:r>
        <w:t xml:space="preserve">OF </w:t>
      </w:r>
      <w:r w:rsidR="00DC1B14">
        <w:t xml:space="preserve">WITNESSES </w:t>
      </w:r>
      <w:r>
        <w:t xml:space="preserve">KEVIN MARA AND LANE KOLLEN </w:t>
      </w:r>
      <w:bookmarkEnd w:id="4"/>
    </w:p>
    <w:p w14:paraId="0D7792CB" w14:textId="77777777" w:rsidR="007A56C2" w:rsidRDefault="007A56C2" w:rsidP="007A56C2">
      <w:pPr>
        <w:pStyle w:val="CenterUnderline"/>
      </w:pPr>
    </w:p>
    <w:p w14:paraId="2481CB9C" w14:textId="77777777" w:rsidR="00E8512C" w:rsidRDefault="00E8512C" w:rsidP="00E8512C">
      <w:pPr>
        <w:pStyle w:val="Default"/>
        <w:ind w:firstLine="720"/>
        <w:jc w:val="both"/>
        <w:rPr>
          <w:color w:val="auto"/>
        </w:rPr>
      </w:pPr>
      <w:r>
        <w:rPr>
          <w:color w:val="auto"/>
        </w:rPr>
        <w:t>By Order No.</w:t>
      </w:r>
      <w:r w:rsidRPr="00A65E13">
        <w:t xml:space="preserve"> </w:t>
      </w:r>
      <w:r w:rsidRPr="00A65E13">
        <w:rPr>
          <w:color w:val="auto"/>
        </w:rPr>
        <w:t>PSC-2022-0119-PCO-EI</w:t>
      </w:r>
      <w:r>
        <w:rPr>
          <w:color w:val="auto"/>
        </w:rPr>
        <w:t xml:space="preserve">, the Order Establishing Procedure, the Commission established controlling dates </w:t>
      </w:r>
      <w:r w:rsidRPr="00A65E13">
        <w:rPr>
          <w:color w:val="auto"/>
        </w:rPr>
        <w:t>for all investor-owned electric utilities</w:t>
      </w:r>
      <w:r>
        <w:rPr>
          <w:color w:val="auto"/>
        </w:rPr>
        <w:t xml:space="preserve"> (IOUs) and intervenors concerning the Commission’s review of the IOUs’ storm protection plans</w:t>
      </w:r>
      <w:r w:rsidRPr="00A65E13">
        <w:rPr>
          <w:color w:val="auto"/>
        </w:rPr>
        <w:t xml:space="preserve"> </w:t>
      </w:r>
      <w:r>
        <w:rPr>
          <w:color w:val="auto"/>
        </w:rPr>
        <w:t xml:space="preserve">(SPPs) filed under Section 366.96, Florida Statutes. At Duke Energy Florida’s (DEF’s) unopposed request, the controlling date for DEF’s prefiled rebuttal testimony was extended to July 1, 2022, by Order No. </w:t>
      </w:r>
      <w:r w:rsidRPr="001C57F2">
        <w:rPr>
          <w:color w:val="auto"/>
        </w:rPr>
        <w:t>PSC-2022-0226-PCO-EI</w:t>
      </w:r>
      <w:r>
        <w:rPr>
          <w:color w:val="auto"/>
        </w:rPr>
        <w:t xml:space="preserve">. DEF had argued that the prefiled testimony of two of the Office of Public Counsel’s (OPC’s) expert witnesses filed on May 31, 2022, conflicted with language in Paragraph 4 of its 2021 Settlement Agreement, as approved by the Commission by </w:t>
      </w:r>
      <w:r w:rsidRPr="00682177">
        <w:rPr>
          <w:color w:val="auto"/>
        </w:rPr>
        <w:t xml:space="preserve">Order No. PSC-2021-0202-AS-EI </w:t>
      </w:r>
      <w:r>
        <w:rPr>
          <w:color w:val="auto"/>
        </w:rPr>
        <w:t>and as amended by Order No. PSC-2021-0202A-AS-EI.</w:t>
      </w:r>
      <w:r>
        <w:rPr>
          <w:rStyle w:val="FootnoteReference"/>
          <w:color w:val="auto"/>
        </w:rPr>
        <w:footnoteReference w:id="1"/>
      </w:r>
      <w:r>
        <w:rPr>
          <w:color w:val="auto"/>
        </w:rPr>
        <w:t xml:space="preserve"> </w:t>
      </w:r>
    </w:p>
    <w:p w14:paraId="226CF372" w14:textId="77777777" w:rsidR="00E8512C" w:rsidRDefault="00E8512C" w:rsidP="00E8512C">
      <w:pPr>
        <w:pStyle w:val="Default"/>
        <w:ind w:firstLine="720"/>
        <w:jc w:val="both"/>
        <w:rPr>
          <w:color w:val="auto"/>
        </w:rPr>
      </w:pPr>
    </w:p>
    <w:p w14:paraId="48C412BD" w14:textId="12439237" w:rsidR="00E8512C" w:rsidRPr="00CB4445" w:rsidRDefault="00E8512C" w:rsidP="00E8512C">
      <w:pPr>
        <w:pStyle w:val="Default"/>
        <w:ind w:firstLine="720"/>
        <w:jc w:val="both"/>
        <w:rPr>
          <w:color w:val="auto"/>
        </w:rPr>
      </w:pPr>
      <w:r>
        <w:rPr>
          <w:color w:val="auto"/>
        </w:rPr>
        <w:t>As one of the signatories to the 2021 Settlement Agreement, OPC agreed with the language in Paragraph 4 that “</w:t>
      </w:r>
      <w:r w:rsidRPr="00CB4445">
        <w:rPr>
          <w:color w:val="auto"/>
        </w:rPr>
        <w:t>DEF has properly removed all costs associated with the Storm Protection Plan (“SPP”) from the costs included in DEF’s MFRs,</w:t>
      </w:r>
      <w:r>
        <w:rPr>
          <w:color w:val="auto"/>
        </w:rPr>
        <w:t xml:space="preserve"> </w:t>
      </w:r>
      <w:r w:rsidRPr="00CB4445">
        <w:rPr>
          <w:color w:val="auto"/>
        </w:rPr>
        <w:t xml:space="preserve">as all such costs spent on approved SPP programs are properly recoverable through the SPP Cost Recovery Clause (“SPPCRC”).” </w:t>
      </w:r>
      <w:r>
        <w:rPr>
          <w:color w:val="auto"/>
        </w:rPr>
        <w:t>On June 27, 2022, in</w:t>
      </w:r>
      <w:r w:rsidRPr="00CB4445">
        <w:rPr>
          <w:color w:val="auto"/>
        </w:rPr>
        <w:t xml:space="preserve"> </w:t>
      </w:r>
      <w:r>
        <w:rPr>
          <w:color w:val="auto"/>
        </w:rPr>
        <w:t>recognition that the prefiled expert testimony of its Witnesses Kevin Mara and Lane Kollen should be clarified to properly reflect the agreement reached in Paragraph 4, OPC filed its unopposed motion for the Commission to accept the amended prefiled testimony of these witnesses.</w:t>
      </w:r>
      <w:r w:rsidRPr="00CB4445">
        <w:rPr>
          <w:color w:val="auto"/>
        </w:rPr>
        <w:t xml:space="preserve"> </w:t>
      </w:r>
    </w:p>
    <w:p w14:paraId="250FAA96" w14:textId="77777777" w:rsidR="00E8512C" w:rsidRPr="00CB4445" w:rsidRDefault="00E8512C" w:rsidP="00E8512C">
      <w:pPr>
        <w:pStyle w:val="Default"/>
        <w:ind w:firstLine="720"/>
        <w:jc w:val="both"/>
        <w:rPr>
          <w:color w:val="auto"/>
        </w:rPr>
      </w:pPr>
    </w:p>
    <w:p w14:paraId="651012BC" w14:textId="41E341CB" w:rsidR="00E8512C" w:rsidRDefault="00E8512C" w:rsidP="00E8512C">
      <w:pPr>
        <w:pStyle w:val="Default"/>
        <w:ind w:firstLine="720"/>
        <w:jc w:val="both"/>
        <w:rPr>
          <w:color w:val="auto"/>
        </w:rPr>
      </w:pPr>
      <w:r>
        <w:rPr>
          <w:color w:val="auto"/>
        </w:rPr>
        <w:t>OPC and DEF reached agreement concerning the clarifications that should be made to Witnesses Mara’s and Kollen’s testimony to resolve “any and all doubt about the [cost] recoverability” for six DEF programs in the SPPCRC for the years 2023 and 2024. As such, OPC filed an unopposed motion to replace the direct testimony of Witnesses Mara and Kollen with amended direct testimony to resolve any apparent conflicts with the 2021 Settlement Agreement. According to OPC, t</w:t>
      </w:r>
      <w:r w:rsidRPr="00CB4445">
        <w:rPr>
          <w:color w:val="auto"/>
        </w:rPr>
        <w:t>he amended testimony clarifi</w:t>
      </w:r>
      <w:r>
        <w:rPr>
          <w:color w:val="auto"/>
        </w:rPr>
        <w:t xml:space="preserve">es that the witnesses “are not asserting that the costs included in the six programs should be excluded from the SPP in a way that would make them ineligible for recovery in the SPPCRC in the years 2023 and 2024.”  </w:t>
      </w:r>
    </w:p>
    <w:p w14:paraId="34AB92C2" w14:textId="77777777" w:rsidR="00E8512C" w:rsidRDefault="00E8512C" w:rsidP="00E8512C">
      <w:pPr>
        <w:pStyle w:val="Default"/>
        <w:ind w:firstLine="720"/>
        <w:jc w:val="both"/>
        <w:rPr>
          <w:color w:val="auto"/>
        </w:rPr>
      </w:pPr>
    </w:p>
    <w:p w14:paraId="3529FBDC" w14:textId="77777777" w:rsidR="00E8512C" w:rsidRDefault="00E8512C" w:rsidP="00E8512C">
      <w:pPr>
        <w:pStyle w:val="Default"/>
        <w:ind w:firstLine="720"/>
        <w:jc w:val="both"/>
        <w:rPr>
          <w:color w:val="auto"/>
        </w:rPr>
      </w:pPr>
      <w:r>
        <w:rPr>
          <w:color w:val="auto"/>
        </w:rPr>
        <w:t xml:space="preserve">Having reviewed our prior decisions concerning the controlling dates for testimony and OPC’s motion, I find that the amended prefiled direct testimony for Witnesses Mara and Kollen </w:t>
      </w:r>
      <w:r>
        <w:rPr>
          <w:color w:val="auto"/>
        </w:rPr>
        <w:lastRenderedPageBreak/>
        <w:t>filed on June 27, 2022 shall be accepted and will replace their direct testimony filed on May 31, 2022, for purposes of the hearing that commences on August 2, 2022.</w:t>
      </w:r>
    </w:p>
    <w:p w14:paraId="0159E317" w14:textId="77777777" w:rsidR="007A56C2" w:rsidRDefault="007A56C2" w:rsidP="007A56C2">
      <w:pPr>
        <w:pStyle w:val="CenterUnderline"/>
        <w:jc w:val="left"/>
        <w:rPr>
          <w:b/>
          <w:u w:val="none"/>
        </w:rPr>
      </w:pPr>
    </w:p>
    <w:p w14:paraId="706989DF" w14:textId="77777777" w:rsidR="007A56C2" w:rsidRDefault="007A56C2" w:rsidP="007A56C2">
      <w:pPr>
        <w:pStyle w:val="OrderBody"/>
      </w:pPr>
      <w:r>
        <w:tab/>
        <w:t>Based on the foregoing, it is</w:t>
      </w:r>
    </w:p>
    <w:p w14:paraId="1BDB29C6" w14:textId="77777777" w:rsidR="007A56C2" w:rsidRDefault="007A56C2" w:rsidP="007A56C2">
      <w:pPr>
        <w:pStyle w:val="OrderBody"/>
      </w:pPr>
    </w:p>
    <w:p w14:paraId="41DE5663" w14:textId="77777777" w:rsidR="007A56C2" w:rsidRDefault="007A56C2" w:rsidP="007A56C2">
      <w:pPr>
        <w:pStyle w:val="OrderBody"/>
      </w:pPr>
      <w:r>
        <w:tab/>
        <w:t xml:space="preserve">ORDERED by </w:t>
      </w:r>
      <w:r>
        <w:rPr>
          <w:iCs/>
          <w:color w:val="212121"/>
        </w:rPr>
        <w:t>Commissioner Mike La Rosa, as Prehearing Officer</w:t>
      </w:r>
      <w:r>
        <w:t xml:space="preserve"> that the Unopposed Motion to Accept the Amended Direct Testimony of Kevin Mara and Lane Kollen is granted.</w:t>
      </w:r>
    </w:p>
    <w:p w14:paraId="09A4FC6B" w14:textId="77777777" w:rsidR="007A56C2" w:rsidRDefault="007A56C2" w:rsidP="007A56C2">
      <w:pPr>
        <w:pStyle w:val="OrderBody"/>
      </w:pPr>
    </w:p>
    <w:p w14:paraId="1E39024C" w14:textId="797DBE79" w:rsidR="007A56C2" w:rsidRDefault="007A56C2" w:rsidP="007A56C2">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Commissioner Mike La Rosa, as Prehearing Officer, this </w:t>
      </w:r>
      <w:bookmarkStart w:id="5" w:name="replaceDate"/>
      <w:bookmarkEnd w:id="5"/>
      <w:r w:rsidR="00826663">
        <w:rPr>
          <w:rFonts w:ascii="Times New Roman" w:hAnsi="Times New Roman"/>
          <w:iCs/>
          <w:color w:val="212121"/>
          <w:u w:val="single"/>
        </w:rPr>
        <w:t>13th</w:t>
      </w:r>
      <w:r w:rsidR="00826663">
        <w:rPr>
          <w:rFonts w:ascii="Times New Roman" w:hAnsi="Times New Roman"/>
          <w:iCs/>
          <w:color w:val="212121"/>
        </w:rPr>
        <w:t xml:space="preserve"> day of </w:t>
      </w:r>
      <w:r w:rsidR="00826663">
        <w:rPr>
          <w:rFonts w:ascii="Times New Roman" w:hAnsi="Times New Roman"/>
          <w:iCs/>
          <w:color w:val="212121"/>
          <w:u w:val="single"/>
        </w:rPr>
        <w:t>July</w:t>
      </w:r>
      <w:r w:rsidR="00826663">
        <w:rPr>
          <w:rFonts w:ascii="Times New Roman" w:hAnsi="Times New Roman"/>
          <w:iCs/>
          <w:color w:val="212121"/>
        </w:rPr>
        <w:t xml:space="preserve">, </w:t>
      </w:r>
      <w:r w:rsidR="00826663">
        <w:rPr>
          <w:rFonts w:ascii="Times New Roman" w:hAnsi="Times New Roman"/>
          <w:iCs/>
          <w:color w:val="212121"/>
          <w:u w:val="single"/>
        </w:rPr>
        <w:t>2022</w:t>
      </w:r>
      <w:r w:rsidR="00826663">
        <w:rPr>
          <w:rFonts w:ascii="Times New Roman" w:hAnsi="Times New Roman"/>
          <w:iCs/>
          <w:color w:val="212121"/>
        </w:rPr>
        <w:t>.</w:t>
      </w:r>
    </w:p>
    <w:p w14:paraId="680133EC" w14:textId="77777777" w:rsidR="00826663" w:rsidRPr="00826663" w:rsidRDefault="00826663" w:rsidP="007A56C2">
      <w:pPr>
        <w:pStyle w:val="ListParagraph"/>
        <w:keepNext/>
        <w:keepLines/>
        <w:ind w:left="0"/>
        <w:jc w:val="both"/>
        <w:rPr>
          <w:rFonts w:ascii="Times New Roman" w:hAnsi="Times New Roman"/>
          <w:iCs/>
          <w:color w:val="212121"/>
        </w:rPr>
      </w:pPr>
    </w:p>
    <w:p w14:paraId="0C19E82B" w14:textId="77777777" w:rsidR="007A56C2" w:rsidRDefault="007A56C2" w:rsidP="007A56C2">
      <w:pPr>
        <w:pStyle w:val="ListParagraph"/>
        <w:keepNext/>
        <w:keepLines/>
        <w:ind w:left="0"/>
        <w:jc w:val="both"/>
        <w:rPr>
          <w:rFonts w:ascii="Times New Roman" w:hAnsi="Times New Roman"/>
          <w:iCs/>
          <w:color w:val="212121"/>
        </w:rPr>
      </w:pPr>
    </w:p>
    <w:p w14:paraId="58EC62D5" w14:textId="77777777" w:rsidR="007A56C2" w:rsidRDefault="007A56C2" w:rsidP="007A56C2">
      <w:pPr>
        <w:pStyle w:val="ListParagraph"/>
        <w:keepNext/>
        <w:keepLines/>
        <w:ind w:left="0"/>
        <w:jc w:val="both"/>
        <w:rPr>
          <w:rFonts w:ascii="Times New Roman" w:hAnsi="Times New Roman"/>
          <w:iCs/>
          <w:color w:val="212121"/>
        </w:rPr>
      </w:pPr>
    </w:p>
    <w:p w14:paraId="7F985B78" w14:textId="77777777" w:rsidR="007A56C2" w:rsidRDefault="007A56C2" w:rsidP="007A56C2">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7A56C2" w14:paraId="54CB2D8E" w14:textId="77777777" w:rsidTr="007A56C2">
        <w:tc>
          <w:tcPr>
            <w:tcW w:w="720" w:type="dxa"/>
            <w:shd w:val="clear" w:color="auto" w:fill="auto"/>
          </w:tcPr>
          <w:p w14:paraId="12F9FF7C" w14:textId="77777777" w:rsidR="007A56C2" w:rsidRDefault="007A56C2" w:rsidP="007A56C2">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14:paraId="1BCAF950" w14:textId="74A61B54" w:rsidR="007A56C2" w:rsidRDefault="00826663" w:rsidP="007A56C2">
            <w:pPr>
              <w:pStyle w:val="ListParagraph"/>
              <w:keepNext/>
              <w:keepLines/>
              <w:ind w:left="0"/>
              <w:jc w:val="both"/>
              <w:rPr>
                <w:rFonts w:ascii="Times New Roman" w:hAnsi="Times New Roman"/>
                <w:iCs/>
                <w:color w:val="212121"/>
              </w:rPr>
            </w:pPr>
            <w:r>
              <w:rPr>
                <w:rFonts w:ascii="Times New Roman" w:hAnsi="Times New Roman"/>
                <w:iCs/>
                <w:color w:val="212121"/>
              </w:rPr>
              <w:t>/s/ Mike La Rosa</w:t>
            </w:r>
            <w:bookmarkStart w:id="7" w:name="_GoBack"/>
            <w:bookmarkEnd w:id="7"/>
          </w:p>
        </w:tc>
      </w:tr>
      <w:bookmarkEnd w:id="6"/>
      <w:tr w:rsidR="007A56C2" w14:paraId="41C27ED8" w14:textId="77777777" w:rsidTr="007A56C2">
        <w:tc>
          <w:tcPr>
            <w:tcW w:w="720" w:type="dxa"/>
            <w:shd w:val="clear" w:color="auto" w:fill="auto"/>
          </w:tcPr>
          <w:p w14:paraId="119F82F8" w14:textId="77777777" w:rsidR="007A56C2" w:rsidRDefault="007A56C2" w:rsidP="007A56C2">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2F702A87" w14:textId="77777777" w:rsidR="007A56C2" w:rsidRDefault="007A56C2" w:rsidP="007A56C2">
            <w:pPr>
              <w:pStyle w:val="ListParagraph"/>
              <w:keepNext/>
              <w:keepLines/>
              <w:ind w:left="0"/>
              <w:jc w:val="both"/>
              <w:rPr>
                <w:rFonts w:ascii="Times New Roman" w:hAnsi="Times New Roman"/>
                <w:iCs/>
                <w:color w:val="212121"/>
              </w:rPr>
            </w:pPr>
            <w:r>
              <w:rPr>
                <w:rFonts w:ascii="Times New Roman" w:hAnsi="Times New Roman"/>
                <w:iCs/>
                <w:color w:val="212121"/>
              </w:rPr>
              <w:t>Mike La Rosa</w:t>
            </w:r>
          </w:p>
          <w:p w14:paraId="7D1C4CFD" w14:textId="77777777" w:rsidR="007A56C2" w:rsidRDefault="007A56C2" w:rsidP="007A56C2">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14:paraId="5D8904E6" w14:textId="77777777" w:rsidR="007A56C2" w:rsidRDefault="007A56C2" w:rsidP="007A56C2">
      <w:pPr>
        <w:pStyle w:val="OrderSigInfo"/>
        <w:keepNext/>
        <w:keepLines/>
      </w:pPr>
      <w:r>
        <w:t>Florida Public Service Commission</w:t>
      </w:r>
    </w:p>
    <w:p w14:paraId="6C8DE2FD" w14:textId="77777777" w:rsidR="007A56C2" w:rsidRDefault="007A56C2" w:rsidP="007A56C2">
      <w:pPr>
        <w:pStyle w:val="OrderSigInfo"/>
        <w:keepNext/>
        <w:keepLines/>
      </w:pPr>
      <w:r>
        <w:t>2540 Shumard Oak Boulevard</w:t>
      </w:r>
    </w:p>
    <w:p w14:paraId="1A49F248" w14:textId="77777777" w:rsidR="007A56C2" w:rsidRDefault="007A56C2" w:rsidP="007A56C2">
      <w:pPr>
        <w:pStyle w:val="OrderSigInfo"/>
        <w:keepNext/>
        <w:keepLines/>
      </w:pPr>
      <w:r>
        <w:t>Tallahassee, Florida 32399</w:t>
      </w:r>
    </w:p>
    <w:p w14:paraId="21E07D10" w14:textId="77777777" w:rsidR="007A56C2" w:rsidRDefault="007A56C2" w:rsidP="007A56C2">
      <w:pPr>
        <w:pStyle w:val="OrderSigInfo"/>
        <w:keepNext/>
        <w:keepLines/>
      </w:pPr>
      <w:r>
        <w:t>(850) 413</w:t>
      </w:r>
      <w:r>
        <w:noBreakHyphen/>
        <w:t>6770</w:t>
      </w:r>
    </w:p>
    <w:p w14:paraId="3C2A9E89" w14:textId="77777777" w:rsidR="007A56C2" w:rsidRDefault="007A56C2" w:rsidP="007A56C2">
      <w:pPr>
        <w:pStyle w:val="OrderSigInfo"/>
        <w:keepNext/>
        <w:keepLines/>
      </w:pPr>
      <w:r>
        <w:t>www.floridapsc.com</w:t>
      </w:r>
    </w:p>
    <w:p w14:paraId="4A10D1CC" w14:textId="77777777" w:rsidR="007A56C2" w:rsidRDefault="007A56C2" w:rsidP="007A56C2">
      <w:pPr>
        <w:pStyle w:val="OrderSigInfo"/>
        <w:keepNext/>
        <w:keepLines/>
      </w:pPr>
    </w:p>
    <w:p w14:paraId="024D6BC2" w14:textId="77777777" w:rsidR="007A56C2" w:rsidRDefault="007A56C2" w:rsidP="007A56C2">
      <w:pPr>
        <w:pStyle w:val="OrderSigInfo"/>
        <w:keepNext/>
        <w:keepLines/>
      </w:pPr>
      <w:r>
        <w:t>Copies furnished: A copy of this document is provided to the parties of record at the time of issuance and, if applicable, interested persons.</w:t>
      </w:r>
    </w:p>
    <w:p w14:paraId="6F2BB37C" w14:textId="77777777" w:rsidR="007A56C2" w:rsidRDefault="007A56C2" w:rsidP="007A56C2">
      <w:pPr>
        <w:pStyle w:val="OrderBody"/>
        <w:keepNext/>
        <w:keepLines/>
      </w:pPr>
    </w:p>
    <w:p w14:paraId="7A919D39" w14:textId="77777777" w:rsidR="007A56C2" w:rsidRDefault="007A56C2" w:rsidP="007A56C2">
      <w:pPr>
        <w:pStyle w:val="ListParagraph"/>
        <w:keepNext/>
        <w:keepLines/>
        <w:ind w:left="0"/>
        <w:jc w:val="both"/>
        <w:rPr>
          <w:rFonts w:ascii="Times New Roman" w:hAnsi="Times New Roman"/>
          <w:iCs/>
          <w:color w:val="212121"/>
        </w:rPr>
      </w:pPr>
    </w:p>
    <w:p w14:paraId="3F498A52" w14:textId="77777777" w:rsidR="007A56C2" w:rsidRDefault="007A56C2" w:rsidP="007A56C2">
      <w:pPr>
        <w:pStyle w:val="ListParagraph"/>
        <w:keepNext/>
        <w:keepLines/>
        <w:ind w:left="0"/>
        <w:jc w:val="both"/>
        <w:rPr>
          <w:rFonts w:ascii="Times New Roman" w:hAnsi="Times New Roman"/>
          <w:iCs/>
          <w:color w:val="212121"/>
        </w:rPr>
      </w:pPr>
      <w:r>
        <w:rPr>
          <w:rFonts w:ascii="Times New Roman" w:hAnsi="Times New Roman"/>
          <w:iCs/>
          <w:color w:val="212121"/>
        </w:rPr>
        <w:t>WLT</w:t>
      </w:r>
    </w:p>
    <w:p w14:paraId="034C33F3" w14:textId="77777777" w:rsidR="007A56C2" w:rsidRDefault="007A56C2" w:rsidP="007A56C2">
      <w:pPr>
        <w:pStyle w:val="ListParagraph"/>
        <w:ind w:left="0"/>
        <w:jc w:val="both"/>
        <w:rPr>
          <w:rFonts w:ascii="Times New Roman" w:hAnsi="Times New Roman"/>
          <w:iCs/>
          <w:color w:val="212121"/>
        </w:rPr>
      </w:pPr>
    </w:p>
    <w:p w14:paraId="1D71A1AF" w14:textId="77777777" w:rsidR="000C3272" w:rsidRDefault="000C3272">
      <w:pPr>
        <w:rPr>
          <w:rFonts w:eastAsia="Calibri"/>
          <w:iCs/>
          <w:color w:val="212121"/>
        </w:rPr>
      </w:pPr>
      <w:r>
        <w:rPr>
          <w:iCs/>
          <w:color w:val="212121"/>
        </w:rPr>
        <w:br w:type="page"/>
      </w:r>
    </w:p>
    <w:p w14:paraId="626986E5" w14:textId="77777777" w:rsidR="007A56C2" w:rsidRDefault="007A56C2" w:rsidP="007A56C2">
      <w:pPr>
        <w:pStyle w:val="CenterUnderline"/>
      </w:pPr>
      <w:r>
        <w:lastRenderedPageBreak/>
        <w:t>NOTICE OF FURTHER PROCEEDINGS OR JUDICIAL REVIEW</w:t>
      </w:r>
    </w:p>
    <w:p w14:paraId="0568DB5B" w14:textId="77777777" w:rsidR="007A56C2" w:rsidRDefault="007A56C2" w:rsidP="007A56C2">
      <w:pPr>
        <w:pStyle w:val="CenterUnderline"/>
      </w:pPr>
    </w:p>
    <w:p w14:paraId="22B3F592" w14:textId="77777777" w:rsidR="007A56C2" w:rsidRDefault="007A56C2" w:rsidP="007A56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6CE0AEC3" w14:textId="77777777" w:rsidR="007A56C2" w:rsidRDefault="007A56C2" w:rsidP="007A56C2">
      <w:pPr>
        <w:pStyle w:val="OrderBody"/>
      </w:pPr>
    </w:p>
    <w:p w14:paraId="029D6F0C" w14:textId="77777777" w:rsidR="007A56C2" w:rsidRDefault="007A56C2" w:rsidP="007A56C2">
      <w:pPr>
        <w:pStyle w:val="OrderBody"/>
      </w:pPr>
      <w:r>
        <w:tab/>
        <w:t>Mediation may be available on a case-by-case basis. If mediation is conducted, it does not affect a substantially interested person's right to a hearing.</w:t>
      </w:r>
    </w:p>
    <w:p w14:paraId="6CB9CABE" w14:textId="77777777" w:rsidR="007A56C2" w:rsidRDefault="007A56C2" w:rsidP="007A56C2">
      <w:pPr>
        <w:pStyle w:val="OrderBody"/>
      </w:pPr>
    </w:p>
    <w:p w14:paraId="102B0C0D" w14:textId="12BD26E9" w:rsidR="00591896" w:rsidRDefault="007A56C2" w:rsidP="007A56C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7D8A6227" w14:textId="086CE33F" w:rsidR="00D40937" w:rsidRDefault="00D40937" w:rsidP="007A56C2">
      <w:pPr>
        <w:pStyle w:val="OrderBody"/>
      </w:pPr>
    </w:p>
    <w:p w14:paraId="1E7E606D" w14:textId="0C435DFE" w:rsidR="003A5AE4" w:rsidRPr="00D40937" w:rsidRDefault="003A5AE4" w:rsidP="00D40937">
      <w:pPr>
        <w:tabs>
          <w:tab w:val="left" w:pos="945"/>
        </w:tabs>
      </w:pPr>
    </w:p>
    <w:sectPr w:rsidR="003A5AE4" w:rsidRPr="00D4093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C3598A" w14:textId="77777777" w:rsidR="007A56C2" w:rsidRDefault="007A56C2">
      <w:r>
        <w:separator/>
      </w:r>
    </w:p>
  </w:endnote>
  <w:endnote w:type="continuationSeparator" w:id="0">
    <w:p w14:paraId="579F2A2D" w14:textId="77777777" w:rsidR="007A56C2" w:rsidRDefault="007A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4C807" w14:textId="77777777" w:rsidR="00FA6EFD" w:rsidRDefault="00FA6EFD">
    <w:pPr>
      <w:pStyle w:val="Footer"/>
    </w:pPr>
  </w:p>
  <w:p w14:paraId="350A6E1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F0DC6" w14:textId="77777777" w:rsidR="007A56C2" w:rsidRDefault="007A56C2">
      <w:r>
        <w:separator/>
      </w:r>
    </w:p>
  </w:footnote>
  <w:footnote w:type="continuationSeparator" w:id="0">
    <w:p w14:paraId="026B8716" w14:textId="77777777" w:rsidR="007A56C2" w:rsidRDefault="007A56C2">
      <w:r>
        <w:continuationSeparator/>
      </w:r>
    </w:p>
  </w:footnote>
  <w:footnote w:id="1">
    <w:p w14:paraId="26B00988" w14:textId="77777777" w:rsidR="00E8512C" w:rsidRDefault="00E8512C" w:rsidP="00E8512C">
      <w:pPr>
        <w:pStyle w:val="FootnoteText"/>
      </w:pPr>
      <w:r>
        <w:rPr>
          <w:rStyle w:val="FootnoteReference"/>
        </w:rPr>
        <w:footnoteRef/>
      </w:r>
      <w:r>
        <w:t xml:space="preserve"> The 2021 Settlement Agreement addressed general base rate increases sought in Docket No. </w:t>
      </w:r>
      <w:r w:rsidRPr="00BF2637">
        <w:t>20210016-EI</w:t>
      </w:r>
      <w:r>
        <w:t>, and resolved storm restoration costs in Docket Nos. 20190110-EI and 20190222-EI, as well as clarified certain cost allocation and rate design matters pertaining to DEF’s Storm Protection Plan Cost Recovery Clause, among other things.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42CD4" w14:textId="73E767F8" w:rsidR="00FA6EFD" w:rsidRDefault="00FA6EFD">
    <w:pPr>
      <w:pStyle w:val="OrderHeader"/>
    </w:pPr>
    <w:r>
      <w:t xml:space="preserve">ORDER NO. </w:t>
    </w:r>
    <w:fldSimple w:instr=" REF OrderNo0271 ">
      <w:r w:rsidR="00826663">
        <w:t>PSC-2022-0271-PCO-EI</w:t>
      </w:r>
    </w:fldSimple>
  </w:p>
  <w:p w14:paraId="49E8C590" w14:textId="77777777" w:rsidR="00FA6EFD" w:rsidRDefault="007A56C2">
    <w:pPr>
      <w:pStyle w:val="OrderHeader"/>
    </w:pPr>
    <w:bookmarkStart w:id="8" w:name="HeaderDocketNo"/>
    <w:bookmarkEnd w:id="8"/>
    <w:r>
      <w:t>DOCKET NO. 20220050-EI</w:t>
    </w:r>
  </w:p>
  <w:p w14:paraId="01F00B98" w14:textId="33138292"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6663">
      <w:rPr>
        <w:rStyle w:val="PageNumber"/>
        <w:noProof/>
      </w:rPr>
      <w:t>2</w:t>
    </w:r>
    <w:r>
      <w:rPr>
        <w:rStyle w:val="PageNumber"/>
      </w:rPr>
      <w:fldChar w:fldCharType="end"/>
    </w:r>
  </w:p>
  <w:p w14:paraId="70F9775E"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50-EI"/>
  </w:docVars>
  <w:rsids>
    <w:rsidRoot w:val="007A56C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19FB"/>
    <w:rsid w:val="000A774F"/>
    <w:rsid w:val="000B783E"/>
    <w:rsid w:val="000B7D81"/>
    <w:rsid w:val="000C1994"/>
    <w:rsid w:val="000C3272"/>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64B5"/>
    <w:rsid w:val="000F7BE3"/>
    <w:rsid w:val="00103190"/>
    <w:rsid w:val="00104333"/>
    <w:rsid w:val="001052BA"/>
    <w:rsid w:val="001107B3"/>
    <w:rsid w:val="001114B1"/>
    <w:rsid w:val="0011395D"/>
    <w:rsid w:val="001139D8"/>
    <w:rsid w:val="00116AD3"/>
    <w:rsid w:val="00121957"/>
    <w:rsid w:val="0012387E"/>
    <w:rsid w:val="001259EC"/>
    <w:rsid w:val="00126593"/>
    <w:rsid w:val="00134177"/>
    <w:rsid w:val="00136087"/>
    <w:rsid w:val="00142A96"/>
    <w:rsid w:val="001513DE"/>
    <w:rsid w:val="00154A71"/>
    <w:rsid w:val="001655D4"/>
    <w:rsid w:val="00165803"/>
    <w:rsid w:val="001725F8"/>
    <w:rsid w:val="00186374"/>
    <w:rsid w:val="00187E32"/>
    <w:rsid w:val="00194A97"/>
    <w:rsid w:val="00194E81"/>
    <w:rsid w:val="00197606"/>
    <w:rsid w:val="001A15E7"/>
    <w:rsid w:val="001A33C9"/>
    <w:rsid w:val="001A58F3"/>
    <w:rsid w:val="001B034E"/>
    <w:rsid w:val="001C092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45EED"/>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B696D"/>
    <w:rsid w:val="002B79CA"/>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3F4F"/>
    <w:rsid w:val="003744F5"/>
    <w:rsid w:val="00382C6A"/>
    <w:rsid w:val="003875A9"/>
    <w:rsid w:val="00387BDE"/>
    <w:rsid w:val="00390DD8"/>
    <w:rsid w:val="00394DC6"/>
    <w:rsid w:val="00397C3E"/>
    <w:rsid w:val="003A5AE4"/>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34C"/>
    <w:rsid w:val="00427EAC"/>
    <w:rsid w:val="004431B4"/>
    <w:rsid w:val="0045537F"/>
    <w:rsid w:val="00457DC7"/>
    <w:rsid w:val="004640B3"/>
    <w:rsid w:val="00472BCC"/>
    <w:rsid w:val="00473B2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7823"/>
    <w:rsid w:val="0055595D"/>
    <w:rsid w:val="00556A10"/>
    <w:rsid w:val="00557F50"/>
    <w:rsid w:val="00571D3D"/>
    <w:rsid w:val="005822EA"/>
    <w:rsid w:val="0058264B"/>
    <w:rsid w:val="00586368"/>
    <w:rsid w:val="005868AA"/>
    <w:rsid w:val="00590845"/>
    <w:rsid w:val="00591896"/>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4E57"/>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56C2"/>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6663"/>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2DEC"/>
    <w:rsid w:val="00964A38"/>
    <w:rsid w:val="00966A9D"/>
    <w:rsid w:val="0096742B"/>
    <w:rsid w:val="00967C64"/>
    <w:rsid w:val="009718C5"/>
    <w:rsid w:val="00976AFF"/>
    <w:rsid w:val="00986AED"/>
    <w:rsid w:val="009924CF"/>
    <w:rsid w:val="00994100"/>
    <w:rsid w:val="009A04B7"/>
    <w:rsid w:val="009A6B17"/>
    <w:rsid w:val="009B052E"/>
    <w:rsid w:val="009C239C"/>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0E44"/>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FBE"/>
    <w:rsid w:val="00B50876"/>
    <w:rsid w:val="00B51074"/>
    <w:rsid w:val="00B51AE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2A5"/>
    <w:rsid w:val="00C64D49"/>
    <w:rsid w:val="00C66692"/>
    <w:rsid w:val="00C673B5"/>
    <w:rsid w:val="00C7063D"/>
    <w:rsid w:val="00C72339"/>
    <w:rsid w:val="00C830BC"/>
    <w:rsid w:val="00C8524D"/>
    <w:rsid w:val="00C90904"/>
    <w:rsid w:val="00C91123"/>
    <w:rsid w:val="00CA71FF"/>
    <w:rsid w:val="00CB2393"/>
    <w:rsid w:val="00CB4445"/>
    <w:rsid w:val="00CB5276"/>
    <w:rsid w:val="00CB5BFC"/>
    <w:rsid w:val="00CB68D7"/>
    <w:rsid w:val="00CB785B"/>
    <w:rsid w:val="00CC7E68"/>
    <w:rsid w:val="00CD3D74"/>
    <w:rsid w:val="00CD4570"/>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0937"/>
    <w:rsid w:val="00D46FAA"/>
    <w:rsid w:val="00D47A40"/>
    <w:rsid w:val="00D51D33"/>
    <w:rsid w:val="00D57BB2"/>
    <w:rsid w:val="00D57E57"/>
    <w:rsid w:val="00D70752"/>
    <w:rsid w:val="00D80E2D"/>
    <w:rsid w:val="00D84D5E"/>
    <w:rsid w:val="00D8560E"/>
    <w:rsid w:val="00D8758F"/>
    <w:rsid w:val="00DA4EDD"/>
    <w:rsid w:val="00DA6B78"/>
    <w:rsid w:val="00DB122B"/>
    <w:rsid w:val="00DC1B14"/>
    <w:rsid w:val="00DC1D94"/>
    <w:rsid w:val="00DC42CF"/>
    <w:rsid w:val="00DC738A"/>
    <w:rsid w:val="00DD382A"/>
    <w:rsid w:val="00DD4D3F"/>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111B"/>
    <w:rsid w:val="00E72914"/>
    <w:rsid w:val="00E75AE0"/>
    <w:rsid w:val="00E83C1F"/>
    <w:rsid w:val="00E8512C"/>
    <w:rsid w:val="00E85684"/>
    <w:rsid w:val="00E8794B"/>
    <w:rsid w:val="00E91676"/>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48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7A56C2"/>
    <w:pPr>
      <w:ind w:left="720"/>
      <w:contextualSpacing/>
    </w:pPr>
    <w:rPr>
      <w:rFonts w:ascii="Calibri" w:eastAsia="Calibri" w:hAnsi="Calibri"/>
    </w:rPr>
  </w:style>
  <w:style w:type="paragraph" w:customStyle="1" w:styleId="Default">
    <w:name w:val="Default"/>
    <w:rsid w:val="0042734C"/>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5822EA"/>
    <w:rPr>
      <w:color w:val="0000FF"/>
      <w:u w:val="single"/>
    </w:rPr>
  </w:style>
  <w:style w:type="character" w:styleId="CommentReference">
    <w:name w:val="annotation reference"/>
    <w:basedOn w:val="DefaultParagraphFont"/>
    <w:semiHidden/>
    <w:unhideWhenUsed/>
    <w:rsid w:val="00547823"/>
    <w:rPr>
      <w:sz w:val="16"/>
      <w:szCs w:val="16"/>
    </w:rPr>
  </w:style>
  <w:style w:type="paragraph" w:styleId="CommentText">
    <w:name w:val="annotation text"/>
    <w:basedOn w:val="Normal"/>
    <w:link w:val="CommentTextChar"/>
    <w:semiHidden/>
    <w:unhideWhenUsed/>
    <w:rsid w:val="00547823"/>
    <w:rPr>
      <w:sz w:val="20"/>
      <w:szCs w:val="20"/>
    </w:rPr>
  </w:style>
  <w:style w:type="character" w:customStyle="1" w:styleId="CommentTextChar">
    <w:name w:val="Comment Text Char"/>
    <w:basedOn w:val="DefaultParagraphFont"/>
    <w:link w:val="CommentText"/>
    <w:semiHidden/>
    <w:rsid w:val="00547823"/>
  </w:style>
  <w:style w:type="paragraph" w:styleId="CommentSubject">
    <w:name w:val="annotation subject"/>
    <w:basedOn w:val="CommentText"/>
    <w:next w:val="CommentText"/>
    <w:link w:val="CommentSubjectChar"/>
    <w:semiHidden/>
    <w:unhideWhenUsed/>
    <w:rsid w:val="00547823"/>
    <w:rPr>
      <w:b/>
      <w:bCs/>
    </w:rPr>
  </w:style>
  <w:style w:type="character" w:customStyle="1" w:styleId="CommentSubjectChar">
    <w:name w:val="Comment Subject Char"/>
    <w:basedOn w:val="CommentTextChar"/>
    <w:link w:val="CommentSubject"/>
    <w:semiHidden/>
    <w:rsid w:val="00547823"/>
    <w:rPr>
      <w:b/>
      <w:bCs/>
    </w:rPr>
  </w:style>
  <w:style w:type="paragraph" w:styleId="BalloonText">
    <w:name w:val="Balloon Text"/>
    <w:basedOn w:val="Normal"/>
    <w:link w:val="BalloonTextChar"/>
    <w:semiHidden/>
    <w:unhideWhenUsed/>
    <w:rsid w:val="00547823"/>
    <w:rPr>
      <w:rFonts w:ascii="Segoe UI" w:hAnsi="Segoe UI" w:cs="Segoe UI"/>
      <w:sz w:val="18"/>
      <w:szCs w:val="18"/>
    </w:rPr>
  </w:style>
  <w:style w:type="character" w:customStyle="1" w:styleId="BalloonTextChar">
    <w:name w:val="Balloon Text Char"/>
    <w:basedOn w:val="DefaultParagraphFont"/>
    <w:link w:val="BalloonText"/>
    <w:semiHidden/>
    <w:rsid w:val="005478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2022-07-13T16:21:00Z</dcterms:created>
  <dcterms:modified xsi:type="dcterms:W3CDTF">2022-07-13T16:31:00Z</dcterms:modified>
</cp:coreProperties>
</file>