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84D17" w:rsidP="00984D17">
      <w:pPr>
        <w:pStyle w:val="OrderHeading"/>
      </w:pPr>
      <w:r>
        <w:t>BEFORE THE FLORIDA PUBLIC SERVICE COMMISSION</w:t>
      </w:r>
    </w:p>
    <w:p w:rsidR="00984D17" w:rsidRDefault="00984D17" w:rsidP="00984D17">
      <w:pPr>
        <w:pStyle w:val="OrderBody"/>
      </w:pPr>
    </w:p>
    <w:p w:rsidR="00984D17" w:rsidRDefault="00984D17" w:rsidP="00984D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4D17" w:rsidRPr="00C63FCF" w:rsidTr="00C63FCF">
        <w:trPr>
          <w:trHeight w:val="828"/>
        </w:trPr>
        <w:tc>
          <w:tcPr>
            <w:tcW w:w="4788" w:type="dxa"/>
            <w:tcBorders>
              <w:bottom w:val="single" w:sz="8" w:space="0" w:color="auto"/>
              <w:right w:val="double" w:sz="6" w:space="0" w:color="auto"/>
            </w:tcBorders>
            <w:shd w:val="clear" w:color="auto" w:fill="auto"/>
          </w:tcPr>
          <w:p w:rsidR="00984D17" w:rsidRDefault="00984D17"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984D17" w:rsidRDefault="00984D17" w:rsidP="00984D17">
            <w:pPr>
              <w:pStyle w:val="OrderBody"/>
            </w:pPr>
            <w:r>
              <w:t xml:space="preserve">DOCKET NO. </w:t>
            </w:r>
            <w:bookmarkStart w:id="1" w:name="SSDocketNo"/>
            <w:bookmarkEnd w:id="1"/>
            <w:r>
              <w:t>20220069-GU</w:t>
            </w:r>
          </w:p>
          <w:p w:rsidR="00984D17" w:rsidRDefault="00984D17" w:rsidP="00C63FCF">
            <w:pPr>
              <w:pStyle w:val="OrderBody"/>
              <w:tabs>
                <w:tab w:val="center" w:pos="4320"/>
                <w:tab w:val="right" w:pos="8640"/>
              </w:tabs>
              <w:jc w:val="left"/>
            </w:pPr>
            <w:r>
              <w:t xml:space="preserve">ORDER NO. </w:t>
            </w:r>
            <w:bookmarkStart w:id="2" w:name="OrderNo0275"/>
            <w:r w:rsidR="0036106C">
              <w:t>PSC-2022-0275-PCO-GU</w:t>
            </w:r>
            <w:bookmarkEnd w:id="2"/>
          </w:p>
          <w:p w:rsidR="00984D17" w:rsidRDefault="00984D17" w:rsidP="00C63FCF">
            <w:pPr>
              <w:pStyle w:val="OrderBody"/>
              <w:tabs>
                <w:tab w:val="center" w:pos="4320"/>
                <w:tab w:val="right" w:pos="8640"/>
              </w:tabs>
              <w:jc w:val="left"/>
            </w:pPr>
            <w:r>
              <w:t xml:space="preserve">ISSUED: </w:t>
            </w:r>
            <w:r w:rsidR="0036106C">
              <w:t>July 15, 2022</w:t>
            </w:r>
          </w:p>
        </w:tc>
      </w:tr>
    </w:tbl>
    <w:p w:rsidR="00984D17" w:rsidRDefault="00984D17" w:rsidP="00984D17"/>
    <w:p w:rsidR="00984D17" w:rsidRDefault="00984D17" w:rsidP="00984D17"/>
    <w:p w:rsidR="001B4FE6" w:rsidRDefault="001B4FE6" w:rsidP="00984D17">
      <w:pPr>
        <w:pStyle w:val="CenterUnderline"/>
      </w:pPr>
      <w:bookmarkStart w:id="3" w:name="Commissioners"/>
      <w:bookmarkEnd w:id="3"/>
      <w:r>
        <w:t>FIRST ORDER REVISING ORDER ESTABLISHING PROCEDURE</w:t>
      </w:r>
      <w:bookmarkStart w:id="4" w:name="OrderTitle"/>
    </w:p>
    <w:p w:rsidR="00E501C1" w:rsidRDefault="00984D17" w:rsidP="00E501C1">
      <w:pPr>
        <w:pStyle w:val="CenterUnderline"/>
      </w:pPr>
      <w:r>
        <w:t>GRANTING IN PART</w:t>
      </w:r>
      <w:r w:rsidR="001B4FE6">
        <w:t xml:space="preserve"> AND DENYING IN PART</w:t>
      </w:r>
      <w:r w:rsidR="00E501C1">
        <w:t xml:space="preserve"> THE OFFICE OF PUBLIC </w:t>
      </w:r>
    </w:p>
    <w:p w:rsidR="00984D17" w:rsidRDefault="00E501C1" w:rsidP="00984D17">
      <w:pPr>
        <w:pStyle w:val="CenterUnderline"/>
      </w:pPr>
      <w:r>
        <w:t xml:space="preserve">COUNSEL’S </w:t>
      </w:r>
      <w:r w:rsidR="00984D17">
        <w:t>MOTION TO MODIFY KEY ACTIVITY DATES</w:t>
      </w:r>
    </w:p>
    <w:bookmarkEnd w:id="4"/>
    <w:p w:rsidR="00CB5276" w:rsidRDefault="00CB5276" w:rsidP="00984D17">
      <w:pPr>
        <w:pStyle w:val="CenterUnderline"/>
      </w:pPr>
    </w:p>
    <w:p w:rsidR="00984D17" w:rsidRDefault="00984D17" w:rsidP="00984D17">
      <w:pPr>
        <w:pStyle w:val="CenterUnderline"/>
      </w:pPr>
    </w:p>
    <w:p w:rsidR="001B4FE6" w:rsidRDefault="001B4FE6" w:rsidP="001B4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4F5D71">
        <w:rPr>
          <w:rFonts w:eastAsiaTheme="minorEastAsia"/>
        </w:rPr>
        <w:t>Florida City Gas (FCG or the Utility) operates as a natural gas utili</w:t>
      </w:r>
      <w:r>
        <w:rPr>
          <w:rFonts w:eastAsiaTheme="minorEastAsia"/>
        </w:rPr>
        <w:t>ty that serves approximately 116</w:t>
      </w:r>
      <w:r w:rsidRPr="004F5D71">
        <w:rPr>
          <w:rFonts w:eastAsiaTheme="minorEastAsia"/>
        </w:rPr>
        <w:t>,000 customers in the southeastern portions of Florida, including Miami-Dade, Broward, Palm Beach, Brevard, Indian River, St. Lucie, Martin</w:t>
      </w:r>
      <w:r w:rsidR="006515EF">
        <w:rPr>
          <w:rFonts w:eastAsiaTheme="minorEastAsia"/>
        </w:rPr>
        <w:t>,</w:t>
      </w:r>
      <w:r w:rsidRPr="004F5D71">
        <w:rPr>
          <w:rFonts w:eastAsiaTheme="minorEastAsia"/>
        </w:rPr>
        <w:t xml:space="preserve"> and Hendry counties. FCG</w:t>
      </w:r>
      <w:r w:rsidRPr="004F5D71">
        <w:t xml:space="preserve"> filed for </w:t>
      </w:r>
      <w:r w:rsidR="00C036FD">
        <w:t>a</w:t>
      </w:r>
      <w:r w:rsidRPr="004F5D71">
        <w:t xml:space="preserve"> permanent rate increase proceeding</w:t>
      </w:r>
      <w:r w:rsidR="00C036FD" w:rsidRPr="00C036FD">
        <w:t xml:space="preserve"> </w:t>
      </w:r>
      <w:r w:rsidR="00C036FD">
        <w:t>on May 31, 2022</w:t>
      </w:r>
      <w:r w:rsidRPr="004F5D71">
        <w:t>. Accordingly, in complia</w:t>
      </w:r>
      <w:r>
        <w:t>nce with Section 366.06(2), Florida Statutes (F.S.)</w:t>
      </w:r>
      <w:r w:rsidRPr="004F5D71">
        <w:t xml:space="preserve">, an administrative hearing has been scheduled for this matter from </w:t>
      </w:r>
      <w:r>
        <w:t>December 12-16, 2022. The Order Establishing Procedure</w:t>
      </w:r>
      <w:r w:rsidR="00E501C1">
        <w:t xml:space="preserve"> (OEP)</w:t>
      </w:r>
      <w:r w:rsidR="00E36FE5">
        <w:t>, Order No. PSC-2022-0224-PCO-GU,</w:t>
      </w:r>
      <w:r>
        <w:t xml:space="preserve"> was </w:t>
      </w:r>
      <w:r w:rsidR="00E501C1">
        <w:t>issued</w:t>
      </w:r>
      <w:r>
        <w:t xml:space="preserve"> on June 22, 2022. </w:t>
      </w:r>
      <w:r w:rsidR="006515EF">
        <w:t xml:space="preserve">At the time that </w:t>
      </w:r>
      <w:r w:rsidR="006515EF" w:rsidRPr="002E7F41">
        <w:t xml:space="preserve">the Office of Public Counsel </w:t>
      </w:r>
      <w:r w:rsidR="006515EF">
        <w:t>(</w:t>
      </w:r>
      <w:r w:rsidR="006515EF" w:rsidRPr="00107F77">
        <w:t>OPC</w:t>
      </w:r>
      <w:r w:rsidR="006515EF">
        <w:t>)</w:t>
      </w:r>
      <w:r w:rsidR="006515EF" w:rsidRPr="00107F77">
        <w:t xml:space="preserve"> </w:t>
      </w:r>
      <w:r w:rsidR="006515EF">
        <w:t xml:space="preserve">filed its motion, there were no other intervenors in this docket. </w:t>
      </w:r>
    </w:p>
    <w:p w:rsidR="006515EF" w:rsidRDefault="006515EF" w:rsidP="001B4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5F02" w:rsidRDefault="006A606F" w:rsidP="00DA5A3B">
      <w:pPr>
        <w:pStyle w:val="CenterUnderline"/>
        <w:jc w:val="both"/>
        <w:rPr>
          <w:u w:val="none"/>
        </w:rPr>
      </w:pPr>
      <w:r>
        <w:rPr>
          <w:u w:val="none"/>
        </w:rPr>
        <w:tab/>
        <w:t>On</w:t>
      </w:r>
      <w:r w:rsidR="00153345">
        <w:rPr>
          <w:u w:val="none"/>
        </w:rPr>
        <w:t xml:space="preserve"> June 28, 2022</w:t>
      </w:r>
      <w:r w:rsidRPr="00C35F85">
        <w:rPr>
          <w:i/>
          <w:u w:val="none"/>
        </w:rPr>
        <w:t>,</w:t>
      </w:r>
      <w:r w:rsidRPr="002E7F41">
        <w:rPr>
          <w:u w:val="none"/>
        </w:rPr>
        <w:t xml:space="preserve"> </w:t>
      </w:r>
      <w:r w:rsidR="002E7F41" w:rsidRPr="002E7F41">
        <w:rPr>
          <w:u w:val="none"/>
        </w:rPr>
        <w:t>OPC</w:t>
      </w:r>
      <w:r w:rsidRPr="002E7F41">
        <w:rPr>
          <w:u w:val="none"/>
        </w:rPr>
        <w:t xml:space="preserve"> </w:t>
      </w:r>
      <w:r>
        <w:rPr>
          <w:u w:val="none"/>
        </w:rPr>
        <w:t xml:space="preserve">filed a motion </w:t>
      </w:r>
      <w:r w:rsidR="002E7F41">
        <w:rPr>
          <w:u w:val="none"/>
        </w:rPr>
        <w:t>to modify</w:t>
      </w:r>
      <w:r>
        <w:rPr>
          <w:u w:val="none"/>
        </w:rPr>
        <w:t xml:space="preserve"> certain </w:t>
      </w:r>
      <w:r w:rsidR="00C036FD">
        <w:rPr>
          <w:u w:val="none"/>
        </w:rPr>
        <w:t xml:space="preserve">controlling </w:t>
      </w:r>
      <w:r>
        <w:rPr>
          <w:u w:val="none"/>
        </w:rPr>
        <w:t xml:space="preserve">dates </w:t>
      </w:r>
      <w:r w:rsidR="00C036FD">
        <w:rPr>
          <w:u w:val="none"/>
        </w:rPr>
        <w:t>set by</w:t>
      </w:r>
      <w:r>
        <w:rPr>
          <w:u w:val="none"/>
        </w:rPr>
        <w:t xml:space="preserve"> the </w:t>
      </w:r>
      <w:r w:rsidR="00E501C1">
        <w:rPr>
          <w:u w:val="none"/>
        </w:rPr>
        <w:t>OEP</w:t>
      </w:r>
      <w:r w:rsidR="002E7F41">
        <w:rPr>
          <w:u w:val="none"/>
        </w:rPr>
        <w:t>.</w:t>
      </w:r>
      <w:r>
        <w:rPr>
          <w:u w:val="none"/>
        </w:rPr>
        <w:t xml:space="preserve"> </w:t>
      </w:r>
      <w:r w:rsidR="002E7F41" w:rsidRPr="002E7F41">
        <w:rPr>
          <w:u w:val="none"/>
        </w:rPr>
        <w:t xml:space="preserve">OPC </w:t>
      </w:r>
      <w:r w:rsidR="00C47F1B" w:rsidRPr="00C47F1B">
        <w:rPr>
          <w:u w:val="none"/>
        </w:rPr>
        <w:t xml:space="preserve">requests </w:t>
      </w:r>
      <w:r w:rsidR="00AE0BDC">
        <w:rPr>
          <w:u w:val="none"/>
        </w:rPr>
        <w:t>that the deadlines for filing Intervenor, Staff, and Rebuttal Testimony should be pushed back 3 weeks</w:t>
      </w:r>
      <w:r w:rsidR="00AE0BDC" w:rsidRPr="00C47F1B">
        <w:rPr>
          <w:u w:val="none"/>
        </w:rPr>
        <w:t xml:space="preserve"> </w:t>
      </w:r>
      <w:r w:rsidR="00AE0BDC">
        <w:rPr>
          <w:u w:val="none"/>
        </w:rPr>
        <w:t xml:space="preserve">to provide </w:t>
      </w:r>
      <w:r w:rsidR="00C47F1B" w:rsidRPr="00C47F1B">
        <w:rPr>
          <w:u w:val="none"/>
        </w:rPr>
        <w:t xml:space="preserve">additional time </w:t>
      </w:r>
      <w:r w:rsidR="00AE0BDC">
        <w:rPr>
          <w:u w:val="none"/>
        </w:rPr>
        <w:t xml:space="preserve">for OPC </w:t>
      </w:r>
      <w:r w:rsidR="00C47F1B" w:rsidRPr="00C47F1B">
        <w:rPr>
          <w:u w:val="none"/>
        </w:rPr>
        <w:t>to prepare its testimony</w:t>
      </w:r>
      <w:r w:rsidR="00AE0BDC">
        <w:rPr>
          <w:u w:val="none"/>
        </w:rPr>
        <w:t>.</w:t>
      </w:r>
      <w:r w:rsidR="00C47F1B" w:rsidRPr="00C47F1B">
        <w:rPr>
          <w:u w:val="none"/>
        </w:rPr>
        <w:t xml:space="preserve"> </w:t>
      </w:r>
      <w:r w:rsidR="00CE3535">
        <w:rPr>
          <w:u w:val="none"/>
        </w:rPr>
        <w:t xml:space="preserve">OPC asserts that </w:t>
      </w:r>
      <w:r w:rsidR="00C47F1B" w:rsidRPr="00C47F1B">
        <w:rPr>
          <w:u w:val="none"/>
        </w:rPr>
        <w:t xml:space="preserve">Intervenor </w:t>
      </w:r>
      <w:r w:rsidR="00CE3535">
        <w:rPr>
          <w:u w:val="none"/>
        </w:rPr>
        <w:t>T</w:t>
      </w:r>
      <w:r w:rsidR="00C47F1B" w:rsidRPr="00C47F1B">
        <w:rPr>
          <w:u w:val="none"/>
        </w:rPr>
        <w:t xml:space="preserve">estimony and </w:t>
      </w:r>
      <w:r w:rsidR="00CE3535">
        <w:rPr>
          <w:u w:val="none"/>
        </w:rPr>
        <w:t>E</w:t>
      </w:r>
      <w:r w:rsidR="00C47F1B" w:rsidRPr="00C47F1B">
        <w:rPr>
          <w:u w:val="none"/>
        </w:rPr>
        <w:t xml:space="preserve">xhibits are due </w:t>
      </w:r>
      <w:r w:rsidR="00F75F02">
        <w:rPr>
          <w:u w:val="none"/>
        </w:rPr>
        <w:t xml:space="preserve">only </w:t>
      </w:r>
      <w:r w:rsidR="008C3930">
        <w:rPr>
          <w:u w:val="none"/>
        </w:rPr>
        <w:t>2.5</w:t>
      </w:r>
      <w:r w:rsidR="00C47F1B" w:rsidRPr="00C47F1B">
        <w:rPr>
          <w:u w:val="none"/>
        </w:rPr>
        <w:t xml:space="preserve"> months after the utility file</w:t>
      </w:r>
      <w:r w:rsidR="00F75F02">
        <w:rPr>
          <w:u w:val="none"/>
        </w:rPr>
        <w:t>d</w:t>
      </w:r>
      <w:r w:rsidR="00C47F1B" w:rsidRPr="00C47F1B">
        <w:rPr>
          <w:u w:val="none"/>
        </w:rPr>
        <w:t xml:space="preserve"> its </w:t>
      </w:r>
      <w:r w:rsidR="00CE3535">
        <w:rPr>
          <w:u w:val="none"/>
        </w:rPr>
        <w:t xml:space="preserve">rate case documents, </w:t>
      </w:r>
      <w:r w:rsidR="00AE0BDC">
        <w:rPr>
          <w:u w:val="none"/>
        </w:rPr>
        <w:t xml:space="preserve">and </w:t>
      </w:r>
      <w:r w:rsidR="00CE3535">
        <w:rPr>
          <w:u w:val="none"/>
        </w:rPr>
        <w:t>that</w:t>
      </w:r>
      <w:r w:rsidR="008E371D">
        <w:rPr>
          <w:u w:val="none"/>
        </w:rPr>
        <w:t>,</w:t>
      </w:r>
      <w:r w:rsidR="00CE3535">
        <w:rPr>
          <w:u w:val="none"/>
        </w:rPr>
        <w:t xml:space="preserve"> </w:t>
      </w:r>
      <w:r w:rsidR="008E371D">
        <w:rPr>
          <w:u w:val="none"/>
        </w:rPr>
        <w:t xml:space="preserve">due to </w:t>
      </w:r>
      <w:r w:rsidR="00C47F1B" w:rsidRPr="00C47F1B">
        <w:rPr>
          <w:u w:val="none"/>
        </w:rPr>
        <w:t xml:space="preserve">the complexity of </w:t>
      </w:r>
      <w:r w:rsidR="008E371D">
        <w:rPr>
          <w:u w:val="none"/>
        </w:rPr>
        <w:t>the matters within the docket</w:t>
      </w:r>
      <w:r w:rsidR="00C47F1B" w:rsidRPr="00C47F1B">
        <w:rPr>
          <w:u w:val="none"/>
        </w:rPr>
        <w:t xml:space="preserve">, </w:t>
      </w:r>
      <w:r w:rsidR="008E371D">
        <w:rPr>
          <w:u w:val="none"/>
        </w:rPr>
        <w:t>this is</w:t>
      </w:r>
      <w:r w:rsidR="00C47F1B" w:rsidRPr="00C47F1B">
        <w:rPr>
          <w:u w:val="none"/>
        </w:rPr>
        <w:t xml:space="preserve"> insufficient time </w:t>
      </w:r>
      <w:r w:rsidR="00D559EB">
        <w:rPr>
          <w:u w:val="none"/>
        </w:rPr>
        <w:t xml:space="preserve">for it </w:t>
      </w:r>
      <w:r w:rsidR="00CE3535">
        <w:rPr>
          <w:u w:val="none"/>
        </w:rPr>
        <w:t xml:space="preserve">to </w:t>
      </w:r>
      <w:r w:rsidR="00C47F1B" w:rsidRPr="00C47F1B">
        <w:rPr>
          <w:u w:val="none"/>
        </w:rPr>
        <w:t>adequately prepare its case in chief. OPC</w:t>
      </w:r>
      <w:r w:rsidR="00C47F1B">
        <w:rPr>
          <w:u w:val="none"/>
        </w:rPr>
        <w:t xml:space="preserve"> </w:t>
      </w:r>
      <w:r w:rsidR="00D559EB">
        <w:rPr>
          <w:u w:val="none"/>
        </w:rPr>
        <w:t xml:space="preserve">and its </w:t>
      </w:r>
      <w:r w:rsidR="00C47F1B" w:rsidRPr="00C47F1B">
        <w:rPr>
          <w:u w:val="none"/>
        </w:rPr>
        <w:t>experts require additional time to conduct reasonable discovery and thoroughly</w:t>
      </w:r>
      <w:r w:rsidR="00C47F1B">
        <w:rPr>
          <w:u w:val="none"/>
        </w:rPr>
        <w:t xml:space="preserve"> </w:t>
      </w:r>
      <w:r w:rsidR="00C47F1B" w:rsidRPr="00C47F1B">
        <w:rPr>
          <w:u w:val="none"/>
        </w:rPr>
        <w:t xml:space="preserve">analyze and assess </w:t>
      </w:r>
      <w:r w:rsidR="00D559EB">
        <w:rPr>
          <w:u w:val="none"/>
        </w:rPr>
        <w:t xml:space="preserve">the responses. </w:t>
      </w:r>
    </w:p>
    <w:p w:rsidR="00F75F02" w:rsidRDefault="00F75F02" w:rsidP="00DA5A3B">
      <w:pPr>
        <w:pStyle w:val="CenterUnderline"/>
        <w:jc w:val="both"/>
        <w:rPr>
          <w:u w:val="none"/>
        </w:rPr>
      </w:pPr>
    </w:p>
    <w:p w:rsidR="006A606F" w:rsidRPr="00FF7164" w:rsidRDefault="00DA5A3B" w:rsidP="00F75F02">
      <w:pPr>
        <w:pStyle w:val="CenterUnderline"/>
        <w:ind w:firstLine="720"/>
        <w:jc w:val="both"/>
        <w:rPr>
          <w:u w:val="none"/>
        </w:rPr>
      </w:pPr>
      <w:r w:rsidRPr="00DA5A3B">
        <w:rPr>
          <w:u w:val="none"/>
        </w:rPr>
        <w:t xml:space="preserve">Additionally, OPC contends that the current schedule leaves almost </w:t>
      </w:r>
      <w:r w:rsidR="008C3930">
        <w:rPr>
          <w:u w:val="none"/>
        </w:rPr>
        <w:t>2</w:t>
      </w:r>
      <w:r w:rsidRPr="00DA5A3B">
        <w:rPr>
          <w:u w:val="none"/>
        </w:rPr>
        <w:t xml:space="preserve"> months of time between the deadline for </w:t>
      </w:r>
      <w:r>
        <w:rPr>
          <w:u w:val="none"/>
        </w:rPr>
        <w:t>Rebuttal and the Discovery Deadline, and proposes a redistribution of those days</w:t>
      </w:r>
      <w:r w:rsidRPr="00DA5A3B">
        <w:rPr>
          <w:u w:val="none"/>
        </w:rPr>
        <w:t xml:space="preserve"> so that all parties are allowed more time to prepare</w:t>
      </w:r>
      <w:r>
        <w:rPr>
          <w:u w:val="none"/>
        </w:rPr>
        <w:t xml:space="preserve"> for hearing, </w:t>
      </w:r>
      <w:r w:rsidRPr="00DA5A3B">
        <w:rPr>
          <w:u w:val="none"/>
        </w:rPr>
        <w:t>without changing the deadline for discovery, prehearing statements, prehearing conference, hearing</w:t>
      </w:r>
      <w:r w:rsidR="00C036FD">
        <w:rPr>
          <w:u w:val="none"/>
        </w:rPr>
        <w:t>,</w:t>
      </w:r>
      <w:r w:rsidRPr="00DA5A3B">
        <w:rPr>
          <w:u w:val="none"/>
        </w:rPr>
        <w:t xml:space="preserve"> or briefs.</w:t>
      </w:r>
      <w:r>
        <w:rPr>
          <w:u w:val="none"/>
        </w:rPr>
        <w:t xml:space="preserve"> </w:t>
      </w:r>
      <w:r w:rsidR="00D559EB">
        <w:rPr>
          <w:u w:val="none"/>
        </w:rPr>
        <w:t>OPC</w:t>
      </w:r>
      <w:r>
        <w:rPr>
          <w:u w:val="none"/>
        </w:rPr>
        <w:t xml:space="preserve"> state</w:t>
      </w:r>
      <w:r w:rsidR="00C036FD">
        <w:rPr>
          <w:u w:val="none"/>
        </w:rPr>
        <w:t>s</w:t>
      </w:r>
      <w:r>
        <w:rPr>
          <w:u w:val="none"/>
        </w:rPr>
        <w:t xml:space="preserve"> that if granted the additional days</w:t>
      </w:r>
      <w:r w:rsidR="00C036FD">
        <w:rPr>
          <w:u w:val="none"/>
        </w:rPr>
        <w:t>,</w:t>
      </w:r>
      <w:r>
        <w:rPr>
          <w:u w:val="none"/>
        </w:rPr>
        <w:t xml:space="preserve"> it could</w:t>
      </w:r>
      <w:r w:rsidR="00C47F1B">
        <w:rPr>
          <w:u w:val="none"/>
        </w:rPr>
        <w:t xml:space="preserve"> </w:t>
      </w:r>
      <w:r w:rsidR="00C47F1B" w:rsidRPr="00C47F1B">
        <w:rPr>
          <w:u w:val="none"/>
        </w:rPr>
        <w:t xml:space="preserve">ensure </w:t>
      </w:r>
      <w:r w:rsidR="00D559EB">
        <w:rPr>
          <w:u w:val="none"/>
        </w:rPr>
        <w:t xml:space="preserve">that </w:t>
      </w:r>
      <w:r w:rsidR="00C47F1B" w:rsidRPr="00C47F1B">
        <w:rPr>
          <w:u w:val="none"/>
        </w:rPr>
        <w:t>customers’ positions are well represented and that its due process rights are protected.</w:t>
      </w:r>
      <w:r w:rsidR="006A606F">
        <w:rPr>
          <w:u w:val="none"/>
        </w:rPr>
        <w:t xml:space="preserve"> </w:t>
      </w:r>
    </w:p>
    <w:p w:rsidR="006A606F" w:rsidRDefault="006A606F" w:rsidP="006A606F">
      <w:pPr>
        <w:pStyle w:val="CenterUnderline"/>
      </w:pPr>
    </w:p>
    <w:p w:rsidR="003F4E26" w:rsidRPr="00107F77" w:rsidRDefault="00D559EB" w:rsidP="006A606F">
      <w:pPr>
        <w:pStyle w:val="OrderBody"/>
      </w:pPr>
      <w:r>
        <w:tab/>
        <w:t xml:space="preserve">OPC also petitions for 5 additional days for the Utility to respond to </w:t>
      </w:r>
      <w:r w:rsidR="00DA5A3B">
        <w:t xml:space="preserve">discovery requests based upon </w:t>
      </w:r>
      <w:r w:rsidR="006515EF">
        <w:t>the Utility’s</w:t>
      </w:r>
      <w:r>
        <w:t xml:space="preserve"> </w:t>
      </w:r>
      <w:r w:rsidR="00DA5A3B">
        <w:t xml:space="preserve">initial </w:t>
      </w:r>
      <w:r>
        <w:t>rate case filings</w:t>
      </w:r>
      <w:r w:rsidR="006515EF">
        <w:t xml:space="preserve"> and related discovery</w:t>
      </w:r>
      <w:r>
        <w:t xml:space="preserve">, but only up until the </w:t>
      </w:r>
      <w:r w:rsidR="003F4E26">
        <w:t xml:space="preserve">date of the </w:t>
      </w:r>
      <w:r>
        <w:t xml:space="preserve">deadline for </w:t>
      </w:r>
      <w:r w:rsidR="003F4E26">
        <w:t>i</w:t>
      </w:r>
      <w:r>
        <w:t xml:space="preserve">ntervenors to file </w:t>
      </w:r>
      <w:r w:rsidR="003F4E26">
        <w:t>t</w:t>
      </w:r>
      <w:r>
        <w:t xml:space="preserve">estimony. </w:t>
      </w:r>
      <w:r w:rsidR="003F4E26">
        <w:t>OPC states this request</w:t>
      </w:r>
      <w:r w:rsidR="00166D15">
        <w:t xml:space="preserve"> is</w:t>
      </w:r>
      <w:r w:rsidR="003F4E26">
        <w:t xml:space="preserve"> an accommodation to FCG</w:t>
      </w:r>
      <w:r w:rsidR="003F4E26" w:rsidRPr="00107F77">
        <w:t>.</w:t>
      </w:r>
    </w:p>
    <w:p w:rsidR="0002776F" w:rsidRPr="00107F77" w:rsidRDefault="0002776F" w:rsidP="006A606F">
      <w:pPr>
        <w:pStyle w:val="OrderBody"/>
      </w:pPr>
    </w:p>
    <w:p w:rsidR="001F41D7" w:rsidRDefault="0002776F" w:rsidP="006515EF">
      <w:pPr>
        <w:pStyle w:val="OrderBody"/>
        <w:rPr>
          <w:rFonts w:eastAsiaTheme="minorEastAsia"/>
        </w:rPr>
      </w:pPr>
      <w:r w:rsidRPr="00107F77">
        <w:tab/>
        <w:t xml:space="preserve">On June 30, </w:t>
      </w:r>
      <w:r w:rsidR="00F75F02">
        <w:t xml:space="preserve">2022, </w:t>
      </w:r>
      <w:r w:rsidR="007A7600" w:rsidRPr="00107F77">
        <w:t xml:space="preserve">FCG </w:t>
      </w:r>
      <w:r w:rsidR="006515EF">
        <w:t>r</w:t>
      </w:r>
      <w:r w:rsidR="007A7600" w:rsidRPr="00107F77">
        <w:t>espon</w:t>
      </w:r>
      <w:r w:rsidR="006515EF">
        <w:t>ded in opposition</w:t>
      </w:r>
      <w:r w:rsidR="007A7600" w:rsidRPr="00107F77">
        <w:t xml:space="preserve"> to OPC’s request </w:t>
      </w:r>
      <w:r w:rsidR="006515EF">
        <w:t xml:space="preserve">to extend </w:t>
      </w:r>
      <w:r w:rsidR="007A7600" w:rsidRPr="00107F77">
        <w:t>the deadlines for Intervenor, Staff, and Rebuttal Testimony</w:t>
      </w:r>
      <w:r w:rsidR="00E36FE5">
        <w:t>.</w:t>
      </w:r>
      <w:r w:rsidR="007A7600" w:rsidRPr="00107F77">
        <w:t xml:space="preserve"> FCG asserts that OPC’s Motion should be denied for failing to establish good cause as required by Rule 28-106.204(4), </w:t>
      </w:r>
      <w:r w:rsidR="00E501C1" w:rsidRPr="00107F77">
        <w:t xml:space="preserve">Florida Administrative Code </w:t>
      </w:r>
      <w:r w:rsidR="00E501C1">
        <w:t>(</w:t>
      </w:r>
      <w:r w:rsidR="007A7600" w:rsidRPr="00107F77">
        <w:t>F.A.C.</w:t>
      </w:r>
      <w:r w:rsidR="00E501C1">
        <w:t>).</w:t>
      </w:r>
      <w:r w:rsidR="007A7600" w:rsidRPr="00107F77">
        <w:t xml:space="preserve"> FCG also disagrees with OPC’s ch</w:t>
      </w:r>
      <w:r w:rsidR="00107F77" w:rsidRPr="00107F77">
        <w:t>ar</w:t>
      </w:r>
      <w:r w:rsidR="007A7600" w:rsidRPr="00107F77">
        <w:t>acteri</w:t>
      </w:r>
      <w:r w:rsidR="00107F77" w:rsidRPr="00107F77">
        <w:t>z</w:t>
      </w:r>
      <w:r w:rsidR="007A7600" w:rsidRPr="00107F77">
        <w:t>ation</w:t>
      </w:r>
      <w:r w:rsidR="00107F77">
        <w:t>s</w:t>
      </w:r>
      <w:r w:rsidR="007A7600" w:rsidRPr="00107F77">
        <w:t xml:space="preserve"> of this rate case as complex</w:t>
      </w:r>
      <w:r w:rsidR="00107F77">
        <w:t xml:space="preserve"> or </w:t>
      </w:r>
      <w:r w:rsidR="00107F77">
        <w:lastRenderedPageBreak/>
        <w:t>that 2.5 weeks is insufficient time to prepare expert testimony</w:t>
      </w:r>
      <w:r w:rsidR="007A7600" w:rsidRPr="00107F77">
        <w:t xml:space="preserve">. </w:t>
      </w:r>
      <w:r w:rsidR="00166D15">
        <w:t xml:space="preserve">FCG believes </w:t>
      </w:r>
      <w:r w:rsidR="00E526E4">
        <w:t xml:space="preserve">OPC’s 3 week extension </w:t>
      </w:r>
      <w:r w:rsidR="00166D15">
        <w:t>is unnecessary, but</w:t>
      </w:r>
      <w:r w:rsidR="00E526E4">
        <w:t xml:space="preserve"> </w:t>
      </w:r>
      <w:r w:rsidR="007A7600" w:rsidRPr="00107F77">
        <w:t xml:space="preserve">FCG </w:t>
      </w:r>
      <w:r w:rsidR="00F75F02">
        <w:t xml:space="preserve">agrees to </w:t>
      </w:r>
      <w:r w:rsidR="007A7600" w:rsidRPr="00107F77">
        <w:t>an extension of 10 additional days to the filing deadlines for Intervenor, Staff, and Rebuttal Testimony</w:t>
      </w:r>
      <w:r w:rsidR="00F75F02">
        <w:t>, on the condition that the hearing date remain</w:t>
      </w:r>
      <w:r w:rsidR="006515EF">
        <w:t>s</w:t>
      </w:r>
      <w:r w:rsidR="00F75F02">
        <w:t xml:space="preserve"> unchanged.</w:t>
      </w:r>
      <w:r w:rsidR="00E526E4">
        <w:t xml:space="preserve"> </w:t>
      </w:r>
      <w:r w:rsidR="00F75F02" w:rsidRPr="007D6B5E">
        <w:rPr>
          <w:rFonts w:eastAsiaTheme="minorEastAsia"/>
        </w:rPr>
        <w:t xml:space="preserve">FCG </w:t>
      </w:r>
      <w:r w:rsidR="00F75F02">
        <w:rPr>
          <w:rFonts w:eastAsiaTheme="minorEastAsia"/>
        </w:rPr>
        <w:t xml:space="preserve">opposes </w:t>
      </w:r>
      <w:r w:rsidR="00F75F02" w:rsidRPr="007D6B5E">
        <w:rPr>
          <w:rFonts w:eastAsiaTheme="minorEastAsia"/>
        </w:rPr>
        <w:t xml:space="preserve">any such modifications </w:t>
      </w:r>
      <w:r w:rsidR="00F75F02">
        <w:rPr>
          <w:rFonts w:eastAsiaTheme="minorEastAsia"/>
        </w:rPr>
        <w:t>that would</w:t>
      </w:r>
      <w:r w:rsidR="001F41D7" w:rsidRPr="007D6B5E">
        <w:rPr>
          <w:rFonts w:eastAsiaTheme="minorEastAsia"/>
        </w:rPr>
        <w:t xml:space="preserve"> require a delay in the hearing dates established by the OEP</w:t>
      </w:r>
      <w:r w:rsidR="001F41D7">
        <w:rPr>
          <w:rFonts w:eastAsiaTheme="minorEastAsia"/>
        </w:rPr>
        <w:t>.</w:t>
      </w:r>
    </w:p>
    <w:p w:rsidR="001F41D7" w:rsidRDefault="001F41D7" w:rsidP="001F41D7">
      <w:pPr>
        <w:pStyle w:val="Default"/>
        <w:ind w:firstLine="720"/>
        <w:jc w:val="both"/>
        <w:rPr>
          <w:rFonts w:eastAsiaTheme="minorEastAsia"/>
          <w:color w:val="auto"/>
        </w:rPr>
      </w:pPr>
    </w:p>
    <w:p w:rsidR="007D6B5E" w:rsidRPr="007D6B5E" w:rsidRDefault="00E526E4" w:rsidP="009A7471">
      <w:pPr>
        <w:autoSpaceDE w:val="0"/>
        <w:autoSpaceDN w:val="0"/>
        <w:adjustRightInd w:val="0"/>
        <w:ind w:firstLine="720"/>
        <w:jc w:val="both"/>
      </w:pPr>
      <w:r>
        <w:t>FCG has no objection to OPC’s proposal to ex</w:t>
      </w:r>
      <w:r w:rsidR="006515EF">
        <w:t>pand</w:t>
      </w:r>
      <w:r>
        <w:t xml:space="preserve"> the </w:t>
      </w:r>
      <w:r w:rsidR="00E36FE5">
        <w:t xml:space="preserve">written </w:t>
      </w:r>
      <w:r>
        <w:t xml:space="preserve">discovery response period from </w:t>
      </w:r>
      <w:r w:rsidR="00D4122F">
        <w:t>20</w:t>
      </w:r>
      <w:r>
        <w:t xml:space="preserve"> to </w:t>
      </w:r>
      <w:r w:rsidR="00D4122F">
        <w:t>25</w:t>
      </w:r>
      <w:r w:rsidR="006515EF">
        <w:t xml:space="preserve"> </w:t>
      </w:r>
      <w:r>
        <w:t>days until the intervenor testimony due date</w:t>
      </w:r>
      <w:r w:rsidR="00D4122F">
        <w:t>, after which the written discovery response time would</w:t>
      </w:r>
      <w:r>
        <w:t xml:space="preserve"> revert back to </w:t>
      </w:r>
      <w:r w:rsidR="00D4122F">
        <w:t xml:space="preserve">20 </w:t>
      </w:r>
      <w:r>
        <w:t>day</w:t>
      </w:r>
      <w:r w:rsidR="00D4122F">
        <w:t>s.</w:t>
      </w:r>
      <w:r>
        <w:t xml:space="preserve"> </w:t>
      </w:r>
    </w:p>
    <w:p w:rsidR="007D6B5E" w:rsidRPr="007D6B5E" w:rsidRDefault="007D6B5E" w:rsidP="007A7600">
      <w:pPr>
        <w:pStyle w:val="Default"/>
        <w:jc w:val="both"/>
        <w:rPr>
          <w:color w:val="auto"/>
        </w:rPr>
      </w:pPr>
    </w:p>
    <w:p w:rsidR="007D6B5E" w:rsidRPr="006515EF" w:rsidRDefault="007D6B5E" w:rsidP="007D6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Cs/>
        </w:rPr>
      </w:pPr>
      <w:r w:rsidRPr="006515EF">
        <w:rPr>
          <w:bCs/>
          <w:u w:val="single"/>
        </w:rPr>
        <w:t>Analysis and Decision</w:t>
      </w:r>
    </w:p>
    <w:p w:rsidR="007D6B5E" w:rsidRDefault="007D6B5E" w:rsidP="007D6B5E">
      <w:pPr>
        <w:pStyle w:val="OrderBody"/>
      </w:pPr>
    </w:p>
    <w:p w:rsidR="006A606F" w:rsidRDefault="00D4122F" w:rsidP="00D5327D">
      <w:pPr>
        <w:pStyle w:val="OrderBody"/>
        <w:ind w:firstLine="720"/>
      </w:pPr>
      <w:r>
        <w:t>Having considered the arguments made by OPC and FCG, t</w:t>
      </w:r>
      <w:r w:rsidR="00166D15">
        <w:t xml:space="preserve">he </w:t>
      </w:r>
      <w:r w:rsidR="00D5327D">
        <w:t>deadline</w:t>
      </w:r>
      <w:r w:rsidR="00E501C1">
        <w:t>s</w:t>
      </w:r>
      <w:r w:rsidR="00D5327D">
        <w:t xml:space="preserve"> for </w:t>
      </w:r>
      <w:r w:rsidR="00166D15">
        <w:t xml:space="preserve">filing </w:t>
      </w:r>
      <w:r w:rsidR="00D5327D">
        <w:t>Intervenor, Staff, and Rebuttal Testimony</w:t>
      </w:r>
      <w:r w:rsidR="00166D15">
        <w:t xml:space="preserve"> shall be extended for 10 days,</w:t>
      </w:r>
      <w:r w:rsidR="00A544DC" w:rsidRPr="00107F77">
        <w:t xml:space="preserve"> as reflected below:</w:t>
      </w:r>
      <w:r w:rsidR="007D6B5E">
        <w:t xml:space="preserve"> </w:t>
      </w:r>
    </w:p>
    <w:tbl>
      <w:tblPr>
        <w:tblW w:w="0" w:type="auto"/>
        <w:tblInd w:w="156" w:type="dxa"/>
        <w:tblLayout w:type="fixed"/>
        <w:tblCellMar>
          <w:left w:w="120" w:type="dxa"/>
          <w:right w:w="120" w:type="dxa"/>
        </w:tblCellMar>
        <w:tblLook w:val="0000" w:firstRow="0" w:lastRow="0" w:firstColumn="0" w:lastColumn="0" w:noHBand="0" w:noVBand="0"/>
      </w:tblPr>
      <w:tblGrid>
        <w:gridCol w:w="3780"/>
        <w:gridCol w:w="2664"/>
        <w:gridCol w:w="2817"/>
      </w:tblGrid>
      <w:tr w:rsidR="006A606F" w:rsidTr="002D3933">
        <w:trPr>
          <w:cantSplit/>
        </w:trPr>
        <w:tc>
          <w:tcPr>
            <w:tcW w:w="3780" w:type="dxa"/>
          </w:tcPr>
          <w:p w:rsidR="006A606F" w:rsidRPr="00067AAB" w:rsidRDefault="006A606F" w:rsidP="002D3933">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p>
        </w:tc>
        <w:tc>
          <w:tcPr>
            <w:tcW w:w="2664" w:type="dxa"/>
          </w:tcPr>
          <w:p w:rsidR="006A606F" w:rsidRPr="00067AAB" w:rsidRDefault="006A606F" w:rsidP="00F75F02">
            <w:pPr>
              <w:numPr>
                <w:ilvl w:val="12"/>
                <w:numId w:val="0"/>
              </w:numPr>
              <w:tabs>
                <w:tab w:val="left" w:pos="0"/>
                <w:tab w:val="left" w:pos="720"/>
                <w:tab w:val="left" w:pos="1440"/>
                <w:tab w:val="left" w:pos="2160"/>
                <w:tab w:val="left" w:pos="2880"/>
                <w:tab w:val="left" w:pos="3600"/>
                <w:tab w:val="left" w:pos="4320"/>
                <w:tab w:val="left" w:pos="5040"/>
              </w:tabs>
              <w:spacing w:before="120" w:after="57"/>
              <w:rPr>
                <w:u w:val="single"/>
              </w:rPr>
            </w:pPr>
            <w:r w:rsidRPr="00067AAB">
              <w:rPr>
                <w:u w:val="single"/>
              </w:rPr>
              <w:t>Current Due Date</w:t>
            </w:r>
          </w:p>
        </w:tc>
        <w:tc>
          <w:tcPr>
            <w:tcW w:w="2817" w:type="dxa"/>
          </w:tcPr>
          <w:p w:rsidR="006A606F" w:rsidRPr="00067AAB" w:rsidRDefault="006A606F" w:rsidP="00F75F02">
            <w:pPr>
              <w:numPr>
                <w:ilvl w:val="12"/>
                <w:numId w:val="0"/>
              </w:numPr>
              <w:tabs>
                <w:tab w:val="left" w:pos="0"/>
                <w:tab w:val="left" w:pos="720"/>
                <w:tab w:val="left" w:pos="1440"/>
                <w:tab w:val="left" w:pos="2160"/>
                <w:tab w:val="left" w:pos="2880"/>
              </w:tabs>
              <w:spacing w:before="120" w:after="57"/>
              <w:rPr>
                <w:u w:val="single"/>
              </w:rPr>
            </w:pPr>
            <w:r w:rsidRPr="00067AAB">
              <w:rPr>
                <w:u w:val="single"/>
              </w:rPr>
              <w:t>Extended Due Date</w:t>
            </w:r>
          </w:p>
        </w:tc>
      </w:tr>
      <w:tr w:rsidR="006A606F" w:rsidTr="002D3933">
        <w:trPr>
          <w:cantSplit/>
        </w:trPr>
        <w:tc>
          <w:tcPr>
            <w:tcW w:w="3780" w:type="dxa"/>
          </w:tcPr>
          <w:p w:rsidR="006A606F" w:rsidRDefault="002E7F41" w:rsidP="002D393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E7F41">
              <w:t>Intervenors’ testimony and exhibits</w:t>
            </w:r>
          </w:p>
        </w:tc>
        <w:tc>
          <w:tcPr>
            <w:tcW w:w="2664" w:type="dxa"/>
          </w:tcPr>
          <w:p w:rsidR="006A606F" w:rsidRDefault="00D3234C" w:rsidP="002D393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August 16, 2022</w:t>
            </w:r>
          </w:p>
        </w:tc>
        <w:tc>
          <w:tcPr>
            <w:tcW w:w="2817" w:type="dxa"/>
          </w:tcPr>
          <w:p w:rsidR="006A606F" w:rsidRDefault="00C94321" w:rsidP="00C94321">
            <w:pPr>
              <w:numPr>
                <w:ilvl w:val="12"/>
                <w:numId w:val="0"/>
              </w:numPr>
              <w:tabs>
                <w:tab w:val="left" w:pos="0"/>
                <w:tab w:val="left" w:pos="720"/>
                <w:tab w:val="left" w:pos="1440"/>
                <w:tab w:val="left" w:pos="2160"/>
                <w:tab w:val="left" w:pos="2880"/>
              </w:tabs>
              <w:spacing w:before="120" w:after="57"/>
              <w:jc w:val="both"/>
            </w:pPr>
            <w:r>
              <w:t>August 26</w:t>
            </w:r>
            <w:r w:rsidR="002E7F41">
              <w:t>, 2022</w:t>
            </w:r>
          </w:p>
        </w:tc>
      </w:tr>
      <w:tr w:rsidR="006A606F" w:rsidTr="002D3933">
        <w:trPr>
          <w:cantSplit/>
        </w:trPr>
        <w:tc>
          <w:tcPr>
            <w:tcW w:w="3780" w:type="dxa"/>
          </w:tcPr>
          <w:p w:rsidR="006A606F" w:rsidRDefault="002E7F41" w:rsidP="002D393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w:t>
            </w:r>
            <w:r w:rsidR="006A606F">
              <w:t xml:space="preserve"> testimony and exhibits</w:t>
            </w:r>
          </w:p>
        </w:tc>
        <w:tc>
          <w:tcPr>
            <w:tcW w:w="2664" w:type="dxa"/>
          </w:tcPr>
          <w:p w:rsidR="006A606F" w:rsidRDefault="00D3234C" w:rsidP="002D393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September 1, 2022</w:t>
            </w:r>
          </w:p>
        </w:tc>
        <w:tc>
          <w:tcPr>
            <w:tcW w:w="2817" w:type="dxa"/>
          </w:tcPr>
          <w:p w:rsidR="006A606F" w:rsidRDefault="002E7F41" w:rsidP="00C94321">
            <w:pPr>
              <w:numPr>
                <w:ilvl w:val="12"/>
                <w:numId w:val="0"/>
              </w:numPr>
              <w:tabs>
                <w:tab w:val="left" w:pos="0"/>
                <w:tab w:val="left" w:pos="720"/>
                <w:tab w:val="left" w:pos="1440"/>
                <w:tab w:val="left" w:pos="2160"/>
                <w:tab w:val="left" w:pos="2880"/>
              </w:tabs>
              <w:spacing w:before="120" w:after="57"/>
              <w:jc w:val="both"/>
            </w:pPr>
            <w:r>
              <w:t xml:space="preserve">September </w:t>
            </w:r>
            <w:r w:rsidR="00C94321">
              <w:t>12</w:t>
            </w:r>
            <w:r>
              <w:t>, 2022</w:t>
            </w:r>
          </w:p>
        </w:tc>
      </w:tr>
      <w:tr w:rsidR="006A606F" w:rsidTr="002D3933">
        <w:trPr>
          <w:cantSplit/>
        </w:trPr>
        <w:tc>
          <w:tcPr>
            <w:tcW w:w="3780" w:type="dxa"/>
          </w:tcPr>
          <w:p w:rsidR="006A606F" w:rsidRDefault="006A606F" w:rsidP="002D393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exhibits</w:t>
            </w:r>
          </w:p>
        </w:tc>
        <w:tc>
          <w:tcPr>
            <w:tcW w:w="2664" w:type="dxa"/>
          </w:tcPr>
          <w:p w:rsidR="006A606F" w:rsidRDefault="00D3234C" w:rsidP="002D393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September 23, 2022</w:t>
            </w:r>
          </w:p>
        </w:tc>
        <w:tc>
          <w:tcPr>
            <w:tcW w:w="2817" w:type="dxa"/>
          </w:tcPr>
          <w:p w:rsidR="006A606F" w:rsidRDefault="002E7F41" w:rsidP="00C94321">
            <w:pPr>
              <w:numPr>
                <w:ilvl w:val="12"/>
                <w:numId w:val="0"/>
              </w:numPr>
              <w:tabs>
                <w:tab w:val="left" w:pos="0"/>
                <w:tab w:val="left" w:pos="720"/>
                <w:tab w:val="left" w:pos="1440"/>
                <w:tab w:val="left" w:pos="2160"/>
                <w:tab w:val="left" w:pos="2880"/>
              </w:tabs>
              <w:spacing w:before="120" w:after="57"/>
              <w:jc w:val="both"/>
            </w:pPr>
            <w:r>
              <w:t xml:space="preserve">October </w:t>
            </w:r>
            <w:r w:rsidR="00C94321">
              <w:t>3</w:t>
            </w:r>
            <w:r>
              <w:t>, 2022</w:t>
            </w:r>
          </w:p>
        </w:tc>
      </w:tr>
    </w:tbl>
    <w:p w:rsidR="006A606F" w:rsidRDefault="006A606F" w:rsidP="006A60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327D" w:rsidRDefault="00D4122F" w:rsidP="00327D6B">
      <w:pPr>
        <w:autoSpaceDE w:val="0"/>
        <w:autoSpaceDN w:val="0"/>
        <w:adjustRightInd w:val="0"/>
        <w:ind w:firstLine="720"/>
        <w:jc w:val="both"/>
      </w:pPr>
      <w:r>
        <w:t xml:space="preserve">In addition, the parties shall have 25 days </w:t>
      </w:r>
      <w:r w:rsidR="00645FC8">
        <w:t xml:space="preserve">to </w:t>
      </w:r>
      <w:r>
        <w:t>respond to written</w:t>
      </w:r>
      <w:r w:rsidR="00645FC8">
        <w:t xml:space="preserve"> discovery </w:t>
      </w:r>
      <w:r>
        <w:t xml:space="preserve">until </w:t>
      </w:r>
      <w:r w:rsidR="00645FC8">
        <w:t xml:space="preserve">intervenor testimony </w:t>
      </w:r>
      <w:r>
        <w:t xml:space="preserve">is </w:t>
      </w:r>
      <w:r w:rsidR="00645FC8">
        <w:t>due</w:t>
      </w:r>
      <w:r>
        <w:t xml:space="preserve">, when the </w:t>
      </w:r>
      <w:r w:rsidR="00645FC8">
        <w:t xml:space="preserve">response </w:t>
      </w:r>
      <w:r>
        <w:t xml:space="preserve">time will revert back to 20 days. </w:t>
      </w:r>
    </w:p>
    <w:p w:rsidR="00D5327D" w:rsidRDefault="00D5327D" w:rsidP="00A544DC">
      <w:pPr>
        <w:autoSpaceDE w:val="0"/>
        <w:autoSpaceDN w:val="0"/>
        <w:adjustRightInd w:val="0"/>
        <w:ind w:firstLine="720"/>
        <w:jc w:val="both"/>
      </w:pPr>
    </w:p>
    <w:p w:rsidR="00A544DC" w:rsidRDefault="00A544DC" w:rsidP="00A544DC">
      <w:pPr>
        <w:autoSpaceDE w:val="0"/>
        <w:autoSpaceDN w:val="0"/>
        <w:adjustRightInd w:val="0"/>
        <w:ind w:firstLine="720"/>
        <w:jc w:val="both"/>
      </w:pPr>
      <w:r>
        <w:t xml:space="preserve">This </w:t>
      </w:r>
      <w:r w:rsidR="00046FC3">
        <w:t>o</w:t>
      </w:r>
      <w:r>
        <w:t>rder is issued pursuant to the authority afforded by Rule 28-106.211, F</w:t>
      </w:r>
      <w:r w:rsidR="00E501C1">
        <w:t>.A.C.</w:t>
      </w:r>
      <w:r>
        <w:t xml:space="preserve">, which provides that the Presiding Officer before whom a case is pending may issue any orders necessary to effectuate discovery, prevent delay, and promote the just, speedy, and inexpensive determination of all aspects of the case. </w:t>
      </w:r>
      <w:r w:rsidR="00F85735">
        <w:t xml:space="preserve">Order No. </w:t>
      </w:r>
      <w:r w:rsidR="00F85735" w:rsidRPr="002E7F41">
        <w:t>PSC-2022-0224-PCO-GU</w:t>
      </w:r>
      <w:r w:rsidR="00F85735">
        <w:t xml:space="preserve"> </w:t>
      </w:r>
      <w:r>
        <w:t>is reaffirmed in all other respects.</w:t>
      </w:r>
    </w:p>
    <w:p w:rsidR="00A544DC" w:rsidRDefault="006A606F" w:rsidP="006A60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A606F" w:rsidRDefault="00166D15" w:rsidP="006A60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A606F">
        <w:t xml:space="preserve">Based upon the </w:t>
      </w:r>
      <w:r w:rsidR="00EF43B4">
        <w:t>above representations it is</w:t>
      </w:r>
    </w:p>
    <w:p w:rsidR="006A606F" w:rsidRDefault="006A606F" w:rsidP="006A606F">
      <w:pPr>
        <w:pStyle w:val="OrderBody"/>
      </w:pPr>
    </w:p>
    <w:p w:rsidR="006A606F" w:rsidRDefault="006A606F" w:rsidP="00EF43B4">
      <w:pPr>
        <w:ind w:firstLine="720"/>
        <w:jc w:val="both"/>
      </w:pPr>
      <w:r>
        <w:t xml:space="preserve">ORDERED by </w:t>
      </w:r>
      <w:r w:rsidR="00D3234C">
        <w:t>Chairman</w:t>
      </w:r>
      <w:r>
        <w:t xml:space="preserve"> </w:t>
      </w:r>
      <w:r w:rsidR="00AA439F">
        <w:t xml:space="preserve">Andrew Giles Fay, </w:t>
      </w:r>
      <w:r w:rsidR="00166D15">
        <w:t xml:space="preserve">as Chairman and </w:t>
      </w:r>
      <w:r w:rsidR="00AA439F">
        <w:t>Prehearing</w:t>
      </w:r>
      <w:r w:rsidR="00153345">
        <w:t xml:space="preserve"> Officer</w:t>
      </w:r>
      <w:r>
        <w:t xml:space="preserve">, that the Motion </w:t>
      </w:r>
      <w:r w:rsidR="00D3234C">
        <w:t>to Modify Key Activity Dates</w:t>
      </w:r>
      <w:r>
        <w:t xml:space="preserve"> </w:t>
      </w:r>
      <w:r w:rsidR="00EF43B4" w:rsidRPr="001005D9">
        <w:t xml:space="preserve">is hereby granted in part and denied in part, as set forth </w:t>
      </w:r>
      <w:r w:rsidR="00222F64">
        <w:t xml:space="preserve">above </w:t>
      </w:r>
      <w:r w:rsidR="00EF43B4" w:rsidRPr="001005D9">
        <w:t>in the body of this Order.</w:t>
      </w:r>
      <w:r w:rsidR="00046FC3">
        <w:t xml:space="preserve"> </w:t>
      </w:r>
      <w:r>
        <w:t>It is further</w:t>
      </w:r>
    </w:p>
    <w:p w:rsidR="006A606F" w:rsidRDefault="006A606F" w:rsidP="006A606F">
      <w:pPr>
        <w:pStyle w:val="OrderBody"/>
      </w:pPr>
    </w:p>
    <w:p w:rsidR="00EF43B4" w:rsidRDefault="006A606F" w:rsidP="006A606F">
      <w:pPr>
        <w:pStyle w:val="OrderBody"/>
      </w:pPr>
      <w:r>
        <w:tab/>
        <w:t xml:space="preserve">ORDERED that </w:t>
      </w:r>
      <w:r w:rsidR="00EF43B4">
        <w:t xml:space="preserve">the </w:t>
      </w:r>
      <w:r w:rsidR="00D4122F">
        <w:t xml:space="preserve">time period for filing </w:t>
      </w:r>
      <w:r w:rsidR="00EF43B4">
        <w:t xml:space="preserve">Intervenor, Staff, and Rebuttal Testimony is </w:t>
      </w:r>
      <w:r w:rsidR="00222F64">
        <w:t xml:space="preserve">extended </w:t>
      </w:r>
      <w:r w:rsidR="00EF43B4">
        <w:t xml:space="preserve">for a period of 10 days. It is further </w:t>
      </w:r>
    </w:p>
    <w:p w:rsidR="00EF43B4" w:rsidRDefault="00EF43B4" w:rsidP="006A606F">
      <w:pPr>
        <w:pStyle w:val="OrderBody"/>
      </w:pPr>
    </w:p>
    <w:p w:rsidR="00EF43B4" w:rsidRDefault="00EF43B4" w:rsidP="00EF43B4">
      <w:pPr>
        <w:pStyle w:val="OrderBody"/>
        <w:ind w:firstLine="720"/>
      </w:pPr>
      <w:r>
        <w:t xml:space="preserve">ORDERED </w:t>
      </w:r>
      <w:r w:rsidR="000F371D">
        <w:t>that the</w:t>
      </w:r>
      <w:r w:rsidR="00D4122F">
        <w:t xml:space="preserve"> </w:t>
      </w:r>
      <w:r w:rsidR="00F71AE0">
        <w:t xml:space="preserve">parties shall have </w:t>
      </w:r>
      <w:r w:rsidR="000F371D">
        <w:t>25 days</w:t>
      </w:r>
      <w:r w:rsidR="00F71AE0">
        <w:t xml:space="preserve"> to respond written discovery</w:t>
      </w:r>
      <w:r w:rsidR="000F371D">
        <w:t xml:space="preserve"> until the intervenor testimony due date</w:t>
      </w:r>
      <w:r w:rsidR="00F71AE0">
        <w:t>, when the response time shall</w:t>
      </w:r>
      <w:r w:rsidR="000F371D">
        <w:t xml:space="preserve"> revert back to 20 day</w:t>
      </w:r>
      <w:r w:rsidR="00F71AE0">
        <w:t>s</w:t>
      </w:r>
      <w:r w:rsidR="000F371D">
        <w:t>. It is further</w:t>
      </w:r>
    </w:p>
    <w:p w:rsidR="006A606F" w:rsidRDefault="006A606F" w:rsidP="006A606F">
      <w:pPr>
        <w:pStyle w:val="OrderBody"/>
      </w:pPr>
    </w:p>
    <w:p w:rsidR="006A606F" w:rsidRDefault="00046FC3" w:rsidP="006A606F">
      <w:pPr>
        <w:pStyle w:val="OrderBody"/>
      </w:pPr>
      <w:r>
        <w:tab/>
      </w:r>
      <w:r w:rsidR="006A606F">
        <w:t>ORDERED that all other provisions of Order No. PSC-</w:t>
      </w:r>
      <w:r w:rsidR="00D3234C" w:rsidRPr="002E7F41">
        <w:t>2022-0224-PCO-GU</w:t>
      </w:r>
      <w:r w:rsidR="00D3234C">
        <w:t xml:space="preserve"> </w:t>
      </w:r>
      <w:r w:rsidR="00F71AE0">
        <w:t>not</w:t>
      </w:r>
      <w:r w:rsidR="00FF5C59">
        <w:t xml:space="preserve"> </w:t>
      </w:r>
      <w:r w:rsidR="00F71AE0">
        <w:t>inconsistent with this order are hereby affirmed.</w:t>
      </w:r>
    </w:p>
    <w:p w:rsidR="00153345" w:rsidRDefault="00153345" w:rsidP="00153345">
      <w:pPr>
        <w:pStyle w:val="OrderBody"/>
      </w:pPr>
    </w:p>
    <w:p w:rsidR="00D3234C" w:rsidRDefault="00D3234C" w:rsidP="00D3234C">
      <w:pPr>
        <w:pStyle w:val="OrderBody"/>
        <w:keepNext/>
        <w:keepLines/>
      </w:pPr>
      <w:r>
        <w:lastRenderedPageBreak/>
        <w:tab/>
        <w:t>By ORDER of Chairma</w:t>
      </w:r>
      <w:r w:rsidR="00AA439F">
        <w:t>n Andrew Giles Fay, as Prehearing</w:t>
      </w:r>
      <w:r>
        <w:t xml:space="preserve"> Officer, this </w:t>
      </w:r>
      <w:bookmarkStart w:id="5" w:name="replaceDate"/>
      <w:bookmarkEnd w:id="5"/>
      <w:r w:rsidR="0036106C">
        <w:rPr>
          <w:u w:val="single"/>
        </w:rPr>
        <w:t>15th</w:t>
      </w:r>
      <w:r w:rsidR="0036106C">
        <w:t xml:space="preserve"> day of </w:t>
      </w:r>
      <w:r w:rsidR="0036106C">
        <w:rPr>
          <w:u w:val="single"/>
        </w:rPr>
        <w:t>July</w:t>
      </w:r>
      <w:r w:rsidR="0036106C">
        <w:t xml:space="preserve">, </w:t>
      </w:r>
      <w:r w:rsidR="0036106C">
        <w:rPr>
          <w:u w:val="single"/>
        </w:rPr>
        <w:t>2022</w:t>
      </w:r>
      <w:r w:rsidR="0036106C">
        <w:t>.</w:t>
      </w:r>
    </w:p>
    <w:p w:rsidR="0036106C" w:rsidRPr="0036106C" w:rsidRDefault="0036106C" w:rsidP="00D3234C">
      <w:pPr>
        <w:pStyle w:val="OrderBody"/>
        <w:keepNext/>
        <w:keepLines/>
      </w:pPr>
    </w:p>
    <w:p w:rsidR="00D3234C" w:rsidRDefault="00D3234C" w:rsidP="00D3234C">
      <w:pPr>
        <w:pStyle w:val="OrderBody"/>
        <w:keepNext/>
        <w:keepLines/>
      </w:pPr>
    </w:p>
    <w:p w:rsidR="00D3234C" w:rsidRDefault="00D3234C" w:rsidP="00D323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3234C" w:rsidTr="00D3234C">
        <w:tc>
          <w:tcPr>
            <w:tcW w:w="720" w:type="dxa"/>
            <w:shd w:val="clear" w:color="auto" w:fill="auto"/>
          </w:tcPr>
          <w:p w:rsidR="00D3234C" w:rsidRDefault="00D3234C" w:rsidP="00D3234C">
            <w:pPr>
              <w:pStyle w:val="OrderBody"/>
              <w:keepNext/>
              <w:keepLines/>
            </w:pPr>
            <w:bookmarkStart w:id="6" w:name="bkmrkSignature" w:colFirst="0" w:colLast="0"/>
          </w:p>
        </w:tc>
        <w:tc>
          <w:tcPr>
            <w:tcW w:w="4320" w:type="dxa"/>
            <w:tcBorders>
              <w:bottom w:val="single" w:sz="4" w:space="0" w:color="auto"/>
            </w:tcBorders>
            <w:shd w:val="clear" w:color="auto" w:fill="auto"/>
          </w:tcPr>
          <w:p w:rsidR="00D3234C" w:rsidRDefault="0036106C" w:rsidP="00D3234C">
            <w:pPr>
              <w:pStyle w:val="OrderBody"/>
              <w:keepNext/>
              <w:keepLines/>
            </w:pPr>
            <w:r>
              <w:t>/s/ Andrew Giles Fay</w:t>
            </w:r>
            <w:bookmarkStart w:id="7" w:name="_GoBack"/>
            <w:bookmarkEnd w:id="7"/>
          </w:p>
        </w:tc>
      </w:tr>
      <w:bookmarkEnd w:id="6"/>
      <w:tr w:rsidR="00D3234C" w:rsidTr="00D3234C">
        <w:tc>
          <w:tcPr>
            <w:tcW w:w="720" w:type="dxa"/>
            <w:shd w:val="clear" w:color="auto" w:fill="auto"/>
          </w:tcPr>
          <w:p w:rsidR="00D3234C" w:rsidRDefault="00D3234C" w:rsidP="00D3234C">
            <w:pPr>
              <w:pStyle w:val="OrderBody"/>
              <w:keepNext/>
              <w:keepLines/>
            </w:pPr>
          </w:p>
        </w:tc>
        <w:tc>
          <w:tcPr>
            <w:tcW w:w="4320" w:type="dxa"/>
            <w:tcBorders>
              <w:top w:val="single" w:sz="4" w:space="0" w:color="auto"/>
            </w:tcBorders>
            <w:shd w:val="clear" w:color="auto" w:fill="auto"/>
          </w:tcPr>
          <w:p w:rsidR="00D3234C" w:rsidRDefault="00D3234C" w:rsidP="00D3234C">
            <w:pPr>
              <w:pStyle w:val="OrderBody"/>
              <w:keepNext/>
              <w:keepLines/>
            </w:pPr>
            <w:r>
              <w:t>ANDREW GILES FAY</w:t>
            </w:r>
          </w:p>
          <w:p w:rsidR="00D3234C" w:rsidRDefault="00AA439F" w:rsidP="00D3234C">
            <w:pPr>
              <w:pStyle w:val="OrderBody"/>
              <w:keepNext/>
              <w:keepLines/>
            </w:pPr>
            <w:r>
              <w:t>Chairman and Prehearing</w:t>
            </w:r>
            <w:r w:rsidR="00D3234C">
              <w:t xml:space="preserve"> Officer</w:t>
            </w:r>
          </w:p>
        </w:tc>
      </w:tr>
    </w:tbl>
    <w:p w:rsidR="00D3234C" w:rsidRDefault="00D3234C" w:rsidP="00D3234C">
      <w:pPr>
        <w:pStyle w:val="OrderSigInfo"/>
        <w:keepNext/>
        <w:keepLines/>
      </w:pPr>
      <w:r>
        <w:t>Florida Public Service Commission</w:t>
      </w:r>
    </w:p>
    <w:p w:rsidR="00D3234C" w:rsidRDefault="00D3234C" w:rsidP="00D3234C">
      <w:pPr>
        <w:pStyle w:val="OrderSigInfo"/>
        <w:keepNext/>
        <w:keepLines/>
      </w:pPr>
      <w:r>
        <w:t>2540 Shumard Oak Boulevard</w:t>
      </w:r>
    </w:p>
    <w:p w:rsidR="00D3234C" w:rsidRDefault="00D3234C" w:rsidP="00D3234C">
      <w:pPr>
        <w:pStyle w:val="OrderSigInfo"/>
        <w:keepNext/>
        <w:keepLines/>
      </w:pPr>
      <w:r>
        <w:t>Tallahassee, Florida 32399</w:t>
      </w:r>
    </w:p>
    <w:p w:rsidR="00D3234C" w:rsidRDefault="00D3234C" w:rsidP="00D3234C">
      <w:pPr>
        <w:pStyle w:val="OrderSigInfo"/>
        <w:keepNext/>
        <w:keepLines/>
      </w:pPr>
      <w:r>
        <w:t>(850) 413</w:t>
      </w:r>
      <w:r>
        <w:noBreakHyphen/>
        <w:t>6770</w:t>
      </w:r>
    </w:p>
    <w:p w:rsidR="00D3234C" w:rsidRDefault="00D3234C" w:rsidP="00D3234C">
      <w:pPr>
        <w:pStyle w:val="OrderSigInfo"/>
        <w:keepNext/>
        <w:keepLines/>
      </w:pPr>
      <w:r>
        <w:t>www.floridapsc.com</w:t>
      </w:r>
    </w:p>
    <w:p w:rsidR="00D3234C" w:rsidRDefault="00D3234C" w:rsidP="00D3234C">
      <w:pPr>
        <w:pStyle w:val="OrderSigInfo"/>
        <w:keepNext/>
        <w:keepLines/>
      </w:pPr>
    </w:p>
    <w:p w:rsidR="00D3234C" w:rsidRDefault="00D3234C" w:rsidP="00D3234C">
      <w:pPr>
        <w:pStyle w:val="OrderSigInfo"/>
        <w:keepNext/>
        <w:keepLines/>
      </w:pPr>
      <w:r>
        <w:t>Copies furnished: A copy of this document is provided to the parties of record at the time of issuance and, if applicable, interested persons.</w:t>
      </w:r>
    </w:p>
    <w:p w:rsidR="00D3234C" w:rsidRDefault="00D3234C" w:rsidP="00D3234C">
      <w:pPr>
        <w:pStyle w:val="OrderBody"/>
        <w:keepNext/>
        <w:keepLines/>
      </w:pPr>
    </w:p>
    <w:p w:rsidR="00D3234C" w:rsidRDefault="00D3234C" w:rsidP="00D3234C">
      <w:pPr>
        <w:pStyle w:val="OrderBody"/>
        <w:keepNext/>
        <w:keepLines/>
      </w:pPr>
    </w:p>
    <w:p w:rsidR="00D3234C" w:rsidRDefault="00D3234C" w:rsidP="00D3234C">
      <w:pPr>
        <w:pStyle w:val="OrderBody"/>
        <w:keepNext/>
        <w:keepLines/>
      </w:pPr>
      <w:r>
        <w:t>WLT</w:t>
      </w:r>
    </w:p>
    <w:p w:rsidR="00D3234C" w:rsidRDefault="00D3234C" w:rsidP="00D3234C">
      <w:pPr>
        <w:pStyle w:val="OrderBody"/>
      </w:pPr>
    </w:p>
    <w:p w:rsidR="00D3234C" w:rsidRDefault="00D3234C" w:rsidP="00D3234C">
      <w:pPr>
        <w:pStyle w:val="OrderBody"/>
      </w:pPr>
    </w:p>
    <w:p w:rsidR="00153345" w:rsidRDefault="00153345" w:rsidP="00153345">
      <w:pPr>
        <w:pStyle w:val="OrderBody"/>
      </w:pPr>
    </w:p>
    <w:p w:rsidR="00153345" w:rsidRDefault="00153345" w:rsidP="00153345">
      <w:pPr>
        <w:pStyle w:val="CenterUnderline"/>
      </w:pPr>
      <w:r>
        <w:t>NOTICE OF FURTHER PROCEEDINGS OR JUDICIAL REVIEW</w:t>
      </w:r>
    </w:p>
    <w:p w:rsidR="00153345" w:rsidRDefault="00153345" w:rsidP="00153345">
      <w:pPr>
        <w:pStyle w:val="CenterUnderline"/>
      </w:pPr>
    </w:p>
    <w:p w:rsidR="00153345" w:rsidRDefault="00153345" w:rsidP="0015334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D3234C">
        <w:t xml:space="preserve">es and time limits that apply. </w:t>
      </w:r>
      <w:r>
        <w:t>This notice should not be construed to mean all requests for an administrative hearing or judicial review will be granted or result in the relief sought.</w:t>
      </w:r>
    </w:p>
    <w:p w:rsidR="00153345" w:rsidRDefault="00153345" w:rsidP="00153345">
      <w:pPr>
        <w:pStyle w:val="OrderBody"/>
      </w:pPr>
    </w:p>
    <w:p w:rsidR="00153345" w:rsidRDefault="00153345" w:rsidP="00153345">
      <w:pPr>
        <w:pStyle w:val="OrderBody"/>
      </w:pPr>
      <w:r>
        <w:tab/>
        <w:t>Mediation may be ava</w:t>
      </w:r>
      <w:r w:rsidR="00D3234C">
        <w:t>ilable on a case-by-case basis.</w:t>
      </w:r>
      <w:r>
        <w:t xml:space="preserve"> If mediation is conducted, it does not affect a substantially interested person's right to a hearing.</w:t>
      </w:r>
    </w:p>
    <w:p w:rsidR="00153345" w:rsidRDefault="00153345" w:rsidP="00153345">
      <w:pPr>
        <w:pStyle w:val="OrderBody"/>
      </w:pPr>
    </w:p>
    <w:p w:rsidR="00153345" w:rsidRPr="00153345" w:rsidRDefault="00153345" w:rsidP="0015334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D3234C">
        <w:t xml:space="preserve"> a water or wastewater utility.</w:t>
      </w:r>
      <w:r>
        <w:t xml:space="preserve"> A motion for reconsideration shall be filed with the Office of Commission Clerk, in the form prescribed by Rule 25-22.037</w:t>
      </w:r>
      <w:r w:rsidR="00D3234C">
        <w:t>6, Florida Administrative Code.</w:t>
      </w:r>
      <w:r>
        <w:t xml:space="preserve"> Judicial review of a preliminary, procedural or intermediate ruling or order is available if review of the final action will n</w:t>
      </w:r>
      <w:r w:rsidR="00D3234C">
        <w:t xml:space="preserve">ot provide an adequate remedy. </w:t>
      </w:r>
      <w:r>
        <w:t>Such review may be requested from the appropriate court, as described above, pursuant to Rule 9.100, Florida Rules of Appellate Procedure.</w:t>
      </w:r>
    </w:p>
    <w:sectPr w:rsidR="00153345" w:rsidRPr="0015334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17" w:rsidRDefault="00984D17">
      <w:r>
        <w:separator/>
      </w:r>
    </w:p>
  </w:endnote>
  <w:endnote w:type="continuationSeparator" w:id="0">
    <w:p w:rsidR="00984D17" w:rsidRDefault="0098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17" w:rsidRDefault="00984D17">
      <w:r>
        <w:separator/>
      </w:r>
    </w:p>
  </w:footnote>
  <w:footnote w:type="continuationSeparator" w:id="0">
    <w:p w:rsidR="00984D17" w:rsidRDefault="0098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5 ">
      <w:r w:rsidR="0036106C">
        <w:t>PSC-2022-0275-PCO-GU</w:t>
      </w:r>
    </w:fldSimple>
  </w:p>
  <w:p w:rsidR="00FA6EFD" w:rsidRDefault="00984D17">
    <w:pPr>
      <w:pStyle w:val="OrderHeader"/>
    </w:pPr>
    <w:bookmarkStart w:id="8" w:name="HeaderDocketNo"/>
    <w:bookmarkEnd w:id="8"/>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106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984D17"/>
    <w:rsid w:val="000022B8"/>
    <w:rsid w:val="00003883"/>
    <w:rsid w:val="00011251"/>
    <w:rsid w:val="00025C2A"/>
    <w:rsid w:val="00025C9D"/>
    <w:rsid w:val="0002776F"/>
    <w:rsid w:val="0003433F"/>
    <w:rsid w:val="00035A8C"/>
    <w:rsid w:val="00036BDD"/>
    <w:rsid w:val="00041FFD"/>
    <w:rsid w:val="00042C99"/>
    <w:rsid w:val="00046FC3"/>
    <w:rsid w:val="00053AB9"/>
    <w:rsid w:val="00056229"/>
    <w:rsid w:val="00057AF1"/>
    <w:rsid w:val="00065FC2"/>
    <w:rsid w:val="00067685"/>
    <w:rsid w:val="00067B07"/>
    <w:rsid w:val="000730D7"/>
    <w:rsid w:val="00076E6B"/>
    <w:rsid w:val="00081AE4"/>
    <w:rsid w:val="0008247D"/>
    <w:rsid w:val="00090AFC"/>
    <w:rsid w:val="00096507"/>
    <w:rsid w:val="000A774F"/>
    <w:rsid w:val="000B0DEE"/>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71D"/>
    <w:rsid w:val="000F3B2C"/>
    <w:rsid w:val="000F3F6C"/>
    <w:rsid w:val="000F63EB"/>
    <w:rsid w:val="000F648A"/>
    <w:rsid w:val="000F7BE3"/>
    <w:rsid w:val="00103190"/>
    <w:rsid w:val="00104333"/>
    <w:rsid w:val="001052BA"/>
    <w:rsid w:val="00107F77"/>
    <w:rsid w:val="001107B3"/>
    <w:rsid w:val="001114B1"/>
    <w:rsid w:val="001139D8"/>
    <w:rsid w:val="00116AD3"/>
    <w:rsid w:val="00121957"/>
    <w:rsid w:val="0012387E"/>
    <w:rsid w:val="001259EC"/>
    <w:rsid w:val="00126593"/>
    <w:rsid w:val="00134177"/>
    <w:rsid w:val="00136087"/>
    <w:rsid w:val="00142A96"/>
    <w:rsid w:val="001513DE"/>
    <w:rsid w:val="00153345"/>
    <w:rsid w:val="00154A71"/>
    <w:rsid w:val="001655D4"/>
    <w:rsid w:val="00165803"/>
    <w:rsid w:val="00166D15"/>
    <w:rsid w:val="00184017"/>
    <w:rsid w:val="00187E32"/>
    <w:rsid w:val="00194A97"/>
    <w:rsid w:val="00194E81"/>
    <w:rsid w:val="001A15E7"/>
    <w:rsid w:val="001A33C9"/>
    <w:rsid w:val="001A58F3"/>
    <w:rsid w:val="001B034E"/>
    <w:rsid w:val="001B4FE6"/>
    <w:rsid w:val="001C2847"/>
    <w:rsid w:val="001C3BB5"/>
    <w:rsid w:val="001C3F8C"/>
    <w:rsid w:val="001C6097"/>
    <w:rsid w:val="001C7126"/>
    <w:rsid w:val="001D008A"/>
    <w:rsid w:val="001D3D87"/>
    <w:rsid w:val="001E0152"/>
    <w:rsid w:val="001E0FF5"/>
    <w:rsid w:val="001F0095"/>
    <w:rsid w:val="001F36B0"/>
    <w:rsid w:val="001F41D7"/>
    <w:rsid w:val="001F4CA3"/>
    <w:rsid w:val="001F59E0"/>
    <w:rsid w:val="002002ED"/>
    <w:rsid w:val="002044DD"/>
    <w:rsid w:val="002170E5"/>
    <w:rsid w:val="00220D57"/>
    <w:rsid w:val="00222F64"/>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5741"/>
    <w:rsid w:val="00297C37"/>
    <w:rsid w:val="002A11AC"/>
    <w:rsid w:val="002A6F30"/>
    <w:rsid w:val="002B3111"/>
    <w:rsid w:val="002C118E"/>
    <w:rsid w:val="002C2096"/>
    <w:rsid w:val="002C7908"/>
    <w:rsid w:val="002D391B"/>
    <w:rsid w:val="002D4B1F"/>
    <w:rsid w:val="002D7D15"/>
    <w:rsid w:val="002E1B2E"/>
    <w:rsid w:val="002E27EB"/>
    <w:rsid w:val="002E4EF4"/>
    <w:rsid w:val="002E7F41"/>
    <w:rsid w:val="002F0F1C"/>
    <w:rsid w:val="002F2A9D"/>
    <w:rsid w:val="002F31C2"/>
    <w:rsid w:val="002F7BF6"/>
    <w:rsid w:val="00303FDE"/>
    <w:rsid w:val="00313C5B"/>
    <w:rsid w:val="003140E8"/>
    <w:rsid w:val="003231C7"/>
    <w:rsid w:val="00323839"/>
    <w:rsid w:val="003270C4"/>
    <w:rsid w:val="00327D6B"/>
    <w:rsid w:val="00331ED0"/>
    <w:rsid w:val="00332B0A"/>
    <w:rsid w:val="00333A41"/>
    <w:rsid w:val="00337133"/>
    <w:rsid w:val="00341036"/>
    <w:rsid w:val="00345434"/>
    <w:rsid w:val="00351C22"/>
    <w:rsid w:val="0035495B"/>
    <w:rsid w:val="00355A93"/>
    <w:rsid w:val="0036106C"/>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4E26"/>
    <w:rsid w:val="003F518F"/>
    <w:rsid w:val="003F6BA7"/>
    <w:rsid w:val="003F7445"/>
    <w:rsid w:val="00403E9F"/>
    <w:rsid w:val="00411DF2"/>
    <w:rsid w:val="00411E8F"/>
    <w:rsid w:val="004247F5"/>
    <w:rsid w:val="0042527B"/>
    <w:rsid w:val="00427EAC"/>
    <w:rsid w:val="004431B4"/>
    <w:rsid w:val="0045537F"/>
    <w:rsid w:val="00457DC7"/>
    <w:rsid w:val="004640B3"/>
    <w:rsid w:val="00472BCC"/>
    <w:rsid w:val="00473032"/>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0AB6"/>
    <w:rsid w:val="00571D3D"/>
    <w:rsid w:val="0058264B"/>
    <w:rsid w:val="00586368"/>
    <w:rsid w:val="005868AA"/>
    <w:rsid w:val="00590845"/>
    <w:rsid w:val="005963C2"/>
    <w:rsid w:val="005A0D69"/>
    <w:rsid w:val="005A31F4"/>
    <w:rsid w:val="005A73EA"/>
    <w:rsid w:val="005B45F7"/>
    <w:rsid w:val="005B63EA"/>
    <w:rsid w:val="005C1A88"/>
    <w:rsid w:val="005C5033"/>
    <w:rsid w:val="005D2029"/>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5FC8"/>
    <w:rsid w:val="00647025"/>
    <w:rsid w:val="0064730A"/>
    <w:rsid w:val="006507DA"/>
    <w:rsid w:val="006515EF"/>
    <w:rsid w:val="006531A4"/>
    <w:rsid w:val="00660774"/>
    <w:rsid w:val="0066389A"/>
    <w:rsid w:val="0066495C"/>
    <w:rsid w:val="00665CC7"/>
    <w:rsid w:val="00672612"/>
    <w:rsid w:val="00677F18"/>
    <w:rsid w:val="00693483"/>
    <w:rsid w:val="006A0BF3"/>
    <w:rsid w:val="006A606F"/>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600"/>
    <w:rsid w:val="007B1C5E"/>
    <w:rsid w:val="007B350E"/>
    <w:rsid w:val="007C0FBC"/>
    <w:rsid w:val="007C29C9"/>
    <w:rsid w:val="007C35B8"/>
    <w:rsid w:val="007C36E3"/>
    <w:rsid w:val="007C3ABB"/>
    <w:rsid w:val="007C7134"/>
    <w:rsid w:val="007C7ECF"/>
    <w:rsid w:val="007D3D20"/>
    <w:rsid w:val="007D44F9"/>
    <w:rsid w:val="007D6B5E"/>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3930"/>
    <w:rsid w:val="008C6375"/>
    <w:rsid w:val="008C6A5B"/>
    <w:rsid w:val="008D441D"/>
    <w:rsid w:val="008D498D"/>
    <w:rsid w:val="008D6D36"/>
    <w:rsid w:val="008E0693"/>
    <w:rsid w:val="008E26A5"/>
    <w:rsid w:val="008E371D"/>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4D17"/>
    <w:rsid w:val="00986AED"/>
    <w:rsid w:val="009924CF"/>
    <w:rsid w:val="00994100"/>
    <w:rsid w:val="00994409"/>
    <w:rsid w:val="009A04B7"/>
    <w:rsid w:val="009A6B17"/>
    <w:rsid w:val="009A7471"/>
    <w:rsid w:val="009B052E"/>
    <w:rsid w:val="009D4C29"/>
    <w:rsid w:val="009E58E9"/>
    <w:rsid w:val="009E6803"/>
    <w:rsid w:val="009F16EF"/>
    <w:rsid w:val="009F6AD2"/>
    <w:rsid w:val="009F7C1B"/>
    <w:rsid w:val="00A00B5B"/>
    <w:rsid w:val="00A00D8D"/>
    <w:rsid w:val="00A01BB6"/>
    <w:rsid w:val="00A108A7"/>
    <w:rsid w:val="00A151C8"/>
    <w:rsid w:val="00A22B28"/>
    <w:rsid w:val="00A3351E"/>
    <w:rsid w:val="00A4303C"/>
    <w:rsid w:val="00A46CAF"/>
    <w:rsid w:val="00A470FD"/>
    <w:rsid w:val="00A50B5E"/>
    <w:rsid w:val="00A544DC"/>
    <w:rsid w:val="00A62DAB"/>
    <w:rsid w:val="00A6757A"/>
    <w:rsid w:val="00A726A6"/>
    <w:rsid w:val="00A74842"/>
    <w:rsid w:val="00A8269A"/>
    <w:rsid w:val="00A86A50"/>
    <w:rsid w:val="00A9178A"/>
    <w:rsid w:val="00A9515B"/>
    <w:rsid w:val="00A97535"/>
    <w:rsid w:val="00AA2BAA"/>
    <w:rsid w:val="00AA439F"/>
    <w:rsid w:val="00AA6516"/>
    <w:rsid w:val="00AA73F1"/>
    <w:rsid w:val="00AB0E1A"/>
    <w:rsid w:val="00AB1A30"/>
    <w:rsid w:val="00AB3C36"/>
    <w:rsid w:val="00AB3D30"/>
    <w:rsid w:val="00AC4B09"/>
    <w:rsid w:val="00AC5A01"/>
    <w:rsid w:val="00AD10EB"/>
    <w:rsid w:val="00AD1ED3"/>
    <w:rsid w:val="00AD3717"/>
    <w:rsid w:val="00AE0BD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58F"/>
    <w:rsid w:val="00BC786E"/>
    <w:rsid w:val="00BD5C92"/>
    <w:rsid w:val="00BE50E6"/>
    <w:rsid w:val="00BE7A0C"/>
    <w:rsid w:val="00BF2928"/>
    <w:rsid w:val="00BF5D60"/>
    <w:rsid w:val="00BF6691"/>
    <w:rsid w:val="00C028FC"/>
    <w:rsid w:val="00C036FD"/>
    <w:rsid w:val="00C037F2"/>
    <w:rsid w:val="00C0386D"/>
    <w:rsid w:val="00C065A1"/>
    <w:rsid w:val="00C10ED5"/>
    <w:rsid w:val="00C12574"/>
    <w:rsid w:val="00C151A6"/>
    <w:rsid w:val="00C24098"/>
    <w:rsid w:val="00C30A4E"/>
    <w:rsid w:val="00C411F3"/>
    <w:rsid w:val="00C44105"/>
    <w:rsid w:val="00C47F1B"/>
    <w:rsid w:val="00C523EC"/>
    <w:rsid w:val="00C54D86"/>
    <w:rsid w:val="00C55A33"/>
    <w:rsid w:val="00C64D49"/>
    <w:rsid w:val="00C66692"/>
    <w:rsid w:val="00C673B5"/>
    <w:rsid w:val="00C7063D"/>
    <w:rsid w:val="00C72339"/>
    <w:rsid w:val="00C75EB8"/>
    <w:rsid w:val="00C830BC"/>
    <w:rsid w:val="00C8524D"/>
    <w:rsid w:val="00C90904"/>
    <w:rsid w:val="00C91123"/>
    <w:rsid w:val="00C94321"/>
    <w:rsid w:val="00CA71FF"/>
    <w:rsid w:val="00CB2393"/>
    <w:rsid w:val="00CB5276"/>
    <w:rsid w:val="00CB5BFC"/>
    <w:rsid w:val="00CB68D7"/>
    <w:rsid w:val="00CB785B"/>
    <w:rsid w:val="00CC7E68"/>
    <w:rsid w:val="00CD3D74"/>
    <w:rsid w:val="00CD7132"/>
    <w:rsid w:val="00CE0E6F"/>
    <w:rsid w:val="00CE3535"/>
    <w:rsid w:val="00CE3B21"/>
    <w:rsid w:val="00CE56FC"/>
    <w:rsid w:val="00CE7A4D"/>
    <w:rsid w:val="00CF32D2"/>
    <w:rsid w:val="00CF4CFE"/>
    <w:rsid w:val="00D00E8E"/>
    <w:rsid w:val="00D02E0F"/>
    <w:rsid w:val="00D03EE8"/>
    <w:rsid w:val="00D060BE"/>
    <w:rsid w:val="00D13535"/>
    <w:rsid w:val="00D15497"/>
    <w:rsid w:val="00D17B79"/>
    <w:rsid w:val="00D205F5"/>
    <w:rsid w:val="00D23FEA"/>
    <w:rsid w:val="00D269CA"/>
    <w:rsid w:val="00D30B48"/>
    <w:rsid w:val="00D3168A"/>
    <w:rsid w:val="00D3234C"/>
    <w:rsid w:val="00D350D1"/>
    <w:rsid w:val="00D4122F"/>
    <w:rsid w:val="00D46FAA"/>
    <w:rsid w:val="00D47A40"/>
    <w:rsid w:val="00D51D33"/>
    <w:rsid w:val="00D5327D"/>
    <w:rsid w:val="00D559EB"/>
    <w:rsid w:val="00D57BB2"/>
    <w:rsid w:val="00D57E57"/>
    <w:rsid w:val="00D62844"/>
    <w:rsid w:val="00D70752"/>
    <w:rsid w:val="00D80E2D"/>
    <w:rsid w:val="00D84D5E"/>
    <w:rsid w:val="00D8560E"/>
    <w:rsid w:val="00D8758F"/>
    <w:rsid w:val="00DA4EDD"/>
    <w:rsid w:val="00DA5A3B"/>
    <w:rsid w:val="00DA6B78"/>
    <w:rsid w:val="00DA7E5B"/>
    <w:rsid w:val="00DB122B"/>
    <w:rsid w:val="00DC1D94"/>
    <w:rsid w:val="00DC42CF"/>
    <w:rsid w:val="00DC738A"/>
    <w:rsid w:val="00DD382A"/>
    <w:rsid w:val="00DD4ABA"/>
    <w:rsid w:val="00DD592E"/>
    <w:rsid w:val="00DE057F"/>
    <w:rsid w:val="00DE2082"/>
    <w:rsid w:val="00DE2289"/>
    <w:rsid w:val="00DF09A7"/>
    <w:rsid w:val="00DF2B51"/>
    <w:rsid w:val="00E001D6"/>
    <w:rsid w:val="00E03A76"/>
    <w:rsid w:val="00E04410"/>
    <w:rsid w:val="00E07484"/>
    <w:rsid w:val="00E11351"/>
    <w:rsid w:val="00E33F44"/>
    <w:rsid w:val="00E36FE5"/>
    <w:rsid w:val="00E37D48"/>
    <w:rsid w:val="00E4225C"/>
    <w:rsid w:val="00E44879"/>
    <w:rsid w:val="00E501C1"/>
    <w:rsid w:val="00E526E4"/>
    <w:rsid w:val="00E72914"/>
    <w:rsid w:val="00E75AE0"/>
    <w:rsid w:val="00E83C1F"/>
    <w:rsid w:val="00E85684"/>
    <w:rsid w:val="00E8794B"/>
    <w:rsid w:val="00E97656"/>
    <w:rsid w:val="00EA004A"/>
    <w:rsid w:val="00EA172C"/>
    <w:rsid w:val="00EA259B"/>
    <w:rsid w:val="00EA35A3"/>
    <w:rsid w:val="00EA3E6A"/>
    <w:rsid w:val="00EB12ED"/>
    <w:rsid w:val="00EB18EF"/>
    <w:rsid w:val="00EB58F4"/>
    <w:rsid w:val="00EB7951"/>
    <w:rsid w:val="00ED6A79"/>
    <w:rsid w:val="00EE17DF"/>
    <w:rsid w:val="00EF1482"/>
    <w:rsid w:val="00EF43B4"/>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1AE0"/>
    <w:rsid w:val="00F75F02"/>
    <w:rsid w:val="00F80685"/>
    <w:rsid w:val="00F8573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7A760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75EB8"/>
    <w:rPr>
      <w:rFonts w:ascii="Segoe UI" w:hAnsi="Segoe UI" w:cs="Segoe UI"/>
      <w:sz w:val="18"/>
      <w:szCs w:val="18"/>
    </w:rPr>
  </w:style>
  <w:style w:type="character" w:customStyle="1" w:styleId="BalloonTextChar">
    <w:name w:val="Balloon Text Char"/>
    <w:basedOn w:val="DefaultParagraphFont"/>
    <w:link w:val="BalloonText"/>
    <w:semiHidden/>
    <w:rsid w:val="00C75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47686463">
      <w:bodyDiv w:val="1"/>
      <w:marLeft w:val="0"/>
      <w:marRight w:val="0"/>
      <w:marTop w:val="0"/>
      <w:marBottom w:val="0"/>
      <w:divBdr>
        <w:top w:val="none" w:sz="0" w:space="0" w:color="auto"/>
        <w:left w:val="none" w:sz="0" w:space="0" w:color="auto"/>
        <w:bottom w:val="none" w:sz="0" w:space="0" w:color="auto"/>
        <w:right w:val="none" w:sz="0" w:space="0" w:color="auto"/>
      </w:divBdr>
    </w:div>
    <w:div w:id="1025641295">
      <w:bodyDiv w:val="1"/>
      <w:marLeft w:val="0"/>
      <w:marRight w:val="0"/>
      <w:marTop w:val="0"/>
      <w:marBottom w:val="0"/>
      <w:divBdr>
        <w:top w:val="none" w:sz="0" w:space="0" w:color="auto"/>
        <w:left w:val="none" w:sz="0" w:space="0" w:color="auto"/>
        <w:bottom w:val="none" w:sz="0" w:space="0" w:color="auto"/>
        <w:right w:val="none" w:sz="0" w:space="0" w:color="auto"/>
      </w:divBdr>
    </w:div>
    <w:div w:id="1320696980">
      <w:bodyDiv w:val="1"/>
      <w:marLeft w:val="0"/>
      <w:marRight w:val="0"/>
      <w:marTop w:val="0"/>
      <w:marBottom w:val="0"/>
      <w:divBdr>
        <w:top w:val="none" w:sz="0" w:space="0" w:color="auto"/>
        <w:left w:val="none" w:sz="0" w:space="0" w:color="auto"/>
        <w:bottom w:val="none" w:sz="0" w:space="0" w:color="auto"/>
        <w:right w:val="none" w:sz="0" w:space="0" w:color="auto"/>
      </w:divBdr>
    </w:div>
    <w:div w:id="17318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2022-07-15T17:34:00Z</dcterms:created>
  <dcterms:modified xsi:type="dcterms:W3CDTF">2022-07-15T17:48:00Z</dcterms:modified>
</cp:coreProperties>
</file>