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B51E1" w:rsidP="004B51E1">
      <w:pPr>
        <w:pStyle w:val="OrderHeading"/>
      </w:pPr>
      <w:r>
        <w:t>BEFORE THE FLORIDA PUBLIC SERVICE COMMISSION</w:t>
      </w:r>
    </w:p>
    <w:p w:rsidR="004B51E1" w:rsidRDefault="004B51E1" w:rsidP="004B51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51E1" w:rsidRPr="00C63FCF" w:rsidTr="00C63FCF">
        <w:trPr>
          <w:trHeight w:val="828"/>
        </w:trPr>
        <w:tc>
          <w:tcPr>
            <w:tcW w:w="4788" w:type="dxa"/>
            <w:tcBorders>
              <w:bottom w:val="single" w:sz="8" w:space="0" w:color="auto"/>
              <w:right w:val="double" w:sz="6" w:space="0" w:color="auto"/>
            </w:tcBorders>
            <w:shd w:val="clear" w:color="auto" w:fill="auto"/>
          </w:tcPr>
          <w:p w:rsidR="004B51E1" w:rsidRDefault="004B51E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B51E1" w:rsidRDefault="004B51E1" w:rsidP="004B51E1">
            <w:pPr>
              <w:pStyle w:val="OrderBody"/>
            </w:pPr>
            <w:r>
              <w:t xml:space="preserve">DOCKET NO. </w:t>
            </w:r>
            <w:bookmarkStart w:id="1" w:name="SSDocketNo"/>
            <w:bookmarkEnd w:id="1"/>
            <w:r>
              <w:t>20220001-EI</w:t>
            </w:r>
          </w:p>
          <w:p w:rsidR="004B51E1" w:rsidRDefault="004B51E1" w:rsidP="00C63FCF">
            <w:pPr>
              <w:pStyle w:val="OrderBody"/>
              <w:tabs>
                <w:tab w:val="center" w:pos="4320"/>
                <w:tab w:val="right" w:pos="8640"/>
              </w:tabs>
              <w:jc w:val="left"/>
            </w:pPr>
            <w:r>
              <w:t xml:space="preserve">ORDER NO. </w:t>
            </w:r>
            <w:bookmarkStart w:id="2" w:name="OrderNo0280"/>
            <w:r w:rsidR="00C558B7">
              <w:t>PSC-2022-0280-PCO-EI</w:t>
            </w:r>
            <w:bookmarkEnd w:id="2"/>
          </w:p>
          <w:p w:rsidR="004B51E1" w:rsidRDefault="004B51E1" w:rsidP="00C63FCF">
            <w:pPr>
              <w:pStyle w:val="OrderBody"/>
              <w:tabs>
                <w:tab w:val="center" w:pos="4320"/>
                <w:tab w:val="right" w:pos="8640"/>
              </w:tabs>
              <w:jc w:val="left"/>
            </w:pPr>
            <w:r>
              <w:t xml:space="preserve">ISSUED: </w:t>
            </w:r>
            <w:r w:rsidR="00C558B7">
              <w:t>July 20, 2022</w:t>
            </w:r>
          </w:p>
        </w:tc>
      </w:tr>
    </w:tbl>
    <w:p w:rsidR="004B51E1" w:rsidRDefault="004B51E1" w:rsidP="004B51E1"/>
    <w:p w:rsidR="004B51E1" w:rsidRDefault="004B51E1" w:rsidP="00B67A43">
      <w:pPr>
        <w:ind w:firstLine="720"/>
        <w:jc w:val="both"/>
      </w:pPr>
      <w:bookmarkStart w:id="3" w:name="Commissioners"/>
      <w:bookmarkEnd w:id="3"/>
      <w:r>
        <w:t>The following Commissioners participated in the disposition of this matter:</w:t>
      </w:r>
    </w:p>
    <w:p w:rsidR="004B51E1" w:rsidRDefault="004B51E1" w:rsidP="00B67A43"/>
    <w:p w:rsidR="004B51E1" w:rsidRDefault="004B51E1" w:rsidP="00477699">
      <w:pPr>
        <w:jc w:val="center"/>
      </w:pPr>
      <w:r>
        <w:t>ANDREW GILES FAY, Chairman</w:t>
      </w:r>
    </w:p>
    <w:p w:rsidR="004B51E1" w:rsidRDefault="004B51E1" w:rsidP="00B67A43">
      <w:pPr>
        <w:jc w:val="center"/>
      </w:pPr>
      <w:r>
        <w:t>ART GRAHAM</w:t>
      </w:r>
    </w:p>
    <w:p w:rsidR="004B51E1" w:rsidRDefault="004B51E1" w:rsidP="00B67A43">
      <w:pPr>
        <w:jc w:val="center"/>
      </w:pPr>
      <w:r>
        <w:t>GARY F. CLARK</w:t>
      </w:r>
    </w:p>
    <w:p w:rsidR="004B51E1" w:rsidRDefault="004B51E1" w:rsidP="00B67A43">
      <w:pPr>
        <w:jc w:val="center"/>
      </w:pPr>
      <w:r>
        <w:t>MIKE LA ROSA</w:t>
      </w:r>
    </w:p>
    <w:p w:rsidR="004B51E1" w:rsidRPr="005F2751" w:rsidRDefault="004B51E1" w:rsidP="00B67A43">
      <w:pPr>
        <w:jc w:val="center"/>
      </w:pPr>
      <w:r w:rsidRPr="005F2751">
        <w:rPr>
          <w:lang w:val="en"/>
        </w:rPr>
        <w:t>GABRIELLA PASSIDOMO</w:t>
      </w:r>
    </w:p>
    <w:p w:rsidR="00CB5276" w:rsidRDefault="00CB5276">
      <w:pPr>
        <w:pStyle w:val="OrderBody"/>
      </w:pPr>
    </w:p>
    <w:p w:rsidR="004B51E1" w:rsidRDefault="004B51E1" w:rsidP="004B51E1">
      <w:pPr>
        <w:pStyle w:val="CenterUnderline"/>
      </w:pPr>
      <w:r>
        <w:t>ORDER</w:t>
      </w:r>
      <w:bookmarkStart w:id="4" w:name="OrderTitle"/>
      <w:r>
        <w:t xml:space="preserve"> APPROVING FLORIDA PUBLIC UTILITIES</w:t>
      </w:r>
    </w:p>
    <w:p w:rsidR="004B51E1" w:rsidRDefault="004B51E1" w:rsidP="004B51E1">
      <w:pPr>
        <w:pStyle w:val="CenterUnderline"/>
      </w:pPr>
      <w:r>
        <w:t>COMPANY’S MID-COURSE CORRECTION</w:t>
      </w:r>
    </w:p>
    <w:p w:rsidR="004B51E1" w:rsidRDefault="004B51E1" w:rsidP="004B51E1">
      <w:pPr>
        <w:pStyle w:val="CenterUnderline"/>
      </w:pPr>
      <w:r>
        <w:t xml:space="preserve">  </w:t>
      </w:r>
      <w:bookmarkEnd w:id="4"/>
    </w:p>
    <w:p w:rsidR="004B51E1" w:rsidRPr="004B51E1" w:rsidRDefault="004B51E1" w:rsidP="004B51E1">
      <w:pPr>
        <w:pStyle w:val="CenterUnderline"/>
        <w:jc w:val="both"/>
        <w:rPr>
          <w:u w:val="none"/>
        </w:rPr>
      </w:pPr>
      <w:r>
        <w:rPr>
          <w:u w:val="none"/>
        </w:rPr>
        <w:t>BY THE COMMISSION:</w:t>
      </w:r>
    </w:p>
    <w:p w:rsidR="005F2751" w:rsidRDefault="004B51E1" w:rsidP="004B51E1">
      <w:pPr>
        <w:jc w:val="center"/>
        <w:rPr>
          <w:u w:val="single"/>
        </w:rPr>
      </w:pPr>
      <w:bookmarkStart w:id="5" w:name="OrderText"/>
      <w:bookmarkEnd w:id="5"/>
      <w:r>
        <w:rPr>
          <w:u w:val="single"/>
        </w:rPr>
        <w:t>BACKGROUND</w:t>
      </w:r>
    </w:p>
    <w:p w:rsidR="004B51E1" w:rsidRDefault="004B51E1" w:rsidP="004B51E1">
      <w:pPr>
        <w:jc w:val="center"/>
        <w:rPr>
          <w:u w:val="single"/>
        </w:rPr>
      </w:pPr>
    </w:p>
    <w:p w:rsidR="004B51E1" w:rsidRPr="00445388" w:rsidRDefault="002D5A0F" w:rsidP="002D5A0F">
      <w:pPr>
        <w:pStyle w:val="BodyText"/>
        <w:jc w:val="both"/>
      </w:pPr>
      <w:r>
        <w:tab/>
      </w:r>
      <w:r w:rsidR="004B51E1" w:rsidRPr="00445388">
        <w:t>On June 14, 2022, Florida Public Utilities Company (FPUC or Company), filed for a mid-course correction (MCC Petition) of its 2022 purchased power agreement (PPA) cost recovery factors.</w:t>
      </w:r>
      <w:r w:rsidR="004B51E1" w:rsidRPr="00445388">
        <w:rPr>
          <w:rStyle w:val="FootnoteReference"/>
        </w:rPr>
        <w:footnoteReference w:id="1"/>
      </w:r>
      <w:r w:rsidR="004B51E1" w:rsidRPr="00445388">
        <w:t xml:space="preserve"> </w:t>
      </w:r>
      <w:r>
        <w:t xml:space="preserve"> </w:t>
      </w:r>
      <w:r w:rsidR="004B51E1" w:rsidRPr="00445388">
        <w:t>FPUC’s currently-effective 2022 PPA cost recovery factors were approved at the November 2, 2021 final hearing.</w:t>
      </w:r>
      <w:r w:rsidR="004B51E1" w:rsidRPr="00445388">
        <w:rPr>
          <w:vertAlign w:val="superscript"/>
        </w:rPr>
        <w:footnoteReference w:id="2"/>
      </w:r>
      <w:r w:rsidR="004B51E1" w:rsidRPr="00445388">
        <w:t xml:space="preserve"> </w:t>
      </w:r>
      <w:r>
        <w:t xml:space="preserve"> </w:t>
      </w:r>
      <w:r w:rsidR="004B51E1" w:rsidRPr="00445388">
        <w:t xml:space="preserve">FPUC is a non-generating electric utility that relies solely on PPAs for its energy requirements. </w:t>
      </w:r>
      <w:r>
        <w:t xml:space="preserve"> </w:t>
      </w:r>
      <w:r w:rsidR="004B51E1" w:rsidRPr="00445388">
        <w:t xml:space="preserve">Further, by contractual terms, market fuel prices are essentially variable pass-through expenses that equate to changes in total PPA costs to the Company. </w:t>
      </w:r>
      <w:r>
        <w:t xml:space="preserve"> </w:t>
      </w:r>
      <w:r w:rsidR="004B51E1" w:rsidRPr="00445388">
        <w:t xml:space="preserve">The PPAs include demand and non-demand related costs that are recovered through the PPA cost recovery factors on customers’ bills. </w:t>
      </w:r>
      <w:r>
        <w:t xml:space="preserve"> </w:t>
      </w:r>
      <w:r w:rsidR="004B51E1" w:rsidRPr="00445388">
        <w:t>FPUC is only requesting to adjust the non-demand related portion of the PPA cost recovery factors.</w:t>
      </w:r>
    </w:p>
    <w:p w:rsidR="004B51E1" w:rsidRDefault="002D5A0F" w:rsidP="002D5A0F">
      <w:pPr>
        <w:pStyle w:val="BodyText"/>
        <w:jc w:val="both"/>
      </w:pPr>
      <w:r>
        <w:tab/>
      </w:r>
      <w:r w:rsidR="004B51E1" w:rsidRPr="00C62E2D">
        <w:t xml:space="preserve">Underlying the approval of FPUC’s 2022 factors was </w:t>
      </w:r>
      <w:r w:rsidR="00C3758F">
        <w:t xml:space="preserve">our </w:t>
      </w:r>
      <w:r w:rsidR="004B51E1" w:rsidRPr="00C62E2D">
        <w:t xml:space="preserve">review of the Company’s projected 2022 PPA-related costs. </w:t>
      </w:r>
      <w:r>
        <w:t xml:space="preserve"> </w:t>
      </w:r>
      <w:r w:rsidR="004B51E1" w:rsidRPr="00105F5C">
        <w:t xml:space="preserve">These </w:t>
      </w:r>
      <w:r w:rsidR="004B51E1">
        <w:t xml:space="preserve">PPA </w:t>
      </w:r>
      <w:r w:rsidR="004B51E1" w:rsidRPr="00105F5C">
        <w:t>costs are recovered through the fuel</w:t>
      </w:r>
      <w:r w:rsidR="004B51E1">
        <w:t xml:space="preserve"> and purchased power</w:t>
      </w:r>
      <w:r w:rsidR="004B51E1" w:rsidRPr="00105F5C">
        <w:t xml:space="preserve"> cost recovery factors that are set/reset annually in </w:t>
      </w:r>
      <w:r w:rsidR="004B51E1">
        <w:t xml:space="preserve">this docket. </w:t>
      </w:r>
      <w:r>
        <w:t xml:space="preserve"> </w:t>
      </w:r>
      <w:r w:rsidR="004B51E1">
        <w:t>These factors</w:t>
      </w:r>
      <w:r w:rsidR="004B51E1" w:rsidRPr="00105F5C">
        <w:t xml:space="preserve"> are usually effective for a period of 12 months. However, by Rule 25-6.0424, Florida Administrative Code (F.A.C.), </w:t>
      </w:r>
      <w:r>
        <w:t xml:space="preserve">we </w:t>
      </w:r>
      <w:r w:rsidR="004B51E1" w:rsidRPr="00105F5C">
        <w:t xml:space="preserve">require that if an investor-owned electric utility’s fuel </w:t>
      </w:r>
      <w:r w:rsidR="004B51E1">
        <w:t xml:space="preserve">(including PPA costs) </w:t>
      </w:r>
      <w:r w:rsidR="004B51E1" w:rsidRPr="00105F5C">
        <w:t>or capacity cost recovery position is projected to exceed a specified range within the standard 12-month timeframe, then the utility shall promptly notify th</w:t>
      </w:r>
      <w:r>
        <w:t>is</w:t>
      </w:r>
      <w:r w:rsidR="004B51E1" w:rsidRPr="00105F5C">
        <w:t xml:space="preserve"> Commission.</w:t>
      </w:r>
    </w:p>
    <w:p w:rsidR="004B51E1" w:rsidRDefault="002D5A0F" w:rsidP="002D5A0F">
      <w:pPr>
        <w:pStyle w:val="BodyText"/>
        <w:spacing w:after="0"/>
        <w:jc w:val="both"/>
        <w:rPr>
          <w:u w:val="single"/>
        </w:rPr>
      </w:pPr>
      <w:r>
        <w:rPr>
          <w:rFonts w:ascii="Arial" w:hAnsi="Arial" w:cs="Arial"/>
          <w:b/>
          <w:i/>
        </w:rPr>
        <w:tab/>
      </w:r>
      <w:r w:rsidR="004B51E1" w:rsidRPr="002D5A0F">
        <w:rPr>
          <w:u w:val="single"/>
        </w:rPr>
        <w:t>Mid-Course Corrections</w:t>
      </w:r>
    </w:p>
    <w:p w:rsidR="00362FBB" w:rsidRDefault="00362FBB" w:rsidP="002D5A0F">
      <w:pPr>
        <w:pStyle w:val="BodyText"/>
        <w:spacing w:after="0"/>
        <w:jc w:val="both"/>
        <w:rPr>
          <w:u w:val="single"/>
        </w:rPr>
      </w:pPr>
    </w:p>
    <w:p w:rsidR="004B51E1" w:rsidRDefault="002D5A0F" w:rsidP="002D5A0F">
      <w:pPr>
        <w:pStyle w:val="BodyText"/>
        <w:jc w:val="both"/>
      </w:pPr>
      <w:r>
        <w:tab/>
      </w:r>
      <w:r w:rsidR="00C3758F">
        <w:t>We use m</w:t>
      </w:r>
      <w:r w:rsidR="004B51E1">
        <w:t xml:space="preserve">id-course corrections between annual clause hearings whenever costs deviate from revenue by a significant margin. Under Rule 25-6.0424, F.A.C., which is commonly referred to as the “mid-course correction rule,” a utility must notify </w:t>
      </w:r>
      <w:r>
        <w:t xml:space="preserve">us </w:t>
      </w:r>
      <w:r w:rsidR="004B51E1">
        <w:t xml:space="preserve">whenever it expects to </w:t>
      </w:r>
      <w:r w:rsidR="004B51E1">
        <w:lastRenderedPageBreak/>
        <w:t>experience an under- or over-recovery of certain service costs greater than 10 percent.</w:t>
      </w:r>
      <w:r>
        <w:t xml:space="preserve">  </w:t>
      </w:r>
      <w:r w:rsidR="004B51E1">
        <w:t xml:space="preserve">The notification of a 10 percent cost-to-revenue variance shall include a petition for mid-course correction to the fuel cost recovery or capacity cost recovery factors, or shall include an explanation of why a mid-course correction is not practical. </w:t>
      </w:r>
      <w:r>
        <w:t xml:space="preserve"> </w:t>
      </w:r>
    </w:p>
    <w:p w:rsidR="004B51E1" w:rsidRDefault="002D5A0F" w:rsidP="002D5A0F">
      <w:pPr>
        <w:pStyle w:val="BodyText"/>
        <w:spacing w:after="0"/>
        <w:jc w:val="both"/>
        <w:rPr>
          <w:u w:val="single"/>
        </w:rPr>
      </w:pPr>
      <w:r>
        <w:rPr>
          <w:rFonts w:ascii="Arial" w:hAnsi="Arial" w:cs="Arial"/>
          <w:b/>
          <w:i/>
        </w:rPr>
        <w:tab/>
      </w:r>
      <w:r w:rsidR="004B51E1" w:rsidRPr="002D5A0F">
        <w:rPr>
          <w:u w:val="single"/>
        </w:rPr>
        <w:t>FPUC’s Petition for Mid-Course Correction</w:t>
      </w:r>
    </w:p>
    <w:p w:rsidR="00272403" w:rsidRDefault="00272403" w:rsidP="002D5A0F">
      <w:pPr>
        <w:pStyle w:val="BodyText"/>
        <w:spacing w:after="0"/>
        <w:jc w:val="both"/>
        <w:rPr>
          <w:u w:val="single"/>
        </w:rPr>
      </w:pPr>
    </w:p>
    <w:p w:rsidR="004B51E1" w:rsidRDefault="002D5A0F" w:rsidP="002D5A0F">
      <w:pPr>
        <w:pStyle w:val="BodyText"/>
        <w:spacing w:after="0"/>
        <w:jc w:val="both"/>
      </w:pPr>
      <w:r>
        <w:tab/>
      </w:r>
      <w:r w:rsidR="004B51E1" w:rsidRPr="00105F5C">
        <w:t>Through its MCC Petition, FPUC is proposing a mid-co</w:t>
      </w:r>
      <w:r w:rsidR="004B51E1">
        <w:t>urse correction of its currently-approved PPA charge</w:t>
      </w:r>
      <w:r w:rsidR="004B51E1" w:rsidRPr="00105F5C">
        <w:t xml:space="preserve">s. </w:t>
      </w:r>
      <w:r>
        <w:t xml:space="preserve"> </w:t>
      </w:r>
      <w:r w:rsidR="004B51E1" w:rsidRPr="00105F5C">
        <w:t xml:space="preserve">Specifically, </w:t>
      </w:r>
      <w:r>
        <w:t xml:space="preserve">we are </w:t>
      </w:r>
      <w:r w:rsidR="004B51E1" w:rsidRPr="00105F5C">
        <w:t>being asked to ap</w:t>
      </w:r>
      <w:r w:rsidR="004B51E1">
        <w:t>prove a moderated increase to FPUC’s PPA</w:t>
      </w:r>
      <w:r w:rsidR="004B51E1" w:rsidRPr="00105F5C">
        <w:t xml:space="preserve"> cost recovery factor</w:t>
      </w:r>
      <w:r w:rsidR="004B51E1">
        <w:t>s due to the Company experiencing a significant under-recovery of PPA</w:t>
      </w:r>
      <w:r w:rsidR="004B51E1" w:rsidRPr="00105F5C">
        <w:t xml:space="preserve"> costs</w:t>
      </w:r>
      <w:r w:rsidR="004B51E1" w:rsidRPr="00332006">
        <w:t xml:space="preserve">. </w:t>
      </w:r>
      <w:r>
        <w:t xml:space="preserve"> </w:t>
      </w:r>
      <w:r w:rsidR="004B51E1" w:rsidRPr="00332006">
        <w:t>The proposed increase to FPUC’s currently-a</w:t>
      </w:r>
      <w:r w:rsidR="004B51E1">
        <w:t>pproved PPA</w:t>
      </w:r>
      <w:r w:rsidR="004B51E1" w:rsidRPr="00332006">
        <w:t xml:space="preserve"> char</w:t>
      </w:r>
      <w:r w:rsidR="004B51E1">
        <w:t>ges is a result of 2021 PPA costs</w:t>
      </w:r>
      <w:r w:rsidR="004B51E1" w:rsidRPr="00332006">
        <w:t xml:space="preserve"> being greater than originally estimated. </w:t>
      </w:r>
    </w:p>
    <w:p w:rsidR="002D5A0F" w:rsidRPr="00332006" w:rsidRDefault="002D5A0F" w:rsidP="002D5A0F">
      <w:pPr>
        <w:pStyle w:val="BodyText"/>
        <w:spacing w:after="0"/>
        <w:jc w:val="both"/>
      </w:pPr>
    </w:p>
    <w:p w:rsidR="004B51E1" w:rsidRDefault="002D5A0F" w:rsidP="002D5A0F">
      <w:pPr>
        <w:pStyle w:val="BodyText"/>
        <w:spacing w:after="0"/>
        <w:jc w:val="both"/>
      </w:pPr>
      <w:r>
        <w:tab/>
      </w:r>
      <w:r w:rsidR="004B51E1" w:rsidRPr="00332006">
        <w:t>The Company is reques</w:t>
      </w:r>
      <w:r w:rsidR="004B51E1">
        <w:t>ting that the proposed revised PPA</w:t>
      </w:r>
      <w:r w:rsidR="004B51E1" w:rsidRPr="00332006">
        <w:t xml:space="preserve"> cost recovery factors and associated tariff</w:t>
      </w:r>
      <w:r w:rsidR="004B51E1">
        <w:t>s</w:t>
      </w:r>
      <w:r w:rsidR="004B51E1" w:rsidRPr="00332006">
        <w:t xml:space="preserve"> become effective beginning</w:t>
      </w:r>
      <w:r w:rsidR="004B51E1">
        <w:t xml:space="preserve"> with the first billing cycle of</w:t>
      </w:r>
      <w:r w:rsidR="004B51E1" w:rsidRPr="00332006">
        <w:t xml:space="preserve"> </w:t>
      </w:r>
      <w:r w:rsidR="004B51E1" w:rsidRPr="00C62E2D">
        <w:t>August 2022.</w:t>
      </w:r>
      <w:r w:rsidR="004B51E1" w:rsidRPr="00332006">
        <w:t xml:space="preserve"> </w:t>
      </w:r>
      <w:r>
        <w:t xml:space="preserve"> We are </w:t>
      </w:r>
      <w:r w:rsidR="004B51E1" w:rsidRPr="00105F5C">
        <w:t>vested with jurisdiction over the subject matter of this proceeding by the provisions of Chapter 366, Florida Statutes (F.S.), including Sections 366.04, 366.05, and 366.06, F.S.</w:t>
      </w:r>
    </w:p>
    <w:p w:rsidR="002D5A0F" w:rsidRDefault="002D5A0F" w:rsidP="002D5A0F">
      <w:pPr>
        <w:pStyle w:val="BodyText"/>
        <w:spacing w:after="0"/>
        <w:jc w:val="both"/>
      </w:pPr>
    </w:p>
    <w:p w:rsidR="002D5A0F" w:rsidRDefault="002D5A0F" w:rsidP="002D5A0F">
      <w:pPr>
        <w:pStyle w:val="BodyText"/>
        <w:spacing w:after="0"/>
        <w:jc w:val="center"/>
        <w:rPr>
          <w:u w:val="single"/>
        </w:rPr>
      </w:pPr>
      <w:r>
        <w:rPr>
          <w:u w:val="single"/>
        </w:rPr>
        <w:t>DECISION</w:t>
      </w:r>
    </w:p>
    <w:p w:rsidR="002D5A0F" w:rsidRPr="002D5A0F" w:rsidRDefault="002D5A0F" w:rsidP="002D5A0F">
      <w:pPr>
        <w:pStyle w:val="BodyText"/>
        <w:spacing w:after="0"/>
        <w:jc w:val="center"/>
        <w:rPr>
          <w:u w:val="single"/>
        </w:rPr>
      </w:pPr>
    </w:p>
    <w:p w:rsidR="004B51E1" w:rsidRPr="00B0437E" w:rsidRDefault="002D5A0F" w:rsidP="002D5A0F">
      <w:pPr>
        <w:pStyle w:val="BodyText"/>
        <w:jc w:val="both"/>
      </w:pPr>
      <w:r>
        <w:tab/>
      </w:r>
      <w:r w:rsidR="004B51E1" w:rsidRPr="00B0437E">
        <w:t xml:space="preserve">FPUC participated in </w:t>
      </w:r>
      <w:r>
        <w:t xml:space="preserve">our </w:t>
      </w:r>
      <w:r w:rsidR="004B51E1" w:rsidRPr="00B0437E">
        <w:t xml:space="preserve">most-recent fuel </w:t>
      </w:r>
      <w:r w:rsidR="004B51E1">
        <w:t xml:space="preserve">cost </w:t>
      </w:r>
      <w:r w:rsidR="004B51E1" w:rsidRPr="00B0437E">
        <w:t xml:space="preserve">hearing which took place on November 2, 2021. </w:t>
      </w:r>
      <w:r>
        <w:t xml:space="preserve"> </w:t>
      </w:r>
      <w:r w:rsidR="004B51E1" w:rsidRPr="00B0437E">
        <w:t>The Fuel Order issued with respect to F</w:t>
      </w:r>
      <w:r w:rsidR="004B51E1">
        <w:t>PUC set forth the Company’s PPA</w:t>
      </w:r>
      <w:r w:rsidR="004B51E1" w:rsidRPr="00B0437E">
        <w:t xml:space="preserve"> cost recovery factors effective with the first billing cycle of January 2022.</w:t>
      </w:r>
      <w:r w:rsidR="004B51E1" w:rsidRPr="00B0437E">
        <w:rPr>
          <w:rStyle w:val="FootnoteReference"/>
        </w:rPr>
        <w:footnoteReference w:id="3"/>
      </w:r>
      <w:r w:rsidR="004B51E1" w:rsidRPr="00B0437E">
        <w:t xml:space="preserve"> </w:t>
      </w:r>
      <w:r>
        <w:t xml:space="preserve"> </w:t>
      </w:r>
      <w:r w:rsidR="004B51E1" w:rsidRPr="00B0437E">
        <w:t xml:space="preserve">However, </w:t>
      </w:r>
      <w:r w:rsidR="004B51E1">
        <w:t>FPUC’s currently-authorized PPA cost recovery factors have and continue to be</w:t>
      </w:r>
      <w:r w:rsidR="004B51E1" w:rsidRPr="00B0437E">
        <w:t xml:space="preserve"> </w:t>
      </w:r>
      <w:r w:rsidR="004B51E1">
        <w:t>insufficient to recover its PPA-related revenue requirement by a significant margin</w:t>
      </w:r>
      <w:r w:rsidR="004B51E1" w:rsidRPr="00B0437E">
        <w:t>.</w:t>
      </w:r>
    </w:p>
    <w:p w:rsidR="004B51E1" w:rsidRDefault="00253083" w:rsidP="002D5A0F">
      <w:pPr>
        <w:pStyle w:val="BodyText"/>
        <w:spacing w:after="0"/>
        <w:jc w:val="both"/>
        <w:rPr>
          <w:bCs/>
          <w:iCs/>
          <w:u w:val="single"/>
        </w:rPr>
      </w:pPr>
      <w:r>
        <w:rPr>
          <w:rFonts w:ascii="Arial" w:hAnsi="Arial" w:cs="Arial"/>
          <w:b/>
          <w:bCs/>
          <w:i/>
          <w:iCs/>
        </w:rPr>
        <w:tab/>
      </w:r>
      <w:r w:rsidR="004B51E1" w:rsidRPr="00253083">
        <w:rPr>
          <w:bCs/>
          <w:iCs/>
          <w:u w:val="single"/>
        </w:rPr>
        <w:t>Mid-Course Correction</w:t>
      </w:r>
    </w:p>
    <w:p w:rsidR="00272403" w:rsidRPr="00253083" w:rsidRDefault="00272403" w:rsidP="002D5A0F">
      <w:pPr>
        <w:pStyle w:val="BodyText"/>
        <w:spacing w:after="0"/>
        <w:jc w:val="both"/>
        <w:rPr>
          <w:bCs/>
          <w:iCs/>
          <w:u w:val="single"/>
        </w:rPr>
      </w:pPr>
    </w:p>
    <w:p w:rsidR="004B51E1" w:rsidRPr="00B0437E" w:rsidRDefault="00253083" w:rsidP="002D5A0F">
      <w:pPr>
        <w:pStyle w:val="BodyText"/>
        <w:spacing w:after="0"/>
        <w:jc w:val="both"/>
      </w:pPr>
      <w:r>
        <w:tab/>
      </w:r>
      <w:r w:rsidR="004B51E1" w:rsidRPr="00B0437E">
        <w:t>FPUC filed for a m</w:t>
      </w:r>
      <w:r w:rsidR="004B51E1">
        <w:t>id-course correction of its PPA-related</w:t>
      </w:r>
      <w:r w:rsidR="004B51E1" w:rsidRPr="00B0437E">
        <w:t xml:space="preserve"> charges on </w:t>
      </w:r>
      <w:r w:rsidR="004B51E1" w:rsidRPr="00811569">
        <w:t>June 14, 2022.</w:t>
      </w:r>
      <w:r w:rsidR="004B51E1" w:rsidRPr="00811569">
        <w:rPr>
          <w:rStyle w:val="FootnoteReference"/>
        </w:rPr>
        <w:footnoteReference w:id="4"/>
      </w:r>
      <w:r w:rsidR="004B51E1" w:rsidRPr="00811569">
        <w:t xml:space="preserve"> </w:t>
      </w:r>
      <w:r w:rsidR="004B51E1">
        <w:t xml:space="preserve">Due to the fact the Company is requesting to recover only its actual 2021 true-up through this MCC review, </w:t>
      </w:r>
      <w:r w:rsidR="004B51E1" w:rsidRPr="00D43DDB">
        <w:t>its petition satisfies the filing requirements of Rule 25-6.0424(1)(b), F.A.C.</w:t>
      </w:r>
      <w:r w:rsidR="004B51E1" w:rsidRPr="00B0437E">
        <w:t xml:space="preserve"> </w:t>
      </w:r>
    </w:p>
    <w:p w:rsidR="004B51E1" w:rsidRDefault="004B51E1" w:rsidP="002D5A0F">
      <w:pPr>
        <w:pStyle w:val="BodyText"/>
        <w:spacing w:after="0"/>
        <w:jc w:val="both"/>
        <w:rPr>
          <w:highlight w:val="yellow"/>
        </w:rPr>
      </w:pPr>
    </w:p>
    <w:p w:rsidR="004B51E1" w:rsidRPr="00E05866" w:rsidRDefault="00253083" w:rsidP="002D5A0F">
      <w:pPr>
        <w:pStyle w:val="BodyText"/>
        <w:jc w:val="both"/>
        <w:rPr>
          <w:highlight w:val="yellow"/>
        </w:rPr>
      </w:pPr>
      <w:r>
        <w:tab/>
      </w:r>
      <w:r w:rsidR="004B51E1" w:rsidRPr="00B0437E">
        <w:t>Preceding the filing of its instant MCC Petition</w:t>
      </w:r>
      <w:r>
        <w:t>,</w:t>
      </w:r>
      <w:r w:rsidR="004B51E1" w:rsidRPr="00B0437E">
        <w:t xml:space="preserve"> and in accordance with the noticing requirement of</w:t>
      </w:r>
      <w:r w:rsidR="004B51E1">
        <w:t xml:space="preserve"> Rule 25-6.0424(2), F.A.C., FPUC</w:t>
      </w:r>
      <w:r w:rsidR="004B51E1" w:rsidRPr="00B0437E">
        <w:t xml:space="preserve"> filed a letter on May 18, 2022, informing </w:t>
      </w:r>
      <w:r>
        <w:t xml:space="preserve">us </w:t>
      </w:r>
      <w:r w:rsidR="004B51E1" w:rsidRPr="00B0437E">
        <w:t xml:space="preserve">that it was projecting an under-recovery position </w:t>
      </w:r>
      <w:r w:rsidR="004B51E1" w:rsidRPr="00E05866">
        <w:t>of greater than 10 percent for the 2022 recovery period.</w:t>
      </w:r>
      <w:r w:rsidR="004B51E1" w:rsidRPr="00E05866">
        <w:rPr>
          <w:rStyle w:val="FootnoteReference"/>
        </w:rPr>
        <w:footnoteReference w:id="5"/>
      </w:r>
      <w:r w:rsidR="004B51E1" w:rsidRPr="00E05866">
        <w:t xml:space="preserve"> </w:t>
      </w:r>
      <w:r>
        <w:t xml:space="preserve"> </w:t>
      </w:r>
      <w:r w:rsidR="004B51E1" w:rsidRPr="00E05866">
        <w:t>In its letter, FPUC stated it would likely be filing a petition for m</w:t>
      </w:r>
      <w:r w:rsidR="004B51E1">
        <w:t>id-course correction of its PPA</w:t>
      </w:r>
      <w:r w:rsidR="004B51E1" w:rsidRPr="00E05866">
        <w:t xml:space="preserve"> charges in short order, as the Company did not anticipate future conditions </w:t>
      </w:r>
      <w:r w:rsidR="004B51E1">
        <w:t>will mitigate the projected PPA</w:t>
      </w:r>
      <w:r w:rsidR="004B51E1" w:rsidRPr="00E05866">
        <w:t xml:space="preserve"> under-recovery for the period.</w:t>
      </w:r>
    </w:p>
    <w:p w:rsidR="004B51E1" w:rsidRDefault="00253083" w:rsidP="002D5A0F">
      <w:pPr>
        <w:pStyle w:val="BodyText"/>
        <w:spacing w:after="0"/>
        <w:jc w:val="both"/>
        <w:rPr>
          <w:highlight w:val="yellow"/>
        </w:rPr>
      </w:pPr>
      <w:r>
        <w:tab/>
      </w:r>
      <w:r w:rsidR="004B51E1" w:rsidRPr="00653157">
        <w:t xml:space="preserve">FPUC states the market price for natural gas </w:t>
      </w:r>
      <w:r w:rsidR="004B51E1">
        <w:t>has significantly</w:t>
      </w:r>
      <w:r w:rsidR="004B51E1" w:rsidRPr="00653157">
        <w:t xml:space="preserve"> trend</w:t>
      </w:r>
      <w:r w:rsidR="004B51E1">
        <w:t>ed</w:t>
      </w:r>
      <w:r w:rsidR="004B51E1" w:rsidRPr="00653157">
        <w:t xml:space="preserve"> upward</w:t>
      </w:r>
      <w:r w:rsidR="004B51E1">
        <w:t xml:space="preserve"> since its last rate adjustment, which in turn increased its</w:t>
      </w:r>
      <w:r w:rsidR="004B51E1" w:rsidRPr="00653157">
        <w:t xml:space="preserve"> purchase</w:t>
      </w:r>
      <w:r w:rsidR="004B51E1">
        <w:t>d</w:t>
      </w:r>
      <w:r w:rsidR="004B51E1" w:rsidRPr="00653157">
        <w:t xml:space="preserve"> power costs.</w:t>
      </w:r>
      <w:r w:rsidR="004B51E1">
        <w:t xml:space="preserve"> </w:t>
      </w:r>
      <w:r>
        <w:t xml:space="preserve"> </w:t>
      </w:r>
      <w:r w:rsidR="004B51E1">
        <w:t xml:space="preserve">This is the case for both the 2021 and 2022 recovery periods. </w:t>
      </w:r>
      <w:r>
        <w:t xml:space="preserve"> </w:t>
      </w:r>
      <w:r w:rsidR="004B51E1">
        <w:t>However, at this time, the Company is only proposing to adjust its PPA cost recovery factors to incorporate its unrecovered actual 202</w:t>
      </w:r>
      <w:r w:rsidR="004B51E1" w:rsidRPr="00D43DDB">
        <w:t xml:space="preserve">1 costs. The </w:t>
      </w:r>
      <w:r w:rsidR="004B51E1" w:rsidRPr="00D43DDB">
        <w:lastRenderedPageBreak/>
        <w:t>Company believes requesting to only recover its remaining</w:t>
      </w:r>
      <w:r w:rsidR="004B51E1">
        <w:t xml:space="preserve"> unrecovered</w:t>
      </w:r>
      <w:r w:rsidR="004B51E1" w:rsidRPr="00D43DDB">
        <w:t xml:space="preserve"> 2021 costs through the instant proceeding is appropriate due to the current volatility of the natural gas market. </w:t>
      </w:r>
      <w:r>
        <w:t xml:space="preserve"> </w:t>
      </w:r>
      <w:r w:rsidR="004B51E1" w:rsidRPr="00D43DDB">
        <w:t>Further, given the magnitude of the currently-projected under-recovery through July 2022, or (</w:t>
      </w:r>
      <w:r w:rsidR="004B51E1">
        <w:t>$9,330,463</w:t>
      </w:r>
      <w:r w:rsidR="004B51E1" w:rsidRPr="00D43DDB">
        <w:t>), the Company believes mitigating the overall bill impact to its customers is</w:t>
      </w:r>
      <w:r w:rsidR="004B51E1">
        <w:t xml:space="preserve"> also </w:t>
      </w:r>
      <w:r w:rsidR="004B51E1" w:rsidRPr="00D43DDB">
        <w:t>appropriate.</w:t>
      </w:r>
      <w:r w:rsidR="004B51E1" w:rsidRPr="00D43DDB">
        <w:rPr>
          <w:rStyle w:val="FootnoteReference"/>
        </w:rPr>
        <w:footnoteReference w:id="6"/>
      </w:r>
      <w:r w:rsidR="004B51E1">
        <w:t xml:space="preserve">       </w:t>
      </w:r>
      <w:r w:rsidR="004B51E1" w:rsidRPr="00653157">
        <w:t xml:space="preserve"> </w:t>
      </w:r>
      <w:r w:rsidR="004B51E1">
        <w:rPr>
          <w:highlight w:val="yellow"/>
        </w:rPr>
        <w:t xml:space="preserve"> </w:t>
      </w:r>
    </w:p>
    <w:p w:rsidR="004B51E1" w:rsidRPr="00B0437E" w:rsidRDefault="004B51E1" w:rsidP="004B51E1">
      <w:pPr>
        <w:pStyle w:val="BodyText"/>
        <w:spacing w:after="0"/>
        <w:rPr>
          <w:highlight w:val="yellow"/>
        </w:rPr>
      </w:pPr>
    </w:p>
    <w:p w:rsidR="004B51E1" w:rsidRDefault="00253083" w:rsidP="004B51E1">
      <w:pPr>
        <w:pStyle w:val="BodyText"/>
        <w:spacing w:after="0"/>
        <w:rPr>
          <w:u w:val="single"/>
        </w:rPr>
      </w:pPr>
      <w:r>
        <w:rPr>
          <w:rFonts w:ascii="Arial" w:hAnsi="Arial" w:cs="Arial"/>
          <w:b/>
          <w:i/>
        </w:rPr>
        <w:tab/>
      </w:r>
      <w:r w:rsidR="004B51E1" w:rsidRPr="00253083">
        <w:rPr>
          <w:u w:val="single"/>
        </w:rPr>
        <w:t>Period-Ending 2021 Recovery Position</w:t>
      </w:r>
    </w:p>
    <w:p w:rsidR="00272403" w:rsidRDefault="00272403" w:rsidP="004B51E1">
      <w:pPr>
        <w:pStyle w:val="BodyText"/>
        <w:spacing w:after="0"/>
        <w:rPr>
          <w:u w:val="single"/>
        </w:rPr>
      </w:pPr>
    </w:p>
    <w:p w:rsidR="004B51E1" w:rsidRDefault="00253083" w:rsidP="00253083">
      <w:pPr>
        <w:pStyle w:val="BodyText"/>
        <w:jc w:val="both"/>
      </w:pPr>
      <w:r>
        <w:tab/>
      </w:r>
      <w:r w:rsidR="004B51E1">
        <w:t>T</w:t>
      </w:r>
      <w:r w:rsidR="004B51E1" w:rsidRPr="00CA7F09">
        <w:t xml:space="preserve">hrough its </w:t>
      </w:r>
      <w:r w:rsidR="004B51E1" w:rsidRPr="00B640B5">
        <w:rPr>
          <w:i/>
        </w:rPr>
        <w:t>Petition for Approval of Actual/Estimated True-Up Amount</w:t>
      </w:r>
      <w:r w:rsidR="004B51E1" w:rsidRPr="00B640B5">
        <w:t xml:space="preserve"> </w:t>
      </w:r>
      <w:r w:rsidR="00362FBB">
        <w:t>(</w:t>
      </w:r>
      <w:r w:rsidR="004B51E1">
        <w:t>A</w:t>
      </w:r>
      <w:r w:rsidR="004B51E1" w:rsidRPr="00CA7F09">
        <w:t>ctual/</w:t>
      </w:r>
      <w:r w:rsidR="004B51E1">
        <w:t>Estimated Petition</w:t>
      </w:r>
      <w:r w:rsidR="00362FBB">
        <w:t>)</w:t>
      </w:r>
      <w:r w:rsidR="004B51E1">
        <w:t>, FPUC projected a PPA</w:t>
      </w:r>
      <w:r w:rsidR="004B51E1" w:rsidRPr="00CA7F09">
        <w:t xml:space="preserve"> cost over-recovery of $2,257,470</w:t>
      </w:r>
      <w:r w:rsidR="004B51E1" w:rsidRPr="00D83497">
        <w:t xml:space="preserve"> </w:t>
      </w:r>
      <w:r w:rsidR="004B51E1">
        <w:t>f</w:t>
      </w:r>
      <w:r w:rsidR="004B51E1" w:rsidRPr="00CA7F09">
        <w:t>or</w:t>
      </w:r>
      <w:r w:rsidR="004B51E1">
        <w:t xml:space="preserve"> period-ending 2021,</w:t>
      </w:r>
      <w:r w:rsidR="004B51E1" w:rsidRPr="00CA7F09">
        <w:t xml:space="preserve"> which is the amount recognized in </w:t>
      </w:r>
      <w:r w:rsidR="004B51E1">
        <w:t>i</w:t>
      </w:r>
      <w:r w:rsidR="004B51E1" w:rsidRPr="00CA7F09">
        <w:t>t</w:t>
      </w:r>
      <w:r w:rsidR="004B51E1">
        <w:t>s</w:t>
      </w:r>
      <w:r w:rsidR="004B51E1" w:rsidRPr="00CA7F09">
        <w:t xml:space="preserve"> currently-authorized 2022 </w:t>
      </w:r>
      <w:r w:rsidR="004B51E1">
        <w:t>PPA</w:t>
      </w:r>
      <w:r w:rsidR="004B51E1" w:rsidRPr="00CA7F09">
        <w:t xml:space="preserve"> factors.</w:t>
      </w:r>
      <w:r w:rsidR="004B51E1" w:rsidRPr="00CA7F09">
        <w:rPr>
          <w:rStyle w:val="FootnoteReference"/>
        </w:rPr>
        <w:footnoteReference w:id="7"/>
      </w:r>
      <w:r w:rsidR="004B51E1" w:rsidRPr="004E4C8B">
        <w:t xml:space="preserve"> </w:t>
      </w:r>
      <w:r>
        <w:t xml:space="preserve"> A</w:t>
      </w:r>
      <w:r w:rsidR="004B51E1">
        <w:t>lso r</w:t>
      </w:r>
      <w:r w:rsidR="004B51E1" w:rsidRPr="00CA7F09">
        <w:t xml:space="preserve">ecognized in the derivation of </w:t>
      </w:r>
      <w:r w:rsidR="004B51E1">
        <w:t>this amount were</w:t>
      </w:r>
      <w:r w:rsidR="004B51E1" w:rsidRPr="00CA7F09">
        <w:t xml:space="preserve"> dollars</w:t>
      </w:r>
      <w:r w:rsidR="004B51E1" w:rsidRPr="004E4C8B">
        <w:t xml:space="preserve"> </w:t>
      </w:r>
      <w:r w:rsidR="004B51E1">
        <w:t>associated with a refund related to the 2021 state corporate income tax savings (i.e., tax rate reduction) contemplated by a prior-approved settlement agreement in the amount of $75,358.</w:t>
      </w:r>
      <w:r w:rsidR="004B51E1">
        <w:rPr>
          <w:rStyle w:val="FootnoteReference"/>
        </w:rPr>
        <w:footnoteReference w:id="8"/>
      </w:r>
      <w:r w:rsidR="004B51E1">
        <w:t xml:space="preserve"> </w:t>
      </w:r>
      <w:r>
        <w:t xml:space="preserve"> </w:t>
      </w:r>
      <w:r w:rsidR="004B51E1">
        <w:t>However, the actual amount of tax savings for calendar 2021 was $112,605, which is the amount reflected in FPUC’s actual 2021 true-up.</w:t>
      </w:r>
      <w:r w:rsidR="004B51E1">
        <w:rPr>
          <w:rStyle w:val="FootnoteReference"/>
        </w:rPr>
        <w:footnoteReference w:id="9"/>
      </w:r>
      <w:r w:rsidR="004B51E1">
        <w:t xml:space="preserve"> </w:t>
      </w:r>
      <w:r>
        <w:t xml:space="preserve"> </w:t>
      </w:r>
      <w:r w:rsidR="004B51E1">
        <w:t xml:space="preserve">The Company’s actual 2021 true-up is an under-recovery of ($3,790,314) which is the amount being proposed for recovery though this proceeding. </w:t>
      </w:r>
      <w:r>
        <w:t xml:space="preserve"> </w:t>
      </w:r>
      <w:r w:rsidR="004B51E1">
        <w:t>FPUC’s actual 2021 true-up has been audited by Commission audit staff.</w:t>
      </w:r>
      <w:r w:rsidR="004B51E1">
        <w:rPr>
          <w:rStyle w:val="FootnoteReference"/>
        </w:rPr>
        <w:footnoteReference w:id="10"/>
      </w:r>
    </w:p>
    <w:p w:rsidR="004B51E1" w:rsidRDefault="00253083" w:rsidP="00253083">
      <w:pPr>
        <w:pStyle w:val="BodyText"/>
        <w:jc w:val="both"/>
      </w:pPr>
      <w:r>
        <w:tab/>
      </w:r>
      <w:r w:rsidR="004B51E1">
        <w:t>Concerning the variance between projected and actual 2021 PPA costs, FPUC experienced the same patterns as all other electric investor-owned public utilities in Florida. Duke Energy Florida, LLC, Florida Power &amp; Light Company (to include the former Gulf Power Company), and Tampa Electric Company have all required mid-course corrections of their then-current fuel cost recovery rates.</w:t>
      </w:r>
      <w:r w:rsidR="004B51E1">
        <w:rPr>
          <w:rStyle w:val="FootnoteReference"/>
        </w:rPr>
        <w:footnoteReference w:id="11"/>
      </w:r>
      <w:r w:rsidR="004B51E1">
        <w:t xml:space="preserve"> </w:t>
      </w:r>
      <w:r>
        <w:t xml:space="preserve"> </w:t>
      </w:r>
      <w:r w:rsidR="004B51E1">
        <w:t>These mid-course corrections were primarily due to significant increases in the market price for natural gas during the second half of 2021. For that period, or from July through December 2021, FPUC under-recovered $5,631,414.</w:t>
      </w:r>
      <w:r w:rsidR="004B51E1">
        <w:rPr>
          <w:rStyle w:val="FootnoteReference"/>
        </w:rPr>
        <w:footnoteReference w:id="12"/>
      </w:r>
      <w:r w:rsidR="004B51E1">
        <w:t xml:space="preserve"> </w:t>
      </w:r>
      <w:r>
        <w:t xml:space="preserve"> </w:t>
      </w:r>
      <w:r w:rsidR="004B51E1">
        <w:t>The Company last estimated an over-recovery of $453,042 for those same months as reported through its 2021 Actual/Estimated Petition.</w:t>
      </w:r>
      <w:r w:rsidR="004B51E1">
        <w:rPr>
          <w:rStyle w:val="FootnoteReference"/>
        </w:rPr>
        <w:footnoteReference w:id="13"/>
      </w:r>
    </w:p>
    <w:p w:rsidR="004B51E1" w:rsidRPr="005E2EC3" w:rsidRDefault="00253083" w:rsidP="00253083">
      <w:pPr>
        <w:pStyle w:val="BodyText"/>
        <w:jc w:val="both"/>
      </w:pPr>
      <w:r>
        <w:tab/>
      </w:r>
      <w:r w:rsidR="004B51E1">
        <w:t xml:space="preserve">The market price for natural gas increased sharply during the latter half of last year. Specifically, the price of natural gas (Henry Hub) averaged $3.25 per Million British thermal unit (MMBtu) for the months of January through June, 2021, and $4.57 per MMBtu for the </w:t>
      </w:r>
      <w:r w:rsidR="004B51E1">
        <w:lastRenderedPageBreak/>
        <w:t>months of July through December, 2021.</w:t>
      </w:r>
      <w:r w:rsidR="004B51E1" w:rsidRPr="001D2CE4">
        <w:t xml:space="preserve"> </w:t>
      </w:r>
      <w:r>
        <w:t xml:space="preserve"> </w:t>
      </w:r>
      <w:r w:rsidR="004B51E1">
        <w:t>T</w:t>
      </w:r>
      <w:r w:rsidR="004B51E1" w:rsidRPr="001D2CE4">
        <w:t>h</w:t>
      </w:r>
      <w:r w:rsidR="004B51E1">
        <w:t>is</w:t>
      </w:r>
      <w:r w:rsidR="004B51E1" w:rsidRPr="001D2CE4">
        <w:t xml:space="preserve"> represents an increase of 40.4 percent.</w:t>
      </w:r>
      <w:r w:rsidR="004B51E1" w:rsidRPr="001D2CE4">
        <w:rPr>
          <w:rStyle w:val="FootnoteReference"/>
        </w:rPr>
        <w:footnoteReference w:id="14"/>
      </w:r>
      <w:r w:rsidR="004B51E1" w:rsidRPr="001D2CE4">
        <w:t xml:space="preserve"> </w:t>
      </w:r>
      <w:r>
        <w:t xml:space="preserve"> S</w:t>
      </w:r>
      <w:r w:rsidR="004B51E1">
        <w:t>ome</w:t>
      </w:r>
      <w:r w:rsidR="004B51E1" w:rsidRPr="001D2CE4">
        <w:t xml:space="preserve"> factors driving the increase in natural gas prices at that time were lower than average storage levels and uncertainty regarding </w:t>
      </w:r>
      <w:r w:rsidR="004B51E1">
        <w:t xml:space="preserve">(then) </w:t>
      </w:r>
      <w:r w:rsidR="004B51E1" w:rsidRPr="001D2CE4">
        <w:t>near-term production levels.</w:t>
      </w:r>
      <w:r w:rsidR="004B51E1">
        <w:t xml:space="preserve"> </w:t>
      </w:r>
      <w:r>
        <w:t xml:space="preserve"> </w:t>
      </w:r>
      <w:r w:rsidR="004B51E1">
        <w:t>The price movement of natural gas during second half of 2021 is the primary or direct underlying cause of the Company’s under-recovery of PPA costs for the year.</w:t>
      </w:r>
    </w:p>
    <w:p w:rsidR="004B51E1" w:rsidRDefault="00253083" w:rsidP="00253083">
      <w:pPr>
        <w:pStyle w:val="BodyText"/>
        <w:spacing w:after="0"/>
        <w:jc w:val="both"/>
      </w:pPr>
      <w:r>
        <w:tab/>
      </w:r>
      <w:r w:rsidR="004B51E1" w:rsidRPr="00A873C9">
        <w:t>Tabl</w:t>
      </w:r>
      <w:r w:rsidR="004B51E1">
        <w:t>e 1</w:t>
      </w:r>
      <w:r>
        <w:t xml:space="preserve"> </w:t>
      </w:r>
      <w:r w:rsidR="004B51E1">
        <w:t>shows the accounting</w:t>
      </w:r>
      <w:r w:rsidR="004B51E1" w:rsidRPr="00A873C9">
        <w:t xml:space="preserve"> associated with FPUC’s actual 2021</w:t>
      </w:r>
      <w:r w:rsidR="004B51E1">
        <w:t xml:space="preserve"> PPA cost</w:t>
      </w:r>
      <w:r w:rsidR="004B51E1" w:rsidRPr="00A873C9">
        <w:t xml:space="preserve"> true-up.</w:t>
      </w:r>
    </w:p>
    <w:p w:rsidR="004B51E1" w:rsidRDefault="004B51E1" w:rsidP="004B51E1">
      <w:pPr>
        <w:pStyle w:val="BodyText"/>
        <w:spacing w:after="0"/>
        <w:rPr>
          <w:highlight w:val="yellow"/>
        </w:rPr>
      </w:pPr>
    </w:p>
    <w:tbl>
      <w:tblPr>
        <w:tblStyle w:val="TableGrid"/>
        <w:tblW w:w="5000" w:type="pct"/>
        <w:tblLook w:val="04A0" w:firstRow="1" w:lastRow="0" w:firstColumn="1" w:lastColumn="0" w:noHBand="0" w:noVBand="1"/>
      </w:tblPr>
      <w:tblGrid>
        <w:gridCol w:w="4788"/>
        <w:gridCol w:w="4788"/>
      </w:tblGrid>
      <w:tr w:rsidR="004B51E1" w:rsidRPr="00B0437E" w:rsidTr="009F1CEF">
        <w:tc>
          <w:tcPr>
            <w:tcW w:w="5000" w:type="pct"/>
            <w:gridSpan w:val="2"/>
            <w:tcBorders>
              <w:top w:val="nil"/>
              <w:left w:val="nil"/>
              <w:bottom w:val="nil"/>
              <w:right w:val="nil"/>
            </w:tcBorders>
            <w:vAlign w:val="center"/>
          </w:tcPr>
          <w:p w:rsidR="004B51E1" w:rsidRPr="00C3758F" w:rsidRDefault="004B51E1" w:rsidP="00253083">
            <w:pPr>
              <w:jc w:val="center"/>
              <w:rPr>
                <w:b/>
              </w:rPr>
            </w:pPr>
            <w:r w:rsidRPr="00C3758F">
              <w:rPr>
                <w:b/>
              </w:rPr>
              <w:t>Table 1</w:t>
            </w:r>
          </w:p>
        </w:tc>
      </w:tr>
      <w:tr w:rsidR="004B51E1" w:rsidRPr="00B0437E" w:rsidTr="009F1CEF">
        <w:tc>
          <w:tcPr>
            <w:tcW w:w="5000" w:type="pct"/>
            <w:gridSpan w:val="2"/>
            <w:tcBorders>
              <w:top w:val="nil"/>
              <w:left w:val="nil"/>
              <w:right w:val="nil"/>
            </w:tcBorders>
            <w:vAlign w:val="center"/>
          </w:tcPr>
          <w:p w:rsidR="004B51E1" w:rsidRPr="00C3758F" w:rsidRDefault="004B51E1" w:rsidP="009F1CEF">
            <w:pPr>
              <w:jc w:val="center"/>
              <w:rPr>
                <w:b/>
              </w:rPr>
            </w:pPr>
            <w:r w:rsidRPr="00C3758F">
              <w:rPr>
                <w:b/>
              </w:rPr>
              <w:t>2021 Actual True-Up Derivation</w:t>
            </w:r>
          </w:p>
        </w:tc>
      </w:tr>
      <w:tr w:rsidR="004B51E1" w:rsidRPr="00B0437E" w:rsidTr="009F1CEF">
        <w:tc>
          <w:tcPr>
            <w:tcW w:w="2500" w:type="pct"/>
            <w:tcBorders>
              <w:top w:val="single" w:sz="4" w:space="0" w:color="auto"/>
            </w:tcBorders>
            <w:vAlign w:val="center"/>
          </w:tcPr>
          <w:p w:rsidR="004B51E1" w:rsidRPr="00D108E1" w:rsidRDefault="004B51E1" w:rsidP="009F1CEF">
            <w:pPr>
              <w:jc w:val="center"/>
              <w:rPr>
                <w:b/>
                <w:sz w:val="22"/>
                <w:szCs w:val="22"/>
              </w:rPr>
            </w:pPr>
            <w:r>
              <w:rPr>
                <w:b/>
                <w:sz w:val="22"/>
                <w:szCs w:val="22"/>
              </w:rPr>
              <w:t>Description</w:t>
            </w:r>
          </w:p>
        </w:tc>
        <w:tc>
          <w:tcPr>
            <w:tcW w:w="2500" w:type="pct"/>
            <w:tcBorders>
              <w:top w:val="single" w:sz="4" w:space="0" w:color="auto"/>
            </w:tcBorders>
            <w:vAlign w:val="center"/>
          </w:tcPr>
          <w:p w:rsidR="004B51E1" w:rsidRPr="00D108E1" w:rsidRDefault="004B51E1" w:rsidP="009F1CEF">
            <w:pPr>
              <w:jc w:val="center"/>
              <w:rPr>
                <w:b/>
                <w:sz w:val="22"/>
                <w:szCs w:val="22"/>
              </w:rPr>
            </w:pPr>
            <w:r>
              <w:rPr>
                <w:b/>
                <w:sz w:val="22"/>
                <w:szCs w:val="22"/>
              </w:rPr>
              <w:t>Amount</w:t>
            </w:r>
          </w:p>
        </w:tc>
      </w:tr>
      <w:tr w:rsidR="004B51E1" w:rsidRPr="00B0437E" w:rsidTr="009F1CEF">
        <w:trPr>
          <w:trHeight w:val="422"/>
        </w:trPr>
        <w:tc>
          <w:tcPr>
            <w:tcW w:w="2500" w:type="pct"/>
            <w:vAlign w:val="bottom"/>
          </w:tcPr>
          <w:p w:rsidR="004B51E1" w:rsidRPr="00D108E1" w:rsidRDefault="004B51E1" w:rsidP="009F1CEF">
            <w:pPr>
              <w:rPr>
                <w:color w:val="000000"/>
                <w:sz w:val="22"/>
                <w:szCs w:val="22"/>
              </w:rPr>
            </w:pPr>
            <w:r w:rsidRPr="00D108E1">
              <w:rPr>
                <w:color w:val="000000"/>
                <w:sz w:val="22"/>
                <w:szCs w:val="22"/>
              </w:rPr>
              <w:t>Total PPA</w:t>
            </w:r>
            <w:r>
              <w:rPr>
                <w:color w:val="000000"/>
                <w:sz w:val="22"/>
                <w:szCs w:val="22"/>
              </w:rPr>
              <w:t>-Related</w:t>
            </w:r>
            <w:r w:rsidRPr="00D108E1">
              <w:rPr>
                <w:color w:val="000000"/>
                <w:sz w:val="22"/>
                <w:szCs w:val="22"/>
              </w:rPr>
              <w:t xml:space="preserve"> Cost for 2021</w:t>
            </w:r>
          </w:p>
        </w:tc>
        <w:tc>
          <w:tcPr>
            <w:tcW w:w="2500" w:type="pct"/>
            <w:vAlign w:val="bottom"/>
          </w:tcPr>
          <w:p w:rsidR="004B51E1" w:rsidRPr="00D108E1" w:rsidRDefault="004B51E1" w:rsidP="009F1CEF">
            <w:pPr>
              <w:jc w:val="right"/>
              <w:rPr>
                <w:color w:val="000000"/>
                <w:sz w:val="22"/>
                <w:szCs w:val="22"/>
              </w:rPr>
            </w:pPr>
            <w:r w:rsidRPr="00D108E1">
              <w:rPr>
                <w:color w:val="000000"/>
                <w:sz w:val="22"/>
                <w:szCs w:val="22"/>
              </w:rPr>
              <w:t xml:space="preserve">$49,477,917 </w:t>
            </w:r>
          </w:p>
        </w:tc>
      </w:tr>
      <w:tr w:rsidR="004B51E1" w:rsidRPr="00B0437E" w:rsidTr="009F1CEF">
        <w:trPr>
          <w:trHeight w:val="377"/>
        </w:trPr>
        <w:tc>
          <w:tcPr>
            <w:tcW w:w="2500" w:type="pct"/>
            <w:vAlign w:val="bottom"/>
          </w:tcPr>
          <w:p w:rsidR="004B51E1" w:rsidRPr="00D108E1" w:rsidRDefault="004B51E1" w:rsidP="009F1CEF">
            <w:pPr>
              <w:rPr>
                <w:color w:val="000000"/>
                <w:sz w:val="22"/>
                <w:szCs w:val="22"/>
              </w:rPr>
            </w:pPr>
            <w:r>
              <w:rPr>
                <w:color w:val="000000"/>
                <w:sz w:val="22"/>
                <w:szCs w:val="22"/>
              </w:rPr>
              <w:t>Period PPA-Related</w:t>
            </w:r>
            <w:r w:rsidRPr="00D108E1">
              <w:rPr>
                <w:color w:val="000000"/>
                <w:sz w:val="22"/>
                <w:szCs w:val="22"/>
              </w:rPr>
              <w:t xml:space="preserve"> </w:t>
            </w:r>
            <w:r>
              <w:rPr>
                <w:color w:val="000000"/>
                <w:sz w:val="22"/>
                <w:szCs w:val="22"/>
              </w:rPr>
              <w:t>R</w:t>
            </w:r>
            <w:r w:rsidRPr="00D108E1">
              <w:rPr>
                <w:color w:val="000000"/>
                <w:sz w:val="22"/>
                <w:szCs w:val="22"/>
              </w:rPr>
              <w:t>evenue for 2021</w:t>
            </w:r>
            <w:r>
              <w:rPr>
                <w:rStyle w:val="FootnoteReference"/>
                <w:color w:val="000000"/>
                <w:sz w:val="22"/>
                <w:szCs w:val="22"/>
              </w:rPr>
              <w:footnoteReference w:id="15"/>
            </w:r>
          </w:p>
        </w:tc>
        <w:tc>
          <w:tcPr>
            <w:tcW w:w="2500" w:type="pct"/>
            <w:vAlign w:val="bottom"/>
          </w:tcPr>
          <w:p w:rsidR="004B51E1" w:rsidRPr="00D108E1" w:rsidRDefault="004B51E1" w:rsidP="009F1CEF">
            <w:pPr>
              <w:jc w:val="right"/>
              <w:rPr>
                <w:color w:val="000000"/>
                <w:sz w:val="22"/>
                <w:szCs w:val="22"/>
              </w:rPr>
            </w:pPr>
            <w:r>
              <w:rPr>
                <w:color w:val="000000"/>
                <w:sz w:val="22"/>
                <w:szCs w:val="22"/>
              </w:rPr>
              <w:t>$</w:t>
            </w:r>
            <w:r w:rsidRPr="00D108E1">
              <w:rPr>
                <w:color w:val="000000"/>
                <w:sz w:val="22"/>
                <w:szCs w:val="22"/>
              </w:rPr>
              <w:t>42,339,324</w:t>
            </w:r>
          </w:p>
        </w:tc>
      </w:tr>
      <w:tr w:rsidR="004B51E1" w:rsidRPr="00B0437E" w:rsidTr="009F1CEF">
        <w:trPr>
          <w:trHeight w:val="377"/>
        </w:trPr>
        <w:tc>
          <w:tcPr>
            <w:tcW w:w="2500" w:type="pct"/>
            <w:vAlign w:val="bottom"/>
          </w:tcPr>
          <w:p w:rsidR="004B51E1" w:rsidRPr="00D108E1" w:rsidRDefault="004B51E1" w:rsidP="009F1CEF">
            <w:pPr>
              <w:rPr>
                <w:color w:val="000000"/>
                <w:sz w:val="22"/>
                <w:szCs w:val="22"/>
              </w:rPr>
            </w:pPr>
            <w:r w:rsidRPr="00D108E1">
              <w:rPr>
                <w:color w:val="000000"/>
                <w:sz w:val="22"/>
                <w:szCs w:val="22"/>
              </w:rPr>
              <w:t>Difference</w:t>
            </w:r>
          </w:p>
        </w:tc>
        <w:tc>
          <w:tcPr>
            <w:tcW w:w="2500" w:type="pct"/>
            <w:vAlign w:val="bottom"/>
          </w:tcPr>
          <w:p w:rsidR="004B51E1" w:rsidRPr="00D108E1" w:rsidRDefault="004B51E1" w:rsidP="009F1CEF">
            <w:pPr>
              <w:jc w:val="right"/>
              <w:rPr>
                <w:color w:val="000000"/>
                <w:sz w:val="22"/>
                <w:szCs w:val="22"/>
              </w:rPr>
            </w:pPr>
            <w:r w:rsidRPr="00D108E1">
              <w:rPr>
                <w:color w:val="FF0000"/>
                <w:sz w:val="22"/>
                <w:szCs w:val="22"/>
              </w:rPr>
              <w:t>($7,138,593)</w:t>
            </w:r>
          </w:p>
        </w:tc>
      </w:tr>
      <w:tr w:rsidR="004B51E1" w:rsidRPr="00B0437E" w:rsidTr="009F1CEF">
        <w:trPr>
          <w:trHeight w:val="377"/>
        </w:trPr>
        <w:tc>
          <w:tcPr>
            <w:tcW w:w="2500" w:type="pct"/>
            <w:vAlign w:val="bottom"/>
          </w:tcPr>
          <w:p w:rsidR="004B51E1" w:rsidRPr="00D108E1" w:rsidRDefault="004B51E1" w:rsidP="009F1CEF">
            <w:pPr>
              <w:rPr>
                <w:color w:val="000000"/>
                <w:sz w:val="22"/>
                <w:szCs w:val="22"/>
              </w:rPr>
            </w:pPr>
            <w:r w:rsidRPr="00D108E1">
              <w:rPr>
                <w:color w:val="000000"/>
                <w:sz w:val="22"/>
                <w:szCs w:val="22"/>
              </w:rPr>
              <w:t>Beginning True-Up</w:t>
            </w:r>
            <w:r>
              <w:rPr>
                <w:color w:val="000000"/>
                <w:sz w:val="22"/>
                <w:szCs w:val="22"/>
              </w:rPr>
              <w:t xml:space="preserve"> in 2021</w:t>
            </w:r>
          </w:p>
        </w:tc>
        <w:tc>
          <w:tcPr>
            <w:tcW w:w="2500" w:type="pct"/>
            <w:vAlign w:val="bottom"/>
          </w:tcPr>
          <w:p w:rsidR="004B51E1" w:rsidRPr="00D108E1" w:rsidRDefault="004B51E1" w:rsidP="009F1CEF">
            <w:pPr>
              <w:jc w:val="right"/>
              <w:rPr>
                <w:color w:val="000000"/>
                <w:sz w:val="22"/>
                <w:szCs w:val="22"/>
              </w:rPr>
            </w:pPr>
            <w:r w:rsidRPr="00D108E1">
              <w:rPr>
                <w:color w:val="000000"/>
                <w:sz w:val="22"/>
                <w:szCs w:val="22"/>
              </w:rPr>
              <w:t xml:space="preserve">$3,235,074 </w:t>
            </w:r>
          </w:p>
        </w:tc>
      </w:tr>
      <w:tr w:rsidR="004B51E1" w:rsidRPr="00B0437E" w:rsidTr="009F1CEF">
        <w:trPr>
          <w:trHeight w:val="377"/>
        </w:trPr>
        <w:tc>
          <w:tcPr>
            <w:tcW w:w="2500" w:type="pct"/>
            <w:vAlign w:val="bottom"/>
          </w:tcPr>
          <w:p w:rsidR="004B51E1" w:rsidRPr="00D108E1" w:rsidRDefault="004B51E1" w:rsidP="009F1CEF">
            <w:pPr>
              <w:rPr>
                <w:color w:val="000000"/>
                <w:sz w:val="22"/>
                <w:szCs w:val="22"/>
              </w:rPr>
            </w:pPr>
            <w:r w:rsidRPr="00D108E1">
              <w:rPr>
                <w:color w:val="000000"/>
                <w:sz w:val="22"/>
                <w:szCs w:val="22"/>
              </w:rPr>
              <w:t>Interest Provision</w:t>
            </w:r>
          </w:p>
        </w:tc>
        <w:tc>
          <w:tcPr>
            <w:tcW w:w="2500" w:type="pct"/>
            <w:vAlign w:val="bottom"/>
          </w:tcPr>
          <w:p w:rsidR="004B51E1" w:rsidRPr="00D108E1" w:rsidRDefault="004B51E1" w:rsidP="009F1CEF">
            <w:pPr>
              <w:jc w:val="right"/>
              <w:rPr>
                <w:color w:val="000000"/>
                <w:sz w:val="22"/>
                <w:szCs w:val="22"/>
              </w:rPr>
            </w:pPr>
            <w:r w:rsidRPr="00D108E1">
              <w:rPr>
                <w:color w:val="000000"/>
                <w:sz w:val="22"/>
                <w:szCs w:val="22"/>
              </w:rPr>
              <w:t xml:space="preserve">$600 </w:t>
            </w:r>
          </w:p>
        </w:tc>
      </w:tr>
      <w:tr w:rsidR="004B51E1" w:rsidRPr="00B0437E" w:rsidTr="009F1CEF">
        <w:trPr>
          <w:trHeight w:val="341"/>
        </w:trPr>
        <w:tc>
          <w:tcPr>
            <w:tcW w:w="2500" w:type="pct"/>
            <w:vAlign w:val="bottom"/>
          </w:tcPr>
          <w:p w:rsidR="004B51E1" w:rsidRPr="00D108E1" w:rsidRDefault="004B51E1" w:rsidP="009F1CEF">
            <w:pPr>
              <w:rPr>
                <w:color w:val="000000"/>
                <w:sz w:val="22"/>
                <w:szCs w:val="22"/>
              </w:rPr>
            </w:pPr>
            <w:r>
              <w:rPr>
                <w:color w:val="000000"/>
                <w:sz w:val="22"/>
                <w:szCs w:val="22"/>
              </w:rPr>
              <w:t xml:space="preserve">State </w:t>
            </w:r>
            <w:r w:rsidRPr="00D108E1">
              <w:rPr>
                <w:color w:val="000000"/>
                <w:sz w:val="22"/>
                <w:szCs w:val="22"/>
              </w:rPr>
              <w:t xml:space="preserve">Income </w:t>
            </w:r>
            <w:r>
              <w:rPr>
                <w:color w:val="000000"/>
                <w:sz w:val="22"/>
                <w:szCs w:val="22"/>
              </w:rPr>
              <w:t>T</w:t>
            </w:r>
            <w:r w:rsidRPr="00D108E1">
              <w:rPr>
                <w:color w:val="000000"/>
                <w:sz w:val="22"/>
                <w:szCs w:val="22"/>
              </w:rPr>
              <w:t>ax Refund</w:t>
            </w:r>
            <w:r>
              <w:rPr>
                <w:color w:val="000000"/>
                <w:sz w:val="22"/>
                <w:szCs w:val="22"/>
              </w:rPr>
              <w:t xml:space="preserve"> for 2021</w:t>
            </w:r>
          </w:p>
        </w:tc>
        <w:tc>
          <w:tcPr>
            <w:tcW w:w="2500" w:type="pct"/>
            <w:vAlign w:val="bottom"/>
          </w:tcPr>
          <w:p w:rsidR="004B51E1" w:rsidRPr="00D108E1" w:rsidRDefault="004B51E1" w:rsidP="009F1CEF">
            <w:pPr>
              <w:jc w:val="right"/>
              <w:rPr>
                <w:color w:val="000000"/>
                <w:sz w:val="22"/>
                <w:szCs w:val="22"/>
              </w:rPr>
            </w:pPr>
            <w:r w:rsidRPr="00D108E1">
              <w:rPr>
                <w:color w:val="000000"/>
                <w:sz w:val="22"/>
                <w:szCs w:val="22"/>
              </w:rPr>
              <w:t xml:space="preserve">$112,605 </w:t>
            </w:r>
          </w:p>
        </w:tc>
      </w:tr>
      <w:tr w:rsidR="004B51E1" w:rsidRPr="00B0437E" w:rsidTr="009F1CEF">
        <w:trPr>
          <w:trHeight w:val="341"/>
        </w:trPr>
        <w:tc>
          <w:tcPr>
            <w:tcW w:w="2500" w:type="pct"/>
            <w:vAlign w:val="bottom"/>
          </w:tcPr>
          <w:p w:rsidR="004B51E1" w:rsidRPr="00D108E1" w:rsidRDefault="004B51E1" w:rsidP="009F1CEF">
            <w:pPr>
              <w:rPr>
                <w:color w:val="000000"/>
                <w:sz w:val="22"/>
                <w:szCs w:val="22"/>
              </w:rPr>
            </w:pPr>
            <w:r w:rsidRPr="00D108E1">
              <w:rPr>
                <w:color w:val="000000"/>
                <w:sz w:val="22"/>
                <w:szCs w:val="22"/>
              </w:rPr>
              <w:t>Actual 2021 True-Up</w:t>
            </w:r>
            <w:r>
              <w:rPr>
                <w:color w:val="000000"/>
                <w:sz w:val="22"/>
                <w:szCs w:val="22"/>
              </w:rPr>
              <w:t xml:space="preserve"> (</w:t>
            </w:r>
            <w:r w:rsidRPr="00DA552D">
              <w:rPr>
                <w:i/>
                <w:color w:val="000000"/>
                <w:sz w:val="22"/>
                <w:szCs w:val="22"/>
              </w:rPr>
              <w:t>requested MCC amount</w:t>
            </w:r>
            <w:r>
              <w:rPr>
                <w:color w:val="000000"/>
                <w:sz w:val="22"/>
                <w:szCs w:val="22"/>
              </w:rPr>
              <w:t>)</w:t>
            </w:r>
          </w:p>
        </w:tc>
        <w:tc>
          <w:tcPr>
            <w:tcW w:w="2500" w:type="pct"/>
            <w:vAlign w:val="bottom"/>
          </w:tcPr>
          <w:p w:rsidR="004B51E1" w:rsidRPr="00D108E1" w:rsidRDefault="004B51E1" w:rsidP="009F1CEF">
            <w:pPr>
              <w:jc w:val="right"/>
              <w:rPr>
                <w:color w:val="000000"/>
                <w:sz w:val="22"/>
                <w:szCs w:val="22"/>
              </w:rPr>
            </w:pPr>
            <w:r w:rsidRPr="00D108E1">
              <w:rPr>
                <w:color w:val="FF0000"/>
                <w:sz w:val="22"/>
                <w:szCs w:val="22"/>
              </w:rPr>
              <w:t>($3,790,314)</w:t>
            </w:r>
          </w:p>
        </w:tc>
      </w:tr>
    </w:tbl>
    <w:p w:rsidR="004B51E1" w:rsidRPr="00845DF8" w:rsidRDefault="004B51E1" w:rsidP="004B51E1">
      <w:pPr>
        <w:pStyle w:val="FootnoteText"/>
      </w:pPr>
      <w:r w:rsidRPr="00845DF8">
        <w:t>Sources: Document Nos. 10083-2021, 02208-2022, and 03889-2022.</w:t>
      </w:r>
    </w:p>
    <w:p w:rsidR="004B51E1" w:rsidRPr="00B0437E" w:rsidRDefault="004B51E1" w:rsidP="004B51E1">
      <w:pPr>
        <w:pStyle w:val="BodyText"/>
        <w:spacing w:after="0"/>
        <w:rPr>
          <w:highlight w:val="yellow"/>
        </w:rPr>
      </w:pPr>
    </w:p>
    <w:p w:rsidR="004B51E1" w:rsidRPr="00B0437E" w:rsidRDefault="00253083" w:rsidP="00253083">
      <w:pPr>
        <w:pStyle w:val="BodyText"/>
        <w:spacing w:after="0"/>
        <w:jc w:val="both"/>
        <w:rPr>
          <w:highlight w:val="yellow"/>
        </w:rPr>
      </w:pPr>
      <w:r>
        <w:tab/>
      </w:r>
      <w:r w:rsidR="004B51E1" w:rsidRPr="000476E0">
        <w:t xml:space="preserve">Following the methodology prescribed in Rule 25-6.0424(1)(a), F.A.C., the mid-course percentage is equal to the estimated end-of-period total net true-up amount, including interest, divided by the current period’s total actual and estimated jurisdictional fuel revenue applicable to period. </w:t>
      </w:r>
      <w:r>
        <w:t xml:space="preserve"> </w:t>
      </w:r>
      <w:r w:rsidR="004B51E1" w:rsidRPr="000476E0">
        <w:t>In this instance and using actual 2021 data,</w:t>
      </w:r>
      <w:r w:rsidR="004B51E1">
        <w:t xml:space="preserve"> the calculation </w:t>
      </w:r>
      <w:r w:rsidR="004B51E1" w:rsidRPr="009752ED">
        <w:t>is as follows: ($3,790,314) / $42,636,492.</w:t>
      </w:r>
      <w:r w:rsidR="004B51E1" w:rsidRPr="009752ED">
        <w:rPr>
          <w:rStyle w:val="FootnoteReference"/>
        </w:rPr>
        <w:footnoteReference w:id="16"/>
      </w:r>
      <w:r w:rsidR="004B51E1" w:rsidRPr="009752ED">
        <w:t xml:space="preserve"> </w:t>
      </w:r>
      <w:r>
        <w:t xml:space="preserve"> </w:t>
      </w:r>
      <w:r w:rsidR="004B51E1" w:rsidRPr="009752ED">
        <w:t>This calculation results in a “mid-course correction level</w:t>
      </w:r>
      <w:r w:rsidR="004B51E1">
        <w:t>”</w:t>
      </w:r>
      <w:r w:rsidR="004B51E1" w:rsidRPr="009752ED">
        <w:t xml:space="preserve"> of (8.9) percent.</w:t>
      </w:r>
      <w:r w:rsidR="004B51E1">
        <w:t xml:space="preserve"> Although not requested by the Company in the instant petition, the currently-projected under-recovery for 2021 and 2022 costs through July is </w:t>
      </w:r>
      <w:r w:rsidR="004B51E1" w:rsidRPr="00D43DDB">
        <w:t>(</w:t>
      </w:r>
      <w:r w:rsidR="004B51E1">
        <w:t>$9,330,463</w:t>
      </w:r>
      <w:r w:rsidR="004B51E1" w:rsidRPr="00D43DDB">
        <w:t>)</w:t>
      </w:r>
      <w:r w:rsidR="004B51E1">
        <w:t>.</w:t>
      </w:r>
      <w:r w:rsidR="004B51E1">
        <w:rPr>
          <w:rStyle w:val="FootnoteReference"/>
        </w:rPr>
        <w:footnoteReference w:id="17"/>
      </w:r>
      <w:r w:rsidR="004B51E1">
        <w:t xml:space="preserve"> </w:t>
      </w:r>
      <w:r>
        <w:t xml:space="preserve"> </w:t>
      </w:r>
      <w:r w:rsidR="004B51E1">
        <w:t>To mitigate the impact on customer rates, the Company is only requesting to recover the remaining amount of actual 2021 costs at this time.</w:t>
      </w:r>
    </w:p>
    <w:p w:rsidR="004B51E1" w:rsidRPr="00B0437E" w:rsidRDefault="004B51E1" w:rsidP="00253083">
      <w:pPr>
        <w:pStyle w:val="BodyText"/>
        <w:spacing w:after="0"/>
        <w:jc w:val="both"/>
        <w:rPr>
          <w:highlight w:val="yellow"/>
        </w:rPr>
      </w:pPr>
    </w:p>
    <w:p w:rsidR="00253083" w:rsidRDefault="00253083">
      <w:pPr>
        <w:rPr>
          <w:u w:val="single"/>
        </w:rPr>
      </w:pPr>
      <w:r>
        <w:rPr>
          <w:u w:val="single"/>
        </w:rPr>
        <w:br w:type="page"/>
      </w:r>
    </w:p>
    <w:p w:rsidR="004B51E1" w:rsidRDefault="004B51E1" w:rsidP="00253083">
      <w:pPr>
        <w:pStyle w:val="BodyText"/>
        <w:spacing w:after="0"/>
        <w:ind w:firstLine="720"/>
        <w:jc w:val="both"/>
        <w:rPr>
          <w:u w:val="single"/>
        </w:rPr>
      </w:pPr>
      <w:r w:rsidRPr="00253083">
        <w:rPr>
          <w:u w:val="single"/>
        </w:rPr>
        <w:lastRenderedPageBreak/>
        <w:t>Fuel Factor</w:t>
      </w:r>
    </w:p>
    <w:p w:rsidR="00272403" w:rsidRPr="00253083" w:rsidRDefault="00272403" w:rsidP="00253083">
      <w:pPr>
        <w:pStyle w:val="BodyText"/>
        <w:spacing w:after="0"/>
        <w:ind w:firstLine="720"/>
        <w:jc w:val="both"/>
        <w:rPr>
          <w:u w:val="single"/>
        </w:rPr>
      </w:pPr>
    </w:p>
    <w:p w:rsidR="004B51E1" w:rsidRPr="00B0437E" w:rsidRDefault="00253083" w:rsidP="00253083">
      <w:pPr>
        <w:pStyle w:val="BodyText"/>
        <w:spacing w:after="0"/>
        <w:jc w:val="both"/>
        <w:rPr>
          <w:highlight w:val="yellow"/>
        </w:rPr>
      </w:pPr>
      <w:r>
        <w:tab/>
      </w:r>
      <w:r w:rsidR="004B51E1" w:rsidRPr="00C84288">
        <w:t xml:space="preserve">FPUC’s currently-approved annual levelized </w:t>
      </w:r>
      <w:r w:rsidR="004B51E1">
        <w:t xml:space="preserve">fuel, (i.e., </w:t>
      </w:r>
      <w:r w:rsidR="004B51E1" w:rsidRPr="00C84288">
        <w:t>fuel</w:t>
      </w:r>
      <w:r w:rsidR="004B51E1">
        <w:t xml:space="preserve"> portion</w:t>
      </w:r>
      <w:r w:rsidR="004B51E1" w:rsidRPr="00C84288">
        <w:t xml:space="preserve"> </w:t>
      </w:r>
      <w:r w:rsidR="004B51E1">
        <w:t>of the PPA cost recovery factor</w:t>
      </w:r>
      <w:r w:rsidR="004B51E1" w:rsidRPr="00C84288">
        <w:t>) factor beginning January 2022 is 4.580 cents per kilowatt-hour (kWh).</w:t>
      </w:r>
      <w:r w:rsidR="004B51E1" w:rsidRPr="00C84288">
        <w:rPr>
          <w:rStyle w:val="FootnoteReference"/>
        </w:rPr>
        <w:footnoteReference w:id="18"/>
      </w:r>
      <w:r w:rsidR="004B51E1" w:rsidRPr="00C84288">
        <w:t xml:space="preserve"> </w:t>
      </w:r>
      <w:r>
        <w:t xml:space="preserve"> </w:t>
      </w:r>
      <w:r w:rsidR="004B51E1" w:rsidRPr="00C84288">
        <w:t>The Company is requesting to increase its currently-approved 2022 a</w:t>
      </w:r>
      <w:r w:rsidR="004B51E1">
        <w:t>nnual levelized fuel,</w:t>
      </w:r>
      <w:r w:rsidR="004B51E1" w:rsidRPr="00C84288">
        <w:t xml:space="preserve"> (</w:t>
      </w:r>
      <w:r w:rsidR="004B51E1">
        <w:t xml:space="preserve">i.e., </w:t>
      </w:r>
      <w:r w:rsidR="004B51E1" w:rsidRPr="00C84288">
        <w:t>fuel</w:t>
      </w:r>
      <w:r w:rsidR="004B51E1">
        <w:t xml:space="preserve"> portion</w:t>
      </w:r>
      <w:r w:rsidR="004B51E1" w:rsidRPr="00C84288">
        <w:t xml:space="preserve"> </w:t>
      </w:r>
      <w:r w:rsidR="004B51E1">
        <w:t xml:space="preserve">of the PPA </w:t>
      </w:r>
      <w:r w:rsidR="004B51E1" w:rsidRPr="00445388">
        <w:t>cost recovery factor) factor to 6.164 cents per kWh, or by 34.6 percent.</w:t>
      </w:r>
      <w:r w:rsidR="004B51E1" w:rsidRPr="00445388">
        <w:rPr>
          <w:rStyle w:val="FootnoteReference"/>
        </w:rPr>
        <w:footnoteReference w:id="19"/>
      </w:r>
      <w:r w:rsidR="004B51E1" w:rsidRPr="00445388">
        <w:t xml:space="preserve"> </w:t>
      </w:r>
      <w:r>
        <w:t xml:space="preserve"> T</w:t>
      </w:r>
      <w:r w:rsidR="004B51E1" w:rsidRPr="00445388">
        <w:t>he PPA factors ultimately billed to customers also include the demand-related costs of FPUC’s PPAs. Thus, the PPA cost recovery factors, as shown on Appendix A, are greater than the fuel-only values quoted in this paragraph.</w:t>
      </w:r>
    </w:p>
    <w:p w:rsidR="004B51E1" w:rsidRDefault="004B51E1" w:rsidP="004B51E1">
      <w:pPr>
        <w:pStyle w:val="BodyText"/>
        <w:spacing w:after="0"/>
        <w:rPr>
          <w:highlight w:val="yellow"/>
        </w:rPr>
      </w:pPr>
    </w:p>
    <w:p w:rsidR="004B51E1" w:rsidRDefault="00253083" w:rsidP="004B51E1">
      <w:pPr>
        <w:pStyle w:val="BodyText"/>
        <w:spacing w:after="0"/>
        <w:rPr>
          <w:bCs/>
          <w:iCs/>
          <w:u w:val="single"/>
        </w:rPr>
      </w:pPr>
      <w:r>
        <w:rPr>
          <w:rFonts w:ascii="Arial" w:hAnsi="Arial" w:cs="Arial"/>
          <w:b/>
          <w:bCs/>
          <w:i/>
          <w:iCs/>
        </w:rPr>
        <w:tab/>
      </w:r>
      <w:r w:rsidR="004B51E1" w:rsidRPr="00253083">
        <w:rPr>
          <w:bCs/>
          <w:iCs/>
          <w:u w:val="single"/>
        </w:rPr>
        <w:t>Bill Impacts</w:t>
      </w:r>
    </w:p>
    <w:p w:rsidR="00272403" w:rsidRPr="00253083" w:rsidRDefault="00272403" w:rsidP="004B51E1">
      <w:pPr>
        <w:pStyle w:val="BodyText"/>
        <w:spacing w:after="0"/>
        <w:rPr>
          <w:bCs/>
          <w:iCs/>
          <w:u w:val="single"/>
        </w:rPr>
      </w:pPr>
    </w:p>
    <w:p w:rsidR="004B51E1" w:rsidRPr="00B0437E" w:rsidRDefault="00253083" w:rsidP="004B51E1">
      <w:pPr>
        <w:pStyle w:val="BodyText"/>
        <w:spacing w:after="0"/>
        <w:rPr>
          <w:highlight w:val="yellow"/>
        </w:rPr>
      </w:pPr>
      <w:r>
        <w:tab/>
      </w:r>
      <w:r w:rsidR="004B51E1" w:rsidRPr="00042825">
        <w:t xml:space="preserve">Table 2 below shows the bill impact to a typical residential customer using 1,000 kWh of electricity a month associated with new PPA cost recovery factors. </w:t>
      </w:r>
      <w:r>
        <w:t xml:space="preserve"> </w:t>
      </w:r>
    </w:p>
    <w:p w:rsidR="004B51E1" w:rsidRPr="00B0437E" w:rsidRDefault="004B51E1" w:rsidP="004B51E1">
      <w:pPr>
        <w:pStyle w:val="BodyText"/>
        <w:spacing w:after="0"/>
        <w:rPr>
          <w:highlight w:val="yellow"/>
        </w:rPr>
      </w:pPr>
    </w:p>
    <w:tbl>
      <w:tblPr>
        <w:tblW w:w="4887" w:type="pct"/>
        <w:tblInd w:w="108" w:type="dxa"/>
        <w:tblLook w:val="04A0" w:firstRow="1" w:lastRow="0" w:firstColumn="1" w:lastColumn="0" w:noHBand="0" w:noVBand="1"/>
      </w:tblPr>
      <w:tblGrid>
        <w:gridCol w:w="3482"/>
        <w:gridCol w:w="1558"/>
        <w:gridCol w:w="1531"/>
        <w:gridCol w:w="1398"/>
        <w:gridCol w:w="1391"/>
      </w:tblGrid>
      <w:tr w:rsidR="004B51E1" w:rsidRPr="00C3758F" w:rsidTr="009F1CEF">
        <w:trPr>
          <w:cantSplit/>
          <w:trHeight w:val="310"/>
          <w:tblHeader/>
        </w:trPr>
        <w:tc>
          <w:tcPr>
            <w:tcW w:w="5000" w:type="pct"/>
            <w:gridSpan w:val="5"/>
            <w:tcBorders>
              <w:top w:val="nil"/>
              <w:left w:val="nil"/>
              <w:bottom w:val="nil"/>
              <w:right w:val="nil"/>
            </w:tcBorders>
            <w:shd w:val="clear" w:color="auto" w:fill="auto"/>
            <w:vAlign w:val="center"/>
            <w:hideMark/>
          </w:tcPr>
          <w:p w:rsidR="004B51E1" w:rsidRPr="00C3758F" w:rsidRDefault="004B51E1" w:rsidP="00253083">
            <w:pPr>
              <w:jc w:val="center"/>
              <w:rPr>
                <w:b/>
                <w:bCs/>
                <w:color w:val="000000"/>
              </w:rPr>
            </w:pPr>
            <w:r w:rsidRPr="00C3758F">
              <w:rPr>
                <w:b/>
                <w:bCs/>
                <w:color w:val="000000"/>
              </w:rPr>
              <w:t>Table 2</w:t>
            </w:r>
          </w:p>
        </w:tc>
      </w:tr>
      <w:tr w:rsidR="004B51E1" w:rsidRPr="00C3758F" w:rsidTr="009F1CEF">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4B51E1" w:rsidRPr="00C3758F" w:rsidRDefault="004B51E1" w:rsidP="009F1CEF">
            <w:pPr>
              <w:jc w:val="center"/>
              <w:rPr>
                <w:b/>
                <w:bCs/>
                <w:color w:val="000000"/>
              </w:rPr>
            </w:pPr>
            <w:r w:rsidRPr="00C3758F">
              <w:rPr>
                <w:b/>
                <w:bCs/>
                <w:color w:val="000000"/>
              </w:rPr>
              <w:t>Monthly Residential Billing Detail for the First 1,000 kWh</w:t>
            </w:r>
          </w:p>
        </w:tc>
      </w:tr>
      <w:tr w:rsidR="004B51E1" w:rsidRPr="00B0437E" w:rsidTr="009F1CEF">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51E1" w:rsidRPr="00A64CED" w:rsidRDefault="004B51E1" w:rsidP="009F1CEF">
            <w:pPr>
              <w:jc w:val="center"/>
              <w:rPr>
                <w:b/>
                <w:bCs/>
                <w:color w:val="000000"/>
                <w:sz w:val="22"/>
                <w:szCs w:val="22"/>
              </w:rPr>
            </w:pPr>
            <w:r w:rsidRPr="00A64CED">
              <w:rPr>
                <w:b/>
                <w:bCs/>
                <w:color w:val="000000"/>
                <w:sz w:val="22"/>
                <w:szCs w:val="22"/>
              </w:rPr>
              <w:t>Invoice Component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51E1" w:rsidRPr="00A64CED" w:rsidRDefault="004B51E1" w:rsidP="009F1CEF">
            <w:pPr>
              <w:jc w:val="center"/>
              <w:rPr>
                <w:b/>
                <w:bCs/>
                <w:color w:val="000000"/>
                <w:sz w:val="22"/>
                <w:szCs w:val="22"/>
              </w:rPr>
            </w:pPr>
            <w:r w:rsidRPr="00A64CED">
              <w:rPr>
                <w:b/>
                <w:bCs/>
                <w:color w:val="000000"/>
                <w:sz w:val="22"/>
                <w:szCs w:val="22"/>
              </w:rPr>
              <w:t>Currently-Approved Charges Beginning January 2022</w:t>
            </w:r>
            <w:r>
              <w:rPr>
                <w:rStyle w:val="FootnoteReference"/>
                <w:b/>
                <w:bCs/>
                <w:color w:val="000000"/>
                <w:sz w:val="22"/>
                <w:szCs w:val="22"/>
              </w:rPr>
              <w:footnoteReference w:id="20"/>
            </w:r>
          </w:p>
          <w:p w:rsidR="004B51E1" w:rsidRPr="00A64CED" w:rsidRDefault="004B51E1" w:rsidP="009F1CEF">
            <w:pPr>
              <w:jc w:val="center"/>
              <w:rPr>
                <w:b/>
                <w:bCs/>
                <w:color w:val="000000"/>
                <w:sz w:val="22"/>
                <w:szCs w:val="22"/>
              </w:rPr>
            </w:pPr>
            <w:r w:rsidRPr="00A64CED">
              <w:rPr>
                <w:b/>
                <w:bCs/>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51E1" w:rsidRPr="00A64CED" w:rsidRDefault="004B51E1" w:rsidP="009F1CEF">
            <w:pPr>
              <w:jc w:val="center"/>
              <w:rPr>
                <w:b/>
                <w:bCs/>
                <w:color w:val="000000"/>
                <w:sz w:val="22"/>
                <w:szCs w:val="22"/>
              </w:rPr>
            </w:pPr>
            <w:r w:rsidRPr="00A64CED">
              <w:rPr>
                <w:b/>
                <w:bCs/>
                <w:color w:val="000000"/>
                <w:sz w:val="22"/>
                <w:szCs w:val="22"/>
              </w:rPr>
              <w:t xml:space="preserve">Proposed New Charges </w:t>
            </w:r>
          </w:p>
          <w:p w:rsidR="004B51E1" w:rsidRPr="00A64CED" w:rsidRDefault="004B51E1" w:rsidP="009F1CEF">
            <w:pPr>
              <w:jc w:val="center"/>
              <w:rPr>
                <w:b/>
                <w:bCs/>
                <w:color w:val="000000"/>
                <w:sz w:val="22"/>
                <w:szCs w:val="22"/>
              </w:rPr>
            </w:pPr>
            <w:r>
              <w:rPr>
                <w:b/>
                <w:bCs/>
                <w:color w:val="000000"/>
                <w:sz w:val="22"/>
                <w:szCs w:val="22"/>
              </w:rPr>
              <w:t>August</w:t>
            </w:r>
          </w:p>
          <w:p w:rsidR="004B51E1" w:rsidRPr="00A64CED" w:rsidRDefault="004B51E1" w:rsidP="009F1CEF">
            <w:pPr>
              <w:jc w:val="center"/>
              <w:rPr>
                <w:b/>
                <w:bCs/>
                <w:color w:val="000000"/>
                <w:sz w:val="22"/>
                <w:szCs w:val="22"/>
              </w:rPr>
            </w:pPr>
            <w:r w:rsidRPr="00A64CED">
              <w:rPr>
                <w:b/>
                <w:bCs/>
                <w:color w:val="000000"/>
                <w:sz w:val="22"/>
                <w:szCs w:val="22"/>
              </w:rPr>
              <w:t>Through December 2022</w:t>
            </w:r>
          </w:p>
          <w:p w:rsidR="004B51E1" w:rsidRPr="00A64CED" w:rsidRDefault="004B51E1" w:rsidP="009F1CEF">
            <w:pPr>
              <w:jc w:val="center"/>
              <w:rPr>
                <w:b/>
                <w:bCs/>
                <w:color w:val="000000"/>
                <w:sz w:val="22"/>
                <w:szCs w:val="22"/>
              </w:rPr>
            </w:pPr>
            <w:r w:rsidRPr="00A64CED">
              <w:rPr>
                <w:b/>
                <w:bCs/>
                <w:color w:val="000000"/>
                <w:sz w:val="22"/>
                <w:szCs w:val="22"/>
              </w:rPr>
              <w:t>($)</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51E1" w:rsidRPr="00A64CED" w:rsidRDefault="004B51E1" w:rsidP="009F1CEF">
            <w:pPr>
              <w:jc w:val="center"/>
              <w:rPr>
                <w:b/>
                <w:bCs/>
                <w:color w:val="000000"/>
                <w:sz w:val="22"/>
                <w:szCs w:val="22"/>
              </w:rPr>
            </w:pPr>
            <w:r w:rsidRPr="00A64CED">
              <w:rPr>
                <w:b/>
                <w:bCs/>
                <w:color w:val="000000"/>
                <w:sz w:val="22"/>
                <w:szCs w:val="22"/>
              </w:rPr>
              <w:t>Approved to Proposed Difference</w:t>
            </w:r>
          </w:p>
          <w:p w:rsidR="004B51E1" w:rsidRPr="00A64CED" w:rsidRDefault="004B51E1" w:rsidP="009F1CEF">
            <w:pPr>
              <w:jc w:val="center"/>
              <w:rPr>
                <w:b/>
                <w:bCs/>
                <w:color w:val="000000"/>
                <w:sz w:val="22"/>
                <w:szCs w:val="22"/>
              </w:rPr>
            </w:pPr>
            <w:r w:rsidRPr="00A64CED">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51E1" w:rsidRPr="00A64CED" w:rsidRDefault="004B51E1" w:rsidP="009F1CEF">
            <w:pPr>
              <w:jc w:val="center"/>
              <w:rPr>
                <w:b/>
                <w:bCs/>
                <w:color w:val="000000"/>
                <w:sz w:val="22"/>
                <w:szCs w:val="22"/>
              </w:rPr>
            </w:pPr>
            <w:r w:rsidRPr="00A64CED">
              <w:rPr>
                <w:b/>
                <w:bCs/>
                <w:color w:val="000000"/>
                <w:sz w:val="22"/>
                <w:szCs w:val="22"/>
              </w:rPr>
              <w:t>Approved to Proposed Difference</w:t>
            </w:r>
          </w:p>
          <w:p w:rsidR="004B51E1" w:rsidRPr="00A64CED" w:rsidRDefault="004B51E1" w:rsidP="009F1CEF">
            <w:pPr>
              <w:jc w:val="center"/>
              <w:rPr>
                <w:b/>
                <w:bCs/>
                <w:color w:val="000000"/>
                <w:sz w:val="22"/>
                <w:szCs w:val="22"/>
              </w:rPr>
            </w:pPr>
            <w:r w:rsidRPr="00A64CED">
              <w:rPr>
                <w:b/>
                <w:bCs/>
                <w:color w:val="000000"/>
                <w:sz w:val="22"/>
                <w:szCs w:val="22"/>
              </w:rPr>
              <w:t>(%)</w:t>
            </w:r>
          </w:p>
        </w:tc>
      </w:tr>
      <w:tr w:rsidR="004B51E1" w:rsidRPr="00B0437E" w:rsidTr="009F1CE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1E1" w:rsidRPr="00A64CED" w:rsidRDefault="004B51E1" w:rsidP="009F1CEF">
            <w:pPr>
              <w:rPr>
                <w:color w:val="000000"/>
                <w:sz w:val="22"/>
                <w:szCs w:val="22"/>
              </w:rPr>
            </w:pPr>
            <w:r w:rsidRPr="00A64CED">
              <w:rPr>
                <w:color w:val="000000"/>
                <w:sz w:val="22"/>
                <w:szCs w:val="22"/>
              </w:rPr>
              <w:t>Base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$40.68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$40.68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w:t>
            </w:r>
          </w:p>
        </w:tc>
      </w:tr>
      <w:tr w:rsidR="004B51E1" w:rsidRPr="00B0437E" w:rsidTr="009F1CE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1E1" w:rsidRPr="00A64CED" w:rsidRDefault="004B51E1" w:rsidP="009F1CEF">
            <w:pPr>
              <w:rPr>
                <w:color w:val="000000"/>
                <w:sz w:val="22"/>
                <w:szCs w:val="22"/>
              </w:rPr>
            </w:pPr>
            <w:r w:rsidRPr="00A64CED">
              <w:rPr>
                <w:color w:val="000000"/>
                <w:sz w:val="22"/>
                <w:szCs w:val="22"/>
              </w:rPr>
              <w:t xml:space="preserve">Fuel </w:t>
            </w:r>
            <w:r>
              <w:rPr>
                <w:color w:val="000000"/>
                <w:sz w:val="22"/>
                <w:szCs w:val="22"/>
              </w:rPr>
              <w:t xml:space="preserve">(PPA) </w:t>
            </w:r>
            <w:r w:rsidRPr="00A64CED">
              <w:rPr>
                <w:color w:val="000000"/>
                <w:sz w:val="22"/>
                <w:szCs w:val="22"/>
              </w:rPr>
              <w:t>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69.89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84.41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14.52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20.8</w:t>
            </w:r>
            <w:r>
              <w:rPr>
                <w:color w:val="000000"/>
                <w:sz w:val="22"/>
                <w:szCs w:val="22"/>
              </w:rPr>
              <w:t>%</w:t>
            </w:r>
          </w:p>
        </w:tc>
      </w:tr>
      <w:tr w:rsidR="004B51E1" w:rsidRPr="00B0437E" w:rsidTr="009F1CE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1E1" w:rsidRPr="00A64CED" w:rsidRDefault="004B51E1" w:rsidP="009F1CEF">
            <w:pPr>
              <w:rPr>
                <w:color w:val="000000"/>
                <w:sz w:val="22"/>
                <w:szCs w:val="22"/>
              </w:rPr>
            </w:pPr>
            <w:r w:rsidRPr="00A64CED">
              <w:rPr>
                <w:color w:val="000000"/>
                <w:sz w:val="22"/>
                <w:szCs w:val="22"/>
              </w:rPr>
              <w:t>Conservation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1.34</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1.34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w:t>
            </w:r>
          </w:p>
        </w:tc>
      </w:tr>
      <w:tr w:rsidR="004B51E1" w:rsidRPr="00B0437E" w:rsidTr="009F1CE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1E1" w:rsidRPr="00A64CED" w:rsidRDefault="004B51E1" w:rsidP="009F1CEF">
            <w:pPr>
              <w:rPr>
                <w:color w:val="000000"/>
                <w:sz w:val="22"/>
                <w:szCs w:val="22"/>
              </w:rPr>
            </w:pPr>
            <w:r w:rsidRPr="00A64CED">
              <w:rPr>
                <w:color w:val="000000"/>
                <w:sz w:val="22"/>
                <w:szCs w:val="22"/>
              </w:rPr>
              <w:t xml:space="preserve">Storm Surcharge </w:t>
            </w:r>
            <w:r>
              <w:rPr>
                <w:color w:val="000000"/>
                <w:sz w:val="22"/>
                <w:szCs w:val="22"/>
              </w:rPr>
              <w:t>(Michael/Doria</w:t>
            </w:r>
            <w:r w:rsidRPr="00A64CED">
              <w:rPr>
                <w:color w:val="000000"/>
                <w:sz w:val="22"/>
                <w:szCs w:val="22"/>
              </w:rPr>
              <w:t>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12.80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12.80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w:t>
            </w:r>
          </w:p>
        </w:tc>
      </w:tr>
      <w:tr w:rsidR="004B51E1" w:rsidRPr="00B0437E" w:rsidTr="009F1CE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1E1" w:rsidRPr="00A64CED" w:rsidRDefault="004B51E1" w:rsidP="009F1CEF">
            <w:pPr>
              <w:rPr>
                <w:color w:val="000000"/>
                <w:sz w:val="22"/>
                <w:szCs w:val="22"/>
              </w:rPr>
            </w:pPr>
            <w:r w:rsidRPr="00A64CED">
              <w:rPr>
                <w:color w:val="000000"/>
                <w:sz w:val="22"/>
                <w:szCs w:val="22"/>
              </w:rPr>
              <w:t>Gross Receipts Tax</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u w:val="single"/>
              </w:rPr>
            </w:pPr>
            <w:r w:rsidRPr="00A64CED">
              <w:rPr>
                <w:color w:val="000000"/>
                <w:sz w:val="22"/>
                <w:szCs w:val="22"/>
                <w:u w:val="single"/>
              </w:rPr>
              <w:t>3.20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u w:val="single"/>
              </w:rPr>
            </w:pPr>
            <w:r w:rsidRPr="00A64CED">
              <w:rPr>
                <w:color w:val="000000"/>
                <w:sz w:val="22"/>
                <w:szCs w:val="22"/>
                <w:u w:val="single"/>
              </w:rPr>
              <w:t>3.57</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0.37</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11.6</w:t>
            </w:r>
            <w:r>
              <w:rPr>
                <w:color w:val="000000"/>
                <w:sz w:val="22"/>
                <w:szCs w:val="22"/>
              </w:rPr>
              <w:t>%</w:t>
            </w:r>
          </w:p>
        </w:tc>
      </w:tr>
      <w:tr w:rsidR="004B51E1" w:rsidRPr="00B0437E" w:rsidTr="009F1CE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51E1" w:rsidRPr="00A64CED" w:rsidRDefault="004B51E1" w:rsidP="009F1CEF">
            <w:pPr>
              <w:rPr>
                <w:b/>
                <w:bCs/>
                <w:color w:val="000000"/>
                <w:sz w:val="22"/>
                <w:szCs w:val="22"/>
              </w:rPr>
            </w:pPr>
            <w:r w:rsidRPr="00A64CED">
              <w:rPr>
                <w:b/>
                <w:bCs/>
                <w:color w:val="000000"/>
                <w:sz w:val="22"/>
                <w:szCs w:val="22"/>
              </w:rPr>
              <w:t>Total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u w:val="double"/>
              </w:rPr>
            </w:pPr>
            <w:r w:rsidRPr="00A64CED">
              <w:rPr>
                <w:color w:val="000000"/>
                <w:sz w:val="22"/>
                <w:szCs w:val="22"/>
                <w:u w:val="double"/>
              </w:rPr>
              <w:t>$127.91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u w:val="double"/>
              </w:rPr>
            </w:pPr>
            <w:r w:rsidRPr="00A64CED">
              <w:rPr>
                <w:color w:val="000000"/>
                <w:sz w:val="22"/>
                <w:szCs w:val="22"/>
                <w:u w:val="double"/>
              </w:rPr>
              <w:t>$142.80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u w:val="double"/>
              </w:rPr>
            </w:pPr>
            <w:r w:rsidRPr="00A64CED">
              <w:rPr>
                <w:color w:val="000000"/>
                <w:sz w:val="22"/>
                <w:szCs w:val="22"/>
                <w:u w:val="double"/>
              </w:rPr>
              <w:t>$14.89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4B51E1" w:rsidRPr="00A64CED" w:rsidRDefault="004B51E1" w:rsidP="009F1CEF">
            <w:pPr>
              <w:jc w:val="right"/>
              <w:rPr>
                <w:color w:val="000000"/>
                <w:sz w:val="22"/>
                <w:szCs w:val="22"/>
              </w:rPr>
            </w:pPr>
            <w:r w:rsidRPr="00A64CED">
              <w:rPr>
                <w:color w:val="000000"/>
                <w:sz w:val="22"/>
                <w:szCs w:val="22"/>
              </w:rPr>
              <w:t>11.6%</w:t>
            </w:r>
          </w:p>
        </w:tc>
      </w:tr>
    </w:tbl>
    <w:p w:rsidR="004B51E1" w:rsidRPr="00B0437E" w:rsidRDefault="004B51E1" w:rsidP="004B51E1">
      <w:pPr>
        <w:pStyle w:val="FootnoteText"/>
        <w:rPr>
          <w:highlight w:val="yellow"/>
        </w:rPr>
      </w:pPr>
      <w:r w:rsidRPr="00A64CED">
        <w:t>Sources: Documen</w:t>
      </w:r>
      <w:r>
        <w:t>t No. 10083-2021, Schedule E-10, and MCC Petition, Schedule E-10.</w:t>
      </w:r>
    </w:p>
    <w:p w:rsidR="004B51E1" w:rsidRPr="00B0437E" w:rsidRDefault="004B51E1" w:rsidP="004B51E1">
      <w:pPr>
        <w:pStyle w:val="BodyText"/>
        <w:spacing w:after="0"/>
        <w:rPr>
          <w:highlight w:val="yellow"/>
        </w:rPr>
      </w:pPr>
    </w:p>
    <w:p w:rsidR="004B51E1" w:rsidRPr="00D021FF" w:rsidRDefault="00253083" w:rsidP="00253083">
      <w:pPr>
        <w:pStyle w:val="BodyText"/>
        <w:spacing w:after="0"/>
        <w:jc w:val="both"/>
      </w:pPr>
      <w:r>
        <w:tab/>
      </w:r>
      <w:r w:rsidR="004B51E1" w:rsidRPr="0093550F">
        <w:t xml:space="preserve">FPUC’s current total residential charge for the first 1,000 kWh of usage beginning January 2022 is $127.91. </w:t>
      </w:r>
      <w:r>
        <w:t xml:space="preserve"> </w:t>
      </w:r>
      <w:r w:rsidR="004B51E1" w:rsidRPr="0093550F">
        <w:t xml:space="preserve">If FPUC’s mid-course correction proposal is approved, the current total residential charge for the first 1,000 kWh of usage, beginning August 2022, will be $142.80. </w:t>
      </w:r>
      <w:r>
        <w:t xml:space="preserve"> </w:t>
      </w:r>
      <w:r w:rsidR="004B51E1" w:rsidRPr="0093550F">
        <w:t xml:space="preserve">This represents an increase of 11.6 percent. </w:t>
      </w:r>
      <w:r>
        <w:t xml:space="preserve"> </w:t>
      </w:r>
      <w:r w:rsidR="004B51E1" w:rsidRPr="0093550F">
        <w:t xml:space="preserve">For non-residential customers, FPUC reported that based on average levels of usage and specific rate schedules, bill increases for small general service customers would be approximately 10.8 percent, bill increases for medium-size general service customers would be approximately 13.1 percent, and approximately 13.0 percent </w:t>
      </w:r>
      <w:r w:rsidR="004B51E1" w:rsidRPr="0093550F">
        <w:lastRenderedPageBreak/>
        <w:t>for general service large demand customers.</w:t>
      </w:r>
      <w:r w:rsidR="004B51E1" w:rsidRPr="0093550F">
        <w:rPr>
          <w:rStyle w:val="FootnoteReference"/>
        </w:rPr>
        <w:footnoteReference w:id="21"/>
      </w:r>
      <w:r w:rsidR="004B51E1" w:rsidRPr="0093550F">
        <w:t xml:space="preserve"> FPUC’s proposed tariffs are shown on Appendix A to this </w:t>
      </w:r>
      <w:r w:rsidR="00C3758F">
        <w:t>order.</w:t>
      </w:r>
    </w:p>
    <w:p w:rsidR="004B51E1" w:rsidRPr="00B0437E" w:rsidRDefault="004B51E1" w:rsidP="00253083">
      <w:pPr>
        <w:pStyle w:val="BodyText"/>
        <w:spacing w:after="0"/>
        <w:jc w:val="both"/>
        <w:rPr>
          <w:highlight w:val="yellow"/>
        </w:rPr>
      </w:pPr>
    </w:p>
    <w:p w:rsidR="004B51E1" w:rsidRPr="00644DA9" w:rsidRDefault="00644DA9" w:rsidP="00644DA9">
      <w:pPr>
        <w:jc w:val="both"/>
        <w:rPr>
          <w:highlight w:val="yellow"/>
        </w:rPr>
      </w:pPr>
      <w:r>
        <w:tab/>
        <w:t xml:space="preserve">For the reasons discussed above, we </w:t>
      </w:r>
      <w:r w:rsidR="004B51E1" w:rsidRPr="004F6AB5">
        <w:t xml:space="preserve">approve adjustments to </w:t>
      </w:r>
      <w:r w:rsidR="004B51E1">
        <w:t>FPUC’s currently-approved PPA</w:t>
      </w:r>
      <w:r w:rsidR="004B51E1" w:rsidRPr="004F6AB5">
        <w:t xml:space="preserve"> cost rec</w:t>
      </w:r>
      <w:r w:rsidR="004B51E1">
        <w:t>overy factors to</w:t>
      </w:r>
      <w:r w:rsidR="004B51E1" w:rsidRPr="004F6AB5">
        <w:t xml:space="preserve"> incorporat</w:t>
      </w:r>
      <w:r w:rsidR="004B51E1">
        <w:t>e</w:t>
      </w:r>
      <w:r w:rsidR="004B51E1" w:rsidRPr="004F6AB5">
        <w:t xml:space="preserve"> </w:t>
      </w:r>
      <w:r w:rsidR="004B51E1">
        <w:t>the Company’s period-ending 2021 under-recovery of PPA costs</w:t>
      </w:r>
      <w:r>
        <w:t xml:space="preserve"> in the amount of $3,790,314</w:t>
      </w:r>
      <w:r w:rsidR="004B51E1" w:rsidRPr="00A44BB8">
        <w:t>.</w:t>
      </w:r>
      <w:r>
        <w:t xml:space="preserve">  </w:t>
      </w:r>
      <w:r w:rsidR="004B51E1">
        <w:t xml:space="preserve">Due to the potential bill impact, </w:t>
      </w:r>
      <w:r>
        <w:t xml:space="preserve">we agree </w:t>
      </w:r>
      <w:r w:rsidR="004B51E1">
        <w:t>with the Company’s effort to mitigate the overall impact of the total current under-recovery by only seeking to recover the 2021 actual true-up at this time. The revised PPA cost recovery</w:t>
      </w:r>
      <w:r w:rsidR="004B51E1" w:rsidRPr="000A5048">
        <w:t xml:space="preserve"> factors associa</w:t>
      </w:r>
      <w:r w:rsidR="004B51E1">
        <w:t xml:space="preserve">ted with </w:t>
      </w:r>
      <w:r>
        <w:t xml:space="preserve">our decision </w:t>
      </w:r>
      <w:r w:rsidR="004B51E1" w:rsidRPr="000A5048">
        <w:t>are shown on Appendix A</w:t>
      </w:r>
      <w:r>
        <w:t xml:space="preserve"> to this order</w:t>
      </w:r>
      <w:r w:rsidR="004B51E1" w:rsidRPr="000A5048">
        <w:t>.</w:t>
      </w:r>
    </w:p>
    <w:p w:rsidR="00644DA9" w:rsidRPr="00644DA9" w:rsidRDefault="00644DA9" w:rsidP="00644DA9">
      <w:pPr>
        <w:jc w:val="both"/>
      </w:pPr>
    </w:p>
    <w:p w:rsidR="00644DA9" w:rsidRDefault="00644DA9" w:rsidP="00272403">
      <w:pPr>
        <w:rPr>
          <w:u w:val="single"/>
        </w:rPr>
      </w:pPr>
      <w:r>
        <w:tab/>
      </w:r>
      <w:r w:rsidRPr="00272403">
        <w:rPr>
          <w:u w:val="single"/>
        </w:rPr>
        <w:t>Effective Date</w:t>
      </w:r>
    </w:p>
    <w:p w:rsidR="00272403" w:rsidRPr="00272403" w:rsidRDefault="00272403" w:rsidP="00272403">
      <w:pPr>
        <w:rPr>
          <w:u w:val="single"/>
        </w:rPr>
      </w:pPr>
    </w:p>
    <w:p w:rsidR="001E2ACD" w:rsidRPr="003634D8" w:rsidRDefault="00272403" w:rsidP="00644DA9">
      <w:pPr>
        <w:pStyle w:val="BodyText"/>
        <w:spacing w:after="0"/>
        <w:jc w:val="both"/>
      </w:pPr>
      <w:r>
        <w:tab/>
      </w:r>
      <w:r w:rsidR="001E2ACD">
        <w:t>In its petition, FPUC</w:t>
      </w:r>
      <w:r w:rsidR="001E2ACD" w:rsidRPr="003634D8">
        <w:t xml:space="preserve"> has requested that the revised </w:t>
      </w:r>
      <w:r w:rsidR="001E2ACD">
        <w:t>PPA</w:t>
      </w:r>
      <w:r w:rsidR="001E2ACD" w:rsidRPr="003634D8">
        <w:t xml:space="preserve"> cost recovery factors become effectiv</w:t>
      </w:r>
      <w:r w:rsidR="001E2ACD">
        <w:t xml:space="preserve">e with the </w:t>
      </w:r>
      <w:r w:rsidR="001E2ACD" w:rsidRPr="002B4EF9">
        <w:t>August 2022</w:t>
      </w:r>
      <w:r w:rsidR="001E2ACD">
        <w:t xml:space="preserve"> billing cycle</w:t>
      </w:r>
      <w:r w:rsidR="001E2ACD" w:rsidRPr="002B4EF9">
        <w:t>.</w:t>
      </w:r>
      <w:r w:rsidR="001E2ACD" w:rsidRPr="003634D8">
        <w:t xml:space="preserve"> </w:t>
      </w:r>
    </w:p>
    <w:p w:rsidR="001E2ACD" w:rsidRPr="004D562F" w:rsidRDefault="001E2ACD" w:rsidP="00644DA9">
      <w:pPr>
        <w:pStyle w:val="BodyText"/>
        <w:spacing w:after="0"/>
        <w:jc w:val="both"/>
        <w:rPr>
          <w:highlight w:val="yellow"/>
        </w:rPr>
      </w:pPr>
    </w:p>
    <w:p w:rsidR="001E2ACD" w:rsidRPr="003634D8" w:rsidRDefault="00644DA9" w:rsidP="00644DA9">
      <w:pPr>
        <w:pStyle w:val="BodyText"/>
        <w:spacing w:after="0"/>
        <w:jc w:val="both"/>
      </w:pPr>
      <w:r>
        <w:tab/>
      </w:r>
      <w:r w:rsidR="001E2ACD" w:rsidRPr="003634D8">
        <w:t xml:space="preserve">Over the last 20 years in the Fuel Clause docket, </w:t>
      </w:r>
      <w:r>
        <w:t xml:space="preserve">we have </w:t>
      </w:r>
      <w:r w:rsidR="001E2ACD" w:rsidRPr="003634D8">
        <w:t>considered the effective date of rates and charges of revised fuel</w:t>
      </w:r>
      <w:r w:rsidR="001E2ACD">
        <w:t xml:space="preserve"> (to include PPA)</w:t>
      </w:r>
      <w:r w:rsidR="001E2ACD" w:rsidRPr="003634D8">
        <w:t xml:space="preserve"> cost recovery factors on a case-by-case basis. </w:t>
      </w:r>
      <w:r>
        <w:t xml:space="preserve">We have </w:t>
      </w:r>
      <w:r w:rsidR="001E2ACD" w:rsidRPr="003634D8">
        <w:t xml:space="preserve">approved fuel cost recovery factor rate decreases effective sooner than the next full billing cycle after the date of </w:t>
      </w:r>
      <w:r>
        <w:t xml:space="preserve">our </w:t>
      </w:r>
      <w:r w:rsidR="001E2ACD" w:rsidRPr="003634D8">
        <w:t>vote with the range between the vote and the effective date being from 25 to 2 days. The rationale for that action being that it was in the customers’ best interests to implement the lower rate as soon as possible.</w:t>
      </w:r>
      <w:r w:rsidR="001E2ACD" w:rsidRPr="003634D8">
        <w:rPr>
          <w:vertAlign w:val="superscript"/>
        </w:rPr>
        <w:footnoteReference w:id="22"/>
      </w:r>
      <w:r w:rsidR="001E2ACD" w:rsidRPr="003634D8">
        <w:t xml:space="preserve"> With regard to fuel cost recovery factor rate increases, </w:t>
      </w:r>
      <w:r>
        <w:t xml:space="preserve">we have </w:t>
      </w:r>
      <w:r w:rsidR="001E2ACD" w:rsidRPr="003634D8">
        <w:t>approved an effective date of the revised factors ranging from 14 to 29 days after the vote.</w:t>
      </w:r>
      <w:r w:rsidR="001E2ACD" w:rsidRPr="003634D8">
        <w:rPr>
          <w:vertAlign w:val="superscript"/>
        </w:rPr>
        <w:footnoteReference w:id="23"/>
      </w:r>
      <w:r w:rsidR="001E2ACD" w:rsidRPr="003634D8">
        <w:t xml:space="preserve"> In </w:t>
      </w:r>
      <w:r w:rsidR="001E2ACD">
        <w:t>six</w:t>
      </w:r>
      <w:r w:rsidR="001E2ACD" w:rsidRPr="003634D8">
        <w:t xml:space="preserve"> of these cases, </w:t>
      </w:r>
      <w:r>
        <w:t xml:space="preserve">we </w:t>
      </w:r>
      <w:r w:rsidR="001E2ACD" w:rsidRPr="003634D8">
        <w:t xml:space="preserve">noted that the utility had given its customers </w:t>
      </w:r>
      <w:r w:rsidR="001E2ACD" w:rsidRPr="003634D8">
        <w:lastRenderedPageBreak/>
        <w:t>30 days’ written notice before the date of the vote that a fuel cost recovery factor increase had been requested and provided the proposed effective date of the higher fuel factors.</w:t>
      </w:r>
      <w:r w:rsidR="001E2ACD" w:rsidRPr="003634D8">
        <w:rPr>
          <w:vertAlign w:val="superscript"/>
        </w:rPr>
        <w:footnoteReference w:id="24"/>
      </w:r>
    </w:p>
    <w:p w:rsidR="001E2ACD" w:rsidRPr="003634D8" w:rsidRDefault="001E2ACD" w:rsidP="001E2ACD">
      <w:pPr>
        <w:pStyle w:val="BodyText"/>
        <w:spacing w:after="0"/>
      </w:pPr>
    </w:p>
    <w:p w:rsidR="002D5A0F" w:rsidRPr="00071915" w:rsidRDefault="00644DA9" w:rsidP="00644DA9">
      <w:pPr>
        <w:pStyle w:val="BodyText"/>
        <w:spacing w:after="0"/>
        <w:jc w:val="both"/>
        <w:rPr>
          <w:highlight w:val="yellow"/>
        </w:rPr>
      </w:pPr>
      <w:r>
        <w:tab/>
      </w:r>
      <w:r w:rsidR="001E2ACD" w:rsidRPr="003634D8">
        <w:t>In its</w:t>
      </w:r>
      <w:r w:rsidR="001E2ACD">
        <w:t xml:space="preserve"> MCC</w:t>
      </w:r>
      <w:r w:rsidR="001E2ACD" w:rsidRPr="003634D8">
        <w:t xml:space="preserve"> </w:t>
      </w:r>
      <w:r w:rsidR="001E2ACD">
        <w:t>P</w:t>
      </w:r>
      <w:r w:rsidR="001E2ACD" w:rsidRPr="003634D8">
        <w:t xml:space="preserve">etition, </w:t>
      </w:r>
      <w:r w:rsidR="001E2ACD">
        <w:t xml:space="preserve">FPUC </w:t>
      </w:r>
      <w:r w:rsidR="001E2ACD" w:rsidRPr="003634D8">
        <w:t>proposes to col</w:t>
      </w:r>
      <w:r w:rsidR="001E2ACD">
        <w:t xml:space="preserve">lect </w:t>
      </w:r>
      <w:r w:rsidR="001E2ACD" w:rsidRPr="002B4EF9">
        <w:t>the actual 2021</w:t>
      </w:r>
      <w:r w:rsidR="001E2ACD">
        <w:t xml:space="preserve"> under-recovery o</w:t>
      </w:r>
      <w:r w:rsidR="001E2ACD" w:rsidRPr="002F1BC4">
        <w:t>f PPA costs over five consecutive months, beginning with the first billing cycle of August 2022,</w:t>
      </w:r>
      <w:r w:rsidR="001E2ACD" w:rsidRPr="003634D8">
        <w:t xml:space="preserve"> and </w:t>
      </w:r>
      <w:r w:rsidR="001E2ACD" w:rsidRPr="00B20397">
        <w:t>ending with</w:t>
      </w:r>
      <w:r w:rsidR="002D5A0F" w:rsidRPr="002D5A0F">
        <w:t xml:space="preserve"> </w:t>
      </w:r>
      <w:r w:rsidR="002D5A0F" w:rsidRPr="00B20397">
        <w:t>the last billing cycle of December 2022</w:t>
      </w:r>
      <w:r w:rsidR="002D5A0F" w:rsidRPr="00105164">
        <w:t xml:space="preserve">. In the instant case, there </w:t>
      </w:r>
      <w:r w:rsidR="002D5A0F" w:rsidRPr="00A3795D">
        <w:t>are 28 days between</w:t>
      </w:r>
      <w:r w:rsidR="002D5A0F" w:rsidRPr="00105164">
        <w:t xml:space="preserve"> </w:t>
      </w:r>
      <w:r>
        <w:t xml:space="preserve">our </w:t>
      </w:r>
      <w:r w:rsidR="002D5A0F">
        <w:t xml:space="preserve">vote on </w:t>
      </w:r>
      <w:r w:rsidR="002D5A0F" w:rsidRPr="00173D29">
        <w:t>July 7</w:t>
      </w:r>
      <w:r w:rsidR="002D5A0F" w:rsidRPr="00173D29">
        <w:rPr>
          <w:vertAlign w:val="superscript"/>
        </w:rPr>
        <w:t>th</w:t>
      </w:r>
      <w:r w:rsidR="002D5A0F" w:rsidRPr="00173D29">
        <w:t xml:space="preserve"> a</w:t>
      </w:r>
      <w:r w:rsidR="002D5A0F" w:rsidRPr="00105164">
        <w:t xml:space="preserve">nd </w:t>
      </w:r>
      <w:r w:rsidR="002D5A0F">
        <w:t xml:space="preserve">the beginning of FPUC’s August </w:t>
      </w:r>
      <w:r w:rsidR="002D5A0F" w:rsidRPr="00A3795D">
        <w:t>billing cycle (August 4</w:t>
      </w:r>
      <w:r w:rsidR="002D5A0F" w:rsidRPr="00A3795D">
        <w:rPr>
          <w:vertAlign w:val="superscript"/>
        </w:rPr>
        <w:t>th</w:t>
      </w:r>
      <w:r w:rsidR="002D5A0F" w:rsidRPr="00A3795D">
        <w:t>).</w:t>
      </w:r>
      <w:r w:rsidR="002D5A0F" w:rsidRPr="00A3795D">
        <w:rPr>
          <w:rStyle w:val="FootnoteReference"/>
        </w:rPr>
        <w:footnoteReference w:id="25"/>
      </w:r>
    </w:p>
    <w:p w:rsidR="002D5A0F" w:rsidRPr="00071915" w:rsidRDefault="002D5A0F" w:rsidP="00644DA9">
      <w:pPr>
        <w:pStyle w:val="BodyText"/>
        <w:spacing w:after="0"/>
        <w:jc w:val="both"/>
        <w:rPr>
          <w:highlight w:val="yellow"/>
        </w:rPr>
      </w:pPr>
    </w:p>
    <w:p w:rsidR="002D5A0F" w:rsidRPr="0013685A" w:rsidRDefault="00644DA9" w:rsidP="00644DA9">
      <w:pPr>
        <w:pStyle w:val="BodyText"/>
        <w:spacing w:after="0"/>
        <w:jc w:val="both"/>
      </w:pPr>
      <w:r>
        <w:tab/>
      </w:r>
      <w:r w:rsidR="002D5A0F" w:rsidRPr="006C4097">
        <w:t xml:space="preserve">Concerning advisement of the instant request, the Company plans to issue a press release before the end of June informing its customers of the MCC proposal. </w:t>
      </w:r>
      <w:r>
        <w:t xml:space="preserve"> </w:t>
      </w:r>
      <w:r w:rsidR="002D5A0F" w:rsidRPr="006C4097">
        <w:t>The press release will include a link to the Company’s website for further information regarding the MCC Petition. Further, FPUC will begin including a notice on customer bills starting with the first billing cycle of July (scheduled for July 7</w:t>
      </w:r>
      <w:r w:rsidR="002D5A0F" w:rsidRPr="005A71AA">
        <w:rPr>
          <w:vertAlign w:val="superscript"/>
        </w:rPr>
        <w:t>th</w:t>
      </w:r>
      <w:r w:rsidR="002D5A0F" w:rsidRPr="006C4097">
        <w:t xml:space="preserve">). </w:t>
      </w:r>
      <w:r>
        <w:t xml:space="preserve"> </w:t>
      </w:r>
      <w:r w:rsidR="002D5A0F" w:rsidRPr="006C4097">
        <w:t xml:space="preserve">The bill notice will inform FPUC’s customers of the proposed rate increase and include a link to the Company’s website for additional information. </w:t>
      </w:r>
      <w:r>
        <w:t xml:space="preserve"> </w:t>
      </w:r>
      <w:r w:rsidR="002D5A0F" w:rsidRPr="006C4097">
        <w:t>If the MCC Petition is ultimately approved, the website will be updated with a letter informing customers that new PPA-related charges have been approved along with a comparis</w:t>
      </w:r>
      <w:r w:rsidR="002D5A0F">
        <w:t>on of the current and new rates</w:t>
      </w:r>
      <w:r w:rsidR="002D5A0F" w:rsidRPr="006C4097">
        <w:t>.</w:t>
      </w:r>
      <w:r w:rsidR="002D5A0F" w:rsidRPr="006C4097">
        <w:rPr>
          <w:rStyle w:val="FootnoteReference"/>
        </w:rPr>
        <w:footnoteReference w:id="26"/>
      </w:r>
    </w:p>
    <w:p w:rsidR="002D5A0F" w:rsidRPr="004D562F" w:rsidRDefault="002D5A0F" w:rsidP="002D5A0F">
      <w:pPr>
        <w:pStyle w:val="BodyText"/>
        <w:spacing w:after="0"/>
        <w:rPr>
          <w:highlight w:val="yellow"/>
        </w:rPr>
      </w:pPr>
    </w:p>
    <w:p w:rsidR="002D5A0F" w:rsidRDefault="00644DA9" w:rsidP="002D5A0F">
      <w:pPr>
        <w:pStyle w:val="BodyText"/>
      </w:pPr>
      <w:r>
        <w:tab/>
        <w:t xml:space="preserve">Based on the above, we find </w:t>
      </w:r>
      <w:r w:rsidR="002D5A0F" w:rsidRPr="00AD3CFB">
        <w:t>that the PPA cost recovery factors</w:t>
      </w:r>
      <w:r w:rsidR="002D5A0F">
        <w:t>,</w:t>
      </w:r>
      <w:r w:rsidR="002D5A0F" w:rsidRPr="00AD3CFB">
        <w:t xml:space="preserve"> as shown on Appendix A</w:t>
      </w:r>
      <w:r w:rsidR="002D5A0F">
        <w:t>,</w:t>
      </w:r>
      <w:r w:rsidR="002D5A0F" w:rsidRPr="00AD3CFB">
        <w:t xml:space="preserve"> </w:t>
      </w:r>
      <w:r>
        <w:t xml:space="preserve">shall </w:t>
      </w:r>
      <w:r w:rsidR="002D5A0F" w:rsidRPr="00AD3CFB">
        <w:t>become effective with the first billing cycle of August 2022.</w:t>
      </w:r>
    </w:p>
    <w:p w:rsidR="00644DA9" w:rsidRDefault="00644DA9" w:rsidP="00362FBB">
      <w:pPr>
        <w:pStyle w:val="BodyText"/>
        <w:spacing w:after="0"/>
        <w:jc w:val="both"/>
      </w:pPr>
      <w:r>
        <w:tab/>
        <w:t>Therefore, it is</w:t>
      </w:r>
    </w:p>
    <w:p w:rsidR="00362FBB" w:rsidRDefault="00362FBB" w:rsidP="00362FBB">
      <w:pPr>
        <w:pStyle w:val="BodyText"/>
        <w:spacing w:after="0"/>
        <w:jc w:val="both"/>
      </w:pPr>
    </w:p>
    <w:p w:rsidR="00772991" w:rsidRDefault="00644DA9" w:rsidP="00362FBB">
      <w:pPr>
        <w:pStyle w:val="BodyText"/>
        <w:spacing w:after="0"/>
        <w:jc w:val="both"/>
      </w:pPr>
      <w:r>
        <w:tab/>
        <w:t xml:space="preserve">ORDERED by the Florida Public Service Commission </w:t>
      </w:r>
      <w:r w:rsidR="00772991">
        <w:t>that adjustments to Florida Public Utilities Company’s currently approved PPA cost recovery factors to incorporate the Company’s period-ending 2021 under-recovery of PPA costs in the amount of $3,790,314 is hereby approved.  It is further</w:t>
      </w:r>
    </w:p>
    <w:p w:rsidR="00362FBB" w:rsidRDefault="00362FBB" w:rsidP="00362FBB">
      <w:pPr>
        <w:pStyle w:val="BodyText"/>
        <w:spacing w:after="0"/>
        <w:jc w:val="both"/>
      </w:pPr>
    </w:p>
    <w:p w:rsidR="00772991" w:rsidRDefault="00772991" w:rsidP="00362FBB">
      <w:pPr>
        <w:pStyle w:val="BodyText"/>
        <w:spacing w:after="0"/>
        <w:jc w:val="both"/>
      </w:pPr>
      <w:r>
        <w:tab/>
        <w:t>ORDERED that the PPA cost recovery factors, as shown on Appendix A to this order, shall become effective with the first billing cycle of August 2022.  It is further</w:t>
      </w:r>
    </w:p>
    <w:p w:rsidR="00362FBB" w:rsidRPr="00362FBB" w:rsidRDefault="00362FBB" w:rsidP="00362FBB">
      <w:pPr>
        <w:pStyle w:val="BodyText"/>
        <w:spacing w:after="0"/>
        <w:jc w:val="both"/>
      </w:pPr>
    </w:p>
    <w:p w:rsidR="00772991" w:rsidRDefault="00772991" w:rsidP="00362FBB">
      <w:pPr>
        <w:pStyle w:val="BodyText"/>
        <w:spacing w:after="0"/>
        <w:jc w:val="both"/>
      </w:pPr>
      <w:r>
        <w:tab/>
        <w:t>ORDERED that the fuel and purchased power cost recovery clause docket is an on-going proceeding and shall remain open.</w:t>
      </w:r>
    </w:p>
    <w:p w:rsidR="00772991" w:rsidRDefault="00772991" w:rsidP="00772991">
      <w:pPr>
        <w:pStyle w:val="BodyText"/>
        <w:keepNext/>
        <w:keepLines/>
        <w:jc w:val="both"/>
      </w:pPr>
      <w:r>
        <w:lastRenderedPageBreak/>
        <w:tab/>
        <w:t xml:space="preserve">By ORDER of the Florida Public Service Commission this </w:t>
      </w:r>
      <w:bookmarkStart w:id="6" w:name="replaceDate"/>
      <w:bookmarkEnd w:id="6"/>
      <w:r w:rsidR="00C558B7">
        <w:rPr>
          <w:u w:val="single"/>
        </w:rPr>
        <w:t>20th</w:t>
      </w:r>
      <w:r w:rsidR="00C558B7">
        <w:t xml:space="preserve"> day of </w:t>
      </w:r>
      <w:r w:rsidR="00C558B7">
        <w:rPr>
          <w:u w:val="single"/>
        </w:rPr>
        <w:t>July</w:t>
      </w:r>
      <w:r w:rsidR="00C558B7">
        <w:t xml:space="preserve">, </w:t>
      </w:r>
      <w:r w:rsidR="00C558B7">
        <w:rPr>
          <w:u w:val="single"/>
        </w:rPr>
        <w:t>2022</w:t>
      </w:r>
      <w:r w:rsidR="00C558B7">
        <w:t>.</w:t>
      </w:r>
    </w:p>
    <w:p w:rsidR="00C558B7" w:rsidRPr="00C558B7" w:rsidRDefault="00C558B7" w:rsidP="00772991">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772991" w:rsidTr="00772991">
        <w:tc>
          <w:tcPr>
            <w:tcW w:w="720" w:type="dxa"/>
            <w:shd w:val="clear" w:color="auto" w:fill="auto"/>
          </w:tcPr>
          <w:p w:rsidR="00772991" w:rsidRDefault="00772991" w:rsidP="00772991">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772991" w:rsidRDefault="0059438C" w:rsidP="00772991">
            <w:pPr>
              <w:pStyle w:val="BodyText"/>
              <w:keepNext/>
              <w:keepLines/>
              <w:jc w:val="both"/>
            </w:pPr>
            <w:r>
              <w:t>/s/ Adam J. Teitzman</w:t>
            </w:r>
            <w:bookmarkStart w:id="8" w:name="_GoBack"/>
            <w:bookmarkEnd w:id="8"/>
          </w:p>
        </w:tc>
      </w:tr>
      <w:bookmarkEnd w:id="7"/>
      <w:tr w:rsidR="00772991" w:rsidTr="00772991">
        <w:tc>
          <w:tcPr>
            <w:tcW w:w="720" w:type="dxa"/>
            <w:shd w:val="clear" w:color="auto" w:fill="auto"/>
          </w:tcPr>
          <w:p w:rsidR="00772991" w:rsidRDefault="00772991" w:rsidP="00772991">
            <w:pPr>
              <w:pStyle w:val="BodyText"/>
              <w:keepNext/>
              <w:keepLines/>
              <w:jc w:val="both"/>
            </w:pPr>
          </w:p>
        </w:tc>
        <w:tc>
          <w:tcPr>
            <w:tcW w:w="4320" w:type="dxa"/>
            <w:tcBorders>
              <w:top w:val="single" w:sz="4" w:space="0" w:color="auto"/>
            </w:tcBorders>
            <w:shd w:val="clear" w:color="auto" w:fill="auto"/>
          </w:tcPr>
          <w:p w:rsidR="00772991" w:rsidRDefault="00772991" w:rsidP="00772991">
            <w:pPr>
              <w:pStyle w:val="BodyText"/>
              <w:keepNext/>
              <w:keepLines/>
              <w:jc w:val="both"/>
            </w:pPr>
            <w:r>
              <w:t>ADAM J. TEITZMAN</w:t>
            </w:r>
          </w:p>
          <w:p w:rsidR="00772991" w:rsidRDefault="00772991" w:rsidP="00772991">
            <w:pPr>
              <w:pStyle w:val="BodyText"/>
              <w:keepNext/>
              <w:keepLines/>
              <w:jc w:val="both"/>
            </w:pPr>
            <w:r>
              <w:t>Commission Clerk</w:t>
            </w:r>
          </w:p>
        </w:tc>
      </w:tr>
    </w:tbl>
    <w:p w:rsidR="00772991" w:rsidRDefault="00772991" w:rsidP="00772991">
      <w:pPr>
        <w:pStyle w:val="OrderSigInfo"/>
        <w:keepNext/>
        <w:keepLines/>
      </w:pPr>
      <w:r>
        <w:t>Florida Public Service Commission</w:t>
      </w:r>
    </w:p>
    <w:p w:rsidR="00772991" w:rsidRDefault="00772991" w:rsidP="00772991">
      <w:pPr>
        <w:pStyle w:val="OrderSigInfo"/>
        <w:keepNext/>
        <w:keepLines/>
      </w:pPr>
      <w:r>
        <w:t>2540 Shumard Oak Boulevard</w:t>
      </w:r>
    </w:p>
    <w:p w:rsidR="00772991" w:rsidRDefault="00772991" w:rsidP="00772991">
      <w:pPr>
        <w:pStyle w:val="OrderSigInfo"/>
        <w:keepNext/>
        <w:keepLines/>
      </w:pPr>
      <w:r>
        <w:t>Tallahassee, Florida 32399</w:t>
      </w:r>
    </w:p>
    <w:p w:rsidR="00772991" w:rsidRDefault="00772991" w:rsidP="00772991">
      <w:pPr>
        <w:pStyle w:val="OrderSigInfo"/>
        <w:keepNext/>
        <w:keepLines/>
      </w:pPr>
      <w:r>
        <w:t>(850) 413</w:t>
      </w:r>
      <w:r>
        <w:noBreakHyphen/>
        <w:t>6770</w:t>
      </w:r>
    </w:p>
    <w:p w:rsidR="00772991" w:rsidRDefault="00772991" w:rsidP="00772991">
      <w:pPr>
        <w:pStyle w:val="OrderSigInfo"/>
        <w:keepNext/>
        <w:keepLines/>
      </w:pPr>
      <w:r>
        <w:t>www.floridapsc.com</w:t>
      </w:r>
    </w:p>
    <w:p w:rsidR="00772991" w:rsidRDefault="00772991" w:rsidP="00772991">
      <w:pPr>
        <w:pStyle w:val="OrderSigInfo"/>
        <w:keepNext/>
        <w:keepLines/>
      </w:pPr>
    </w:p>
    <w:p w:rsidR="00772991" w:rsidRDefault="00772991" w:rsidP="00772991">
      <w:pPr>
        <w:pStyle w:val="OrderSigInfo"/>
        <w:keepNext/>
        <w:keepLines/>
      </w:pPr>
      <w:r>
        <w:t>Copies furnished:  A copy of this document is provided to the parties of record at the time of issuance and, if applicable, interested persons.</w:t>
      </w:r>
    </w:p>
    <w:p w:rsidR="00772991" w:rsidRDefault="00772991" w:rsidP="00772991">
      <w:pPr>
        <w:pStyle w:val="OrderBody"/>
        <w:keepNext/>
        <w:keepLines/>
      </w:pPr>
    </w:p>
    <w:p w:rsidR="00772991" w:rsidRDefault="00772991" w:rsidP="00772991">
      <w:pPr>
        <w:pStyle w:val="BodyText"/>
        <w:keepNext/>
        <w:keepLines/>
        <w:jc w:val="both"/>
      </w:pPr>
      <w:r>
        <w:t>SBr</w:t>
      </w:r>
    </w:p>
    <w:p w:rsidR="00772991" w:rsidRDefault="00772991" w:rsidP="00772991">
      <w:pPr>
        <w:pStyle w:val="CenterUnderline"/>
      </w:pPr>
      <w:r>
        <w:t>NOTICE OF FURTHER PROCEEDINGS OR JUDICIAL REVIEW</w:t>
      </w:r>
    </w:p>
    <w:p w:rsidR="00772991" w:rsidRDefault="00772991" w:rsidP="00772991">
      <w:pPr>
        <w:pStyle w:val="CenterUnderline"/>
      </w:pPr>
    </w:p>
    <w:p w:rsidR="00772991" w:rsidRDefault="00772991" w:rsidP="007729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2991" w:rsidRDefault="00772991" w:rsidP="00772991">
      <w:pPr>
        <w:pStyle w:val="OrderBody"/>
      </w:pPr>
    </w:p>
    <w:p w:rsidR="00772991" w:rsidRDefault="00772991" w:rsidP="00772991">
      <w:pPr>
        <w:pStyle w:val="OrderBody"/>
      </w:pPr>
      <w:r>
        <w:tab/>
        <w:t>Mediation may be available on a case-by-case basis.  If mediation is conducted, it does not affect a substantially interested person's right to a hearing.</w:t>
      </w:r>
    </w:p>
    <w:p w:rsidR="00772991" w:rsidRDefault="00772991" w:rsidP="00772991">
      <w:pPr>
        <w:pStyle w:val="OrderBody"/>
      </w:pPr>
    </w:p>
    <w:p w:rsidR="00772991" w:rsidRDefault="00772991" w:rsidP="007729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29F6" w:rsidRDefault="00CB29F6">
      <w:pPr>
        <w:sectPr w:rsidR="00CB29F6" w:rsidSect="002D5A0F">
          <w:headerReference w:type="default" r:id="rId7"/>
          <w:footerReference w:type="first" r:id="rId8"/>
          <w:pgSz w:w="12240" w:h="15840" w:code="1"/>
          <w:pgMar w:top="1584" w:right="1440" w:bottom="1440" w:left="1440" w:header="720" w:footer="720" w:gutter="0"/>
          <w:cols w:space="720"/>
          <w:formProt w:val="0"/>
          <w:titlePg/>
          <w:docGrid w:linePitch="360"/>
        </w:sectPr>
      </w:pPr>
    </w:p>
    <w:p w:rsidR="00272403" w:rsidRDefault="00272403" w:rsidP="00772991">
      <w:pPr>
        <w:pStyle w:val="OrderBody"/>
      </w:pPr>
      <w:r w:rsidRPr="007E1D4B">
        <w:rPr>
          <w:noProof/>
        </w:rPr>
        <w:lastRenderedPageBreak/>
        <w:drawing>
          <wp:inline distT="0" distB="0" distL="0" distR="0" wp14:anchorId="36FDFA2D" wp14:editId="48737188">
            <wp:extent cx="5814060" cy="7962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4060" cy="7962900"/>
                    </a:xfrm>
                    <a:prstGeom prst="rect">
                      <a:avLst/>
                    </a:prstGeom>
                    <a:noFill/>
                    <a:ln>
                      <a:noFill/>
                    </a:ln>
                  </pic:spPr>
                </pic:pic>
              </a:graphicData>
            </a:graphic>
          </wp:inline>
        </w:drawing>
      </w:r>
    </w:p>
    <w:p w:rsidR="004B51E1" w:rsidRPr="00CB29F6" w:rsidRDefault="00272403" w:rsidP="00CB29F6">
      <w:pPr>
        <w:pStyle w:val="OrderBody"/>
      </w:pPr>
      <w:r w:rsidRPr="007E1D4B">
        <w:rPr>
          <w:noProof/>
        </w:rPr>
        <w:lastRenderedPageBreak/>
        <w:drawing>
          <wp:inline distT="0" distB="0" distL="0" distR="0" wp14:anchorId="765C7831" wp14:editId="547BDC25">
            <wp:extent cx="5829300" cy="8069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8069580"/>
                    </a:xfrm>
                    <a:prstGeom prst="rect">
                      <a:avLst/>
                    </a:prstGeom>
                    <a:noFill/>
                    <a:ln>
                      <a:noFill/>
                    </a:ln>
                  </pic:spPr>
                </pic:pic>
              </a:graphicData>
            </a:graphic>
          </wp:inline>
        </w:drawing>
      </w:r>
    </w:p>
    <w:sectPr w:rsidR="004B51E1" w:rsidRPr="00CB29F6" w:rsidSect="002D5A0F">
      <w:headerReference w:type="default" r:id="rId11"/>
      <w:headerReference w:type="first" r:id="rId12"/>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1E1" w:rsidRDefault="004B51E1">
      <w:r>
        <w:separator/>
      </w:r>
    </w:p>
  </w:endnote>
  <w:endnote w:type="continuationSeparator" w:id="0">
    <w:p w:rsidR="004B51E1" w:rsidRDefault="004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1E1" w:rsidRDefault="004B51E1">
      <w:r>
        <w:separator/>
      </w:r>
    </w:p>
  </w:footnote>
  <w:footnote w:type="continuationSeparator" w:id="0">
    <w:p w:rsidR="004B51E1" w:rsidRDefault="004B51E1">
      <w:r>
        <w:continuationSeparator/>
      </w:r>
    </w:p>
  </w:footnote>
  <w:footnote w:id="1">
    <w:p w:rsidR="004B51E1" w:rsidRDefault="004B51E1" w:rsidP="004B51E1">
      <w:pPr>
        <w:pStyle w:val="FootnoteText"/>
      </w:pPr>
      <w:r>
        <w:rPr>
          <w:rStyle w:val="FootnoteReference"/>
        </w:rPr>
        <w:footnoteRef/>
      </w:r>
      <w:r>
        <w:t>Document No. 03889-2022.</w:t>
      </w:r>
    </w:p>
  </w:footnote>
  <w:footnote w:id="2">
    <w:p w:rsidR="004B51E1" w:rsidRDefault="004B51E1" w:rsidP="004B51E1">
      <w:pPr>
        <w:pStyle w:val="FootnoteText"/>
      </w:pPr>
      <w:r>
        <w:rPr>
          <w:rStyle w:val="FootnoteReference"/>
        </w:rPr>
        <w:footnoteRef/>
      </w:r>
      <w:r w:rsidRPr="004D562F">
        <w:t xml:space="preserve">Order No. </w:t>
      </w:r>
      <w:r>
        <w:t>PSC-2021-0442-FOF-EI, issued November 30</w:t>
      </w:r>
      <w:r w:rsidRPr="004D562F">
        <w:t xml:space="preserve">, 2021, in Docket No. 20210001-EI, </w:t>
      </w:r>
      <w:r w:rsidRPr="00541633">
        <w:rPr>
          <w:i/>
        </w:rPr>
        <w:t>In re: Fuel and purchased power cost recovery clause with generating performance incentive factor</w:t>
      </w:r>
      <w:r w:rsidRPr="004D562F">
        <w:t>.</w:t>
      </w:r>
      <w:r w:rsidRPr="003176DE">
        <w:tab/>
      </w:r>
    </w:p>
  </w:footnote>
  <w:footnote w:id="3">
    <w:p w:rsidR="004B51E1" w:rsidRPr="00B0437E" w:rsidRDefault="004B51E1" w:rsidP="004B51E1">
      <w:pPr>
        <w:pStyle w:val="FootnoteText"/>
        <w:rPr>
          <w:highlight w:val="yellow"/>
        </w:rPr>
      </w:pPr>
      <w:r w:rsidRPr="00811569">
        <w:rPr>
          <w:rStyle w:val="FootnoteReference"/>
        </w:rPr>
        <w:footnoteRef/>
      </w:r>
      <w:r w:rsidRPr="00811569">
        <w:t>Order No. PSC-2021-0442-FOF-EI.</w:t>
      </w:r>
    </w:p>
  </w:footnote>
  <w:footnote w:id="4">
    <w:p w:rsidR="004B51E1" w:rsidRPr="00B0437E" w:rsidRDefault="004B51E1" w:rsidP="004B51E1">
      <w:pPr>
        <w:pStyle w:val="FootnoteText"/>
        <w:rPr>
          <w:highlight w:val="yellow"/>
        </w:rPr>
      </w:pPr>
      <w:r w:rsidRPr="00394D68">
        <w:rPr>
          <w:rStyle w:val="FootnoteReference"/>
        </w:rPr>
        <w:footnoteRef/>
      </w:r>
      <w:r w:rsidRPr="00394D68">
        <w:t>Document No. 03889-2022.</w:t>
      </w:r>
    </w:p>
  </w:footnote>
  <w:footnote w:id="5">
    <w:p w:rsidR="004B51E1" w:rsidRPr="00B0437E" w:rsidRDefault="004B51E1" w:rsidP="004B51E1">
      <w:pPr>
        <w:pStyle w:val="FootnoteText"/>
        <w:rPr>
          <w:highlight w:val="yellow"/>
        </w:rPr>
      </w:pPr>
      <w:r w:rsidRPr="00B0437E">
        <w:rPr>
          <w:rStyle w:val="FootnoteReference"/>
        </w:rPr>
        <w:footnoteRef/>
      </w:r>
      <w:r w:rsidRPr="00B0437E">
        <w:t>Document No. 03023-2022.</w:t>
      </w:r>
    </w:p>
  </w:footnote>
  <w:footnote w:id="6">
    <w:p w:rsidR="004B51E1" w:rsidRDefault="004B51E1" w:rsidP="004B51E1">
      <w:pPr>
        <w:pStyle w:val="FootnoteText"/>
      </w:pPr>
      <w:r>
        <w:rPr>
          <w:rStyle w:val="FootnoteReference"/>
        </w:rPr>
        <w:footnoteRef/>
      </w:r>
      <w:r w:rsidR="00C3758F">
        <w:rPr>
          <w:i/>
        </w:rPr>
        <w:t xml:space="preserve">See </w:t>
      </w:r>
      <w:r>
        <w:t>Document No. 04179-2022, “Revised Exhibit A,” for the revised true-up figure.</w:t>
      </w:r>
    </w:p>
  </w:footnote>
  <w:footnote w:id="7">
    <w:p w:rsidR="004B51E1" w:rsidRPr="00B0437E" w:rsidRDefault="004B51E1" w:rsidP="004B51E1">
      <w:pPr>
        <w:pStyle w:val="FootnoteText"/>
        <w:rPr>
          <w:highlight w:val="yellow"/>
        </w:rPr>
      </w:pPr>
      <w:r w:rsidRPr="00CA7F09">
        <w:rPr>
          <w:rStyle w:val="FootnoteReference"/>
        </w:rPr>
        <w:footnoteRef/>
      </w:r>
      <w:r w:rsidRPr="00CA7F09">
        <w:t>Order No. PSC-2021-0442-FOF-EI.</w:t>
      </w:r>
    </w:p>
  </w:footnote>
  <w:footnote w:id="8">
    <w:p w:rsidR="004B51E1" w:rsidRDefault="004B51E1" w:rsidP="004B51E1">
      <w:pPr>
        <w:pStyle w:val="FootnoteText"/>
      </w:pPr>
      <w:r>
        <w:rPr>
          <w:rStyle w:val="FootnoteReference"/>
        </w:rPr>
        <w:footnoteRef/>
      </w:r>
      <w:r>
        <w:t xml:space="preserve">Order No. PSC-2020-0083-PAA-EI, issued March 20, 2020, in Docket No. 20200033-EI, </w:t>
      </w:r>
      <w:r w:rsidRPr="004E4C8B">
        <w:rPr>
          <w:i/>
        </w:rPr>
        <w:t>In re: Joint motion for approval of Amendment No. 1 to stipulation and settlement, by Florida Public Utilities Company and Office of Public Counsel.</w:t>
      </w:r>
    </w:p>
  </w:footnote>
  <w:footnote w:id="9">
    <w:p w:rsidR="004B51E1" w:rsidRDefault="004B51E1" w:rsidP="004B51E1">
      <w:pPr>
        <w:pStyle w:val="FootnoteText"/>
        <w:tabs>
          <w:tab w:val="left" w:pos="2148"/>
        </w:tabs>
      </w:pPr>
      <w:r>
        <w:rPr>
          <w:rStyle w:val="FootnoteReference"/>
        </w:rPr>
        <w:footnoteRef/>
      </w:r>
      <w:r>
        <w:t>Document No. 02208-2022.</w:t>
      </w:r>
    </w:p>
  </w:footnote>
  <w:footnote w:id="10">
    <w:p w:rsidR="004B51E1" w:rsidRDefault="004B51E1" w:rsidP="004B51E1">
      <w:pPr>
        <w:pStyle w:val="FootnoteText"/>
      </w:pPr>
      <w:r>
        <w:rPr>
          <w:rStyle w:val="FootnoteReference"/>
        </w:rPr>
        <w:footnoteRef/>
      </w:r>
      <w:r w:rsidRPr="00C3758F">
        <w:rPr>
          <w:i/>
        </w:rPr>
        <w:t xml:space="preserve">See </w:t>
      </w:r>
      <w:r>
        <w:t xml:space="preserve">Document No. 02854-2022 for the Commission’s Audit Report concerning FPUC’s accounting of calendar-year-applicable 2021 PPA-related revenues and expenses.   </w:t>
      </w:r>
    </w:p>
  </w:footnote>
  <w:footnote w:id="11">
    <w:p w:rsidR="004B51E1" w:rsidRPr="006140A1" w:rsidRDefault="004B51E1" w:rsidP="004B51E1">
      <w:pPr>
        <w:pStyle w:val="FootnoteText"/>
      </w:pPr>
      <w:r>
        <w:rPr>
          <w:rStyle w:val="FootnoteReference"/>
        </w:rPr>
        <w:footnoteRef/>
      </w:r>
      <w:r w:rsidRPr="006140A1">
        <w:t xml:space="preserve">Order No. PSC-2022-0061-PCO-EI, issued February 17, 2022, in Docket No. 20220001-EI, </w:t>
      </w:r>
      <w:r w:rsidRPr="006140A1">
        <w:rPr>
          <w:i/>
        </w:rPr>
        <w:t>In re: Fuel and purchased power cost recovery clause with generating performance incentive factor</w:t>
      </w:r>
      <w:r w:rsidRPr="006140A1">
        <w:t xml:space="preserve">, Order No. PSC-2021-0460-PCO-EI, issued December 15, 2021, in Docket No. 20210001-EI, </w:t>
      </w:r>
      <w:r w:rsidRPr="006140A1">
        <w:rPr>
          <w:i/>
        </w:rPr>
        <w:t>In re: Fuel and purchased power cost recovery clause with generating performance incentive factor</w:t>
      </w:r>
      <w:r w:rsidRPr="006140A1">
        <w:t xml:space="preserve">, and Order No. PSC-2022-0122-PCO-EI, issued March 18, 2022, in Docket No. 20220001-EI, </w:t>
      </w:r>
      <w:r w:rsidRPr="006140A1">
        <w:rPr>
          <w:i/>
        </w:rPr>
        <w:t>In re: Fuel and purchased power cost recovery clause with generating performance incentive factor.</w:t>
      </w:r>
    </w:p>
  </w:footnote>
  <w:footnote w:id="12">
    <w:p w:rsidR="004B51E1" w:rsidRDefault="004B51E1" w:rsidP="004B51E1">
      <w:pPr>
        <w:pStyle w:val="FootnoteText"/>
      </w:pPr>
      <w:r>
        <w:rPr>
          <w:rStyle w:val="FootnoteReference"/>
        </w:rPr>
        <w:footnoteRef/>
      </w:r>
      <w:r>
        <w:t>Document No. 02208-2022.</w:t>
      </w:r>
    </w:p>
  </w:footnote>
  <w:footnote w:id="13">
    <w:p w:rsidR="004B51E1" w:rsidRDefault="004B51E1" w:rsidP="004B51E1">
      <w:pPr>
        <w:pStyle w:val="FootnoteText"/>
      </w:pPr>
      <w:r>
        <w:rPr>
          <w:rStyle w:val="FootnoteReference"/>
        </w:rPr>
        <w:footnoteRef/>
      </w:r>
      <w:r>
        <w:t>Document No. 08344-2021.</w:t>
      </w:r>
    </w:p>
  </w:footnote>
  <w:footnote w:id="14">
    <w:p w:rsidR="004B51E1" w:rsidRDefault="004B51E1" w:rsidP="004B51E1">
      <w:pPr>
        <w:pStyle w:val="FootnoteText"/>
      </w:pPr>
      <w:r>
        <w:rPr>
          <w:rStyle w:val="FootnoteReference"/>
        </w:rPr>
        <w:footnoteRef/>
      </w:r>
      <w:r>
        <w:t xml:space="preserve">Historical prices of natural gas were sourced through the United States Energy Information Administration. The relevant data can be found via the following link:  </w:t>
      </w:r>
      <w:hyperlink r:id="rId1" w:history="1">
        <w:r w:rsidRPr="00F407DE">
          <w:rPr>
            <w:rStyle w:val="Hyperlink"/>
          </w:rPr>
          <w:t>https://www.eia.gov/dnav/ng/hist/rngwhhdM.htm</w:t>
        </w:r>
      </w:hyperlink>
    </w:p>
  </w:footnote>
  <w:footnote w:id="15">
    <w:p w:rsidR="004B51E1" w:rsidRDefault="004B51E1" w:rsidP="004B51E1">
      <w:pPr>
        <w:pStyle w:val="FootnoteText"/>
      </w:pPr>
      <w:r>
        <w:rPr>
          <w:rStyle w:val="FootnoteReference"/>
        </w:rPr>
        <w:footnoteRef/>
      </w:r>
      <w:r w:rsidRPr="002770B6">
        <w:t>A</w:t>
      </w:r>
      <w:r>
        <w:t xml:space="preserve">mount shown here does not include the 2020 total true-up, or “carry forward” over-recovery of $297,168. See </w:t>
      </w:r>
      <w:r w:rsidRPr="008A5B5E">
        <w:t xml:space="preserve">Order No. PSC-2020-0439-FOF-EI, issued November 16, 2020, in Docket No. 20200001-EI, </w:t>
      </w:r>
      <w:r w:rsidRPr="008A5B5E">
        <w:rPr>
          <w:i/>
        </w:rPr>
        <w:t>In re: Fuel and purchased power cost recovery clause with generating performance incentive Factor</w:t>
      </w:r>
      <w:r>
        <w:t xml:space="preserve"> for approval of this true-up amount.</w:t>
      </w:r>
    </w:p>
  </w:footnote>
  <w:footnote w:id="16">
    <w:p w:rsidR="004B51E1" w:rsidRDefault="004B51E1" w:rsidP="004B51E1">
      <w:pPr>
        <w:pStyle w:val="FootnoteText"/>
      </w:pPr>
      <w:r>
        <w:rPr>
          <w:rStyle w:val="FootnoteReference"/>
        </w:rPr>
        <w:footnoteRef/>
      </w:r>
      <w:r>
        <w:t xml:space="preserve">The total period-applicable revenue figure (denominator) includes the 2020 total true-up over-recovery of $297,168. </w:t>
      </w:r>
    </w:p>
  </w:footnote>
  <w:footnote w:id="17">
    <w:p w:rsidR="004B51E1" w:rsidRDefault="004B51E1" w:rsidP="004B51E1">
      <w:pPr>
        <w:pStyle w:val="FootnoteText"/>
      </w:pPr>
      <w:r>
        <w:rPr>
          <w:rStyle w:val="FootnoteReference"/>
        </w:rPr>
        <w:footnoteRef/>
      </w:r>
      <w:r w:rsidR="00C3758F" w:rsidRPr="00C3758F">
        <w:rPr>
          <w:i/>
        </w:rPr>
        <w:t>S</w:t>
      </w:r>
      <w:r w:rsidRPr="00C3758F">
        <w:rPr>
          <w:i/>
        </w:rPr>
        <w:t>ee</w:t>
      </w:r>
      <w:r>
        <w:t xml:space="preserve"> Document No. 04179-2022, “Revised Exhibit A,” for the revised true-up figure.</w:t>
      </w:r>
    </w:p>
  </w:footnote>
  <w:footnote w:id="18">
    <w:p w:rsidR="004B51E1" w:rsidRPr="00B0437E" w:rsidRDefault="004B51E1" w:rsidP="004B51E1">
      <w:pPr>
        <w:pStyle w:val="FootnoteText"/>
        <w:rPr>
          <w:highlight w:val="yellow"/>
        </w:rPr>
      </w:pPr>
      <w:r w:rsidRPr="00D61C07">
        <w:rPr>
          <w:rStyle w:val="FootnoteReference"/>
        </w:rPr>
        <w:footnoteRef/>
      </w:r>
      <w:r w:rsidRPr="00D61C07">
        <w:t>Order No. PSC-2021-0442-FOF-EI.</w:t>
      </w:r>
    </w:p>
  </w:footnote>
  <w:footnote w:id="19">
    <w:p w:rsidR="004B51E1" w:rsidRPr="00B0437E" w:rsidRDefault="004B51E1" w:rsidP="004B51E1">
      <w:pPr>
        <w:pStyle w:val="FootnoteText"/>
        <w:rPr>
          <w:highlight w:val="yellow"/>
        </w:rPr>
      </w:pPr>
      <w:r w:rsidRPr="00C84288">
        <w:rPr>
          <w:rStyle w:val="FootnoteReference"/>
        </w:rPr>
        <w:footnoteRef/>
      </w:r>
      <w:r w:rsidRPr="00C84288">
        <w:t>Document No. 03889-2022. Recovery factor shown on “Exhibit A,” page 2 of 9, Schedule E1, line 43.</w:t>
      </w:r>
      <w:r w:rsidRPr="00B0437E">
        <w:rPr>
          <w:highlight w:val="yellow"/>
        </w:rPr>
        <w:t xml:space="preserve">   </w:t>
      </w:r>
    </w:p>
  </w:footnote>
  <w:footnote w:id="20">
    <w:p w:rsidR="004B51E1" w:rsidRDefault="004B51E1" w:rsidP="004B51E1">
      <w:pPr>
        <w:pStyle w:val="FootnoteText"/>
      </w:pPr>
      <w:r>
        <w:rPr>
          <w:rStyle w:val="FootnoteReference"/>
        </w:rPr>
        <w:footnoteRef/>
      </w:r>
      <w:r w:rsidRPr="004D562F">
        <w:t xml:space="preserve">Order No. </w:t>
      </w:r>
      <w:r>
        <w:t>PSC-2021-0442-FOF-EI.</w:t>
      </w:r>
    </w:p>
  </w:footnote>
  <w:footnote w:id="21">
    <w:p w:rsidR="004B51E1" w:rsidRPr="00E71B77" w:rsidRDefault="004B51E1" w:rsidP="004B51E1">
      <w:pPr>
        <w:pStyle w:val="FootnoteText"/>
        <w:rPr>
          <w:highlight w:val="yellow"/>
        </w:rPr>
      </w:pPr>
      <w:r w:rsidRPr="00224A79">
        <w:rPr>
          <w:rStyle w:val="FootnoteReference"/>
        </w:rPr>
        <w:footnoteRef/>
      </w:r>
      <w:r w:rsidRPr="0093550F">
        <w:t>Document No. 04179-2022.</w:t>
      </w:r>
    </w:p>
  </w:footnote>
  <w:footnote w:id="22">
    <w:p w:rsidR="001E2ACD" w:rsidRPr="00844F8C" w:rsidRDefault="001E2ACD" w:rsidP="001E2ACD">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rsidRPr="00844F8C">
        <w:rPr>
          <w:i/>
        </w:rPr>
        <w:t>.</w:t>
      </w:r>
    </w:p>
  </w:footnote>
  <w:footnote w:id="23">
    <w:p w:rsidR="001E2ACD" w:rsidRDefault="001E2ACD" w:rsidP="001E2ACD">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24">
    <w:p w:rsidR="001E2ACD" w:rsidRPr="00C3758F" w:rsidRDefault="001E2ACD" w:rsidP="00362FBB">
      <w:pPr>
        <w:pStyle w:val="BodyText"/>
        <w:spacing w:after="0"/>
        <w:jc w:val="both"/>
        <w:rPr>
          <w:sz w:val="20"/>
          <w:szCs w:val="20"/>
        </w:rPr>
      </w:pPr>
      <w:r w:rsidRPr="00C3758F">
        <w:rPr>
          <w:rStyle w:val="FootnoteReference"/>
          <w:sz w:val="20"/>
          <w:szCs w:val="20"/>
        </w:rPr>
        <w:footnoteRef/>
      </w:r>
      <w:r w:rsidRPr="00C3758F">
        <w:rPr>
          <w:sz w:val="20"/>
          <w:szCs w:val="20"/>
        </w:rPr>
        <w:t xml:space="preserve">Order No. PSC-09-0213-PCO-EI; Order No. PSC-2019-0109-PCO-EI. </w:t>
      </w:r>
    </w:p>
  </w:footnote>
  <w:footnote w:id="25">
    <w:p w:rsidR="002D5A0F" w:rsidRPr="00E029C6" w:rsidRDefault="002D5A0F" w:rsidP="002D5A0F">
      <w:pPr>
        <w:pStyle w:val="FootnoteText"/>
        <w:rPr>
          <w:highlight w:val="yellow"/>
        </w:rPr>
      </w:pPr>
      <w:r w:rsidRPr="00A3795D">
        <w:rPr>
          <w:rStyle w:val="FootnoteReference"/>
        </w:rPr>
        <w:footnoteRef/>
      </w:r>
      <w:r w:rsidRPr="00A3795D">
        <w:t>Document No. 04179-2022.</w:t>
      </w:r>
    </w:p>
  </w:footnote>
  <w:footnote w:id="26">
    <w:p w:rsidR="002D5A0F" w:rsidRDefault="002D5A0F" w:rsidP="002D5A0F">
      <w:pPr>
        <w:pStyle w:val="FootnoteText"/>
      </w:pPr>
      <w:r w:rsidRPr="006C4097">
        <w:rPr>
          <w:rStyle w:val="FootnoteReference"/>
        </w:rPr>
        <w:footnoteRef/>
      </w:r>
      <w:r w:rsidRPr="006C4097">
        <w:rPr>
          <w:i/>
        </w:rPr>
        <w:t>Id</w:t>
      </w:r>
      <w:r w:rsidRPr="006C409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9438C">
      <w:fldChar w:fldCharType="begin"/>
    </w:r>
    <w:r w:rsidR="0059438C">
      <w:instrText xml:space="preserve"> REF OrderNo0280 </w:instrText>
    </w:r>
    <w:r w:rsidR="0059438C">
      <w:fldChar w:fldCharType="separate"/>
    </w:r>
    <w:r w:rsidR="00C558B7">
      <w:t>PSC-2022-0280-PCO-EI</w:t>
    </w:r>
    <w:r w:rsidR="0059438C">
      <w:fldChar w:fldCharType="end"/>
    </w:r>
  </w:p>
  <w:p w:rsidR="00FA6EFD" w:rsidRDefault="004B51E1">
    <w:pPr>
      <w:pStyle w:val="OrderHeader"/>
    </w:pPr>
    <w:bookmarkStart w:id="9" w:name="HeaderDocketNo"/>
    <w:bookmarkEnd w:id="9"/>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438C">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9F6" w:rsidRDefault="00CB29F6">
    <w:pPr>
      <w:pStyle w:val="OrderHeader"/>
    </w:pPr>
    <w:r>
      <w:t xml:space="preserve">ORDER NO. </w:t>
    </w:r>
    <w:fldSimple w:instr=" REF OrderNo0280 ">
      <w:r w:rsidR="00C558B7">
        <w:t>PSC-2022-0280-PCO-EI</w:t>
      </w:r>
    </w:fldSimple>
  </w:p>
  <w:p w:rsidR="00CB29F6" w:rsidRDefault="00CB29F6">
    <w:pPr>
      <w:pStyle w:val="OrderHeader"/>
    </w:pPr>
    <w:r>
      <w:t>DOCKET NO. 20220001-EI                                                                     Appendix A</w:t>
    </w:r>
  </w:p>
  <w:p w:rsidR="00CB29F6" w:rsidRDefault="00CB29F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438C">
      <w:rPr>
        <w:rStyle w:val="PageNumber"/>
        <w:noProof/>
      </w:rPr>
      <w:t>10</w:t>
    </w:r>
    <w:r>
      <w:rPr>
        <w:rStyle w:val="PageNumber"/>
      </w:rPr>
      <w:fldChar w:fldCharType="end"/>
    </w:r>
    <w:r>
      <w:rPr>
        <w:rStyle w:val="PageNumber"/>
      </w:rPr>
      <w:t xml:space="preserve">                                                                                                    Page 2 of 2</w:t>
    </w:r>
  </w:p>
  <w:p w:rsidR="00CB29F6" w:rsidRDefault="00CB29F6">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9F6" w:rsidRDefault="00CB29F6" w:rsidP="00CB29F6">
    <w:pPr>
      <w:pStyle w:val="OrderHeader"/>
    </w:pPr>
    <w:r>
      <w:t xml:space="preserve">ORDER NO. </w:t>
    </w:r>
    <w:fldSimple w:instr=" REF OrderNo0280 ">
      <w:r w:rsidR="00C558B7">
        <w:t>PSC-2022-0280-PCO-EI</w:t>
      </w:r>
    </w:fldSimple>
  </w:p>
  <w:p w:rsidR="00CB29F6" w:rsidRDefault="00CB29F6" w:rsidP="00CB29F6">
    <w:pPr>
      <w:pStyle w:val="OrderHeader"/>
    </w:pPr>
    <w:r>
      <w:t>DOCKET NO. 20220001-EI                                                                           Appendix A</w:t>
    </w:r>
  </w:p>
  <w:p w:rsidR="00CB29F6" w:rsidRDefault="00CB29F6" w:rsidP="00CB29F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438C">
      <w:rPr>
        <w:rStyle w:val="PageNumber"/>
        <w:noProof/>
      </w:rPr>
      <w:t>9</w:t>
    </w:r>
    <w:r>
      <w:rPr>
        <w:rStyle w:val="PageNumber"/>
      </w:rPr>
      <w:fldChar w:fldCharType="end"/>
    </w:r>
    <w:r>
      <w:rPr>
        <w:rStyle w:val="PageNumber"/>
      </w:rPr>
      <w:t xml:space="preserve">                                                                                                            Page 1 of 2 </w:t>
    </w:r>
  </w:p>
  <w:p w:rsidR="00CB29F6" w:rsidRDefault="00CB2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4B51E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3411"/>
    <w:rsid w:val="001C2847"/>
    <w:rsid w:val="001C3BB5"/>
    <w:rsid w:val="001C3F8C"/>
    <w:rsid w:val="001C6097"/>
    <w:rsid w:val="001C7126"/>
    <w:rsid w:val="001D008A"/>
    <w:rsid w:val="001E0152"/>
    <w:rsid w:val="001E0FF5"/>
    <w:rsid w:val="001E2ACD"/>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3083"/>
    <w:rsid w:val="00255291"/>
    <w:rsid w:val="002613E4"/>
    <w:rsid w:val="00262C43"/>
    <w:rsid w:val="0026544B"/>
    <w:rsid w:val="00270F89"/>
    <w:rsid w:val="00272403"/>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5A0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2FBB"/>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51E1"/>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38C"/>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4DA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346C"/>
    <w:rsid w:val="0076669C"/>
    <w:rsid w:val="00766E46"/>
    <w:rsid w:val="00772991"/>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018D"/>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758F"/>
    <w:rsid w:val="00C411F3"/>
    <w:rsid w:val="00C44105"/>
    <w:rsid w:val="00C523EC"/>
    <w:rsid w:val="00C558B7"/>
    <w:rsid w:val="00C55A33"/>
    <w:rsid w:val="00C64D49"/>
    <w:rsid w:val="00C66692"/>
    <w:rsid w:val="00C673B5"/>
    <w:rsid w:val="00C7063D"/>
    <w:rsid w:val="00C72339"/>
    <w:rsid w:val="00C830BC"/>
    <w:rsid w:val="00C8524D"/>
    <w:rsid w:val="00C90904"/>
    <w:rsid w:val="00C91123"/>
    <w:rsid w:val="00CA71FF"/>
    <w:rsid w:val="00CB2393"/>
    <w:rsid w:val="00CB29F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4B51E1"/>
  </w:style>
  <w:style w:type="paragraph" w:customStyle="1" w:styleId="IssueHeading">
    <w:name w:val="Issue Heading"/>
    <w:basedOn w:val="Heading1"/>
    <w:next w:val="BodyText"/>
    <w:link w:val="IssueHeadingChar"/>
    <w:qFormat/>
    <w:rsid w:val="004B51E1"/>
    <w:pPr>
      <w:keepNext w:val="0"/>
    </w:pPr>
    <w:rPr>
      <w:rFonts w:ascii="Arial" w:hAnsi="Arial"/>
      <w:b/>
      <w:i/>
    </w:rPr>
  </w:style>
  <w:style w:type="character" w:customStyle="1" w:styleId="IssueHeadingChar">
    <w:name w:val="Issue Heading Char"/>
    <w:link w:val="IssueHeading"/>
    <w:rsid w:val="004B51E1"/>
    <w:rPr>
      <w:rFonts w:ascii="Arial" w:hAnsi="Arial" w:cs="Arial"/>
      <w:b/>
      <w:bCs/>
      <w:i/>
      <w:kern w:val="32"/>
      <w:sz w:val="24"/>
      <w:szCs w:val="32"/>
    </w:rPr>
  </w:style>
  <w:style w:type="character" w:styleId="Hyperlink">
    <w:name w:val="Hyperlink"/>
    <w:uiPriority w:val="99"/>
    <w:rsid w:val="004B51E1"/>
    <w:rPr>
      <w:color w:val="0000FF"/>
      <w:u w:val="single"/>
    </w:rPr>
  </w:style>
  <w:style w:type="paragraph" w:customStyle="1" w:styleId="IssueSubsectionHeading">
    <w:name w:val="Issue Subsection Heading"/>
    <w:basedOn w:val="Heading2"/>
    <w:next w:val="BodyText"/>
    <w:link w:val="IssueSubsectionHeadingChar"/>
    <w:qFormat/>
    <w:rsid w:val="004B51E1"/>
    <w:pPr>
      <w:keepNext w:val="0"/>
    </w:pPr>
    <w:rPr>
      <w:rFonts w:ascii="Arial" w:hAnsi="Arial"/>
      <w:b/>
      <w:i/>
    </w:rPr>
  </w:style>
  <w:style w:type="character" w:customStyle="1" w:styleId="IssueSubsectionHeadingChar">
    <w:name w:val="Issue Subsection Heading Char"/>
    <w:link w:val="IssueSubsectionHeading"/>
    <w:rsid w:val="004B51E1"/>
    <w:rPr>
      <w:rFonts w:ascii="Arial" w:hAnsi="Arial" w:cs="Arial"/>
      <w:b/>
      <w:bCs/>
      <w:i/>
      <w:iCs/>
      <w:sz w:val="24"/>
      <w:szCs w:val="28"/>
    </w:rPr>
  </w:style>
  <w:style w:type="paragraph" w:customStyle="1" w:styleId="RecommendationMajorSectionHeading">
    <w:name w:val="Recommendation Major Section Heading"/>
    <w:basedOn w:val="Heading1"/>
    <w:next w:val="BodyText"/>
    <w:rsid w:val="001E2ACD"/>
    <w:pPr>
      <w:jc w:val="center"/>
    </w:pPr>
    <w:rPr>
      <w:rFonts w:ascii="Arial" w:hAnsi="Arial"/>
      <w:b/>
    </w:rPr>
  </w:style>
  <w:style w:type="paragraph" w:styleId="BalloonText">
    <w:name w:val="Balloon Text"/>
    <w:basedOn w:val="Normal"/>
    <w:link w:val="BalloonTextChar"/>
    <w:semiHidden/>
    <w:unhideWhenUsed/>
    <w:rsid w:val="00C558B7"/>
    <w:rPr>
      <w:rFonts w:ascii="Segoe UI" w:hAnsi="Segoe UI" w:cs="Segoe UI"/>
      <w:sz w:val="18"/>
      <w:szCs w:val="18"/>
    </w:rPr>
  </w:style>
  <w:style w:type="character" w:customStyle="1" w:styleId="BalloonTextChar">
    <w:name w:val="Balloon Text Char"/>
    <w:basedOn w:val="DefaultParagraphFont"/>
    <w:link w:val="BalloonText"/>
    <w:semiHidden/>
    <w:rsid w:val="00C55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a.gov/dnav/ng/hist/rngwhhd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C2B7-1F29-44DC-8251-CAD116C0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2022-07-20T12:14:00Z</dcterms:created>
  <dcterms:modified xsi:type="dcterms:W3CDTF">2022-07-20T12:43:00Z</dcterms:modified>
</cp:coreProperties>
</file>