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4987" w:rsidP="00D44987">
      <w:pPr>
        <w:pStyle w:val="OrderHeading"/>
      </w:pPr>
      <w:r>
        <w:t>BEFORE THE FLORIDA PUBLIC SERVICE COMMISSION</w:t>
      </w:r>
    </w:p>
    <w:p w:rsidR="00D44987" w:rsidRDefault="00D44987" w:rsidP="00D44987">
      <w:pPr>
        <w:pStyle w:val="OrderBody"/>
      </w:pPr>
    </w:p>
    <w:p w:rsidR="00D44987" w:rsidRDefault="00D44987" w:rsidP="00D449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4987" w:rsidRPr="00C63FCF" w:rsidTr="00C63FCF">
        <w:trPr>
          <w:trHeight w:val="828"/>
        </w:trPr>
        <w:tc>
          <w:tcPr>
            <w:tcW w:w="4788" w:type="dxa"/>
            <w:tcBorders>
              <w:bottom w:val="single" w:sz="8" w:space="0" w:color="auto"/>
              <w:right w:val="double" w:sz="6" w:space="0" w:color="auto"/>
            </w:tcBorders>
            <w:shd w:val="clear" w:color="auto" w:fill="auto"/>
          </w:tcPr>
          <w:p w:rsidR="00D44987" w:rsidRDefault="00D44987" w:rsidP="00C63FCF">
            <w:pPr>
              <w:pStyle w:val="OrderBody"/>
              <w:tabs>
                <w:tab w:val="center" w:pos="4320"/>
                <w:tab w:val="right" w:pos="8640"/>
              </w:tabs>
              <w:jc w:val="left"/>
            </w:pPr>
            <w:r>
              <w:t xml:space="preserve">In re: </w:t>
            </w:r>
            <w:bookmarkStart w:id="0" w:name="SSInRe"/>
            <w:bookmarkEnd w:id="0"/>
            <w:r>
              <w:t>Petition for limited proceeding to implement return on equity trigger provision of 2021 settlement agreement, by Duke Energy Florida, LLC.</w:t>
            </w:r>
          </w:p>
        </w:tc>
        <w:tc>
          <w:tcPr>
            <w:tcW w:w="4788" w:type="dxa"/>
            <w:tcBorders>
              <w:left w:val="double" w:sz="6" w:space="0" w:color="auto"/>
            </w:tcBorders>
            <w:shd w:val="clear" w:color="auto" w:fill="auto"/>
          </w:tcPr>
          <w:p w:rsidR="00D44987" w:rsidRDefault="00D44987" w:rsidP="00D44987">
            <w:pPr>
              <w:pStyle w:val="OrderBody"/>
            </w:pPr>
            <w:r>
              <w:t xml:space="preserve">DOCKET NO. </w:t>
            </w:r>
            <w:bookmarkStart w:id="1" w:name="SSDocketNo"/>
            <w:bookmarkEnd w:id="1"/>
            <w:r>
              <w:t>20220143-EI</w:t>
            </w:r>
          </w:p>
          <w:p w:rsidR="00D44987" w:rsidRDefault="00D44987" w:rsidP="00C63FCF">
            <w:pPr>
              <w:pStyle w:val="OrderBody"/>
              <w:tabs>
                <w:tab w:val="center" w:pos="4320"/>
                <w:tab w:val="right" w:pos="8640"/>
              </w:tabs>
              <w:jc w:val="left"/>
            </w:pPr>
            <w:r>
              <w:t xml:space="preserve">ORDER NO. </w:t>
            </w:r>
            <w:bookmarkStart w:id="2" w:name="OrderNo0311"/>
            <w:r w:rsidR="004E5399">
              <w:t>PSC-2022-0311-PCO-EI</w:t>
            </w:r>
            <w:bookmarkEnd w:id="2"/>
          </w:p>
          <w:p w:rsidR="00D44987" w:rsidRDefault="00D44987" w:rsidP="00C63FCF">
            <w:pPr>
              <w:pStyle w:val="OrderBody"/>
              <w:tabs>
                <w:tab w:val="center" w:pos="4320"/>
                <w:tab w:val="right" w:pos="8640"/>
              </w:tabs>
              <w:jc w:val="left"/>
            </w:pPr>
            <w:r>
              <w:t xml:space="preserve">ISSUED: </w:t>
            </w:r>
            <w:r w:rsidR="004E5399">
              <w:t>August 26, 2022</w:t>
            </w:r>
          </w:p>
        </w:tc>
      </w:tr>
    </w:tbl>
    <w:p w:rsidR="00D44987" w:rsidRDefault="00D44987" w:rsidP="00D44987"/>
    <w:p w:rsidR="00CB5276" w:rsidRDefault="00D44987" w:rsidP="00D44987">
      <w:pPr>
        <w:pStyle w:val="CenterUnderline"/>
      </w:pPr>
      <w:bookmarkStart w:id="3" w:name="Commissioners"/>
      <w:bookmarkEnd w:id="3"/>
      <w:r>
        <w:t>ORDER</w:t>
      </w:r>
      <w:bookmarkStart w:id="4" w:name="OrderTitle"/>
      <w:r>
        <w:t xml:space="preserve"> ON PROCEDURE </w:t>
      </w:r>
      <w:bookmarkEnd w:id="4"/>
    </w:p>
    <w:p w:rsidR="00D44987" w:rsidRDefault="00D44987" w:rsidP="00D44987">
      <w:pPr>
        <w:pStyle w:val="CenterUnderline"/>
      </w:pPr>
    </w:p>
    <w:p w:rsidR="00D44987" w:rsidRPr="00FE3EFD" w:rsidRDefault="00D44987" w:rsidP="00D44987">
      <w:pPr>
        <w:pStyle w:val="OrderBody"/>
      </w:pPr>
      <w:r w:rsidRPr="00FE3EFD">
        <w:t>I.</w:t>
      </w:r>
      <w:r w:rsidRPr="00FE3EFD">
        <w:tab/>
      </w:r>
      <w:r w:rsidRPr="00FE3EFD">
        <w:rPr>
          <w:u w:val="single"/>
        </w:rPr>
        <w:t>Case Background</w:t>
      </w:r>
      <w:r w:rsidRPr="00FE3EFD">
        <w:t xml:space="preserve"> </w:t>
      </w:r>
    </w:p>
    <w:p w:rsidR="00D44987" w:rsidRPr="00CD7EBC" w:rsidRDefault="00D44987" w:rsidP="00D44987">
      <w:pPr>
        <w:pStyle w:val="OrderBody"/>
      </w:pPr>
    </w:p>
    <w:p w:rsidR="00D44987" w:rsidRDefault="00D44987" w:rsidP="00D44987">
      <w:pPr>
        <w:pStyle w:val="OrderBody"/>
        <w:ind w:firstLine="720"/>
      </w:pPr>
      <w:r>
        <w:t>On August 12, 2022, Duke Energy Florida, LLC (DEF) filed a petition for a limited proceeding to implement the return on equity (ROE) trigger provisions in Paragraph 2(b) of the 2021 Settlement Agreement approved by the Commission by Order No. PSC-2021-0202-AS-EI, issued June 4, 2021.</w:t>
      </w:r>
      <w:r>
        <w:rPr>
          <w:rStyle w:val="FootnoteReference"/>
        </w:rPr>
        <w:footnoteReference w:id="1"/>
      </w:r>
      <w:r>
        <w:t xml:space="preserve"> </w:t>
      </w:r>
      <w:r w:rsidR="0002310F">
        <w:t xml:space="preserve">DEF </w:t>
      </w:r>
      <w:r>
        <w:t>requests, as specified in the 2021 Agreement, that</w:t>
      </w:r>
      <w:r w:rsidR="0002310F">
        <w:t>:</w:t>
      </w:r>
      <w:r>
        <w:t xml:space="preserve"> (</w:t>
      </w:r>
      <w:r w:rsidR="0002310F">
        <w:t>1</w:t>
      </w:r>
      <w:r>
        <w:t xml:space="preserve">) </w:t>
      </w:r>
      <w:r w:rsidR="0002310F">
        <w:t xml:space="preserve">the “Trigger Effective Date” as that term is defined in </w:t>
      </w:r>
      <w:r>
        <w:t xml:space="preserve">its </w:t>
      </w:r>
      <w:r w:rsidR="0002310F">
        <w:t xml:space="preserve">2021 Settlement Agreement be set at August 1, 2022; (2) its </w:t>
      </w:r>
      <w:r>
        <w:t xml:space="preserve">current authorized ROE be increased by 25 basis points to be within a range of </w:t>
      </w:r>
      <w:r w:rsidR="0002310F">
        <w:t>9.10</w:t>
      </w:r>
      <w:r>
        <w:t xml:space="preserve"> percent to 1</w:t>
      </w:r>
      <w:r w:rsidR="0002310F">
        <w:t>1.10</w:t>
      </w:r>
      <w:r>
        <w:t xml:space="preserve"> percent with a mid-point of 10.</w:t>
      </w:r>
      <w:r w:rsidR="0002310F">
        <w:t>1</w:t>
      </w:r>
      <w:r>
        <w:t xml:space="preserve">0 percent, effective </w:t>
      </w:r>
      <w:r w:rsidR="0002310F">
        <w:t>August</w:t>
      </w:r>
      <w:r>
        <w:t xml:space="preserve"> 1, 2022</w:t>
      </w:r>
      <w:r w:rsidR="0002310F">
        <w:t>; (3) i</w:t>
      </w:r>
      <w:r w:rsidR="009215FE">
        <w:t>t</w:t>
      </w:r>
      <w:r w:rsidR="0002310F">
        <w:t>s AFUDC rate be set at 6.20 percent for 2022 and 6.26 percent for 2023 and 2024;</w:t>
      </w:r>
      <w:r>
        <w:t xml:space="preserve"> (</w:t>
      </w:r>
      <w:r w:rsidR="0002310F">
        <w:t>4</w:t>
      </w:r>
      <w:r>
        <w:t xml:space="preserve">) its base rates be increased </w:t>
      </w:r>
      <w:r w:rsidR="009215FE">
        <w:t>as stated in Exhibit E to its petition to generate additional annual revenues in the amount of $</w:t>
      </w:r>
      <w:r w:rsidR="00D6180C">
        <w:t>24.4 million</w:t>
      </w:r>
      <w:r w:rsidR="009215FE">
        <w:t xml:space="preserve"> effective as of the first billing cycle of January 2023; and </w:t>
      </w:r>
      <w:r w:rsidR="00F627FC">
        <w:t xml:space="preserve">(5) </w:t>
      </w:r>
      <w:r w:rsidR="009215FE">
        <w:t xml:space="preserve"> Commission staff be given the administrative authority to approve tariffs implementing these base rate increases. </w:t>
      </w:r>
    </w:p>
    <w:p w:rsidR="00D44987" w:rsidRDefault="00D44987" w:rsidP="00D44987">
      <w:pPr>
        <w:pStyle w:val="OrderBody"/>
      </w:pPr>
    </w:p>
    <w:p w:rsidR="00D44987" w:rsidRDefault="00D44987" w:rsidP="00D44987">
      <w:pPr>
        <w:pStyle w:val="OrderBody"/>
      </w:pPr>
      <w:r>
        <w:tab/>
        <w:t xml:space="preserve">Section 2(b) of the 2021 </w:t>
      </w:r>
      <w:r w:rsidR="00C04318">
        <w:t xml:space="preserve">Settlement </w:t>
      </w:r>
      <w:r>
        <w:t xml:space="preserve">Agreement provides that the Commission shall approve </w:t>
      </w:r>
      <w:r w:rsidR="009215FE">
        <w:t>DEF</w:t>
      </w:r>
      <w:r>
        <w:t>’s verified request for an equal percentage rate increase to recover the designated revenue requirement within 60 days following the filing of the Petition, and such rates will be effective with the first billing cycle following Commission approval.</w:t>
      </w:r>
    </w:p>
    <w:p w:rsidR="00D44987" w:rsidRDefault="00D44987" w:rsidP="00D44987">
      <w:pPr>
        <w:pStyle w:val="OrderBody"/>
      </w:pPr>
    </w:p>
    <w:p w:rsidR="00D44987" w:rsidRDefault="00D44987" w:rsidP="00D44987">
      <w:pPr>
        <w:pStyle w:val="OrderBody"/>
      </w:pPr>
      <w:r>
        <w:tab/>
        <w:t xml:space="preserve">In order to timely effectuate the terms of the 2021 </w:t>
      </w:r>
      <w:r w:rsidR="00C04318">
        <w:t xml:space="preserve">Settlement </w:t>
      </w:r>
      <w:r>
        <w:t xml:space="preserve">Agreement, this matter is hereby scheduled for hearing on </w:t>
      </w:r>
      <w:r w:rsidR="009215FE">
        <w:t>October 4</w:t>
      </w:r>
      <w:r w:rsidRPr="00875B3D">
        <w:t xml:space="preserve">, 2022. To promote transparency and access to this proceeding, the Office of Public Counsel, Florida Industrial Power Users Group, </w:t>
      </w:r>
      <w:r w:rsidR="00424A8D">
        <w:t>PCS Phosphate White Springs, and Nucor Steel Florida, Inc.,</w:t>
      </w:r>
      <w:r w:rsidRPr="00875B3D">
        <w:t xml:space="preserve"> who were all signatories to the 2021 Agreement, shall be parties to this docket.</w:t>
      </w:r>
    </w:p>
    <w:p w:rsidR="00D44987" w:rsidRDefault="00D44987" w:rsidP="00D44987">
      <w:pPr>
        <w:pStyle w:val="OrderBody"/>
      </w:pPr>
    </w:p>
    <w:p w:rsidR="00D44987" w:rsidRDefault="00D44987" w:rsidP="00D44987">
      <w:pPr>
        <w:pStyle w:val="OrderBody"/>
        <w:ind w:firstLine="720"/>
      </w:pPr>
      <w:r w:rsidRPr="006E6E55">
        <w:t xml:space="preserve">This Order is issued pursuant to the authority granted by Rule 28-106.211, </w:t>
      </w:r>
      <w:r>
        <w:t>Florida Administrative Code (</w:t>
      </w:r>
      <w:r w:rsidRPr="006E6E55">
        <w:t>F.A.C.</w:t>
      </w:r>
      <w:r>
        <w:t>)</w:t>
      </w:r>
      <w:r w:rsidRPr="006E6E55">
        <w:t>, which</w:t>
      </w:r>
      <w:r>
        <w:t xml:space="preserve"> </w:t>
      </w:r>
      <w:r w:rsidRPr="006E6E55">
        <w:t>provides that the presiding officer before whom a case is pending may issue any orders necessary</w:t>
      </w:r>
      <w:r>
        <w:t xml:space="preserve"> </w:t>
      </w:r>
      <w:r w:rsidRPr="006E6E55">
        <w:t>to effectuate discovery, prevent delay, and promote the just, speedy, and inexpensive</w:t>
      </w:r>
      <w:r>
        <w:t xml:space="preserve"> </w:t>
      </w:r>
      <w:r w:rsidRPr="006E6E55">
        <w:t>determination of all aspects of the case.</w:t>
      </w:r>
      <w:r w:rsidRPr="009A5229">
        <w:t xml:space="preserve"> </w:t>
      </w:r>
      <w:r>
        <w:t>Modifications to procedures governing parties to this docket may be made by subsequent procedural order.</w:t>
      </w:r>
    </w:p>
    <w:p w:rsidR="00D44987" w:rsidRDefault="00D44987" w:rsidP="00D44987">
      <w:pPr>
        <w:pStyle w:val="OrderBody"/>
        <w:ind w:firstLine="720"/>
      </w:pPr>
    </w:p>
    <w:p w:rsidR="00424A8D" w:rsidRDefault="00424A8D">
      <w:pPr>
        <w:rPr>
          <w:b/>
        </w:rPr>
      </w:pPr>
      <w:r>
        <w:rPr>
          <w:b/>
        </w:rPr>
        <w:br w:type="page"/>
      </w:r>
    </w:p>
    <w:p w:rsidR="00D44987" w:rsidRPr="00FE3EFD" w:rsidRDefault="00D44987" w:rsidP="00D44987">
      <w:r w:rsidRPr="00FE3EFD">
        <w:lastRenderedPageBreak/>
        <w:t>II.</w:t>
      </w:r>
      <w:r w:rsidRPr="00FE3EFD">
        <w:tab/>
      </w:r>
      <w:r w:rsidRPr="00FE3EFD">
        <w:rPr>
          <w:u w:val="single"/>
        </w:rPr>
        <w:t>Procedural Matters</w:t>
      </w:r>
      <w:r w:rsidRPr="00FE3EFD">
        <w:t xml:space="preserve"> </w:t>
      </w:r>
    </w:p>
    <w:p w:rsidR="00D44987" w:rsidRDefault="00D44987" w:rsidP="00D44987">
      <w:pPr>
        <w:pStyle w:val="OrderBody"/>
      </w:pPr>
    </w:p>
    <w:p w:rsidR="00D44987" w:rsidRPr="00F33161" w:rsidRDefault="00D44987" w:rsidP="00D4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Data Requests</w:t>
      </w:r>
    </w:p>
    <w:p w:rsidR="00D44987" w:rsidRDefault="00D44987" w:rsidP="00D4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Commission staff and the parties shall be permitted a limited time to send no more than 150 data requests. Parties are directed to respond to the data requests in writing so the response is received within five business days of receipt of the request. </w:t>
      </w:r>
      <w:r w:rsidRPr="00011FC7">
        <w:t xml:space="preserve">All written data responses must be accompanied by an Affidavit identifying the persons providing the responses. All data responses must be received by </w:t>
      </w:r>
      <w:r w:rsidR="00424A8D" w:rsidRPr="00FE3EFD">
        <w:t>September 26,</w:t>
      </w:r>
      <w:r w:rsidRPr="00FE3EFD">
        <w:t xml:space="preserve"> 2022.</w:t>
      </w:r>
      <w:r>
        <w:t xml:space="preserve"> Information obtained through data requests may be used by the parties in their oral arguments, by staff in advising the Commission, and by the Commissioners in consideration of </w:t>
      </w:r>
      <w:r w:rsidR="00424A8D">
        <w:t>DEF</w:t>
      </w:r>
      <w:r>
        <w:t>’s Petition.</w:t>
      </w:r>
      <w:r w:rsidDel="00F17A60">
        <w:t xml:space="preserve"> </w:t>
      </w:r>
    </w:p>
    <w:p w:rsidR="00D44987" w:rsidRDefault="00D44987" w:rsidP="00D4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Pr>
          <w:u w:val="single"/>
        </w:rPr>
        <w:t>Confidential Information Provided Pursuant to Data Requests</w:t>
      </w:r>
    </w:p>
    <w:p w:rsidR="00D44987" w:rsidRDefault="00D44987" w:rsidP="00D44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heme="minorHAnsi"/>
        </w:rPr>
      </w:pP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Florida Statutes (F.S.), and Rule 25-22.006, F.A.C., shall be treated by the Commission as confidential. The information shall be exempt from Subsection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Pr="00011FC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11FC7">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44987" w:rsidRPr="00011FC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11FC7">
        <w:tab/>
        <w:t>When a party other than the Commission staff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44987" w:rsidRDefault="00D44987" w:rsidP="00D4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u w:val="single"/>
        </w:rPr>
      </w:pPr>
      <w:r>
        <w:rPr>
          <w:u w:val="single"/>
        </w:rPr>
        <w:t>C</w:t>
      </w:r>
      <w:r w:rsidRPr="00FF5331">
        <w:rPr>
          <w:u w:val="single"/>
        </w:rPr>
        <w:t xml:space="preserve">onfidential Information </w:t>
      </w:r>
      <w:r>
        <w:rPr>
          <w:u w:val="single"/>
        </w:rPr>
        <w:t>at Hearing</w:t>
      </w:r>
    </w:p>
    <w:p w:rsidR="00D44987" w:rsidRPr="00FF5331" w:rsidRDefault="00D44987" w:rsidP="00D44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44987" w:rsidRDefault="00D44987" w:rsidP="00D44987">
      <w:pPr>
        <w:ind w:firstLine="720"/>
        <w:jc w:val="both"/>
      </w:pPr>
      <w:r>
        <w:t>Information for which proprietary confidential business information status is requested</w:t>
      </w:r>
      <w:r w:rsidRPr="00A72918">
        <w:t xml:space="preserve"> pursuant to</w:t>
      </w:r>
      <w:r>
        <w:t xml:space="preserve"> Section 366.093,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Subsection 119.07(1), F.S.,</w:t>
      </w:r>
      <w:r w:rsidRPr="00D44987">
        <w:t xml:space="preserve"> </w:t>
      </w:r>
      <w:r>
        <w:lastRenderedPageBreak/>
        <w:t xml:space="preserve">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D44987" w:rsidRDefault="00D44987" w:rsidP="00D44987">
      <w:pPr>
        <w:jc w:val="both"/>
      </w:pP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366.093, </w:t>
      </w:r>
      <w:smartTag w:uri="urn:schemas:contacts" w:element="GivenName">
        <w:r>
          <w:t>F.S.</w:t>
        </w:r>
      </w:smartTag>
      <w:r>
        <w:t>, at the hearing shall adhere to the following:</w:t>
      </w: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spacing w:line="2" w:lineRule="exact"/>
        <w:jc w:val="both"/>
      </w:pPr>
    </w:p>
    <w:p w:rsidR="00D44987" w:rsidRDefault="00D44987" w:rsidP="00D4498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Pr="000A6B75"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tab/>
        <w:t xml:space="preserve">Any requests to hold portions of the hearing exempt from the requirements of Subsection 119.07(1), F.S., must be made in writing and filed with the Commission Clerk by </w:t>
      </w:r>
      <w:r w:rsidR="000A6B75" w:rsidRPr="00FE3EFD">
        <w:t>September 20, 2022</w:t>
      </w:r>
      <w:r w:rsidRPr="00FE3EFD">
        <w:t>.</w:t>
      </w:r>
    </w:p>
    <w:p w:rsidR="00D44987" w:rsidRPr="00CB124A"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Pr="0052465E" w:rsidRDefault="00D44987" w:rsidP="00D44987">
      <w:pPr>
        <w:jc w:val="both"/>
        <w:rPr>
          <w:u w:val="single"/>
        </w:rPr>
      </w:pPr>
      <w:r w:rsidRPr="0052465E">
        <w:t>III.</w:t>
      </w:r>
      <w:r w:rsidRPr="0052465E">
        <w:tab/>
      </w:r>
      <w:r w:rsidRPr="0052465E">
        <w:rPr>
          <w:u w:val="single"/>
        </w:rPr>
        <w:t>Hearing Procedures</w:t>
      </w:r>
    </w:p>
    <w:p w:rsidR="00D44987" w:rsidRDefault="00D44987" w:rsidP="00D44987">
      <w:pPr>
        <w:jc w:val="both"/>
      </w:pPr>
    </w:p>
    <w:p w:rsidR="00D44987" w:rsidRPr="00CD7EBC" w:rsidRDefault="00D44987" w:rsidP="00D44987">
      <w:pPr>
        <w:ind w:firstLine="720"/>
        <w:jc w:val="both"/>
      </w:pPr>
      <w:r w:rsidRPr="00CD7EBC">
        <w:t xml:space="preserve">The purpose of this hearing is for the Commission to take oral and written evidence or argument regarding the approval of </w:t>
      </w:r>
      <w:r w:rsidR="000A6B75">
        <w:t>DEF</w:t>
      </w:r>
      <w:r w:rsidRPr="00CD7EBC">
        <w:t>’s Petition for a limited proceeding to implement the</w:t>
      </w:r>
      <w:r w:rsidRPr="00D44987">
        <w:t xml:space="preserve"> </w:t>
      </w:r>
      <w:r w:rsidRPr="00CD7EBC">
        <w:lastRenderedPageBreak/>
        <w:t xml:space="preserve">ROE trigger provisions of the 2021 </w:t>
      </w:r>
      <w:r w:rsidR="000A6B75">
        <w:t xml:space="preserve">Settlement </w:t>
      </w:r>
      <w:r w:rsidRPr="00CD7EBC">
        <w:t>Agreement. The issues to be considered at the hearing are as follows:</w:t>
      </w:r>
    </w:p>
    <w:p w:rsidR="00D44987" w:rsidRPr="00CD7EBC" w:rsidRDefault="00D44987" w:rsidP="00D44987">
      <w:pPr>
        <w:ind w:firstLine="720"/>
        <w:jc w:val="both"/>
      </w:pPr>
    </w:p>
    <w:p w:rsidR="00D6180C" w:rsidRPr="00D6180C" w:rsidRDefault="00D6180C" w:rsidP="00D6180C">
      <w:pPr>
        <w:ind w:left="720" w:right="720"/>
      </w:pPr>
      <w:r w:rsidRPr="00D6180C">
        <w:t>1. Should DEF’s authorized ROE and range of returns on equity be revised due to the trigger provisions of the 2021 Settlement Agreement effective as of August 1, 2022?</w:t>
      </w:r>
    </w:p>
    <w:p w:rsidR="00D6180C" w:rsidRPr="00D6180C" w:rsidRDefault="00D6180C" w:rsidP="00D6180C">
      <w:pPr>
        <w:ind w:left="720" w:right="720"/>
      </w:pPr>
    </w:p>
    <w:p w:rsidR="00D6180C" w:rsidRDefault="00D6180C" w:rsidP="00D6180C">
      <w:pPr>
        <w:ind w:left="720" w:right="720"/>
        <w:jc w:val="both"/>
      </w:pPr>
      <w:r>
        <w:t>2. Should DEF’s proposed AFUDC rates of 6.20% for 2022 and 6.26% for 2023 and 2024, as found in Exhibit C to the Petition, be approved?</w:t>
      </w:r>
    </w:p>
    <w:p w:rsidR="00D6180C" w:rsidRDefault="00D6180C" w:rsidP="00D6180C">
      <w:pPr>
        <w:ind w:left="720" w:right="720"/>
        <w:jc w:val="both"/>
      </w:pPr>
    </w:p>
    <w:p w:rsidR="00D6180C" w:rsidRDefault="00D6180C" w:rsidP="00D6180C">
      <w:pPr>
        <w:ind w:left="720" w:right="720"/>
        <w:jc w:val="both"/>
      </w:pPr>
      <w:r>
        <w:t>3. What is the appropriate annual base revenue increase associated with the trigger provision of the 2021 Settlement Agreement?</w:t>
      </w:r>
    </w:p>
    <w:p w:rsidR="00D6180C" w:rsidRDefault="00D6180C" w:rsidP="00D6180C">
      <w:pPr>
        <w:ind w:left="720" w:right="720"/>
        <w:jc w:val="both"/>
      </w:pPr>
    </w:p>
    <w:p w:rsidR="00D6180C" w:rsidRDefault="00D6180C" w:rsidP="00D6180C">
      <w:pPr>
        <w:ind w:left="720" w:right="720"/>
        <w:jc w:val="both"/>
      </w:pPr>
      <w:r>
        <w:t>4. Should DEF’s base rates be increased to reflect the trigger provisions of the 2021 Settlement Agreement effective as of the first billing cycle of January 2023?</w:t>
      </w:r>
    </w:p>
    <w:p w:rsidR="00D6180C" w:rsidRDefault="00D6180C" w:rsidP="00D6180C">
      <w:pPr>
        <w:ind w:left="720" w:right="720"/>
        <w:jc w:val="both"/>
      </w:pPr>
    </w:p>
    <w:p w:rsidR="00D6180C" w:rsidRDefault="00D6180C" w:rsidP="00D6180C">
      <w:pPr>
        <w:ind w:left="720" w:right="720"/>
        <w:jc w:val="both"/>
      </w:pPr>
      <w:r>
        <w:t>5. Should Commission staff be given authority to administratively approve tariff sheets that will effectuate the January 2023 proposed increase?</w:t>
      </w:r>
    </w:p>
    <w:p w:rsidR="00D6180C" w:rsidRDefault="00D6180C" w:rsidP="00D6180C">
      <w:pPr>
        <w:ind w:left="720" w:right="720"/>
        <w:jc w:val="both"/>
      </w:pPr>
    </w:p>
    <w:p w:rsidR="00D6180C" w:rsidRDefault="00D6180C" w:rsidP="00D6180C">
      <w:pPr>
        <w:ind w:left="720" w:right="720"/>
        <w:jc w:val="both"/>
      </w:pPr>
      <w:r>
        <w:t xml:space="preserve">6. Should this docket be closed?  </w:t>
      </w:r>
    </w:p>
    <w:p w:rsidR="000A6B75" w:rsidRDefault="000A6B75" w:rsidP="00D44987">
      <w:pPr>
        <w:ind w:firstLine="720"/>
        <w:jc w:val="both"/>
      </w:pPr>
    </w:p>
    <w:p w:rsidR="00D44987" w:rsidRPr="00CD7EBC" w:rsidRDefault="00D44987" w:rsidP="00D44987">
      <w:pPr>
        <w:ind w:firstLine="720"/>
        <w:jc w:val="both"/>
      </w:pPr>
      <w:r w:rsidRPr="00CD7EBC">
        <w:t xml:space="preserve">The hearing agenda for </w:t>
      </w:r>
      <w:r w:rsidR="000A6B75">
        <w:t>October 4</w:t>
      </w:r>
      <w:r w:rsidRPr="00CD7EBC">
        <w:t>, 2022, will include the following:</w:t>
      </w:r>
    </w:p>
    <w:p w:rsidR="00D44987" w:rsidRPr="00CD7EBC" w:rsidRDefault="00D44987" w:rsidP="00D44987">
      <w:pPr>
        <w:jc w:val="both"/>
      </w:pPr>
    </w:p>
    <w:p w:rsidR="00D44987" w:rsidRPr="00CD7EBC" w:rsidRDefault="00D44987" w:rsidP="00D44987">
      <w:pPr>
        <w:pStyle w:val="ListParagraph"/>
        <w:numPr>
          <w:ilvl w:val="0"/>
          <w:numId w:val="2"/>
        </w:numPr>
        <w:spacing w:line="480" w:lineRule="auto"/>
        <w:jc w:val="both"/>
        <w:rPr>
          <w:rFonts w:ascii="Times New Roman" w:hAnsi="Times New Roman"/>
        </w:rPr>
      </w:pPr>
      <w:r w:rsidRPr="00CD7EBC">
        <w:rPr>
          <w:rFonts w:ascii="Times New Roman" w:hAnsi="Times New Roman"/>
        </w:rPr>
        <w:t>Parties present Opening Statements of no more than five minutes per party;</w:t>
      </w:r>
    </w:p>
    <w:p w:rsidR="00D44987" w:rsidRDefault="00D44987" w:rsidP="00D44987">
      <w:pPr>
        <w:pStyle w:val="ListParagraph"/>
        <w:numPr>
          <w:ilvl w:val="0"/>
          <w:numId w:val="2"/>
        </w:numPr>
        <w:jc w:val="both"/>
        <w:rPr>
          <w:rFonts w:ascii="Times New Roman" w:hAnsi="Times New Roman"/>
        </w:rPr>
      </w:pPr>
      <w:r w:rsidRPr="00CD7EBC">
        <w:rPr>
          <w:rFonts w:ascii="Times New Roman" w:hAnsi="Times New Roman"/>
        </w:rPr>
        <w:t>Parties present evidence and respond to questions from Commissioners regarding the Petition.</w:t>
      </w:r>
    </w:p>
    <w:p w:rsidR="00D44987" w:rsidRPr="00CD7EBC" w:rsidRDefault="00D44987" w:rsidP="00D44987">
      <w:pPr>
        <w:pStyle w:val="ListParagraph"/>
        <w:ind w:left="1440"/>
        <w:jc w:val="both"/>
        <w:rPr>
          <w:rFonts w:ascii="Times New Roman" w:hAnsi="Times New Roman"/>
        </w:rPr>
      </w:pPr>
    </w:p>
    <w:p w:rsidR="00D44987" w:rsidRPr="000A6B75" w:rsidRDefault="00D44987" w:rsidP="00D44987">
      <w:pPr>
        <w:jc w:val="both"/>
        <w:rPr>
          <w:b/>
        </w:rPr>
      </w:pPr>
      <w:r w:rsidRPr="00CD7EBC">
        <w:tab/>
        <w:t>Upon the admission of all testimony and evidence, and completion of the Commission’s questions at hearing, the hearing record will be closed. At that time, the Commission may render a bench decision, provided all parties are willing to waive filing of post-hearing briefs. If a bench decision is not made, the Commission will render a decision during an Agenda Conference, date and time to be determined. Briefs, if any, will be due</w:t>
      </w:r>
      <w:r w:rsidRPr="000A6B75">
        <w:rPr>
          <w:b/>
        </w:rPr>
        <w:t xml:space="preserve"> </w:t>
      </w:r>
      <w:r w:rsidR="000A6B75" w:rsidRPr="00FE3EFD">
        <w:t>October 18</w:t>
      </w:r>
      <w:r w:rsidRPr="00FE3EFD">
        <w:t>, 2022.</w:t>
      </w:r>
    </w:p>
    <w:p w:rsidR="00D44987" w:rsidRPr="000A6B75" w:rsidRDefault="00D44987" w:rsidP="00D44987">
      <w:pPr>
        <w:jc w:val="both"/>
        <w:rPr>
          <w:b/>
          <w:highlight w:val="yellow"/>
        </w:rPr>
      </w:pPr>
    </w:p>
    <w:p w:rsidR="00D44987" w:rsidRPr="00CD7EBC" w:rsidRDefault="00D44987" w:rsidP="00D44987">
      <w:pPr>
        <w:jc w:val="both"/>
      </w:pPr>
      <w:r w:rsidRPr="00CD7EBC">
        <w:tab/>
        <w:t>The Commission has jurisdiction in this matter pursuant to Chapters 120 and 366, F.S., and is proceeding under its authority under Sections 366.04, 366.05, 366.06, and 120.57, F.S.</w:t>
      </w:r>
    </w:p>
    <w:p w:rsidR="00D44987" w:rsidRPr="00CD7EBC" w:rsidRDefault="00D44987" w:rsidP="00D44987">
      <w:pPr>
        <w:jc w:val="both"/>
      </w:pPr>
    </w:p>
    <w:p w:rsidR="00D44987" w:rsidRPr="00CD7EBC" w:rsidRDefault="00D44987" w:rsidP="00D44987">
      <w:pPr>
        <w:jc w:val="both"/>
      </w:pPr>
      <w:r w:rsidRPr="00CD7EBC">
        <w:tab/>
        <w:t>Based on the foregoing, it is</w:t>
      </w:r>
    </w:p>
    <w:p w:rsidR="00D44987" w:rsidRDefault="00D44987" w:rsidP="00D44987">
      <w:pPr>
        <w:jc w:val="both"/>
      </w:pP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D7EBC">
        <w:tab/>
        <w:t>ORDERED by Commissioner</w:t>
      </w:r>
      <w:r>
        <w:t xml:space="preserve"> Gary F. Clark</w:t>
      </w:r>
      <w:r w:rsidRPr="00CD7EBC">
        <w:t>, as Prehearing Officer, that the provisions of this Order shall govern this proceeding unless modified by the Commission.</w:t>
      </w:r>
    </w:p>
    <w:p w:rsidR="00D44987" w:rsidRDefault="00D44987" w:rsidP="00D449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Gary F. Clark, as Prehearing Officer, this </w:t>
      </w:r>
      <w:bookmarkStart w:id="5" w:name="replaceDate"/>
      <w:bookmarkEnd w:id="5"/>
      <w:r w:rsidR="004E5399">
        <w:rPr>
          <w:u w:val="single"/>
        </w:rPr>
        <w:t>26th</w:t>
      </w:r>
      <w:r w:rsidR="004E5399">
        <w:t xml:space="preserve"> day of </w:t>
      </w:r>
      <w:r w:rsidR="004E5399">
        <w:rPr>
          <w:u w:val="single"/>
        </w:rPr>
        <w:t>August</w:t>
      </w:r>
      <w:r w:rsidR="004E5399">
        <w:t xml:space="preserve">, </w:t>
      </w:r>
      <w:r w:rsidR="004E5399">
        <w:rPr>
          <w:u w:val="single"/>
        </w:rPr>
        <w:t>2022</w:t>
      </w:r>
      <w:r w:rsidR="004E5399">
        <w:t>.</w:t>
      </w:r>
    </w:p>
    <w:p w:rsidR="004E5399" w:rsidRPr="004E5399" w:rsidRDefault="004E5399"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D44987" w:rsidTr="00D44987">
        <w:tc>
          <w:tcPr>
            <w:tcW w:w="720" w:type="dxa"/>
            <w:shd w:val="clear" w:color="auto" w:fill="auto"/>
          </w:tcPr>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D44987" w:rsidRDefault="004E5399"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Gary F. Clark</w:t>
            </w:r>
            <w:bookmarkStart w:id="7" w:name="_GoBack"/>
            <w:bookmarkEnd w:id="7"/>
          </w:p>
        </w:tc>
      </w:tr>
      <w:bookmarkEnd w:id="6"/>
      <w:tr w:rsidR="00D44987" w:rsidTr="00D44987">
        <w:tc>
          <w:tcPr>
            <w:tcW w:w="720" w:type="dxa"/>
            <w:shd w:val="clear" w:color="auto" w:fill="auto"/>
          </w:tcPr>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D44987" w:rsidRDefault="00D44987" w:rsidP="00D44987">
      <w:pPr>
        <w:pStyle w:val="OrderSigInfo"/>
        <w:keepNext/>
        <w:keepLines/>
      </w:pPr>
      <w:r>
        <w:t>Florida Public Service Commission</w:t>
      </w:r>
    </w:p>
    <w:p w:rsidR="00D44987" w:rsidRDefault="00D44987" w:rsidP="00D44987">
      <w:pPr>
        <w:pStyle w:val="OrderSigInfo"/>
        <w:keepNext/>
        <w:keepLines/>
      </w:pPr>
      <w:r>
        <w:t>2540 Shumard Oak Boulevard</w:t>
      </w:r>
    </w:p>
    <w:p w:rsidR="00D44987" w:rsidRDefault="00D44987" w:rsidP="00D44987">
      <w:pPr>
        <w:pStyle w:val="OrderSigInfo"/>
        <w:keepNext/>
        <w:keepLines/>
      </w:pPr>
      <w:r>
        <w:t>Tallahassee, Florida 32399</w:t>
      </w:r>
    </w:p>
    <w:p w:rsidR="00D44987" w:rsidRDefault="00D44987" w:rsidP="00D44987">
      <w:pPr>
        <w:pStyle w:val="OrderSigInfo"/>
        <w:keepNext/>
        <w:keepLines/>
      </w:pPr>
      <w:r>
        <w:t>(850) 413</w:t>
      </w:r>
      <w:r>
        <w:noBreakHyphen/>
        <w:t>6770</w:t>
      </w:r>
    </w:p>
    <w:p w:rsidR="00D44987" w:rsidRDefault="00D44987" w:rsidP="00D44987">
      <w:pPr>
        <w:pStyle w:val="OrderSigInfo"/>
        <w:keepNext/>
        <w:keepLines/>
      </w:pPr>
      <w:r>
        <w:t>www.floridapsc.com</w:t>
      </w:r>
    </w:p>
    <w:p w:rsidR="00D44987" w:rsidRDefault="00D44987" w:rsidP="00D44987">
      <w:pPr>
        <w:pStyle w:val="OrderSigInfo"/>
        <w:keepNext/>
        <w:keepLines/>
      </w:pPr>
    </w:p>
    <w:p w:rsidR="00D44987" w:rsidRDefault="00D44987" w:rsidP="00D44987">
      <w:pPr>
        <w:pStyle w:val="OrderSigInfo"/>
        <w:keepNext/>
        <w:keepLines/>
      </w:pPr>
      <w:r>
        <w:t>Copies furnished:  A copy of this document is provided to the parties of record at the time of issuance and, if applicable, interested persons.</w:t>
      </w:r>
    </w:p>
    <w:p w:rsidR="00D44987" w:rsidRDefault="00D44987" w:rsidP="00D44987">
      <w:pPr>
        <w:pStyle w:val="OrderBody"/>
        <w:keepNext/>
        <w:keepLines/>
      </w:pPr>
    </w:p>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SBr</w:t>
      </w:r>
    </w:p>
    <w:p w:rsidR="00D44987" w:rsidRDefault="00D44987" w:rsidP="00D4498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4987" w:rsidRDefault="00D44987" w:rsidP="00D44987">
      <w:pPr>
        <w:pStyle w:val="CenterUnderline"/>
      </w:pPr>
      <w:r>
        <w:t>NOTICE OF FURTHER PROCEEDINGS OR JUDICIAL REVIEW</w:t>
      </w:r>
    </w:p>
    <w:p w:rsidR="00D44987" w:rsidRDefault="00D44987" w:rsidP="00D44987">
      <w:pPr>
        <w:pStyle w:val="CenterUnderline"/>
      </w:pPr>
    </w:p>
    <w:p w:rsidR="00D44987" w:rsidRDefault="00D44987" w:rsidP="00D449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4987" w:rsidRDefault="00D44987" w:rsidP="00D44987">
      <w:pPr>
        <w:pStyle w:val="OrderBody"/>
      </w:pPr>
    </w:p>
    <w:p w:rsidR="00D44987" w:rsidRDefault="00D44987" w:rsidP="00D44987">
      <w:pPr>
        <w:pStyle w:val="OrderBody"/>
      </w:pPr>
      <w:r>
        <w:tab/>
        <w:t>Mediation may be available on a case-by-case basis.  If mediation is conducted, it does not affect a substantially interested person's right to a hearing.</w:t>
      </w:r>
    </w:p>
    <w:p w:rsidR="00D44987" w:rsidRDefault="00D44987" w:rsidP="00D44987">
      <w:pPr>
        <w:pStyle w:val="OrderBody"/>
      </w:pPr>
    </w:p>
    <w:p w:rsidR="00D44987" w:rsidRDefault="00D44987" w:rsidP="00D4498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44987" w:rsidRDefault="00D44987" w:rsidP="00D44987">
      <w:pPr>
        <w:pStyle w:val="OrderBody"/>
      </w:pPr>
    </w:p>
    <w:p w:rsidR="00D44987" w:rsidRDefault="00D44987" w:rsidP="00D44987">
      <w:pPr>
        <w:pStyle w:val="OrderBody"/>
      </w:pPr>
    </w:p>
    <w:p w:rsidR="00D44987" w:rsidRDefault="00D44987" w:rsidP="00D44987">
      <w:pPr>
        <w:pStyle w:val="OrderBody"/>
      </w:pPr>
    </w:p>
    <w:sectPr w:rsidR="00D4498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987" w:rsidRDefault="00D44987">
      <w:r>
        <w:separator/>
      </w:r>
    </w:p>
  </w:endnote>
  <w:endnote w:type="continuationSeparator" w:id="0">
    <w:p w:rsidR="00D44987" w:rsidRDefault="00D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987" w:rsidRDefault="00D44987">
      <w:r>
        <w:separator/>
      </w:r>
    </w:p>
  </w:footnote>
  <w:footnote w:type="continuationSeparator" w:id="0">
    <w:p w:rsidR="00D44987" w:rsidRDefault="00D44987">
      <w:r>
        <w:continuationSeparator/>
      </w:r>
    </w:p>
  </w:footnote>
  <w:footnote w:id="1">
    <w:p w:rsidR="00D44987" w:rsidRPr="00D44987" w:rsidRDefault="00D44987" w:rsidP="00D44987">
      <w:pPr>
        <w:pStyle w:val="FootnoteText"/>
        <w:rPr>
          <w:i/>
        </w:rPr>
      </w:pPr>
      <w:r>
        <w:rPr>
          <w:rStyle w:val="FootnoteReference"/>
        </w:rPr>
        <w:footnoteRef/>
      </w:r>
      <w:r>
        <w:t xml:space="preserve"> </w:t>
      </w:r>
      <w:r w:rsidR="0002310F">
        <w:t>Order No. PSC-2021-0202-AS-EI</w:t>
      </w:r>
      <w:r>
        <w:t xml:space="preserve">, issued June 4, 2021, in Docket No. 20210016-EI, </w:t>
      </w:r>
      <w:r>
        <w:rPr>
          <w:i/>
        </w:rPr>
        <w:t>In re: Petition for limited proceeding to approve 2021 settlement agreement, including general base rate increases,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1 ">
      <w:r w:rsidR="004E5399">
        <w:t>PSC-2022-0311-PCO-EI</w:t>
      </w:r>
    </w:fldSimple>
  </w:p>
  <w:p w:rsidR="00FA6EFD" w:rsidRDefault="00D44987">
    <w:pPr>
      <w:pStyle w:val="OrderHeader"/>
    </w:pPr>
    <w:bookmarkStart w:id="8" w:name="HeaderDocketNo"/>
    <w:bookmarkEnd w:id="8"/>
    <w:r>
      <w:t>DOCKET NO. 20220143-EI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5399">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54CB"/>
    <w:multiLevelType w:val="hybridMultilevel"/>
    <w:tmpl w:val="5BD2E91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CA6836"/>
    <w:multiLevelType w:val="hybridMultilevel"/>
    <w:tmpl w:val="60AAEACC"/>
    <w:lvl w:ilvl="0" w:tplc="53E25C38">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3-EI"/>
  </w:docVars>
  <w:rsids>
    <w:rsidRoot w:val="00D44987"/>
    <w:rsid w:val="000022B8"/>
    <w:rsid w:val="00003883"/>
    <w:rsid w:val="00011251"/>
    <w:rsid w:val="0002310F"/>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54E4"/>
    <w:rsid w:val="000A6B75"/>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4292"/>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4A8D"/>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5399"/>
    <w:rsid w:val="004E7F4F"/>
    <w:rsid w:val="004F2DDE"/>
    <w:rsid w:val="004F5A55"/>
    <w:rsid w:val="004F7826"/>
    <w:rsid w:val="0050097F"/>
    <w:rsid w:val="00514B1F"/>
    <w:rsid w:val="00523C5C"/>
    <w:rsid w:val="0052465E"/>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A14"/>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B96"/>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5FE"/>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472"/>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4318"/>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6574"/>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4987"/>
    <w:rsid w:val="00D46FAA"/>
    <w:rsid w:val="00D47A40"/>
    <w:rsid w:val="00D51D33"/>
    <w:rsid w:val="00D57BB2"/>
    <w:rsid w:val="00D57E57"/>
    <w:rsid w:val="00D6180C"/>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584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27FC"/>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EF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44987"/>
  </w:style>
  <w:style w:type="paragraph" w:customStyle="1" w:styleId="Level2">
    <w:name w:val="Level 2"/>
    <w:rsid w:val="00D44987"/>
    <w:pPr>
      <w:autoSpaceDE w:val="0"/>
      <w:autoSpaceDN w:val="0"/>
      <w:adjustRightInd w:val="0"/>
      <w:ind w:left="1440"/>
    </w:pPr>
    <w:rPr>
      <w:sz w:val="24"/>
      <w:szCs w:val="24"/>
    </w:rPr>
  </w:style>
  <w:style w:type="paragraph" w:styleId="ListParagraph">
    <w:name w:val="List Paragraph"/>
    <w:basedOn w:val="Normal"/>
    <w:uiPriority w:val="34"/>
    <w:qFormat/>
    <w:rsid w:val="00D44987"/>
    <w:pPr>
      <w:ind w:left="720"/>
      <w:contextualSpacing/>
    </w:pPr>
    <w:rPr>
      <w:rFonts w:ascii="Calibri" w:eastAsia="Calibri" w:hAnsi="Calibri"/>
    </w:rPr>
  </w:style>
  <w:style w:type="paragraph" w:styleId="BalloonText">
    <w:name w:val="Balloon Text"/>
    <w:basedOn w:val="Normal"/>
    <w:link w:val="BalloonTextChar"/>
    <w:semiHidden/>
    <w:unhideWhenUsed/>
    <w:rsid w:val="00EC5840"/>
    <w:rPr>
      <w:rFonts w:ascii="Segoe UI" w:hAnsi="Segoe UI" w:cs="Segoe UI"/>
      <w:sz w:val="18"/>
      <w:szCs w:val="18"/>
    </w:rPr>
  </w:style>
  <w:style w:type="character" w:customStyle="1" w:styleId="BalloonTextChar">
    <w:name w:val="Balloon Text Char"/>
    <w:basedOn w:val="DefaultParagraphFont"/>
    <w:link w:val="BalloonText"/>
    <w:semiHidden/>
    <w:rsid w:val="00EC5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2022-08-26T15:21:00Z</dcterms:created>
  <dcterms:modified xsi:type="dcterms:W3CDTF">2022-08-26T16:28:00Z</dcterms:modified>
</cp:coreProperties>
</file>