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DB4277" w:rsidP="00DB4277">
            <w:pPr>
              <w:pStyle w:val="MemoHeading"/>
            </w:pPr>
            <w:bookmarkStart w:id="1" w:name="FilingDate"/>
            <w:bookmarkEnd w:id="1"/>
            <w:r>
              <w:t>September</w:t>
            </w:r>
            <w:r w:rsidR="00554BAB">
              <w:t xml:space="preserve"> </w:t>
            </w:r>
            <w:r>
              <w:t>22</w:t>
            </w:r>
            <w:r w:rsidR="00554BAB">
              <w:t>, 2022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554BAB" w:rsidRDefault="00554BAB" w:rsidP="00CD7EA1">
            <w:pPr>
              <w:pStyle w:val="MemoHeading"/>
            </w:pPr>
            <w:r>
              <w:t>Division o</w:t>
            </w:r>
            <w:r w:rsidR="0002087F">
              <w:t>f Accounting and Finance (D.</w:t>
            </w:r>
            <w:r>
              <w:t xml:space="preserve"> Buys, Mouring)</w:t>
            </w:r>
          </w:p>
          <w:p w:rsidR="00854172" w:rsidRDefault="00554BAB" w:rsidP="0073314E">
            <w:pPr>
              <w:pStyle w:val="MemoHeading"/>
            </w:pPr>
            <w:r>
              <w:t>Office of the General Counsel (</w:t>
            </w:r>
            <w:r w:rsidR="0073314E">
              <w:t>Watrous</w:t>
            </w:r>
            <w:r w:rsidR="00DD5B3A">
              <w:t>, Sandy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554BAB">
            <w:pPr>
              <w:pStyle w:val="MemoHeading"/>
            </w:pPr>
            <w:r>
              <w:t>Docket No. 20220133</w:t>
            </w:r>
            <w:r w:rsidR="007477CB">
              <w:t>-EI</w:t>
            </w:r>
            <w:r>
              <w:t xml:space="preserve"> - Application for authority to issue and sell securities during calendar years 2023 and 2024, pursuant to Section 366.04, F.S., and Chapter 25-8, F.A.C., by Florida Power &amp; Light Company and Florida City Gas.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DB4277">
            <w:pPr>
              <w:pStyle w:val="MemoHeading"/>
            </w:pPr>
            <w:r>
              <w:t>10/4</w:t>
            </w:r>
            <w:r w:rsidR="00554BAB">
              <w:t>/2022 - Consent Agenda - Final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554BAB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554BAB" w:rsidRDefault="00854172" w:rsidP="00FB5DCC">
      <w:pPr>
        <w:pStyle w:val="BodyText"/>
        <w:spacing w:after="0"/>
      </w:pPr>
      <w:r>
        <w:t xml:space="preserve">Please place the following </w:t>
      </w:r>
      <w:bookmarkStart w:id="2" w:name="Subject"/>
      <w:bookmarkEnd w:id="2"/>
      <w:r w:rsidR="00554BAB">
        <w:t xml:space="preserve">application for authority to issue and sell securities </w:t>
      </w:r>
      <w:r w:rsidR="00554BAB" w:rsidRPr="00554BAB">
        <w:t>on the consent agenda for approval.</w:t>
      </w:r>
      <w:r w:rsidR="00554BAB">
        <w:t xml:space="preserve"> </w:t>
      </w:r>
    </w:p>
    <w:p w:rsidR="008706DE" w:rsidRDefault="008706DE" w:rsidP="00FB5DCC">
      <w:pPr>
        <w:pStyle w:val="BodyText"/>
        <w:spacing w:after="0"/>
      </w:pPr>
    </w:p>
    <w:p w:rsidR="00854172" w:rsidRDefault="00554BAB" w:rsidP="00FB5DCC">
      <w:pPr>
        <w:pStyle w:val="BodyText"/>
        <w:spacing w:after="0"/>
      </w:pPr>
      <w:r>
        <w:t>Docket No. 20220133</w:t>
      </w:r>
      <w:r w:rsidR="007477CB">
        <w:t>-EI</w:t>
      </w:r>
      <w:r>
        <w:t xml:space="preserve"> - Application for authority to issue and sell securities during calendar years 2023 and 2024, pursuant to Section 366.04, F.S., and Chapter 25-8, F.A.C., by Florida Power &amp; Light Company and Florida City Gas.</w:t>
      </w:r>
      <w:r w:rsidR="00EF707C">
        <w:t xml:space="preserve"> </w:t>
      </w:r>
    </w:p>
    <w:p w:rsidR="00554BAB" w:rsidRDefault="00554BAB" w:rsidP="00FB5DCC">
      <w:pPr>
        <w:pStyle w:val="BodyText"/>
        <w:spacing w:after="0"/>
      </w:pPr>
    </w:p>
    <w:p w:rsidR="008706DE" w:rsidRDefault="00554BAB" w:rsidP="00FB5DCC">
      <w:pPr>
        <w:pStyle w:val="BodyText"/>
        <w:spacing w:after="0"/>
      </w:pPr>
      <w:r>
        <w:t>Florida Power &amp; Light Company</w:t>
      </w:r>
      <w:r w:rsidR="0002087F">
        <w:t xml:space="preserve"> (FPL or Company) requests authorization</w:t>
      </w:r>
      <w:r>
        <w:t xml:space="preserve"> to issue and sell and/or exchange any combination of long-tern debt and equity securities and/or to assume liabilities or obligations as </w:t>
      </w:r>
      <w:r w:rsidR="008D639F">
        <w:t>guarantor</w:t>
      </w:r>
      <w:r>
        <w:t xml:space="preserve">, endorser or surety in an aggregate amount not to exceed </w:t>
      </w:r>
      <w:r w:rsidR="008706DE">
        <w:t>$8.1 billion during calendar year 2023.</w:t>
      </w:r>
    </w:p>
    <w:p w:rsidR="008706DE" w:rsidRDefault="008706DE" w:rsidP="00FB5DCC">
      <w:pPr>
        <w:pStyle w:val="BodyText"/>
        <w:spacing w:after="0"/>
      </w:pPr>
    </w:p>
    <w:p w:rsidR="008706DE" w:rsidRDefault="008706DE" w:rsidP="00FB5DCC">
      <w:pPr>
        <w:pStyle w:val="BodyText"/>
        <w:spacing w:after="0"/>
      </w:pPr>
      <w:r>
        <w:t>I</w:t>
      </w:r>
      <w:r w:rsidR="0002087F">
        <w:t>n addition, FPL requests authorization</w:t>
      </w:r>
      <w:r>
        <w:t xml:space="preserve"> to issue and sell short-term securities during the calendar years 2023 and 2024 in an amount or amounts such that the aggregate principal amount of short-term securities outstanding at the time of and including any such sale shall not exceed $5.15 billion. </w:t>
      </w:r>
    </w:p>
    <w:p w:rsidR="00FB5DCC" w:rsidRDefault="00FB5DCC" w:rsidP="00FB5DCC">
      <w:pPr>
        <w:pStyle w:val="BodyText"/>
        <w:spacing w:after="0"/>
      </w:pPr>
    </w:p>
    <w:p w:rsidR="008706DE" w:rsidRDefault="0002087F" w:rsidP="00FB5DCC">
      <w:pPr>
        <w:pStyle w:val="BodyText"/>
        <w:spacing w:after="0"/>
      </w:pPr>
      <w:r>
        <w:t xml:space="preserve">Florida City Gas (FCG) requests authorization </w:t>
      </w:r>
      <w:r w:rsidR="008706DE">
        <w:t xml:space="preserve">to make long-term borrowings from FPL in an aggregate amount not to exceed </w:t>
      </w:r>
      <w:r w:rsidR="00FB5DCC">
        <w:t xml:space="preserve">$300 million during 2023 and make short-term borrowings from FPL in an aggregate principal amount not to exceed $150 </w:t>
      </w:r>
      <w:r w:rsidR="008D639F">
        <w:t>million</w:t>
      </w:r>
      <w:r w:rsidR="00FB5DCC">
        <w:t xml:space="preserve"> at any one time during calendar years 2023 and 2024. </w:t>
      </w:r>
    </w:p>
    <w:p w:rsidR="00FB5DCC" w:rsidRDefault="00FB5DCC" w:rsidP="00FB5DCC">
      <w:pPr>
        <w:pStyle w:val="BodyText"/>
        <w:spacing w:after="0"/>
      </w:pPr>
    </w:p>
    <w:p w:rsidR="00FB5DCC" w:rsidRDefault="00FB5DCC" w:rsidP="00FB5DCC">
      <w:pPr>
        <w:pStyle w:val="BodyText"/>
        <w:spacing w:after="0"/>
      </w:pPr>
      <w:r>
        <w:lastRenderedPageBreak/>
        <w:t xml:space="preserve">In connection with this application, FPL confirms that the capital raised pursuant to this application will be used in connection with the regulated </w:t>
      </w:r>
      <w:r w:rsidR="008D639F">
        <w:t>activities</w:t>
      </w:r>
      <w:r>
        <w:t xml:space="preserve"> of FPL and FPL’s subsidiaries, including FCG, and not the nonregulated activities of its subsidiaries and affiliates. </w:t>
      </w:r>
    </w:p>
    <w:p w:rsidR="00854172" w:rsidRDefault="00854172" w:rsidP="00FB5DCC">
      <w:pPr>
        <w:pStyle w:val="BodyText"/>
        <w:spacing w:after="0"/>
      </w:pPr>
      <w:bookmarkStart w:id="3" w:name="TableLocation"/>
      <w:bookmarkEnd w:id="3"/>
    </w:p>
    <w:p w:rsidR="00FB5DCC" w:rsidRDefault="00FB5DCC" w:rsidP="007B10A4">
      <w:pPr>
        <w:pStyle w:val="BodyText"/>
        <w:spacing w:after="0"/>
      </w:pPr>
      <w:r>
        <w:t xml:space="preserve">Staff has reviewed FPL’s projected capital expenditures. </w:t>
      </w:r>
      <w:r w:rsidR="0002087F">
        <w:t>FPL’s construction budget forecast fo</w:t>
      </w:r>
      <w:r w:rsidR="00CC7754">
        <w:t>r</w:t>
      </w:r>
      <w:r w:rsidR="0002087F">
        <w:t xml:space="preserve"> 2023 is </w:t>
      </w:r>
      <w:r w:rsidR="00CC7754">
        <w:t xml:space="preserve">$8.036 billion for FPL and $53 million for FCG. </w:t>
      </w:r>
      <w:r>
        <w:t>The amount requested by the Company (</w:t>
      </w:r>
      <w:r w:rsidR="00F65FAF">
        <w:t>$13.25 billion, of which $450 million is for FCG)</w:t>
      </w:r>
      <w:r w:rsidR="005F123A">
        <w:t xml:space="preserve"> exceeds its expec</w:t>
      </w:r>
      <w:r w:rsidR="00CC7754">
        <w:t>ted capital expenditures ($8.089</w:t>
      </w:r>
      <w:r w:rsidR="005F123A">
        <w:t xml:space="preserve"> billion in 2023). The additional amount requested exceeding the </w:t>
      </w:r>
      <w:r w:rsidR="00CC7754">
        <w:t>forecasted</w:t>
      </w:r>
      <w:r w:rsidR="005F123A">
        <w:t xml:space="preserve"> capital </w:t>
      </w:r>
      <w:r w:rsidR="0083035F">
        <w:t xml:space="preserve">budget </w:t>
      </w:r>
      <w:r w:rsidR="005F123A">
        <w:t>expenditures allows for financial flexibility for unexpected events such as hurricanes, financial market disruptions</w:t>
      </w:r>
      <w:r w:rsidR="00CC7754">
        <w:t>,</w:t>
      </w:r>
      <w:r w:rsidR="005F123A">
        <w:t xml:space="preserve"> and other </w:t>
      </w:r>
      <w:r w:rsidR="008D639F">
        <w:t>unforeseen</w:t>
      </w:r>
      <w:r w:rsidR="005F123A">
        <w:t xml:space="preserve"> circumstances. Staff believes the requested amounts are appropriate. Staff recommends FPL’s </w:t>
      </w:r>
      <w:r w:rsidR="008C0801">
        <w:t xml:space="preserve">application for authority </w:t>
      </w:r>
      <w:r w:rsidR="005F123A">
        <w:t xml:space="preserve">to issue securities </w:t>
      </w:r>
      <w:r w:rsidR="008C0801">
        <w:t xml:space="preserve">during calendar years 2023 and 2024 </w:t>
      </w:r>
      <w:r w:rsidR="005F123A">
        <w:t xml:space="preserve">be approved. </w:t>
      </w:r>
    </w:p>
    <w:p w:rsidR="007B10A4" w:rsidRDefault="007B10A4" w:rsidP="007B10A4">
      <w:pPr>
        <w:pStyle w:val="BodyText"/>
        <w:spacing w:after="0"/>
      </w:pPr>
    </w:p>
    <w:p w:rsidR="007B10A4" w:rsidRDefault="007B10A4" w:rsidP="00FB5DCC">
      <w:pPr>
        <w:pStyle w:val="BodyText"/>
      </w:pPr>
      <w:r>
        <w:t xml:space="preserve">For monitoring purposes, this docket should remain open until May </w:t>
      </w:r>
      <w:r w:rsidR="008D639F">
        <w:t>3</w:t>
      </w:r>
      <w:r>
        <w:t xml:space="preserve">, 2024, to allow the Company time to file the required Consummation Report. </w:t>
      </w:r>
    </w:p>
    <w:sectPr w:rsidR="007B10A4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BAB" w:rsidRDefault="00554BAB">
      <w:r>
        <w:separator/>
      </w:r>
    </w:p>
  </w:endnote>
  <w:endnote w:type="continuationSeparator" w:id="0">
    <w:p w:rsidR="00554BAB" w:rsidRDefault="0055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435A5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BAB" w:rsidRDefault="00554BAB">
      <w:r>
        <w:separator/>
      </w:r>
    </w:p>
  </w:footnote>
  <w:footnote w:type="continuationSeparator" w:id="0">
    <w:p w:rsidR="00554BAB" w:rsidRDefault="00554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BAB" w:rsidRDefault="00554BAB">
    <w:pPr>
      <w:pStyle w:val="Header"/>
    </w:pPr>
    <w:r>
      <w:t>Docket No. 20220133</w:t>
    </w:r>
    <w:r>
      <w:noBreakHyphen/>
      <w:t>EI</w:t>
    </w:r>
  </w:p>
  <w:p w:rsidR="00554BAB" w:rsidRDefault="00554BAB">
    <w:pPr>
      <w:pStyle w:val="Header"/>
    </w:pPr>
    <w:r>
      <w:t xml:space="preserve">Date:  </w:t>
    </w:r>
    <w:r w:rsidR="007477CB">
      <w:t>September 22</w:t>
    </w:r>
    <w:r>
      <w:t>, 2022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554BAB"/>
    <w:rsid w:val="0001717F"/>
    <w:rsid w:val="000208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04085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54BAB"/>
    <w:rsid w:val="005608B8"/>
    <w:rsid w:val="005659FF"/>
    <w:rsid w:val="00572098"/>
    <w:rsid w:val="00592D4B"/>
    <w:rsid w:val="005D58FF"/>
    <w:rsid w:val="005E5992"/>
    <w:rsid w:val="005F123A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3314E"/>
    <w:rsid w:val="0074032E"/>
    <w:rsid w:val="007444B7"/>
    <w:rsid w:val="007477CB"/>
    <w:rsid w:val="00770083"/>
    <w:rsid w:val="007701EC"/>
    <w:rsid w:val="00775FEF"/>
    <w:rsid w:val="00793676"/>
    <w:rsid w:val="007B096D"/>
    <w:rsid w:val="007B10A4"/>
    <w:rsid w:val="007C024D"/>
    <w:rsid w:val="00802DF6"/>
    <w:rsid w:val="00824EF3"/>
    <w:rsid w:val="0083035F"/>
    <w:rsid w:val="00835590"/>
    <w:rsid w:val="00842C28"/>
    <w:rsid w:val="008435A5"/>
    <w:rsid w:val="008450CC"/>
    <w:rsid w:val="00854172"/>
    <w:rsid w:val="008706DE"/>
    <w:rsid w:val="008A566F"/>
    <w:rsid w:val="008B6464"/>
    <w:rsid w:val="008C0801"/>
    <w:rsid w:val="008C6822"/>
    <w:rsid w:val="008D639F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C7754"/>
    <w:rsid w:val="00CD47B7"/>
    <w:rsid w:val="00CD57A8"/>
    <w:rsid w:val="00CD7EA1"/>
    <w:rsid w:val="00D02060"/>
    <w:rsid w:val="00D07973"/>
    <w:rsid w:val="00D222C3"/>
    <w:rsid w:val="00DB0939"/>
    <w:rsid w:val="00DB4277"/>
    <w:rsid w:val="00DD5B3A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65FAF"/>
    <w:rsid w:val="00F70567"/>
    <w:rsid w:val="00F82ED0"/>
    <w:rsid w:val="00F928B1"/>
    <w:rsid w:val="00F92E61"/>
    <w:rsid w:val="00FB5DCC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6385"/>
    <o:shapelayout v:ext="edit">
      <o:idmap v:ext="edit" data="1"/>
    </o:shapelayout>
  </w:shapeDefaults>
  <w:decimalSymbol w:val="."/>
  <w:listSeparator w:val=","/>
  <w15:docId w15:val="{C8212B1B-04BD-4E82-B5A8-FB50E7FF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Osorio</dc:creator>
  <cp:lastModifiedBy>Hanna Black</cp:lastModifiedBy>
  <cp:revision>2</cp:revision>
  <cp:lastPrinted>2003-12-02T14:32:00Z</cp:lastPrinted>
  <dcterms:created xsi:type="dcterms:W3CDTF">2022-09-22T13:15:00Z</dcterms:created>
  <dcterms:modified xsi:type="dcterms:W3CDTF">2022-09-22T13:15:00Z</dcterms:modified>
</cp:coreProperties>
</file>