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15" w:type="dxa"/>
          <w:right w:w="115" w:type="dxa"/>
        </w:tblCellMar>
        <w:tblLook w:val="01E0" w:firstRow="1" w:lastRow="1" w:firstColumn="1" w:lastColumn="1" w:noHBand="0" w:noVBand="0"/>
      </w:tblPr>
      <w:tblGrid>
        <w:gridCol w:w="1254"/>
        <w:gridCol w:w="948"/>
        <w:gridCol w:w="1488"/>
        <w:gridCol w:w="5785"/>
      </w:tblGrid>
      <w:tr w:rsidR="007C0528">
        <w:tc>
          <w:tcPr>
            <w:tcW w:w="2202" w:type="dxa"/>
            <w:gridSpan w:val="2"/>
            <w:tcBorders>
              <w:top w:val="nil"/>
              <w:left w:val="nil"/>
              <w:bottom w:val="single" w:sz="24" w:space="0" w:color="auto"/>
              <w:right w:val="nil"/>
            </w:tcBorders>
            <w:shd w:val="clear" w:color="auto" w:fill="auto"/>
            <w:tcMar>
              <w:top w:w="0" w:type="dxa"/>
              <w:left w:w="0" w:type="dxa"/>
              <w:bottom w:w="0" w:type="dxa"/>
              <w:right w:w="0" w:type="dxa"/>
            </w:tcMar>
          </w:tcPr>
          <w:p w:rsidR="007C0528" w:rsidRDefault="007C0528" w:rsidP="00532DFB">
            <w:pPr>
              <w:pStyle w:val="MastHeadState"/>
            </w:pPr>
            <w:bookmarkStart w:id="0" w:name="_GoBack"/>
            <w:bookmarkEnd w:id="0"/>
            <w:r>
              <w:t>State of Florida</w:t>
            </w:r>
          </w:p>
          <w:p w:rsidR="007C0528" w:rsidRDefault="00072CCA">
            <w:pPr>
              <w:jc w:val="center"/>
            </w:pPr>
            <w:r>
              <w:rPr>
                <w:noProof/>
              </w:rPr>
              <w:drawing>
                <wp:inline distT="0" distB="0" distL="0" distR="0">
                  <wp:extent cx="923925" cy="914400"/>
                  <wp:effectExtent l="0" t="0" r="9525" b="0"/>
                  <wp:docPr id="1" name="Picture 1" descr="psc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sc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923925" cy="914400"/>
                          </a:xfrm>
                          <a:prstGeom prst="rect">
                            <a:avLst/>
                          </a:prstGeom>
                          <a:noFill/>
                          <a:ln>
                            <a:noFill/>
                          </a:ln>
                        </pic:spPr>
                      </pic:pic>
                    </a:graphicData>
                  </a:graphic>
                </wp:inline>
              </w:drawing>
            </w:r>
          </w:p>
          <w:p w:rsidR="007C0528" w:rsidRDefault="007C0528"/>
        </w:tc>
        <w:tc>
          <w:tcPr>
            <w:tcW w:w="7273" w:type="dxa"/>
            <w:gridSpan w:val="2"/>
            <w:tcBorders>
              <w:top w:val="nil"/>
              <w:left w:val="nil"/>
              <w:bottom w:val="single" w:sz="24" w:space="0" w:color="auto"/>
              <w:right w:val="nil"/>
            </w:tcBorders>
            <w:shd w:val="clear" w:color="auto" w:fill="auto"/>
            <w:vAlign w:val="bottom"/>
          </w:tcPr>
          <w:p w:rsidR="007C0528" w:rsidRDefault="007C0528">
            <w:pPr>
              <w:pStyle w:val="MastHeadPSC"/>
            </w:pPr>
            <w:r>
              <w:t>Public Service Commission</w:t>
            </w:r>
          </w:p>
          <w:p w:rsidR="007C0528" w:rsidRDefault="007C0528">
            <w:pPr>
              <w:pStyle w:val="MastHeadAddress"/>
            </w:pPr>
            <w:r>
              <w:t>Capital Circle Office Center ● 2540 Shumard Oak Boulevard</w:t>
            </w:r>
            <w:r>
              <w:br/>
              <w:t>Tallahassee, Florida 32399-0850</w:t>
            </w:r>
          </w:p>
          <w:p w:rsidR="007C0528" w:rsidRDefault="007C0528">
            <w:pPr>
              <w:pStyle w:val="MastHeadMemorandum"/>
            </w:pPr>
            <w:r>
              <w:t>-M-E-M-O-R-A-N-D-U-M-</w:t>
            </w:r>
          </w:p>
          <w:p w:rsidR="007C0528" w:rsidRDefault="007C0528">
            <w:pPr>
              <w:pStyle w:val="MemoHeading"/>
            </w:pPr>
          </w:p>
        </w:tc>
      </w:tr>
      <w:tr w:rsidR="007C0528">
        <w:tc>
          <w:tcPr>
            <w:tcW w:w="1254" w:type="dxa"/>
            <w:tcBorders>
              <w:top w:val="single" w:sz="24" w:space="0" w:color="auto"/>
              <w:left w:val="nil"/>
              <w:bottom w:val="nil"/>
              <w:right w:val="nil"/>
            </w:tcBorders>
            <w:shd w:val="clear" w:color="auto" w:fill="auto"/>
            <w:tcMar>
              <w:top w:w="288" w:type="dxa"/>
              <w:bottom w:w="0" w:type="dxa"/>
              <w:right w:w="0" w:type="dxa"/>
            </w:tcMar>
          </w:tcPr>
          <w:p w:rsidR="007C0528" w:rsidRDefault="007C0528" w:rsidP="00506C03">
            <w:pPr>
              <w:pStyle w:val="MemoHeadingLabel"/>
            </w:pPr>
            <w:r>
              <w:t>DATE:</w:t>
            </w:r>
          </w:p>
        </w:tc>
        <w:tc>
          <w:tcPr>
            <w:tcW w:w="8221" w:type="dxa"/>
            <w:gridSpan w:val="3"/>
            <w:tcBorders>
              <w:top w:val="single" w:sz="24" w:space="0" w:color="auto"/>
              <w:left w:val="nil"/>
              <w:bottom w:val="nil"/>
              <w:right w:val="nil"/>
            </w:tcBorders>
            <w:shd w:val="clear" w:color="auto" w:fill="auto"/>
            <w:tcMar>
              <w:bottom w:w="0" w:type="dxa"/>
            </w:tcMar>
          </w:tcPr>
          <w:p w:rsidR="007C0528" w:rsidRDefault="002424B3">
            <w:pPr>
              <w:pStyle w:val="MemoHeading"/>
            </w:pPr>
            <w:bookmarkStart w:id="1" w:name="FilingDate"/>
            <w:r>
              <w:t>September 22, 2022</w:t>
            </w:r>
            <w:bookmarkEnd w:id="1"/>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TO:</w:t>
            </w:r>
          </w:p>
        </w:tc>
        <w:tc>
          <w:tcPr>
            <w:tcW w:w="8221" w:type="dxa"/>
            <w:gridSpan w:val="3"/>
            <w:tcBorders>
              <w:top w:val="nil"/>
              <w:left w:val="nil"/>
              <w:bottom w:val="nil"/>
              <w:right w:val="nil"/>
            </w:tcBorders>
            <w:shd w:val="clear" w:color="auto" w:fill="auto"/>
            <w:tcMar>
              <w:top w:w="288" w:type="dxa"/>
              <w:bottom w:w="0" w:type="dxa"/>
            </w:tcMar>
          </w:tcPr>
          <w:p w:rsidR="007C0528" w:rsidRDefault="007C0528" w:rsidP="0093658B">
            <w:pPr>
              <w:pStyle w:val="MemoHeading"/>
            </w:pPr>
            <w:r>
              <w:t>Office of Commission Clerk (</w:t>
            </w:r>
            <w:r w:rsidR="004E69B5">
              <w:t>Teitzman</w:t>
            </w:r>
            <w:r>
              <w:t>)</w:t>
            </w:r>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FROM:</w:t>
            </w:r>
          </w:p>
        </w:tc>
        <w:tc>
          <w:tcPr>
            <w:tcW w:w="8221" w:type="dxa"/>
            <w:gridSpan w:val="3"/>
            <w:tcBorders>
              <w:top w:val="nil"/>
              <w:left w:val="nil"/>
              <w:bottom w:val="nil"/>
              <w:right w:val="nil"/>
            </w:tcBorders>
            <w:shd w:val="clear" w:color="auto" w:fill="auto"/>
            <w:tcMar>
              <w:top w:w="288" w:type="dxa"/>
              <w:bottom w:w="0" w:type="dxa"/>
            </w:tcMar>
          </w:tcPr>
          <w:p w:rsidR="002424B3" w:rsidRDefault="002424B3">
            <w:pPr>
              <w:pStyle w:val="MemoHeading"/>
            </w:pPr>
            <w:bookmarkStart w:id="2" w:name="From"/>
            <w:r>
              <w:t>Division of Accounting and Finance (D. Buys, Mouring)</w:t>
            </w:r>
          </w:p>
          <w:p w:rsidR="007C0528" w:rsidRDefault="002424B3">
            <w:pPr>
              <w:pStyle w:val="MemoHeading"/>
            </w:pPr>
            <w:r>
              <w:t>Office of the General Counsel (Watrous, Sandy)</w:t>
            </w:r>
            <w:bookmarkEnd w:id="2"/>
          </w:p>
        </w:tc>
      </w:tr>
      <w:tr w:rsidR="007C0528">
        <w:tc>
          <w:tcPr>
            <w:tcW w:w="1254" w:type="dxa"/>
            <w:tcBorders>
              <w:top w:val="nil"/>
              <w:left w:val="nil"/>
              <w:bottom w:val="nil"/>
              <w:right w:val="nil"/>
            </w:tcBorders>
            <w:shd w:val="clear" w:color="auto" w:fill="auto"/>
            <w:tcMar>
              <w:top w:w="288" w:type="dxa"/>
              <w:right w:w="0" w:type="dxa"/>
            </w:tcMar>
          </w:tcPr>
          <w:p w:rsidR="007C0528" w:rsidRDefault="007C0528" w:rsidP="00506C03">
            <w:pPr>
              <w:pStyle w:val="MemoHeadingLabel"/>
            </w:pPr>
            <w:r>
              <w:t>RE:</w:t>
            </w:r>
          </w:p>
        </w:tc>
        <w:tc>
          <w:tcPr>
            <w:tcW w:w="8221" w:type="dxa"/>
            <w:gridSpan w:val="3"/>
            <w:tcBorders>
              <w:top w:val="nil"/>
              <w:left w:val="nil"/>
              <w:bottom w:val="nil"/>
              <w:right w:val="nil"/>
            </w:tcBorders>
            <w:shd w:val="clear" w:color="auto" w:fill="auto"/>
            <w:tcMar>
              <w:top w:w="288" w:type="dxa"/>
            </w:tcMar>
          </w:tcPr>
          <w:p w:rsidR="007C0528" w:rsidRDefault="002424B3">
            <w:pPr>
              <w:pStyle w:val="MemoHeadingRe"/>
            </w:pPr>
            <w:bookmarkStart w:id="3" w:name="Re"/>
            <w:r>
              <w:t>Docket No. 20220146-PU – Joint application for authority to issue and sell securities for year ending December 31, 2023, by Tampa Electric Company and Peoples Gas System.</w:t>
            </w:r>
            <w:bookmarkEnd w:id="3"/>
          </w:p>
        </w:tc>
      </w:tr>
      <w:tr w:rsidR="007C0528">
        <w:tc>
          <w:tcPr>
            <w:tcW w:w="1254" w:type="dxa"/>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AGENDA:</w:t>
            </w:r>
          </w:p>
        </w:tc>
        <w:tc>
          <w:tcPr>
            <w:tcW w:w="8221" w:type="dxa"/>
            <w:gridSpan w:val="3"/>
            <w:tcBorders>
              <w:top w:val="nil"/>
              <w:left w:val="nil"/>
              <w:bottom w:val="nil"/>
              <w:right w:val="nil"/>
            </w:tcBorders>
            <w:shd w:val="clear" w:color="auto" w:fill="auto"/>
            <w:tcMar>
              <w:top w:w="288" w:type="dxa"/>
            </w:tcMar>
          </w:tcPr>
          <w:p w:rsidR="007C0528" w:rsidRDefault="002424B3" w:rsidP="002424B3">
            <w:pPr>
              <w:pStyle w:val="MemoHeading"/>
            </w:pPr>
            <w:bookmarkStart w:id="4" w:name="AgendaDate"/>
            <w:r>
              <w:t>10/04/22</w:t>
            </w:r>
            <w:bookmarkEnd w:id="4"/>
            <w:r w:rsidR="007C0528">
              <w:t xml:space="preserve"> – </w:t>
            </w:r>
            <w:bookmarkStart w:id="5" w:name="PermittedStatus"/>
            <w:r>
              <w:t xml:space="preserve">Regular Agenda – Final Action </w:t>
            </w:r>
            <w:r w:rsidRPr="002424B3">
              <w:t>–</w:t>
            </w:r>
            <w:r>
              <w:t xml:space="preserve"> Interested Persons May Participate</w:t>
            </w:r>
            <w:bookmarkEnd w:id="5"/>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COMMISSIONERS ASSIGNED:</w:t>
            </w:r>
          </w:p>
        </w:tc>
        <w:tc>
          <w:tcPr>
            <w:tcW w:w="5785" w:type="dxa"/>
            <w:tcBorders>
              <w:top w:val="nil"/>
              <w:left w:val="nil"/>
              <w:bottom w:val="nil"/>
              <w:right w:val="nil"/>
            </w:tcBorders>
            <w:shd w:val="clear" w:color="auto" w:fill="auto"/>
          </w:tcPr>
          <w:p w:rsidR="007C0528" w:rsidRDefault="002424B3">
            <w:pPr>
              <w:pStyle w:val="MemoHeading"/>
            </w:pPr>
            <w:bookmarkStart w:id="6" w:name="CommissionersAssigned"/>
            <w:r>
              <w:t>All Commissioners</w:t>
            </w:r>
            <w:bookmarkEnd w:id="6"/>
          </w:p>
        </w:tc>
      </w:tr>
      <w:tr w:rsidR="007C0528">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r>
              <w:t>PREHEARING OFFICER:</w:t>
            </w:r>
          </w:p>
        </w:tc>
        <w:tc>
          <w:tcPr>
            <w:tcW w:w="5785" w:type="dxa"/>
            <w:tcBorders>
              <w:top w:val="nil"/>
              <w:left w:val="nil"/>
              <w:bottom w:val="nil"/>
              <w:right w:val="nil"/>
            </w:tcBorders>
            <w:shd w:val="clear" w:color="auto" w:fill="auto"/>
          </w:tcPr>
          <w:p w:rsidR="007C0528" w:rsidRDefault="002424B3">
            <w:pPr>
              <w:pStyle w:val="MemoHeading"/>
            </w:pPr>
            <w:bookmarkStart w:id="7" w:name="PrehearingOfficer"/>
            <w:r>
              <w:t>Administrative</w:t>
            </w:r>
            <w:bookmarkEnd w:id="7"/>
          </w:p>
        </w:tc>
      </w:tr>
      <w:tr w:rsidR="007C0528" w:rsidTr="0093658B">
        <w:tc>
          <w:tcPr>
            <w:tcW w:w="3690" w:type="dxa"/>
            <w:gridSpan w:val="3"/>
            <w:tcBorders>
              <w:top w:val="nil"/>
              <w:left w:val="nil"/>
              <w:bottom w:val="nil"/>
              <w:right w:val="nil"/>
            </w:tcBorders>
            <w:shd w:val="clear" w:color="auto" w:fill="auto"/>
            <w:tcMar>
              <w:top w:w="288" w:type="dxa"/>
              <w:bottom w:w="0" w:type="dxa"/>
              <w:right w:w="0" w:type="dxa"/>
            </w:tcMar>
          </w:tcPr>
          <w:p w:rsidR="007C0528" w:rsidRDefault="007C0528" w:rsidP="00506C03">
            <w:pPr>
              <w:pStyle w:val="MemoHeadingLabel"/>
            </w:pPr>
            <w:bookmarkStart w:id="8" w:name="CriticalDatesLabel"/>
            <w:r>
              <w:t>CRITICAL DATES:</w:t>
            </w:r>
            <w:bookmarkEnd w:id="8"/>
          </w:p>
        </w:tc>
        <w:tc>
          <w:tcPr>
            <w:tcW w:w="5785" w:type="dxa"/>
            <w:tcBorders>
              <w:top w:val="nil"/>
              <w:left w:val="nil"/>
              <w:bottom w:val="nil"/>
              <w:right w:val="nil"/>
            </w:tcBorders>
            <w:shd w:val="clear" w:color="auto" w:fill="auto"/>
          </w:tcPr>
          <w:p w:rsidR="007C0528" w:rsidRDefault="002424B3">
            <w:pPr>
              <w:pStyle w:val="MemoHeading"/>
            </w:pPr>
            <w:bookmarkStart w:id="9" w:name="CriticalDates"/>
            <w:r>
              <w:t>None</w:t>
            </w:r>
            <w:bookmarkEnd w:id="9"/>
          </w:p>
        </w:tc>
      </w:tr>
      <w:tr w:rsidR="007C0528" w:rsidTr="0093658B">
        <w:tc>
          <w:tcPr>
            <w:tcW w:w="3690" w:type="dxa"/>
            <w:gridSpan w:val="3"/>
            <w:tcBorders>
              <w:top w:val="nil"/>
              <w:left w:val="nil"/>
              <w:bottom w:val="single" w:sz="24" w:space="0" w:color="auto"/>
              <w:right w:val="nil"/>
            </w:tcBorders>
            <w:shd w:val="clear" w:color="auto" w:fill="auto"/>
            <w:tcMar>
              <w:top w:w="288" w:type="dxa"/>
              <w:bottom w:w="216" w:type="dxa"/>
              <w:right w:w="0" w:type="dxa"/>
            </w:tcMar>
          </w:tcPr>
          <w:p w:rsidR="007C0528" w:rsidRDefault="007C0528" w:rsidP="00506C03">
            <w:pPr>
              <w:pStyle w:val="MemoHeadingLabel"/>
            </w:pPr>
            <w:r>
              <w:t>SPECIAL INSTRUCTIONS:</w:t>
            </w:r>
          </w:p>
        </w:tc>
        <w:tc>
          <w:tcPr>
            <w:tcW w:w="5785" w:type="dxa"/>
            <w:tcBorders>
              <w:top w:val="nil"/>
              <w:left w:val="nil"/>
              <w:bottom w:val="single" w:sz="24" w:space="0" w:color="auto"/>
              <w:right w:val="nil"/>
            </w:tcBorders>
            <w:shd w:val="clear" w:color="auto" w:fill="auto"/>
            <w:tcMar>
              <w:bottom w:w="216" w:type="dxa"/>
            </w:tcMar>
          </w:tcPr>
          <w:p w:rsidR="007C0528" w:rsidRDefault="002424B3">
            <w:pPr>
              <w:pStyle w:val="MemoHeading"/>
            </w:pPr>
            <w:bookmarkStart w:id="10" w:name="SpecialInstructions"/>
            <w:r>
              <w:t>None</w:t>
            </w:r>
            <w:bookmarkEnd w:id="10"/>
          </w:p>
        </w:tc>
      </w:tr>
    </w:tbl>
    <w:p w:rsidR="007C0528" w:rsidRDefault="007C0528">
      <w:pPr>
        <w:pStyle w:val="BodyText"/>
      </w:pPr>
    </w:p>
    <w:p w:rsidR="007C0528" w:rsidRDefault="007C0528">
      <w:pPr>
        <w:pStyle w:val="RecommendationMajorSectionHeading"/>
      </w:pPr>
      <w:bookmarkStart w:id="11" w:name="RecToC"/>
      <w:bookmarkEnd w:id="11"/>
      <w:r>
        <w:t xml:space="preserve"> </w:t>
      </w:r>
      <w:bookmarkStart w:id="12" w:name="CaseBackground"/>
      <w:r>
        <w:t>Case Background</w:t>
      </w:r>
      <w:r>
        <w:fldChar w:fldCharType="begin"/>
      </w:r>
      <w:r>
        <w:instrText xml:space="preserve"> TC  "</w:instrText>
      </w:r>
      <w:r>
        <w:tab/>
      </w:r>
      <w:bookmarkStart w:id="13" w:name="_Toc94516455"/>
      <w:r>
        <w:instrText>Case Background</w:instrText>
      </w:r>
      <w:bookmarkEnd w:id="13"/>
      <w:r>
        <w:instrText xml:space="preserve">" \l 1 </w:instrText>
      </w:r>
      <w:r>
        <w:fldChar w:fldCharType="end"/>
      </w:r>
    </w:p>
    <w:p w:rsidR="0068481F" w:rsidRDefault="002424B3">
      <w:pPr>
        <w:pStyle w:val="BodyText"/>
      </w:pPr>
      <w:r>
        <w:t>On August 24, 2022, Tampa Electric Company (Tampa Electric</w:t>
      </w:r>
      <w:r w:rsidR="00471B20">
        <w:t xml:space="preserve"> or Company</w:t>
      </w:r>
      <w:r>
        <w:t>) filed a joint application with Peoples Gas System (PGS) for authority to issue and sell securities. In its petition, Tampa Electric stated it is preparing to transfer the assets used by its PGS division</w:t>
      </w:r>
      <w:r w:rsidR="00DB304B">
        <w:t xml:space="preserve"> into a separate corporation named Peoples Gas System, Inc.</w:t>
      </w:r>
      <w:r w:rsidR="00915BB2">
        <w:t xml:space="preserve"> (PGS, Inc.).</w:t>
      </w:r>
      <w:r w:rsidR="00DB304B">
        <w:t xml:space="preserve"> </w:t>
      </w:r>
      <w:r w:rsidR="006362C7">
        <w:t>PGS</w:t>
      </w:r>
      <w:r w:rsidR="00DB304B" w:rsidRPr="00DB304B">
        <w:t>, Inc. intends to access the third-party lending market during 2023 but cannot predict when during 2023 that it will do so. To assist its affiliate and to facilitate an orderly transfer of its gas assets, Tampa Electric has agreed to continue to be responsible for providing capital as needed to P</w:t>
      </w:r>
      <w:r w:rsidR="006362C7">
        <w:t>GS</w:t>
      </w:r>
      <w:r w:rsidR="001D5DEB">
        <w:t>, Inc. under an</w:t>
      </w:r>
      <w:r w:rsidR="00DB304B" w:rsidRPr="00DB304B">
        <w:t xml:space="preserve"> Intercompany Debt Agreement until December 31, 2023.</w:t>
      </w:r>
      <w:r w:rsidR="006657F7">
        <w:t xml:space="preserve"> </w:t>
      </w:r>
    </w:p>
    <w:p w:rsidR="006657F7" w:rsidRDefault="006657F7">
      <w:pPr>
        <w:pStyle w:val="BodyText"/>
      </w:pPr>
      <w:r>
        <w:t xml:space="preserve">In its joint application, Tampa Electric </w:t>
      </w:r>
      <w:r w:rsidR="00A9362D">
        <w:t>bifurcated</w:t>
      </w:r>
      <w:r>
        <w:t xml:space="preserve"> its securities application into two separate sections; one for Tampa Electric and another for P</w:t>
      </w:r>
      <w:r w:rsidR="006362C7">
        <w:t>GS</w:t>
      </w:r>
      <w:r>
        <w:t xml:space="preserve">, Inc. </w:t>
      </w:r>
      <w:r w:rsidR="006362C7">
        <w:t>Therefore, in this recommendation, Issue 1 will address Tampa Electric’</w:t>
      </w:r>
      <w:r w:rsidR="00915BB2">
        <w:t>s application,</w:t>
      </w:r>
      <w:r w:rsidR="006362C7">
        <w:t xml:space="preserve"> Issue 2 will address PGS, Inc.’s application</w:t>
      </w:r>
      <w:r w:rsidR="00915BB2">
        <w:t>,</w:t>
      </w:r>
      <w:r w:rsidR="006362C7">
        <w:t xml:space="preserve"> </w:t>
      </w:r>
      <w:r w:rsidR="006362C7">
        <w:lastRenderedPageBreak/>
        <w:t>an</w:t>
      </w:r>
      <w:r w:rsidR="00915BB2">
        <w:t>d</w:t>
      </w:r>
      <w:r w:rsidR="006362C7">
        <w:t xml:space="preserve"> Issue 3 will address the filing of the consummation reports and the closure of this docket.</w:t>
      </w:r>
      <w:r w:rsidR="00B2766F" w:rsidRPr="00B2766F">
        <w:t xml:space="preserve"> To be clear, in this docket the Commission is </w:t>
      </w:r>
      <w:r w:rsidR="00B2766F">
        <w:t>only</w:t>
      </w:r>
      <w:r w:rsidR="00B2766F" w:rsidRPr="00B2766F">
        <w:t xml:space="preserve"> voting on the </w:t>
      </w:r>
      <w:r w:rsidR="00B2766F">
        <w:t xml:space="preserve">legality of the </w:t>
      </w:r>
      <w:r w:rsidR="000E5892">
        <w:t>c</w:t>
      </w:r>
      <w:r w:rsidR="00B2766F" w:rsidRPr="00B2766F">
        <w:t>ompan</w:t>
      </w:r>
      <w:r w:rsidR="000E5892">
        <w:t>ie</w:t>
      </w:r>
      <w:r w:rsidR="00B2766F" w:rsidRPr="00B2766F">
        <w:t>s</w:t>
      </w:r>
      <w:r w:rsidR="000E5892">
        <w:t>’</w:t>
      </w:r>
      <w:r w:rsidR="00B2766F" w:rsidRPr="00B2766F">
        <w:t xml:space="preserve"> securities application and not on the spin-off of PGS</w:t>
      </w:r>
      <w:r w:rsidR="00B2766F">
        <w:t xml:space="preserve">. </w:t>
      </w:r>
    </w:p>
    <w:p w:rsidR="007C0528" w:rsidRDefault="001D5DEB" w:rsidP="00A628B7">
      <w:pPr>
        <w:jc w:val="both"/>
      </w:pPr>
      <w:r>
        <w:t>The Comm</w:t>
      </w:r>
      <w:r w:rsidR="00A628B7">
        <w:t xml:space="preserve">ission has </w:t>
      </w:r>
      <w:r w:rsidR="00A9362D">
        <w:t>jurisdiction</w:t>
      </w:r>
      <w:r w:rsidR="00A628B7">
        <w:t xml:space="preserve"> over the application for authority to issue securities</w:t>
      </w:r>
      <w:r>
        <w:t xml:space="preserve"> pursuant to Section 366.04, Florida Statutes.</w:t>
      </w:r>
      <w:r w:rsidR="00A628B7">
        <w:t>.</w:t>
      </w:r>
    </w:p>
    <w:bookmarkEnd w:id="12"/>
    <w:p w:rsidR="00EA2273" w:rsidRDefault="00EA2273">
      <w:pPr>
        <w:pStyle w:val="RecommendationMajorSectionHeading"/>
        <w:sectPr w:rsidR="00EA2273">
          <w:headerReference w:type="default" r:id="rId8"/>
          <w:footerReference w:type="default" r:id="rId9"/>
          <w:type w:val="continuous"/>
          <w:pgSz w:w="12240" w:h="15840" w:code="1"/>
          <w:pgMar w:top="1584" w:right="1440" w:bottom="1440" w:left="1440" w:header="720" w:footer="720" w:gutter="0"/>
          <w:cols w:space="720"/>
          <w:formProt w:val="0"/>
          <w:titlePg/>
          <w:docGrid w:linePitch="360"/>
        </w:sectPr>
      </w:pPr>
    </w:p>
    <w:p w:rsidR="007C0528" w:rsidRDefault="007C0528">
      <w:pPr>
        <w:pStyle w:val="RecommendationMajorSectionHeading"/>
      </w:pPr>
      <w:bookmarkStart w:id="16" w:name="DiscussionOfIssues"/>
      <w:r>
        <w:lastRenderedPageBreak/>
        <w:t>Discussion of Issues</w:t>
      </w:r>
    </w:p>
    <w:bookmarkEnd w:id="16"/>
    <w:p w:rsidR="001D5DEB" w:rsidRDefault="001D5DEB">
      <w:pPr>
        <w:pStyle w:val="IssueHeading"/>
        <w:rPr>
          <w:vanish/>
          <w:specVanish/>
        </w:rPr>
      </w:pPr>
      <w:r w:rsidRPr="004C3641">
        <w:t xml:space="preserve">Issue </w:t>
      </w:r>
      <w:r w:rsidR="007E694F">
        <w:fldChar w:fldCharType="begin"/>
      </w:r>
      <w:r w:rsidR="007E694F">
        <w:instrText xml:space="preserve"> SEQ Issue \* MERGEFORMAT </w:instrText>
      </w:r>
      <w:r w:rsidR="007E694F">
        <w:fldChar w:fldCharType="separate"/>
      </w:r>
      <w:r w:rsidR="00A9362D">
        <w:rPr>
          <w:noProof/>
        </w:rPr>
        <w:t>1</w:t>
      </w:r>
      <w:r w:rsidR="007E694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A9362D">
        <w:rPr>
          <w:noProof/>
        </w:rPr>
        <w:instrText>1</w:instrText>
      </w:r>
      <w:r>
        <w:fldChar w:fldCharType="end"/>
      </w:r>
      <w:r>
        <w:tab/>
        <w:instrText xml:space="preserve">" \l 1 </w:instrText>
      </w:r>
      <w:r>
        <w:fldChar w:fldCharType="end"/>
      </w:r>
      <w:r>
        <w:t> </w:t>
      </w:r>
    </w:p>
    <w:p w:rsidR="001D5DEB" w:rsidRDefault="001D5DEB">
      <w:pPr>
        <w:pStyle w:val="BodyText"/>
      </w:pPr>
      <w:r>
        <w:t xml:space="preserve"> Should the Commission </w:t>
      </w:r>
      <w:r w:rsidR="006F5F67">
        <w:t>approve</w:t>
      </w:r>
      <w:r>
        <w:t xml:space="preserve"> Tampa Electric Company</w:t>
      </w:r>
      <w:r w:rsidR="006F5F67">
        <w:t>’s application for authority to</w:t>
      </w:r>
      <w:r>
        <w:t xml:space="preserve"> issue and/or sell securities for the calendar year ending December 31, 2023?</w:t>
      </w:r>
    </w:p>
    <w:p w:rsidR="001D5DEB" w:rsidRPr="004C3641" w:rsidRDefault="001D5DEB">
      <w:pPr>
        <w:pStyle w:val="IssueSubsectionHeading"/>
        <w:rPr>
          <w:vanish/>
          <w:specVanish/>
        </w:rPr>
      </w:pPr>
      <w:r w:rsidRPr="004C3641">
        <w:t>Recommendation: </w:t>
      </w:r>
    </w:p>
    <w:p w:rsidR="001D5DEB" w:rsidRDefault="001D5DEB">
      <w:pPr>
        <w:pStyle w:val="BodyText"/>
      </w:pPr>
      <w:r>
        <w:t> Yes. The amount of all equity and long-term debt securities issued during calendar year 2023 should not exceed</w:t>
      </w:r>
      <w:r w:rsidR="00B2766F">
        <w:t xml:space="preserve"> $1.5 b</w:t>
      </w:r>
      <w:r>
        <w:t xml:space="preserve">illion, and the </w:t>
      </w:r>
      <w:r w:rsidR="006657F7">
        <w:t xml:space="preserve">maximum </w:t>
      </w:r>
      <w:r>
        <w:t>amount of short-term debt outstanding at any one time during calendar year 2023 shoul</w:t>
      </w:r>
      <w:r w:rsidR="006657F7">
        <w:t>d not exceed $2.2</w:t>
      </w:r>
      <w:r w:rsidR="00B2766F">
        <w:t xml:space="preserve"> b</w:t>
      </w:r>
      <w:r w:rsidR="006657F7">
        <w:t>illion</w:t>
      </w:r>
      <w:r w:rsidR="006362C7">
        <w:t>.</w:t>
      </w:r>
      <w:r>
        <w:t xml:space="preserve">  (D. Buys)</w:t>
      </w:r>
    </w:p>
    <w:p w:rsidR="001D5DEB" w:rsidRPr="004C3641" w:rsidRDefault="001D5DEB">
      <w:pPr>
        <w:pStyle w:val="IssueSubsectionHeading"/>
        <w:rPr>
          <w:vanish/>
          <w:specVanish/>
        </w:rPr>
      </w:pPr>
      <w:r w:rsidRPr="004C3641">
        <w:t>Staff Analysis: </w:t>
      </w:r>
    </w:p>
    <w:p w:rsidR="00915BB2" w:rsidRDefault="001D5DEB">
      <w:pPr>
        <w:pStyle w:val="BodyText"/>
      </w:pPr>
      <w:r>
        <w:t> </w:t>
      </w:r>
      <w:r w:rsidR="006657F7">
        <w:t xml:space="preserve">In its joint application with PGS to issue securities during calendar year 2023, Tampa Electric </w:t>
      </w:r>
      <w:r w:rsidR="006362C7">
        <w:t>stated that on January 1, 2023, the Company</w:t>
      </w:r>
      <w:r w:rsidR="006657F7">
        <w:t xml:space="preserve"> </w:t>
      </w:r>
      <w:r w:rsidR="006362C7" w:rsidRPr="006362C7">
        <w:t>is p</w:t>
      </w:r>
      <w:r w:rsidR="006362C7">
        <w:t>lanning</w:t>
      </w:r>
      <w:r w:rsidR="006362C7" w:rsidRPr="006362C7">
        <w:t xml:space="preserve"> to transfer the assets, liabilities, and </w:t>
      </w:r>
      <w:r w:rsidR="00A965F6">
        <w:t>equity that have been recorded o</w:t>
      </w:r>
      <w:r w:rsidR="006362C7" w:rsidRPr="006362C7">
        <w:t xml:space="preserve">n the books </w:t>
      </w:r>
      <w:r w:rsidR="006362C7">
        <w:t xml:space="preserve">of its </w:t>
      </w:r>
      <w:r w:rsidR="006362C7" w:rsidRPr="006362C7">
        <w:t>PGS</w:t>
      </w:r>
      <w:r w:rsidR="006362C7">
        <w:t xml:space="preserve"> </w:t>
      </w:r>
      <w:r w:rsidR="006362C7" w:rsidRPr="006362C7">
        <w:t>division into a separate corporation called Peoples Gas System, Inc.</w:t>
      </w:r>
      <w:r w:rsidR="006362C7">
        <w:t xml:space="preserve"> The new company will</w:t>
      </w:r>
      <w:r w:rsidR="006362C7" w:rsidRPr="006362C7">
        <w:t xml:space="preserve"> be a wholly owned subsidiary of a newly formed gas operations holding company, TECO Gas Operations, Inc., which would be a subsidiary of TECO Energy, Inc.</w:t>
      </w:r>
      <w:r w:rsidR="006362C7">
        <w:t xml:space="preserve"> </w:t>
      </w:r>
    </w:p>
    <w:p w:rsidR="001D5DEB" w:rsidRDefault="006362C7">
      <w:pPr>
        <w:pStyle w:val="BodyText"/>
      </w:pPr>
      <w:r w:rsidRPr="006362C7">
        <w:t>Included in the liabilities transferred will be PGS’s allocation of outstanding unsecured notes issued by Tampa Electric and outstanding short-term borrowings that are planned to be converted into an Intercompany Debt Agreement with Tampa Electric, with interest rates on each allocation being maintained accordingly. During 2023, Tampa Electric will provide additional short-term debt funding to P</w:t>
      </w:r>
      <w:r w:rsidR="00915BB2">
        <w:t>GS</w:t>
      </w:r>
      <w:r w:rsidRPr="006362C7">
        <w:t>, Inc. through the Intercompany Debt Agreement at Tampa Electric’s prevailing cost of short-term debt borrowings. The Intercompany Debt Agreement will remain outstanding until P</w:t>
      </w:r>
      <w:r w:rsidR="00915BB2">
        <w:t>G</w:t>
      </w:r>
      <w:r w:rsidRPr="006362C7">
        <w:t>S, Inc. pays Tampa Electric all principal and interest due on the Intercompany Debt Agreement</w:t>
      </w:r>
      <w:r w:rsidR="00A965F6">
        <w:t>. PGS, Inc. plans on paying off the debt associated with the Intercompany Debt Agreement in 2023 by issuing its own long-term and short-term debt.</w:t>
      </w:r>
      <w:r w:rsidRPr="006362C7">
        <w:t xml:space="preserve"> The initial obligation of P</w:t>
      </w:r>
      <w:r w:rsidR="00915BB2">
        <w:t>GS</w:t>
      </w:r>
      <w:r w:rsidRPr="006362C7">
        <w:t>, Inc. under the Intercompany Debt Agreement is expected to be approximately $800 million. The total amount of borrowing</w:t>
      </w:r>
      <w:r w:rsidR="002371C2">
        <w:t xml:space="preserve"> available to PGS</w:t>
      </w:r>
      <w:r w:rsidRPr="006362C7">
        <w:t>, Inc. under the Intercompany Debt Agreement will be approximately $1.2 billion</w:t>
      </w:r>
      <w:r w:rsidR="00915BB2">
        <w:t>.</w:t>
      </w:r>
    </w:p>
    <w:p w:rsidR="00E4309E" w:rsidRDefault="00E4309E" w:rsidP="00E275D8">
      <w:pPr>
        <w:pStyle w:val="BodyText"/>
      </w:pPr>
      <w:r>
        <w:t>Tampa Electric request</w:t>
      </w:r>
      <w:r w:rsidRPr="00E4309E">
        <w:t>s the authority to issue, sell and/or exchange equity securities and</w:t>
      </w:r>
      <w:r>
        <w:t xml:space="preserve"> </w:t>
      </w:r>
      <w:r w:rsidRPr="00E4309E">
        <w:t>issue, sell, exchange and/or assume long-term or short-term debt securities and/or to assume liabilities or obligations as guaranto</w:t>
      </w:r>
      <w:r>
        <w:t>r, endorser or surety during calendar year 2023.</w:t>
      </w:r>
      <w:r w:rsidRPr="00E4309E">
        <w:t xml:space="preserve"> The Company also seeks authority to enter into interest rate swaps or other derivative instruments related to debt securities. Any exercise of the requested authority will be for the benefit of the </w:t>
      </w:r>
      <w:r>
        <w:t>Tampa Electric</w:t>
      </w:r>
      <w:r w:rsidRPr="00E4309E">
        <w:t xml:space="preserve"> or its affiliate P</w:t>
      </w:r>
      <w:r>
        <w:t xml:space="preserve">GS, Inc. </w:t>
      </w:r>
      <w:r w:rsidR="002371C2">
        <w:t>under the Interc</w:t>
      </w:r>
      <w:r w:rsidRPr="00E4309E">
        <w:t xml:space="preserve">ompany Debt Agreement. </w:t>
      </w:r>
    </w:p>
    <w:p w:rsidR="00E4309E" w:rsidRDefault="00E4309E" w:rsidP="00E275D8">
      <w:pPr>
        <w:pStyle w:val="BodyText"/>
      </w:pPr>
      <w:r w:rsidRPr="00E4309E">
        <w:t>The amount of all equity and long-term debt securities issued, sold, exchanged, or assumed and liabilities and obligations assumed or guaranteed as gua</w:t>
      </w:r>
      <w:r w:rsidR="002371C2">
        <w:t>rantor, endorser, or surety should</w:t>
      </w:r>
      <w:r w:rsidRPr="00E4309E">
        <w:t xml:space="preserve"> not exceed in the aggregate $1.5 billion during the </w:t>
      </w:r>
      <w:r>
        <w:t>calendar year 2023</w:t>
      </w:r>
      <w:r w:rsidRPr="00E4309E">
        <w:t>, including any amounts issued to retire existing long-term debt securities. The maximum amount o</w:t>
      </w:r>
      <w:r>
        <w:t xml:space="preserve">f short-term debt </w:t>
      </w:r>
      <w:r w:rsidRPr="00E4309E">
        <w:t>outstanding at any one time</w:t>
      </w:r>
      <w:r w:rsidR="002371C2">
        <w:t xml:space="preserve"> during calendar year 2023</w:t>
      </w:r>
      <w:r w:rsidRPr="00E4309E">
        <w:t xml:space="preserve"> </w:t>
      </w:r>
      <w:r w:rsidR="00A965F6">
        <w:t>will not exceed</w:t>
      </w:r>
      <w:r w:rsidRPr="00E4309E">
        <w:t xml:space="preserve"> $2.2 billion</w:t>
      </w:r>
      <w:r w:rsidR="002371C2">
        <w:t>.</w:t>
      </w:r>
    </w:p>
    <w:p w:rsidR="00E06484" w:rsidRDefault="00E4309E" w:rsidP="00E275D8">
      <w:pPr>
        <w:pStyle w:val="BodyText"/>
      </w:pPr>
      <w:r w:rsidRPr="00E4309E">
        <w:t xml:space="preserve">In connection with this application, the Company confirms that the capital raised pursuant to this </w:t>
      </w:r>
      <w:r w:rsidR="00A9362D" w:rsidRPr="00E4309E">
        <w:t>application will</w:t>
      </w:r>
      <w:r w:rsidRPr="00E4309E">
        <w:t xml:space="preserve"> be used in connection with the activities of the Company’s regulated electric and gas divisions, or its affiliate P</w:t>
      </w:r>
      <w:r>
        <w:t>GS, Inc.</w:t>
      </w:r>
      <w:r w:rsidRPr="00E4309E">
        <w:t xml:space="preserve"> under the Intercompany Debt Agreement, and not the unregulated activities of the utilities or their affiliates</w:t>
      </w:r>
      <w:r>
        <w:t>.</w:t>
      </w:r>
    </w:p>
    <w:p w:rsidR="002371C2" w:rsidRDefault="002371C2">
      <w:pPr>
        <w:pStyle w:val="IssueHeading"/>
        <w:rPr>
          <w:vanish/>
          <w:specVanish/>
        </w:rPr>
      </w:pPr>
      <w:r w:rsidRPr="006F5F67">
        <w:rPr>
          <w:rFonts w:ascii="Times New Roman" w:hAnsi="Times New Roman" w:cs="Times New Roman"/>
          <w:b w:val="0"/>
          <w:bCs w:val="0"/>
          <w:i w:val="0"/>
          <w:kern w:val="0"/>
          <w:szCs w:val="24"/>
        </w:rPr>
        <w:t xml:space="preserve">Staff has reviewed Tampa Electric’s projected capital expenditures. Tampa Electric’s </w:t>
      </w:r>
      <w:r w:rsidR="00A628B7">
        <w:rPr>
          <w:rFonts w:ascii="Times New Roman" w:hAnsi="Times New Roman" w:cs="Times New Roman"/>
          <w:b w:val="0"/>
          <w:bCs w:val="0"/>
          <w:i w:val="0"/>
          <w:kern w:val="0"/>
          <w:szCs w:val="24"/>
        </w:rPr>
        <w:t xml:space="preserve">projected </w:t>
      </w:r>
      <w:r w:rsidRPr="006F5F67">
        <w:rPr>
          <w:rFonts w:ascii="Times New Roman" w:hAnsi="Times New Roman" w:cs="Times New Roman"/>
          <w:b w:val="0"/>
          <w:bCs w:val="0"/>
          <w:i w:val="0"/>
          <w:kern w:val="0"/>
          <w:szCs w:val="24"/>
        </w:rPr>
        <w:t>construction budget for 2023 is $1.151 billion. The amount requested by the Company  ($</w:t>
      </w:r>
      <w:r w:rsidR="00480AE1">
        <w:rPr>
          <w:rFonts w:ascii="Times New Roman" w:hAnsi="Times New Roman" w:cs="Times New Roman"/>
          <w:b w:val="0"/>
          <w:bCs w:val="0"/>
          <w:i w:val="0"/>
          <w:kern w:val="0"/>
          <w:szCs w:val="24"/>
        </w:rPr>
        <w:t>3.7</w:t>
      </w:r>
      <w:r w:rsidR="00A628B7">
        <w:rPr>
          <w:rFonts w:ascii="Times New Roman" w:hAnsi="Times New Roman" w:cs="Times New Roman"/>
          <w:b w:val="0"/>
          <w:bCs w:val="0"/>
          <w:i w:val="0"/>
          <w:kern w:val="0"/>
          <w:szCs w:val="24"/>
        </w:rPr>
        <w:t xml:space="preserve"> b</w:t>
      </w:r>
      <w:r w:rsidRPr="006F5F67">
        <w:rPr>
          <w:rFonts w:ascii="Times New Roman" w:hAnsi="Times New Roman" w:cs="Times New Roman"/>
          <w:b w:val="0"/>
          <w:bCs w:val="0"/>
          <w:i w:val="0"/>
          <w:kern w:val="0"/>
          <w:szCs w:val="24"/>
        </w:rPr>
        <w:t>illion) exceeds its projected capital expenditures ($1.151 billion in 2023). The additional amount requested exceeding the projected capital budget expenditures allows for</w:t>
      </w:r>
      <w:r w:rsidR="00480AE1">
        <w:rPr>
          <w:rFonts w:ascii="Times New Roman" w:hAnsi="Times New Roman" w:cs="Times New Roman"/>
          <w:b w:val="0"/>
          <w:bCs w:val="0"/>
          <w:i w:val="0"/>
          <w:kern w:val="0"/>
          <w:szCs w:val="24"/>
        </w:rPr>
        <w:t xml:space="preserve"> funding </w:t>
      </w:r>
      <w:r w:rsidR="00A628B7">
        <w:rPr>
          <w:rFonts w:ascii="Times New Roman" w:hAnsi="Times New Roman" w:cs="Times New Roman"/>
          <w:b w:val="0"/>
          <w:bCs w:val="0"/>
          <w:i w:val="0"/>
          <w:kern w:val="0"/>
          <w:szCs w:val="24"/>
        </w:rPr>
        <w:t xml:space="preserve">of </w:t>
      </w:r>
      <w:r w:rsidR="00480AE1">
        <w:rPr>
          <w:rFonts w:ascii="Times New Roman" w:hAnsi="Times New Roman" w:cs="Times New Roman"/>
          <w:b w:val="0"/>
          <w:bCs w:val="0"/>
          <w:i w:val="0"/>
          <w:kern w:val="0"/>
          <w:szCs w:val="24"/>
        </w:rPr>
        <w:t>the Interc</w:t>
      </w:r>
      <w:r w:rsidR="00A628B7">
        <w:rPr>
          <w:rFonts w:ascii="Times New Roman" w:hAnsi="Times New Roman" w:cs="Times New Roman"/>
          <w:b w:val="0"/>
          <w:bCs w:val="0"/>
          <w:i w:val="0"/>
          <w:kern w:val="0"/>
          <w:szCs w:val="24"/>
        </w:rPr>
        <w:t xml:space="preserve">ompany Debt Agreement with PGS, </w:t>
      </w:r>
      <w:r w:rsidR="00480AE1">
        <w:rPr>
          <w:rFonts w:ascii="Times New Roman" w:hAnsi="Times New Roman" w:cs="Times New Roman"/>
          <w:b w:val="0"/>
          <w:bCs w:val="0"/>
          <w:i w:val="0"/>
          <w:kern w:val="0"/>
          <w:szCs w:val="24"/>
        </w:rPr>
        <w:t>Inc. ($800 million) and</w:t>
      </w:r>
      <w:r w:rsidRPr="006F5F67">
        <w:rPr>
          <w:rFonts w:ascii="Times New Roman" w:hAnsi="Times New Roman" w:cs="Times New Roman"/>
          <w:b w:val="0"/>
          <w:bCs w:val="0"/>
          <w:i w:val="0"/>
          <w:kern w:val="0"/>
          <w:szCs w:val="24"/>
        </w:rPr>
        <w:t xml:space="preserve"> financial flexibility for unexpected events such as hurricanes, financial market disruptions, and other unforeseen circumstances. Staff believes the requested amounts are appropriate. Staff recommends Tampa Electric’s </w:t>
      </w:r>
      <w:r w:rsidR="00C61011">
        <w:rPr>
          <w:rFonts w:ascii="Times New Roman" w:hAnsi="Times New Roman" w:cs="Times New Roman"/>
          <w:b w:val="0"/>
          <w:bCs w:val="0"/>
          <w:i w:val="0"/>
          <w:kern w:val="0"/>
          <w:szCs w:val="24"/>
        </w:rPr>
        <w:t xml:space="preserve">application for authority to </w:t>
      </w:r>
      <w:r w:rsidRPr="006F5F67">
        <w:rPr>
          <w:rFonts w:ascii="Times New Roman" w:hAnsi="Times New Roman" w:cs="Times New Roman"/>
          <w:b w:val="0"/>
          <w:bCs w:val="0"/>
          <w:i w:val="0"/>
          <w:kern w:val="0"/>
          <w:szCs w:val="24"/>
        </w:rPr>
        <w:t>issue securities</w:t>
      </w:r>
      <w:r w:rsidR="00DD6C26">
        <w:rPr>
          <w:rFonts w:ascii="Times New Roman" w:hAnsi="Times New Roman" w:cs="Times New Roman"/>
          <w:b w:val="0"/>
          <w:bCs w:val="0"/>
          <w:i w:val="0"/>
          <w:kern w:val="0"/>
          <w:szCs w:val="24"/>
        </w:rPr>
        <w:t xml:space="preserve"> during</w:t>
      </w:r>
      <w:r w:rsidR="00C61011">
        <w:rPr>
          <w:rFonts w:ascii="Times New Roman" w:hAnsi="Times New Roman" w:cs="Times New Roman"/>
          <w:b w:val="0"/>
          <w:bCs w:val="0"/>
          <w:i w:val="0"/>
          <w:kern w:val="0"/>
          <w:szCs w:val="24"/>
        </w:rPr>
        <w:t xml:space="preserve"> </w:t>
      </w:r>
      <w:r w:rsidR="00A9362D">
        <w:rPr>
          <w:rFonts w:ascii="Times New Roman" w:hAnsi="Times New Roman" w:cs="Times New Roman"/>
          <w:b w:val="0"/>
          <w:bCs w:val="0"/>
          <w:i w:val="0"/>
          <w:kern w:val="0"/>
          <w:szCs w:val="24"/>
        </w:rPr>
        <w:t>calendar</w:t>
      </w:r>
      <w:r w:rsidR="00C61011">
        <w:rPr>
          <w:rFonts w:ascii="Times New Roman" w:hAnsi="Times New Roman" w:cs="Times New Roman"/>
          <w:b w:val="0"/>
          <w:bCs w:val="0"/>
          <w:i w:val="0"/>
          <w:kern w:val="0"/>
          <w:szCs w:val="24"/>
        </w:rPr>
        <w:t xml:space="preserve"> year 2023</w:t>
      </w:r>
      <w:r w:rsidRPr="006F5F67">
        <w:rPr>
          <w:rFonts w:ascii="Times New Roman" w:hAnsi="Times New Roman" w:cs="Times New Roman"/>
          <w:b w:val="0"/>
          <w:bCs w:val="0"/>
          <w:i w:val="0"/>
          <w:kern w:val="0"/>
          <w:szCs w:val="24"/>
        </w:rPr>
        <w:t xml:space="preserve"> be approved</w:t>
      </w:r>
      <w:r w:rsidR="006F5F67">
        <w:rPr>
          <w:rFonts w:ascii="Times New Roman" w:hAnsi="Times New Roman" w:cs="Times New Roman"/>
          <w:b w:val="0"/>
          <w:bCs w:val="0"/>
          <w:i w:val="0"/>
          <w:kern w:val="0"/>
          <w:szCs w:val="24"/>
        </w:rPr>
        <w:t>.</w:t>
      </w:r>
      <w:r w:rsidRPr="004C3641">
        <w:rPr>
          <w:b w:val="0"/>
          <w:i w:val="0"/>
        </w:rPr>
        <w:br w:type="page"/>
      </w:r>
      <w:r w:rsidRPr="004C3641">
        <w:t xml:space="preserve">Issue </w:t>
      </w:r>
      <w:r w:rsidR="007E694F">
        <w:fldChar w:fldCharType="begin"/>
      </w:r>
      <w:r w:rsidR="007E694F">
        <w:instrText xml:space="preserve"> SEQ Issue \* MERGEFORMAT </w:instrText>
      </w:r>
      <w:r w:rsidR="007E694F">
        <w:fldChar w:fldCharType="separate"/>
      </w:r>
      <w:r w:rsidR="00A9362D">
        <w:rPr>
          <w:noProof/>
        </w:rPr>
        <w:t>2</w:t>
      </w:r>
      <w:r w:rsidR="007E694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A9362D">
        <w:rPr>
          <w:noProof/>
        </w:rPr>
        <w:instrText>2</w:instrText>
      </w:r>
      <w:r>
        <w:fldChar w:fldCharType="end"/>
      </w:r>
      <w:r>
        <w:tab/>
        <w:instrText xml:space="preserve">" \l 1 </w:instrText>
      </w:r>
      <w:r>
        <w:fldChar w:fldCharType="end"/>
      </w:r>
      <w:r>
        <w:t> </w:t>
      </w:r>
    </w:p>
    <w:p w:rsidR="002371C2" w:rsidRDefault="002371C2">
      <w:pPr>
        <w:pStyle w:val="BodyText"/>
      </w:pPr>
      <w:r>
        <w:t> </w:t>
      </w:r>
      <w:r w:rsidR="006F5F67" w:rsidRPr="006F5F67">
        <w:t xml:space="preserve">Should the Commission </w:t>
      </w:r>
      <w:r w:rsidR="006F5F67">
        <w:t>approve Peoples Gas System, Inc.’s application for authority</w:t>
      </w:r>
      <w:r w:rsidR="006F5F67" w:rsidRPr="006F5F67">
        <w:t xml:space="preserve"> to issue and/or sell securities for the calendar year ending December 31, 2023</w:t>
      </w:r>
      <w:r w:rsidR="006F5F67">
        <w:t>.</w:t>
      </w:r>
    </w:p>
    <w:p w:rsidR="002371C2" w:rsidRPr="006F5F67" w:rsidRDefault="002371C2">
      <w:pPr>
        <w:pStyle w:val="IssueSubsectionHeading"/>
        <w:rPr>
          <w:b w:val="0"/>
          <w:i w:val="0"/>
          <w:vanish/>
          <w:specVanish/>
        </w:rPr>
      </w:pPr>
      <w:r w:rsidRPr="004C3641">
        <w:t>Recommendation: </w:t>
      </w:r>
    </w:p>
    <w:p w:rsidR="006F5F67" w:rsidRPr="006F5F67" w:rsidRDefault="006F5F67">
      <w:pPr>
        <w:pStyle w:val="IssueSubsectionHeading"/>
        <w:rPr>
          <w:rFonts w:ascii="Times New Roman" w:hAnsi="Times New Roman" w:cs="Times New Roman"/>
          <w:b w:val="0"/>
          <w:i w:val="0"/>
        </w:rPr>
      </w:pPr>
      <w:r w:rsidRPr="006F5F67">
        <w:rPr>
          <w:rFonts w:ascii="Times New Roman" w:hAnsi="Times New Roman" w:cs="Times New Roman"/>
          <w:b w:val="0"/>
          <w:i w:val="0"/>
        </w:rPr>
        <w:t>Yes. The amount of all equity and long-term debt securities issued during calendar year 2023 should not exceed $1.</w:t>
      </w:r>
      <w:r>
        <w:rPr>
          <w:rFonts w:ascii="Times New Roman" w:hAnsi="Times New Roman" w:cs="Times New Roman"/>
          <w:b w:val="0"/>
          <w:i w:val="0"/>
        </w:rPr>
        <w:t>4</w:t>
      </w:r>
      <w:r w:rsidR="00A628B7">
        <w:rPr>
          <w:rFonts w:ascii="Times New Roman" w:hAnsi="Times New Roman" w:cs="Times New Roman"/>
          <w:b w:val="0"/>
          <w:i w:val="0"/>
        </w:rPr>
        <w:t xml:space="preserve"> b</w:t>
      </w:r>
      <w:r w:rsidRPr="006F5F67">
        <w:rPr>
          <w:rFonts w:ascii="Times New Roman" w:hAnsi="Times New Roman" w:cs="Times New Roman"/>
          <w:b w:val="0"/>
          <w:i w:val="0"/>
        </w:rPr>
        <w:t>illion, and the maximum amount of short-term debt outstanding at any one time during calendar year 2023 should not exceed $</w:t>
      </w:r>
      <w:r>
        <w:rPr>
          <w:rFonts w:ascii="Times New Roman" w:hAnsi="Times New Roman" w:cs="Times New Roman"/>
          <w:b w:val="0"/>
          <w:i w:val="0"/>
        </w:rPr>
        <w:t>1.2</w:t>
      </w:r>
      <w:r w:rsidR="00A628B7">
        <w:rPr>
          <w:rFonts w:ascii="Times New Roman" w:hAnsi="Times New Roman" w:cs="Times New Roman"/>
          <w:b w:val="0"/>
          <w:i w:val="0"/>
        </w:rPr>
        <w:t xml:space="preserve"> b</w:t>
      </w:r>
      <w:r w:rsidRPr="006F5F67">
        <w:rPr>
          <w:rFonts w:ascii="Times New Roman" w:hAnsi="Times New Roman" w:cs="Times New Roman"/>
          <w:b w:val="0"/>
          <w:i w:val="0"/>
        </w:rPr>
        <w:t>illion.</w:t>
      </w:r>
      <w:r w:rsidR="00E57E79">
        <w:rPr>
          <w:rFonts w:ascii="Times New Roman" w:hAnsi="Times New Roman" w:cs="Times New Roman"/>
          <w:b w:val="0"/>
          <w:i w:val="0"/>
        </w:rPr>
        <w:t xml:space="preserve"> (D. Buys)</w:t>
      </w:r>
    </w:p>
    <w:p w:rsidR="002371C2" w:rsidRPr="004C3641" w:rsidRDefault="002371C2">
      <w:pPr>
        <w:pStyle w:val="IssueSubsectionHeading"/>
        <w:rPr>
          <w:vanish/>
          <w:specVanish/>
        </w:rPr>
      </w:pPr>
      <w:r w:rsidRPr="004C3641">
        <w:t>Staff Analysis: </w:t>
      </w:r>
    </w:p>
    <w:p w:rsidR="00377936" w:rsidRDefault="002371C2">
      <w:pPr>
        <w:pStyle w:val="BodyText"/>
      </w:pPr>
      <w:r>
        <w:t> </w:t>
      </w:r>
      <w:r w:rsidR="00377936">
        <w:t>As discussed in Issue 1, on January 1, 2023, P</w:t>
      </w:r>
      <w:r w:rsidR="00A628B7">
        <w:t>GS, Inc.</w:t>
      </w:r>
      <w:r w:rsidR="00377936">
        <w:t>, a new wholly owned subsidiary of TECO Energy, Inc.</w:t>
      </w:r>
      <w:r w:rsidR="00B2766F">
        <w:t>,</w:t>
      </w:r>
      <w:r w:rsidR="00377936">
        <w:t xml:space="preserve"> is planned to be established and </w:t>
      </w:r>
      <w:r w:rsidR="00377936" w:rsidRPr="00377936">
        <w:t xml:space="preserve">the assets, liabilities, and equity that have been recorded </w:t>
      </w:r>
      <w:r w:rsidR="00B2766F">
        <w:t>o</w:t>
      </w:r>
      <w:r w:rsidR="00377936" w:rsidRPr="00377936">
        <w:t>n the books of PGS and reported in its Annual Report to the Florida Public Service Commission and Earnings Surveillance Reports are planned to be legally moved from Tampa Electric to the newly formed Peoples Gas System, Inc.</w:t>
      </w:r>
      <w:r w:rsidR="00377936">
        <w:t xml:space="preserve"> </w:t>
      </w:r>
      <w:r w:rsidR="00377936" w:rsidRPr="00377936">
        <w:t>During 2023, short-term debt funding will be provided to P</w:t>
      </w:r>
      <w:r w:rsidR="00A628B7">
        <w:t>GS, Inc. through an</w:t>
      </w:r>
      <w:r w:rsidR="00377936" w:rsidRPr="00377936">
        <w:t xml:space="preserve"> Intercompany Debt Agreement at Tampa Electric’s prevailing cost of short-term debt. The Intercompany Debt Agreement will remain outstanding until P</w:t>
      </w:r>
      <w:r w:rsidR="00A628B7">
        <w:t>GS</w:t>
      </w:r>
      <w:r w:rsidR="00377936" w:rsidRPr="00377936">
        <w:t>, Inc. pays Tampa Electric all principal and interest due on the Intercompany Debt Agreement</w:t>
      </w:r>
      <w:r w:rsidR="00A965F6">
        <w:t>. PGS, Inc. plans on paying off the debt associated with the Intercompany Debt Agreement in 2023 by issuing its own long-term and short-term debt</w:t>
      </w:r>
      <w:r w:rsidR="00377936">
        <w:t>.</w:t>
      </w:r>
      <w:r w:rsidR="00377936" w:rsidRPr="00377936">
        <w:t xml:space="preserve"> </w:t>
      </w:r>
    </w:p>
    <w:p w:rsidR="002371C2" w:rsidRDefault="00377936">
      <w:pPr>
        <w:pStyle w:val="BodyText"/>
      </w:pPr>
      <w:r w:rsidRPr="00377936">
        <w:t>The initial obligation of P</w:t>
      </w:r>
      <w:r w:rsidR="00A628B7">
        <w:t>GS</w:t>
      </w:r>
      <w:r w:rsidRPr="00377936">
        <w:t>, Inc. under the Intercompany Debt Agreement is expected to be approximately $800 million. P</w:t>
      </w:r>
      <w:r w:rsidR="00A628B7">
        <w:t>GS</w:t>
      </w:r>
      <w:r w:rsidRPr="00377936">
        <w:t>, Inc. intends to access the third-party lending market during 2023 but can</w:t>
      </w:r>
      <w:r w:rsidR="00A965F6">
        <w:t>not predict when during 2023</w:t>
      </w:r>
      <w:r w:rsidRPr="00377936">
        <w:t xml:space="preserve"> it will do so. If</w:t>
      </w:r>
      <w:r w:rsidR="00A628B7">
        <w:t xml:space="preserve"> </w:t>
      </w:r>
      <w:r w:rsidRPr="00377936">
        <w:t>necessary, P</w:t>
      </w:r>
      <w:r w:rsidR="00A628B7">
        <w:t>GS</w:t>
      </w:r>
      <w:r w:rsidRPr="00377936">
        <w:t>, Inc. may obtain temporary short-term bank borrowings (used to retire the Intercompany Debt Agreement principal and interest) that would be replaced with a combination of long-term debt and short-term debt borrowings</w:t>
      </w:r>
      <w:r>
        <w:t>.</w:t>
      </w:r>
    </w:p>
    <w:p w:rsidR="00377936" w:rsidRDefault="00377936">
      <w:pPr>
        <w:pStyle w:val="BodyText"/>
      </w:pPr>
      <w:r w:rsidRPr="00377936">
        <w:t>P</w:t>
      </w:r>
      <w:r w:rsidR="00C61011">
        <w:t>GS, Inc., through Tampa Electric, requests</w:t>
      </w:r>
      <w:r w:rsidRPr="00377936">
        <w:t xml:space="preserve"> the authority to issue, sell, and/or exchange equity securities and issue, sell, exchange, and/or assume long-term or short-term debt securities and/or to assume liabilities or obligations as guarantor, endorser or surety during the period covered by this Application. P</w:t>
      </w:r>
      <w:r w:rsidR="00C61011">
        <w:t>GS</w:t>
      </w:r>
      <w:r w:rsidRPr="00377936">
        <w:t xml:space="preserve">, Inc. also </w:t>
      </w:r>
      <w:r w:rsidR="00C61011">
        <w:t>requests</w:t>
      </w:r>
      <w:r w:rsidRPr="00377936">
        <w:t xml:space="preserve"> authority to enter into interest rate swaps or other derivative instruments related to debt securities. Any exercise of the requested authority</w:t>
      </w:r>
      <w:r w:rsidR="00A965F6">
        <w:t xml:space="preserve"> will be for the benefit of </w:t>
      </w:r>
      <w:r w:rsidRPr="00377936">
        <w:t>P</w:t>
      </w:r>
      <w:r w:rsidR="00C61011">
        <w:t>GS</w:t>
      </w:r>
      <w:r w:rsidRPr="00377936">
        <w:t xml:space="preserve">, Inc. </w:t>
      </w:r>
    </w:p>
    <w:p w:rsidR="00377936" w:rsidRDefault="00377936">
      <w:pPr>
        <w:pStyle w:val="BodyText"/>
      </w:pPr>
      <w:r w:rsidRPr="00377936">
        <w:t>In connection with this application, P</w:t>
      </w:r>
      <w:r w:rsidR="00C61011">
        <w:t>GS</w:t>
      </w:r>
      <w:r w:rsidRPr="00377936">
        <w:t>, Inc. confirms that the capital raised pursuant to this application will be used in connection with the activities of P</w:t>
      </w:r>
      <w:r w:rsidR="00C61011">
        <w:t>GS</w:t>
      </w:r>
      <w:r w:rsidRPr="00377936">
        <w:t>, Inc.’s regulated gas distribution services and not the unregulated activities of the utility or its affiliates</w:t>
      </w:r>
    </w:p>
    <w:p w:rsidR="002371C2" w:rsidRDefault="00480AE1" w:rsidP="00E275D8">
      <w:pPr>
        <w:pStyle w:val="BodyText"/>
      </w:pPr>
      <w:r w:rsidRPr="00480AE1">
        <w:t>The amount of equity (excluding equity moved from Tampa Electric to</w:t>
      </w:r>
      <w:r w:rsidR="00B2766F">
        <w:t xml:space="preserve"> the</w:t>
      </w:r>
      <w:r w:rsidRPr="00480AE1">
        <w:t xml:space="preserve"> new Peoples Gas System, Inc. on January 1, 2023, as described above) and long-term debt securities issued, sold, exchanged, or assumed and liabilities and obligations assumed or guaranteed as guarantor, endorser, or surety (excluding the initial obligation assumed by P</w:t>
      </w:r>
      <w:r w:rsidR="00C61011">
        <w:t>GS</w:t>
      </w:r>
      <w:r w:rsidRPr="00480AE1">
        <w:t>, Inc. on January 1, 2023 under the Intercompany Debt Agreement of approximately $800 million) will not exceed in the aggregate $1.4 billion during the period covered by this Application</w:t>
      </w:r>
      <w:r w:rsidR="004A5769">
        <w:t xml:space="preserve"> (2023)</w:t>
      </w:r>
      <w:r w:rsidRPr="00480AE1">
        <w:t>, including any amounts issued to retire the Intercompany Debt Agreement with Tampa Electric and amounts needed for potential long-term emergency funding. The maximum amount of short-term debt, as described above to potentially retire the Intercompany Debt Agreement with Tampa Electric, outstanding at any one time and to avail P</w:t>
      </w:r>
      <w:r w:rsidR="00C61011">
        <w:t>GS</w:t>
      </w:r>
      <w:r w:rsidRPr="00480AE1">
        <w:t>, Inc. of short</w:t>
      </w:r>
      <w:r>
        <w:t>-</w:t>
      </w:r>
      <w:r w:rsidRPr="00480AE1">
        <w:t>term emergency fun</w:t>
      </w:r>
      <w:r w:rsidR="00A965F6">
        <w:t>ding and other purposes, will not exceed</w:t>
      </w:r>
      <w:r w:rsidRPr="00480AE1">
        <w:t xml:space="preserve"> $1.2 billion</w:t>
      </w:r>
      <w:r>
        <w:t>.</w:t>
      </w:r>
    </w:p>
    <w:p w:rsidR="00480AE1" w:rsidRDefault="00480AE1">
      <w:pPr>
        <w:pStyle w:val="IssueHeading"/>
        <w:rPr>
          <w:vanish/>
          <w:specVanish/>
        </w:rPr>
      </w:pPr>
      <w:r w:rsidRPr="00480AE1">
        <w:rPr>
          <w:rFonts w:ascii="Times New Roman" w:hAnsi="Times New Roman" w:cs="Times New Roman"/>
          <w:b w:val="0"/>
          <w:bCs w:val="0"/>
          <w:i w:val="0"/>
          <w:kern w:val="0"/>
          <w:szCs w:val="24"/>
        </w:rPr>
        <w:t>Staff has reviewed PGS, Inc.’s request and its projected capital expenditures. PGS Inc.’s projected construction budget for 2023 is $333 million. The amount req</w:t>
      </w:r>
      <w:r w:rsidR="00C61011">
        <w:rPr>
          <w:rFonts w:ascii="Times New Roman" w:hAnsi="Times New Roman" w:cs="Times New Roman"/>
          <w:b w:val="0"/>
          <w:bCs w:val="0"/>
          <w:i w:val="0"/>
          <w:kern w:val="0"/>
          <w:szCs w:val="24"/>
        </w:rPr>
        <w:t>uested by the Company   ($2.6 b</w:t>
      </w:r>
      <w:r w:rsidRPr="00480AE1">
        <w:rPr>
          <w:rFonts w:ascii="Times New Roman" w:hAnsi="Times New Roman" w:cs="Times New Roman"/>
          <w:b w:val="0"/>
          <w:bCs w:val="0"/>
          <w:i w:val="0"/>
          <w:kern w:val="0"/>
          <w:szCs w:val="24"/>
        </w:rPr>
        <w:t>illion) exceeds its projected capital expenditures ($333 million in 2023). The additional amount requested exceeding the projected capital budget expenditures allows for the repayment of the Intercompany Debt Agreement with Tampa Electric ($800 million) and financial flexibility for unexpected events such as hurricanes, financial market disruptions, and other unforeseen circumstances. Staff believes the requested amounts are appropriate. Staff recomm</w:t>
      </w:r>
      <w:r w:rsidR="00C61011">
        <w:rPr>
          <w:rFonts w:ascii="Times New Roman" w:hAnsi="Times New Roman" w:cs="Times New Roman"/>
          <w:b w:val="0"/>
          <w:bCs w:val="0"/>
          <w:i w:val="0"/>
          <w:kern w:val="0"/>
          <w:szCs w:val="24"/>
        </w:rPr>
        <w:t>ends PGS Inc.’s application</w:t>
      </w:r>
      <w:r w:rsidRPr="00480AE1">
        <w:rPr>
          <w:rFonts w:ascii="Times New Roman" w:hAnsi="Times New Roman" w:cs="Times New Roman"/>
          <w:b w:val="0"/>
          <w:bCs w:val="0"/>
          <w:i w:val="0"/>
          <w:kern w:val="0"/>
          <w:szCs w:val="24"/>
        </w:rPr>
        <w:t xml:space="preserve"> </w:t>
      </w:r>
      <w:r w:rsidR="00C61011">
        <w:rPr>
          <w:rFonts w:ascii="Times New Roman" w:hAnsi="Times New Roman" w:cs="Times New Roman"/>
          <w:b w:val="0"/>
          <w:bCs w:val="0"/>
          <w:i w:val="0"/>
          <w:kern w:val="0"/>
          <w:szCs w:val="24"/>
        </w:rPr>
        <w:t xml:space="preserve">for authority </w:t>
      </w:r>
      <w:r w:rsidRPr="00480AE1">
        <w:rPr>
          <w:rFonts w:ascii="Times New Roman" w:hAnsi="Times New Roman" w:cs="Times New Roman"/>
          <w:b w:val="0"/>
          <w:bCs w:val="0"/>
          <w:i w:val="0"/>
          <w:kern w:val="0"/>
          <w:szCs w:val="24"/>
        </w:rPr>
        <w:t>to issue securities</w:t>
      </w:r>
      <w:r w:rsidR="00DD6C26">
        <w:rPr>
          <w:rFonts w:ascii="Times New Roman" w:hAnsi="Times New Roman" w:cs="Times New Roman"/>
          <w:b w:val="0"/>
          <w:bCs w:val="0"/>
          <w:i w:val="0"/>
          <w:kern w:val="0"/>
          <w:szCs w:val="24"/>
        </w:rPr>
        <w:t xml:space="preserve"> during</w:t>
      </w:r>
      <w:r w:rsidR="00C61011">
        <w:rPr>
          <w:rFonts w:ascii="Times New Roman" w:hAnsi="Times New Roman" w:cs="Times New Roman"/>
          <w:b w:val="0"/>
          <w:bCs w:val="0"/>
          <w:i w:val="0"/>
          <w:kern w:val="0"/>
          <w:szCs w:val="24"/>
        </w:rPr>
        <w:t xml:space="preserve"> calendar year 2023</w:t>
      </w:r>
      <w:r w:rsidRPr="00480AE1">
        <w:rPr>
          <w:rFonts w:ascii="Times New Roman" w:hAnsi="Times New Roman" w:cs="Times New Roman"/>
          <w:b w:val="0"/>
          <w:bCs w:val="0"/>
          <w:i w:val="0"/>
          <w:kern w:val="0"/>
          <w:szCs w:val="24"/>
        </w:rPr>
        <w:t xml:space="preserve"> be approved</w:t>
      </w:r>
      <w:r>
        <w:rPr>
          <w:rFonts w:ascii="Times New Roman" w:hAnsi="Times New Roman" w:cs="Times New Roman"/>
          <w:b w:val="0"/>
          <w:bCs w:val="0"/>
          <w:i w:val="0"/>
          <w:kern w:val="0"/>
          <w:szCs w:val="24"/>
        </w:rPr>
        <w:t>.</w:t>
      </w:r>
      <w:r w:rsidRPr="004C3641">
        <w:rPr>
          <w:b w:val="0"/>
          <w:i w:val="0"/>
        </w:rPr>
        <w:br w:type="page"/>
      </w:r>
      <w:r w:rsidRPr="004C3641">
        <w:t xml:space="preserve">Issue </w:t>
      </w:r>
      <w:r w:rsidR="007E694F">
        <w:fldChar w:fldCharType="begin"/>
      </w:r>
      <w:r w:rsidR="007E694F">
        <w:instrText xml:space="preserve"> SEQ Issue \* MERGEFORMAT </w:instrText>
      </w:r>
      <w:r w:rsidR="007E694F">
        <w:fldChar w:fldCharType="separate"/>
      </w:r>
      <w:r w:rsidR="00A9362D">
        <w:rPr>
          <w:noProof/>
        </w:rPr>
        <w:t>3</w:t>
      </w:r>
      <w:r w:rsidR="007E694F">
        <w:rPr>
          <w:noProof/>
        </w:rPr>
        <w:fldChar w:fldCharType="end"/>
      </w:r>
      <w:r w:rsidRPr="004C3641">
        <w:t>:</w:t>
      </w:r>
      <w:r>
        <w:fldChar w:fldCharType="begin"/>
      </w:r>
      <w:r>
        <w:instrText xml:space="preserve"> TC "</w:instrText>
      </w:r>
      <w:r>
        <w:fldChar w:fldCharType="begin"/>
      </w:r>
      <w:r>
        <w:instrText xml:space="preserve"> SEQ issue \c </w:instrText>
      </w:r>
      <w:r>
        <w:fldChar w:fldCharType="separate"/>
      </w:r>
      <w:r w:rsidR="00A9362D">
        <w:rPr>
          <w:noProof/>
        </w:rPr>
        <w:instrText>3</w:instrText>
      </w:r>
      <w:r>
        <w:fldChar w:fldCharType="end"/>
      </w:r>
      <w:r>
        <w:tab/>
        <w:instrText xml:space="preserve">" \l 1 </w:instrText>
      </w:r>
      <w:r>
        <w:fldChar w:fldCharType="end"/>
      </w:r>
      <w:r>
        <w:t> </w:t>
      </w:r>
    </w:p>
    <w:p w:rsidR="00480AE1" w:rsidRDefault="00480AE1">
      <w:pPr>
        <w:pStyle w:val="BodyText"/>
      </w:pPr>
      <w:r>
        <w:t> Should this docket be closed?</w:t>
      </w:r>
    </w:p>
    <w:p w:rsidR="00480AE1" w:rsidRPr="004C3641" w:rsidRDefault="00480AE1">
      <w:pPr>
        <w:pStyle w:val="IssueSubsectionHeading"/>
        <w:rPr>
          <w:vanish/>
          <w:specVanish/>
        </w:rPr>
      </w:pPr>
      <w:r w:rsidRPr="004C3641">
        <w:t>Recommendation: </w:t>
      </w:r>
    </w:p>
    <w:p w:rsidR="00480AE1" w:rsidRDefault="00480AE1">
      <w:pPr>
        <w:pStyle w:val="BodyText"/>
      </w:pPr>
      <w:r>
        <w:t> No. This docket should remain open</w:t>
      </w:r>
      <w:r w:rsidR="006865A9" w:rsidRPr="006865A9">
        <w:t xml:space="preserve"> </w:t>
      </w:r>
      <w:r w:rsidR="006865A9">
        <w:t>to allow the Companies</w:t>
      </w:r>
      <w:r w:rsidR="006865A9" w:rsidRPr="006865A9">
        <w:t xml:space="preserve"> time to file the required Consummation Report</w:t>
      </w:r>
      <w:r w:rsidR="00B2766F">
        <w:t>s</w:t>
      </w:r>
      <w:r w:rsidR="006865A9" w:rsidRPr="006865A9">
        <w:t xml:space="preserve">. </w:t>
      </w:r>
      <w:r>
        <w:t>(Watrous)</w:t>
      </w:r>
    </w:p>
    <w:p w:rsidR="00480AE1" w:rsidRPr="004C3641" w:rsidRDefault="00480AE1">
      <w:pPr>
        <w:pStyle w:val="IssueSubsectionHeading"/>
        <w:rPr>
          <w:vanish/>
          <w:specVanish/>
        </w:rPr>
      </w:pPr>
      <w:r w:rsidRPr="004C3641">
        <w:t>Staff Analysis: </w:t>
      </w:r>
    </w:p>
    <w:p w:rsidR="00480AE1" w:rsidRDefault="00480AE1">
      <w:pPr>
        <w:pStyle w:val="BodyText"/>
      </w:pPr>
      <w:r>
        <w:t> </w:t>
      </w:r>
      <w:r w:rsidR="006865A9" w:rsidRPr="006865A9">
        <w:t>For monitoring purposes, this docket should remain open until May 3, 2024, to allow the Compan</w:t>
      </w:r>
      <w:r w:rsidR="006865A9">
        <w:t>ies</w:t>
      </w:r>
      <w:r w:rsidR="006865A9" w:rsidRPr="006865A9">
        <w:t xml:space="preserve"> time to file the required Consummation Report</w:t>
      </w:r>
      <w:r w:rsidR="00B2766F">
        <w:t>s</w:t>
      </w:r>
      <w:r w:rsidR="006865A9">
        <w:t>. Tampa Electric and Peoples Gas System, Inc. should be required to file separate consummation reports within 90 days after the end of calendar year 2023.</w:t>
      </w:r>
    </w:p>
    <w:p w:rsidR="00480AE1" w:rsidRDefault="00480AE1" w:rsidP="00E275D8">
      <w:pPr>
        <w:pStyle w:val="BodyText"/>
      </w:pPr>
    </w:p>
    <w:sectPr w:rsidR="00480AE1" w:rsidSect="0068481F">
      <w:headerReference w:type="even" r:id="rId10"/>
      <w:headerReference w:type="default" r:id="rId11"/>
      <w:footerReference w:type="even" r:id="rId12"/>
      <w:footerReference w:type="default" r:id="rId13"/>
      <w:headerReference w:type="first" r:id="rId14"/>
      <w:footerReference w:type="first" r:id="rId15"/>
      <w:pgSz w:w="12240" w:h="15840" w:code="1"/>
      <w:pgMar w:top="1584" w:right="1440" w:bottom="1440" w:left="1440"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424B3" w:rsidRDefault="002424B3">
      <w:r>
        <w:separator/>
      </w:r>
    </w:p>
  </w:endnote>
  <w:endnote w:type="continuationSeparator" w:id="0">
    <w:p w:rsidR="002424B3" w:rsidRDefault="002424B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tabs>
        <w:tab w:val="clear" w:pos="4320"/>
        <w:tab w:val="clear" w:pos="8640"/>
        <w:tab w:val="center" w:pos="4674"/>
        <w:tab w:val="right" w:pos="9360"/>
      </w:tabs>
    </w:pPr>
    <w:r>
      <w:tab/>
      <w:t xml:space="preserve">- </w:t>
    </w:r>
    <w:r>
      <w:rPr>
        <w:rStyle w:val="PageNumber"/>
      </w:rPr>
      <w:fldChar w:fldCharType="begin"/>
    </w:r>
    <w:r>
      <w:rPr>
        <w:rStyle w:val="PageNumber"/>
      </w:rPr>
      <w:instrText xml:space="preserve"> PAGE </w:instrText>
    </w:r>
    <w:r>
      <w:rPr>
        <w:rStyle w:val="PageNumber"/>
      </w:rPr>
      <w:fldChar w:fldCharType="separate"/>
    </w:r>
    <w:r w:rsidR="00BB60D0">
      <w:rPr>
        <w:rStyle w:val="PageNumber"/>
        <w:noProof/>
      </w:rPr>
      <w:t>2</w:t>
    </w:r>
    <w:r>
      <w:rPr>
        <w:rStyle w:val="PageNumber"/>
      </w:rPr>
      <w:fldChar w:fldCharType="end"/>
    </w:r>
    <w:r>
      <w:rPr>
        <w:rStyle w:val="PageNumber"/>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04B" w:rsidRDefault="00DB304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04B" w:rsidRDefault="00A965F6" w:rsidP="00A965F6">
    <w:pPr>
      <w:pStyle w:val="Footer"/>
      <w:jc w:val="center"/>
    </w:pPr>
    <w:r>
      <w:t xml:space="preserve">- </w:t>
    </w:r>
    <w:r>
      <w:rPr>
        <w:rStyle w:val="PageNumber"/>
      </w:rPr>
      <w:fldChar w:fldCharType="begin"/>
    </w:r>
    <w:r>
      <w:rPr>
        <w:rStyle w:val="PageNumber"/>
      </w:rPr>
      <w:instrText xml:space="preserve"> PAGE </w:instrText>
    </w:r>
    <w:r>
      <w:rPr>
        <w:rStyle w:val="PageNumber"/>
      </w:rPr>
      <w:fldChar w:fldCharType="separate"/>
    </w:r>
    <w:r w:rsidR="00BB60D0">
      <w:rPr>
        <w:rStyle w:val="PageNumber"/>
        <w:noProof/>
      </w:rPr>
      <w:t>7</w:t>
    </w:r>
    <w:r>
      <w:rPr>
        <w:rStyle w:val="PageNumber"/>
      </w:rPr>
      <w:fldChar w:fldCharType="end"/>
    </w:r>
    <w:r>
      <w:rPr>
        <w:rStyle w:val="PageNumber"/>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424B3" w:rsidRDefault="002424B3">
      <w:r>
        <w:separator/>
      </w:r>
    </w:p>
  </w:footnote>
  <w:footnote w:type="continuationSeparator" w:id="0">
    <w:p w:rsidR="002424B3" w:rsidRDefault="002424B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2424B3" w:rsidP="00220732">
    <w:pPr>
      <w:pStyle w:val="Header"/>
      <w:tabs>
        <w:tab w:val="clear" w:pos="4320"/>
        <w:tab w:val="clear" w:pos="8640"/>
        <w:tab w:val="right" w:pos="9360"/>
      </w:tabs>
    </w:pPr>
    <w:bookmarkStart w:id="14" w:name="DocketLabel"/>
    <w:r>
      <w:t>Docket No.</w:t>
    </w:r>
    <w:bookmarkEnd w:id="14"/>
    <w:r w:rsidR="00BC402E">
      <w:t xml:space="preserve"> </w:t>
    </w:r>
    <w:bookmarkStart w:id="15" w:name="DocketList"/>
    <w:r>
      <w:t>20220146-PU</w:t>
    </w:r>
    <w:bookmarkEnd w:id="15"/>
  </w:p>
  <w:p w:rsidR="00BC402E" w:rsidRDefault="00BC402E">
    <w:pPr>
      <w:pStyle w:val="Header"/>
    </w:pPr>
    <w:r>
      <w:t xml:space="preserve">Date: </w:t>
    </w:r>
    <w:r w:rsidR="007E694F">
      <w:fldChar w:fldCharType="begin"/>
    </w:r>
    <w:r w:rsidR="007E694F">
      <w:instrText xml:space="preserve"> REF FilingDate </w:instrText>
    </w:r>
    <w:r w:rsidR="007E694F">
      <w:fldChar w:fldCharType="separate"/>
    </w:r>
    <w:r w:rsidR="00A9362D">
      <w:t>September 22, 2022</w:t>
    </w:r>
    <w:r w:rsidR="007E694F">
      <w:fldChar w:fldCharType="end"/>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B304B" w:rsidRDefault="00DB304B">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rsidP="00220732">
    <w:pPr>
      <w:pStyle w:val="Header"/>
      <w:tabs>
        <w:tab w:val="clear" w:pos="4320"/>
        <w:tab w:val="clear" w:pos="8640"/>
        <w:tab w:val="right" w:pos="9360"/>
      </w:tabs>
    </w:pPr>
    <w:r>
      <w:fldChar w:fldCharType="begin"/>
    </w:r>
    <w:r>
      <w:instrText xml:space="preserve"> REF DocketLabel</w:instrText>
    </w:r>
    <w:r>
      <w:fldChar w:fldCharType="separate"/>
    </w:r>
    <w:r w:rsidR="00A9362D">
      <w:t>Docket No.</w:t>
    </w:r>
    <w:r>
      <w:fldChar w:fldCharType="end"/>
    </w:r>
    <w:r>
      <w:t xml:space="preserve"> </w:t>
    </w:r>
    <w:r>
      <w:fldChar w:fldCharType="begin"/>
    </w:r>
    <w:r>
      <w:instrText xml:space="preserve"> REF DocketList</w:instrText>
    </w:r>
    <w:r>
      <w:fldChar w:fldCharType="separate"/>
    </w:r>
    <w:r w:rsidR="00A9362D">
      <w:t>20220146-PU</w:t>
    </w:r>
    <w:r>
      <w:fldChar w:fldCharType="end"/>
    </w:r>
    <w:r>
      <w:tab/>
      <w:t xml:space="preserve">Issue </w:t>
    </w:r>
    <w:fldSimple w:instr=" Seq Issue \c \* Arabic ">
      <w:r w:rsidR="00BB60D0">
        <w:rPr>
          <w:noProof/>
        </w:rPr>
        <w:t>3</w:t>
      </w:r>
    </w:fldSimple>
  </w:p>
  <w:p w:rsidR="00BC402E" w:rsidRDefault="00BC402E">
    <w:pPr>
      <w:pStyle w:val="Header"/>
    </w:pPr>
    <w:r>
      <w:t xml:space="preserve">Date: </w:t>
    </w:r>
    <w:r w:rsidR="007E694F">
      <w:fldChar w:fldCharType="begin"/>
    </w:r>
    <w:r w:rsidR="007E694F">
      <w:instrText xml:space="preserve"> REF FilingDate </w:instrText>
    </w:r>
    <w:r w:rsidR="007E694F">
      <w:fldChar w:fldCharType="separate"/>
    </w:r>
    <w:r w:rsidR="00A9362D">
      <w:t>September 22, 2022</w:t>
    </w:r>
    <w:r w:rsidR="007E694F">
      <w:fldChar w:fldCharType="end"/>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C402E" w:rsidRDefault="00BC402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BEFC6C16"/>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40AA0D90"/>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E7762B0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C8FE44F6"/>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3320B40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E60CFDA4"/>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F63058F4"/>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55F8770E"/>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D0D63E3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024AEA4"/>
    <w:lvl w:ilvl="0">
      <w:start w:val="1"/>
      <w:numFmt w:val="bullet"/>
      <w:lvlText w:val=""/>
      <w:lvlJc w:val="left"/>
      <w:pPr>
        <w:tabs>
          <w:tab w:val="num" w:pos="360"/>
        </w:tabs>
        <w:ind w:left="360" w:hanging="360"/>
      </w:pPr>
      <w:rPr>
        <w:rFonts w:ascii="Symbol" w:hAnsi="Symbol"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en-US" w:vendorID="64" w:dllVersion="131078" w:nlCheck="1" w:checkStyle="1"/>
  <w:activeWritingStyle w:appName="MSWord" w:lang="es-MX" w:vendorID="64" w:dllVersion="131078" w:nlCheck="1" w:checkStyle="1"/>
  <w:attachedTemplate r:id="rId1"/>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drawingGridHorizontalSpacing w:val="57"/>
  <w:noPunctuationKerning/>
  <w:characterSpacingControl w:val="doNotCompress"/>
  <w:hdrShapeDefaults>
    <o:shapedefaults v:ext="edit" spidmax="24577"/>
  </w:hdrShapeDefaults>
  <w:footnotePr>
    <w:footnote w:id="-1"/>
    <w:footnote w:id="0"/>
  </w:footnotePr>
  <w:endnotePr>
    <w:endnote w:id="-1"/>
    <w:endnote w:id="0"/>
  </w:endnotePr>
  <w:compat>
    <w:doNotExpandShiftReturn/>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gnword-docGUID" w:val="{32DC39D9-B7F2-4F33-8079-DE13EA01171C}"/>
    <w:docVar w:name="dgnword-eventsink" w:val="337566896"/>
    <w:docVar w:name="NumberOfIssues" w:val="0"/>
    <w:docVar w:name="StaffInToC" w:val="True"/>
  </w:docVars>
  <w:rsids>
    <w:rsidRoot w:val="002424B3"/>
    <w:rsid w:val="000043D5"/>
    <w:rsid w:val="00006170"/>
    <w:rsid w:val="00010E37"/>
    <w:rsid w:val="000172DA"/>
    <w:rsid w:val="00022337"/>
    <w:rsid w:val="00023A0E"/>
    <w:rsid w:val="000247C5"/>
    <w:rsid w:val="000277C2"/>
    <w:rsid w:val="00035B48"/>
    <w:rsid w:val="00036CE2"/>
    <w:rsid w:val="000437FE"/>
    <w:rsid w:val="00044620"/>
    <w:rsid w:val="000513BE"/>
    <w:rsid w:val="00051573"/>
    <w:rsid w:val="0005451B"/>
    <w:rsid w:val="00065A06"/>
    <w:rsid w:val="000666F3"/>
    <w:rsid w:val="00070DCB"/>
    <w:rsid w:val="00072CCA"/>
    <w:rsid w:val="00073120"/>
    <w:rsid w:val="000764D0"/>
    <w:rsid w:val="000828D3"/>
    <w:rsid w:val="000A2B57"/>
    <w:rsid w:val="000A418B"/>
    <w:rsid w:val="000B0ACE"/>
    <w:rsid w:val="000C4431"/>
    <w:rsid w:val="000C6607"/>
    <w:rsid w:val="000D1C06"/>
    <w:rsid w:val="000D3043"/>
    <w:rsid w:val="000D4319"/>
    <w:rsid w:val="000E24FA"/>
    <w:rsid w:val="000E338A"/>
    <w:rsid w:val="000E4392"/>
    <w:rsid w:val="000E5892"/>
    <w:rsid w:val="000F374A"/>
    <w:rsid w:val="000F4DAF"/>
    <w:rsid w:val="001021FF"/>
    <w:rsid w:val="00105BA1"/>
    <w:rsid w:val="001076AF"/>
    <w:rsid w:val="001109F6"/>
    <w:rsid w:val="00116C6B"/>
    <w:rsid w:val="00117C8C"/>
    <w:rsid w:val="001239F0"/>
    <w:rsid w:val="00124C38"/>
    <w:rsid w:val="00124E2E"/>
    <w:rsid w:val="00125ED4"/>
    <w:rsid w:val="001303BF"/>
    <w:rsid w:val="001305E9"/>
    <w:rsid w:val="001307AF"/>
    <w:rsid w:val="0013347E"/>
    <w:rsid w:val="00135687"/>
    <w:rsid w:val="00136BD1"/>
    <w:rsid w:val="00146B5D"/>
    <w:rsid w:val="00150ECE"/>
    <w:rsid w:val="0015506E"/>
    <w:rsid w:val="00163031"/>
    <w:rsid w:val="001654C4"/>
    <w:rsid w:val="00171A90"/>
    <w:rsid w:val="00180254"/>
    <w:rsid w:val="00191E1F"/>
    <w:rsid w:val="00191EE8"/>
    <w:rsid w:val="00192943"/>
    <w:rsid w:val="00193BAF"/>
    <w:rsid w:val="00194791"/>
    <w:rsid w:val="001A7406"/>
    <w:rsid w:val="001A7AE4"/>
    <w:rsid w:val="001B1EDC"/>
    <w:rsid w:val="001B4053"/>
    <w:rsid w:val="001B4FEE"/>
    <w:rsid w:val="001B51C5"/>
    <w:rsid w:val="001B672A"/>
    <w:rsid w:val="001B6F3F"/>
    <w:rsid w:val="001C52B5"/>
    <w:rsid w:val="001D0D3E"/>
    <w:rsid w:val="001D2817"/>
    <w:rsid w:val="001D2899"/>
    <w:rsid w:val="001D5DEB"/>
    <w:rsid w:val="001E7FF4"/>
    <w:rsid w:val="001F2245"/>
    <w:rsid w:val="001F2C63"/>
    <w:rsid w:val="001F48C7"/>
    <w:rsid w:val="001F6DA1"/>
    <w:rsid w:val="00200178"/>
    <w:rsid w:val="00204200"/>
    <w:rsid w:val="002044E6"/>
    <w:rsid w:val="00205C82"/>
    <w:rsid w:val="00205DC2"/>
    <w:rsid w:val="00212B17"/>
    <w:rsid w:val="002163B6"/>
    <w:rsid w:val="00217215"/>
    <w:rsid w:val="00220732"/>
    <w:rsid w:val="0022121F"/>
    <w:rsid w:val="00221D32"/>
    <w:rsid w:val="00222AC1"/>
    <w:rsid w:val="00225C3F"/>
    <w:rsid w:val="002371C2"/>
    <w:rsid w:val="002424B3"/>
    <w:rsid w:val="00263D44"/>
    <w:rsid w:val="002702AD"/>
    <w:rsid w:val="00281EB4"/>
    <w:rsid w:val="00292D82"/>
    <w:rsid w:val="00293EE7"/>
    <w:rsid w:val="002963CB"/>
    <w:rsid w:val="002B2DAC"/>
    <w:rsid w:val="002B4A01"/>
    <w:rsid w:val="002C291B"/>
    <w:rsid w:val="002C746A"/>
    <w:rsid w:val="002C7E4E"/>
    <w:rsid w:val="002D226D"/>
    <w:rsid w:val="002D74E3"/>
    <w:rsid w:val="002F6030"/>
    <w:rsid w:val="003001AC"/>
    <w:rsid w:val="003037E1"/>
    <w:rsid w:val="00307E51"/>
    <w:rsid w:val="003103EC"/>
    <w:rsid w:val="00312132"/>
    <w:rsid w:val="003130BA"/>
    <w:rsid w:val="003144EF"/>
    <w:rsid w:val="0031480E"/>
    <w:rsid w:val="00316877"/>
    <w:rsid w:val="00322F74"/>
    <w:rsid w:val="00325E15"/>
    <w:rsid w:val="00340073"/>
    <w:rsid w:val="003411D8"/>
    <w:rsid w:val="003445B0"/>
    <w:rsid w:val="00350BFB"/>
    <w:rsid w:val="00353B66"/>
    <w:rsid w:val="00355934"/>
    <w:rsid w:val="00357928"/>
    <w:rsid w:val="003632FD"/>
    <w:rsid w:val="00370F78"/>
    <w:rsid w:val="00372805"/>
    <w:rsid w:val="00373180"/>
    <w:rsid w:val="00375AB9"/>
    <w:rsid w:val="0037691E"/>
    <w:rsid w:val="00377936"/>
    <w:rsid w:val="003821A0"/>
    <w:rsid w:val="00385B04"/>
    <w:rsid w:val="003864CF"/>
    <w:rsid w:val="003948AE"/>
    <w:rsid w:val="003A08C0"/>
    <w:rsid w:val="003A22A6"/>
    <w:rsid w:val="003A32EB"/>
    <w:rsid w:val="003A5494"/>
    <w:rsid w:val="003B2510"/>
    <w:rsid w:val="003B4355"/>
    <w:rsid w:val="003C2CC4"/>
    <w:rsid w:val="003C3710"/>
    <w:rsid w:val="003C42A3"/>
    <w:rsid w:val="003C48F7"/>
    <w:rsid w:val="003E0463"/>
    <w:rsid w:val="003E0EFC"/>
    <w:rsid w:val="003E4A2B"/>
    <w:rsid w:val="003E6FE9"/>
    <w:rsid w:val="003E76C2"/>
    <w:rsid w:val="003F1367"/>
    <w:rsid w:val="003F1679"/>
    <w:rsid w:val="003F21EB"/>
    <w:rsid w:val="003F4A35"/>
    <w:rsid w:val="003F5F03"/>
    <w:rsid w:val="003F7FDD"/>
    <w:rsid w:val="00402101"/>
    <w:rsid w:val="00402481"/>
    <w:rsid w:val="004042B4"/>
    <w:rsid w:val="00410DC4"/>
    <w:rsid w:val="00412DAE"/>
    <w:rsid w:val="0041302D"/>
    <w:rsid w:val="004242E6"/>
    <w:rsid w:val="00427B35"/>
    <w:rsid w:val="00431598"/>
    <w:rsid w:val="004319AD"/>
    <w:rsid w:val="004426B8"/>
    <w:rsid w:val="00444432"/>
    <w:rsid w:val="00447D5C"/>
    <w:rsid w:val="00450202"/>
    <w:rsid w:val="004502B2"/>
    <w:rsid w:val="00455499"/>
    <w:rsid w:val="004649A7"/>
    <w:rsid w:val="00471860"/>
    <w:rsid w:val="00471B20"/>
    <w:rsid w:val="00477026"/>
    <w:rsid w:val="00477730"/>
    <w:rsid w:val="00480AE1"/>
    <w:rsid w:val="004A5769"/>
    <w:rsid w:val="004A744D"/>
    <w:rsid w:val="004B60BD"/>
    <w:rsid w:val="004C3150"/>
    <w:rsid w:val="004C3641"/>
    <w:rsid w:val="004C3873"/>
    <w:rsid w:val="004C4390"/>
    <w:rsid w:val="004C4AF7"/>
    <w:rsid w:val="004C7501"/>
    <w:rsid w:val="004D020C"/>
    <w:rsid w:val="004D2881"/>
    <w:rsid w:val="004D2D7D"/>
    <w:rsid w:val="004D385F"/>
    <w:rsid w:val="004D5B39"/>
    <w:rsid w:val="004D7976"/>
    <w:rsid w:val="004E0CEA"/>
    <w:rsid w:val="004E330D"/>
    <w:rsid w:val="004E4985"/>
    <w:rsid w:val="004E5147"/>
    <w:rsid w:val="004E69B5"/>
    <w:rsid w:val="004F50D1"/>
    <w:rsid w:val="004F5C43"/>
    <w:rsid w:val="005050A2"/>
    <w:rsid w:val="00506030"/>
    <w:rsid w:val="0050652D"/>
    <w:rsid w:val="00506C03"/>
    <w:rsid w:val="00511A11"/>
    <w:rsid w:val="00516496"/>
    <w:rsid w:val="00522E7D"/>
    <w:rsid w:val="00523B11"/>
    <w:rsid w:val="0052455B"/>
    <w:rsid w:val="0052572A"/>
    <w:rsid w:val="00532DFB"/>
    <w:rsid w:val="00543CB3"/>
    <w:rsid w:val="005442E4"/>
    <w:rsid w:val="00547652"/>
    <w:rsid w:val="0055529B"/>
    <w:rsid w:val="00560FF0"/>
    <w:rsid w:val="005614BD"/>
    <w:rsid w:val="0057154F"/>
    <w:rsid w:val="00580F69"/>
    <w:rsid w:val="00581CA3"/>
    <w:rsid w:val="00585031"/>
    <w:rsid w:val="00586E8B"/>
    <w:rsid w:val="00587A44"/>
    <w:rsid w:val="00597730"/>
    <w:rsid w:val="005977EC"/>
    <w:rsid w:val="00597DE7"/>
    <w:rsid w:val="005A4AA2"/>
    <w:rsid w:val="005B34B6"/>
    <w:rsid w:val="005B606A"/>
    <w:rsid w:val="005B6C8F"/>
    <w:rsid w:val="005B6EC3"/>
    <w:rsid w:val="005C17D7"/>
    <w:rsid w:val="005C33CE"/>
    <w:rsid w:val="005C5708"/>
    <w:rsid w:val="005D0F74"/>
    <w:rsid w:val="005D2E7D"/>
    <w:rsid w:val="005D4A8F"/>
    <w:rsid w:val="005D561B"/>
    <w:rsid w:val="005D578F"/>
    <w:rsid w:val="005D5ECF"/>
    <w:rsid w:val="005F468D"/>
    <w:rsid w:val="005F69A3"/>
    <w:rsid w:val="00604CC7"/>
    <w:rsid w:val="00613441"/>
    <w:rsid w:val="00615423"/>
    <w:rsid w:val="006165B2"/>
    <w:rsid w:val="00617276"/>
    <w:rsid w:val="0062527B"/>
    <w:rsid w:val="00625D97"/>
    <w:rsid w:val="00625F1C"/>
    <w:rsid w:val="0062658E"/>
    <w:rsid w:val="006279E1"/>
    <w:rsid w:val="00630CEB"/>
    <w:rsid w:val="00632264"/>
    <w:rsid w:val="006355F2"/>
    <w:rsid w:val="006362C7"/>
    <w:rsid w:val="006470BC"/>
    <w:rsid w:val="006554D3"/>
    <w:rsid w:val="006603F4"/>
    <w:rsid w:val="00661708"/>
    <w:rsid w:val="006657F7"/>
    <w:rsid w:val="00666522"/>
    <w:rsid w:val="00667036"/>
    <w:rsid w:val="00667B89"/>
    <w:rsid w:val="00673BDB"/>
    <w:rsid w:val="00674341"/>
    <w:rsid w:val="006771B8"/>
    <w:rsid w:val="00682631"/>
    <w:rsid w:val="00683A89"/>
    <w:rsid w:val="006843B6"/>
    <w:rsid w:val="0068481F"/>
    <w:rsid w:val="006865A9"/>
    <w:rsid w:val="00693EA1"/>
    <w:rsid w:val="0069636F"/>
    <w:rsid w:val="00696F5D"/>
    <w:rsid w:val="00697249"/>
    <w:rsid w:val="006A06F3"/>
    <w:rsid w:val="006A1A67"/>
    <w:rsid w:val="006B09C4"/>
    <w:rsid w:val="006B3947"/>
    <w:rsid w:val="006B4293"/>
    <w:rsid w:val="006B624F"/>
    <w:rsid w:val="006C0C95"/>
    <w:rsid w:val="006C31E3"/>
    <w:rsid w:val="006D18D3"/>
    <w:rsid w:val="006D3BD1"/>
    <w:rsid w:val="006E010E"/>
    <w:rsid w:val="006E08CB"/>
    <w:rsid w:val="006E598D"/>
    <w:rsid w:val="006F5F67"/>
    <w:rsid w:val="0070437D"/>
    <w:rsid w:val="00704CF1"/>
    <w:rsid w:val="00705B04"/>
    <w:rsid w:val="0071040E"/>
    <w:rsid w:val="00717EE9"/>
    <w:rsid w:val="00724992"/>
    <w:rsid w:val="00724F64"/>
    <w:rsid w:val="00727F90"/>
    <w:rsid w:val="00734820"/>
    <w:rsid w:val="007349DC"/>
    <w:rsid w:val="0074365E"/>
    <w:rsid w:val="00744B55"/>
    <w:rsid w:val="007515FD"/>
    <w:rsid w:val="00760D80"/>
    <w:rsid w:val="00761CB4"/>
    <w:rsid w:val="00780C09"/>
    <w:rsid w:val="00780DDF"/>
    <w:rsid w:val="007834E9"/>
    <w:rsid w:val="00787DBC"/>
    <w:rsid w:val="0079019A"/>
    <w:rsid w:val="00792935"/>
    <w:rsid w:val="007A04A1"/>
    <w:rsid w:val="007A1840"/>
    <w:rsid w:val="007B730C"/>
    <w:rsid w:val="007C0528"/>
    <w:rsid w:val="007C08EA"/>
    <w:rsid w:val="007C3D38"/>
    <w:rsid w:val="007D0F35"/>
    <w:rsid w:val="007D4546"/>
    <w:rsid w:val="007D4FEB"/>
    <w:rsid w:val="007D6146"/>
    <w:rsid w:val="007E0CE7"/>
    <w:rsid w:val="007F1193"/>
    <w:rsid w:val="007F417F"/>
    <w:rsid w:val="007F7644"/>
    <w:rsid w:val="008042BD"/>
    <w:rsid w:val="008050B3"/>
    <w:rsid w:val="00816624"/>
    <w:rsid w:val="00822427"/>
    <w:rsid w:val="00822562"/>
    <w:rsid w:val="00823663"/>
    <w:rsid w:val="00823664"/>
    <w:rsid w:val="008305B7"/>
    <w:rsid w:val="00832DDC"/>
    <w:rsid w:val="008426B0"/>
    <w:rsid w:val="008431BB"/>
    <w:rsid w:val="00845E34"/>
    <w:rsid w:val="00850BAC"/>
    <w:rsid w:val="00854A3E"/>
    <w:rsid w:val="00855D08"/>
    <w:rsid w:val="008618A4"/>
    <w:rsid w:val="008731AB"/>
    <w:rsid w:val="00874344"/>
    <w:rsid w:val="0087505D"/>
    <w:rsid w:val="00877703"/>
    <w:rsid w:val="00882155"/>
    <w:rsid w:val="0088233B"/>
    <w:rsid w:val="0088599E"/>
    <w:rsid w:val="00886C37"/>
    <w:rsid w:val="008915FC"/>
    <w:rsid w:val="00892D99"/>
    <w:rsid w:val="00893315"/>
    <w:rsid w:val="00894C09"/>
    <w:rsid w:val="008B5C68"/>
    <w:rsid w:val="008B62AE"/>
    <w:rsid w:val="008C04B5"/>
    <w:rsid w:val="008C14FA"/>
    <w:rsid w:val="008C7B0B"/>
    <w:rsid w:val="008D4057"/>
    <w:rsid w:val="008E1F19"/>
    <w:rsid w:val="008F2262"/>
    <w:rsid w:val="008F4D2B"/>
    <w:rsid w:val="008F5B91"/>
    <w:rsid w:val="008F7736"/>
    <w:rsid w:val="0090019E"/>
    <w:rsid w:val="00900435"/>
    <w:rsid w:val="00901086"/>
    <w:rsid w:val="00901C8A"/>
    <w:rsid w:val="00902F66"/>
    <w:rsid w:val="00904F3B"/>
    <w:rsid w:val="00905886"/>
    <w:rsid w:val="009070D6"/>
    <w:rsid w:val="009076C6"/>
    <w:rsid w:val="0091019E"/>
    <w:rsid w:val="009106F1"/>
    <w:rsid w:val="00912404"/>
    <w:rsid w:val="009145D6"/>
    <w:rsid w:val="00915541"/>
    <w:rsid w:val="00915BB2"/>
    <w:rsid w:val="00920E64"/>
    <w:rsid w:val="00922002"/>
    <w:rsid w:val="009225CB"/>
    <w:rsid w:val="00924020"/>
    <w:rsid w:val="00924BF4"/>
    <w:rsid w:val="009271A7"/>
    <w:rsid w:val="0092762F"/>
    <w:rsid w:val="0093658B"/>
    <w:rsid w:val="009429FF"/>
    <w:rsid w:val="009444D1"/>
    <w:rsid w:val="00945BD6"/>
    <w:rsid w:val="009479FB"/>
    <w:rsid w:val="00951C45"/>
    <w:rsid w:val="00951DD8"/>
    <w:rsid w:val="009656F2"/>
    <w:rsid w:val="00966A08"/>
    <w:rsid w:val="009701B7"/>
    <w:rsid w:val="00971207"/>
    <w:rsid w:val="00975CB4"/>
    <w:rsid w:val="009863B0"/>
    <w:rsid w:val="00987DE1"/>
    <w:rsid w:val="00990571"/>
    <w:rsid w:val="00991905"/>
    <w:rsid w:val="009926B2"/>
    <w:rsid w:val="0099673A"/>
    <w:rsid w:val="009A3291"/>
    <w:rsid w:val="009A3330"/>
    <w:rsid w:val="009A548F"/>
    <w:rsid w:val="009A7C96"/>
    <w:rsid w:val="009B61BF"/>
    <w:rsid w:val="009C3253"/>
    <w:rsid w:val="009C3DB9"/>
    <w:rsid w:val="009C5968"/>
    <w:rsid w:val="009D0436"/>
    <w:rsid w:val="009D46E5"/>
    <w:rsid w:val="009D568A"/>
    <w:rsid w:val="009F04EC"/>
    <w:rsid w:val="009F2A7C"/>
    <w:rsid w:val="009F3B36"/>
    <w:rsid w:val="00A019B9"/>
    <w:rsid w:val="00A03157"/>
    <w:rsid w:val="00A11756"/>
    <w:rsid w:val="00A12497"/>
    <w:rsid w:val="00A12508"/>
    <w:rsid w:val="00A1282B"/>
    <w:rsid w:val="00A13A27"/>
    <w:rsid w:val="00A15B7C"/>
    <w:rsid w:val="00A175B6"/>
    <w:rsid w:val="00A21835"/>
    <w:rsid w:val="00A2374B"/>
    <w:rsid w:val="00A23AAB"/>
    <w:rsid w:val="00A27D6E"/>
    <w:rsid w:val="00A328EC"/>
    <w:rsid w:val="00A33A51"/>
    <w:rsid w:val="00A41CA6"/>
    <w:rsid w:val="00A431ED"/>
    <w:rsid w:val="00A47927"/>
    <w:rsid w:val="00A47FFC"/>
    <w:rsid w:val="00A5442F"/>
    <w:rsid w:val="00A54FF9"/>
    <w:rsid w:val="00A56765"/>
    <w:rsid w:val="00A628B7"/>
    <w:rsid w:val="00A675AC"/>
    <w:rsid w:val="00A7097D"/>
    <w:rsid w:val="00A7581F"/>
    <w:rsid w:val="00A81274"/>
    <w:rsid w:val="00A86ACA"/>
    <w:rsid w:val="00A92439"/>
    <w:rsid w:val="00A92FB1"/>
    <w:rsid w:val="00A9362D"/>
    <w:rsid w:val="00A95980"/>
    <w:rsid w:val="00A95A0C"/>
    <w:rsid w:val="00A965F6"/>
    <w:rsid w:val="00AA2765"/>
    <w:rsid w:val="00AA77B5"/>
    <w:rsid w:val="00AB6C5D"/>
    <w:rsid w:val="00AC3401"/>
    <w:rsid w:val="00AC51A7"/>
    <w:rsid w:val="00AC603B"/>
    <w:rsid w:val="00AD0E89"/>
    <w:rsid w:val="00AD444B"/>
    <w:rsid w:val="00AD5614"/>
    <w:rsid w:val="00AD6C78"/>
    <w:rsid w:val="00AD7322"/>
    <w:rsid w:val="00AE03F0"/>
    <w:rsid w:val="00AE2EAB"/>
    <w:rsid w:val="00AF13D0"/>
    <w:rsid w:val="00AF5E0E"/>
    <w:rsid w:val="00AF5F89"/>
    <w:rsid w:val="00AF6FB4"/>
    <w:rsid w:val="00AF73CB"/>
    <w:rsid w:val="00B002D6"/>
    <w:rsid w:val="00B02EF0"/>
    <w:rsid w:val="00B03379"/>
    <w:rsid w:val="00B03FA5"/>
    <w:rsid w:val="00B04110"/>
    <w:rsid w:val="00B05B51"/>
    <w:rsid w:val="00B14E5A"/>
    <w:rsid w:val="00B15370"/>
    <w:rsid w:val="00B16DA4"/>
    <w:rsid w:val="00B17BEB"/>
    <w:rsid w:val="00B21A3C"/>
    <w:rsid w:val="00B223C0"/>
    <w:rsid w:val="00B234ED"/>
    <w:rsid w:val="00B249B2"/>
    <w:rsid w:val="00B25CA3"/>
    <w:rsid w:val="00B2765A"/>
    <w:rsid w:val="00B2766F"/>
    <w:rsid w:val="00B3109A"/>
    <w:rsid w:val="00B32D37"/>
    <w:rsid w:val="00B41AA8"/>
    <w:rsid w:val="00B42B45"/>
    <w:rsid w:val="00B516ED"/>
    <w:rsid w:val="00B565DA"/>
    <w:rsid w:val="00B57A6A"/>
    <w:rsid w:val="00B62D0D"/>
    <w:rsid w:val="00B67E8E"/>
    <w:rsid w:val="00B760F1"/>
    <w:rsid w:val="00B7669E"/>
    <w:rsid w:val="00B76EBB"/>
    <w:rsid w:val="00B77DA1"/>
    <w:rsid w:val="00B822A0"/>
    <w:rsid w:val="00B82F85"/>
    <w:rsid w:val="00B858AE"/>
    <w:rsid w:val="00B85964"/>
    <w:rsid w:val="00B96250"/>
    <w:rsid w:val="00BA0D55"/>
    <w:rsid w:val="00BA37B3"/>
    <w:rsid w:val="00BA4CC6"/>
    <w:rsid w:val="00BA7F46"/>
    <w:rsid w:val="00BB0F1D"/>
    <w:rsid w:val="00BB3493"/>
    <w:rsid w:val="00BB60D0"/>
    <w:rsid w:val="00BB6E4C"/>
    <w:rsid w:val="00BB7468"/>
    <w:rsid w:val="00BC0514"/>
    <w:rsid w:val="00BC188A"/>
    <w:rsid w:val="00BC402E"/>
    <w:rsid w:val="00BC70C6"/>
    <w:rsid w:val="00BD0F48"/>
    <w:rsid w:val="00BD14E5"/>
    <w:rsid w:val="00BE0E50"/>
    <w:rsid w:val="00BE6DDB"/>
    <w:rsid w:val="00BF03E0"/>
    <w:rsid w:val="00BF5010"/>
    <w:rsid w:val="00C03009"/>
    <w:rsid w:val="00C03D5F"/>
    <w:rsid w:val="00C13791"/>
    <w:rsid w:val="00C210BD"/>
    <w:rsid w:val="00C2575A"/>
    <w:rsid w:val="00C31BB3"/>
    <w:rsid w:val="00C36977"/>
    <w:rsid w:val="00C46628"/>
    <w:rsid w:val="00C467DA"/>
    <w:rsid w:val="00C477D9"/>
    <w:rsid w:val="00C57869"/>
    <w:rsid w:val="00C60BA3"/>
    <w:rsid w:val="00C61011"/>
    <w:rsid w:val="00C623F7"/>
    <w:rsid w:val="00C62A81"/>
    <w:rsid w:val="00C67CD7"/>
    <w:rsid w:val="00C71E00"/>
    <w:rsid w:val="00C75BC5"/>
    <w:rsid w:val="00C81670"/>
    <w:rsid w:val="00C81773"/>
    <w:rsid w:val="00C82861"/>
    <w:rsid w:val="00C86896"/>
    <w:rsid w:val="00C907A8"/>
    <w:rsid w:val="00C91670"/>
    <w:rsid w:val="00C93211"/>
    <w:rsid w:val="00C93DB8"/>
    <w:rsid w:val="00C942EC"/>
    <w:rsid w:val="00C96047"/>
    <w:rsid w:val="00C979D0"/>
    <w:rsid w:val="00CA0818"/>
    <w:rsid w:val="00CA15C8"/>
    <w:rsid w:val="00CA2C8F"/>
    <w:rsid w:val="00CA30DA"/>
    <w:rsid w:val="00CA3A24"/>
    <w:rsid w:val="00CB1777"/>
    <w:rsid w:val="00CB33E9"/>
    <w:rsid w:val="00CC10A9"/>
    <w:rsid w:val="00CD0655"/>
    <w:rsid w:val="00CE2BF8"/>
    <w:rsid w:val="00CE484E"/>
    <w:rsid w:val="00CE4D20"/>
    <w:rsid w:val="00CE656F"/>
    <w:rsid w:val="00CF0DA8"/>
    <w:rsid w:val="00CF2E25"/>
    <w:rsid w:val="00CF4453"/>
    <w:rsid w:val="00CF5589"/>
    <w:rsid w:val="00CF5D94"/>
    <w:rsid w:val="00CF7E0F"/>
    <w:rsid w:val="00D00893"/>
    <w:rsid w:val="00D034D7"/>
    <w:rsid w:val="00D04BE4"/>
    <w:rsid w:val="00D06FC7"/>
    <w:rsid w:val="00D12565"/>
    <w:rsid w:val="00D140C1"/>
    <w:rsid w:val="00D14127"/>
    <w:rsid w:val="00D479AE"/>
    <w:rsid w:val="00D50FCD"/>
    <w:rsid w:val="00D533E3"/>
    <w:rsid w:val="00D60B16"/>
    <w:rsid w:val="00D60F02"/>
    <w:rsid w:val="00D66E49"/>
    <w:rsid w:val="00D70D71"/>
    <w:rsid w:val="00D72F74"/>
    <w:rsid w:val="00D81563"/>
    <w:rsid w:val="00D837C1"/>
    <w:rsid w:val="00D85907"/>
    <w:rsid w:val="00D860AC"/>
    <w:rsid w:val="00D9073E"/>
    <w:rsid w:val="00D9221D"/>
    <w:rsid w:val="00D9253C"/>
    <w:rsid w:val="00D958DF"/>
    <w:rsid w:val="00D96DA1"/>
    <w:rsid w:val="00DA51E7"/>
    <w:rsid w:val="00DB0260"/>
    <w:rsid w:val="00DB1C78"/>
    <w:rsid w:val="00DB304B"/>
    <w:rsid w:val="00DB7D96"/>
    <w:rsid w:val="00DC23FE"/>
    <w:rsid w:val="00DC59E6"/>
    <w:rsid w:val="00DD150B"/>
    <w:rsid w:val="00DD3356"/>
    <w:rsid w:val="00DD5025"/>
    <w:rsid w:val="00DD5464"/>
    <w:rsid w:val="00DD6C26"/>
    <w:rsid w:val="00DD6F85"/>
    <w:rsid w:val="00DE254E"/>
    <w:rsid w:val="00DE32C0"/>
    <w:rsid w:val="00DE76A7"/>
    <w:rsid w:val="00DF1510"/>
    <w:rsid w:val="00E02F1F"/>
    <w:rsid w:val="00E05454"/>
    <w:rsid w:val="00E06484"/>
    <w:rsid w:val="00E06B24"/>
    <w:rsid w:val="00E20A7D"/>
    <w:rsid w:val="00E23FE4"/>
    <w:rsid w:val="00E275D8"/>
    <w:rsid w:val="00E30F6A"/>
    <w:rsid w:val="00E3117C"/>
    <w:rsid w:val="00E31288"/>
    <w:rsid w:val="00E34307"/>
    <w:rsid w:val="00E34511"/>
    <w:rsid w:val="00E3635B"/>
    <w:rsid w:val="00E375CA"/>
    <w:rsid w:val="00E4309E"/>
    <w:rsid w:val="00E5364F"/>
    <w:rsid w:val="00E53CDE"/>
    <w:rsid w:val="00E567E8"/>
    <w:rsid w:val="00E57E79"/>
    <w:rsid w:val="00E63766"/>
    <w:rsid w:val="00E64679"/>
    <w:rsid w:val="00E65EBC"/>
    <w:rsid w:val="00E6602E"/>
    <w:rsid w:val="00E677FE"/>
    <w:rsid w:val="00E73432"/>
    <w:rsid w:val="00E77B0C"/>
    <w:rsid w:val="00E77FB8"/>
    <w:rsid w:val="00E838B0"/>
    <w:rsid w:val="00E86A7C"/>
    <w:rsid w:val="00E878E1"/>
    <w:rsid w:val="00E87F2C"/>
    <w:rsid w:val="00E95278"/>
    <w:rsid w:val="00E96A42"/>
    <w:rsid w:val="00EA2273"/>
    <w:rsid w:val="00EA7C3C"/>
    <w:rsid w:val="00EB2DB3"/>
    <w:rsid w:val="00EC3FBB"/>
    <w:rsid w:val="00EC6B7A"/>
    <w:rsid w:val="00ED3A87"/>
    <w:rsid w:val="00ED5B67"/>
    <w:rsid w:val="00EE1A5C"/>
    <w:rsid w:val="00EE5F5A"/>
    <w:rsid w:val="00EF264C"/>
    <w:rsid w:val="00EF3FEE"/>
    <w:rsid w:val="00EF6B41"/>
    <w:rsid w:val="00F04B59"/>
    <w:rsid w:val="00F07B69"/>
    <w:rsid w:val="00F11741"/>
    <w:rsid w:val="00F117B0"/>
    <w:rsid w:val="00F12B1C"/>
    <w:rsid w:val="00F13CF8"/>
    <w:rsid w:val="00F15855"/>
    <w:rsid w:val="00F200B2"/>
    <w:rsid w:val="00F227DC"/>
    <w:rsid w:val="00F30701"/>
    <w:rsid w:val="00F32978"/>
    <w:rsid w:val="00F45CB2"/>
    <w:rsid w:val="00F511F3"/>
    <w:rsid w:val="00F544C0"/>
    <w:rsid w:val="00F55332"/>
    <w:rsid w:val="00F6156E"/>
    <w:rsid w:val="00F6504A"/>
    <w:rsid w:val="00F65519"/>
    <w:rsid w:val="00F66D9F"/>
    <w:rsid w:val="00F713C0"/>
    <w:rsid w:val="00F75DDC"/>
    <w:rsid w:val="00F7792F"/>
    <w:rsid w:val="00F842AA"/>
    <w:rsid w:val="00F8476F"/>
    <w:rsid w:val="00F853E1"/>
    <w:rsid w:val="00F85604"/>
    <w:rsid w:val="00F93809"/>
    <w:rsid w:val="00F94B7A"/>
    <w:rsid w:val="00FA17AC"/>
    <w:rsid w:val="00FA32DE"/>
    <w:rsid w:val="00FA3382"/>
    <w:rsid w:val="00FA59CD"/>
    <w:rsid w:val="00FB0CDC"/>
    <w:rsid w:val="00FB1740"/>
    <w:rsid w:val="00FB4235"/>
    <w:rsid w:val="00FC4446"/>
    <w:rsid w:val="00FC5469"/>
    <w:rsid w:val="00FC6D7D"/>
    <w:rsid w:val="00FD16B0"/>
    <w:rsid w:val="00FD4FED"/>
    <w:rsid w:val="00FE00C8"/>
    <w:rsid w:val="00FE0577"/>
    <w:rsid w:val="00FE2FF8"/>
    <w:rsid w:val="00FE59EC"/>
    <w:rsid w:val="00FE5B67"/>
    <w:rsid w:val="00FE60D6"/>
    <w:rsid w:val="00FF40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4577"/>
    <o:shapelayout v:ext="edit">
      <o:idmap v:ext="edit" data="1"/>
    </o:shapelayout>
  </w:shapeDefaults>
  <w:decimalSymbol w:val="."/>
  <w:listSeparator w:val=","/>
  <w15:docId w15:val="{1E45384E-DB63-47E4-B13D-4B316D8EEB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BodyText"/>
    <w:link w:val="Heading1Char"/>
    <w:qFormat/>
    <w:pPr>
      <w:keepNext/>
      <w:spacing w:after="240"/>
      <w:jc w:val="both"/>
      <w:outlineLvl w:val="0"/>
    </w:pPr>
    <w:rPr>
      <w:rFonts w:cs="Arial"/>
      <w:bCs/>
      <w:kern w:val="32"/>
      <w:szCs w:val="32"/>
    </w:rPr>
  </w:style>
  <w:style w:type="paragraph" w:styleId="Heading2">
    <w:name w:val="heading 2"/>
    <w:basedOn w:val="Normal"/>
    <w:next w:val="BodyText"/>
    <w:link w:val="Heading2Char"/>
    <w:qFormat/>
    <w:pPr>
      <w:keepNext/>
      <w:spacing w:after="240"/>
      <w:jc w:val="both"/>
      <w:outlineLvl w:val="1"/>
    </w:pPr>
    <w:rPr>
      <w:rFonts w:cs="Arial"/>
      <w:bCs/>
      <w:iCs/>
      <w:szCs w:val="28"/>
    </w:rPr>
  </w:style>
  <w:style w:type="paragraph" w:styleId="Heading3">
    <w:name w:val="heading 3"/>
    <w:basedOn w:val="BodyText"/>
    <w:next w:val="BodyText"/>
    <w:qFormat/>
    <w:pPr>
      <w:outlineLvl w:val="2"/>
    </w:pPr>
  </w:style>
  <w:style w:type="paragraph" w:styleId="Heading4">
    <w:name w:val="heading 4"/>
    <w:basedOn w:val="Normal"/>
    <w:next w:val="Normal"/>
    <w:qFormat/>
    <w:pPr>
      <w:keepNext/>
      <w:spacing w:before="240" w:after="60"/>
      <w:outlineLvl w:val="3"/>
    </w:pPr>
    <w:rPr>
      <w:b/>
      <w:bCs/>
      <w:sz w:val="28"/>
      <w:szCs w:val="28"/>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paragraph" w:styleId="Heading7">
    <w:name w:val="heading 7"/>
    <w:basedOn w:val="Normal"/>
    <w:next w:val="Normal"/>
    <w:qFormat/>
    <w:pPr>
      <w:spacing w:before="240" w:after="60"/>
      <w:outlineLvl w:val="6"/>
    </w:pPr>
  </w:style>
  <w:style w:type="paragraph" w:styleId="Heading8">
    <w:name w:val="heading 8"/>
    <w:basedOn w:val="Normal"/>
    <w:next w:val="Normal"/>
    <w:qFormat/>
    <w:pPr>
      <w:spacing w:before="240" w:after="60"/>
      <w:outlineLvl w:val="7"/>
    </w:pPr>
    <w:rPr>
      <w:i/>
      <w:iCs/>
    </w:rPr>
  </w:style>
  <w:style w:type="paragraph" w:styleId="Heading9">
    <w:name w:val="heading 9"/>
    <w:basedOn w:val="Normal"/>
    <w:next w:val="Normal"/>
    <w:qFormat/>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036CE2"/>
    <w:pPr>
      <w:spacing w:after="240"/>
      <w:jc w:val="both"/>
    </w:pPr>
  </w:style>
  <w:style w:type="character" w:customStyle="1" w:styleId="BodyTextChar">
    <w:name w:val="Body Text Char"/>
    <w:link w:val="BodyText"/>
    <w:rsid w:val="00036CE2"/>
    <w:rPr>
      <w:sz w:val="24"/>
      <w:szCs w:val="24"/>
    </w:rPr>
  </w:style>
  <w:style w:type="character" w:customStyle="1" w:styleId="Heading1Char">
    <w:name w:val="Heading 1 Char"/>
    <w:link w:val="Heading1"/>
    <w:rPr>
      <w:rFonts w:cs="Arial"/>
      <w:bCs/>
      <w:kern w:val="32"/>
      <w:sz w:val="24"/>
      <w:szCs w:val="32"/>
      <w:lang w:val="en-US" w:eastAsia="en-US" w:bidi="ar-SA"/>
    </w:rPr>
  </w:style>
  <w:style w:type="character" w:customStyle="1" w:styleId="Heading2Char">
    <w:name w:val="Heading 2 Char"/>
    <w:link w:val="Heading2"/>
    <w:rPr>
      <w:rFonts w:cs="Arial"/>
      <w:bCs/>
      <w:iCs/>
      <w:sz w:val="24"/>
      <w:szCs w:val="28"/>
      <w:lang w:val="en-US" w:eastAsia="en-US" w:bidi="ar-SA"/>
    </w:rPr>
  </w:style>
  <w:style w:type="paragraph" w:styleId="Header">
    <w:name w:val="header"/>
    <w:basedOn w:val="Normal"/>
    <w:pPr>
      <w:tabs>
        <w:tab w:val="center" w:pos="4320"/>
        <w:tab w:val="right" w:pos="8640"/>
      </w:tabs>
      <w:jc w:val="both"/>
    </w:pPr>
  </w:style>
  <w:style w:type="paragraph" w:styleId="Footer">
    <w:name w:val="footer"/>
    <w:basedOn w:val="Normal"/>
    <w:pPr>
      <w:tabs>
        <w:tab w:val="center" w:pos="4320"/>
        <w:tab w:val="right" w:pos="8640"/>
      </w:tabs>
    </w:pPr>
  </w:style>
  <w:style w:type="paragraph" w:customStyle="1" w:styleId="MemoAddresses">
    <w:name w:val="Memo Addresses"/>
    <w:basedOn w:val="Normal"/>
    <w:next w:val="Normal"/>
    <w:pPr>
      <w:spacing w:before="120"/>
      <w:ind w:left="1008" w:hanging="1008"/>
      <w:jc w:val="both"/>
    </w:pPr>
  </w:style>
  <w:style w:type="paragraph" w:customStyle="1" w:styleId="MastHeadPSC">
    <w:name w:val="MastHead PSC"/>
    <w:basedOn w:val="Normal"/>
    <w:next w:val="Normal"/>
    <w:rsid w:val="00E567E8"/>
    <w:pPr>
      <w:jc w:val="center"/>
    </w:pPr>
    <w:rPr>
      <w:b/>
      <w:sz w:val="48"/>
      <w:szCs w:val="48"/>
    </w:rPr>
  </w:style>
  <w:style w:type="paragraph" w:customStyle="1" w:styleId="MastHeadMemorandum">
    <w:name w:val="MastHead Memorandum"/>
    <w:basedOn w:val="Normal"/>
    <w:next w:val="Normal"/>
    <w:pPr>
      <w:jc w:val="center"/>
    </w:pPr>
    <w:rPr>
      <w:b/>
      <w:sz w:val="28"/>
      <w:szCs w:val="28"/>
    </w:rPr>
  </w:style>
  <w:style w:type="paragraph" w:customStyle="1" w:styleId="MastHeadAddress">
    <w:name w:val="MastHead Address"/>
    <w:basedOn w:val="Normal"/>
    <w:next w:val="Normal"/>
    <w:pPr>
      <w:spacing w:after="200"/>
      <w:jc w:val="center"/>
    </w:pPr>
    <w:rPr>
      <w:b/>
      <w:smallCaps/>
      <w:sz w:val="20"/>
      <w:szCs w:val="20"/>
    </w:rPr>
  </w:style>
  <w:style w:type="paragraph" w:customStyle="1" w:styleId="MastHeadState">
    <w:name w:val="MastHead State"/>
    <w:basedOn w:val="Normal"/>
    <w:next w:val="Normal"/>
    <w:pPr>
      <w:jc w:val="center"/>
    </w:pPr>
    <w:rPr>
      <w:b/>
      <w:sz w:val="28"/>
      <w:szCs w:val="28"/>
    </w:rPr>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emoHeading">
    <w:name w:val="Memo Heading"/>
    <w:basedOn w:val="Normal"/>
    <w:next w:val="Normal"/>
    <w:pPr>
      <w:jc w:val="both"/>
    </w:pPr>
  </w:style>
  <w:style w:type="paragraph" w:customStyle="1" w:styleId="BlockText5">
    <w:name w:val="Block Text .5&quot;"/>
    <w:basedOn w:val="Normal"/>
    <w:pPr>
      <w:spacing w:after="120"/>
      <w:ind w:left="720" w:right="720"/>
    </w:pPr>
  </w:style>
  <w:style w:type="paragraph" w:customStyle="1" w:styleId="BlockText1">
    <w:name w:val="Block Text 1&quot;"/>
    <w:basedOn w:val="Normal"/>
    <w:pPr>
      <w:spacing w:after="120"/>
      <w:ind w:left="1440" w:right="1440"/>
    </w:pPr>
  </w:style>
  <w:style w:type="paragraph" w:customStyle="1" w:styleId="BlockText15">
    <w:name w:val="Block Text 1.5&quot;"/>
    <w:basedOn w:val="Normal"/>
    <w:pPr>
      <w:spacing w:after="120"/>
      <w:ind w:left="2160" w:right="2160"/>
    </w:pPr>
  </w:style>
  <w:style w:type="paragraph" w:customStyle="1" w:styleId="IssueHeading">
    <w:name w:val="Issue Heading"/>
    <w:basedOn w:val="Heading1"/>
    <w:next w:val="BodyText"/>
    <w:link w:val="IssueHeadingChar"/>
    <w:qFormat/>
    <w:rsid w:val="00920E64"/>
    <w:pPr>
      <w:keepNext w:val="0"/>
    </w:pPr>
    <w:rPr>
      <w:rFonts w:ascii="Arial" w:hAnsi="Arial"/>
      <w:b/>
      <w:i/>
    </w:rPr>
  </w:style>
  <w:style w:type="character" w:customStyle="1" w:styleId="IssueHeadingChar">
    <w:name w:val="Issue Heading Char"/>
    <w:link w:val="IssueHeading"/>
    <w:rsid w:val="00920E64"/>
    <w:rPr>
      <w:rFonts w:ascii="Arial" w:hAnsi="Arial" w:cs="Arial"/>
      <w:b/>
      <w:bCs/>
      <w:i/>
      <w:kern w:val="32"/>
      <w:sz w:val="24"/>
      <w:szCs w:val="32"/>
    </w:rPr>
  </w:style>
  <w:style w:type="paragraph" w:customStyle="1" w:styleId="MemoHeadingRe">
    <w:name w:val="Memo Heading Re"/>
    <w:basedOn w:val="MemoHeading"/>
    <w:pPr>
      <w:tabs>
        <w:tab w:val="left" w:pos="2520"/>
        <w:tab w:val="left" w:pos="2736"/>
      </w:tabs>
    </w:pPr>
  </w:style>
  <w:style w:type="paragraph" w:styleId="TOC1">
    <w:name w:val="toc 1"/>
    <w:basedOn w:val="Normal"/>
    <w:next w:val="Normal"/>
    <w:pPr>
      <w:tabs>
        <w:tab w:val="left" w:pos="864"/>
        <w:tab w:val="right" w:leader="dot" w:pos="9360"/>
      </w:tabs>
      <w:ind w:left="864" w:right="360" w:hanging="864"/>
    </w:pPr>
  </w:style>
  <w:style w:type="character" w:styleId="Hyperlink">
    <w:name w:val="Hyperlink"/>
    <w:rPr>
      <w:color w:val="0000FF"/>
      <w:u w:val="single"/>
    </w:rPr>
  </w:style>
  <w:style w:type="paragraph" w:customStyle="1" w:styleId="RecommendationMajorSectionHeading">
    <w:name w:val="Recommendation Major Section Heading"/>
    <w:basedOn w:val="Heading1"/>
    <w:next w:val="BodyText"/>
    <w:rsid w:val="00F55332"/>
    <w:pPr>
      <w:jc w:val="center"/>
    </w:pPr>
    <w:rPr>
      <w:rFonts w:ascii="Arial" w:hAnsi="Arial"/>
      <w:b/>
    </w:rPr>
  </w:style>
  <w:style w:type="paragraph" w:customStyle="1" w:styleId="IssueSubsectionHeading">
    <w:name w:val="Issue Subsection Heading"/>
    <w:basedOn w:val="Heading2"/>
    <w:next w:val="BodyText"/>
    <w:link w:val="IssueSubsectionHeadingChar"/>
    <w:qFormat/>
    <w:rsid w:val="00920E64"/>
    <w:pPr>
      <w:keepNext w:val="0"/>
    </w:pPr>
    <w:rPr>
      <w:rFonts w:ascii="Arial" w:hAnsi="Arial"/>
      <w:b/>
      <w:i/>
    </w:rPr>
  </w:style>
  <w:style w:type="character" w:customStyle="1" w:styleId="IssueSubsectionHeadingChar">
    <w:name w:val="Issue Subsection Heading Char"/>
    <w:link w:val="IssueSubsectionHeading"/>
    <w:rsid w:val="00920E64"/>
    <w:rPr>
      <w:rFonts w:ascii="Arial" w:hAnsi="Arial" w:cs="Arial"/>
      <w:b/>
      <w:bCs/>
      <w:i/>
      <w:iCs/>
      <w:sz w:val="24"/>
      <w:szCs w:val="28"/>
    </w:rPr>
  </w:style>
  <w:style w:type="paragraph" w:customStyle="1" w:styleId="RecommendationHeading">
    <w:name w:val="Recommendation Heading"/>
    <w:basedOn w:val="Heading1"/>
    <w:next w:val="BodyText"/>
    <w:pPr>
      <w:keepNext w:val="0"/>
      <w:jc w:val="center"/>
    </w:pPr>
    <w:rPr>
      <w:b/>
      <w:u w:val="single"/>
    </w:rPr>
  </w:style>
  <w:style w:type="paragraph" w:customStyle="1" w:styleId="DiscussionofIssues">
    <w:name w:val="Discussion of Issues"/>
    <w:basedOn w:val="RecommendationMajorSectionHeading"/>
    <w:next w:val="BodyText"/>
    <w:pPr>
      <w:spacing w:after="0"/>
    </w:pPr>
  </w:style>
  <w:style w:type="character" w:styleId="PageNumber">
    <w:name w:val="page number"/>
    <w:basedOn w:val="DefaultParagraphFont"/>
  </w:style>
  <w:style w:type="paragraph" w:customStyle="1" w:styleId="TOCColumnHeadings">
    <w:name w:val="TOC Column Headings"/>
    <w:basedOn w:val="Normal"/>
    <w:rsid w:val="003864CF"/>
    <w:pPr>
      <w:tabs>
        <w:tab w:val="left" w:pos="864"/>
        <w:tab w:val="right" w:pos="9360"/>
      </w:tabs>
    </w:pPr>
    <w:rPr>
      <w:rFonts w:ascii="Arial" w:hAnsi="Arial"/>
      <w:b/>
      <w:i/>
    </w:rPr>
  </w:style>
  <w:style w:type="table" w:customStyle="1" w:styleId="TableMasthead">
    <w:name w:val="Table Masthead"/>
    <w:basedOn w:val="TableGrid"/>
    <w:tblPr/>
  </w:style>
  <w:style w:type="paragraph" w:customStyle="1" w:styleId="StyleHeading1BoldUnderline">
    <w:name w:val="Style Heading 1 + Bold Underline"/>
    <w:basedOn w:val="Heading1"/>
    <w:link w:val="StyleHeading1BoldUnderlineChar"/>
    <w:pPr>
      <w:keepNext w:val="0"/>
      <w:spacing w:before="240"/>
    </w:pPr>
    <w:rPr>
      <w:b/>
      <w:u w:val="single"/>
    </w:rPr>
  </w:style>
  <w:style w:type="character" w:customStyle="1" w:styleId="StyleHeading1BoldUnderlineChar">
    <w:name w:val="Style Heading 1 + Bold Underline Char"/>
    <w:link w:val="StyleHeading1BoldUnderline"/>
    <w:rPr>
      <w:rFonts w:cs="Arial"/>
      <w:b/>
      <w:bCs/>
      <w:kern w:val="32"/>
      <w:sz w:val="24"/>
      <w:szCs w:val="32"/>
      <w:u w:val="single"/>
      <w:lang w:val="en-US" w:eastAsia="en-US" w:bidi="ar-SA"/>
    </w:rPr>
  </w:style>
  <w:style w:type="paragraph" w:customStyle="1" w:styleId="RecommendationIssueGroupingSection">
    <w:name w:val="Recommendation Issue Grouping Section"/>
    <w:basedOn w:val="RecommendationMajorSectionHeading"/>
    <w:next w:val="IssueHeading"/>
    <w:pPr>
      <w:jc w:val="left"/>
    </w:pPr>
  </w:style>
  <w:style w:type="paragraph" w:styleId="FootnoteText">
    <w:name w:val="footnote text"/>
    <w:basedOn w:val="Normal"/>
    <w:pPr>
      <w:jc w:val="both"/>
    </w:pPr>
    <w:rPr>
      <w:sz w:val="20"/>
      <w:szCs w:val="20"/>
    </w:rPr>
  </w:style>
  <w:style w:type="paragraph" w:styleId="TOC3">
    <w:name w:val="toc 3"/>
    <w:basedOn w:val="TOC2"/>
    <w:next w:val="Normal"/>
    <w:pPr>
      <w:tabs>
        <w:tab w:val="clear" w:pos="1152"/>
        <w:tab w:val="left" w:pos="1584"/>
      </w:tabs>
      <w:ind w:left="1584" w:hanging="432"/>
    </w:pPr>
  </w:style>
  <w:style w:type="paragraph" w:styleId="TOC2">
    <w:name w:val="toc 2"/>
    <w:basedOn w:val="TOC1"/>
    <w:next w:val="Normal"/>
    <w:pPr>
      <w:tabs>
        <w:tab w:val="clear" w:pos="864"/>
        <w:tab w:val="left" w:pos="1152"/>
      </w:tabs>
      <w:ind w:left="1152" w:hanging="288"/>
    </w:pPr>
  </w:style>
  <w:style w:type="paragraph" w:styleId="DocumentMap">
    <w:name w:val="Document Map"/>
    <w:basedOn w:val="Normal"/>
    <w:semiHidden/>
    <w:pPr>
      <w:shd w:val="clear" w:color="auto" w:fill="000080"/>
    </w:pPr>
    <w:rPr>
      <w:rFonts w:ascii="Tahoma" w:hAnsi="Tahoma" w:cs="Tahoma"/>
    </w:rPr>
  </w:style>
  <w:style w:type="paragraph" w:styleId="BalloonText">
    <w:name w:val="Balloon Text"/>
    <w:basedOn w:val="Normal"/>
    <w:semiHidden/>
    <w:rPr>
      <w:rFonts w:ascii="Tahoma" w:hAnsi="Tahoma" w:cs="Tahoma"/>
      <w:sz w:val="16"/>
      <w:szCs w:val="16"/>
    </w:r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spacing w:after="120"/>
      <w:ind w:firstLine="210"/>
      <w:jc w:val="left"/>
    </w:pPr>
  </w:style>
  <w:style w:type="paragraph" w:styleId="BodyTextIndent">
    <w:name w:val="Body Text Indent"/>
    <w:basedOn w:val="Normal"/>
    <w:pPr>
      <w:spacing w:after="120"/>
      <w:ind w:left="360"/>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360"/>
    </w:pPr>
  </w:style>
  <w:style w:type="paragraph" w:styleId="BodyTextIndent3">
    <w:name w:val="Body Text Indent 3"/>
    <w:basedOn w:val="Normal"/>
    <w:pPr>
      <w:spacing w:after="120"/>
      <w:ind w:left="360"/>
    </w:pPr>
    <w:rPr>
      <w:sz w:val="16"/>
      <w:szCs w:val="16"/>
    </w:rPr>
  </w:style>
  <w:style w:type="paragraph" w:styleId="Caption">
    <w:name w:val="caption"/>
    <w:basedOn w:val="Normal"/>
    <w:next w:val="Normal"/>
    <w:qFormat/>
    <w:pPr>
      <w:spacing w:before="120" w:after="120"/>
    </w:pPr>
    <w:rPr>
      <w:b/>
      <w:bCs/>
      <w:sz w:val="20"/>
      <w:szCs w:val="20"/>
    </w:rPr>
  </w:style>
  <w:style w:type="paragraph" w:styleId="Closing">
    <w:name w:val="Closing"/>
    <w:basedOn w:val="Normal"/>
    <w:pPr>
      <w:ind w:left="4320"/>
    </w:pPr>
  </w:style>
  <w:style w:type="paragraph" w:styleId="CommentText">
    <w:name w:val="annotation text"/>
    <w:basedOn w:val="Normal"/>
    <w:semiHidden/>
    <w:rPr>
      <w:sz w:val="20"/>
      <w:szCs w:val="20"/>
    </w:rPr>
  </w:style>
  <w:style w:type="paragraph" w:styleId="CommentSubject">
    <w:name w:val="annotation subject"/>
    <w:basedOn w:val="CommentText"/>
    <w:next w:val="CommentText"/>
    <w:semiHidden/>
    <w:rPr>
      <w:b/>
      <w:bCs/>
    </w:rPr>
  </w:style>
  <w:style w:type="paragraph" w:styleId="Date">
    <w:name w:val="Date"/>
    <w:basedOn w:val="Normal"/>
    <w:next w:val="Normal"/>
  </w:style>
  <w:style w:type="paragraph" w:styleId="E-mailSignature">
    <w:name w:val="E-mail Signature"/>
    <w:basedOn w:val="Normal"/>
  </w:style>
  <w:style w:type="paragraph" w:styleId="EndnoteText">
    <w:name w:val="endnote text"/>
    <w:basedOn w:val="Normal"/>
    <w:semiHidden/>
    <w:rPr>
      <w:sz w:val="20"/>
      <w:szCs w:val="20"/>
    </w:rPr>
  </w:style>
  <w:style w:type="paragraph" w:styleId="EnvelopeAddress">
    <w:name w:val="envelope address"/>
    <w:basedOn w:val="Normal"/>
    <w:pPr>
      <w:framePr w:w="7920" w:h="1980" w:hRule="exact" w:hSpace="180" w:wrap="auto" w:hAnchor="page" w:xAlign="center" w:yAlign="bottom"/>
      <w:ind w:left="2880"/>
    </w:pPr>
    <w:rPr>
      <w:rFonts w:ascii="Arial" w:hAnsi="Arial" w:cs="Arial"/>
    </w:rPr>
  </w:style>
  <w:style w:type="paragraph" w:styleId="EnvelopeReturn">
    <w:name w:val="envelope return"/>
    <w:basedOn w:val="Normal"/>
    <w:rPr>
      <w:rFonts w:ascii="Arial" w:hAnsi="Arial" w:cs="Arial"/>
      <w:sz w:val="20"/>
      <w:szCs w:val="20"/>
    </w:rPr>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szCs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rFonts w:ascii="Arial" w:hAnsi="Arial" w:cs="Arial"/>
      <w:b/>
      <w:bCs/>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tabs>
        <w:tab w:val="num" w:pos="360"/>
      </w:tabs>
      <w:ind w:left="360" w:hanging="360"/>
    </w:pPr>
  </w:style>
  <w:style w:type="paragraph" w:styleId="ListBullet2">
    <w:name w:val="List Bullet 2"/>
    <w:basedOn w:val="Normal"/>
    <w:autoRedefine/>
    <w:pPr>
      <w:tabs>
        <w:tab w:val="num" w:pos="720"/>
      </w:tabs>
      <w:ind w:left="720" w:hanging="360"/>
    </w:pPr>
  </w:style>
  <w:style w:type="paragraph" w:styleId="ListBullet3">
    <w:name w:val="List Bullet 3"/>
    <w:basedOn w:val="Normal"/>
    <w:autoRedefine/>
    <w:pPr>
      <w:tabs>
        <w:tab w:val="num" w:pos="1080"/>
      </w:tabs>
      <w:ind w:left="1080" w:hanging="360"/>
    </w:pPr>
  </w:style>
  <w:style w:type="paragraph" w:styleId="ListBullet4">
    <w:name w:val="List Bullet 4"/>
    <w:basedOn w:val="Normal"/>
    <w:autoRedefine/>
    <w:pPr>
      <w:tabs>
        <w:tab w:val="num" w:pos="1440"/>
      </w:tabs>
      <w:ind w:left="1440" w:hanging="360"/>
    </w:pPr>
  </w:style>
  <w:style w:type="paragraph" w:styleId="ListBullet5">
    <w:name w:val="List Bullet 5"/>
    <w:basedOn w:val="Normal"/>
    <w:autoRedefine/>
    <w:pPr>
      <w:tabs>
        <w:tab w:val="num" w:pos="1800"/>
      </w:tabs>
      <w:ind w:left="1800" w:hanging="360"/>
    </w:pPr>
  </w:style>
  <w:style w:type="paragraph" w:styleId="ListContinue">
    <w:name w:val="List Continue"/>
    <w:basedOn w:val="Normal"/>
    <w:pPr>
      <w:spacing w:after="120"/>
      <w:ind w:left="360"/>
    </w:pPr>
  </w:style>
  <w:style w:type="paragraph" w:styleId="ListContinue2">
    <w:name w:val="List Continue 2"/>
    <w:basedOn w:val="Normal"/>
    <w:pPr>
      <w:spacing w:after="120"/>
      <w:ind w:left="720"/>
    </w:pPr>
  </w:style>
  <w:style w:type="paragraph" w:styleId="ListContinue3">
    <w:name w:val="List Continue 3"/>
    <w:basedOn w:val="Normal"/>
    <w:pPr>
      <w:spacing w:after="120"/>
      <w:ind w:left="1080"/>
    </w:pPr>
  </w:style>
  <w:style w:type="paragraph" w:styleId="ListContinue4">
    <w:name w:val="List Continue 4"/>
    <w:basedOn w:val="Normal"/>
    <w:pPr>
      <w:spacing w:after="120"/>
      <w:ind w:left="1440"/>
    </w:pPr>
  </w:style>
  <w:style w:type="paragraph" w:styleId="ListContinue5">
    <w:name w:val="List Continue 5"/>
    <w:basedOn w:val="Normal"/>
    <w:pPr>
      <w:spacing w:after="120"/>
      <w:ind w:left="1800"/>
    </w:pPr>
  </w:style>
  <w:style w:type="paragraph" w:styleId="ListNumber">
    <w:name w:val="List Number"/>
    <w:basedOn w:val="Normal"/>
    <w:pPr>
      <w:tabs>
        <w:tab w:val="num" w:pos="360"/>
      </w:tabs>
      <w:ind w:left="360" w:hanging="360"/>
    </w:pPr>
  </w:style>
  <w:style w:type="paragraph" w:styleId="ListNumber2">
    <w:name w:val="List Number 2"/>
    <w:basedOn w:val="Normal"/>
    <w:pPr>
      <w:tabs>
        <w:tab w:val="num" w:pos="720"/>
      </w:tabs>
      <w:ind w:left="720" w:hanging="360"/>
    </w:pPr>
  </w:style>
  <w:style w:type="paragraph" w:styleId="ListNumber3">
    <w:name w:val="List Number 3"/>
    <w:basedOn w:val="Normal"/>
    <w:pPr>
      <w:tabs>
        <w:tab w:val="num" w:pos="1080"/>
      </w:tabs>
      <w:ind w:left="1080" w:hanging="360"/>
    </w:pPr>
  </w:style>
  <w:style w:type="paragraph" w:styleId="ListNumber4">
    <w:name w:val="List Number 4"/>
    <w:basedOn w:val="Normal"/>
    <w:pPr>
      <w:tabs>
        <w:tab w:val="num" w:pos="1440"/>
      </w:tabs>
      <w:ind w:left="1440" w:hanging="360"/>
    </w:pPr>
  </w:style>
  <w:style w:type="paragraph" w:styleId="ListNumber5">
    <w:name w:val="List Number 5"/>
    <w:basedOn w:val="Normal"/>
    <w:pPr>
      <w:tabs>
        <w:tab w:val="num" w:pos="1800"/>
      </w:tabs>
      <w:ind w:left="1800" w:hanging="360"/>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cs="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rPr>
  </w:style>
  <w:style w:type="paragraph" w:styleId="NormalWeb">
    <w:name w:val="Normal (Web)"/>
    <w:basedOn w:val="Normal"/>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cs="Courier New"/>
      <w:sz w:val="20"/>
      <w:szCs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rPr>
      <w:rFonts w:ascii="Arial" w:hAnsi="Arial" w:cs="Arial"/>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rPr>
  </w:style>
  <w:style w:type="paragraph" w:styleId="TOC4">
    <w:name w:val="toc 4"/>
    <w:basedOn w:val="Normal"/>
    <w:next w:val="Normal"/>
    <w:autoRedefine/>
    <w:semiHidden/>
    <w:pPr>
      <w:ind w:left="720"/>
    </w:pPr>
  </w:style>
  <w:style w:type="paragraph" w:styleId="TOC5">
    <w:name w:val="toc 5"/>
    <w:basedOn w:val="Normal"/>
    <w:next w:val="Normal"/>
    <w:autoRedefine/>
    <w:semiHidden/>
    <w:pPr>
      <w:ind w:left="960"/>
    </w:pPr>
  </w:style>
  <w:style w:type="paragraph" w:styleId="TOC6">
    <w:name w:val="toc 6"/>
    <w:basedOn w:val="Normal"/>
    <w:next w:val="Normal"/>
    <w:autoRedefine/>
    <w:semiHidden/>
    <w:pPr>
      <w:ind w:left="1200"/>
    </w:pPr>
  </w:style>
  <w:style w:type="paragraph" w:styleId="TOC9">
    <w:name w:val="toc 9"/>
    <w:basedOn w:val="TOC1"/>
    <w:next w:val="Normal"/>
    <w:autoRedefine/>
    <w:pPr>
      <w:ind w:left="1728"/>
    </w:pPr>
    <w:rPr>
      <w:u w:val="single"/>
    </w:rPr>
  </w:style>
  <w:style w:type="paragraph" w:customStyle="1" w:styleId="MemoHeadingLabel">
    <w:name w:val="Memo Heading Label"/>
    <w:basedOn w:val="MemoHeading"/>
    <w:qFormat/>
    <w:rsid w:val="00506C03"/>
    <w:rPr>
      <w:rFonts w:ascii="Arial" w:hAnsi="Arial"/>
      <w:b/>
    </w:rPr>
  </w:style>
  <w:style w:type="paragraph" w:customStyle="1" w:styleId="First-LevelSubheading">
    <w:name w:val="First-Level Subheading"/>
    <w:basedOn w:val="IssueSubsectionHeading"/>
    <w:next w:val="BodyText"/>
    <w:qFormat/>
    <w:rsid w:val="00B57A6A"/>
    <w:pPr>
      <w:spacing w:after="0"/>
      <w:outlineLvl w:val="2"/>
    </w:pPr>
    <w:rPr>
      <w:i w:val="0"/>
    </w:rPr>
  </w:style>
  <w:style w:type="paragraph" w:customStyle="1" w:styleId="Second-LevelSubheading">
    <w:name w:val="Second-Level Subheading"/>
    <w:basedOn w:val="First-LevelSubheading"/>
    <w:next w:val="BodyText"/>
    <w:qFormat/>
    <w:rsid w:val="009070D6"/>
    <w:pPr>
      <w:ind w:left="720"/>
      <w:outlineLvl w:val="3"/>
    </w:pPr>
    <w:rPr>
      <w:i/>
    </w:rPr>
  </w:style>
  <w:style w:type="paragraph" w:customStyle="1" w:styleId="TableNumber">
    <w:name w:val="Table Number"/>
    <w:basedOn w:val="BodyText"/>
    <w:next w:val="BodyText"/>
    <w:qFormat/>
    <w:rsid w:val="00CA2C8F"/>
    <w:pPr>
      <w:spacing w:before="480" w:after="0"/>
      <w:jc w:val="center"/>
    </w:pPr>
    <w:rPr>
      <w:rFonts w:ascii="Arial" w:hAnsi="Arial"/>
      <w:b/>
    </w:rPr>
  </w:style>
  <w:style w:type="paragraph" w:customStyle="1" w:styleId="TableTitle">
    <w:name w:val="Table Title"/>
    <w:basedOn w:val="BodyText"/>
    <w:next w:val="BodyText"/>
    <w:qFormat/>
    <w:rsid w:val="00CA2C8F"/>
    <w:pPr>
      <w:spacing w:after="0"/>
      <w:jc w:val="center"/>
    </w:pPr>
    <w:rPr>
      <w:rFonts w:ascii="Arial" w:hAnsi="Arial"/>
      <w:b/>
    </w:rPr>
  </w:style>
  <w:style w:type="paragraph" w:customStyle="1" w:styleId="TableSource">
    <w:name w:val="Table Source"/>
    <w:basedOn w:val="BodyText"/>
    <w:next w:val="BodyText"/>
    <w:qFormat/>
    <w:rsid w:val="00CA2C8F"/>
    <w:pPr>
      <w:spacing w:after="480"/>
    </w:pPr>
  </w:style>
  <w:style w:type="paragraph" w:customStyle="1" w:styleId="PartyName">
    <w:name w:val="Party Name"/>
    <w:basedOn w:val="IssueSubsectionHeading"/>
    <w:next w:val="BodyText"/>
    <w:qFormat/>
    <w:rsid w:val="00920E64"/>
    <w:rPr>
      <w:i w:val="0"/>
    </w:rPr>
  </w:style>
  <w:style w:type="paragraph" w:customStyle="1" w:styleId="Third-LevelSubheading">
    <w:name w:val="Third-Level Subheading"/>
    <w:basedOn w:val="Second-LevelSubheading"/>
    <w:next w:val="BodyText"/>
    <w:qFormat/>
    <w:rsid w:val="00E275D8"/>
    <w:pPr>
      <w:ind w:left="1440"/>
      <w:outlineLvl w:val="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4.xml"/></Relationships>
</file>

<file path=word/_rels/settings.xml.rels><?xml version="1.0" encoding="UTF-8" standalone="yes"?>
<Relationships xmlns="http://schemas.openxmlformats.org/package/2006/relationships"><Relationship Id="rId1" Type="http://schemas.openxmlformats.org/officeDocument/2006/relationships/attachedTemplate" Target="file:///s:\apps\msword\templates\PSC\Recommendation%20(Regula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Recommendation (Regular)</Template>
  <TotalTime>0</TotalTime>
  <Pages>7</Pages>
  <Words>1658</Words>
  <Characters>9674</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Recommendation</vt:lpstr>
    </vt:vector>
  </TitlesOfParts>
  <Company>Florida Public Service Commission</Company>
  <LinksUpToDate>false</LinksUpToDate>
  <CharactersWithSpaces>11310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Recommendation</dc:title>
  <dc:creator>Dale Buys</dc:creator>
  <cp:lastModifiedBy>Hanna Black</cp:lastModifiedBy>
  <cp:revision>2</cp:revision>
  <cp:lastPrinted>2004-01-27T20:32:00Z</cp:lastPrinted>
  <dcterms:created xsi:type="dcterms:W3CDTF">2022-09-22T13:16:00Z</dcterms:created>
  <dcterms:modified xsi:type="dcterms:W3CDTF">2022-09-22T13:16:00Z</dcterms:modified>
  <cp:category>recommendation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ketList">
    <vt:lpwstr>20220146-PU</vt:lpwstr>
  </property>
  <property fmtid="{D5CDD505-2E9C-101B-9397-08002B2CF9AE}" pid="3" name="MasterDocument">
    <vt:bool>false</vt:bool>
  </property>
</Properties>
</file>