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036C2">
            <w:pPr>
              <w:pStyle w:val="MemoHeading"/>
            </w:pPr>
            <w:bookmarkStart w:id="1" w:name="FilingDate"/>
            <w:r>
              <w:t>September 22,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A036C2">
            <w:pPr>
              <w:pStyle w:val="MemoHeading"/>
            </w:pPr>
            <w:bookmarkStart w:id="2" w:name="From"/>
            <w:r>
              <w:t>Division of Economics (Ward</w:t>
            </w:r>
            <w:r w:rsidR="00640733">
              <w:t>, Draper</w:t>
            </w:r>
            <w:r>
              <w:t>)</w:t>
            </w:r>
            <w:bookmarkEnd w:id="2"/>
          </w:p>
          <w:p w:rsidR="009D5E86" w:rsidRPr="009D5E86" w:rsidRDefault="009D5E86" w:rsidP="009D5E86">
            <w:r>
              <w:t>Office of the General Counsel (</w:t>
            </w:r>
            <w:r w:rsidR="00640733">
              <w:t>Dose</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036C2">
            <w:pPr>
              <w:pStyle w:val="MemoHeadingRe"/>
            </w:pPr>
            <w:bookmarkStart w:id="3" w:name="Re"/>
            <w:r>
              <w:t>Docket No. 20220151-WU – Petition by Southwest Ocala Utility, Inc. to establish base facility charges for additional meter sizes.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036C2">
            <w:pPr>
              <w:pStyle w:val="MemoHeading"/>
            </w:pPr>
            <w:bookmarkStart w:id="4" w:name="AgendaDate"/>
            <w:r>
              <w:t>10/04/22</w:t>
            </w:r>
            <w:bookmarkEnd w:id="4"/>
            <w:r w:rsidR="007C0528">
              <w:t xml:space="preserve"> – </w:t>
            </w:r>
            <w:bookmarkStart w:id="5" w:name="PermittedStatus"/>
            <w:r>
              <w:t xml:space="preserve">Regular Agenda – </w:t>
            </w:r>
            <w:r w:rsidR="009D5E86">
              <w:t xml:space="preserve">Tariff Filing </w:t>
            </w:r>
            <w:r w:rsidR="009D5E86" w:rsidRPr="009D5E86">
              <w:t>–</w:t>
            </w:r>
            <w:r w:rsidR="009D5E86">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D5E86">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D5E86">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A036C2">
            <w:pPr>
              <w:pStyle w:val="MemoHeading"/>
            </w:pPr>
            <w:bookmarkStart w:id="8" w:name="CriticalDates"/>
            <w:r>
              <w:t>10/09/22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036C2">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932DB" w:rsidRDefault="00B932DB">
      <w:pPr>
        <w:pStyle w:val="BodyText"/>
      </w:pPr>
      <w:r>
        <w:t>Southwest Ocala Utility, Inc. (So</w:t>
      </w:r>
      <w:r w:rsidR="002C2B40">
        <w:t>uthwest Ocala or utility) is a C</w:t>
      </w:r>
      <w:r>
        <w:t xml:space="preserve">lass C utility providing </w:t>
      </w:r>
      <w:r w:rsidR="00D04FBB">
        <w:t>wa</w:t>
      </w:r>
      <w:r w:rsidR="009054DF">
        <w:t xml:space="preserve">ter service to approximately </w:t>
      </w:r>
      <w:r w:rsidR="007F5EB6">
        <w:t xml:space="preserve">539 residential, </w:t>
      </w:r>
      <w:r w:rsidR="009054DF">
        <w:t>10 general service</w:t>
      </w:r>
      <w:r w:rsidR="007F5EB6">
        <w:t>,</w:t>
      </w:r>
      <w:r w:rsidR="009054DF">
        <w:t xml:space="preserve"> </w:t>
      </w:r>
      <w:r w:rsidR="00D04FBB">
        <w:t xml:space="preserve">and </w:t>
      </w:r>
      <w:r w:rsidR="007F5EB6">
        <w:t>two</w:t>
      </w:r>
      <w:r w:rsidR="00D04FBB">
        <w:t xml:space="preserve"> private fire protection customers located in Marion County.</w:t>
      </w:r>
      <w:r w:rsidR="00D04FBB">
        <w:rPr>
          <w:rStyle w:val="FootnoteReference"/>
        </w:rPr>
        <w:footnoteReference w:id="1"/>
      </w:r>
      <w:r w:rsidR="007A70E5">
        <w:t xml:space="preserve"> </w:t>
      </w:r>
      <w:r w:rsidR="00712D20">
        <w:t xml:space="preserve">Southwest Ocala’s </w:t>
      </w:r>
      <w:r w:rsidR="00F0484F">
        <w:t xml:space="preserve">current </w:t>
      </w:r>
      <w:r w:rsidR="00712D20">
        <w:t xml:space="preserve">rates were approved </w:t>
      </w:r>
      <w:r w:rsidR="00F0484F">
        <w:t xml:space="preserve">by the Commission </w:t>
      </w:r>
      <w:r w:rsidR="00712D20">
        <w:t xml:space="preserve">in 2015 in a transfer of </w:t>
      </w:r>
      <w:r w:rsidR="002C2B40">
        <w:t xml:space="preserve">the </w:t>
      </w:r>
      <w:r w:rsidR="00712D20">
        <w:t>util</w:t>
      </w:r>
      <w:r w:rsidR="002C2B40">
        <w:t>ity from County-Wide Utility Co.,</w:t>
      </w:r>
      <w:r w:rsidR="00712D20">
        <w:t xml:space="preserve"> Inc. to Southwest Ocala.</w:t>
      </w:r>
      <w:r w:rsidR="00712D20">
        <w:rPr>
          <w:rStyle w:val="FootnoteReference"/>
        </w:rPr>
        <w:footnoteReference w:id="2"/>
      </w:r>
    </w:p>
    <w:p w:rsidR="00A974E8" w:rsidRDefault="00A974E8">
      <w:pPr>
        <w:pStyle w:val="BodyText"/>
      </w:pPr>
      <w:r>
        <w:t>On August 10, 2022, Southwest Ocala filed a request to add additional base facility charges (BFC) to its tariff for larger mete</w:t>
      </w:r>
      <w:r w:rsidR="009054DF">
        <w:t xml:space="preserve">r sizes for </w:t>
      </w:r>
      <w:r>
        <w:t xml:space="preserve">general service </w:t>
      </w:r>
      <w:r w:rsidR="007A70E5">
        <w:t>customers</w:t>
      </w:r>
      <w:r>
        <w:t xml:space="preserve">. </w:t>
      </w:r>
      <w:r w:rsidR="00E543E0">
        <w:t>On September 9, 2022, the utility filed a corrected tariff sheet</w:t>
      </w:r>
      <w:r w:rsidR="00550C9E">
        <w:t xml:space="preserve"> No. 13.1</w:t>
      </w:r>
      <w:r w:rsidR="00E543E0">
        <w:t xml:space="preserve">. </w:t>
      </w:r>
      <w:r>
        <w:t>Currently, the utility only has Comm</w:t>
      </w:r>
      <w:r w:rsidR="009054DF">
        <w:t>ission-</w:t>
      </w:r>
      <w:r w:rsidR="009054DF">
        <w:lastRenderedPageBreak/>
        <w:t xml:space="preserve">approved </w:t>
      </w:r>
      <w:r>
        <w:t>general service BFCs up to</w:t>
      </w:r>
      <w:r w:rsidR="00D04FBB">
        <w:t xml:space="preserve"> a</w:t>
      </w:r>
      <w:r>
        <w:t xml:space="preserve"> 6</w:t>
      </w:r>
      <w:r w:rsidR="006308DE">
        <w:t>-</w:t>
      </w:r>
      <w:r w:rsidR="00F52C36">
        <w:t>inch</w:t>
      </w:r>
      <w:r w:rsidR="00D04FBB">
        <w:t xml:space="preserve"> meter</w:t>
      </w:r>
      <w:r>
        <w:t xml:space="preserve">. This recommendation addresses the utility’s request to add the additional BFCs for larger meter sizes to </w:t>
      </w:r>
      <w:r w:rsidR="00F52C36">
        <w:t xml:space="preserve">the general service </w:t>
      </w:r>
      <w:r>
        <w:t>tariff</w:t>
      </w:r>
      <w:r w:rsidR="00F52C36">
        <w:t xml:space="preserve"> and</w:t>
      </w:r>
      <w:r>
        <w:t xml:space="preserve"> adjustments to the </w:t>
      </w:r>
      <w:r w:rsidR="006308DE">
        <w:t xml:space="preserve">BFCs in the </w:t>
      </w:r>
      <w:r>
        <w:t xml:space="preserve">private fire protection </w:t>
      </w:r>
      <w:r w:rsidR="007A70E5">
        <w:t>tariff</w:t>
      </w:r>
      <w:r>
        <w:t>. The Commission has jurisdiction pursuant to Section 367.091, Florida Statutes (F.S.).</w:t>
      </w:r>
    </w:p>
    <w:bookmarkEnd w:id="11"/>
    <w:p w:rsidR="00EA2273" w:rsidRDefault="00EA2273" w:rsidP="00A974E8">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A974E8" w:rsidRDefault="00A974E8">
      <w:pPr>
        <w:pStyle w:val="IssueHeading"/>
        <w:rPr>
          <w:vanish/>
          <w:specVanish/>
        </w:rPr>
      </w:pPr>
      <w:r w:rsidRPr="004C3641">
        <w:t xml:space="preserve">Issue </w:t>
      </w:r>
      <w:fldSimple w:instr=" SEQ Issue \* MERGEFORMAT ">
        <w:r w:rsidR="002D73E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D73E0">
        <w:rPr>
          <w:noProof/>
        </w:rPr>
        <w:instrText>1</w:instrText>
      </w:r>
      <w:r>
        <w:fldChar w:fldCharType="end"/>
      </w:r>
      <w:r>
        <w:tab/>
        <w:instrText xml:space="preserve">(Ward)" \l 1 </w:instrText>
      </w:r>
      <w:r>
        <w:fldChar w:fldCharType="end"/>
      </w:r>
      <w:r>
        <w:t> </w:t>
      </w:r>
    </w:p>
    <w:p w:rsidR="00A974E8" w:rsidRDefault="00A974E8">
      <w:pPr>
        <w:pStyle w:val="BodyText"/>
      </w:pPr>
      <w:r>
        <w:t> Should the utility's proposed tariffs containing the BFCs for additional meter sizes for the</w:t>
      </w:r>
      <w:r w:rsidR="007F5EB6">
        <w:t xml:space="preserve"> </w:t>
      </w:r>
      <w:r>
        <w:t>general service and private fire protection classes be approved?</w:t>
      </w:r>
    </w:p>
    <w:p w:rsidR="00A974E8" w:rsidRPr="004C3641" w:rsidRDefault="00A974E8">
      <w:pPr>
        <w:pStyle w:val="IssueSubsectionHeading"/>
        <w:rPr>
          <w:vanish/>
          <w:specVanish/>
        </w:rPr>
      </w:pPr>
      <w:r w:rsidRPr="004C3641">
        <w:t>Recommendation: </w:t>
      </w:r>
    </w:p>
    <w:p w:rsidR="00A974E8" w:rsidRDefault="00A974E8">
      <w:pPr>
        <w:pStyle w:val="BodyText"/>
      </w:pPr>
      <w:r>
        <w:t> </w:t>
      </w:r>
      <w:r w:rsidR="00875BDF">
        <w:t>Yes,</w:t>
      </w:r>
      <w:r w:rsidR="00EC7EF0">
        <w:t xml:space="preserve"> the utility’s proposed tariffs containing the BFCs for additional meter sizes for th</w:t>
      </w:r>
      <w:r w:rsidR="009054DF">
        <w:t xml:space="preserve">e general service </w:t>
      </w:r>
      <w:r w:rsidR="00EC7EF0">
        <w:t xml:space="preserve">and </w:t>
      </w:r>
      <w:r w:rsidR="00712D20">
        <w:t xml:space="preserve">revised and additional BFCs for the </w:t>
      </w:r>
      <w:r w:rsidR="00EC7EF0">
        <w:t xml:space="preserve">private fire protection classes </w:t>
      </w:r>
      <w:r w:rsidR="00FB67E9">
        <w:t xml:space="preserve">conform </w:t>
      </w:r>
      <w:r w:rsidR="00B241E2">
        <w:t xml:space="preserve">to the American Water Works Association’s meter equivalent factors </w:t>
      </w:r>
      <w:r w:rsidR="00FB67E9">
        <w:t xml:space="preserve">and </w:t>
      </w:r>
      <w:r w:rsidR="00EC7EF0">
        <w:t>should be approved. Southwest Ocala’s Fourth Revised Sheet No. 12.0 and Fourth Revised Sheet No. 13.1 should be approved as filed.</w:t>
      </w:r>
      <w:r w:rsidR="00EC7EF0" w:rsidRPr="00EC7EF0">
        <w:t xml:space="preserve"> The approved </w:t>
      </w:r>
      <w:r w:rsidR="006308DE">
        <w:t>tariffs</w:t>
      </w:r>
      <w:r w:rsidR="00EC7EF0" w:rsidRPr="00EC7EF0">
        <w:t xml:space="preserve"> should be effective</w:t>
      </w:r>
      <w:r w:rsidR="00D04FBB">
        <w:t xml:space="preserve"> on the date of the Commission vote. Since no current customers are affected by the proposed tariff revisions, no customer notices are required.</w:t>
      </w:r>
      <w:r w:rsidR="00EC7EF0">
        <w:t xml:space="preserve"> </w:t>
      </w:r>
      <w:r>
        <w:t>(Ward)</w:t>
      </w:r>
    </w:p>
    <w:p w:rsidR="00A974E8" w:rsidRPr="004C3641" w:rsidRDefault="00A974E8">
      <w:pPr>
        <w:pStyle w:val="IssueSubsectionHeading"/>
        <w:rPr>
          <w:vanish/>
          <w:specVanish/>
        </w:rPr>
      </w:pPr>
      <w:r w:rsidRPr="004C3641">
        <w:t>Staff Analysis: </w:t>
      </w:r>
    </w:p>
    <w:p w:rsidR="00A974E8" w:rsidRDefault="00A974E8">
      <w:pPr>
        <w:pStyle w:val="BodyText"/>
      </w:pPr>
      <w:r>
        <w:t> </w:t>
      </w:r>
      <w:r w:rsidR="00EC7EF0">
        <w:t>The utility explained that it is anticipating the possible addition of some larger meter size multifamily residential or general service customers.</w:t>
      </w:r>
      <w:r w:rsidR="000D1300">
        <w:t xml:space="preserve"> </w:t>
      </w:r>
      <w:r w:rsidR="00DA095D">
        <w:t xml:space="preserve">Currently, Southwest Ocala’s </w:t>
      </w:r>
      <w:r w:rsidR="00F52C36">
        <w:t xml:space="preserve">general service </w:t>
      </w:r>
      <w:r w:rsidR="00DA095D">
        <w:t>tariff only ha</w:t>
      </w:r>
      <w:r w:rsidR="00F52C36">
        <w:t>s</w:t>
      </w:r>
      <w:r w:rsidR="00DA095D">
        <w:t xml:space="preserve"> </w:t>
      </w:r>
      <w:r w:rsidR="00F52C36">
        <w:t xml:space="preserve">BFCs for </w:t>
      </w:r>
      <w:r w:rsidR="00DA095D">
        <w:t>meter sizes up to 6</w:t>
      </w:r>
      <w:r w:rsidR="00F52C36">
        <w:t xml:space="preserve"> inches</w:t>
      </w:r>
      <w:r w:rsidR="00DA095D">
        <w:t>.</w:t>
      </w:r>
      <w:r w:rsidR="000D1300">
        <w:t xml:space="preserve"> </w:t>
      </w:r>
      <w:r w:rsidR="000D1300" w:rsidRPr="000D1300">
        <w:t xml:space="preserve">The utility’s proposed BFCs for the additional meter sizes are calculated by using the </w:t>
      </w:r>
      <w:r w:rsidR="000D1300">
        <w:t>utility’s existing BFC of $11.50</w:t>
      </w:r>
      <w:r w:rsidR="000D1300" w:rsidRPr="000D1300">
        <w:t xml:space="preserve"> for the 5/8 inch x 3/4 inch size meter as a foundation, and then applying the American Water Works Association’s (AWWA’s) meter equivalent factor. The AWWA meter equivalent factors are contained in Rule </w:t>
      </w:r>
      <w:r w:rsidR="00645C61">
        <w:t xml:space="preserve">25-30.055, </w:t>
      </w:r>
      <w:r w:rsidR="00B241E2">
        <w:t>Florida Administrative Code (</w:t>
      </w:r>
      <w:r w:rsidR="00645C61">
        <w:t>F.A.C</w:t>
      </w:r>
      <w:r w:rsidR="00FB67E9">
        <w:t>.</w:t>
      </w:r>
      <w:r w:rsidR="00B241E2">
        <w:t>).</w:t>
      </w:r>
      <w:r w:rsidR="000D1300">
        <w:t xml:space="preserve"> Southwest Ocala’s</w:t>
      </w:r>
      <w:r w:rsidR="000D1300" w:rsidRPr="000D1300">
        <w:t xml:space="preserve"> existing BFC</w:t>
      </w:r>
      <w:r w:rsidR="000D1300">
        <w:t>s</w:t>
      </w:r>
      <w:r w:rsidR="002A131D">
        <w:t xml:space="preserve"> </w:t>
      </w:r>
      <w:r w:rsidR="000D1300" w:rsidRPr="000D1300">
        <w:t>and the BFCs for the</w:t>
      </w:r>
      <w:r w:rsidR="00D04FBB">
        <w:t xml:space="preserve"> three</w:t>
      </w:r>
      <w:r w:rsidR="000D1300" w:rsidRPr="000D1300">
        <w:t xml:space="preserve"> proposed additional</w:t>
      </w:r>
      <w:r w:rsidR="00CE4B61">
        <w:t xml:space="preserve"> </w:t>
      </w:r>
      <w:r w:rsidR="000F6192">
        <w:t>general service</w:t>
      </w:r>
      <w:r w:rsidR="000D1300" w:rsidRPr="000D1300">
        <w:t xml:space="preserve"> meters based on the AWWA meter equivalents are shown in Table 1-1.</w:t>
      </w:r>
    </w:p>
    <w:p w:rsidR="002A131D" w:rsidRDefault="002A131D" w:rsidP="002A131D">
      <w:pPr>
        <w:pStyle w:val="TableNumber"/>
        <w:keepNext/>
      </w:pPr>
      <w:r>
        <w:t xml:space="preserve">Table </w:t>
      </w:r>
      <w:fldSimple w:instr=" SEQ Issue \c ">
        <w:r w:rsidR="002D73E0">
          <w:rPr>
            <w:noProof/>
          </w:rPr>
          <w:t>1</w:t>
        </w:r>
      </w:fldSimple>
      <w:r>
        <w:t>-1</w:t>
      </w:r>
    </w:p>
    <w:p w:rsidR="002A131D" w:rsidRDefault="00C91986" w:rsidP="002A131D">
      <w:pPr>
        <w:pStyle w:val="TableTitle"/>
        <w:keepNext/>
      </w:pPr>
      <w:r>
        <w:t>Current</w:t>
      </w:r>
      <w:r w:rsidR="002A131D">
        <w:t xml:space="preserve"> and Proposed</w:t>
      </w:r>
      <w:r w:rsidR="002D73E0">
        <w:t xml:space="preserve"> General Service</w:t>
      </w:r>
      <w:r w:rsidR="002A131D">
        <w:t xml:space="preserve"> BFC Charges</w:t>
      </w:r>
    </w:p>
    <w:tbl>
      <w:tblPr>
        <w:tblStyle w:val="TableGrid"/>
        <w:tblW w:w="0" w:type="auto"/>
        <w:tblLook w:val="04A0" w:firstRow="1" w:lastRow="0" w:firstColumn="1" w:lastColumn="0" w:noHBand="0" w:noVBand="1"/>
      </w:tblPr>
      <w:tblGrid>
        <w:gridCol w:w="3192"/>
        <w:gridCol w:w="3192"/>
        <w:gridCol w:w="3192"/>
      </w:tblGrid>
      <w:tr w:rsidR="002A131D" w:rsidTr="002A131D">
        <w:tc>
          <w:tcPr>
            <w:tcW w:w="3192" w:type="dxa"/>
          </w:tcPr>
          <w:p w:rsidR="002A131D" w:rsidRPr="009D5E86" w:rsidRDefault="002A131D" w:rsidP="009D5E86">
            <w:pPr>
              <w:jc w:val="center"/>
              <w:rPr>
                <w:b/>
              </w:rPr>
            </w:pPr>
            <w:r w:rsidRPr="009D5E86">
              <w:rPr>
                <w:b/>
              </w:rPr>
              <w:t>Meter Size</w:t>
            </w:r>
          </w:p>
        </w:tc>
        <w:tc>
          <w:tcPr>
            <w:tcW w:w="3192" w:type="dxa"/>
          </w:tcPr>
          <w:p w:rsidR="002A131D" w:rsidRPr="009D5E86" w:rsidRDefault="002A131D" w:rsidP="009D5E86">
            <w:pPr>
              <w:jc w:val="center"/>
              <w:rPr>
                <w:b/>
              </w:rPr>
            </w:pPr>
            <w:r w:rsidRPr="009D5E86">
              <w:rPr>
                <w:b/>
              </w:rPr>
              <w:t>AWWA Meter Factor</w:t>
            </w:r>
          </w:p>
        </w:tc>
        <w:tc>
          <w:tcPr>
            <w:tcW w:w="3192" w:type="dxa"/>
          </w:tcPr>
          <w:p w:rsidR="002A131D" w:rsidRPr="009D5E86" w:rsidRDefault="002A131D" w:rsidP="009D5E86">
            <w:pPr>
              <w:jc w:val="center"/>
              <w:rPr>
                <w:b/>
              </w:rPr>
            </w:pPr>
            <w:r w:rsidRPr="009D5E86">
              <w:rPr>
                <w:b/>
              </w:rPr>
              <w:t>BFC</w:t>
            </w:r>
          </w:p>
        </w:tc>
      </w:tr>
      <w:tr w:rsidR="002A131D" w:rsidTr="002A131D">
        <w:tc>
          <w:tcPr>
            <w:tcW w:w="3192" w:type="dxa"/>
          </w:tcPr>
          <w:p w:rsidR="002A131D" w:rsidRDefault="002A131D" w:rsidP="009D5E86">
            <w:pPr>
              <w:jc w:val="center"/>
            </w:pPr>
            <w:r>
              <w:t>5/8” X 3/4”</w:t>
            </w:r>
          </w:p>
        </w:tc>
        <w:tc>
          <w:tcPr>
            <w:tcW w:w="3192" w:type="dxa"/>
          </w:tcPr>
          <w:p w:rsidR="002A131D" w:rsidRDefault="000F6192" w:rsidP="000F6192">
            <w:pPr>
              <w:jc w:val="center"/>
            </w:pPr>
            <w:r>
              <w:t>1</w:t>
            </w:r>
          </w:p>
        </w:tc>
        <w:tc>
          <w:tcPr>
            <w:tcW w:w="3192" w:type="dxa"/>
          </w:tcPr>
          <w:p w:rsidR="002A131D" w:rsidRDefault="000F6192" w:rsidP="009D5E86">
            <w:pPr>
              <w:jc w:val="center"/>
            </w:pPr>
            <w:r>
              <w:t>$11.50</w:t>
            </w:r>
          </w:p>
        </w:tc>
      </w:tr>
      <w:tr w:rsidR="002A131D" w:rsidTr="002A131D">
        <w:tc>
          <w:tcPr>
            <w:tcW w:w="3192" w:type="dxa"/>
          </w:tcPr>
          <w:p w:rsidR="002A131D" w:rsidRDefault="002A131D" w:rsidP="009D5E86">
            <w:pPr>
              <w:jc w:val="center"/>
            </w:pPr>
            <w:r>
              <w:t>3/4"</w:t>
            </w:r>
          </w:p>
        </w:tc>
        <w:tc>
          <w:tcPr>
            <w:tcW w:w="3192" w:type="dxa"/>
          </w:tcPr>
          <w:p w:rsidR="002A131D" w:rsidRDefault="000F6192" w:rsidP="000F6192">
            <w:pPr>
              <w:jc w:val="center"/>
            </w:pPr>
            <w:r>
              <w:t>1.5</w:t>
            </w:r>
          </w:p>
        </w:tc>
        <w:tc>
          <w:tcPr>
            <w:tcW w:w="3192" w:type="dxa"/>
          </w:tcPr>
          <w:p w:rsidR="002A131D" w:rsidRDefault="000F6192" w:rsidP="009D5E86">
            <w:pPr>
              <w:jc w:val="center"/>
            </w:pPr>
            <w:r>
              <w:t>$17.25</w:t>
            </w:r>
          </w:p>
        </w:tc>
      </w:tr>
      <w:tr w:rsidR="002A131D" w:rsidTr="002A131D">
        <w:tc>
          <w:tcPr>
            <w:tcW w:w="3192" w:type="dxa"/>
          </w:tcPr>
          <w:p w:rsidR="002A131D" w:rsidRDefault="002A131D" w:rsidP="009D5E86">
            <w:pPr>
              <w:jc w:val="center"/>
            </w:pPr>
            <w:r>
              <w:t>1”</w:t>
            </w:r>
          </w:p>
        </w:tc>
        <w:tc>
          <w:tcPr>
            <w:tcW w:w="3192" w:type="dxa"/>
          </w:tcPr>
          <w:p w:rsidR="002A131D" w:rsidRDefault="000F6192" w:rsidP="000F6192">
            <w:pPr>
              <w:jc w:val="center"/>
            </w:pPr>
            <w:r>
              <w:t>2.5</w:t>
            </w:r>
          </w:p>
        </w:tc>
        <w:tc>
          <w:tcPr>
            <w:tcW w:w="3192" w:type="dxa"/>
          </w:tcPr>
          <w:p w:rsidR="002A131D" w:rsidRDefault="000F6192" w:rsidP="009D5E86">
            <w:pPr>
              <w:jc w:val="center"/>
            </w:pPr>
            <w:r>
              <w:t>$28.75</w:t>
            </w:r>
          </w:p>
        </w:tc>
      </w:tr>
      <w:tr w:rsidR="002A131D" w:rsidTr="002A131D">
        <w:tc>
          <w:tcPr>
            <w:tcW w:w="3192" w:type="dxa"/>
          </w:tcPr>
          <w:p w:rsidR="002A131D" w:rsidRDefault="002A131D" w:rsidP="009D5E86">
            <w:pPr>
              <w:jc w:val="center"/>
            </w:pPr>
            <w:r>
              <w:t>1-1/2"</w:t>
            </w:r>
          </w:p>
        </w:tc>
        <w:tc>
          <w:tcPr>
            <w:tcW w:w="3192" w:type="dxa"/>
          </w:tcPr>
          <w:p w:rsidR="002A131D" w:rsidRDefault="000F6192" w:rsidP="000F6192">
            <w:pPr>
              <w:jc w:val="center"/>
            </w:pPr>
            <w:r>
              <w:t>5</w:t>
            </w:r>
          </w:p>
        </w:tc>
        <w:tc>
          <w:tcPr>
            <w:tcW w:w="3192" w:type="dxa"/>
          </w:tcPr>
          <w:p w:rsidR="002A131D" w:rsidRDefault="000F6192" w:rsidP="009D5E86">
            <w:pPr>
              <w:jc w:val="center"/>
            </w:pPr>
            <w:r>
              <w:t>$57.50</w:t>
            </w:r>
          </w:p>
        </w:tc>
      </w:tr>
      <w:tr w:rsidR="002A131D" w:rsidTr="002A131D">
        <w:tc>
          <w:tcPr>
            <w:tcW w:w="3192" w:type="dxa"/>
          </w:tcPr>
          <w:p w:rsidR="002A131D" w:rsidRDefault="000F6192" w:rsidP="009D5E86">
            <w:pPr>
              <w:jc w:val="center"/>
            </w:pPr>
            <w:r>
              <w:t>2”</w:t>
            </w:r>
          </w:p>
        </w:tc>
        <w:tc>
          <w:tcPr>
            <w:tcW w:w="3192" w:type="dxa"/>
          </w:tcPr>
          <w:p w:rsidR="002A131D" w:rsidRDefault="000F6192" w:rsidP="000F6192">
            <w:pPr>
              <w:jc w:val="center"/>
            </w:pPr>
            <w:r>
              <w:t>8</w:t>
            </w:r>
          </w:p>
        </w:tc>
        <w:tc>
          <w:tcPr>
            <w:tcW w:w="3192" w:type="dxa"/>
          </w:tcPr>
          <w:p w:rsidR="002A131D" w:rsidRDefault="000F6192" w:rsidP="009D5E86">
            <w:pPr>
              <w:jc w:val="center"/>
            </w:pPr>
            <w:r>
              <w:t>$92.00</w:t>
            </w:r>
          </w:p>
        </w:tc>
      </w:tr>
      <w:tr w:rsidR="002A131D" w:rsidTr="002A131D">
        <w:tc>
          <w:tcPr>
            <w:tcW w:w="3192" w:type="dxa"/>
          </w:tcPr>
          <w:p w:rsidR="002A131D" w:rsidRDefault="000F6192" w:rsidP="009D5E86">
            <w:pPr>
              <w:jc w:val="center"/>
            </w:pPr>
            <w:r>
              <w:t>3”</w:t>
            </w:r>
          </w:p>
        </w:tc>
        <w:tc>
          <w:tcPr>
            <w:tcW w:w="3192" w:type="dxa"/>
          </w:tcPr>
          <w:p w:rsidR="002A131D" w:rsidRDefault="000F6192" w:rsidP="000F6192">
            <w:pPr>
              <w:jc w:val="center"/>
            </w:pPr>
            <w:r>
              <w:t>16</w:t>
            </w:r>
          </w:p>
        </w:tc>
        <w:tc>
          <w:tcPr>
            <w:tcW w:w="3192" w:type="dxa"/>
          </w:tcPr>
          <w:p w:rsidR="002A131D" w:rsidRDefault="000F6192" w:rsidP="009D5E86">
            <w:pPr>
              <w:jc w:val="center"/>
            </w:pPr>
            <w:r>
              <w:t>$184.00</w:t>
            </w:r>
          </w:p>
        </w:tc>
      </w:tr>
      <w:tr w:rsidR="002A131D" w:rsidTr="00FB67E9">
        <w:tc>
          <w:tcPr>
            <w:tcW w:w="3192" w:type="dxa"/>
            <w:tcBorders>
              <w:bottom w:val="single" w:sz="4" w:space="0" w:color="auto"/>
            </w:tcBorders>
          </w:tcPr>
          <w:p w:rsidR="002A131D" w:rsidRDefault="000F6192" w:rsidP="009D5E86">
            <w:pPr>
              <w:jc w:val="center"/>
            </w:pPr>
            <w:r>
              <w:t>4”</w:t>
            </w:r>
          </w:p>
        </w:tc>
        <w:tc>
          <w:tcPr>
            <w:tcW w:w="3192" w:type="dxa"/>
            <w:tcBorders>
              <w:bottom w:val="single" w:sz="4" w:space="0" w:color="auto"/>
            </w:tcBorders>
          </w:tcPr>
          <w:p w:rsidR="002A131D" w:rsidRDefault="000F6192" w:rsidP="000F6192">
            <w:pPr>
              <w:jc w:val="center"/>
            </w:pPr>
            <w:r>
              <w:t>25</w:t>
            </w:r>
          </w:p>
        </w:tc>
        <w:tc>
          <w:tcPr>
            <w:tcW w:w="3192" w:type="dxa"/>
            <w:tcBorders>
              <w:bottom w:val="single" w:sz="4" w:space="0" w:color="auto"/>
            </w:tcBorders>
          </w:tcPr>
          <w:p w:rsidR="002A131D" w:rsidRDefault="000F6192" w:rsidP="009D5E86">
            <w:pPr>
              <w:jc w:val="center"/>
            </w:pPr>
            <w:r>
              <w:t>$287.50</w:t>
            </w:r>
          </w:p>
        </w:tc>
      </w:tr>
      <w:tr w:rsidR="002A131D" w:rsidTr="00FB67E9">
        <w:tc>
          <w:tcPr>
            <w:tcW w:w="3192" w:type="dxa"/>
            <w:tcBorders>
              <w:bottom w:val="single" w:sz="12" w:space="0" w:color="auto"/>
            </w:tcBorders>
          </w:tcPr>
          <w:p w:rsidR="002A131D" w:rsidRPr="00FB67E9" w:rsidRDefault="000F6192" w:rsidP="009D5E86">
            <w:pPr>
              <w:jc w:val="center"/>
            </w:pPr>
            <w:r w:rsidRPr="00FB67E9">
              <w:t>6”</w:t>
            </w:r>
          </w:p>
        </w:tc>
        <w:tc>
          <w:tcPr>
            <w:tcW w:w="3192" w:type="dxa"/>
            <w:tcBorders>
              <w:bottom w:val="single" w:sz="12" w:space="0" w:color="auto"/>
            </w:tcBorders>
          </w:tcPr>
          <w:p w:rsidR="002A131D" w:rsidRPr="00FB67E9" w:rsidRDefault="000F6192" w:rsidP="000F6192">
            <w:pPr>
              <w:jc w:val="center"/>
            </w:pPr>
            <w:r w:rsidRPr="00FB67E9">
              <w:t>50</w:t>
            </w:r>
          </w:p>
        </w:tc>
        <w:tc>
          <w:tcPr>
            <w:tcW w:w="3192" w:type="dxa"/>
            <w:tcBorders>
              <w:bottom w:val="single" w:sz="12" w:space="0" w:color="auto"/>
            </w:tcBorders>
          </w:tcPr>
          <w:p w:rsidR="002A131D" w:rsidRPr="00FB67E9" w:rsidRDefault="000F6192" w:rsidP="009D5E86">
            <w:pPr>
              <w:jc w:val="center"/>
            </w:pPr>
            <w:r w:rsidRPr="00FB67E9">
              <w:t>$575.00</w:t>
            </w:r>
          </w:p>
        </w:tc>
      </w:tr>
      <w:tr w:rsidR="002A131D" w:rsidTr="00FB67E9">
        <w:tc>
          <w:tcPr>
            <w:tcW w:w="3192" w:type="dxa"/>
            <w:tcBorders>
              <w:top w:val="single" w:sz="12" w:space="0" w:color="auto"/>
            </w:tcBorders>
          </w:tcPr>
          <w:p w:rsidR="002A131D" w:rsidRPr="00FB67E9" w:rsidRDefault="000F6192" w:rsidP="009D5E86">
            <w:pPr>
              <w:jc w:val="center"/>
            </w:pPr>
            <w:r w:rsidRPr="00FB67E9">
              <w:t>8”</w:t>
            </w:r>
          </w:p>
        </w:tc>
        <w:tc>
          <w:tcPr>
            <w:tcW w:w="3192" w:type="dxa"/>
            <w:tcBorders>
              <w:top w:val="single" w:sz="12" w:space="0" w:color="auto"/>
            </w:tcBorders>
          </w:tcPr>
          <w:p w:rsidR="002A131D" w:rsidRPr="00FB67E9" w:rsidRDefault="000F6192" w:rsidP="000F6192">
            <w:pPr>
              <w:jc w:val="center"/>
            </w:pPr>
            <w:r w:rsidRPr="00FB67E9">
              <w:t>90</w:t>
            </w:r>
          </w:p>
        </w:tc>
        <w:tc>
          <w:tcPr>
            <w:tcW w:w="3192" w:type="dxa"/>
            <w:tcBorders>
              <w:top w:val="single" w:sz="12" w:space="0" w:color="auto"/>
            </w:tcBorders>
          </w:tcPr>
          <w:p w:rsidR="002A131D" w:rsidRPr="00FB67E9" w:rsidRDefault="000F6192" w:rsidP="009D5E86">
            <w:pPr>
              <w:jc w:val="center"/>
            </w:pPr>
            <w:r w:rsidRPr="00FB67E9">
              <w:t>$1035.00</w:t>
            </w:r>
          </w:p>
        </w:tc>
      </w:tr>
      <w:tr w:rsidR="002A131D" w:rsidTr="002A131D">
        <w:tc>
          <w:tcPr>
            <w:tcW w:w="3192" w:type="dxa"/>
          </w:tcPr>
          <w:p w:rsidR="002A131D" w:rsidRDefault="000F6192" w:rsidP="009D5E86">
            <w:pPr>
              <w:jc w:val="center"/>
            </w:pPr>
            <w:r>
              <w:t>10”</w:t>
            </w:r>
          </w:p>
        </w:tc>
        <w:tc>
          <w:tcPr>
            <w:tcW w:w="3192" w:type="dxa"/>
          </w:tcPr>
          <w:p w:rsidR="002A131D" w:rsidRDefault="000F6192" w:rsidP="000F6192">
            <w:pPr>
              <w:jc w:val="center"/>
            </w:pPr>
            <w:r>
              <w:t>145</w:t>
            </w:r>
          </w:p>
        </w:tc>
        <w:tc>
          <w:tcPr>
            <w:tcW w:w="3192" w:type="dxa"/>
          </w:tcPr>
          <w:p w:rsidR="002A131D" w:rsidRDefault="000F6192" w:rsidP="009D5E86">
            <w:pPr>
              <w:jc w:val="center"/>
            </w:pPr>
            <w:r>
              <w:t>$1667.50</w:t>
            </w:r>
          </w:p>
        </w:tc>
      </w:tr>
      <w:tr w:rsidR="002A131D" w:rsidTr="000F6192">
        <w:trPr>
          <w:trHeight w:val="56"/>
        </w:trPr>
        <w:tc>
          <w:tcPr>
            <w:tcW w:w="3192" w:type="dxa"/>
          </w:tcPr>
          <w:p w:rsidR="002A131D" w:rsidRDefault="000F6192" w:rsidP="009D5E86">
            <w:pPr>
              <w:jc w:val="center"/>
            </w:pPr>
            <w:r>
              <w:t>12”</w:t>
            </w:r>
          </w:p>
        </w:tc>
        <w:tc>
          <w:tcPr>
            <w:tcW w:w="3192" w:type="dxa"/>
          </w:tcPr>
          <w:p w:rsidR="002A131D" w:rsidRDefault="000F6192" w:rsidP="000F6192">
            <w:pPr>
              <w:jc w:val="center"/>
            </w:pPr>
            <w:r>
              <w:t>215</w:t>
            </w:r>
          </w:p>
        </w:tc>
        <w:tc>
          <w:tcPr>
            <w:tcW w:w="3192" w:type="dxa"/>
          </w:tcPr>
          <w:p w:rsidR="002A131D" w:rsidRDefault="000F6192" w:rsidP="009D5E86">
            <w:pPr>
              <w:jc w:val="center"/>
            </w:pPr>
            <w:r>
              <w:t>$2472.50</w:t>
            </w:r>
          </w:p>
        </w:tc>
      </w:tr>
    </w:tbl>
    <w:p w:rsidR="00D763DB" w:rsidRDefault="002A131D" w:rsidP="00D763DB">
      <w:pPr>
        <w:pStyle w:val="TableSource"/>
      </w:pPr>
      <w:r>
        <w:t xml:space="preserve">Source: </w:t>
      </w:r>
      <w:r w:rsidR="000F6192">
        <w:t>Utility</w:t>
      </w:r>
      <w:r w:rsidR="00D763DB">
        <w:t>’s</w:t>
      </w:r>
      <w:r w:rsidR="000F6192">
        <w:t xml:space="preserve"> filing</w:t>
      </w:r>
    </w:p>
    <w:p w:rsidR="002A131D" w:rsidRDefault="00D763DB" w:rsidP="00D763DB">
      <w:pPr>
        <w:pStyle w:val="TableSource"/>
      </w:pPr>
      <w:r>
        <w:t xml:space="preserve">The utility also proposed </w:t>
      </w:r>
      <w:r w:rsidR="00232A79">
        <w:t>one</w:t>
      </w:r>
      <w:r>
        <w:t xml:space="preserve"> additional meter size</w:t>
      </w:r>
      <w:r w:rsidR="00F52C36">
        <w:t xml:space="preserve"> (12 inches)</w:t>
      </w:r>
      <w:r>
        <w:t xml:space="preserve"> for the private</w:t>
      </w:r>
      <w:r w:rsidR="009D5E86">
        <w:t xml:space="preserve"> fire protection </w:t>
      </w:r>
      <w:r w:rsidR="00232A79">
        <w:t>tariff</w:t>
      </w:r>
      <w:r w:rsidR="007F5EB6">
        <w:t xml:space="preserve"> and</w:t>
      </w:r>
      <w:r w:rsidR="009D5E86">
        <w:t xml:space="preserve"> </w:t>
      </w:r>
      <w:r>
        <w:t>adjusted the</w:t>
      </w:r>
      <w:r w:rsidR="00FB67E9">
        <w:t xml:space="preserve"> existing fire protection</w:t>
      </w:r>
      <w:r>
        <w:t xml:space="preserve"> BFCs for the 8</w:t>
      </w:r>
      <w:r w:rsidR="006308DE">
        <w:t>-</w:t>
      </w:r>
      <w:r w:rsidR="00F52C36">
        <w:t>inch</w:t>
      </w:r>
      <w:r>
        <w:t xml:space="preserve"> and 10</w:t>
      </w:r>
      <w:r w:rsidR="006308DE">
        <w:t>-</w:t>
      </w:r>
      <w:r w:rsidR="00F52C36">
        <w:t>inch</w:t>
      </w:r>
      <w:r>
        <w:t xml:space="preserve"> meter sizes in order to comply with the AWWA equivalent factors contained in Rule </w:t>
      </w:r>
      <w:r w:rsidRPr="00D763DB">
        <w:t>25-30.055, F.A.C</w:t>
      </w:r>
      <w:r>
        <w:t xml:space="preserve">. </w:t>
      </w:r>
      <w:r w:rsidR="001C3634">
        <w:t>Pursuant to Rule 25-30.465, F.A.C.</w:t>
      </w:r>
      <w:r w:rsidR="007F5EB6">
        <w:t>,</w:t>
      </w:r>
      <w:r w:rsidR="001C3634">
        <w:t xml:space="preserve"> the BFCs for private fire protection are 1/12</w:t>
      </w:r>
      <w:r w:rsidR="001C3634" w:rsidRPr="001C3634">
        <w:rPr>
          <w:vertAlign w:val="superscript"/>
        </w:rPr>
        <w:t>th</w:t>
      </w:r>
      <w:r w:rsidR="001C3634">
        <w:t xml:space="preserve"> the amount of </w:t>
      </w:r>
      <w:r w:rsidR="001C3634">
        <w:lastRenderedPageBreak/>
        <w:t>the equivalent sized general service BFC</w:t>
      </w:r>
      <w:r w:rsidR="00F52C36">
        <w:t>s</w:t>
      </w:r>
      <w:r w:rsidR="001C3634">
        <w:t>.</w:t>
      </w:r>
      <w:r w:rsidR="007F5EB6" w:rsidRPr="007F5EB6">
        <w:t xml:space="preserve"> </w:t>
      </w:r>
      <w:r w:rsidR="007F5EB6">
        <w:t>Southwest Ocala’s current and proposed BFCs for the private fire protection tariff are shown in Table 1-2.</w:t>
      </w:r>
    </w:p>
    <w:p w:rsidR="00D763DB" w:rsidRDefault="00D763DB" w:rsidP="00D763DB">
      <w:pPr>
        <w:pStyle w:val="TableNumber"/>
        <w:keepNext/>
      </w:pPr>
      <w:r>
        <w:t xml:space="preserve">Table </w:t>
      </w:r>
      <w:fldSimple w:instr=" SEQ Issue \c ">
        <w:r w:rsidR="002D73E0">
          <w:rPr>
            <w:noProof/>
          </w:rPr>
          <w:t>1</w:t>
        </w:r>
      </w:fldSimple>
      <w:r>
        <w:t>-2</w:t>
      </w:r>
    </w:p>
    <w:p w:rsidR="00D763DB" w:rsidRDefault="00C91986" w:rsidP="00D763DB">
      <w:pPr>
        <w:pStyle w:val="TableTitle"/>
        <w:keepNext/>
      </w:pPr>
      <w:r>
        <w:t>Current</w:t>
      </w:r>
      <w:r w:rsidR="00D763DB">
        <w:t xml:space="preserve"> and Proposed </w:t>
      </w:r>
      <w:r w:rsidR="002D73E0">
        <w:t xml:space="preserve">Fire Protection </w:t>
      </w:r>
      <w:r w:rsidR="00D763DB">
        <w:t xml:space="preserve">BFC Charges </w:t>
      </w:r>
    </w:p>
    <w:tbl>
      <w:tblPr>
        <w:tblStyle w:val="TableGrid"/>
        <w:tblW w:w="9558" w:type="dxa"/>
        <w:tblLook w:val="04A0" w:firstRow="1" w:lastRow="0" w:firstColumn="1" w:lastColumn="0" w:noHBand="0" w:noVBand="1"/>
      </w:tblPr>
      <w:tblGrid>
        <w:gridCol w:w="3223"/>
        <w:gridCol w:w="3223"/>
        <w:gridCol w:w="3112"/>
      </w:tblGrid>
      <w:tr w:rsidR="001C3634" w:rsidTr="001C3634">
        <w:trPr>
          <w:trHeight w:val="254"/>
        </w:trPr>
        <w:tc>
          <w:tcPr>
            <w:tcW w:w="3223" w:type="dxa"/>
          </w:tcPr>
          <w:p w:rsidR="001C3634" w:rsidRPr="009D5E86" w:rsidRDefault="001C3634" w:rsidP="001C3634">
            <w:pPr>
              <w:jc w:val="center"/>
              <w:rPr>
                <w:b/>
              </w:rPr>
            </w:pPr>
            <w:r w:rsidRPr="009D5E86">
              <w:rPr>
                <w:b/>
              </w:rPr>
              <w:t>Meter Size</w:t>
            </w:r>
          </w:p>
        </w:tc>
        <w:tc>
          <w:tcPr>
            <w:tcW w:w="3223" w:type="dxa"/>
          </w:tcPr>
          <w:p w:rsidR="001C3634" w:rsidRPr="009D5E86" w:rsidRDefault="001C3634" w:rsidP="001C3634">
            <w:pPr>
              <w:jc w:val="center"/>
              <w:rPr>
                <w:b/>
              </w:rPr>
            </w:pPr>
            <w:r w:rsidRPr="009D5E86">
              <w:rPr>
                <w:b/>
              </w:rPr>
              <w:t>Current BFC</w:t>
            </w:r>
          </w:p>
        </w:tc>
        <w:tc>
          <w:tcPr>
            <w:tcW w:w="3112" w:type="dxa"/>
          </w:tcPr>
          <w:p w:rsidR="001C3634" w:rsidRPr="009D5E86" w:rsidRDefault="001C3634" w:rsidP="001C3634">
            <w:pPr>
              <w:jc w:val="center"/>
              <w:rPr>
                <w:b/>
              </w:rPr>
            </w:pPr>
            <w:r w:rsidRPr="009D5E86">
              <w:rPr>
                <w:b/>
              </w:rPr>
              <w:t>Proposed BFC</w:t>
            </w:r>
          </w:p>
        </w:tc>
      </w:tr>
      <w:tr w:rsidR="001C3634" w:rsidTr="001C3634">
        <w:trPr>
          <w:trHeight w:val="254"/>
        </w:trPr>
        <w:tc>
          <w:tcPr>
            <w:tcW w:w="3223" w:type="dxa"/>
          </w:tcPr>
          <w:p w:rsidR="001C3634" w:rsidRDefault="001C3634" w:rsidP="001C3634">
            <w:pPr>
              <w:jc w:val="center"/>
            </w:pPr>
            <w:r>
              <w:t>4”</w:t>
            </w:r>
          </w:p>
        </w:tc>
        <w:tc>
          <w:tcPr>
            <w:tcW w:w="3223" w:type="dxa"/>
          </w:tcPr>
          <w:p w:rsidR="001C3634" w:rsidRDefault="001C3634" w:rsidP="001C3634">
            <w:pPr>
              <w:jc w:val="center"/>
            </w:pPr>
            <w:r>
              <w:t>$23.96</w:t>
            </w:r>
          </w:p>
        </w:tc>
        <w:tc>
          <w:tcPr>
            <w:tcW w:w="3112" w:type="dxa"/>
          </w:tcPr>
          <w:p w:rsidR="001C3634" w:rsidRDefault="001C3634" w:rsidP="001C3634">
            <w:pPr>
              <w:jc w:val="center"/>
            </w:pPr>
            <w:r>
              <w:t>$23.96</w:t>
            </w:r>
          </w:p>
        </w:tc>
      </w:tr>
      <w:tr w:rsidR="001C3634" w:rsidTr="001C3634">
        <w:trPr>
          <w:trHeight w:val="244"/>
        </w:trPr>
        <w:tc>
          <w:tcPr>
            <w:tcW w:w="3223" w:type="dxa"/>
          </w:tcPr>
          <w:p w:rsidR="001C3634" w:rsidRDefault="001C3634" w:rsidP="001C3634">
            <w:pPr>
              <w:jc w:val="center"/>
            </w:pPr>
            <w:r>
              <w:t>6”</w:t>
            </w:r>
          </w:p>
        </w:tc>
        <w:tc>
          <w:tcPr>
            <w:tcW w:w="3223" w:type="dxa"/>
          </w:tcPr>
          <w:p w:rsidR="001C3634" w:rsidRDefault="001C3634" w:rsidP="001C3634">
            <w:pPr>
              <w:jc w:val="center"/>
            </w:pPr>
            <w:r>
              <w:t>$47.92</w:t>
            </w:r>
          </w:p>
        </w:tc>
        <w:tc>
          <w:tcPr>
            <w:tcW w:w="3112" w:type="dxa"/>
          </w:tcPr>
          <w:p w:rsidR="001C3634" w:rsidRDefault="001C3634" w:rsidP="001C3634">
            <w:pPr>
              <w:jc w:val="center"/>
            </w:pPr>
            <w:r>
              <w:t>$47.92</w:t>
            </w:r>
          </w:p>
        </w:tc>
      </w:tr>
      <w:tr w:rsidR="001C3634" w:rsidTr="001C3634">
        <w:trPr>
          <w:trHeight w:val="254"/>
        </w:trPr>
        <w:tc>
          <w:tcPr>
            <w:tcW w:w="3223" w:type="dxa"/>
          </w:tcPr>
          <w:p w:rsidR="001C3634" w:rsidRDefault="001C3634" w:rsidP="001C3634">
            <w:pPr>
              <w:jc w:val="center"/>
            </w:pPr>
            <w:r>
              <w:t>8”</w:t>
            </w:r>
          </w:p>
        </w:tc>
        <w:tc>
          <w:tcPr>
            <w:tcW w:w="3223" w:type="dxa"/>
          </w:tcPr>
          <w:p w:rsidR="001C3634" w:rsidRDefault="001C3634" w:rsidP="001C3634">
            <w:pPr>
              <w:jc w:val="center"/>
            </w:pPr>
            <w:r>
              <w:t>$76.67</w:t>
            </w:r>
          </w:p>
        </w:tc>
        <w:tc>
          <w:tcPr>
            <w:tcW w:w="3112" w:type="dxa"/>
          </w:tcPr>
          <w:p w:rsidR="001C3634" w:rsidRDefault="001C3634" w:rsidP="001C3634">
            <w:pPr>
              <w:jc w:val="center"/>
            </w:pPr>
            <w:r>
              <w:t>$86.25</w:t>
            </w:r>
          </w:p>
        </w:tc>
      </w:tr>
      <w:tr w:rsidR="001C3634" w:rsidTr="00645C61">
        <w:trPr>
          <w:trHeight w:val="254"/>
        </w:trPr>
        <w:tc>
          <w:tcPr>
            <w:tcW w:w="3223" w:type="dxa"/>
          </w:tcPr>
          <w:p w:rsidR="001C3634" w:rsidRDefault="001C3634" w:rsidP="001C3634">
            <w:pPr>
              <w:jc w:val="center"/>
            </w:pPr>
            <w:r>
              <w:t>10”</w:t>
            </w:r>
          </w:p>
        </w:tc>
        <w:tc>
          <w:tcPr>
            <w:tcW w:w="3223" w:type="dxa"/>
          </w:tcPr>
          <w:p w:rsidR="001C3634" w:rsidRDefault="001C3634" w:rsidP="001C3634">
            <w:pPr>
              <w:jc w:val="center"/>
            </w:pPr>
            <w:r>
              <w:t>$110.21</w:t>
            </w:r>
          </w:p>
        </w:tc>
        <w:tc>
          <w:tcPr>
            <w:tcW w:w="3112" w:type="dxa"/>
            <w:shd w:val="clear" w:color="auto" w:fill="auto"/>
          </w:tcPr>
          <w:p w:rsidR="001C3634" w:rsidRPr="00F0484F" w:rsidRDefault="00FB67E9" w:rsidP="001C3634">
            <w:pPr>
              <w:jc w:val="center"/>
            </w:pPr>
            <w:r w:rsidRPr="00645C61">
              <w:t>$138.96</w:t>
            </w:r>
          </w:p>
        </w:tc>
      </w:tr>
      <w:tr w:rsidR="001C3634" w:rsidTr="001C3634">
        <w:trPr>
          <w:trHeight w:val="254"/>
        </w:trPr>
        <w:tc>
          <w:tcPr>
            <w:tcW w:w="3223" w:type="dxa"/>
          </w:tcPr>
          <w:p w:rsidR="001C3634" w:rsidRDefault="001C3634" w:rsidP="001C3634">
            <w:pPr>
              <w:jc w:val="center"/>
            </w:pPr>
            <w:r>
              <w:t>12”</w:t>
            </w:r>
          </w:p>
        </w:tc>
        <w:tc>
          <w:tcPr>
            <w:tcW w:w="3223" w:type="dxa"/>
          </w:tcPr>
          <w:p w:rsidR="001C3634" w:rsidRDefault="001C3634" w:rsidP="001C3634">
            <w:pPr>
              <w:jc w:val="center"/>
            </w:pPr>
            <w:r>
              <w:t>-</w:t>
            </w:r>
          </w:p>
        </w:tc>
        <w:tc>
          <w:tcPr>
            <w:tcW w:w="3112" w:type="dxa"/>
          </w:tcPr>
          <w:p w:rsidR="001C3634" w:rsidRDefault="001C3634" w:rsidP="001C3634">
            <w:pPr>
              <w:jc w:val="center"/>
            </w:pPr>
            <w:r>
              <w:t>$206.04</w:t>
            </w:r>
          </w:p>
        </w:tc>
      </w:tr>
    </w:tbl>
    <w:p w:rsidR="00D763DB" w:rsidRDefault="00D763DB" w:rsidP="00D763DB">
      <w:pPr>
        <w:pStyle w:val="TableSource"/>
      </w:pPr>
      <w:r>
        <w:t>Source: Utility’s filing</w:t>
      </w:r>
    </w:p>
    <w:p w:rsidR="00D763DB" w:rsidRPr="00F0484F" w:rsidRDefault="00AA6889" w:rsidP="00AA6889">
      <w:pPr>
        <w:pStyle w:val="First-LevelSubheading"/>
      </w:pPr>
      <w:r>
        <w:t>Conclusion</w:t>
      </w:r>
    </w:p>
    <w:p w:rsidR="00AA6889" w:rsidRDefault="00712D20" w:rsidP="00E275D8">
      <w:pPr>
        <w:pStyle w:val="BodyText"/>
      </w:pPr>
      <w:r>
        <w:t xml:space="preserve">The utility’s proposed tariffs containing the BFCs for additional meter sizes for the general service and revised and additional BFCs for the </w:t>
      </w:r>
      <w:r w:rsidR="00FB67E9">
        <w:t xml:space="preserve">private fire protection classes </w:t>
      </w:r>
      <w:r w:rsidR="00B241E2">
        <w:t>conform to the American Water Works Association’s meter equivalent factors</w:t>
      </w:r>
      <w:r w:rsidR="00645C61">
        <w:t xml:space="preserve"> </w:t>
      </w:r>
      <w:r w:rsidR="00FB67E9">
        <w:t xml:space="preserve">and </w:t>
      </w:r>
      <w:r>
        <w:t xml:space="preserve">should be </w:t>
      </w:r>
      <w:r w:rsidR="00097C9A">
        <w:t>approved. Southwest</w:t>
      </w:r>
      <w:r w:rsidR="00AA6889">
        <w:t xml:space="preserve"> Ocala’s Fourth</w:t>
      </w:r>
      <w:r w:rsidR="00AA6889" w:rsidRPr="00AA6889">
        <w:t xml:space="preserve"> R</w:t>
      </w:r>
      <w:r w:rsidR="00AA6889">
        <w:t>evised Sheet No. 12.0 and Fourth Revised Sheet No. 13.1</w:t>
      </w:r>
      <w:r w:rsidR="00AA6889" w:rsidRPr="00AA6889">
        <w:t xml:space="preserve"> should be approved as filed. The approved rates should be effective </w:t>
      </w:r>
      <w:r w:rsidR="00D04FBB">
        <w:t>on the date of the Commission vote. Since no current customers are affected by the proposed tariff revisions, no customer notices are required.</w:t>
      </w:r>
    </w:p>
    <w:p w:rsidR="00AA6889" w:rsidRDefault="00AA6889">
      <w:pPr>
        <w:pStyle w:val="IssueHeading"/>
        <w:rPr>
          <w:vanish/>
          <w:specVanish/>
        </w:rPr>
      </w:pPr>
      <w:r w:rsidRPr="004C3641">
        <w:rPr>
          <w:b w:val="0"/>
          <w:i w:val="0"/>
        </w:rPr>
        <w:br w:type="page"/>
      </w:r>
      <w:r w:rsidRPr="004C3641">
        <w:lastRenderedPageBreak/>
        <w:t xml:space="preserve">Issue </w:t>
      </w:r>
      <w:fldSimple w:instr=" SEQ Issue \* MERGEFORMAT ">
        <w:r w:rsidR="002D73E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D73E0">
        <w:rPr>
          <w:noProof/>
        </w:rPr>
        <w:instrText>2</w:instrText>
      </w:r>
      <w:r>
        <w:fldChar w:fldCharType="end"/>
      </w:r>
      <w:r>
        <w:tab/>
        <w:instrText xml:space="preserve">" \l 1 </w:instrText>
      </w:r>
      <w:r>
        <w:fldChar w:fldCharType="end"/>
      </w:r>
      <w:r>
        <w:t> </w:t>
      </w:r>
    </w:p>
    <w:p w:rsidR="00AA6889" w:rsidRDefault="00AA6889">
      <w:pPr>
        <w:pStyle w:val="BodyText"/>
      </w:pPr>
      <w:r>
        <w:t> Should this docket be closed?</w:t>
      </w:r>
    </w:p>
    <w:p w:rsidR="00AA6889" w:rsidRPr="004C3641" w:rsidRDefault="00AA6889">
      <w:pPr>
        <w:pStyle w:val="IssueSubsectionHeading"/>
        <w:rPr>
          <w:vanish/>
          <w:specVanish/>
        </w:rPr>
      </w:pPr>
      <w:r w:rsidRPr="004C3641">
        <w:t>Recommendation: </w:t>
      </w:r>
    </w:p>
    <w:p w:rsidR="00AA6889" w:rsidRDefault="00AA6889">
      <w:pPr>
        <w:pStyle w:val="BodyText"/>
      </w:pPr>
      <w:r>
        <w:t> </w:t>
      </w:r>
      <w:r w:rsidRPr="00AA6889">
        <w:t xml:space="preserve">Yes. If Issue 1 is approved, the tariff sheets should become effective </w:t>
      </w:r>
      <w:r w:rsidR="00232A79">
        <w:t>on the date of the Commission vote</w:t>
      </w:r>
      <w:r w:rsidRPr="00AA6889">
        <w:t>. If a protest is filed within 21 days of the issuance of the Order, the tariff should remain in effect with the revenues held subject to refund pending resolution of the protest, and the docket should remain open. If no timely protest is filed, the docket should be closed upon the issuance of a Consummating Order</w:t>
      </w:r>
      <w:r>
        <w:t xml:space="preserve">. </w:t>
      </w:r>
      <w:r w:rsidR="00640733">
        <w:t>(Dose)</w:t>
      </w:r>
    </w:p>
    <w:p w:rsidR="00AA6889" w:rsidRPr="004C3641" w:rsidRDefault="00AA6889">
      <w:pPr>
        <w:pStyle w:val="IssueSubsectionHeading"/>
        <w:rPr>
          <w:vanish/>
          <w:specVanish/>
        </w:rPr>
      </w:pPr>
      <w:r w:rsidRPr="004C3641">
        <w:t>Staff Analysis: </w:t>
      </w:r>
    </w:p>
    <w:p w:rsidR="00AA6889" w:rsidRDefault="00AA6889">
      <w:pPr>
        <w:pStyle w:val="BodyText"/>
      </w:pPr>
      <w:r>
        <w:t> </w:t>
      </w:r>
      <w:r w:rsidRPr="00AA6889">
        <w:t>If Issue 1 is approved, t</w:t>
      </w:r>
      <w:r w:rsidR="00232A79" w:rsidRPr="00AA6889">
        <w:t xml:space="preserve">he tariff sheets should become effective </w:t>
      </w:r>
      <w:r w:rsidR="00232A79">
        <w:t>on the date of the Commission vote</w:t>
      </w:r>
      <w:r w:rsidR="00232A79" w:rsidRPr="00AA6889">
        <w:t>.</w:t>
      </w:r>
      <w:r w:rsidRPr="00AA6889">
        <w:t xml:space="preserve"> If a protest is filed within 21 days of the issuance of the Order, the tariff should remain in effect with the revenues held subject to refund pending resolution of the protest, and the docket should remain open. If no timely protest is filed, the docket should be closed upon the issuance of a Consummating Order</w:t>
      </w:r>
      <w:r>
        <w:t>.</w:t>
      </w:r>
    </w:p>
    <w:p w:rsidR="00AA6889" w:rsidRDefault="00AA6889" w:rsidP="00E275D8">
      <w:pPr>
        <w:pStyle w:val="BodyText"/>
      </w:pPr>
    </w:p>
    <w:sectPr w:rsidR="00AA688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EDC" w:rsidRDefault="002E6EDC">
      <w:r>
        <w:separator/>
      </w:r>
    </w:p>
  </w:endnote>
  <w:endnote w:type="continuationSeparator" w:id="0">
    <w:p w:rsidR="002E6EDC" w:rsidRDefault="002E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6038C">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EDC" w:rsidRDefault="002E6EDC">
      <w:r>
        <w:separator/>
      </w:r>
    </w:p>
  </w:footnote>
  <w:footnote w:type="continuationSeparator" w:id="0">
    <w:p w:rsidR="002E6EDC" w:rsidRDefault="002E6EDC">
      <w:r>
        <w:continuationSeparator/>
      </w:r>
    </w:p>
  </w:footnote>
  <w:footnote w:id="1">
    <w:p w:rsidR="00D04FBB" w:rsidRDefault="00D04FBB">
      <w:pPr>
        <w:pStyle w:val="FootnoteText"/>
      </w:pPr>
      <w:r>
        <w:rPr>
          <w:rStyle w:val="FootnoteReference"/>
        </w:rPr>
        <w:footnoteRef/>
      </w:r>
      <w:r>
        <w:t xml:space="preserve"> </w:t>
      </w:r>
      <w:r w:rsidR="007F5EB6">
        <w:t xml:space="preserve">Number of customers as reported in </w:t>
      </w:r>
      <w:r>
        <w:t>2021 Annual Report ending December 31, 2021.</w:t>
      </w:r>
    </w:p>
  </w:footnote>
  <w:footnote w:id="2">
    <w:p w:rsidR="00712D20" w:rsidRPr="00712D20" w:rsidRDefault="00712D20">
      <w:pPr>
        <w:pStyle w:val="FootnoteText"/>
        <w:rPr>
          <w:i/>
        </w:rPr>
      </w:pPr>
      <w:r>
        <w:rPr>
          <w:rStyle w:val="FootnoteReference"/>
        </w:rPr>
        <w:footnoteRef/>
      </w:r>
      <w:r>
        <w:t xml:space="preserve"> Order No. PSC-2017-0311-FOF-WU, issued August 7, 2017, in Docket No. 20150012-WU, </w:t>
      </w:r>
      <w:r w:rsidRPr="00712D20">
        <w:rPr>
          <w:i/>
        </w:rPr>
        <w:t xml:space="preserve">In re: Application for transfer of Certificate No. 390-W from County Wide Utility Co., Inc. to Southwest Ocala Utility, Inc. in Marion County.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036C2"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20220151-WU</w:t>
    </w:r>
    <w:bookmarkEnd w:id="14"/>
  </w:p>
  <w:p w:rsidR="00BC402E" w:rsidRDefault="00BC402E">
    <w:pPr>
      <w:pStyle w:val="Header"/>
    </w:pPr>
    <w:r>
      <w:t xml:space="preserve">Date: </w:t>
    </w:r>
    <w:fldSimple w:instr=" REF FilingDate ">
      <w:r w:rsidR="002D73E0">
        <w:t>September 22,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D73E0">
      <w:t>Docket No.</w:t>
    </w:r>
    <w:r>
      <w:fldChar w:fldCharType="end"/>
    </w:r>
    <w:r>
      <w:t xml:space="preserve"> </w:t>
    </w:r>
    <w:r>
      <w:fldChar w:fldCharType="begin"/>
    </w:r>
    <w:r>
      <w:instrText xml:space="preserve"> REF DocketList</w:instrText>
    </w:r>
    <w:r>
      <w:fldChar w:fldCharType="separate"/>
    </w:r>
    <w:r w:rsidR="002D73E0">
      <w:t>20220151-WU</w:t>
    </w:r>
    <w:r>
      <w:fldChar w:fldCharType="end"/>
    </w:r>
    <w:r>
      <w:tab/>
      <w:t xml:space="preserve">Issue </w:t>
    </w:r>
    <w:r w:rsidR="00F520AD">
      <w:fldChar w:fldCharType="begin"/>
    </w:r>
    <w:r w:rsidR="00F520AD">
      <w:instrText xml:space="preserve"> Seq Issue \c \* Arabic </w:instrText>
    </w:r>
    <w:r w:rsidR="00F520AD">
      <w:fldChar w:fldCharType="separate"/>
    </w:r>
    <w:r w:rsidR="0076038C">
      <w:rPr>
        <w:noProof/>
      </w:rPr>
      <w:t>2</w:t>
    </w:r>
    <w:r w:rsidR="00F520AD">
      <w:rPr>
        <w:noProof/>
      </w:rPr>
      <w:fldChar w:fldCharType="end"/>
    </w:r>
  </w:p>
  <w:p w:rsidR="00BC402E" w:rsidRDefault="00BC402E">
    <w:pPr>
      <w:pStyle w:val="Header"/>
    </w:pPr>
    <w:r>
      <w:t xml:space="preserve">Date: </w:t>
    </w:r>
    <w:fldSimple w:instr=" REF FilingDate ">
      <w:r w:rsidR="002D73E0">
        <w:t>September 22,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036C2"/>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1753"/>
    <w:rsid w:val="00072CCA"/>
    <w:rsid w:val="00073120"/>
    <w:rsid w:val="000764D0"/>
    <w:rsid w:val="000828D3"/>
    <w:rsid w:val="00097C9A"/>
    <w:rsid w:val="000A2B57"/>
    <w:rsid w:val="000A418B"/>
    <w:rsid w:val="000B0ACE"/>
    <w:rsid w:val="000C4431"/>
    <w:rsid w:val="000C6607"/>
    <w:rsid w:val="000D1300"/>
    <w:rsid w:val="000D1C06"/>
    <w:rsid w:val="000D3043"/>
    <w:rsid w:val="000D4319"/>
    <w:rsid w:val="000E24FA"/>
    <w:rsid w:val="000E338A"/>
    <w:rsid w:val="000E4392"/>
    <w:rsid w:val="000F374A"/>
    <w:rsid w:val="000F4DAF"/>
    <w:rsid w:val="000F6192"/>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3634"/>
    <w:rsid w:val="001C52B5"/>
    <w:rsid w:val="001D0D3E"/>
    <w:rsid w:val="001D2817"/>
    <w:rsid w:val="001D2899"/>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2A79"/>
    <w:rsid w:val="00263D44"/>
    <w:rsid w:val="002702AD"/>
    <w:rsid w:val="00281EB4"/>
    <w:rsid w:val="00292D82"/>
    <w:rsid w:val="00293EE7"/>
    <w:rsid w:val="002963CB"/>
    <w:rsid w:val="002A131D"/>
    <w:rsid w:val="002B2DAC"/>
    <w:rsid w:val="002B4A01"/>
    <w:rsid w:val="002C291B"/>
    <w:rsid w:val="002C2B40"/>
    <w:rsid w:val="002C746A"/>
    <w:rsid w:val="002C7E4E"/>
    <w:rsid w:val="002D226D"/>
    <w:rsid w:val="002D73E0"/>
    <w:rsid w:val="002D74E3"/>
    <w:rsid w:val="002E6EDC"/>
    <w:rsid w:val="002F6030"/>
    <w:rsid w:val="003001AC"/>
    <w:rsid w:val="003037E1"/>
    <w:rsid w:val="00307E51"/>
    <w:rsid w:val="003103EC"/>
    <w:rsid w:val="00312132"/>
    <w:rsid w:val="003130BA"/>
    <w:rsid w:val="003144EF"/>
    <w:rsid w:val="0031480E"/>
    <w:rsid w:val="0031675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0C9E"/>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8DE"/>
    <w:rsid w:val="00630CEB"/>
    <w:rsid w:val="00632264"/>
    <w:rsid w:val="006355F2"/>
    <w:rsid w:val="00640733"/>
    <w:rsid w:val="00645C61"/>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437D"/>
    <w:rsid w:val="00704CF1"/>
    <w:rsid w:val="00705B04"/>
    <w:rsid w:val="0071040E"/>
    <w:rsid w:val="00712D20"/>
    <w:rsid w:val="00717EE9"/>
    <w:rsid w:val="00724992"/>
    <w:rsid w:val="00724F64"/>
    <w:rsid w:val="00727F90"/>
    <w:rsid w:val="00734820"/>
    <w:rsid w:val="007349DC"/>
    <w:rsid w:val="007403C0"/>
    <w:rsid w:val="0074365E"/>
    <w:rsid w:val="00744B55"/>
    <w:rsid w:val="007515FD"/>
    <w:rsid w:val="0076038C"/>
    <w:rsid w:val="00760D80"/>
    <w:rsid w:val="00761CB4"/>
    <w:rsid w:val="00780C09"/>
    <w:rsid w:val="00780DDF"/>
    <w:rsid w:val="007834E9"/>
    <w:rsid w:val="00787DBC"/>
    <w:rsid w:val="0079019A"/>
    <w:rsid w:val="00792935"/>
    <w:rsid w:val="007A04A1"/>
    <w:rsid w:val="007A1840"/>
    <w:rsid w:val="007A70E5"/>
    <w:rsid w:val="007B730C"/>
    <w:rsid w:val="007C0528"/>
    <w:rsid w:val="007C08EA"/>
    <w:rsid w:val="007C3D38"/>
    <w:rsid w:val="007D0F35"/>
    <w:rsid w:val="007D4546"/>
    <w:rsid w:val="007D4FEB"/>
    <w:rsid w:val="007D6146"/>
    <w:rsid w:val="007E0CE7"/>
    <w:rsid w:val="007F1193"/>
    <w:rsid w:val="007F417F"/>
    <w:rsid w:val="007F5EB6"/>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5BDF"/>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4DF"/>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D5E86"/>
    <w:rsid w:val="009F04EC"/>
    <w:rsid w:val="009F2A7C"/>
    <w:rsid w:val="009F3B36"/>
    <w:rsid w:val="00A019B9"/>
    <w:rsid w:val="00A03157"/>
    <w:rsid w:val="00A036C2"/>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974E8"/>
    <w:rsid w:val="00AA2765"/>
    <w:rsid w:val="00AA6889"/>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1E2"/>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32DB"/>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1986"/>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2189"/>
    <w:rsid w:val="00CE2BF8"/>
    <w:rsid w:val="00CE484E"/>
    <w:rsid w:val="00CE4B61"/>
    <w:rsid w:val="00CE4D20"/>
    <w:rsid w:val="00CE656F"/>
    <w:rsid w:val="00CF0DA8"/>
    <w:rsid w:val="00CF2E25"/>
    <w:rsid w:val="00CF4453"/>
    <w:rsid w:val="00CF5589"/>
    <w:rsid w:val="00CF5D94"/>
    <w:rsid w:val="00CF7E0F"/>
    <w:rsid w:val="00D00893"/>
    <w:rsid w:val="00D034D7"/>
    <w:rsid w:val="00D04BE4"/>
    <w:rsid w:val="00D04FBB"/>
    <w:rsid w:val="00D06FC7"/>
    <w:rsid w:val="00D12565"/>
    <w:rsid w:val="00D140C1"/>
    <w:rsid w:val="00D14127"/>
    <w:rsid w:val="00D479AE"/>
    <w:rsid w:val="00D50FCD"/>
    <w:rsid w:val="00D533E3"/>
    <w:rsid w:val="00D60B16"/>
    <w:rsid w:val="00D60F02"/>
    <w:rsid w:val="00D66E49"/>
    <w:rsid w:val="00D70D71"/>
    <w:rsid w:val="00D72F74"/>
    <w:rsid w:val="00D763DB"/>
    <w:rsid w:val="00D81563"/>
    <w:rsid w:val="00D837C1"/>
    <w:rsid w:val="00D85907"/>
    <w:rsid w:val="00D860AC"/>
    <w:rsid w:val="00D9073E"/>
    <w:rsid w:val="00D9221D"/>
    <w:rsid w:val="00D9253C"/>
    <w:rsid w:val="00D958DF"/>
    <w:rsid w:val="00D96DA1"/>
    <w:rsid w:val="00DA095D"/>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5364F"/>
    <w:rsid w:val="00E53CDE"/>
    <w:rsid w:val="00E543E0"/>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C7EF0"/>
    <w:rsid w:val="00ED3A87"/>
    <w:rsid w:val="00ED5B67"/>
    <w:rsid w:val="00EE1A5C"/>
    <w:rsid w:val="00EE5F5A"/>
    <w:rsid w:val="00EF264C"/>
    <w:rsid w:val="00EF3FEE"/>
    <w:rsid w:val="00EF6B41"/>
    <w:rsid w:val="00F0484F"/>
    <w:rsid w:val="00F04B59"/>
    <w:rsid w:val="00F07B69"/>
    <w:rsid w:val="00F11741"/>
    <w:rsid w:val="00F117B0"/>
    <w:rsid w:val="00F12B1C"/>
    <w:rsid w:val="00F13CF8"/>
    <w:rsid w:val="00F15855"/>
    <w:rsid w:val="00F200B2"/>
    <w:rsid w:val="00F227DC"/>
    <w:rsid w:val="00F30701"/>
    <w:rsid w:val="00F32978"/>
    <w:rsid w:val="00F45CB2"/>
    <w:rsid w:val="00F511F3"/>
    <w:rsid w:val="00F52C36"/>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B67E9"/>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CBC4620-4FBF-4E3F-8BD5-71856C54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04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59946-6393-46B5-B7EB-D3F432D1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899</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Andrea Mick</cp:lastModifiedBy>
  <cp:revision>2</cp:revision>
  <cp:lastPrinted>2022-09-09T13:00:00Z</cp:lastPrinted>
  <dcterms:created xsi:type="dcterms:W3CDTF">2022-09-22T13:24:00Z</dcterms:created>
  <dcterms:modified xsi:type="dcterms:W3CDTF">2022-09-22T13:24:00Z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20220151-WU</vt:lpwstr>
  </property>
  <property fmtid="{D5CDD505-2E9C-101B-9397-08002B2CF9AE}" pid="3" name="MasterDocument">
    <vt:bool>false</vt:bool>
  </property>
</Properties>
</file>