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71022" w:rsidP="00571022">
      <w:pPr>
        <w:pStyle w:val="OrderHeading"/>
      </w:pPr>
      <w:r>
        <w:t>BEFORE THE FLORIDA PUBLIC SERVICE COMMISSION</w:t>
      </w:r>
    </w:p>
    <w:p w:rsidR="00571022" w:rsidRDefault="00571022" w:rsidP="005710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1022" w:rsidRPr="00C63FCF" w:rsidTr="00C63FCF">
        <w:trPr>
          <w:trHeight w:val="828"/>
        </w:trPr>
        <w:tc>
          <w:tcPr>
            <w:tcW w:w="4788" w:type="dxa"/>
            <w:tcBorders>
              <w:bottom w:val="single" w:sz="8" w:space="0" w:color="auto"/>
              <w:right w:val="double" w:sz="6" w:space="0" w:color="auto"/>
            </w:tcBorders>
            <w:shd w:val="clear" w:color="auto" w:fill="auto"/>
          </w:tcPr>
          <w:p w:rsidR="00571022" w:rsidRDefault="0057102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571022" w:rsidRDefault="00571022" w:rsidP="00571022">
            <w:pPr>
              <w:pStyle w:val="OrderBody"/>
            </w:pPr>
            <w:r>
              <w:t xml:space="preserve">DOCKET NO. </w:t>
            </w:r>
            <w:bookmarkStart w:id="1" w:name="SSDocketNo"/>
            <w:bookmarkEnd w:id="1"/>
            <w:r>
              <w:t>20210015-EI</w:t>
            </w:r>
          </w:p>
          <w:p w:rsidR="00571022" w:rsidRDefault="00571022" w:rsidP="00C63FCF">
            <w:pPr>
              <w:pStyle w:val="OrderBody"/>
              <w:tabs>
                <w:tab w:val="center" w:pos="4320"/>
                <w:tab w:val="right" w:pos="8640"/>
              </w:tabs>
              <w:jc w:val="left"/>
            </w:pPr>
            <w:r>
              <w:t xml:space="preserve">ORDER NO. </w:t>
            </w:r>
            <w:bookmarkStart w:id="2" w:name="OrderNo0358"/>
            <w:r w:rsidR="008C2C23">
              <w:t>PSC-2022-0358-FOF-EI</w:t>
            </w:r>
            <w:bookmarkEnd w:id="2"/>
          </w:p>
          <w:p w:rsidR="00571022" w:rsidRDefault="00571022" w:rsidP="00C63FCF">
            <w:pPr>
              <w:pStyle w:val="OrderBody"/>
              <w:tabs>
                <w:tab w:val="center" w:pos="4320"/>
                <w:tab w:val="right" w:pos="8640"/>
              </w:tabs>
              <w:jc w:val="left"/>
            </w:pPr>
            <w:r>
              <w:t xml:space="preserve">ISSUED: </w:t>
            </w:r>
            <w:r w:rsidR="008C2C23">
              <w:t>October 21, 2022</w:t>
            </w:r>
          </w:p>
        </w:tc>
      </w:tr>
    </w:tbl>
    <w:p w:rsidR="00571022" w:rsidRDefault="00571022" w:rsidP="00571022"/>
    <w:p w:rsidR="00571022" w:rsidRDefault="00571022" w:rsidP="00B67A43">
      <w:pPr>
        <w:ind w:firstLine="720"/>
        <w:jc w:val="both"/>
      </w:pPr>
      <w:bookmarkStart w:id="3" w:name="Commissioners"/>
      <w:bookmarkEnd w:id="3"/>
      <w:r>
        <w:t>The following Commissioners participated in the disposition of this matter:</w:t>
      </w:r>
    </w:p>
    <w:p w:rsidR="00571022" w:rsidRDefault="00571022" w:rsidP="00B67A43"/>
    <w:p w:rsidR="00571022" w:rsidRDefault="00571022" w:rsidP="00477699">
      <w:pPr>
        <w:jc w:val="center"/>
      </w:pPr>
      <w:r>
        <w:t>ART GRAHAM, Chairman</w:t>
      </w:r>
    </w:p>
    <w:p w:rsidR="00571022" w:rsidRDefault="00571022" w:rsidP="00B67A43">
      <w:pPr>
        <w:jc w:val="center"/>
      </w:pPr>
      <w:r>
        <w:t>GARY F. CLARK</w:t>
      </w:r>
    </w:p>
    <w:p w:rsidR="00571022" w:rsidRDefault="00571022" w:rsidP="00B67A43">
      <w:pPr>
        <w:jc w:val="center"/>
      </w:pPr>
      <w:r>
        <w:t>MIKE LA ROSA</w:t>
      </w:r>
    </w:p>
    <w:p w:rsidR="00571022" w:rsidRPr="005F2751" w:rsidRDefault="00571022" w:rsidP="00B67A43">
      <w:pPr>
        <w:jc w:val="center"/>
      </w:pPr>
      <w:r w:rsidRPr="005F2751">
        <w:rPr>
          <w:lang w:val="en"/>
        </w:rPr>
        <w:t>GABRIELLA PASSIDOMO</w:t>
      </w:r>
    </w:p>
    <w:p w:rsidR="00CB5276" w:rsidRDefault="00CB5276">
      <w:pPr>
        <w:pStyle w:val="OrderBody"/>
      </w:pPr>
    </w:p>
    <w:p w:rsidR="00571022" w:rsidRDefault="00571022">
      <w:pPr>
        <w:pStyle w:val="OrderBody"/>
        <w:rPr>
          <w:u w:val="single"/>
        </w:rPr>
      </w:pPr>
      <w:r w:rsidRPr="00571022">
        <w:rPr>
          <w:u w:val="single"/>
        </w:rPr>
        <w:t>APPEARANCES</w:t>
      </w:r>
    </w:p>
    <w:p w:rsidR="00571022" w:rsidRDefault="00571022">
      <w:pPr>
        <w:pStyle w:val="OrderBody"/>
        <w:rPr>
          <w:u w:val="single"/>
        </w:rPr>
      </w:pPr>
    </w:p>
    <w:p w:rsidR="00571022" w:rsidRDefault="00571022" w:rsidP="00571022">
      <w:pPr>
        <w:ind w:left="1440"/>
        <w:jc w:val="both"/>
      </w:pPr>
      <w:r w:rsidRPr="00281042">
        <w:t>MARIA J. MONCADA</w:t>
      </w:r>
      <w:r>
        <w:t xml:space="preserve">, </w:t>
      </w:r>
      <w:r w:rsidR="00E01C9B">
        <w:t>ESQUIRE, Managing Attorney,</w:t>
      </w:r>
      <w:r>
        <w:t xml:space="preserve"> </w:t>
      </w:r>
      <w:r w:rsidRPr="00281042">
        <w:t>Florida Power &amp; Light Company</w:t>
      </w:r>
      <w:r>
        <w:t xml:space="preserve">, </w:t>
      </w:r>
      <w:r w:rsidRPr="00281042">
        <w:t>700 Universe Boulevard</w:t>
      </w:r>
      <w:r>
        <w:t xml:space="preserve">, </w:t>
      </w:r>
      <w:r w:rsidRPr="00281042">
        <w:t>Juno Beach, FL 33408</w:t>
      </w:r>
    </w:p>
    <w:p w:rsidR="00571022" w:rsidRDefault="00571022" w:rsidP="00571022">
      <w:pPr>
        <w:ind w:left="720" w:firstLine="720"/>
        <w:jc w:val="both"/>
        <w:rPr>
          <w:u w:val="single"/>
        </w:rPr>
      </w:pPr>
      <w:r>
        <w:rPr>
          <w:u w:val="single"/>
        </w:rPr>
        <w:t>On behalf of Florida Power &amp; Light Company (FPL)</w:t>
      </w:r>
      <w:r w:rsidRPr="0064383B">
        <w:t>.</w:t>
      </w:r>
    </w:p>
    <w:p w:rsidR="00571022" w:rsidRDefault="00571022" w:rsidP="00571022">
      <w:pPr>
        <w:jc w:val="both"/>
        <w:rPr>
          <w:u w:val="single"/>
        </w:rPr>
      </w:pPr>
    </w:p>
    <w:p w:rsidR="00571022" w:rsidRPr="00D77FAB" w:rsidRDefault="00571022" w:rsidP="00571022">
      <w:pPr>
        <w:widowControl w:val="0"/>
        <w:tabs>
          <w:tab w:val="left" w:pos="720"/>
        </w:tabs>
        <w:autoSpaceDE w:val="0"/>
        <w:autoSpaceDN w:val="0"/>
        <w:adjustRightInd w:val="0"/>
        <w:ind w:left="1440" w:hanging="1440"/>
        <w:jc w:val="both"/>
        <w:rPr>
          <w:bCs/>
        </w:rPr>
      </w:pPr>
      <w:r>
        <w:tab/>
      </w:r>
      <w:r>
        <w:tab/>
      </w:r>
      <w:r w:rsidRPr="00D77FAB">
        <w:t>RICHARD GENTRY</w:t>
      </w:r>
      <w:r>
        <w:t xml:space="preserve">, </w:t>
      </w:r>
      <w:r w:rsidRPr="00D77FAB">
        <w:t>Public Counsel</w:t>
      </w:r>
      <w:r>
        <w:t xml:space="preserve">, and </w:t>
      </w:r>
      <w:r w:rsidR="00850416">
        <w:t>PATTY CHRISTENSEN, ESQUIRE</w:t>
      </w:r>
      <w:r w:rsidR="00E01C9B">
        <w:t>S</w:t>
      </w:r>
      <w:r>
        <w:t xml:space="preserve">; Office of Public Counsel, </w:t>
      </w:r>
      <w:r w:rsidRPr="00D77FAB">
        <w:rPr>
          <w:bCs/>
        </w:rPr>
        <w:t>c/o The Florida Legislature</w:t>
      </w:r>
      <w:r>
        <w:rPr>
          <w:bCs/>
        </w:rPr>
        <w:t xml:space="preserve">, </w:t>
      </w:r>
      <w:r w:rsidRPr="00D77FAB">
        <w:rPr>
          <w:bCs/>
        </w:rPr>
        <w:t>111 West Madison Street, Room 812</w:t>
      </w:r>
      <w:r>
        <w:rPr>
          <w:bCs/>
        </w:rPr>
        <w:t xml:space="preserve">, </w:t>
      </w:r>
      <w:r w:rsidRPr="00D77FAB">
        <w:rPr>
          <w:bCs/>
        </w:rPr>
        <w:t>Tallahassee, Florida 32399-1400</w:t>
      </w:r>
    </w:p>
    <w:p w:rsidR="00571022" w:rsidRDefault="00571022" w:rsidP="00571022">
      <w:pPr>
        <w:ind w:left="720" w:firstLine="720"/>
        <w:jc w:val="both"/>
      </w:pPr>
      <w:r w:rsidRPr="00701945">
        <w:rPr>
          <w:u w:val="single"/>
        </w:rPr>
        <w:t xml:space="preserve">On behalf of </w:t>
      </w:r>
      <w:r>
        <w:rPr>
          <w:u w:val="single"/>
        </w:rPr>
        <w:t>Office of the Public Counsel (OPC)</w:t>
      </w:r>
      <w:r w:rsidRPr="00701945">
        <w:t xml:space="preserve">. </w:t>
      </w:r>
    </w:p>
    <w:p w:rsidR="00571022" w:rsidRDefault="00571022" w:rsidP="00571022">
      <w:pPr>
        <w:jc w:val="both"/>
      </w:pPr>
    </w:p>
    <w:p w:rsidR="00571022" w:rsidRDefault="00571022" w:rsidP="00571022">
      <w:pPr>
        <w:ind w:left="1440"/>
        <w:jc w:val="both"/>
      </w:pPr>
      <w:r w:rsidRPr="001A58B4">
        <w:t>ROBERT SCHEFFEL WRIGHT and JOHN T. LAVIA, III, ESQUIRES, Gardner, Bist, Bowden, Dee, LaVia, Wright, Perry &amp; Harper, P.A., 1300 Thomaswood Drive, Tallahassee, Florida 32308</w:t>
      </w:r>
    </w:p>
    <w:p w:rsidR="00571022" w:rsidRPr="00E824AF" w:rsidRDefault="00571022" w:rsidP="00571022">
      <w:pPr>
        <w:ind w:left="1440"/>
        <w:jc w:val="both"/>
        <w:rPr>
          <w:u w:val="single"/>
        </w:rPr>
      </w:pPr>
      <w:r>
        <w:rPr>
          <w:u w:val="single"/>
        </w:rPr>
        <w:t>On behalf of Floridians Against Increased Rates, Inc. (FAIR)</w:t>
      </w:r>
      <w:r w:rsidRPr="0064383B">
        <w:t>.</w:t>
      </w:r>
    </w:p>
    <w:p w:rsidR="00571022" w:rsidRDefault="00571022" w:rsidP="00571022"/>
    <w:p w:rsidR="00571022" w:rsidRDefault="00571022" w:rsidP="00571022">
      <w:pPr>
        <w:ind w:left="1440" w:hanging="14"/>
        <w:jc w:val="both"/>
        <w:rPr>
          <w:bCs/>
          <w:u w:val="single"/>
        </w:rPr>
      </w:pPr>
      <w:r w:rsidRPr="0029207E">
        <w:t>JAMES W. BREW</w:t>
      </w:r>
      <w:r>
        <w:t xml:space="preserve">, ESQUIRE, </w:t>
      </w:r>
      <w:r w:rsidRPr="0029207E">
        <w:t>Stone Mattheis Xenopoulos &amp; Brew, PC</w:t>
      </w:r>
      <w:r>
        <w:t xml:space="preserve">, </w:t>
      </w:r>
      <w:r w:rsidRPr="0029207E">
        <w:t>1025 Thomas Jefferson Street, NW</w:t>
      </w:r>
      <w:r>
        <w:t xml:space="preserve">, </w:t>
      </w:r>
      <w:r w:rsidRPr="0029207E">
        <w:t>Eighth Floor, West Tower</w:t>
      </w:r>
      <w:r>
        <w:t xml:space="preserve">, </w:t>
      </w:r>
      <w:r w:rsidRPr="0029207E">
        <w:t>Washington, D.C. 20007</w:t>
      </w:r>
    </w:p>
    <w:p w:rsidR="00571022" w:rsidRDefault="00571022" w:rsidP="00571022">
      <w:pPr>
        <w:ind w:left="1440"/>
        <w:jc w:val="both"/>
        <w:rPr>
          <w:bCs/>
          <w:u w:val="single"/>
        </w:rPr>
      </w:pPr>
      <w:r>
        <w:rPr>
          <w:bCs/>
          <w:u w:val="single"/>
        </w:rPr>
        <w:t>On behalf of Florida Retail Federation (FRF)</w:t>
      </w:r>
      <w:r w:rsidRPr="0064383B">
        <w:rPr>
          <w:bCs/>
        </w:rPr>
        <w:t>.</w:t>
      </w:r>
    </w:p>
    <w:p w:rsidR="00571022" w:rsidRDefault="00571022" w:rsidP="00571022">
      <w:pPr>
        <w:rPr>
          <w:bCs/>
          <w:u w:val="single"/>
        </w:rPr>
      </w:pPr>
    </w:p>
    <w:p w:rsidR="00571022" w:rsidRDefault="00571022" w:rsidP="00571022">
      <w:pPr>
        <w:suppressAutoHyphens/>
        <w:ind w:left="1440"/>
        <w:jc w:val="both"/>
        <w:rPr>
          <w:rFonts w:eastAsia="MS Mincho"/>
          <w:lang w:eastAsia="ar-SA"/>
        </w:rPr>
      </w:pPr>
      <w:r w:rsidRPr="002E061B">
        <w:rPr>
          <w:lang w:eastAsia="ar-SA"/>
        </w:rPr>
        <w:t>BRADLEY MARSHALL</w:t>
      </w:r>
      <w:r>
        <w:rPr>
          <w:lang w:eastAsia="ar-SA"/>
        </w:rPr>
        <w:t xml:space="preserve"> and JORDAN LUEBKEMANN, ESQUIRES, </w:t>
      </w:r>
      <w:r w:rsidRPr="008C48ED">
        <w:rPr>
          <w:rFonts w:eastAsia="MS Mincho"/>
          <w:lang w:eastAsia="ar-SA"/>
        </w:rPr>
        <w:t>Earthjustice</w:t>
      </w:r>
      <w:r>
        <w:rPr>
          <w:rFonts w:eastAsia="MS Mincho"/>
          <w:lang w:eastAsia="ar-SA"/>
        </w:rPr>
        <w:t xml:space="preserve">, </w:t>
      </w:r>
      <w:r w:rsidRPr="008C48ED">
        <w:rPr>
          <w:rFonts w:eastAsia="MS Mincho"/>
          <w:lang w:eastAsia="ar-SA"/>
        </w:rPr>
        <w:tab/>
        <w:t>111 S. Martin Luther King Jr. Blvd.</w:t>
      </w:r>
      <w:r>
        <w:rPr>
          <w:rFonts w:eastAsia="MS Mincho"/>
          <w:lang w:eastAsia="ar-SA"/>
        </w:rPr>
        <w:t xml:space="preserve">, </w:t>
      </w:r>
      <w:r w:rsidRPr="008C48ED">
        <w:rPr>
          <w:rFonts w:eastAsia="MS Mincho"/>
          <w:lang w:eastAsia="ar-SA"/>
        </w:rPr>
        <w:t>Tallahassee, Florida 32301</w:t>
      </w:r>
      <w:r>
        <w:rPr>
          <w:rFonts w:eastAsia="MS Mincho"/>
          <w:lang w:eastAsia="ar-SA"/>
        </w:rPr>
        <w:t xml:space="preserve"> and </w:t>
      </w:r>
      <w:r w:rsidRPr="008C48ED">
        <w:rPr>
          <w:lang w:eastAsia="ar-SA"/>
        </w:rPr>
        <w:t>CHRISTINA I. REICHERT</w:t>
      </w:r>
      <w:r>
        <w:rPr>
          <w:lang w:eastAsia="ar-SA"/>
        </w:rPr>
        <w:t xml:space="preserve">, ESQUIRE, </w:t>
      </w:r>
      <w:r w:rsidRPr="008C48ED">
        <w:rPr>
          <w:rFonts w:eastAsia="MS Mincho"/>
          <w:lang w:eastAsia="ar-SA"/>
        </w:rPr>
        <w:t>Earthjustice</w:t>
      </w:r>
      <w:r>
        <w:rPr>
          <w:rFonts w:eastAsia="MS Mincho"/>
          <w:lang w:eastAsia="ar-SA"/>
        </w:rPr>
        <w:t xml:space="preserve">, </w:t>
      </w:r>
      <w:r w:rsidRPr="008C48ED">
        <w:rPr>
          <w:rFonts w:eastAsia="MS Mincho"/>
          <w:lang w:eastAsia="ar-SA"/>
        </w:rPr>
        <w:t>4500 Biscayne Blvd., Ste. 201</w:t>
      </w:r>
      <w:r>
        <w:rPr>
          <w:rFonts w:eastAsia="MS Mincho"/>
          <w:lang w:eastAsia="ar-SA"/>
        </w:rPr>
        <w:t xml:space="preserve">, </w:t>
      </w:r>
      <w:r w:rsidRPr="008C48ED">
        <w:rPr>
          <w:rFonts w:eastAsia="MS Mincho"/>
          <w:lang w:eastAsia="ar-SA"/>
        </w:rPr>
        <w:t>Miami, Florida 33137</w:t>
      </w:r>
    </w:p>
    <w:p w:rsidR="00571022" w:rsidRPr="00FC4666" w:rsidRDefault="00571022" w:rsidP="00571022">
      <w:pPr>
        <w:suppressAutoHyphens/>
        <w:ind w:left="1440"/>
        <w:jc w:val="both"/>
        <w:rPr>
          <w:rFonts w:eastAsia="MS Mincho"/>
          <w:u w:val="single"/>
          <w:lang w:eastAsia="ar-SA"/>
        </w:rPr>
      </w:pPr>
      <w:r>
        <w:rPr>
          <w:rFonts w:eastAsia="MS Mincho"/>
          <w:u w:val="single"/>
          <w:lang w:eastAsia="ar-SA"/>
        </w:rPr>
        <w:t>On behalf of Florida Rising, Inc., League of United Latin American Citizens of Florida, and Environmental Confederation of Southwest Florida, Inc. (Fla. Rising, LULAC, ECOSWF)</w:t>
      </w:r>
      <w:r w:rsidRPr="0064383B">
        <w:rPr>
          <w:rFonts w:eastAsia="MS Mincho"/>
          <w:lang w:eastAsia="ar-SA"/>
        </w:rPr>
        <w:t>.</w:t>
      </w:r>
    </w:p>
    <w:p w:rsidR="00571022" w:rsidRPr="00CA6839" w:rsidRDefault="00571022" w:rsidP="00571022">
      <w:pPr>
        <w:rPr>
          <w:bCs/>
          <w:u w:val="single"/>
        </w:rPr>
      </w:pPr>
    </w:p>
    <w:p w:rsidR="00571022" w:rsidRPr="004A35E8" w:rsidRDefault="00571022" w:rsidP="00571022">
      <w:pPr>
        <w:autoSpaceDE w:val="0"/>
        <w:autoSpaceDN w:val="0"/>
        <w:adjustRightInd w:val="0"/>
        <w:ind w:left="720" w:firstLine="720"/>
        <w:jc w:val="both"/>
        <w:rPr>
          <w:color w:val="252525"/>
        </w:rPr>
      </w:pPr>
      <w:r w:rsidRPr="004A35E8">
        <w:rPr>
          <w:color w:val="111111"/>
        </w:rPr>
        <w:t xml:space="preserve">NATHAN </w:t>
      </w:r>
      <w:r w:rsidRPr="004A35E8">
        <w:rPr>
          <w:color w:val="252525"/>
        </w:rPr>
        <w:t xml:space="preserve">A. </w:t>
      </w:r>
      <w:r w:rsidRPr="004A35E8">
        <w:rPr>
          <w:color w:val="111111"/>
        </w:rPr>
        <w:t>SKOP</w:t>
      </w:r>
      <w:r w:rsidRPr="004A35E8">
        <w:rPr>
          <w:color w:val="363636"/>
        </w:rPr>
        <w:t xml:space="preserve">, </w:t>
      </w:r>
      <w:r w:rsidRPr="004A35E8">
        <w:rPr>
          <w:color w:val="252525"/>
        </w:rPr>
        <w:t xml:space="preserve">ESQUIRE, </w:t>
      </w:r>
      <w:r w:rsidRPr="004A35E8">
        <w:rPr>
          <w:color w:val="111111"/>
        </w:rPr>
        <w:t xml:space="preserve">420 </w:t>
      </w:r>
      <w:r w:rsidRPr="004A35E8">
        <w:rPr>
          <w:color w:val="252525"/>
        </w:rPr>
        <w:t xml:space="preserve">NW </w:t>
      </w:r>
      <w:r w:rsidRPr="004A35E8">
        <w:rPr>
          <w:color w:val="111111"/>
        </w:rPr>
        <w:t>50</w:t>
      </w:r>
      <w:r w:rsidRPr="004A35E8">
        <w:rPr>
          <w:color w:val="363636"/>
        </w:rPr>
        <w:t>t</w:t>
      </w:r>
      <w:r w:rsidRPr="004A35E8">
        <w:rPr>
          <w:color w:val="111111"/>
        </w:rPr>
        <w:t xml:space="preserve">h Boulevard, </w:t>
      </w:r>
      <w:r w:rsidRPr="004A35E8">
        <w:rPr>
          <w:color w:val="252525"/>
        </w:rPr>
        <w:t xml:space="preserve">Gainesville, </w:t>
      </w:r>
      <w:r w:rsidRPr="004A35E8">
        <w:rPr>
          <w:color w:val="111111"/>
        </w:rPr>
        <w:t xml:space="preserve">FL </w:t>
      </w:r>
      <w:r w:rsidRPr="004A35E8">
        <w:rPr>
          <w:color w:val="252525"/>
        </w:rPr>
        <w:t>32607</w:t>
      </w:r>
    </w:p>
    <w:p w:rsidR="00571022" w:rsidRPr="004A35E8" w:rsidRDefault="00571022" w:rsidP="00571022">
      <w:pPr>
        <w:ind w:left="1440"/>
        <w:jc w:val="both"/>
        <w:rPr>
          <w:color w:val="252525"/>
          <w:u w:val="single"/>
        </w:rPr>
      </w:pPr>
      <w:r w:rsidRPr="004A35E8">
        <w:rPr>
          <w:color w:val="252525"/>
          <w:u w:val="single"/>
        </w:rPr>
        <w:t>On behalf of Alexandria Larson (Larson)</w:t>
      </w:r>
      <w:r w:rsidRPr="004A35E8">
        <w:rPr>
          <w:color w:val="252525"/>
        </w:rPr>
        <w:t>.</w:t>
      </w:r>
    </w:p>
    <w:p w:rsidR="00571022" w:rsidRDefault="00571022" w:rsidP="00571022">
      <w:pPr>
        <w:jc w:val="both"/>
        <w:rPr>
          <w:color w:val="252525"/>
          <w:sz w:val="23"/>
          <w:szCs w:val="23"/>
          <w:u w:val="single"/>
        </w:rPr>
      </w:pPr>
    </w:p>
    <w:p w:rsidR="00571022" w:rsidRDefault="00571022" w:rsidP="00571022">
      <w:pPr>
        <w:autoSpaceDE w:val="0"/>
        <w:autoSpaceDN w:val="0"/>
        <w:adjustRightInd w:val="0"/>
        <w:ind w:left="1440"/>
        <w:jc w:val="both"/>
        <w:rPr>
          <w:color w:val="252525"/>
          <w:sz w:val="23"/>
          <w:szCs w:val="23"/>
          <w:u w:val="single"/>
        </w:rPr>
      </w:pPr>
      <w:r w:rsidRPr="009841F1">
        <w:lastRenderedPageBreak/>
        <w:t>GEORGE CAVROS</w:t>
      </w:r>
      <w:r>
        <w:t xml:space="preserve">, ESQUIRE, </w:t>
      </w:r>
      <w:r w:rsidRPr="009841F1">
        <w:t>Southern Alliance for Clean Energy</w:t>
      </w:r>
      <w:r>
        <w:t xml:space="preserve">, </w:t>
      </w:r>
      <w:r w:rsidRPr="009841F1">
        <w:t>120 E. Oakland Park Blvd., Suite 105</w:t>
      </w:r>
      <w:r>
        <w:t xml:space="preserve">, </w:t>
      </w:r>
      <w:r w:rsidRPr="009841F1">
        <w:t>Fort Lauderdale, FL 33334</w:t>
      </w:r>
      <w:r w:rsidRPr="009841F1">
        <w:rPr>
          <w:color w:val="252525"/>
          <w:sz w:val="23"/>
          <w:szCs w:val="23"/>
          <w:u w:val="single"/>
        </w:rPr>
        <w:t xml:space="preserve"> </w:t>
      </w:r>
    </w:p>
    <w:p w:rsidR="00571022" w:rsidRPr="009841F1" w:rsidRDefault="00571022" w:rsidP="00571022">
      <w:pPr>
        <w:autoSpaceDE w:val="0"/>
        <w:autoSpaceDN w:val="0"/>
        <w:adjustRightInd w:val="0"/>
        <w:ind w:left="720" w:firstLine="720"/>
        <w:jc w:val="both"/>
        <w:rPr>
          <w:u w:val="single"/>
        </w:rPr>
      </w:pPr>
      <w:r w:rsidRPr="009841F1">
        <w:rPr>
          <w:color w:val="252525"/>
          <w:sz w:val="23"/>
          <w:szCs w:val="23"/>
          <w:u w:val="single"/>
        </w:rPr>
        <w:t>On behalf of Southern Alliance for Clean Energy</w:t>
      </w:r>
      <w:r>
        <w:rPr>
          <w:color w:val="252525"/>
          <w:sz w:val="23"/>
          <w:szCs w:val="23"/>
          <w:u w:val="single"/>
        </w:rPr>
        <w:t xml:space="preserve"> (SACE)</w:t>
      </w:r>
      <w:r w:rsidRPr="0064383B">
        <w:rPr>
          <w:color w:val="252525"/>
          <w:sz w:val="23"/>
          <w:szCs w:val="23"/>
        </w:rPr>
        <w:t>.</w:t>
      </w:r>
    </w:p>
    <w:p w:rsidR="00571022" w:rsidRDefault="00571022" w:rsidP="00571022">
      <w:pPr>
        <w:jc w:val="both"/>
      </w:pPr>
    </w:p>
    <w:p w:rsidR="00571022" w:rsidRPr="00701945" w:rsidRDefault="00571022" w:rsidP="00571022">
      <w:pPr>
        <w:ind w:left="1440"/>
        <w:jc w:val="both"/>
      </w:pPr>
      <w:r>
        <w:t>SUZANNE BROWNLESS and SHAW P. STILLER</w:t>
      </w:r>
      <w:r w:rsidRPr="00701945">
        <w:t>, ESQUIRE</w:t>
      </w:r>
      <w:r>
        <w:t>S</w:t>
      </w:r>
      <w:r w:rsidRPr="00701945">
        <w:t>, Florida Public Service Commission, 2540 Shumard Oak Boulevard, Tallahassee, Florida 32399-0850</w:t>
      </w:r>
    </w:p>
    <w:p w:rsidR="00571022" w:rsidRPr="00701945" w:rsidRDefault="00571022" w:rsidP="0057102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571022" w:rsidRPr="00701945" w:rsidRDefault="00571022" w:rsidP="00571022">
      <w:pPr>
        <w:jc w:val="both"/>
      </w:pPr>
    </w:p>
    <w:p w:rsidR="00571022" w:rsidRPr="00701945" w:rsidRDefault="00571022" w:rsidP="0057102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571022" w:rsidRDefault="00571022" w:rsidP="00571022">
      <w:pPr>
        <w:ind w:left="720" w:firstLine="720"/>
        <w:jc w:val="both"/>
      </w:pPr>
      <w:r>
        <w:rPr>
          <w:u w:val="single"/>
        </w:rPr>
        <w:t>Advisor to the</w:t>
      </w:r>
      <w:r w:rsidRPr="00701945">
        <w:rPr>
          <w:u w:val="single"/>
        </w:rPr>
        <w:t xml:space="preserve"> Florida Public Service Commission</w:t>
      </w:r>
      <w:r w:rsidRPr="00701945">
        <w:t>.</w:t>
      </w:r>
    </w:p>
    <w:p w:rsidR="00571022" w:rsidRPr="00701945" w:rsidRDefault="00571022" w:rsidP="00571022">
      <w:pPr>
        <w:ind w:left="720" w:firstLine="720"/>
        <w:jc w:val="both"/>
        <w:rPr>
          <w:b/>
          <w:bCs/>
          <w:u w:val="single"/>
        </w:rPr>
      </w:pPr>
    </w:p>
    <w:p w:rsidR="00571022" w:rsidRPr="00D033EB" w:rsidRDefault="00571022" w:rsidP="00571022">
      <w:pPr>
        <w:ind w:left="1440"/>
        <w:jc w:val="both"/>
      </w:pPr>
      <w:r w:rsidRPr="00D033EB">
        <w:t>K</w:t>
      </w:r>
      <w:r>
        <w:t>EITH C. HETRICK</w:t>
      </w:r>
      <w:r w:rsidRPr="00D033EB">
        <w:t>, ESQUIRE, General Counsel, Florida Public Service Commission, 2540 Shumard Oak Boulevard, Tallahassee, Florida 32399-0850</w:t>
      </w:r>
    </w:p>
    <w:p w:rsidR="00571022" w:rsidRDefault="00850416" w:rsidP="00571022">
      <w:pPr>
        <w:pStyle w:val="OrderBody"/>
        <w:rPr>
          <w:u w:val="single"/>
        </w:rPr>
      </w:pPr>
      <w:r>
        <w:tab/>
      </w:r>
      <w:r>
        <w:tab/>
      </w:r>
      <w:r w:rsidR="00571022" w:rsidRPr="00D033EB">
        <w:rPr>
          <w:u w:val="single"/>
        </w:rPr>
        <w:t>Florida Public Service Commission General Counsel</w:t>
      </w:r>
      <w:r w:rsidR="00571022">
        <w:t>.</w:t>
      </w:r>
    </w:p>
    <w:p w:rsidR="00571022" w:rsidRPr="00571022" w:rsidRDefault="00571022">
      <w:pPr>
        <w:pStyle w:val="OrderBody"/>
        <w:rPr>
          <w:u w:val="single"/>
        </w:rPr>
      </w:pPr>
    </w:p>
    <w:p w:rsidR="00571022" w:rsidRDefault="00571022" w:rsidP="00571022">
      <w:pPr>
        <w:pStyle w:val="CenterUnderline"/>
      </w:pPr>
      <w:r>
        <w:t>ORDER</w:t>
      </w:r>
      <w:bookmarkStart w:id="4" w:name="OrderTitle"/>
      <w:r>
        <w:t xml:space="preserve"> IMPLEMENTING FLORIDA POWER &amp; LIGHT</w:t>
      </w:r>
    </w:p>
    <w:p w:rsidR="00571022" w:rsidRDefault="00571022" w:rsidP="00571022">
      <w:pPr>
        <w:pStyle w:val="CenterUnderline"/>
      </w:pPr>
      <w:r>
        <w:t xml:space="preserve">COMPANY’S RETURN ON EQUITY TRIGGER </w:t>
      </w:r>
      <w:bookmarkEnd w:id="4"/>
    </w:p>
    <w:p w:rsidR="00571022" w:rsidRDefault="00571022" w:rsidP="00571022">
      <w:pPr>
        <w:pStyle w:val="CenterUnderline"/>
      </w:pPr>
    </w:p>
    <w:p w:rsidR="00571022" w:rsidRDefault="00571022" w:rsidP="00571022">
      <w:pPr>
        <w:pStyle w:val="OrderBody"/>
      </w:pPr>
      <w:r>
        <w:t>BY THE COMMISSION:</w:t>
      </w:r>
    </w:p>
    <w:p w:rsidR="00571022" w:rsidRDefault="00571022" w:rsidP="00571022">
      <w:pPr>
        <w:pStyle w:val="OrderBody"/>
      </w:pPr>
    </w:p>
    <w:p w:rsidR="00CB5276" w:rsidRDefault="00E01C9B" w:rsidP="00E01C9B">
      <w:pPr>
        <w:pStyle w:val="OrderBody"/>
        <w:jc w:val="center"/>
        <w:rPr>
          <w:u w:val="single"/>
        </w:rPr>
      </w:pPr>
      <w:bookmarkStart w:id="5" w:name="OrderText"/>
      <w:bookmarkEnd w:id="5"/>
      <w:r>
        <w:rPr>
          <w:u w:val="single"/>
        </w:rPr>
        <w:t>BACKGROUND</w:t>
      </w:r>
    </w:p>
    <w:p w:rsidR="00E01C9B" w:rsidRDefault="00E01C9B" w:rsidP="00E01C9B">
      <w:pPr>
        <w:pStyle w:val="OrderBody"/>
        <w:jc w:val="center"/>
        <w:rPr>
          <w:u w:val="single"/>
        </w:rPr>
      </w:pPr>
    </w:p>
    <w:p w:rsidR="00DD7FC6" w:rsidRPr="00096037" w:rsidRDefault="00DD7FC6" w:rsidP="00DD7FC6">
      <w:pPr>
        <w:spacing w:after="240"/>
        <w:jc w:val="both"/>
      </w:pPr>
      <w:r>
        <w:tab/>
      </w:r>
      <w:r w:rsidRPr="00096037">
        <w:t>On August 23, 2022, Florida Power &amp; Light Company (FPL or Company) filed a Notice of Triggering Revised Authorized Return on Equity (Notice) stating that pursuant to the terms of its 2021 Settlement Agreement,</w:t>
      </w:r>
      <w:r w:rsidRPr="00096037">
        <w:rPr>
          <w:vertAlign w:val="superscript"/>
        </w:rPr>
        <w:footnoteReference w:id="1"/>
      </w:r>
      <w:r w:rsidRPr="00096037">
        <w:t xml:space="preserve"> as amended by Order No. PSC-2021-0446A-S-EI, it was increasing its return on equity (ROE) to 10.8 percent and ROE range to 9.8 percent to 11.8 percent, effective September 1, 2022.  </w:t>
      </w:r>
    </w:p>
    <w:p w:rsidR="00DD7FC6" w:rsidRPr="00096037" w:rsidRDefault="00A26C15" w:rsidP="00DD7FC6">
      <w:r>
        <w:tab/>
      </w:r>
      <w:r w:rsidR="00DD7FC6" w:rsidRPr="00096037">
        <w:t xml:space="preserve">Sections 3(b) and (c) of the 2021 Settlement Agreement state as follows: </w:t>
      </w:r>
    </w:p>
    <w:p w:rsidR="00DD7FC6" w:rsidRPr="00096037" w:rsidRDefault="00DD7FC6" w:rsidP="00DD7FC6"/>
    <w:p w:rsidR="00DD7FC6" w:rsidRPr="00096037" w:rsidRDefault="00DD7FC6" w:rsidP="00DD7FC6">
      <w:pPr>
        <w:ind w:left="720" w:right="720"/>
        <w:jc w:val="both"/>
      </w:pPr>
      <w:r w:rsidRPr="00096037">
        <w:t>(b)</w:t>
      </w:r>
      <w:r w:rsidRPr="00096037">
        <w:tab/>
        <w:t xml:space="preserve">If at any time during the Term, but no more than once during the Term, the average 30-year United States Treasury Bond yield rate for any period of six (6) consecutive months is at least 50 basis points greater than the yield rate on the date this Agreement is filed with the Commission (the “Trigger”), FPL’s authorized ROE shall, after an elective filing by FPL, be increased  by 20 basis points to be within a range of 9.8% to 11.8% with a mid-point of 10.8% (“Revised Authorized ROE”) from the Trigger Effective Date defined below for and through the remainder of the Minimum Term, and for any period in which the Company’s rates continue in effect after December 31, 2025, and then, until the Commission </w:t>
      </w:r>
      <w:r w:rsidRPr="00096037">
        <w:lastRenderedPageBreak/>
        <w:t>issues a final order in a future proceeding changing the Company’s rates and its authorized ROE.  Base rates shall not be increased upon implementation of the trigger mechanism.  The Trigger shall be calculated by summing the reported 30-year U.S. Treasury bond rates for each day over any continuous six-month period, e.g., January 1, 2022 through July 1, 2022, or March 17, 2022 through September 17, 2022, for which rates are reported, and dividing the resulting sum by the number of reporting days in such period.  The effective date of the Revised Authorized ROE (“Trigger Effective Date”) shall be the first day of the month following the day in which the Trigger is reached.  No later than five business days after the Commission votes to approve this 2021 Agreement, FPL shall notify the Parties of the 30-year United States Treasury Bond yield rate as of the date this Agreement is filed with the Commission by filing in this docket proof of the rate with the Commission Clerk and serving the Parties.</w:t>
      </w:r>
    </w:p>
    <w:p w:rsidR="00DD7FC6" w:rsidRPr="00096037" w:rsidRDefault="00DD7FC6" w:rsidP="00DD7FC6">
      <w:pPr>
        <w:ind w:left="720" w:right="720"/>
        <w:jc w:val="both"/>
      </w:pPr>
      <w:r w:rsidRPr="00096037">
        <w:t>(c)</w:t>
      </w:r>
      <w:r w:rsidRPr="00096037">
        <w:tab/>
        <w:t xml:space="preserve">If the Trigger is reached and the Revised Authorized ROE becomes effective, except as otherwise specifically provided in this Agreement, FPL’s Revised Authorized ROE range and mid-point shall be used prospectively for all regulatory purposes, including all rates and applications pursuant to this Agreement, until the Commission issues a final order in a future general base rate proceeding changing the Company’s rates and its authorized ROE.  </w:t>
      </w:r>
    </w:p>
    <w:p w:rsidR="00DD7FC6" w:rsidRPr="00096037" w:rsidRDefault="00DD7FC6" w:rsidP="00DD7FC6">
      <w:pPr>
        <w:ind w:left="720" w:right="720"/>
        <w:jc w:val="both"/>
      </w:pPr>
    </w:p>
    <w:p w:rsidR="00DD7FC6" w:rsidRDefault="00DD7FC6" w:rsidP="00DD7FC6">
      <w:pPr>
        <w:spacing w:after="240"/>
        <w:jc w:val="both"/>
      </w:pPr>
      <w:r>
        <w:tab/>
      </w:r>
      <w:r w:rsidRPr="00096037">
        <w:t>On October 27, 2021, FPL filed notice that the 30-year United States Treasury Bond yield rate on August 10, 2021, the date of the 2021 Settlement Agreement, was 1.99 percent.</w:t>
      </w:r>
      <w:r w:rsidRPr="00096037">
        <w:rPr>
          <w:vertAlign w:val="superscript"/>
        </w:rPr>
        <w:footnoteReference w:id="2"/>
      </w:r>
      <w:r w:rsidRPr="00096037">
        <w:t xml:space="preserve"> </w:t>
      </w:r>
      <w:r>
        <w:t xml:space="preserve">  </w:t>
      </w:r>
      <w:r w:rsidRPr="00096037">
        <w:t>On August 31, 2022, FPL provided its calculation of the date on which the average 30-year U.S. Treasury Bond yield rate for a period of six (6) consecutive months was at least 50 basis points greater than the yield rate on August 10, 2021.</w:t>
      </w:r>
      <w:r w:rsidRPr="00096037">
        <w:rPr>
          <w:vertAlign w:val="superscript"/>
        </w:rPr>
        <w:footnoteReference w:id="3"/>
      </w:r>
      <w:r>
        <w:t xml:space="preserve"> </w:t>
      </w:r>
    </w:p>
    <w:p w:rsidR="00E05B82" w:rsidRDefault="00DD7FC6" w:rsidP="00DD7FC6">
      <w:pPr>
        <w:spacing w:after="240"/>
        <w:jc w:val="both"/>
      </w:pPr>
      <w:r>
        <w:tab/>
        <w:t>Order No. PSC-2022-0327-PCO-EI, issued September 14, 2022, set this docket for administrative</w:t>
      </w:r>
      <w:r w:rsidR="00A83261">
        <w:t xml:space="preserve"> hearing on October 4, 2022.  </w:t>
      </w:r>
      <w:r>
        <w:t>The Office of Public Counsel (OPC), Florida Industrial Power Users Group (FIPUG), Florida Retail Federation (FRF), and Southern Alliance for Clean Energy (SACE) are signatories to the 2021 Settlement Agreement.</w:t>
      </w:r>
      <w:r w:rsidR="00E05B82">
        <w:t xml:space="preserve">  CLEO, the Federal Executive Agencies, Florida Internet &amp; Television Association, Inc., FIPUG, and Walmart, Inc. have requested to be excused from the hearing and have represented that they take no position on FPL’s request.</w:t>
      </w:r>
    </w:p>
    <w:p w:rsidR="00DD7FC6" w:rsidRDefault="00E05B82" w:rsidP="00DD7FC6">
      <w:pPr>
        <w:spacing w:after="240"/>
        <w:jc w:val="both"/>
      </w:pPr>
      <w:r>
        <w:tab/>
      </w:r>
      <w:r w:rsidR="00A83261">
        <w:t xml:space="preserve">At the October 4, 2022, administrative hearing, opening statements were </w:t>
      </w:r>
      <w:r w:rsidR="00F930BB">
        <w:t xml:space="preserve">waived </w:t>
      </w:r>
      <w:r w:rsidR="00A83261">
        <w:t>by FPL,</w:t>
      </w:r>
      <w:r w:rsidR="00F930BB">
        <w:t xml:space="preserve"> OPC, FRF, SACE, FAIR, and LULAC/ECOSWF/Florida Rising.  The Larsons gave a brief opening statement.  FPL proffered witness Scott Bores, Senior Director of Financial Planning &amp; Analysis, to answer questions regarding FPL’s request and its ROE trigger calculations.  Exhibit Nos. 1-5 were admitted into the record without objection.  </w:t>
      </w:r>
    </w:p>
    <w:p w:rsidR="00DD7FC6" w:rsidRDefault="00F930BB" w:rsidP="00DD7FC6">
      <w:pPr>
        <w:spacing w:after="240"/>
        <w:jc w:val="both"/>
      </w:pPr>
      <w:r>
        <w:tab/>
        <w:t xml:space="preserve">We have </w:t>
      </w:r>
      <w:r w:rsidR="00DD7FC6" w:rsidRPr="00096037">
        <w:t>jurisdiction over this matter pursuant to Sections 366.03, 366.04, 366.05, and 366.06, Florida Statutes (F.S.).</w:t>
      </w:r>
    </w:p>
    <w:p w:rsidR="00F930BB" w:rsidRDefault="00F930BB" w:rsidP="00F930BB">
      <w:pPr>
        <w:spacing w:after="240"/>
        <w:jc w:val="center"/>
        <w:rPr>
          <w:u w:val="single"/>
        </w:rPr>
      </w:pPr>
      <w:r>
        <w:rPr>
          <w:u w:val="single"/>
        </w:rPr>
        <w:lastRenderedPageBreak/>
        <w:t>DECISION</w:t>
      </w:r>
    </w:p>
    <w:p w:rsidR="00BC4CC3" w:rsidRPr="00BC4CC3" w:rsidRDefault="00F930BB" w:rsidP="004E4DBD">
      <w:pPr>
        <w:jc w:val="both"/>
        <w:rPr>
          <w:u w:val="single"/>
        </w:rPr>
      </w:pPr>
      <w:r>
        <w:tab/>
      </w:r>
      <w:r w:rsidR="00BC4CC3" w:rsidRPr="00BC4CC3">
        <w:rPr>
          <w:u w:val="single"/>
        </w:rPr>
        <w:t>ROE Trigger</w:t>
      </w:r>
    </w:p>
    <w:p w:rsidR="004E4DBD" w:rsidRDefault="00BC4CC3" w:rsidP="004E4DBD">
      <w:pPr>
        <w:jc w:val="both"/>
      </w:pPr>
      <w:r>
        <w:tab/>
      </w:r>
      <w:r w:rsidR="004E4DBD" w:rsidRPr="004E4DBD">
        <w:t>On October 27, 2021, FPL filed a notice advising that the 30-year U.S. Treasury Bond yield rate as of August 10, 2021 was 1.99 percent.</w:t>
      </w:r>
      <w:r w:rsidR="004E4DBD" w:rsidRPr="00096037">
        <w:rPr>
          <w:vertAlign w:val="superscript"/>
        </w:rPr>
        <w:footnoteReference w:id="4"/>
      </w:r>
      <w:r w:rsidR="004E4DBD" w:rsidRPr="004E4DBD">
        <w:t xml:space="preserve"> </w:t>
      </w:r>
      <w:r w:rsidR="004E4DBD">
        <w:t xml:space="preserve">  We have </w:t>
      </w:r>
      <w:r w:rsidR="004E4DBD" w:rsidRPr="004E4DBD">
        <w:t xml:space="preserve">reviewed the rates published by the U.S. Department of Treasury and confirmed </w:t>
      </w:r>
      <w:r w:rsidR="004E4DBD">
        <w:t xml:space="preserve">that </w:t>
      </w:r>
      <w:r w:rsidR="004E4DBD" w:rsidRPr="004E4DBD">
        <w:t xml:space="preserve">the 30-year U.S. Treasury Bond yield rate on August 10, 2021 was 1.99 percent. </w:t>
      </w:r>
      <w:r w:rsidR="004E4DBD">
        <w:t xml:space="preserve">  </w:t>
      </w:r>
      <w:r w:rsidR="004E4DBD" w:rsidRPr="004E4DBD">
        <w:t xml:space="preserve">On August 31, 2022, FPL filed </w:t>
      </w:r>
      <w:r w:rsidR="004E4DBD">
        <w:t>E</w:t>
      </w:r>
      <w:r w:rsidR="004E4DBD" w:rsidRPr="004E4DBD">
        <w:t xml:space="preserve">xhibit </w:t>
      </w:r>
      <w:r w:rsidR="004E4DBD">
        <w:t xml:space="preserve">No. 4, </w:t>
      </w:r>
      <w:r w:rsidR="004E4DBD" w:rsidRPr="004E4DBD">
        <w:t>the daily Treasury par yield curve rates released by the U.S. Department of Treasury for the period February 23, 2022 through August 22, 2022.</w:t>
      </w:r>
      <w:r w:rsidR="004E4DBD" w:rsidRPr="00096037">
        <w:rPr>
          <w:vertAlign w:val="superscript"/>
        </w:rPr>
        <w:footnoteReference w:id="5"/>
      </w:r>
      <w:r w:rsidR="004E4DBD">
        <w:t xml:space="preserve">  We have </w:t>
      </w:r>
      <w:r w:rsidR="004E4DBD" w:rsidRPr="004E4DBD">
        <w:t>reviewed the rates published by the U.S. Department of Treasury and confirmed that, by operation of math, the average 30-year U.S. Treasury Bond yield rate for this six-month period is 2.91 percent</w:t>
      </w:r>
      <w:r w:rsidR="004E4DBD" w:rsidRPr="0038679A">
        <w:t xml:space="preserve">. </w:t>
      </w:r>
    </w:p>
    <w:p w:rsidR="004E4DBD" w:rsidRDefault="004E4DBD" w:rsidP="004E4DBD">
      <w:pPr>
        <w:jc w:val="both"/>
        <w:rPr>
          <w:bCs/>
          <w:iCs/>
          <w:szCs w:val="28"/>
        </w:rPr>
      </w:pPr>
    </w:p>
    <w:p w:rsidR="004E4DBD" w:rsidRPr="004E4DBD" w:rsidRDefault="004E4DBD" w:rsidP="004E4DBD">
      <w:pPr>
        <w:jc w:val="both"/>
      </w:pPr>
      <w:r>
        <w:rPr>
          <w:bCs/>
          <w:iCs/>
          <w:szCs w:val="28"/>
        </w:rPr>
        <w:tab/>
        <w:t xml:space="preserve">We have also </w:t>
      </w:r>
      <w:r w:rsidRPr="00096037">
        <w:rPr>
          <w:bCs/>
          <w:iCs/>
          <w:szCs w:val="28"/>
        </w:rPr>
        <w:t>reviewed the 30-year U.S. Treasury yield rates published by the U.S. Treasury Department and confirmed that the ROE Trigger provisions of the 2021 Settlement Agreement have been met</w:t>
      </w:r>
      <w:r w:rsidRPr="00BE2B67">
        <w:rPr>
          <w:bCs/>
          <w:iCs/>
          <w:szCs w:val="28"/>
        </w:rPr>
        <w:t>.</w:t>
      </w:r>
      <w:r>
        <w:rPr>
          <w:bCs/>
          <w:iCs/>
          <w:szCs w:val="28"/>
        </w:rPr>
        <w:t xml:space="preserve">  </w:t>
      </w:r>
      <w:r w:rsidRPr="004E4DBD">
        <w:t xml:space="preserve">Per Section 3(b) of the 2021 Settlement Agreement, if at any time during the term of the agreement the average 30-year U.S. Treasury Bond yield rate for any period of six consecutive months is at least 50 basis points greater than the yield date on the date the agreement was filed with </w:t>
      </w:r>
      <w:r>
        <w:t>us</w:t>
      </w:r>
      <w:r w:rsidRPr="004E4DBD">
        <w:t xml:space="preserve"> (ROE Trigger), FPL’s authorized return on equity (ROE) shall, after an elective filing by FPL, be increased by 20 basis points to be within a range of 9.8 percent to 11.8 percent with a midpoint of 10.8 percent.</w:t>
      </w:r>
      <w:r w:rsidRPr="00096037">
        <w:rPr>
          <w:vertAlign w:val="superscript"/>
        </w:rPr>
        <w:footnoteReference w:id="6"/>
      </w:r>
      <w:r w:rsidRPr="004E4DBD">
        <w:t xml:space="preserve"> </w:t>
      </w:r>
    </w:p>
    <w:p w:rsidR="004E4DBD" w:rsidRDefault="004E4DBD" w:rsidP="004E4DBD">
      <w:pPr>
        <w:ind w:left="360"/>
        <w:jc w:val="both"/>
      </w:pPr>
    </w:p>
    <w:p w:rsidR="004E4DBD" w:rsidRDefault="004E4DBD" w:rsidP="004E4DBD">
      <w:pPr>
        <w:jc w:val="both"/>
      </w:pPr>
      <w:r>
        <w:tab/>
      </w:r>
      <w:r w:rsidRPr="004E4DBD">
        <w:t xml:space="preserve">The average 30-year U.S. Treasury Bond yield rate for the period February 22, 2022 through August 19, 2022 of 2.91 percent is more than 50 basis points greater than the 30-year U.S. Treasury Bond yield rate of 1.99 percent on August 10, 2021, the date the 2021 Settlement Agreement was filed with </w:t>
      </w:r>
      <w:r>
        <w:t>us</w:t>
      </w:r>
      <w:r w:rsidRPr="004E4DBD">
        <w:t xml:space="preserve">. </w:t>
      </w:r>
      <w:r>
        <w:t xml:space="preserve"> </w:t>
      </w:r>
      <w:r w:rsidRPr="004E4DBD">
        <w:t xml:space="preserve">Thus, </w:t>
      </w:r>
      <w:r>
        <w:t xml:space="preserve">we have </w:t>
      </w:r>
      <w:r w:rsidRPr="004E4DBD">
        <w:t>confirmed that the ROE Trigger provisions of the 2021 Settlement Agreement have been met.</w:t>
      </w:r>
    </w:p>
    <w:p w:rsidR="00BC4CC3" w:rsidRDefault="00BC4CC3" w:rsidP="004E4DBD">
      <w:pPr>
        <w:jc w:val="both"/>
      </w:pPr>
    </w:p>
    <w:p w:rsidR="00BC4CC3" w:rsidRPr="00BC4CC3" w:rsidRDefault="004E4DBD" w:rsidP="00BC4CC3">
      <w:pPr>
        <w:jc w:val="both"/>
        <w:rPr>
          <w:u w:val="single"/>
        </w:rPr>
      </w:pPr>
      <w:r>
        <w:rPr>
          <w:rFonts w:ascii="Arial" w:hAnsi="Arial" w:cs="Arial"/>
          <w:b/>
          <w:bCs/>
          <w:i/>
          <w:kern w:val="32"/>
          <w:szCs w:val="32"/>
        </w:rPr>
        <w:tab/>
      </w:r>
      <w:r w:rsidR="00BC4CC3" w:rsidRPr="00BC4CC3">
        <w:rPr>
          <w:u w:val="single"/>
        </w:rPr>
        <w:t>Return on equity</w:t>
      </w:r>
    </w:p>
    <w:p w:rsidR="004E4DBD" w:rsidRDefault="004E4DBD" w:rsidP="00BC4CC3">
      <w:pPr>
        <w:jc w:val="both"/>
      </w:pPr>
      <w:r>
        <w:rPr>
          <w:rFonts w:ascii="Arial" w:hAnsi="Arial" w:cs="Arial"/>
          <w:b/>
          <w:i/>
          <w:kern w:val="32"/>
          <w:szCs w:val="32"/>
        </w:rPr>
        <w:tab/>
      </w:r>
      <w:r w:rsidRPr="00BC4CC3">
        <w:t xml:space="preserve">Per Section 3(b) of the 2021 Settlement Agreement, if the ROE Trigger is reached, FPL’s authorized ROE shall, after an elective filing by FPL, be increased by 20 basis points to be within a range of 9.8 percent to 11.8 percent with a midpoint of 10.8 percent. </w:t>
      </w:r>
      <w:r w:rsidR="00BC4CC3">
        <w:t xml:space="preserve">  </w:t>
      </w:r>
      <w:r w:rsidRPr="00BC4CC3">
        <w:t xml:space="preserve">Section 3(b) also specifies that the effective date of the revised authorized ROE midpoint and range shall be the first day of the month following the day in which the ROE Trigger is reached. </w:t>
      </w:r>
      <w:r w:rsidR="00BC4CC3">
        <w:t xml:space="preserve"> </w:t>
      </w:r>
      <w:r w:rsidRPr="00BC4CC3">
        <w:t>Because the ROE Trigger was reached on August 22, 2022, the effective date of the revised authorized ROE midpoint and range is September 1, 2022</w:t>
      </w:r>
      <w:r w:rsidRPr="00916172">
        <w:t>.</w:t>
      </w:r>
    </w:p>
    <w:p w:rsidR="00BC4CC3" w:rsidRDefault="00BC4CC3" w:rsidP="00BC4CC3"/>
    <w:p w:rsidR="00BC4CC3" w:rsidRPr="00BC4CC3" w:rsidRDefault="00BC4CC3" w:rsidP="00BC4CC3">
      <w:pPr>
        <w:rPr>
          <w:u w:val="single"/>
        </w:rPr>
      </w:pPr>
      <w:r>
        <w:tab/>
      </w:r>
      <w:r>
        <w:rPr>
          <w:u w:val="single"/>
        </w:rPr>
        <w:t>Application of revised ROE</w:t>
      </w:r>
    </w:p>
    <w:p w:rsidR="004E4DBD" w:rsidRPr="00916172" w:rsidRDefault="00BC4CC3" w:rsidP="006653C6">
      <w:pPr>
        <w:spacing w:after="240"/>
        <w:jc w:val="both"/>
        <w:outlineLvl w:val="1"/>
      </w:pPr>
      <w:r>
        <w:tab/>
      </w:r>
      <w:r w:rsidR="004E4DBD" w:rsidRPr="00825137">
        <w:t xml:space="preserve">Per Section 3(c) of the 2021 Settlement Agreement, the revised authorized ROE midpoint and range will be used prospectively for all regulatory purposes. </w:t>
      </w:r>
      <w:r>
        <w:t xml:space="preserve"> </w:t>
      </w:r>
      <w:r w:rsidR="004E4DBD" w:rsidRPr="00825137">
        <w:t>However, in the Notice FPL filed on August 23, 2022, the Company stated that it w</w:t>
      </w:r>
      <w:r w:rsidR="006653C6">
        <w:t>ould</w:t>
      </w:r>
      <w:r w:rsidR="004E4DBD" w:rsidRPr="00825137">
        <w:t xml:space="preserve"> not reflect the revised authorized ROE in any of the clause recovery factors to be</w:t>
      </w:r>
      <w:r w:rsidR="006653C6">
        <w:t xml:space="preserve"> </w:t>
      </w:r>
      <w:r w:rsidR="004E4DBD" w:rsidRPr="00825137">
        <w:t xml:space="preserve">implemented January 2023. </w:t>
      </w:r>
      <w:r w:rsidR="006653C6">
        <w:t xml:space="preserve"> </w:t>
      </w:r>
      <w:r w:rsidR="004E4DBD" w:rsidRPr="00825137">
        <w:t xml:space="preserve">Instead, FPL </w:t>
      </w:r>
      <w:r w:rsidR="006653C6">
        <w:t xml:space="preserve">intends to </w:t>
      </w:r>
      <w:r w:rsidR="004E4DBD" w:rsidRPr="00825137">
        <w:t xml:space="preserve">reflect the revised authorized ROE in the clause recovery true-ups that will be filed in </w:t>
      </w:r>
      <w:r w:rsidR="004E4DBD" w:rsidRPr="00825137">
        <w:lastRenderedPageBreak/>
        <w:t>2023 and recovered in 2024.</w:t>
      </w:r>
      <w:r w:rsidR="004E4DBD" w:rsidRPr="00825137">
        <w:rPr>
          <w:rStyle w:val="FootnoteReference"/>
        </w:rPr>
        <w:footnoteReference w:id="7"/>
      </w:r>
      <w:r w:rsidR="006653C6">
        <w:t xml:space="preserve">  </w:t>
      </w:r>
      <w:r w:rsidR="004E4DBD" w:rsidRPr="00825137">
        <w:t>In the same Notice, FPL also stated that it w</w:t>
      </w:r>
      <w:r w:rsidR="006653C6">
        <w:t>ould</w:t>
      </w:r>
      <w:r w:rsidR="004E4DBD" w:rsidRPr="00825137">
        <w:t xml:space="preserve"> </w:t>
      </w:r>
      <w:r w:rsidR="006653C6">
        <w:t xml:space="preserve">not </w:t>
      </w:r>
      <w:r w:rsidR="004E4DBD" w:rsidRPr="00825137">
        <w:t>increas</w:t>
      </w:r>
      <w:r w:rsidR="006653C6">
        <w:t>e</w:t>
      </w:r>
      <w:r w:rsidR="004E4DBD" w:rsidRPr="00825137">
        <w:t xml:space="preserve"> its rate for AFUDC that would </w:t>
      </w:r>
      <w:r w:rsidR="006653C6">
        <w:t xml:space="preserve">normally </w:t>
      </w:r>
      <w:r w:rsidR="004E4DBD" w:rsidRPr="00825137">
        <w:t xml:space="preserve">be applied to the last four months of 2022. </w:t>
      </w:r>
      <w:r w:rsidR="006653C6">
        <w:t xml:space="preserve"> </w:t>
      </w:r>
      <w:r w:rsidR="004E4DBD" w:rsidRPr="00825137">
        <w:t>Pursuant to Rule 25-6.0141, F.A.C., FPL will make a separate filing to revise its AFUD</w:t>
      </w:r>
      <w:r w:rsidR="004E4DBD">
        <w:t xml:space="preserve">C rate to be effective in 2023. </w:t>
      </w:r>
    </w:p>
    <w:p w:rsidR="00734A1B" w:rsidRDefault="006653C6" w:rsidP="00A753CA">
      <w:pPr>
        <w:jc w:val="both"/>
      </w:pPr>
      <w:r>
        <w:tab/>
      </w:r>
      <w:r w:rsidR="00A753CA">
        <w:t>Prior to the commencement of the October 4, 2022, administrative hearing, all of the parties participating in this docket agreed to proposed stipulations on all identified issues as set forth in Attachment A to this order.</w:t>
      </w:r>
      <w:r>
        <w:t xml:space="preserve">  Based on our analysis above, we find that the stipulations are appropriate and hereby </w:t>
      </w:r>
      <w:r w:rsidR="00A26C15">
        <w:t xml:space="preserve">approve </w:t>
      </w:r>
      <w:r>
        <w:t>them.  We note that these are Type 2 stipulations which occur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the final order.</w:t>
      </w:r>
    </w:p>
    <w:p w:rsidR="00734A1B" w:rsidRDefault="00734A1B" w:rsidP="00A753CA">
      <w:pPr>
        <w:jc w:val="both"/>
      </w:pPr>
    </w:p>
    <w:p w:rsidR="00F930BB" w:rsidRDefault="00734A1B" w:rsidP="00A753CA">
      <w:pPr>
        <w:jc w:val="both"/>
      </w:pPr>
      <w:r>
        <w:tab/>
        <w:t>Based on the foregoing, it is</w:t>
      </w:r>
    </w:p>
    <w:p w:rsidR="00734A1B" w:rsidRDefault="00734A1B" w:rsidP="00A753CA">
      <w:pPr>
        <w:jc w:val="both"/>
      </w:pPr>
    </w:p>
    <w:p w:rsidR="00734A1B" w:rsidRDefault="00734A1B" w:rsidP="00A753CA">
      <w:pPr>
        <w:jc w:val="both"/>
      </w:pPr>
      <w:r>
        <w:tab/>
        <w:t>ORDERED by the Florida Public Service Commission that Florida Power &amp; Light Company’s request to implement the return on equity trigger provision of its 2021 Settlement Agreement is hereby granted.  It is further</w:t>
      </w:r>
    </w:p>
    <w:p w:rsidR="00734A1B" w:rsidRDefault="00734A1B" w:rsidP="00A753CA">
      <w:pPr>
        <w:jc w:val="both"/>
      </w:pPr>
    </w:p>
    <w:p w:rsidR="00734A1B" w:rsidRDefault="00734A1B" w:rsidP="00A753CA">
      <w:pPr>
        <w:jc w:val="both"/>
      </w:pPr>
      <w:r>
        <w:tab/>
        <w:t>ORDERED that FPL’s authorized ROE shall be increased by 20 basis points to be within a range of 9.8 percent to 11.8 percent with a midpoint of 10.8 percent effective September 1, 2022.   It is further</w:t>
      </w:r>
    </w:p>
    <w:p w:rsidR="00734A1B" w:rsidRDefault="00734A1B" w:rsidP="00A753CA">
      <w:pPr>
        <w:jc w:val="both"/>
      </w:pPr>
    </w:p>
    <w:p w:rsidR="005043B0" w:rsidRDefault="00734A1B" w:rsidP="00A753CA">
      <w:pPr>
        <w:jc w:val="both"/>
      </w:pPr>
      <w:r>
        <w:tab/>
        <w:t xml:space="preserve">ORDERED that the revised authorized ROE will not be applied to the clause cost recovery factors to be implemented in January 2023, but will be reflected in clause recovery true-ups that will be filed in 2023 and recovered in 2024.  Further, FPL’s AFUDC will not be increased for the last four months of 2022.  Finally, </w:t>
      </w:r>
      <w:r w:rsidR="005043B0">
        <w:t>consistent with Rule 25-6.0141, Florida Administrative Code, FPL will request approval to revise its AFUDC rate to be effective in 2023.  It is further</w:t>
      </w:r>
    </w:p>
    <w:p w:rsidR="005043B0" w:rsidRDefault="005043B0" w:rsidP="00A753CA">
      <w:pPr>
        <w:jc w:val="both"/>
      </w:pPr>
    </w:p>
    <w:p w:rsidR="005043B0" w:rsidRDefault="005043B0" w:rsidP="005043B0">
      <w:pPr>
        <w:jc w:val="both"/>
      </w:pPr>
      <w:r>
        <w:tab/>
        <w:t xml:space="preserve">ORDERED that this docket shall remain open pending resolution of the pending Florida Supreme Court appeal.  </w:t>
      </w:r>
    </w:p>
    <w:p w:rsidR="005043B0" w:rsidRDefault="005043B0" w:rsidP="005043B0">
      <w:pPr>
        <w:keepNext/>
        <w:keepLines/>
        <w:jc w:val="both"/>
      </w:pPr>
      <w:r>
        <w:lastRenderedPageBreak/>
        <w:tab/>
        <w:t xml:space="preserve">By ORDER of the Florida Public Service Commission this </w:t>
      </w:r>
      <w:bookmarkStart w:id="6" w:name="replaceDate"/>
      <w:bookmarkEnd w:id="6"/>
      <w:r w:rsidR="008C2C23">
        <w:rPr>
          <w:u w:val="single"/>
        </w:rPr>
        <w:t>21st</w:t>
      </w:r>
      <w:r w:rsidR="008C2C23">
        <w:t xml:space="preserve"> day of </w:t>
      </w:r>
      <w:r w:rsidR="008C2C23">
        <w:rPr>
          <w:u w:val="single"/>
        </w:rPr>
        <w:t>October</w:t>
      </w:r>
      <w:r w:rsidR="008C2C23">
        <w:t xml:space="preserve">, </w:t>
      </w:r>
      <w:r w:rsidR="008C2C23">
        <w:rPr>
          <w:u w:val="single"/>
        </w:rPr>
        <w:t>2022</w:t>
      </w:r>
      <w:r w:rsidR="008C2C23">
        <w:t>.</w:t>
      </w:r>
    </w:p>
    <w:p w:rsidR="008C2C23" w:rsidRPr="008C2C23" w:rsidRDefault="008C2C23" w:rsidP="005043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043B0" w:rsidTr="005043B0">
        <w:tc>
          <w:tcPr>
            <w:tcW w:w="686" w:type="dxa"/>
            <w:shd w:val="clear" w:color="auto" w:fill="auto"/>
          </w:tcPr>
          <w:p w:rsidR="005043B0" w:rsidRDefault="005043B0" w:rsidP="005043B0">
            <w:pPr>
              <w:keepNext/>
              <w:keepLines/>
              <w:jc w:val="both"/>
            </w:pPr>
            <w:bookmarkStart w:id="7" w:name="bkmrkSignature" w:colFirst="0" w:colLast="0"/>
            <w:bookmarkStart w:id="8" w:name="_GoBack"/>
            <w:bookmarkEnd w:id="8"/>
          </w:p>
        </w:tc>
        <w:tc>
          <w:tcPr>
            <w:tcW w:w="4034" w:type="dxa"/>
            <w:tcBorders>
              <w:bottom w:val="single" w:sz="4" w:space="0" w:color="auto"/>
            </w:tcBorders>
            <w:shd w:val="clear" w:color="auto" w:fill="auto"/>
          </w:tcPr>
          <w:p w:rsidR="005043B0" w:rsidRDefault="000C39C8" w:rsidP="005043B0">
            <w:pPr>
              <w:keepNext/>
              <w:keepLines/>
              <w:jc w:val="both"/>
            </w:pPr>
            <w:r>
              <w:t>/s/ Adam J. Teitzman</w:t>
            </w:r>
          </w:p>
        </w:tc>
      </w:tr>
      <w:bookmarkEnd w:id="7"/>
      <w:tr w:rsidR="005043B0" w:rsidTr="005043B0">
        <w:tc>
          <w:tcPr>
            <w:tcW w:w="686" w:type="dxa"/>
            <w:shd w:val="clear" w:color="auto" w:fill="auto"/>
          </w:tcPr>
          <w:p w:rsidR="005043B0" w:rsidRDefault="005043B0" w:rsidP="005043B0">
            <w:pPr>
              <w:keepNext/>
              <w:keepLines/>
              <w:jc w:val="both"/>
            </w:pPr>
          </w:p>
        </w:tc>
        <w:tc>
          <w:tcPr>
            <w:tcW w:w="4034" w:type="dxa"/>
            <w:tcBorders>
              <w:top w:val="single" w:sz="4" w:space="0" w:color="auto"/>
            </w:tcBorders>
            <w:shd w:val="clear" w:color="auto" w:fill="auto"/>
          </w:tcPr>
          <w:p w:rsidR="005043B0" w:rsidRDefault="005043B0" w:rsidP="005043B0">
            <w:pPr>
              <w:keepNext/>
              <w:keepLines/>
              <w:jc w:val="both"/>
            </w:pPr>
            <w:r>
              <w:t>ADAM J. TEITZMAN</w:t>
            </w:r>
          </w:p>
          <w:p w:rsidR="005043B0" w:rsidRDefault="005043B0" w:rsidP="005043B0">
            <w:pPr>
              <w:keepNext/>
              <w:keepLines/>
              <w:jc w:val="both"/>
            </w:pPr>
            <w:r>
              <w:t>Commission Clerk</w:t>
            </w:r>
          </w:p>
        </w:tc>
      </w:tr>
    </w:tbl>
    <w:p w:rsidR="005043B0" w:rsidRDefault="005043B0" w:rsidP="005043B0">
      <w:pPr>
        <w:pStyle w:val="OrderSigInfo"/>
        <w:keepNext/>
        <w:keepLines/>
      </w:pPr>
      <w:r>
        <w:t>Florida Public Service Commission</w:t>
      </w:r>
    </w:p>
    <w:p w:rsidR="005043B0" w:rsidRDefault="005043B0" w:rsidP="005043B0">
      <w:pPr>
        <w:pStyle w:val="OrderSigInfo"/>
        <w:keepNext/>
        <w:keepLines/>
      </w:pPr>
      <w:r>
        <w:t>2540 Shumard Oak Boulevard</w:t>
      </w:r>
    </w:p>
    <w:p w:rsidR="005043B0" w:rsidRDefault="005043B0" w:rsidP="005043B0">
      <w:pPr>
        <w:pStyle w:val="OrderSigInfo"/>
        <w:keepNext/>
        <w:keepLines/>
      </w:pPr>
      <w:r>
        <w:t>Tallahassee, Florida 32399</w:t>
      </w:r>
    </w:p>
    <w:p w:rsidR="005043B0" w:rsidRDefault="005043B0" w:rsidP="005043B0">
      <w:pPr>
        <w:pStyle w:val="OrderSigInfo"/>
        <w:keepNext/>
        <w:keepLines/>
      </w:pPr>
      <w:r>
        <w:t>(850) 413</w:t>
      </w:r>
      <w:r>
        <w:noBreakHyphen/>
        <w:t>6770</w:t>
      </w:r>
    </w:p>
    <w:p w:rsidR="005043B0" w:rsidRDefault="005043B0" w:rsidP="005043B0">
      <w:pPr>
        <w:pStyle w:val="OrderSigInfo"/>
        <w:keepNext/>
        <w:keepLines/>
      </w:pPr>
      <w:r>
        <w:t>www.floridapsc.com</w:t>
      </w:r>
    </w:p>
    <w:p w:rsidR="005043B0" w:rsidRDefault="005043B0" w:rsidP="005043B0">
      <w:pPr>
        <w:pStyle w:val="OrderSigInfo"/>
        <w:keepNext/>
        <w:keepLines/>
      </w:pPr>
    </w:p>
    <w:p w:rsidR="005043B0" w:rsidRDefault="005043B0" w:rsidP="005043B0">
      <w:pPr>
        <w:pStyle w:val="OrderSigInfo"/>
        <w:keepNext/>
        <w:keepLines/>
      </w:pPr>
      <w:r>
        <w:t>Copies furnished:  A copy of this document is provided to the parties of record at the time of issuance and, if applicable, interested persons.</w:t>
      </w:r>
    </w:p>
    <w:p w:rsidR="005043B0" w:rsidRDefault="005043B0" w:rsidP="00A753CA">
      <w:pPr>
        <w:jc w:val="both"/>
      </w:pPr>
    </w:p>
    <w:p w:rsidR="005043B0" w:rsidRDefault="005043B0" w:rsidP="00A753CA">
      <w:pPr>
        <w:jc w:val="both"/>
      </w:pPr>
    </w:p>
    <w:p w:rsidR="005043B0" w:rsidRDefault="005043B0" w:rsidP="00A753CA">
      <w:pPr>
        <w:jc w:val="both"/>
      </w:pPr>
      <w:r>
        <w:t>SBr</w:t>
      </w:r>
    </w:p>
    <w:p w:rsidR="005043B0" w:rsidRDefault="005043B0" w:rsidP="00A753CA">
      <w:pPr>
        <w:jc w:val="both"/>
      </w:pPr>
    </w:p>
    <w:p w:rsidR="005043B0" w:rsidRDefault="005043B0" w:rsidP="005043B0">
      <w:pPr>
        <w:pStyle w:val="CenterUnderline"/>
      </w:pPr>
      <w:r>
        <w:t>NOTICE OF FURTHER PROCEEDINGS OR JUDICIAL REVIEW</w:t>
      </w:r>
    </w:p>
    <w:p w:rsidR="005043B0" w:rsidRDefault="005043B0" w:rsidP="005043B0">
      <w:pPr>
        <w:pStyle w:val="CenterUnderline"/>
      </w:pPr>
    </w:p>
    <w:p w:rsidR="005043B0" w:rsidRDefault="005043B0" w:rsidP="005043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43B0" w:rsidRDefault="005043B0" w:rsidP="005043B0">
      <w:pPr>
        <w:pStyle w:val="OrderBody"/>
      </w:pPr>
    </w:p>
    <w:p w:rsidR="005043B0" w:rsidRDefault="005043B0" w:rsidP="005043B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043B0" w:rsidRDefault="005043B0" w:rsidP="005043B0">
      <w:pPr>
        <w:pStyle w:val="OrderBody"/>
      </w:pPr>
    </w:p>
    <w:p w:rsidR="005043B0" w:rsidRDefault="005043B0">
      <w:r>
        <w:br w:type="page"/>
      </w:r>
    </w:p>
    <w:p w:rsidR="005043B0" w:rsidRDefault="002553A9" w:rsidP="002553A9">
      <w:pPr>
        <w:pStyle w:val="OrderBody"/>
        <w:jc w:val="right"/>
      </w:pPr>
      <w:r>
        <w:lastRenderedPageBreak/>
        <w:t>ATTACHMENT A</w:t>
      </w:r>
    </w:p>
    <w:p w:rsidR="002553A9" w:rsidRDefault="002553A9" w:rsidP="002553A9">
      <w:pPr>
        <w:pStyle w:val="OrderBody"/>
        <w:jc w:val="right"/>
      </w:pPr>
    </w:p>
    <w:p w:rsidR="002553A9" w:rsidRDefault="002553A9" w:rsidP="002553A9">
      <w:pPr>
        <w:pStyle w:val="OrderHeading"/>
      </w:pPr>
      <w:r>
        <w:t>BEFORE THE FLORIDA PUBLIC SERVICE COMMISSION</w:t>
      </w:r>
    </w:p>
    <w:p w:rsidR="002553A9" w:rsidRDefault="002553A9" w:rsidP="002553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53A9" w:rsidRPr="00C63FCF" w:rsidTr="00DD4393">
        <w:trPr>
          <w:trHeight w:val="828"/>
        </w:trPr>
        <w:tc>
          <w:tcPr>
            <w:tcW w:w="4788" w:type="dxa"/>
            <w:tcBorders>
              <w:bottom w:val="single" w:sz="8" w:space="0" w:color="auto"/>
              <w:right w:val="double" w:sz="6" w:space="0" w:color="auto"/>
            </w:tcBorders>
            <w:shd w:val="clear" w:color="auto" w:fill="auto"/>
          </w:tcPr>
          <w:p w:rsidR="002553A9" w:rsidRDefault="002553A9" w:rsidP="00DD4393">
            <w:pPr>
              <w:pStyle w:val="OrderBody"/>
              <w:tabs>
                <w:tab w:val="center" w:pos="4320"/>
                <w:tab w:val="right" w:pos="8640"/>
              </w:tabs>
              <w:jc w:val="left"/>
            </w:pPr>
            <w:r>
              <w:t>In re: Petition for rate increase by Florida Power &amp; Light Company.</w:t>
            </w:r>
          </w:p>
        </w:tc>
        <w:tc>
          <w:tcPr>
            <w:tcW w:w="4788" w:type="dxa"/>
            <w:tcBorders>
              <w:left w:val="double" w:sz="6" w:space="0" w:color="auto"/>
            </w:tcBorders>
            <w:shd w:val="clear" w:color="auto" w:fill="auto"/>
          </w:tcPr>
          <w:p w:rsidR="002553A9" w:rsidRDefault="002553A9" w:rsidP="00DD4393">
            <w:pPr>
              <w:pStyle w:val="OrderBody"/>
            </w:pPr>
            <w:r>
              <w:t>DOCKET NO. 20210015-EI</w:t>
            </w:r>
          </w:p>
          <w:p w:rsidR="002553A9" w:rsidRDefault="002553A9" w:rsidP="00DD4393">
            <w:pPr>
              <w:pStyle w:val="OrderBody"/>
              <w:tabs>
                <w:tab w:val="center" w:pos="4320"/>
                <w:tab w:val="right" w:pos="8640"/>
              </w:tabs>
              <w:jc w:val="left"/>
            </w:pPr>
            <w:r>
              <w:t xml:space="preserve"> </w:t>
            </w:r>
          </w:p>
        </w:tc>
      </w:tr>
    </w:tbl>
    <w:p w:rsidR="002553A9" w:rsidRDefault="002553A9" w:rsidP="002553A9"/>
    <w:p w:rsidR="002553A9" w:rsidRDefault="002553A9" w:rsidP="002553A9">
      <w:pPr>
        <w:pStyle w:val="CenterUnderline"/>
      </w:pPr>
      <w:r>
        <w:t>PROPOSED STIPULATIONS</w:t>
      </w:r>
    </w:p>
    <w:p w:rsidR="002553A9" w:rsidRDefault="002553A9" w:rsidP="002553A9">
      <w:pPr>
        <w:pStyle w:val="CenterUnderline"/>
      </w:pPr>
      <w:r>
        <w:t xml:space="preserve"> </w:t>
      </w:r>
    </w:p>
    <w:p w:rsidR="002553A9" w:rsidRPr="00B6330E" w:rsidRDefault="002553A9" w:rsidP="002553A9">
      <w:pPr>
        <w:ind w:left="1440" w:hanging="1440"/>
        <w:jc w:val="both"/>
      </w:pPr>
      <w:r w:rsidRPr="00535A5C">
        <w:rPr>
          <w:u w:val="single"/>
        </w:rPr>
        <w:t>ISSUE 1</w:t>
      </w:r>
      <w:r w:rsidRPr="00B6330E">
        <w:t>:</w:t>
      </w:r>
      <w:r>
        <w:tab/>
      </w:r>
      <w:r w:rsidRPr="00B6330E">
        <w:t>What was the 30-year U. S. Treasury Bond yield rate as of August 10, 2021, the date of the 2021 Settlement Agreement?</w:t>
      </w:r>
    </w:p>
    <w:p w:rsidR="002553A9" w:rsidRDefault="002553A9" w:rsidP="002553A9">
      <w:pPr>
        <w:jc w:val="both"/>
      </w:pPr>
    </w:p>
    <w:p w:rsidR="002553A9" w:rsidRPr="00535A5C" w:rsidRDefault="002553A9" w:rsidP="002553A9">
      <w:pPr>
        <w:jc w:val="both"/>
      </w:pPr>
      <w:r w:rsidRPr="00535A5C">
        <w:rPr>
          <w:b/>
        </w:rPr>
        <w:t>Stipulation:</w:t>
      </w:r>
      <w:r w:rsidRPr="00535A5C">
        <w:rPr>
          <w:b/>
        </w:rPr>
        <w:tab/>
      </w:r>
      <w:r>
        <w:t>The 30-year U.S. Treasury Bond yield rate on August 10, 2021 was 1.99 percent.</w:t>
      </w:r>
    </w:p>
    <w:p w:rsidR="002553A9" w:rsidRDefault="002553A9" w:rsidP="002553A9">
      <w:pPr>
        <w:jc w:val="both"/>
        <w:rPr>
          <w:u w:val="single"/>
        </w:rPr>
      </w:pPr>
    </w:p>
    <w:p w:rsidR="002553A9" w:rsidRPr="00B6330E" w:rsidRDefault="002553A9" w:rsidP="002553A9">
      <w:pPr>
        <w:ind w:left="1440" w:hanging="1440"/>
        <w:jc w:val="both"/>
      </w:pPr>
      <w:r w:rsidRPr="00535A5C">
        <w:rPr>
          <w:u w:val="single"/>
        </w:rPr>
        <w:t>ISSUE 2</w:t>
      </w:r>
      <w:r w:rsidRPr="00B6330E">
        <w:t>:</w:t>
      </w:r>
      <w:r>
        <w:tab/>
      </w:r>
      <w:r w:rsidRPr="00B6330E">
        <w:t>What is the average 30-year U. S. Treasury Bond yield rate for the six-month period February 22, 2022 through August 19, 2022?</w:t>
      </w:r>
    </w:p>
    <w:p w:rsidR="002553A9" w:rsidRDefault="002553A9" w:rsidP="002553A9">
      <w:pPr>
        <w:jc w:val="both"/>
      </w:pPr>
    </w:p>
    <w:p w:rsidR="002553A9" w:rsidRPr="00535A5C" w:rsidRDefault="002553A9" w:rsidP="002553A9">
      <w:pPr>
        <w:jc w:val="both"/>
      </w:pPr>
      <w:r w:rsidRPr="00535A5C">
        <w:rPr>
          <w:b/>
        </w:rPr>
        <w:t>Stipulation:</w:t>
      </w:r>
      <w:r>
        <w:rPr>
          <w:b/>
        </w:rPr>
        <w:tab/>
      </w:r>
      <w:r>
        <w:t xml:space="preserve">The average 30-year U.S. Treasury Bond yield rate for the period February 22, </w:t>
      </w:r>
      <w:r>
        <w:tab/>
      </w:r>
      <w:r>
        <w:tab/>
      </w:r>
      <w:r>
        <w:tab/>
        <w:t>2022 through August 19, 2022 is 2.91 percent.</w:t>
      </w:r>
    </w:p>
    <w:p w:rsidR="002553A9" w:rsidRPr="00B6330E" w:rsidRDefault="002553A9" w:rsidP="002553A9">
      <w:pPr>
        <w:jc w:val="both"/>
      </w:pPr>
    </w:p>
    <w:p w:rsidR="002553A9" w:rsidRPr="00B6330E" w:rsidRDefault="002553A9" w:rsidP="002553A9">
      <w:pPr>
        <w:ind w:left="1440" w:hanging="1440"/>
        <w:jc w:val="both"/>
      </w:pPr>
      <w:r w:rsidRPr="00535A5C">
        <w:rPr>
          <w:u w:val="single"/>
        </w:rPr>
        <w:t>ISSUE 3</w:t>
      </w:r>
      <w:r w:rsidRPr="00B6330E">
        <w:t>:</w:t>
      </w:r>
      <w:r>
        <w:tab/>
      </w:r>
      <w:r w:rsidRPr="00B6330E">
        <w:t>Have the conditions stated in Section 3(b) of FPL’s Commission-approved 2021 Settlement Agreement been met to implement the agreed upon revision of FPL’s authorized ROE?</w:t>
      </w:r>
    </w:p>
    <w:p w:rsidR="002553A9" w:rsidRDefault="002553A9" w:rsidP="002553A9">
      <w:pPr>
        <w:jc w:val="both"/>
      </w:pPr>
    </w:p>
    <w:p w:rsidR="002553A9" w:rsidRPr="00535A5C" w:rsidRDefault="002553A9" w:rsidP="002553A9">
      <w:pPr>
        <w:ind w:left="1440" w:hanging="1440"/>
        <w:jc w:val="both"/>
      </w:pPr>
      <w:r w:rsidRPr="00535A5C">
        <w:rPr>
          <w:b/>
        </w:rPr>
        <w:t>Stipulation:</w:t>
      </w:r>
      <w:r>
        <w:rPr>
          <w:b/>
        </w:rPr>
        <w:tab/>
      </w:r>
      <w:r>
        <w:t>Yes.  FPL has made the elective filing necessary to implement the agreed upon revision to FPL’s authorized ROE.</w:t>
      </w:r>
    </w:p>
    <w:p w:rsidR="002553A9" w:rsidRPr="00B6330E" w:rsidRDefault="002553A9" w:rsidP="002553A9">
      <w:pPr>
        <w:jc w:val="both"/>
      </w:pPr>
    </w:p>
    <w:p w:rsidR="002553A9" w:rsidRDefault="002553A9" w:rsidP="002553A9">
      <w:pPr>
        <w:ind w:left="1440" w:hanging="1440"/>
        <w:jc w:val="both"/>
      </w:pPr>
      <w:r w:rsidRPr="00535A5C">
        <w:rPr>
          <w:u w:val="single"/>
        </w:rPr>
        <w:t>ISSUE 4:</w:t>
      </w:r>
      <w:r w:rsidRPr="00535A5C">
        <w:tab/>
      </w:r>
      <w:r w:rsidRPr="00B6330E">
        <w:t>If the conditions allowing the agreed upon revision to FPL’s authorized ROE pursuant to the Commission-approved 2021 Settlement Agreement have been met, what is the revised authorized ROE range, ROE midpoint, and effective date pursuant to Section 3(b) of the 2021 Settlement Agreement?</w:t>
      </w:r>
    </w:p>
    <w:p w:rsidR="002553A9" w:rsidRPr="00B6330E" w:rsidRDefault="002553A9" w:rsidP="002553A9">
      <w:pPr>
        <w:ind w:left="1440" w:hanging="1440"/>
        <w:jc w:val="both"/>
      </w:pPr>
    </w:p>
    <w:p w:rsidR="002553A9" w:rsidRPr="00535A5C" w:rsidRDefault="002553A9" w:rsidP="002553A9">
      <w:pPr>
        <w:ind w:left="1440" w:hanging="1440"/>
        <w:jc w:val="both"/>
      </w:pPr>
      <w:r w:rsidRPr="00535A5C">
        <w:rPr>
          <w:b/>
        </w:rPr>
        <w:t>Stipulation:</w:t>
      </w:r>
      <w:r>
        <w:rPr>
          <w:b/>
        </w:rPr>
        <w:tab/>
      </w:r>
      <w:r>
        <w:t>Per Section 3(b) of the 2021 Settlement Agreement, FPL’s revised authorized ROE is increased by 20 basis points to be within a range of 9.8 to 11.8 percent with a midpoint of 10.8 percent effective September 1, 2022.</w:t>
      </w:r>
    </w:p>
    <w:p w:rsidR="002553A9" w:rsidRPr="00B6330E" w:rsidRDefault="002553A9" w:rsidP="002553A9">
      <w:pPr>
        <w:jc w:val="both"/>
      </w:pPr>
    </w:p>
    <w:p w:rsidR="002553A9" w:rsidRDefault="002553A9" w:rsidP="002553A9">
      <w:pPr>
        <w:ind w:left="1440" w:hanging="1440"/>
        <w:jc w:val="both"/>
      </w:pPr>
      <w:r w:rsidRPr="00535A5C">
        <w:rPr>
          <w:u w:val="single"/>
        </w:rPr>
        <w:t>ISSUE 5</w:t>
      </w:r>
      <w:r w:rsidRPr="00B6330E">
        <w:t>:</w:t>
      </w:r>
      <w:r>
        <w:tab/>
      </w:r>
      <w:r w:rsidRPr="00B6330E">
        <w:t>If the trigger provisions of the 2021 Settlement Agreement are met, to what regulatory mechanisms will the revised authorized ROE range and midpoint be applied?</w:t>
      </w:r>
    </w:p>
    <w:p w:rsidR="002553A9" w:rsidRDefault="002553A9" w:rsidP="002553A9">
      <w:pPr>
        <w:jc w:val="both"/>
      </w:pPr>
    </w:p>
    <w:p w:rsidR="002553A9" w:rsidRDefault="002553A9" w:rsidP="002553A9">
      <w:pPr>
        <w:pStyle w:val="OrderBody"/>
        <w:ind w:left="1440" w:hanging="1440"/>
      </w:pPr>
      <w:r w:rsidRPr="00535A5C">
        <w:rPr>
          <w:b/>
        </w:rPr>
        <w:t>Stipulation:</w:t>
      </w:r>
      <w:r>
        <w:rPr>
          <w:b/>
        </w:rPr>
        <w:tab/>
      </w:r>
      <w:r>
        <w:t xml:space="preserve">Section 3(c) of the 2021 Settlement Agreement states that the revised authorized ROE midpoint and range will be used prospectively for all regulatory purposes.  However, at FPL’s request, the revised authorized ROE will not be applied to the clause cost recovery factors to be implemented in January 2023, but will be </w:t>
      </w:r>
      <w:r>
        <w:lastRenderedPageBreak/>
        <w:t xml:space="preserve">reflected in clause recovery true-ups that will be filed in 2023 and recovered in 2024.   Further, FPL has requested that its rate for Allowance for Funds Used During Construction (AFUDC) not be increased for the last four months of 2022. </w:t>
      </w:r>
    </w:p>
    <w:p w:rsidR="002553A9" w:rsidRPr="000C3694" w:rsidRDefault="002553A9" w:rsidP="002553A9">
      <w:pPr>
        <w:ind w:left="1440" w:hanging="1440"/>
        <w:jc w:val="both"/>
      </w:pPr>
      <w:r>
        <w:tab/>
        <w:t xml:space="preserve">Consistent with Rule 25-6.0141, Florida Administrative Code, FPL will request approval to revise its AFUDC rate to be effective in 2023.     </w:t>
      </w:r>
    </w:p>
    <w:p w:rsidR="002553A9" w:rsidRPr="00B86581" w:rsidRDefault="002553A9" w:rsidP="002553A9">
      <w:pPr>
        <w:ind w:left="1440" w:hanging="1440"/>
        <w:jc w:val="both"/>
      </w:pPr>
    </w:p>
    <w:p w:rsidR="002553A9" w:rsidRDefault="002553A9" w:rsidP="002553A9">
      <w:pPr>
        <w:pStyle w:val="CenterUnderline"/>
        <w:ind w:left="1440" w:hanging="1440"/>
        <w:jc w:val="both"/>
        <w:rPr>
          <w:u w:val="none"/>
        </w:rPr>
      </w:pPr>
      <w:r>
        <w:t>ISSUE 6</w:t>
      </w:r>
      <w:r w:rsidRPr="00535A5C">
        <w:rPr>
          <w:u w:val="none"/>
        </w:rPr>
        <w:t>:</w:t>
      </w:r>
      <w:r>
        <w:rPr>
          <w:u w:val="none"/>
        </w:rPr>
        <w:tab/>
      </w:r>
      <w:r w:rsidRPr="00535A5C">
        <w:rPr>
          <w:u w:val="none"/>
        </w:rPr>
        <w:t>Should this docket be closed?</w:t>
      </w:r>
    </w:p>
    <w:p w:rsidR="002553A9" w:rsidRDefault="002553A9" w:rsidP="002553A9">
      <w:pPr>
        <w:pStyle w:val="CenterUnderline"/>
        <w:ind w:left="1440" w:hanging="1440"/>
        <w:jc w:val="both"/>
        <w:rPr>
          <w:u w:val="none"/>
        </w:rPr>
      </w:pPr>
    </w:p>
    <w:p w:rsidR="002553A9" w:rsidRPr="00F930BB" w:rsidRDefault="002553A9" w:rsidP="002553A9">
      <w:pPr>
        <w:pStyle w:val="OrderBody"/>
        <w:ind w:left="1440" w:hanging="1440"/>
      </w:pPr>
      <w:r w:rsidRPr="00535A5C">
        <w:rPr>
          <w:b/>
        </w:rPr>
        <w:t>Stipulation:</w:t>
      </w:r>
      <w:r>
        <w:rPr>
          <w:b/>
        </w:rPr>
        <w:tab/>
      </w:r>
      <w:r>
        <w:t xml:space="preserve">No, this docket is currently on appeal at the Florida Supreme Court and shall remain open pending resolution of the appeal. </w:t>
      </w:r>
    </w:p>
    <w:sectPr w:rsidR="002553A9" w:rsidRPr="00F930B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022" w:rsidRDefault="00571022">
      <w:r>
        <w:separator/>
      </w:r>
    </w:p>
  </w:endnote>
  <w:endnote w:type="continuationSeparator" w:id="0">
    <w:p w:rsidR="00571022" w:rsidRDefault="0057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022" w:rsidRDefault="00571022">
      <w:r>
        <w:separator/>
      </w:r>
    </w:p>
  </w:footnote>
  <w:footnote w:type="continuationSeparator" w:id="0">
    <w:p w:rsidR="00571022" w:rsidRDefault="00571022">
      <w:r>
        <w:continuationSeparator/>
      </w:r>
    </w:p>
  </w:footnote>
  <w:footnote w:id="1">
    <w:p w:rsidR="00DD7FC6" w:rsidRPr="008A5623" w:rsidRDefault="00DD7FC6" w:rsidP="00DD7FC6">
      <w:pPr>
        <w:pStyle w:val="FootnoteText"/>
      </w:pPr>
      <w:r>
        <w:rPr>
          <w:rStyle w:val="FootnoteReference"/>
        </w:rPr>
        <w:footnoteRef/>
      </w:r>
      <w:r>
        <w:t xml:space="preserve"> Order No. PSC-2021-0446-S-EI, issued December 2, 2021, in Docket No. 20210015-EI, </w:t>
      </w:r>
      <w:r>
        <w:rPr>
          <w:i/>
        </w:rPr>
        <w:t xml:space="preserve">In re: Petition for rate increase by Florida Power &amp; Light Company, </w:t>
      </w:r>
      <w:r w:rsidRPr="00C0655F">
        <w:t>as amended</w:t>
      </w:r>
      <w:r>
        <w:rPr>
          <w:i/>
        </w:rPr>
        <w:t xml:space="preserve"> </w:t>
      </w:r>
      <w:r>
        <w:t xml:space="preserve">by Order No. PSC-2021-0446A-S-EI, issued December 9, 2021, in Docket No. 20210015-EI, </w:t>
      </w:r>
      <w:r>
        <w:rPr>
          <w:i/>
        </w:rPr>
        <w:t>In re: Petition for rate increase by Florida Power &amp; Light Company.</w:t>
      </w:r>
    </w:p>
  </w:footnote>
  <w:footnote w:id="2">
    <w:p w:rsidR="00DD7FC6" w:rsidRDefault="00DD7FC6" w:rsidP="00DD7FC6">
      <w:pPr>
        <w:pStyle w:val="FootnoteText"/>
      </w:pPr>
      <w:r>
        <w:rPr>
          <w:rStyle w:val="FootnoteReference"/>
        </w:rPr>
        <w:footnoteRef/>
      </w:r>
      <w:r>
        <w:t xml:space="preserve"> Document No. 12427-2021.</w:t>
      </w:r>
    </w:p>
  </w:footnote>
  <w:footnote w:id="3">
    <w:p w:rsidR="00DD7FC6" w:rsidRDefault="00DD7FC6" w:rsidP="00DD7FC6">
      <w:pPr>
        <w:pStyle w:val="FootnoteText"/>
      </w:pPr>
      <w:r>
        <w:rPr>
          <w:rStyle w:val="FootnoteReference"/>
        </w:rPr>
        <w:footnoteRef/>
      </w:r>
      <w:r>
        <w:t xml:space="preserve"> Document No. 05885-2022.</w:t>
      </w:r>
    </w:p>
  </w:footnote>
  <w:footnote w:id="4">
    <w:p w:rsidR="004E4DBD" w:rsidRDefault="004E4DBD" w:rsidP="004E4DBD">
      <w:pPr>
        <w:pStyle w:val="FootnoteText"/>
      </w:pPr>
      <w:r>
        <w:rPr>
          <w:rStyle w:val="FootnoteReference"/>
        </w:rPr>
        <w:footnoteRef/>
      </w:r>
      <w:r>
        <w:t xml:space="preserve"> Document No. 12427-2021.</w:t>
      </w:r>
    </w:p>
  </w:footnote>
  <w:footnote w:id="5">
    <w:p w:rsidR="004E4DBD" w:rsidRDefault="004E4DBD" w:rsidP="004E4DBD">
      <w:pPr>
        <w:pStyle w:val="FootnoteText"/>
      </w:pPr>
      <w:r>
        <w:rPr>
          <w:rStyle w:val="FootnoteReference"/>
        </w:rPr>
        <w:footnoteRef/>
      </w:r>
      <w:r>
        <w:t xml:space="preserve"> Document No. 05885-2022.</w:t>
      </w:r>
    </w:p>
  </w:footnote>
  <w:footnote w:id="6">
    <w:p w:rsidR="004E4DBD" w:rsidRDefault="004E4DBD" w:rsidP="004E4DBD">
      <w:pPr>
        <w:pStyle w:val="FootnoteText"/>
      </w:pPr>
      <w:r>
        <w:rPr>
          <w:rStyle w:val="FootnoteReference"/>
        </w:rPr>
        <w:footnoteRef/>
      </w:r>
      <w:r>
        <w:t xml:space="preserve"> Order No. PSC-2021-0446-S-EI, p.p. 26-27. </w:t>
      </w:r>
    </w:p>
  </w:footnote>
  <w:footnote w:id="7">
    <w:p w:rsidR="004E4DBD" w:rsidRDefault="004E4DBD" w:rsidP="004E4DBD">
      <w:pPr>
        <w:pStyle w:val="FootnoteText"/>
      </w:pPr>
      <w:r>
        <w:rPr>
          <w:rStyle w:val="FootnoteReference"/>
        </w:rPr>
        <w:footnoteRef/>
      </w:r>
      <w:r>
        <w:t xml:space="preserve"> Document No. 05610-2022.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8 ">
      <w:r w:rsidR="008C2C23">
        <w:t>PSC-2022-0358-FOF-EI</w:t>
      </w:r>
    </w:fldSimple>
  </w:p>
  <w:p w:rsidR="00FA6EFD" w:rsidRDefault="00571022">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39C8">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3C7"/>
    <w:multiLevelType w:val="hybridMultilevel"/>
    <w:tmpl w:val="0FA0B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2B2DE3"/>
    <w:multiLevelType w:val="hybridMultilevel"/>
    <w:tmpl w:val="17EC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D4FB8"/>
    <w:multiLevelType w:val="hybridMultilevel"/>
    <w:tmpl w:val="22F6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5710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39C8"/>
    <w:rsid w:val="000C6926"/>
    <w:rsid w:val="000D02B8"/>
    <w:rsid w:val="000D06E8"/>
    <w:rsid w:val="000D3C7E"/>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419D"/>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53A9"/>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4DBD"/>
    <w:rsid w:val="004E7F4F"/>
    <w:rsid w:val="004F2DDE"/>
    <w:rsid w:val="004F5A55"/>
    <w:rsid w:val="004F7826"/>
    <w:rsid w:val="0050097F"/>
    <w:rsid w:val="005043B0"/>
    <w:rsid w:val="00514B1F"/>
    <w:rsid w:val="00523C5C"/>
    <w:rsid w:val="00524884"/>
    <w:rsid w:val="00525E93"/>
    <w:rsid w:val="0052671D"/>
    <w:rsid w:val="005300C0"/>
    <w:rsid w:val="00533EF6"/>
    <w:rsid w:val="00540E6B"/>
    <w:rsid w:val="0054109E"/>
    <w:rsid w:val="0055595D"/>
    <w:rsid w:val="00556A10"/>
    <w:rsid w:val="00557F50"/>
    <w:rsid w:val="0057102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3C6"/>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4A1B"/>
    <w:rsid w:val="00740808"/>
    <w:rsid w:val="007467C4"/>
    <w:rsid w:val="00753E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041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2C23"/>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6C15"/>
    <w:rsid w:val="00A3351E"/>
    <w:rsid w:val="00A4303C"/>
    <w:rsid w:val="00A46CAF"/>
    <w:rsid w:val="00A470FD"/>
    <w:rsid w:val="00A50B5E"/>
    <w:rsid w:val="00A62DAB"/>
    <w:rsid w:val="00A6757A"/>
    <w:rsid w:val="00A726A6"/>
    <w:rsid w:val="00A74842"/>
    <w:rsid w:val="00A753CA"/>
    <w:rsid w:val="00A8269A"/>
    <w:rsid w:val="00A83261"/>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4CC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FC6"/>
    <w:rsid w:val="00DE057F"/>
    <w:rsid w:val="00DE2082"/>
    <w:rsid w:val="00DE2289"/>
    <w:rsid w:val="00DF09A7"/>
    <w:rsid w:val="00DF2B51"/>
    <w:rsid w:val="00E001D6"/>
    <w:rsid w:val="00E01C9B"/>
    <w:rsid w:val="00E03A76"/>
    <w:rsid w:val="00E04410"/>
    <w:rsid w:val="00E05B82"/>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372"/>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30BB"/>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8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D7FC6"/>
  </w:style>
  <w:style w:type="paragraph" w:styleId="ListParagraph">
    <w:name w:val="List Paragraph"/>
    <w:basedOn w:val="Normal"/>
    <w:uiPriority w:val="34"/>
    <w:qFormat/>
    <w:rsid w:val="00F930BB"/>
    <w:pPr>
      <w:spacing w:after="200" w:line="276" w:lineRule="auto"/>
      <w:ind w:left="720"/>
      <w:contextualSpacing/>
    </w:pPr>
    <w:rPr>
      <w:rFonts w:eastAsiaTheme="minorHAnsi" w:cstheme="minorBidi"/>
      <w:szCs w:val="22"/>
    </w:rPr>
  </w:style>
  <w:style w:type="paragraph" w:styleId="BalloonText">
    <w:name w:val="Balloon Text"/>
    <w:basedOn w:val="Normal"/>
    <w:link w:val="BalloonTextChar"/>
    <w:semiHidden/>
    <w:unhideWhenUsed/>
    <w:rsid w:val="008C2C23"/>
    <w:rPr>
      <w:rFonts w:ascii="Segoe UI" w:hAnsi="Segoe UI" w:cs="Segoe UI"/>
      <w:sz w:val="18"/>
      <w:szCs w:val="18"/>
    </w:rPr>
  </w:style>
  <w:style w:type="character" w:customStyle="1" w:styleId="BalloonTextChar">
    <w:name w:val="Balloon Text Char"/>
    <w:basedOn w:val="DefaultParagraphFont"/>
    <w:link w:val="BalloonText"/>
    <w:semiHidden/>
    <w:rsid w:val="008C2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8B12-BC34-4EA1-9BD7-BE917CDB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2022-10-21T15:09:00Z</dcterms:created>
  <dcterms:modified xsi:type="dcterms:W3CDTF">2022-10-21T16:50:00Z</dcterms:modified>
</cp:coreProperties>
</file>