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Pr="004905B1" w:rsidRDefault="00033E02" w:rsidP="00033E02">
      <w:pPr>
        <w:pStyle w:val="OrderHeading"/>
      </w:pPr>
      <w:r w:rsidRPr="004905B1">
        <w:t>BEFORE THE FLORIDA PUBLIC SERVICE COMMISSION</w:t>
      </w:r>
    </w:p>
    <w:p w:rsidR="00033E02" w:rsidRPr="004905B1" w:rsidRDefault="00033E02" w:rsidP="00033E02">
      <w:pPr>
        <w:pStyle w:val="OrderBody"/>
      </w:pPr>
    </w:p>
    <w:p w:rsidR="00033E02" w:rsidRPr="004905B1" w:rsidRDefault="00033E02" w:rsidP="00033E0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33E02" w:rsidRPr="004905B1" w:rsidTr="00C63FCF">
        <w:trPr>
          <w:trHeight w:val="828"/>
        </w:trPr>
        <w:tc>
          <w:tcPr>
            <w:tcW w:w="4788" w:type="dxa"/>
            <w:tcBorders>
              <w:bottom w:val="single" w:sz="8" w:space="0" w:color="auto"/>
              <w:right w:val="double" w:sz="6" w:space="0" w:color="auto"/>
            </w:tcBorders>
            <w:shd w:val="clear" w:color="auto" w:fill="auto"/>
          </w:tcPr>
          <w:p w:rsidR="00033E02" w:rsidRPr="004905B1" w:rsidRDefault="00033E02" w:rsidP="00C63FCF">
            <w:pPr>
              <w:pStyle w:val="OrderBody"/>
              <w:tabs>
                <w:tab w:val="center" w:pos="4320"/>
                <w:tab w:val="right" w:pos="8640"/>
              </w:tabs>
              <w:jc w:val="left"/>
            </w:pPr>
            <w:r w:rsidRPr="004905B1">
              <w:t xml:space="preserve">In re: </w:t>
            </w:r>
            <w:bookmarkStart w:id="0" w:name="SSInRe"/>
            <w:bookmarkEnd w:id="0"/>
            <w:r w:rsidRPr="004905B1">
              <w:t>Petition for approval of safety, access, and facility enhancement program true-up and 2023 cost recovery factors, by Florida City Gas.</w:t>
            </w:r>
          </w:p>
        </w:tc>
        <w:tc>
          <w:tcPr>
            <w:tcW w:w="4788" w:type="dxa"/>
            <w:tcBorders>
              <w:left w:val="double" w:sz="6" w:space="0" w:color="auto"/>
            </w:tcBorders>
            <w:shd w:val="clear" w:color="auto" w:fill="auto"/>
          </w:tcPr>
          <w:p w:rsidR="00033E02" w:rsidRPr="004905B1" w:rsidRDefault="00033E02" w:rsidP="00033E02">
            <w:pPr>
              <w:pStyle w:val="OrderBody"/>
            </w:pPr>
            <w:r w:rsidRPr="004905B1">
              <w:t xml:space="preserve">DOCKET NO. </w:t>
            </w:r>
            <w:bookmarkStart w:id="1" w:name="SSDocketNo"/>
            <w:bookmarkEnd w:id="1"/>
            <w:r w:rsidRPr="004905B1">
              <w:t>20220153-GU</w:t>
            </w:r>
          </w:p>
          <w:p w:rsidR="00033E02" w:rsidRPr="004905B1" w:rsidRDefault="00033E02" w:rsidP="00C63FCF">
            <w:pPr>
              <w:pStyle w:val="OrderBody"/>
              <w:tabs>
                <w:tab w:val="center" w:pos="4320"/>
                <w:tab w:val="right" w:pos="8640"/>
              </w:tabs>
              <w:jc w:val="left"/>
            </w:pPr>
            <w:r w:rsidRPr="004905B1">
              <w:t xml:space="preserve">ORDER NO. </w:t>
            </w:r>
            <w:bookmarkStart w:id="2" w:name="OrderNo0403"/>
            <w:r w:rsidR="000504C3">
              <w:t>PSC-2022-0403-TRF-GU</w:t>
            </w:r>
            <w:bookmarkEnd w:id="2"/>
          </w:p>
          <w:p w:rsidR="00033E02" w:rsidRPr="004905B1" w:rsidRDefault="00033E02" w:rsidP="00C63FCF">
            <w:pPr>
              <w:pStyle w:val="OrderBody"/>
              <w:tabs>
                <w:tab w:val="center" w:pos="4320"/>
                <w:tab w:val="right" w:pos="8640"/>
              </w:tabs>
              <w:jc w:val="left"/>
            </w:pPr>
            <w:r w:rsidRPr="004905B1">
              <w:t xml:space="preserve">ISSUED: </w:t>
            </w:r>
            <w:r w:rsidR="000504C3">
              <w:t>November 21, 2022</w:t>
            </w:r>
          </w:p>
        </w:tc>
      </w:tr>
    </w:tbl>
    <w:p w:rsidR="00033E02" w:rsidRPr="004905B1" w:rsidRDefault="00033E02" w:rsidP="00033E02"/>
    <w:p w:rsidR="00033E02" w:rsidRPr="004905B1" w:rsidRDefault="00033E02" w:rsidP="00033E02"/>
    <w:p w:rsidR="00033E02" w:rsidRPr="004905B1" w:rsidRDefault="00033E02" w:rsidP="00B67A43">
      <w:pPr>
        <w:ind w:firstLine="720"/>
        <w:jc w:val="both"/>
      </w:pPr>
      <w:bookmarkStart w:id="3" w:name="Commissioners"/>
      <w:bookmarkEnd w:id="3"/>
      <w:r w:rsidRPr="004905B1">
        <w:t>The following Commissioners participated in the disposition of this matter:</w:t>
      </w:r>
    </w:p>
    <w:p w:rsidR="00033E02" w:rsidRPr="004905B1" w:rsidRDefault="00033E02" w:rsidP="00B67A43"/>
    <w:p w:rsidR="00033E02" w:rsidRPr="004905B1" w:rsidRDefault="00033E02" w:rsidP="00477699">
      <w:pPr>
        <w:jc w:val="center"/>
      </w:pPr>
      <w:r w:rsidRPr="004905B1">
        <w:t>ANDREW GILES FAY, Chairman</w:t>
      </w:r>
    </w:p>
    <w:p w:rsidR="00033E02" w:rsidRPr="004905B1" w:rsidRDefault="00033E02" w:rsidP="00B67A43">
      <w:pPr>
        <w:jc w:val="center"/>
      </w:pPr>
      <w:r w:rsidRPr="004905B1">
        <w:t>ART GRAHAM</w:t>
      </w:r>
    </w:p>
    <w:p w:rsidR="00033E02" w:rsidRPr="004905B1" w:rsidRDefault="00033E02" w:rsidP="00B67A43">
      <w:pPr>
        <w:jc w:val="center"/>
      </w:pPr>
      <w:r w:rsidRPr="004905B1">
        <w:t>GARY F. CLARK</w:t>
      </w:r>
    </w:p>
    <w:p w:rsidR="00033E02" w:rsidRPr="004905B1" w:rsidRDefault="00033E02" w:rsidP="00B67A43">
      <w:pPr>
        <w:jc w:val="center"/>
      </w:pPr>
      <w:r w:rsidRPr="004905B1">
        <w:t>MIKE LA ROSA</w:t>
      </w:r>
    </w:p>
    <w:p w:rsidR="00033E02" w:rsidRPr="004905B1" w:rsidRDefault="00033E02" w:rsidP="00B67A43">
      <w:pPr>
        <w:jc w:val="center"/>
      </w:pPr>
      <w:r w:rsidRPr="004905B1">
        <w:rPr>
          <w:lang w:val="en"/>
        </w:rPr>
        <w:t>GABRIELLA PASSIDOMO</w:t>
      </w:r>
    </w:p>
    <w:p w:rsidR="00033E02" w:rsidRPr="004905B1" w:rsidRDefault="00033E02" w:rsidP="00B67A43"/>
    <w:p w:rsidR="00CB5276" w:rsidRPr="004905B1" w:rsidRDefault="00CB5276">
      <w:pPr>
        <w:pStyle w:val="OrderBody"/>
      </w:pPr>
    </w:p>
    <w:p w:rsidR="00033E02" w:rsidRPr="004905B1" w:rsidRDefault="00033E02">
      <w:pPr>
        <w:pStyle w:val="OrderBody"/>
      </w:pPr>
    </w:p>
    <w:p w:rsidR="00033E02" w:rsidRPr="004905B1" w:rsidRDefault="00033E02" w:rsidP="00033E02">
      <w:pPr>
        <w:pStyle w:val="CenterUnderline"/>
      </w:pPr>
      <w:r w:rsidRPr="004905B1">
        <w:t>ORDER</w:t>
      </w:r>
      <w:bookmarkStart w:id="4" w:name="OrderTitle"/>
      <w:r w:rsidRPr="004905B1">
        <w:t xml:space="preserve"> </w:t>
      </w:r>
      <w:bookmarkEnd w:id="4"/>
      <w:r w:rsidR="004905B1" w:rsidRPr="004905B1">
        <w:t>APPROVING SAFETY, ACCESS, AND FACILITY ENHANCEMENT PROGRAMS (SAFE) TRUE-UP AND ASSOCIATED COST RECOVERY FACTORS</w:t>
      </w:r>
    </w:p>
    <w:p w:rsidR="00033E02" w:rsidRPr="004905B1" w:rsidRDefault="00033E02" w:rsidP="00033E02">
      <w:pPr>
        <w:pStyle w:val="CenterUnderline"/>
      </w:pPr>
    </w:p>
    <w:p w:rsidR="00033E02" w:rsidRPr="004905B1" w:rsidRDefault="00033E02" w:rsidP="00033E02">
      <w:pPr>
        <w:pStyle w:val="CenterUnderline"/>
      </w:pPr>
    </w:p>
    <w:p w:rsidR="00033E02" w:rsidRPr="004905B1" w:rsidRDefault="00033E02" w:rsidP="00033E02">
      <w:pPr>
        <w:pStyle w:val="OrderBody"/>
      </w:pPr>
      <w:r w:rsidRPr="004905B1">
        <w:t>BY THE COMMISSION:</w:t>
      </w:r>
    </w:p>
    <w:p w:rsidR="00033E02" w:rsidRPr="004905B1" w:rsidRDefault="00033E02" w:rsidP="00033E02">
      <w:pPr>
        <w:pStyle w:val="OrderBody"/>
      </w:pPr>
    </w:p>
    <w:p w:rsidR="00033E02" w:rsidRPr="004905B1" w:rsidRDefault="00033E02" w:rsidP="00033E02">
      <w:pPr>
        <w:pStyle w:val="RecommendationMajorSectionHeading"/>
        <w:rPr>
          <w:rFonts w:ascii="Times New Roman" w:hAnsi="Times New Roman" w:cs="Times New Roman"/>
          <w:szCs w:val="24"/>
          <w:u w:val="single"/>
        </w:rPr>
      </w:pPr>
      <w:bookmarkStart w:id="5" w:name="OrderText"/>
      <w:bookmarkEnd w:id="5"/>
      <w:r w:rsidRPr="004905B1">
        <w:rPr>
          <w:rFonts w:ascii="Times New Roman" w:hAnsi="Times New Roman" w:cs="Times New Roman"/>
          <w:szCs w:val="24"/>
          <w:u w:val="single"/>
        </w:rPr>
        <w:t>Background</w:t>
      </w:r>
    </w:p>
    <w:p w:rsidR="00033E02" w:rsidRPr="004905B1" w:rsidRDefault="00033E02" w:rsidP="00033E02">
      <w:pPr>
        <w:pStyle w:val="BodyText"/>
        <w:spacing w:after="0"/>
        <w:ind w:firstLine="720"/>
        <w:jc w:val="both"/>
      </w:pPr>
      <w:r w:rsidRPr="004905B1">
        <w:t xml:space="preserve">On September 1, 2022, Florida City Gas (FCG or utility) filed a petition for approval of its safety, access, and facility enhancement program (SAFE) true-up and 2023 cost recovery factors. The SAFE program was originally approved by </w:t>
      </w:r>
      <w:r w:rsidR="004905B1">
        <w:t xml:space="preserve">us </w:t>
      </w:r>
      <w:r w:rsidRPr="004905B1">
        <w:t>in Order No. PSC-15-0390-TRF-GU (2015 order) to recover the cost of relocating on an expedited basis certain existing gas mains and associated facilities from rear lot easements to the street front.</w:t>
      </w:r>
      <w:r w:rsidRPr="004905B1">
        <w:rPr>
          <w:rStyle w:val="FootnoteReference"/>
        </w:rPr>
        <w:footnoteReference w:id="1"/>
      </w:r>
      <w:r w:rsidRPr="004905B1">
        <w:t xml:space="preserve"> In the 2015 order, </w:t>
      </w:r>
      <w:r w:rsidR="004905B1">
        <w:t xml:space="preserve">we </w:t>
      </w:r>
      <w:r w:rsidRPr="004905B1">
        <w:t>found that the relocation of mains and services to the street front provides for more direct access to the facilities and will enhance the level of service provided to all customers through improved safety and reliability. The SAFE factor is a surcharge on customers’ bills.</w:t>
      </w:r>
    </w:p>
    <w:p w:rsidR="00033E02" w:rsidRPr="004905B1" w:rsidRDefault="00033E02" w:rsidP="00033E02">
      <w:pPr>
        <w:pStyle w:val="BodyText"/>
        <w:spacing w:after="0"/>
        <w:ind w:firstLine="720"/>
        <w:jc w:val="both"/>
      </w:pPr>
    </w:p>
    <w:p w:rsidR="00033E02" w:rsidRPr="004905B1" w:rsidRDefault="004905B1" w:rsidP="00033E02">
      <w:pPr>
        <w:pStyle w:val="BodyText"/>
        <w:spacing w:after="0"/>
        <w:ind w:firstLine="720"/>
        <w:jc w:val="both"/>
      </w:pPr>
      <w:r>
        <w:t xml:space="preserve">We </w:t>
      </w:r>
      <w:r w:rsidR="00033E02" w:rsidRPr="004905B1">
        <w:t xml:space="preserve">ordered the utility to file an annual petition, beginning in 2016, for review and resetting of the SAFE factors to true-up any prior over-or under-recovery and to set the surcharge for the coming year. The SAFE program is a 10-year program that started in 2015 and should finish in 2025. The utility’s annual progress in the SAFE program is shown in Attachment A. The current 2022 SAFE factors were approved by Order No. PSC-2021-0430-TRF-GU (2021 </w:t>
      </w:r>
      <w:r w:rsidR="00033E02" w:rsidRPr="004905B1">
        <w:lastRenderedPageBreak/>
        <w:t>order).</w:t>
      </w:r>
      <w:r w:rsidR="00033E02" w:rsidRPr="004905B1">
        <w:rPr>
          <w:rStyle w:val="FootnoteReference"/>
        </w:rPr>
        <w:footnoteReference w:id="2"/>
      </w:r>
      <w:r w:rsidR="00033E02" w:rsidRPr="004905B1">
        <w:t xml:space="preserve"> The proposed 2023 SAFE factors are shown in Attach</w:t>
      </w:r>
      <w:r>
        <w:t xml:space="preserve">ment B </w:t>
      </w:r>
      <w:r w:rsidR="00033E02" w:rsidRPr="004905B1">
        <w:t>on Tariff Sheet No. 79</w:t>
      </w:r>
      <w:r w:rsidR="00824B35">
        <w:t>, attached to this order</w:t>
      </w:r>
      <w:r w:rsidR="00033E02" w:rsidRPr="004905B1">
        <w:t xml:space="preserve">. </w:t>
      </w:r>
    </w:p>
    <w:p w:rsidR="00033E02" w:rsidRPr="004905B1" w:rsidRDefault="00033E02" w:rsidP="00033E02">
      <w:pPr>
        <w:pStyle w:val="BodyText"/>
        <w:spacing w:after="0"/>
        <w:ind w:firstLine="720"/>
        <w:jc w:val="both"/>
      </w:pPr>
    </w:p>
    <w:p w:rsidR="00033E02" w:rsidRPr="004905B1" w:rsidRDefault="00033E02" w:rsidP="00033E02">
      <w:pPr>
        <w:pStyle w:val="BodyText"/>
        <w:spacing w:after="0"/>
        <w:ind w:firstLine="720"/>
        <w:jc w:val="both"/>
      </w:pPr>
      <w:r w:rsidRPr="004905B1">
        <w:t>In the pending rate case, Docket No. 20220069-GU (2022 rate case), FCG has proposed to move the SAFE investment and related expenses as of December 31, 2022, from clause recovery to base rates, in compliance with the 2015 order.</w:t>
      </w:r>
      <w:r w:rsidRPr="004905B1">
        <w:rPr>
          <w:rStyle w:val="FootnoteReference"/>
        </w:rPr>
        <w:footnoteReference w:id="3"/>
      </w:r>
      <w:r w:rsidRPr="004905B1">
        <w:t xml:space="preserve"> Specifically, the 2015 order stated that “…if FCG files a base rate case prior to 2025, the then-current SAFE surcharge program would be folded into any newly approved rate base, and the surcharge would begin anew.”</w:t>
      </w:r>
      <w:r w:rsidRPr="004905B1">
        <w:rPr>
          <w:rStyle w:val="FootnoteReference"/>
        </w:rPr>
        <w:footnoteReference w:id="4"/>
      </w:r>
      <w:r w:rsidRPr="004905B1">
        <w:t xml:space="preserve"> The direct testimony of FCG witness Fuentes filed in the 2022 rate case supports the calculations of the SAFE investments ($42.7 million plant-in-service balance as of December 31, 2022) and $5.7 million transfer of SAFE revenue requirement from SAFE factor recovery to bases rates in the 2023 test year.</w:t>
      </w:r>
    </w:p>
    <w:p w:rsidR="00033E02" w:rsidRPr="004905B1" w:rsidRDefault="00033E02" w:rsidP="00033E02">
      <w:pPr>
        <w:pStyle w:val="BodyText"/>
        <w:spacing w:after="0"/>
        <w:ind w:firstLine="720"/>
        <w:jc w:val="both"/>
      </w:pPr>
    </w:p>
    <w:p w:rsidR="00033E02" w:rsidRPr="004905B1" w:rsidRDefault="00033E02" w:rsidP="00033E02">
      <w:pPr>
        <w:pStyle w:val="BodyText"/>
        <w:spacing w:after="0"/>
        <w:ind w:firstLine="720"/>
        <w:jc w:val="both"/>
      </w:pPr>
      <w:r w:rsidRPr="004905B1">
        <w:t xml:space="preserve">Accordingly, the SAFE tariffs provided in the petition, and shown in Attachment B, have been calculated using the assumption that </w:t>
      </w:r>
      <w:r w:rsidR="004905B1">
        <w:t xml:space="preserve">we </w:t>
      </w:r>
      <w:r w:rsidRPr="004905B1">
        <w:t xml:space="preserve">would approve FCG’s request to roll SAFE investments into rate base. If </w:t>
      </w:r>
      <w:r w:rsidR="004905B1">
        <w:t>we have</w:t>
      </w:r>
      <w:r w:rsidRPr="004905B1">
        <w:t xml:space="preserve"> not made a decision in the 2022 rate case prior to the January 1, 2023 effective date of the proposed SAFE factors, then any SAFE revenue requirement not collected in 2023 would be trued-up in the next SAFE filing.</w:t>
      </w:r>
    </w:p>
    <w:p w:rsidR="00033E02" w:rsidRPr="004905B1" w:rsidRDefault="00033E02" w:rsidP="00033E02">
      <w:pPr>
        <w:pStyle w:val="BodyText"/>
        <w:spacing w:after="0"/>
        <w:ind w:firstLine="720"/>
        <w:jc w:val="both"/>
      </w:pPr>
    </w:p>
    <w:p w:rsidR="00033E02" w:rsidRPr="004905B1" w:rsidRDefault="00033E02" w:rsidP="00033E02">
      <w:pPr>
        <w:pStyle w:val="BodyText"/>
        <w:spacing w:after="0"/>
        <w:ind w:firstLine="720"/>
        <w:jc w:val="both"/>
      </w:pPr>
      <w:r w:rsidRPr="004905B1">
        <w:t>Consistent with the 2015 order, the SAFE program activities would be scheduled to terminate at the end of 2025. However, FCG has proposed in its 2022 rate case to continue the program to replace approximately 150 miles of additional mains and services and to expand the program to replace approximately 160 miles of early vintage polymer pipelines and mains.</w:t>
      </w:r>
      <w:r w:rsidRPr="004905B1">
        <w:rPr>
          <w:rStyle w:val="FootnoteReference"/>
        </w:rPr>
        <w:footnoteReference w:id="5"/>
      </w:r>
      <w:r w:rsidRPr="004905B1">
        <w:t xml:space="preserve"> FCG Witness Howard explains in his direct testimony filed in the rate case that, if approved in the 2022 rate case, FCG will update the SAFE program in its next annual filing in September 2023 for 2024 factors to reflect the continuation and expansion of the SAFE program.</w:t>
      </w:r>
    </w:p>
    <w:p w:rsidR="00033E02" w:rsidRPr="004905B1" w:rsidRDefault="00033E02" w:rsidP="00033E02">
      <w:pPr>
        <w:pStyle w:val="BodyText"/>
        <w:spacing w:after="0"/>
        <w:ind w:firstLine="720"/>
        <w:jc w:val="both"/>
      </w:pPr>
    </w:p>
    <w:p w:rsidR="00CB5276" w:rsidRPr="004905B1" w:rsidRDefault="00033E02" w:rsidP="00033E02">
      <w:pPr>
        <w:pStyle w:val="OrderBody"/>
        <w:ind w:firstLine="720"/>
      </w:pPr>
      <w:r w:rsidRPr="004905B1">
        <w:t xml:space="preserve">On September 15, 2022, FCG waived </w:t>
      </w:r>
      <w:r w:rsidR="00824B35">
        <w:t>the</w:t>
      </w:r>
      <w:r w:rsidRPr="004905B1">
        <w:t xml:space="preserve"> 60-day file and suspend provision of Section 366.06(3), Florida Statutes (F.S.), via an e-mail, which has been placed in the docket file. During the review process of the petition,</w:t>
      </w:r>
      <w:r w:rsidR="0013182C">
        <w:t xml:space="preserve"> </w:t>
      </w:r>
      <w:r w:rsidR="00824B35">
        <w:t>Commission staff</w:t>
      </w:r>
      <w:r w:rsidRPr="004905B1">
        <w:t xml:space="preserve"> issued one data request and responses were received on October 10, 2022. </w:t>
      </w:r>
      <w:r w:rsidR="0013182C">
        <w:t>We have</w:t>
      </w:r>
      <w:r w:rsidRPr="004905B1">
        <w:t xml:space="preserve"> jurisdiction over the matter pursuant to Sections 366.03, 366.04, 366.05, and 366.06 and Chapter 368, F.S.</w:t>
      </w:r>
    </w:p>
    <w:p w:rsidR="00033E02" w:rsidRPr="004905B1" w:rsidRDefault="00033E02" w:rsidP="00033E02">
      <w:pPr>
        <w:pStyle w:val="OrderBody"/>
      </w:pPr>
    </w:p>
    <w:p w:rsidR="0013182C" w:rsidRPr="0013182C" w:rsidRDefault="004905B1" w:rsidP="0013182C">
      <w:pPr>
        <w:pStyle w:val="RecommendationMajorSectionHeading"/>
        <w:rPr>
          <w:rFonts w:ascii="Times New Roman" w:hAnsi="Times New Roman" w:cs="Times New Roman"/>
          <w:szCs w:val="24"/>
          <w:u w:val="single"/>
        </w:rPr>
      </w:pPr>
      <w:bookmarkStart w:id="6" w:name="DiscussionOfIssues"/>
      <w:r w:rsidRPr="0013182C">
        <w:rPr>
          <w:rFonts w:ascii="Times New Roman" w:hAnsi="Times New Roman" w:cs="Times New Roman"/>
          <w:szCs w:val="24"/>
          <w:u w:val="single"/>
        </w:rPr>
        <w:t>Decision</w:t>
      </w:r>
      <w:bookmarkEnd w:id="6"/>
    </w:p>
    <w:p w:rsidR="0013182C" w:rsidRDefault="0013182C" w:rsidP="0013182C">
      <w:pPr>
        <w:pStyle w:val="BodyText"/>
        <w:spacing w:after="0"/>
        <w:jc w:val="both"/>
      </w:pPr>
      <w:r>
        <w:tab/>
      </w:r>
      <w:r w:rsidR="00033E02" w:rsidRPr="004905B1">
        <w:t xml:space="preserve">Under the SAFE program, FCG was ordered to relocate or replace 254.3 miles of mains and 11,443 associated service lines from rear property easements to the street over a 10-year period, ending in 2025. The utility began its mains and services replacements at the end of 2015. </w:t>
      </w:r>
      <w:r w:rsidR="00033E02" w:rsidRPr="004905B1">
        <w:lastRenderedPageBreak/>
        <w:t xml:space="preserve">The surcharges have been in effect since January 2016. During 2022, the utility has replaced 36.5 miles of mains and 1,503 services, as shown in Attachment A. </w:t>
      </w:r>
    </w:p>
    <w:p w:rsidR="0013182C" w:rsidRDefault="0013182C" w:rsidP="0013182C">
      <w:pPr>
        <w:pStyle w:val="BodyText"/>
        <w:spacing w:after="0"/>
        <w:jc w:val="both"/>
      </w:pPr>
    </w:p>
    <w:p w:rsidR="00033E02" w:rsidRPr="0013182C" w:rsidRDefault="00033E02" w:rsidP="0013182C">
      <w:pPr>
        <w:pStyle w:val="BodyText"/>
        <w:spacing w:after="0"/>
        <w:jc w:val="both"/>
        <w:rPr>
          <w:b/>
        </w:rPr>
      </w:pPr>
      <w:r w:rsidRPr="0013182C">
        <w:rPr>
          <w:b/>
        </w:rPr>
        <w:t>True-ups by Year</w:t>
      </w:r>
    </w:p>
    <w:p w:rsidR="00033E02" w:rsidRPr="004905B1" w:rsidRDefault="00033E02" w:rsidP="00033E02">
      <w:pPr>
        <w:pStyle w:val="BodyText"/>
        <w:spacing w:after="0"/>
        <w:ind w:firstLine="720"/>
        <w:jc w:val="both"/>
      </w:pPr>
      <w:r w:rsidRPr="004905B1">
        <w:t>As required by the 2015 order, the utility’s calculations for the 2023 revenue requirement and SAFE factors include a final true-up for 2021, and an estimated/actual true-up for 2022, and projected costs for 2023.</w:t>
      </w:r>
    </w:p>
    <w:p w:rsidR="00033E02" w:rsidRPr="004905B1" w:rsidRDefault="00033E02" w:rsidP="00033E02">
      <w:pPr>
        <w:pStyle w:val="BodyText"/>
        <w:spacing w:after="0"/>
        <w:ind w:firstLine="720"/>
        <w:jc w:val="both"/>
      </w:pPr>
    </w:p>
    <w:p w:rsidR="0013182C" w:rsidRPr="008E65FA" w:rsidRDefault="0013182C" w:rsidP="0013182C">
      <w:pPr>
        <w:pStyle w:val="Second-LevelSubheading"/>
        <w:ind w:left="0"/>
        <w:rPr>
          <w:rFonts w:ascii="Times New Roman" w:hAnsi="Times New Roman" w:cs="Times New Roman"/>
          <w:szCs w:val="24"/>
        </w:rPr>
      </w:pPr>
      <w:r>
        <w:rPr>
          <w:rFonts w:ascii="Times New Roman" w:hAnsi="Times New Roman" w:cs="Times New Roman"/>
          <w:szCs w:val="24"/>
        </w:rPr>
        <w:tab/>
      </w:r>
      <w:r w:rsidR="00033E02" w:rsidRPr="008E65FA">
        <w:rPr>
          <w:rFonts w:ascii="Times New Roman" w:hAnsi="Times New Roman" w:cs="Times New Roman"/>
          <w:szCs w:val="24"/>
        </w:rPr>
        <w:t>Final True-up for 2021</w:t>
      </w:r>
    </w:p>
    <w:p w:rsidR="00033E02" w:rsidRPr="004905B1" w:rsidRDefault="00033E02" w:rsidP="00033E02">
      <w:pPr>
        <w:pStyle w:val="BodyText"/>
        <w:spacing w:after="0"/>
        <w:ind w:firstLine="720"/>
        <w:jc w:val="both"/>
      </w:pPr>
      <w:r w:rsidRPr="004905B1">
        <w:t>FCG stated that the revenues collected for 2021 were $2,615,885, compared to a revenue requirement of $3,016,838, resulting in an under-recovery of $400,953. Adding the 2020 final over-recovery of $90,225 and the $400,953 under-recovery of 2021, including interest, results in a final 2021 under-recovery of $326,217.</w:t>
      </w:r>
      <w:r w:rsidRPr="004905B1">
        <w:rPr>
          <w:rStyle w:val="FootnoteReference"/>
        </w:rPr>
        <w:footnoteReference w:id="6"/>
      </w:r>
      <w:r w:rsidRPr="004905B1">
        <w:t xml:space="preserve"> </w:t>
      </w:r>
    </w:p>
    <w:p w:rsidR="00033E02" w:rsidRPr="004905B1" w:rsidRDefault="00033E02" w:rsidP="00033E02">
      <w:pPr>
        <w:pStyle w:val="BodyText"/>
        <w:spacing w:after="0"/>
        <w:ind w:firstLine="720"/>
        <w:jc w:val="both"/>
      </w:pPr>
    </w:p>
    <w:p w:rsidR="0013182C" w:rsidRPr="008E65FA" w:rsidRDefault="0013182C" w:rsidP="0013182C">
      <w:pPr>
        <w:pStyle w:val="Second-LevelSubheading"/>
        <w:ind w:left="0"/>
        <w:rPr>
          <w:rFonts w:ascii="Times New Roman" w:hAnsi="Times New Roman" w:cs="Times New Roman"/>
          <w:szCs w:val="24"/>
        </w:rPr>
      </w:pPr>
      <w:r>
        <w:rPr>
          <w:rFonts w:ascii="Times New Roman" w:hAnsi="Times New Roman" w:cs="Times New Roman"/>
          <w:szCs w:val="24"/>
        </w:rPr>
        <w:tab/>
      </w:r>
      <w:r w:rsidR="00033E02" w:rsidRPr="008E65FA">
        <w:rPr>
          <w:rFonts w:ascii="Times New Roman" w:hAnsi="Times New Roman" w:cs="Times New Roman"/>
          <w:szCs w:val="24"/>
        </w:rPr>
        <w:t>Actual/Estimated 2022 True-up</w:t>
      </w:r>
    </w:p>
    <w:p w:rsidR="00033E02" w:rsidRPr="004905B1" w:rsidRDefault="00033E02" w:rsidP="00033E02">
      <w:pPr>
        <w:pStyle w:val="BodyText"/>
        <w:spacing w:after="0"/>
        <w:ind w:firstLine="720"/>
        <w:jc w:val="both"/>
      </w:pPr>
      <w:r w:rsidRPr="004905B1">
        <w:t>FCG provided actual revenues for January through June and forecast revenues for July through December 2022, totaling $4,616,422, as compared to a projected revenue requirement of $4,223,438, resulting in over-recovery of $392,984. Adding the 2021 under-recovery of $326,217 to the 2022 over-recovery of $392,984, the resulting total 2022 true-up, including interest, is an over-recovery of $74,528.</w:t>
      </w:r>
    </w:p>
    <w:p w:rsidR="00033E02" w:rsidRPr="004905B1" w:rsidRDefault="00033E02" w:rsidP="00033E02">
      <w:pPr>
        <w:pStyle w:val="BodyText"/>
        <w:spacing w:after="0"/>
        <w:ind w:firstLine="720"/>
        <w:jc w:val="both"/>
      </w:pPr>
    </w:p>
    <w:p w:rsidR="0013182C" w:rsidRPr="0013182C" w:rsidRDefault="00033E02" w:rsidP="0013182C">
      <w:pPr>
        <w:pStyle w:val="NoSpacing"/>
        <w:rPr>
          <w:b/>
        </w:rPr>
      </w:pPr>
      <w:r w:rsidRPr="0013182C">
        <w:rPr>
          <w:b/>
        </w:rPr>
        <w:t>Projected 2023 Costs</w:t>
      </w:r>
    </w:p>
    <w:p w:rsidR="0013182C" w:rsidRPr="0013182C" w:rsidRDefault="0013182C" w:rsidP="0013182C">
      <w:pPr>
        <w:pStyle w:val="Heading1"/>
        <w:rPr>
          <w:b/>
        </w:rPr>
      </w:pPr>
      <w:r>
        <w:rPr>
          <w:rFonts w:cs="Times New Roman"/>
          <w:szCs w:val="24"/>
        </w:rPr>
        <w:tab/>
      </w:r>
      <w:r w:rsidR="00033E02" w:rsidRPr="004905B1">
        <w:rPr>
          <w:rFonts w:cs="Times New Roman"/>
          <w:szCs w:val="24"/>
        </w:rPr>
        <w:t>The utility’s projected investment for 2023 is $11,679,589 for its projects located in Miami-Dade County. The revenue requirement, which includes a return on investment, depreciation, and taxes is $714,310. The return on investment calculation includes federal income taxes, regulatory assessment fees, and bad debt. After adding the 2022 over-recovery of $74,528, the total 2023 revenue re</w:t>
      </w:r>
      <w:r>
        <w:rPr>
          <w:rFonts w:cs="Times New Roman"/>
          <w:szCs w:val="24"/>
        </w:rPr>
        <w:t>quirement is $639,783. Table 1</w:t>
      </w:r>
      <w:r w:rsidR="00B44698">
        <w:rPr>
          <w:rFonts w:cs="Times New Roman"/>
          <w:szCs w:val="24"/>
        </w:rPr>
        <w:t xml:space="preserve"> below</w:t>
      </w:r>
      <w:r w:rsidR="00033E02" w:rsidRPr="004905B1">
        <w:rPr>
          <w:rFonts w:cs="Times New Roman"/>
          <w:szCs w:val="24"/>
        </w:rPr>
        <w:t xml:space="preserve"> displays the projected 2023 revenue requirement calculation.</w:t>
      </w:r>
    </w:p>
    <w:p w:rsidR="00033E02" w:rsidRPr="004905B1" w:rsidRDefault="00033E02" w:rsidP="00033E02">
      <w:pPr>
        <w:pStyle w:val="TableNumber"/>
        <w:keepNext/>
        <w:rPr>
          <w:rFonts w:ascii="Times New Roman" w:hAnsi="Times New Roman"/>
        </w:rPr>
      </w:pPr>
      <w:r w:rsidRPr="004905B1">
        <w:rPr>
          <w:rFonts w:ascii="Times New Roman" w:hAnsi="Times New Roman"/>
        </w:rPr>
        <w:t xml:space="preserve">Table </w:t>
      </w:r>
      <w:r w:rsidRPr="004905B1">
        <w:rPr>
          <w:rFonts w:ascii="Times New Roman" w:hAnsi="Times New Roman"/>
        </w:rPr>
        <w:fldChar w:fldCharType="begin"/>
      </w:r>
      <w:r w:rsidRPr="004905B1">
        <w:rPr>
          <w:rFonts w:ascii="Times New Roman" w:hAnsi="Times New Roman"/>
        </w:rPr>
        <w:instrText xml:space="preserve"> SEQ Issue \c </w:instrText>
      </w:r>
      <w:r w:rsidRPr="004905B1">
        <w:rPr>
          <w:rFonts w:ascii="Times New Roman" w:hAnsi="Times New Roman"/>
        </w:rPr>
        <w:fldChar w:fldCharType="separate"/>
      </w:r>
      <w:r w:rsidR="0028678F">
        <w:rPr>
          <w:rFonts w:ascii="Times New Roman" w:hAnsi="Times New Roman"/>
          <w:noProof/>
        </w:rPr>
        <w:t>0</w:t>
      </w:r>
      <w:r w:rsidRPr="004905B1">
        <w:rPr>
          <w:rFonts w:ascii="Times New Roman" w:hAnsi="Times New Roman"/>
          <w:noProof/>
        </w:rPr>
        <w:fldChar w:fldCharType="end"/>
      </w:r>
    </w:p>
    <w:p w:rsidR="00033E02" w:rsidRPr="004905B1" w:rsidRDefault="00033E02" w:rsidP="00033E02">
      <w:pPr>
        <w:pStyle w:val="TableTitle"/>
        <w:keepNext/>
        <w:rPr>
          <w:rFonts w:ascii="Times New Roman" w:hAnsi="Times New Roman"/>
        </w:rPr>
      </w:pPr>
      <w:r w:rsidRPr="004905B1">
        <w:rPr>
          <w:rFonts w:ascii="Times New Roman" w:hAnsi="Times New Roman"/>
        </w:rPr>
        <w:t>2023 Revenue Requirements Calculation</w:t>
      </w:r>
    </w:p>
    <w:tbl>
      <w:tblPr>
        <w:tblStyle w:val="TableGrid"/>
        <w:tblW w:w="87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410"/>
      </w:tblGrid>
      <w:tr w:rsidR="00033E02" w:rsidRPr="004905B1" w:rsidTr="00BD4019">
        <w:tc>
          <w:tcPr>
            <w:tcW w:w="4320" w:type="dxa"/>
            <w:tcBorders>
              <w:top w:val="single" w:sz="4" w:space="0" w:color="auto"/>
              <w:left w:val="single" w:sz="4" w:space="0" w:color="auto"/>
              <w:bottom w:val="single" w:sz="4" w:space="0" w:color="auto"/>
            </w:tcBorders>
          </w:tcPr>
          <w:p w:rsidR="00033E02" w:rsidRPr="004905B1" w:rsidRDefault="00033E02" w:rsidP="00BD4019">
            <w:r w:rsidRPr="004905B1">
              <w:t>2023 Projected Investment</w:t>
            </w:r>
          </w:p>
        </w:tc>
        <w:tc>
          <w:tcPr>
            <w:tcW w:w="4410" w:type="dxa"/>
            <w:tcBorders>
              <w:top w:val="single" w:sz="4" w:space="0" w:color="auto"/>
              <w:bottom w:val="single" w:sz="4" w:space="0" w:color="auto"/>
              <w:right w:val="single" w:sz="4" w:space="0" w:color="auto"/>
            </w:tcBorders>
          </w:tcPr>
          <w:p w:rsidR="00033E02" w:rsidRPr="004905B1" w:rsidRDefault="00033E02" w:rsidP="00BD4019">
            <w:pPr>
              <w:jc w:val="right"/>
            </w:pPr>
            <w:r w:rsidRPr="004905B1">
              <w:t>$11,679,589</w:t>
            </w:r>
          </w:p>
        </w:tc>
      </w:tr>
      <w:tr w:rsidR="00033E02" w:rsidRPr="004905B1" w:rsidTr="00BD4019">
        <w:tc>
          <w:tcPr>
            <w:tcW w:w="4320" w:type="dxa"/>
            <w:tcBorders>
              <w:top w:val="single" w:sz="4" w:space="0" w:color="auto"/>
              <w:left w:val="single" w:sz="4" w:space="0" w:color="auto"/>
            </w:tcBorders>
          </w:tcPr>
          <w:p w:rsidR="00033E02" w:rsidRPr="004905B1" w:rsidRDefault="00033E02" w:rsidP="00BD4019">
            <w:r w:rsidRPr="004905B1">
              <w:t>Return on Investment</w:t>
            </w:r>
          </w:p>
        </w:tc>
        <w:tc>
          <w:tcPr>
            <w:tcW w:w="4410" w:type="dxa"/>
            <w:tcBorders>
              <w:top w:val="single" w:sz="4" w:space="0" w:color="auto"/>
              <w:right w:val="single" w:sz="4" w:space="0" w:color="auto"/>
            </w:tcBorders>
          </w:tcPr>
          <w:p w:rsidR="00033E02" w:rsidRPr="004905B1" w:rsidRDefault="00033E02" w:rsidP="00BD4019">
            <w:pPr>
              <w:jc w:val="right"/>
            </w:pPr>
            <w:r w:rsidRPr="004905B1">
              <w:t>$466,970</w:t>
            </w:r>
          </w:p>
        </w:tc>
      </w:tr>
      <w:tr w:rsidR="00033E02" w:rsidRPr="004905B1" w:rsidTr="00BD4019">
        <w:tc>
          <w:tcPr>
            <w:tcW w:w="4320" w:type="dxa"/>
            <w:tcBorders>
              <w:left w:val="single" w:sz="4" w:space="0" w:color="auto"/>
            </w:tcBorders>
          </w:tcPr>
          <w:p w:rsidR="00033E02" w:rsidRPr="004905B1" w:rsidRDefault="00033E02" w:rsidP="00BD4019">
            <w:pPr>
              <w:jc w:val="both"/>
            </w:pPr>
            <w:r w:rsidRPr="004905B1">
              <w:t>Depreciation Expense</w:t>
            </w:r>
          </w:p>
        </w:tc>
        <w:tc>
          <w:tcPr>
            <w:tcW w:w="4410" w:type="dxa"/>
            <w:tcBorders>
              <w:right w:val="single" w:sz="4" w:space="0" w:color="auto"/>
            </w:tcBorders>
          </w:tcPr>
          <w:p w:rsidR="00033E02" w:rsidRPr="004905B1" w:rsidRDefault="00033E02" w:rsidP="00BD4019">
            <w:pPr>
              <w:jc w:val="right"/>
            </w:pPr>
            <w:r w:rsidRPr="004905B1">
              <w:t>140,344</w:t>
            </w:r>
          </w:p>
        </w:tc>
      </w:tr>
      <w:tr w:rsidR="00033E02" w:rsidRPr="004905B1" w:rsidTr="00BD4019">
        <w:tc>
          <w:tcPr>
            <w:tcW w:w="4320" w:type="dxa"/>
            <w:tcBorders>
              <w:left w:val="single" w:sz="4" w:space="0" w:color="auto"/>
            </w:tcBorders>
          </w:tcPr>
          <w:p w:rsidR="00033E02" w:rsidRPr="004905B1" w:rsidRDefault="00033E02" w:rsidP="00BD4019">
            <w:pPr>
              <w:jc w:val="both"/>
            </w:pPr>
            <w:r w:rsidRPr="004905B1">
              <w:t>Property Tax Expense</w:t>
            </w:r>
          </w:p>
        </w:tc>
        <w:tc>
          <w:tcPr>
            <w:tcW w:w="4410" w:type="dxa"/>
            <w:tcBorders>
              <w:right w:val="single" w:sz="4" w:space="0" w:color="auto"/>
            </w:tcBorders>
          </w:tcPr>
          <w:p w:rsidR="00033E02" w:rsidRPr="004905B1" w:rsidRDefault="00033E02" w:rsidP="00BD4019">
            <w:pPr>
              <w:jc w:val="right"/>
              <w:rPr>
                <w:u w:val="single"/>
              </w:rPr>
            </w:pPr>
            <w:r w:rsidRPr="004905B1">
              <w:rPr>
                <w:u w:val="single"/>
              </w:rPr>
              <w:t>106,996</w:t>
            </w:r>
          </w:p>
        </w:tc>
      </w:tr>
      <w:tr w:rsidR="00033E02" w:rsidRPr="004905B1" w:rsidTr="00BD4019">
        <w:tc>
          <w:tcPr>
            <w:tcW w:w="4320" w:type="dxa"/>
            <w:tcBorders>
              <w:left w:val="single" w:sz="4" w:space="0" w:color="auto"/>
            </w:tcBorders>
          </w:tcPr>
          <w:p w:rsidR="00033E02" w:rsidRPr="004905B1" w:rsidRDefault="00033E02" w:rsidP="00BD4019">
            <w:pPr>
              <w:jc w:val="both"/>
            </w:pPr>
            <w:r w:rsidRPr="004905B1">
              <w:t>2023 Revenue Requirement</w:t>
            </w:r>
          </w:p>
        </w:tc>
        <w:tc>
          <w:tcPr>
            <w:tcW w:w="4410" w:type="dxa"/>
            <w:tcBorders>
              <w:right w:val="single" w:sz="4" w:space="0" w:color="auto"/>
            </w:tcBorders>
          </w:tcPr>
          <w:p w:rsidR="00033E02" w:rsidRPr="004905B1" w:rsidRDefault="00033E02" w:rsidP="00BD4019">
            <w:pPr>
              <w:jc w:val="right"/>
            </w:pPr>
            <w:r w:rsidRPr="004905B1">
              <w:t>$714,310</w:t>
            </w:r>
          </w:p>
        </w:tc>
      </w:tr>
      <w:tr w:rsidR="00033E02" w:rsidRPr="004905B1" w:rsidTr="00BD4019">
        <w:tc>
          <w:tcPr>
            <w:tcW w:w="4320" w:type="dxa"/>
            <w:tcBorders>
              <w:left w:val="single" w:sz="4" w:space="0" w:color="auto"/>
            </w:tcBorders>
          </w:tcPr>
          <w:p w:rsidR="00033E02" w:rsidRPr="004905B1" w:rsidRDefault="00033E02" w:rsidP="00BD4019">
            <w:pPr>
              <w:jc w:val="both"/>
            </w:pPr>
            <w:r w:rsidRPr="004905B1">
              <w:t>Minus 2022 Over-recovery</w:t>
            </w:r>
          </w:p>
        </w:tc>
        <w:tc>
          <w:tcPr>
            <w:tcW w:w="4410" w:type="dxa"/>
            <w:tcBorders>
              <w:right w:val="single" w:sz="4" w:space="0" w:color="auto"/>
            </w:tcBorders>
          </w:tcPr>
          <w:p w:rsidR="00033E02" w:rsidRPr="004905B1" w:rsidRDefault="00033E02" w:rsidP="00BD4019">
            <w:pPr>
              <w:jc w:val="right"/>
              <w:rPr>
                <w:u w:val="single"/>
              </w:rPr>
            </w:pPr>
            <w:r w:rsidRPr="004905B1">
              <w:rPr>
                <w:u w:val="single"/>
              </w:rPr>
              <w:t>$74,528</w:t>
            </w:r>
          </w:p>
        </w:tc>
      </w:tr>
      <w:tr w:rsidR="00033E02" w:rsidRPr="004905B1" w:rsidTr="00BD4019">
        <w:tc>
          <w:tcPr>
            <w:tcW w:w="4320" w:type="dxa"/>
            <w:tcBorders>
              <w:left w:val="single" w:sz="4" w:space="0" w:color="auto"/>
              <w:bottom w:val="single" w:sz="4" w:space="0" w:color="auto"/>
            </w:tcBorders>
          </w:tcPr>
          <w:p w:rsidR="00033E02" w:rsidRPr="004905B1" w:rsidRDefault="00033E02" w:rsidP="00BD4019">
            <w:pPr>
              <w:jc w:val="both"/>
            </w:pPr>
            <w:r w:rsidRPr="004905B1">
              <w:t>Total 2023 Revenue Requirement</w:t>
            </w:r>
          </w:p>
        </w:tc>
        <w:tc>
          <w:tcPr>
            <w:tcW w:w="4410" w:type="dxa"/>
            <w:tcBorders>
              <w:bottom w:val="single" w:sz="4" w:space="0" w:color="auto"/>
              <w:right w:val="single" w:sz="4" w:space="0" w:color="auto"/>
            </w:tcBorders>
          </w:tcPr>
          <w:p w:rsidR="00033E02" w:rsidRPr="004905B1" w:rsidRDefault="00033E02" w:rsidP="00BD4019">
            <w:pPr>
              <w:jc w:val="right"/>
            </w:pPr>
            <w:r w:rsidRPr="004905B1">
              <w:t>$639,783</w:t>
            </w:r>
          </w:p>
        </w:tc>
      </w:tr>
    </w:tbl>
    <w:p w:rsidR="00033E02" w:rsidRPr="004905B1" w:rsidRDefault="00033E02" w:rsidP="00033E02">
      <w:pPr>
        <w:pStyle w:val="TableSource"/>
        <w:tabs>
          <w:tab w:val="left" w:pos="8910"/>
        </w:tabs>
        <w:spacing w:after="0"/>
        <w:ind w:left="360" w:right="360"/>
      </w:pPr>
      <w:r w:rsidRPr="004905B1">
        <w:t>Source: Attachment C of th</w:t>
      </w:r>
      <w:r w:rsidR="008E65FA">
        <w:t>e Petition and Attachment 1 in R</w:t>
      </w:r>
      <w:r w:rsidRPr="004905B1">
        <w:t xml:space="preserve">esponse to </w:t>
      </w:r>
      <w:r w:rsidR="00B44698">
        <w:t>Commission staff’s</w:t>
      </w:r>
      <w:r w:rsidRPr="004905B1">
        <w:t xml:space="preserve"> First Data Request No. 3</w:t>
      </w:r>
    </w:p>
    <w:p w:rsidR="006C2964" w:rsidRDefault="006C2964" w:rsidP="00033E02">
      <w:pPr>
        <w:pStyle w:val="First-LevelSubheading"/>
        <w:ind w:firstLine="720"/>
        <w:rPr>
          <w:rFonts w:ascii="Times New Roman" w:hAnsi="Times New Roman" w:cs="Times New Roman"/>
          <w:b w:val="0"/>
          <w:bCs w:val="0"/>
          <w:iCs w:val="0"/>
          <w:szCs w:val="24"/>
        </w:rPr>
      </w:pPr>
    </w:p>
    <w:p w:rsidR="006C2964" w:rsidRDefault="006C2964" w:rsidP="00033E02">
      <w:pPr>
        <w:pStyle w:val="First-LevelSubheading"/>
        <w:ind w:firstLine="720"/>
        <w:rPr>
          <w:rFonts w:ascii="Times New Roman" w:hAnsi="Times New Roman" w:cs="Times New Roman"/>
          <w:b w:val="0"/>
          <w:bCs w:val="0"/>
          <w:iCs w:val="0"/>
          <w:szCs w:val="24"/>
        </w:rPr>
      </w:pPr>
    </w:p>
    <w:p w:rsidR="006C2964" w:rsidRPr="006C2964" w:rsidRDefault="00033E02" w:rsidP="006C2964">
      <w:pPr>
        <w:pStyle w:val="NoSpacing"/>
        <w:rPr>
          <w:b/>
        </w:rPr>
      </w:pPr>
      <w:r w:rsidRPr="006C2964">
        <w:rPr>
          <w:b/>
        </w:rPr>
        <w:lastRenderedPageBreak/>
        <w:t>Proposed 2023 SAFE Factors</w:t>
      </w:r>
    </w:p>
    <w:p w:rsidR="00033E02" w:rsidRPr="004905B1" w:rsidRDefault="00033E02" w:rsidP="00033E02">
      <w:pPr>
        <w:pStyle w:val="BodyText"/>
        <w:spacing w:after="0"/>
        <w:ind w:firstLine="720"/>
        <w:jc w:val="both"/>
      </w:pPr>
      <w:r w:rsidRPr="004905B1">
        <w:t xml:space="preserve">The SAFE factors are fixed monthly charges. FCG’s cost allocation methodology was approved in the 2015 order and was used in the instant filing. The approved methodology allocates the current cost of a 2-inch pipe to all customers on a per customer basis and allocates the incremental cost of replacing a 4-inch pipe to customers who use over 6,000 therms per year. For customers who require 4-inch pipes, the cost takes into account that the minimum pipe is insufficient to serve their demand, and therefore, allocates an incremental per foot cost in addition to the all-customer cost. The resulting allocation factors are applied to the 2023 total revenue requirement to develop the monthly SAFE factors. </w:t>
      </w:r>
    </w:p>
    <w:p w:rsidR="00033E02" w:rsidRPr="004905B1" w:rsidRDefault="00033E02" w:rsidP="00033E02">
      <w:pPr>
        <w:pStyle w:val="BodyText"/>
        <w:spacing w:after="0"/>
        <w:ind w:firstLine="720"/>
        <w:jc w:val="both"/>
      </w:pPr>
    </w:p>
    <w:p w:rsidR="00033E02" w:rsidRPr="004905B1" w:rsidRDefault="00033E02" w:rsidP="00033E02">
      <w:pPr>
        <w:pStyle w:val="BodyText"/>
        <w:spacing w:after="0"/>
        <w:ind w:firstLine="720"/>
        <w:jc w:val="both"/>
      </w:pPr>
      <w:r w:rsidRPr="004905B1">
        <w:t xml:space="preserve">The proposed fixed monthly SAFE factor is $0.44 for customers using less than 6,000 therms per year (current factor is $3.17). The proposed fixed monthly SAFE factor for customers using more than 6,000 therms per year is $0.98 (current factor is $6.39). The proposed 2023 SAFE factors decreased because FCG assumed the SAFE investment as of December 31, 2022 was moved from SAFE factor recovery to base rates and the SAFE factors are beginning anew. </w:t>
      </w:r>
    </w:p>
    <w:p w:rsidR="006C2964" w:rsidRDefault="006C2964" w:rsidP="006C2964">
      <w:pPr>
        <w:pStyle w:val="First-LevelSubheading"/>
        <w:ind w:firstLine="720"/>
        <w:rPr>
          <w:rFonts w:ascii="Times New Roman" w:hAnsi="Times New Roman" w:cs="Times New Roman"/>
          <w:b w:val="0"/>
          <w:bCs w:val="0"/>
          <w:iCs w:val="0"/>
          <w:szCs w:val="24"/>
        </w:rPr>
      </w:pPr>
    </w:p>
    <w:p w:rsidR="00033E02" w:rsidRPr="00A335FB" w:rsidRDefault="00033E02" w:rsidP="00A335FB">
      <w:pPr>
        <w:pStyle w:val="NoSpacing"/>
        <w:rPr>
          <w:b/>
        </w:rPr>
      </w:pPr>
      <w:r w:rsidRPr="00A335FB">
        <w:rPr>
          <w:b/>
        </w:rPr>
        <w:t>Conclusion</w:t>
      </w:r>
    </w:p>
    <w:p w:rsidR="00033E02" w:rsidRPr="004905B1" w:rsidRDefault="006D30E3" w:rsidP="0074454B">
      <w:pPr>
        <w:pStyle w:val="OrderBody"/>
        <w:ind w:firstLine="720"/>
      </w:pPr>
      <w:r>
        <w:t>Based on the above, we approve</w:t>
      </w:r>
      <w:r w:rsidR="00033E02" w:rsidRPr="004905B1">
        <w:t xml:space="preserve"> FCG’s proposed SAFE tariff for the period January through December 2023. After reviewing FCG’s filings and supporting documentation, the calculations of the 2023 SAFE factors appear consistent with the methodology approved in the 2015 order and are reasonable and accurate.</w:t>
      </w:r>
    </w:p>
    <w:p w:rsidR="00033E02" w:rsidRPr="004905B1" w:rsidRDefault="00033E02" w:rsidP="00033E02">
      <w:pPr>
        <w:jc w:val="both"/>
      </w:pPr>
    </w:p>
    <w:p w:rsidR="00033E02" w:rsidRPr="004905B1" w:rsidRDefault="00033E02" w:rsidP="00033E02">
      <w:pPr>
        <w:pStyle w:val="OrderBody"/>
      </w:pPr>
      <w:r w:rsidRPr="004905B1">
        <w:tab/>
        <w:t>Based on the foregoing, it is</w:t>
      </w:r>
    </w:p>
    <w:p w:rsidR="00033E02" w:rsidRPr="004905B1" w:rsidRDefault="00033E02" w:rsidP="00033E02">
      <w:pPr>
        <w:pStyle w:val="OrderBody"/>
      </w:pPr>
    </w:p>
    <w:p w:rsidR="0013182C" w:rsidRDefault="00033E02" w:rsidP="00033E02">
      <w:pPr>
        <w:pStyle w:val="OrderBody"/>
      </w:pPr>
      <w:r w:rsidRPr="004905B1">
        <w:tab/>
        <w:t>ORDERED by the Florida Public Service Commission that</w:t>
      </w:r>
      <w:r w:rsidR="0074454B">
        <w:t xml:space="preserve"> Florida City Gas’s proposed SAFE tariff for the period January through December 2023 is hereby approved</w:t>
      </w:r>
      <w:r w:rsidR="00571BFE">
        <w:t>. It is further</w:t>
      </w:r>
    </w:p>
    <w:p w:rsidR="0074454B" w:rsidRPr="004905B1" w:rsidRDefault="0074454B" w:rsidP="00033E02">
      <w:pPr>
        <w:pStyle w:val="OrderBody"/>
      </w:pPr>
    </w:p>
    <w:p w:rsidR="00033E02" w:rsidRPr="004905B1" w:rsidRDefault="00033E02" w:rsidP="00A335FB">
      <w:pPr>
        <w:jc w:val="both"/>
      </w:pPr>
      <w:r w:rsidRPr="004905B1">
        <w:tab/>
        <w:t>ORDERED that if a protest is filed within 21 days of issuance of the Order, the tariff shall remain in effect with any charges held subject to refund pending resolution of the protest.  It is further</w:t>
      </w:r>
    </w:p>
    <w:p w:rsidR="00033E02" w:rsidRPr="004905B1" w:rsidRDefault="00033E02" w:rsidP="00A335FB">
      <w:pPr>
        <w:jc w:val="both"/>
      </w:pPr>
    </w:p>
    <w:p w:rsidR="00033E02" w:rsidRPr="004905B1" w:rsidRDefault="00033E02" w:rsidP="00A335FB">
      <w:pPr>
        <w:jc w:val="both"/>
      </w:pPr>
      <w:r w:rsidRPr="004905B1">
        <w:tab/>
        <w:t>ORDERED that if no timely protest is filed, this docket shall be closed upon the issuance of a Consummating Order.</w:t>
      </w:r>
    </w:p>
    <w:p w:rsidR="00033E02" w:rsidRPr="004905B1" w:rsidRDefault="00033E02" w:rsidP="00033E02"/>
    <w:p w:rsidR="000F2885" w:rsidRDefault="000F2885" w:rsidP="000F2885">
      <w:pPr>
        <w:keepNext/>
        <w:keepLines/>
        <w:jc w:val="both"/>
      </w:pPr>
      <w:r w:rsidRPr="004905B1">
        <w:lastRenderedPageBreak/>
        <w:tab/>
        <w:t xml:space="preserve">By ORDER of the Florida Public Service Commission this </w:t>
      </w:r>
      <w:bookmarkStart w:id="7" w:name="replaceDate"/>
      <w:bookmarkEnd w:id="7"/>
      <w:r w:rsidR="000504C3">
        <w:rPr>
          <w:u w:val="single"/>
        </w:rPr>
        <w:t>21st</w:t>
      </w:r>
      <w:r w:rsidR="000504C3">
        <w:t xml:space="preserve"> day of </w:t>
      </w:r>
      <w:r w:rsidR="000504C3">
        <w:rPr>
          <w:u w:val="single"/>
        </w:rPr>
        <w:t>November</w:t>
      </w:r>
      <w:r w:rsidR="000504C3">
        <w:t xml:space="preserve">, </w:t>
      </w:r>
      <w:r w:rsidR="000504C3">
        <w:rPr>
          <w:u w:val="single"/>
        </w:rPr>
        <w:t>2022</w:t>
      </w:r>
      <w:r w:rsidR="000504C3">
        <w:t>.</w:t>
      </w:r>
    </w:p>
    <w:p w:rsidR="000504C3" w:rsidRPr="000504C3" w:rsidRDefault="000504C3" w:rsidP="000F2885">
      <w:pPr>
        <w:keepNext/>
        <w:keepLines/>
        <w:jc w:val="both"/>
      </w:pPr>
    </w:p>
    <w:p w:rsidR="000F2885" w:rsidRPr="004905B1" w:rsidRDefault="000F2885" w:rsidP="000F2885">
      <w:pPr>
        <w:keepNext/>
        <w:keepLines/>
        <w:jc w:val="both"/>
      </w:pPr>
    </w:p>
    <w:p w:rsidR="000F2885" w:rsidRPr="004905B1" w:rsidRDefault="000F2885" w:rsidP="000F2885">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F2885" w:rsidRPr="004905B1" w:rsidTr="000F2885">
        <w:tc>
          <w:tcPr>
            <w:tcW w:w="720" w:type="dxa"/>
            <w:shd w:val="clear" w:color="auto" w:fill="auto"/>
          </w:tcPr>
          <w:p w:rsidR="000F2885" w:rsidRPr="004905B1" w:rsidRDefault="000F2885" w:rsidP="000F2885">
            <w:pPr>
              <w:keepNext/>
              <w:keepLines/>
              <w:jc w:val="both"/>
            </w:pPr>
            <w:bookmarkStart w:id="8" w:name="bkmrkSignature" w:colFirst="0" w:colLast="0"/>
          </w:p>
        </w:tc>
        <w:tc>
          <w:tcPr>
            <w:tcW w:w="4320" w:type="dxa"/>
            <w:tcBorders>
              <w:bottom w:val="single" w:sz="4" w:space="0" w:color="auto"/>
            </w:tcBorders>
            <w:shd w:val="clear" w:color="auto" w:fill="auto"/>
          </w:tcPr>
          <w:p w:rsidR="000F2885" w:rsidRPr="004905B1" w:rsidRDefault="0028678F" w:rsidP="000F2885">
            <w:pPr>
              <w:keepNext/>
              <w:keepLines/>
              <w:jc w:val="both"/>
            </w:pPr>
            <w:r>
              <w:t>/s/ Adam J. Teitzman</w:t>
            </w:r>
            <w:bookmarkStart w:id="9" w:name="_GoBack"/>
            <w:bookmarkEnd w:id="9"/>
          </w:p>
        </w:tc>
      </w:tr>
      <w:bookmarkEnd w:id="8"/>
      <w:tr w:rsidR="000F2885" w:rsidRPr="004905B1" w:rsidTr="000F2885">
        <w:tc>
          <w:tcPr>
            <w:tcW w:w="720" w:type="dxa"/>
            <w:shd w:val="clear" w:color="auto" w:fill="auto"/>
          </w:tcPr>
          <w:p w:rsidR="000F2885" w:rsidRPr="004905B1" w:rsidRDefault="000F2885" w:rsidP="000F2885">
            <w:pPr>
              <w:keepNext/>
              <w:keepLines/>
              <w:jc w:val="both"/>
            </w:pPr>
          </w:p>
        </w:tc>
        <w:tc>
          <w:tcPr>
            <w:tcW w:w="4320" w:type="dxa"/>
            <w:tcBorders>
              <w:top w:val="single" w:sz="4" w:space="0" w:color="auto"/>
            </w:tcBorders>
            <w:shd w:val="clear" w:color="auto" w:fill="auto"/>
          </w:tcPr>
          <w:p w:rsidR="000F2885" w:rsidRPr="004905B1" w:rsidRDefault="000F2885" w:rsidP="000F2885">
            <w:pPr>
              <w:keepNext/>
              <w:keepLines/>
              <w:jc w:val="both"/>
            </w:pPr>
            <w:r w:rsidRPr="004905B1">
              <w:t>ADAM J. TEITZMAN</w:t>
            </w:r>
          </w:p>
          <w:p w:rsidR="000F2885" w:rsidRPr="004905B1" w:rsidRDefault="000F2885" w:rsidP="000F2885">
            <w:pPr>
              <w:keepNext/>
              <w:keepLines/>
              <w:jc w:val="both"/>
            </w:pPr>
            <w:r w:rsidRPr="004905B1">
              <w:t>Commission Clerk</w:t>
            </w:r>
          </w:p>
        </w:tc>
      </w:tr>
    </w:tbl>
    <w:p w:rsidR="000F2885" w:rsidRPr="004905B1" w:rsidRDefault="000F2885" w:rsidP="000F2885">
      <w:pPr>
        <w:pStyle w:val="OrderSigInfo"/>
        <w:keepNext/>
        <w:keepLines/>
        <w:rPr>
          <w:szCs w:val="24"/>
        </w:rPr>
      </w:pPr>
      <w:r w:rsidRPr="004905B1">
        <w:rPr>
          <w:szCs w:val="24"/>
        </w:rPr>
        <w:t>Florida Public Service Commission</w:t>
      </w:r>
    </w:p>
    <w:p w:rsidR="000F2885" w:rsidRPr="004905B1" w:rsidRDefault="000F2885" w:rsidP="000F2885">
      <w:pPr>
        <w:pStyle w:val="OrderSigInfo"/>
        <w:keepNext/>
        <w:keepLines/>
        <w:rPr>
          <w:szCs w:val="24"/>
        </w:rPr>
      </w:pPr>
      <w:r w:rsidRPr="004905B1">
        <w:rPr>
          <w:szCs w:val="24"/>
        </w:rPr>
        <w:t>2540 Shumard Oak Boulevard</w:t>
      </w:r>
    </w:p>
    <w:p w:rsidR="000F2885" w:rsidRPr="004905B1" w:rsidRDefault="000F2885" w:rsidP="000F2885">
      <w:pPr>
        <w:pStyle w:val="OrderSigInfo"/>
        <w:keepNext/>
        <w:keepLines/>
        <w:rPr>
          <w:szCs w:val="24"/>
        </w:rPr>
      </w:pPr>
      <w:r w:rsidRPr="004905B1">
        <w:rPr>
          <w:szCs w:val="24"/>
        </w:rPr>
        <w:t>Tallahassee, Florida 32399</w:t>
      </w:r>
    </w:p>
    <w:p w:rsidR="000F2885" w:rsidRPr="004905B1" w:rsidRDefault="000F2885" w:rsidP="000F2885">
      <w:pPr>
        <w:pStyle w:val="OrderSigInfo"/>
        <w:keepNext/>
        <w:keepLines/>
        <w:rPr>
          <w:szCs w:val="24"/>
        </w:rPr>
      </w:pPr>
      <w:r w:rsidRPr="004905B1">
        <w:rPr>
          <w:szCs w:val="24"/>
        </w:rPr>
        <w:t>(850) 413</w:t>
      </w:r>
      <w:r w:rsidRPr="004905B1">
        <w:rPr>
          <w:szCs w:val="24"/>
        </w:rPr>
        <w:noBreakHyphen/>
        <w:t>6770</w:t>
      </w:r>
    </w:p>
    <w:p w:rsidR="000F2885" w:rsidRPr="004905B1" w:rsidRDefault="000F2885" w:rsidP="000F2885">
      <w:pPr>
        <w:pStyle w:val="OrderSigInfo"/>
        <w:keepNext/>
        <w:keepLines/>
        <w:rPr>
          <w:szCs w:val="24"/>
        </w:rPr>
      </w:pPr>
      <w:r w:rsidRPr="004905B1">
        <w:rPr>
          <w:szCs w:val="24"/>
        </w:rPr>
        <w:t>www.floridapsc.com</w:t>
      </w:r>
    </w:p>
    <w:p w:rsidR="000F2885" w:rsidRPr="004905B1" w:rsidRDefault="000F2885" w:rsidP="000F2885">
      <w:pPr>
        <w:pStyle w:val="OrderSigInfo"/>
        <w:keepNext/>
        <w:keepLines/>
        <w:rPr>
          <w:szCs w:val="24"/>
        </w:rPr>
      </w:pPr>
    </w:p>
    <w:p w:rsidR="000F2885" w:rsidRPr="004905B1" w:rsidRDefault="000F2885" w:rsidP="000F2885">
      <w:pPr>
        <w:pStyle w:val="OrderSigInfo"/>
        <w:keepNext/>
        <w:keepLines/>
        <w:rPr>
          <w:szCs w:val="24"/>
        </w:rPr>
      </w:pPr>
      <w:r w:rsidRPr="004905B1">
        <w:rPr>
          <w:szCs w:val="24"/>
        </w:rPr>
        <w:t>Copies furnished:  A copy of this document is provided to the parties of record at the time of issuance and, if applicable, interested persons.</w:t>
      </w:r>
    </w:p>
    <w:p w:rsidR="000F2885" w:rsidRPr="004905B1" w:rsidRDefault="000F2885" w:rsidP="000F2885">
      <w:pPr>
        <w:pStyle w:val="OrderBody"/>
        <w:keepNext/>
        <w:keepLines/>
      </w:pPr>
    </w:p>
    <w:p w:rsidR="000F2885" w:rsidRPr="004905B1" w:rsidRDefault="000F2885" w:rsidP="000F2885">
      <w:pPr>
        <w:keepNext/>
        <w:keepLines/>
        <w:jc w:val="both"/>
      </w:pPr>
    </w:p>
    <w:p w:rsidR="000F2885" w:rsidRPr="004905B1" w:rsidRDefault="000F2885" w:rsidP="000F2885">
      <w:pPr>
        <w:keepNext/>
        <w:keepLines/>
        <w:jc w:val="both"/>
      </w:pPr>
      <w:r w:rsidRPr="004905B1">
        <w:t>AAW</w:t>
      </w:r>
    </w:p>
    <w:p w:rsidR="000F2885" w:rsidRPr="004905B1" w:rsidRDefault="000F2885" w:rsidP="000F2885">
      <w:pPr>
        <w:jc w:val="both"/>
      </w:pPr>
    </w:p>
    <w:p w:rsidR="000F2885" w:rsidRPr="004905B1" w:rsidRDefault="000F2885" w:rsidP="000F2885">
      <w:pPr>
        <w:jc w:val="both"/>
      </w:pPr>
    </w:p>
    <w:p w:rsidR="000F2885" w:rsidRDefault="000F2885" w:rsidP="000F2885">
      <w:pPr>
        <w:jc w:val="both"/>
      </w:pPr>
    </w:p>
    <w:p w:rsidR="008E65FA" w:rsidRDefault="008E65FA" w:rsidP="000F2885">
      <w:pPr>
        <w:jc w:val="both"/>
      </w:pPr>
    </w:p>
    <w:p w:rsidR="008E65FA" w:rsidRDefault="008E65FA" w:rsidP="000F2885">
      <w:pPr>
        <w:jc w:val="both"/>
      </w:pPr>
    </w:p>
    <w:p w:rsidR="008E65FA" w:rsidRDefault="008E65FA" w:rsidP="000F2885">
      <w:pPr>
        <w:jc w:val="both"/>
      </w:pPr>
    </w:p>
    <w:p w:rsidR="008E65FA" w:rsidRDefault="008E65FA" w:rsidP="000F2885">
      <w:pPr>
        <w:jc w:val="both"/>
      </w:pPr>
    </w:p>
    <w:p w:rsidR="008E65FA" w:rsidRDefault="008E65FA" w:rsidP="000F2885">
      <w:pPr>
        <w:jc w:val="both"/>
      </w:pPr>
    </w:p>
    <w:p w:rsidR="008E65FA" w:rsidRDefault="008E65FA" w:rsidP="000F2885">
      <w:pPr>
        <w:jc w:val="both"/>
      </w:pPr>
    </w:p>
    <w:p w:rsidR="008E65FA" w:rsidRDefault="008E65FA" w:rsidP="000F2885">
      <w:pPr>
        <w:jc w:val="both"/>
      </w:pPr>
    </w:p>
    <w:p w:rsidR="008E65FA" w:rsidRDefault="008E65FA" w:rsidP="000F2885">
      <w:pPr>
        <w:jc w:val="both"/>
      </w:pPr>
    </w:p>
    <w:p w:rsidR="008E65FA" w:rsidRDefault="008E65FA" w:rsidP="000F2885">
      <w:pPr>
        <w:jc w:val="both"/>
      </w:pPr>
    </w:p>
    <w:p w:rsidR="008E65FA" w:rsidRDefault="008E65FA" w:rsidP="000F2885">
      <w:pPr>
        <w:jc w:val="both"/>
      </w:pPr>
    </w:p>
    <w:p w:rsidR="008E65FA" w:rsidRDefault="008E65FA" w:rsidP="000F2885">
      <w:pPr>
        <w:jc w:val="both"/>
      </w:pPr>
    </w:p>
    <w:p w:rsidR="008E65FA" w:rsidRDefault="008E65FA" w:rsidP="000F2885">
      <w:pPr>
        <w:jc w:val="both"/>
      </w:pPr>
    </w:p>
    <w:p w:rsidR="008E65FA" w:rsidRDefault="008E65FA" w:rsidP="000F2885">
      <w:pPr>
        <w:jc w:val="both"/>
      </w:pPr>
    </w:p>
    <w:p w:rsidR="008E65FA" w:rsidRDefault="008E65FA" w:rsidP="000F2885">
      <w:pPr>
        <w:jc w:val="both"/>
      </w:pPr>
    </w:p>
    <w:p w:rsidR="008E65FA" w:rsidRDefault="008E65FA" w:rsidP="000F2885">
      <w:pPr>
        <w:jc w:val="both"/>
      </w:pPr>
    </w:p>
    <w:p w:rsidR="008E65FA" w:rsidRDefault="008E65FA" w:rsidP="000F2885">
      <w:pPr>
        <w:jc w:val="both"/>
      </w:pPr>
    </w:p>
    <w:p w:rsidR="008E65FA" w:rsidRDefault="008E65FA" w:rsidP="000F2885">
      <w:pPr>
        <w:jc w:val="both"/>
      </w:pPr>
    </w:p>
    <w:p w:rsidR="008E65FA" w:rsidRDefault="008E65FA" w:rsidP="000F2885">
      <w:pPr>
        <w:jc w:val="both"/>
      </w:pPr>
    </w:p>
    <w:p w:rsidR="008E65FA" w:rsidRDefault="008E65FA" w:rsidP="000F2885">
      <w:pPr>
        <w:jc w:val="both"/>
      </w:pPr>
    </w:p>
    <w:p w:rsidR="008E65FA" w:rsidRPr="004905B1" w:rsidRDefault="008E65FA" w:rsidP="000F2885">
      <w:pPr>
        <w:jc w:val="both"/>
      </w:pPr>
    </w:p>
    <w:p w:rsidR="000F2885" w:rsidRPr="004905B1" w:rsidRDefault="000F2885" w:rsidP="000F2885">
      <w:pPr>
        <w:jc w:val="both"/>
      </w:pPr>
    </w:p>
    <w:p w:rsidR="00E20794" w:rsidRDefault="00E20794" w:rsidP="000F2885">
      <w:pPr>
        <w:pStyle w:val="CenterUnderline"/>
      </w:pPr>
    </w:p>
    <w:p w:rsidR="00E20794" w:rsidRDefault="00E20794" w:rsidP="000F2885">
      <w:pPr>
        <w:pStyle w:val="CenterUnderline"/>
      </w:pPr>
    </w:p>
    <w:p w:rsidR="000F2885" w:rsidRPr="004905B1" w:rsidRDefault="000F2885" w:rsidP="000F2885">
      <w:pPr>
        <w:pStyle w:val="CenterUnderline"/>
      </w:pPr>
      <w:r w:rsidRPr="004905B1">
        <w:lastRenderedPageBreak/>
        <w:t>NOTICE OF FURTHER PROCEEDINGS</w:t>
      </w:r>
    </w:p>
    <w:p w:rsidR="00033E02" w:rsidRPr="004905B1" w:rsidRDefault="00033E02" w:rsidP="000F2885">
      <w:pPr>
        <w:pStyle w:val="CenterUnderline"/>
      </w:pPr>
    </w:p>
    <w:p w:rsidR="000F2885" w:rsidRPr="004905B1" w:rsidRDefault="000F2885" w:rsidP="000F2885">
      <w:pPr>
        <w:pStyle w:val="OrderBody"/>
      </w:pPr>
      <w:r w:rsidRPr="004905B1">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F2885" w:rsidRPr="004905B1" w:rsidRDefault="000F2885" w:rsidP="000F2885">
      <w:pPr>
        <w:pStyle w:val="OrderBody"/>
      </w:pPr>
    </w:p>
    <w:p w:rsidR="000F2885" w:rsidRPr="004905B1" w:rsidRDefault="000F2885" w:rsidP="000F2885">
      <w:pPr>
        <w:pStyle w:val="OrderBody"/>
      </w:pPr>
      <w:r w:rsidRPr="004905B1">
        <w:tab/>
        <w:t>Mediation may be available on a case-by-case basis.  If mediation is conducted, it does not affect a substantially interested person's right to a hearing.</w:t>
      </w:r>
    </w:p>
    <w:p w:rsidR="000F2885" w:rsidRPr="004905B1" w:rsidRDefault="000F2885" w:rsidP="000F2885">
      <w:pPr>
        <w:pStyle w:val="OrderBody"/>
      </w:pPr>
    </w:p>
    <w:p w:rsidR="000F2885" w:rsidRPr="004905B1" w:rsidRDefault="000F2885" w:rsidP="000F2885">
      <w:pPr>
        <w:pStyle w:val="OrderBody"/>
      </w:pPr>
      <w:r w:rsidRPr="004905B1">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0504C3">
        <w:rPr>
          <w:u w:val="single"/>
        </w:rPr>
        <w:t>December 12, 2022</w:t>
      </w:r>
      <w:r w:rsidRPr="004905B1">
        <w:t xml:space="preserve">. </w:t>
      </w:r>
    </w:p>
    <w:p w:rsidR="000F2885" w:rsidRPr="004905B1" w:rsidRDefault="000F2885" w:rsidP="000F2885">
      <w:pPr>
        <w:pStyle w:val="OrderBody"/>
      </w:pPr>
    </w:p>
    <w:p w:rsidR="000F2885" w:rsidRPr="004905B1" w:rsidRDefault="000F2885" w:rsidP="000F2885">
      <w:pPr>
        <w:pStyle w:val="OrderBody"/>
      </w:pPr>
      <w:r w:rsidRPr="004905B1">
        <w:tab/>
        <w:t>In the absence of such a petition, this Order shall become final and effective upon the issuance of a Consummating Order.</w:t>
      </w:r>
    </w:p>
    <w:p w:rsidR="000F2885" w:rsidRPr="004905B1" w:rsidRDefault="000F2885" w:rsidP="000F2885">
      <w:pPr>
        <w:pStyle w:val="OrderBody"/>
      </w:pPr>
    </w:p>
    <w:p w:rsidR="000F2885" w:rsidRPr="004905B1" w:rsidRDefault="000F2885" w:rsidP="000F2885">
      <w:pPr>
        <w:pStyle w:val="OrderBody"/>
      </w:pPr>
      <w:r w:rsidRPr="004905B1">
        <w:tab/>
        <w:t>Any objection or protest filed in this docket before the issuance date of this order is considered abandoned unless it satisfies the foregoing conditions and is renewed within the specified protest period.</w:t>
      </w:r>
    </w:p>
    <w:p w:rsidR="000F2885" w:rsidRPr="004905B1" w:rsidRDefault="000F2885" w:rsidP="000F2885">
      <w:pPr>
        <w:pStyle w:val="OrderBody"/>
      </w:pPr>
    </w:p>
    <w:p w:rsidR="000F2885" w:rsidRPr="004905B1" w:rsidRDefault="000F2885" w:rsidP="000F2885">
      <w:pPr>
        <w:pStyle w:val="OrderBody"/>
      </w:pPr>
    </w:p>
    <w:p w:rsidR="000F2885" w:rsidRDefault="000F2885" w:rsidP="000F2885">
      <w:pPr>
        <w:pStyle w:val="OrderBody"/>
        <w:sectPr w:rsidR="000F2885">
          <w:headerReference w:type="default" r:id="rId7"/>
          <w:footerReference w:type="first" r:id="rId8"/>
          <w:pgSz w:w="12240" w:h="15840" w:code="1"/>
          <w:pgMar w:top="1440" w:right="1440" w:bottom="1440" w:left="1440" w:header="720" w:footer="720" w:gutter="0"/>
          <w:cols w:space="720"/>
          <w:titlePg/>
          <w:docGrid w:linePitch="360"/>
        </w:sectPr>
      </w:pPr>
    </w:p>
    <w:p w:rsidR="000F2885" w:rsidRPr="007456D7" w:rsidRDefault="0074454B" w:rsidP="000F2885">
      <w:pPr>
        <w:keepNext/>
        <w:spacing w:before="480"/>
        <w:jc w:val="center"/>
        <w:rPr>
          <w:rFonts w:ascii="Arial" w:hAnsi="Arial"/>
          <w:b/>
        </w:rPr>
      </w:pPr>
      <w:r>
        <w:rPr>
          <w:rFonts w:ascii="Arial" w:hAnsi="Arial"/>
          <w:b/>
        </w:rPr>
        <w:lastRenderedPageBreak/>
        <w:t xml:space="preserve">Table </w:t>
      </w:r>
      <w:r w:rsidR="001F48D3">
        <w:rPr>
          <w:rFonts w:ascii="Arial" w:hAnsi="Arial"/>
          <w:b/>
        </w:rPr>
        <w:t>1</w:t>
      </w:r>
    </w:p>
    <w:p w:rsidR="000F2885" w:rsidRPr="007456D7" w:rsidRDefault="000F2885" w:rsidP="000F2885">
      <w:pPr>
        <w:keepNext/>
        <w:jc w:val="center"/>
        <w:rPr>
          <w:rFonts w:ascii="Arial" w:hAnsi="Arial"/>
          <w:b/>
        </w:rPr>
      </w:pPr>
      <w:r w:rsidRPr="007456D7">
        <w:rPr>
          <w:rFonts w:ascii="Arial" w:hAnsi="Arial"/>
          <w:b/>
        </w:rPr>
        <w:t>Florida City Gas’s SAFE Program Progress</w:t>
      </w:r>
    </w:p>
    <w:tbl>
      <w:tblPr>
        <w:tblStyle w:val="TableGrid"/>
        <w:tblW w:w="0" w:type="auto"/>
        <w:tblLook w:val="04A0" w:firstRow="1" w:lastRow="0" w:firstColumn="1" w:lastColumn="0" w:noHBand="0" w:noVBand="1"/>
      </w:tblPr>
      <w:tblGrid>
        <w:gridCol w:w="1915"/>
        <w:gridCol w:w="1915"/>
        <w:gridCol w:w="1915"/>
        <w:gridCol w:w="1915"/>
        <w:gridCol w:w="1916"/>
      </w:tblGrid>
      <w:tr w:rsidR="000F2885" w:rsidRPr="007456D7" w:rsidTr="00BD4019">
        <w:tc>
          <w:tcPr>
            <w:tcW w:w="1915" w:type="dxa"/>
            <w:shd w:val="clear" w:color="auto" w:fill="BFBFBF" w:themeFill="background1" w:themeFillShade="BF"/>
          </w:tcPr>
          <w:p w:rsidR="000F2885" w:rsidRPr="007456D7" w:rsidRDefault="000F2885" w:rsidP="00BD4019">
            <w:pPr>
              <w:rPr>
                <w:b/>
              </w:rPr>
            </w:pPr>
          </w:p>
        </w:tc>
        <w:tc>
          <w:tcPr>
            <w:tcW w:w="3830" w:type="dxa"/>
            <w:gridSpan w:val="2"/>
            <w:shd w:val="clear" w:color="auto" w:fill="BFBFBF" w:themeFill="background1" w:themeFillShade="BF"/>
            <w:vAlign w:val="center"/>
          </w:tcPr>
          <w:p w:rsidR="000F2885" w:rsidRPr="007456D7" w:rsidRDefault="000F2885" w:rsidP="00BD4019">
            <w:pPr>
              <w:jc w:val="center"/>
              <w:rPr>
                <w:b/>
              </w:rPr>
            </w:pPr>
            <w:r w:rsidRPr="007456D7">
              <w:rPr>
                <w:b/>
              </w:rPr>
              <w:t>Main Replacements</w:t>
            </w:r>
          </w:p>
        </w:tc>
        <w:tc>
          <w:tcPr>
            <w:tcW w:w="3831" w:type="dxa"/>
            <w:gridSpan w:val="2"/>
            <w:shd w:val="clear" w:color="auto" w:fill="BFBFBF" w:themeFill="background1" w:themeFillShade="BF"/>
            <w:vAlign w:val="center"/>
          </w:tcPr>
          <w:p w:rsidR="000F2885" w:rsidRPr="007456D7" w:rsidRDefault="000F2885" w:rsidP="00BD4019">
            <w:pPr>
              <w:jc w:val="center"/>
              <w:rPr>
                <w:b/>
              </w:rPr>
            </w:pPr>
            <w:r w:rsidRPr="007456D7">
              <w:rPr>
                <w:b/>
              </w:rPr>
              <w:t>Service Replacements</w:t>
            </w:r>
          </w:p>
        </w:tc>
      </w:tr>
      <w:tr w:rsidR="000F2885" w:rsidRPr="007456D7" w:rsidTr="00BD4019">
        <w:trPr>
          <w:trHeight w:val="593"/>
        </w:trPr>
        <w:tc>
          <w:tcPr>
            <w:tcW w:w="1915" w:type="dxa"/>
            <w:shd w:val="clear" w:color="auto" w:fill="BFBFBF" w:themeFill="background1" w:themeFillShade="BF"/>
            <w:vAlign w:val="center"/>
          </w:tcPr>
          <w:p w:rsidR="000F2885" w:rsidRPr="007456D7" w:rsidRDefault="000F2885" w:rsidP="00BD4019">
            <w:pPr>
              <w:jc w:val="center"/>
              <w:rPr>
                <w:b/>
              </w:rPr>
            </w:pPr>
            <w:r w:rsidRPr="007456D7">
              <w:rPr>
                <w:b/>
              </w:rPr>
              <w:t>Year*</w:t>
            </w:r>
          </w:p>
        </w:tc>
        <w:tc>
          <w:tcPr>
            <w:tcW w:w="1915" w:type="dxa"/>
            <w:shd w:val="clear" w:color="auto" w:fill="BFBFBF" w:themeFill="background1" w:themeFillShade="BF"/>
            <w:vAlign w:val="center"/>
          </w:tcPr>
          <w:p w:rsidR="000F2885" w:rsidRPr="007456D7" w:rsidRDefault="000F2885" w:rsidP="00BD4019">
            <w:pPr>
              <w:jc w:val="center"/>
              <w:rPr>
                <w:b/>
              </w:rPr>
            </w:pPr>
            <w:r w:rsidRPr="007456D7">
              <w:rPr>
                <w:b/>
              </w:rPr>
              <w:t>Replaced Main (miles)</w:t>
            </w:r>
          </w:p>
        </w:tc>
        <w:tc>
          <w:tcPr>
            <w:tcW w:w="1915" w:type="dxa"/>
            <w:shd w:val="clear" w:color="auto" w:fill="BFBFBF" w:themeFill="background1" w:themeFillShade="BF"/>
            <w:vAlign w:val="center"/>
          </w:tcPr>
          <w:p w:rsidR="000F2885" w:rsidRPr="007456D7" w:rsidRDefault="000F2885" w:rsidP="00BD4019">
            <w:pPr>
              <w:jc w:val="center"/>
              <w:rPr>
                <w:b/>
              </w:rPr>
            </w:pPr>
            <w:r w:rsidRPr="007456D7">
              <w:rPr>
                <w:b/>
              </w:rPr>
              <w:t>Total Miles Remaining</w:t>
            </w:r>
          </w:p>
        </w:tc>
        <w:tc>
          <w:tcPr>
            <w:tcW w:w="1915" w:type="dxa"/>
            <w:shd w:val="clear" w:color="auto" w:fill="BFBFBF" w:themeFill="background1" w:themeFillShade="BF"/>
            <w:vAlign w:val="center"/>
          </w:tcPr>
          <w:p w:rsidR="000F2885" w:rsidRPr="007456D7" w:rsidRDefault="000F2885" w:rsidP="00BD4019">
            <w:pPr>
              <w:jc w:val="center"/>
              <w:rPr>
                <w:b/>
              </w:rPr>
            </w:pPr>
            <w:r w:rsidRPr="007456D7">
              <w:rPr>
                <w:b/>
              </w:rPr>
              <w:t>Replaced Services (number)</w:t>
            </w:r>
          </w:p>
        </w:tc>
        <w:tc>
          <w:tcPr>
            <w:tcW w:w="1916" w:type="dxa"/>
            <w:shd w:val="clear" w:color="auto" w:fill="BFBFBF" w:themeFill="background1" w:themeFillShade="BF"/>
            <w:vAlign w:val="center"/>
          </w:tcPr>
          <w:p w:rsidR="000F2885" w:rsidRPr="007456D7" w:rsidRDefault="000F2885" w:rsidP="00BD4019">
            <w:pPr>
              <w:jc w:val="center"/>
              <w:rPr>
                <w:b/>
              </w:rPr>
            </w:pPr>
            <w:r w:rsidRPr="007456D7">
              <w:rPr>
                <w:b/>
              </w:rPr>
              <w:t>Total Remaining Services</w:t>
            </w:r>
          </w:p>
        </w:tc>
      </w:tr>
      <w:tr w:rsidR="000F2885" w:rsidRPr="007456D7" w:rsidTr="00BD4019">
        <w:trPr>
          <w:trHeight w:val="692"/>
        </w:trPr>
        <w:tc>
          <w:tcPr>
            <w:tcW w:w="1915" w:type="dxa"/>
            <w:vAlign w:val="center"/>
          </w:tcPr>
          <w:p w:rsidR="000F2885" w:rsidRPr="007456D7" w:rsidRDefault="000F2885" w:rsidP="00BD4019">
            <w:pPr>
              <w:jc w:val="center"/>
            </w:pPr>
            <w:r w:rsidRPr="007456D7">
              <w:t>2014</w:t>
            </w:r>
          </w:p>
        </w:tc>
        <w:tc>
          <w:tcPr>
            <w:tcW w:w="1915" w:type="dxa"/>
            <w:vAlign w:val="center"/>
          </w:tcPr>
          <w:p w:rsidR="000F2885" w:rsidRPr="007456D7" w:rsidRDefault="000F2885" w:rsidP="00BD4019">
            <w:pPr>
              <w:jc w:val="center"/>
            </w:pPr>
            <w:r w:rsidRPr="007456D7">
              <w:t>0.0</w:t>
            </w:r>
          </w:p>
        </w:tc>
        <w:tc>
          <w:tcPr>
            <w:tcW w:w="1915" w:type="dxa"/>
            <w:vAlign w:val="center"/>
          </w:tcPr>
          <w:p w:rsidR="000F2885" w:rsidRPr="007456D7" w:rsidRDefault="000F2885" w:rsidP="00BD4019">
            <w:pPr>
              <w:jc w:val="center"/>
            </w:pPr>
            <w:r w:rsidRPr="007456D7">
              <w:t>254.3</w:t>
            </w:r>
          </w:p>
        </w:tc>
        <w:tc>
          <w:tcPr>
            <w:tcW w:w="1915" w:type="dxa"/>
            <w:vAlign w:val="center"/>
          </w:tcPr>
          <w:p w:rsidR="000F2885" w:rsidRPr="007456D7" w:rsidRDefault="000F2885" w:rsidP="00BD4019">
            <w:pPr>
              <w:jc w:val="center"/>
            </w:pPr>
            <w:r w:rsidRPr="007456D7">
              <w:t>0</w:t>
            </w:r>
          </w:p>
        </w:tc>
        <w:tc>
          <w:tcPr>
            <w:tcW w:w="1916" w:type="dxa"/>
            <w:vAlign w:val="center"/>
          </w:tcPr>
          <w:p w:rsidR="000F2885" w:rsidRPr="007456D7" w:rsidRDefault="000F2885" w:rsidP="00BD4019">
            <w:pPr>
              <w:jc w:val="center"/>
            </w:pPr>
            <w:r w:rsidRPr="007456D7">
              <w:t>11</w:t>
            </w:r>
            <w:r>
              <w:t>,</w:t>
            </w:r>
            <w:r w:rsidRPr="007456D7">
              <w:t>443</w:t>
            </w:r>
          </w:p>
        </w:tc>
      </w:tr>
      <w:tr w:rsidR="000F2885" w:rsidRPr="007456D7" w:rsidTr="00BD4019">
        <w:trPr>
          <w:trHeight w:val="764"/>
        </w:trPr>
        <w:tc>
          <w:tcPr>
            <w:tcW w:w="1915" w:type="dxa"/>
            <w:vAlign w:val="center"/>
          </w:tcPr>
          <w:p w:rsidR="000F2885" w:rsidRPr="007456D7" w:rsidRDefault="000F2885" w:rsidP="00BD4019">
            <w:pPr>
              <w:jc w:val="center"/>
            </w:pPr>
            <w:r w:rsidRPr="007456D7">
              <w:t>2015</w:t>
            </w:r>
          </w:p>
        </w:tc>
        <w:tc>
          <w:tcPr>
            <w:tcW w:w="1915" w:type="dxa"/>
            <w:vAlign w:val="center"/>
          </w:tcPr>
          <w:p w:rsidR="000F2885" w:rsidRPr="007456D7" w:rsidRDefault="000F2885" w:rsidP="00BD4019">
            <w:pPr>
              <w:jc w:val="center"/>
            </w:pPr>
            <w:r w:rsidRPr="007456D7">
              <w:t>0.0</w:t>
            </w:r>
          </w:p>
        </w:tc>
        <w:tc>
          <w:tcPr>
            <w:tcW w:w="1915" w:type="dxa"/>
            <w:vAlign w:val="center"/>
          </w:tcPr>
          <w:p w:rsidR="000F2885" w:rsidRPr="007456D7" w:rsidRDefault="000F2885" w:rsidP="00BD4019">
            <w:pPr>
              <w:jc w:val="center"/>
            </w:pPr>
            <w:r w:rsidRPr="007456D7">
              <w:t>254.3</w:t>
            </w:r>
          </w:p>
        </w:tc>
        <w:tc>
          <w:tcPr>
            <w:tcW w:w="1915" w:type="dxa"/>
            <w:vAlign w:val="center"/>
          </w:tcPr>
          <w:p w:rsidR="000F2885" w:rsidRPr="007456D7" w:rsidRDefault="000F2885" w:rsidP="00BD4019">
            <w:pPr>
              <w:jc w:val="center"/>
            </w:pPr>
            <w:r w:rsidRPr="007456D7">
              <w:t>49</w:t>
            </w:r>
          </w:p>
        </w:tc>
        <w:tc>
          <w:tcPr>
            <w:tcW w:w="1916" w:type="dxa"/>
            <w:vAlign w:val="center"/>
          </w:tcPr>
          <w:p w:rsidR="000F2885" w:rsidRPr="007456D7" w:rsidRDefault="000F2885" w:rsidP="00BD4019">
            <w:pPr>
              <w:jc w:val="center"/>
            </w:pPr>
            <w:r w:rsidRPr="007456D7">
              <w:t>11</w:t>
            </w:r>
            <w:r>
              <w:t>,</w:t>
            </w:r>
            <w:r w:rsidRPr="007456D7">
              <w:t>394</w:t>
            </w:r>
          </w:p>
        </w:tc>
      </w:tr>
      <w:tr w:rsidR="000F2885" w:rsidRPr="007456D7" w:rsidTr="00BD4019">
        <w:trPr>
          <w:trHeight w:val="737"/>
        </w:trPr>
        <w:tc>
          <w:tcPr>
            <w:tcW w:w="1915" w:type="dxa"/>
            <w:vAlign w:val="center"/>
          </w:tcPr>
          <w:p w:rsidR="000F2885" w:rsidRPr="007456D7" w:rsidRDefault="000F2885" w:rsidP="00BD4019">
            <w:pPr>
              <w:jc w:val="center"/>
            </w:pPr>
            <w:r w:rsidRPr="007456D7">
              <w:t>2016</w:t>
            </w:r>
          </w:p>
        </w:tc>
        <w:tc>
          <w:tcPr>
            <w:tcW w:w="1915" w:type="dxa"/>
            <w:vAlign w:val="center"/>
          </w:tcPr>
          <w:p w:rsidR="000F2885" w:rsidRPr="007456D7" w:rsidRDefault="000F2885" w:rsidP="00BD4019">
            <w:pPr>
              <w:jc w:val="center"/>
            </w:pPr>
            <w:r w:rsidRPr="007456D7">
              <w:t>17.1</w:t>
            </w:r>
          </w:p>
        </w:tc>
        <w:tc>
          <w:tcPr>
            <w:tcW w:w="1915" w:type="dxa"/>
            <w:vAlign w:val="center"/>
          </w:tcPr>
          <w:p w:rsidR="000F2885" w:rsidRPr="007456D7" w:rsidRDefault="000F2885" w:rsidP="00BD4019">
            <w:pPr>
              <w:jc w:val="center"/>
            </w:pPr>
            <w:r w:rsidRPr="007456D7">
              <w:t>237.2</w:t>
            </w:r>
          </w:p>
        </w:tc>
        <w:tc>
          <w:tcPr>
            <w:tcW w:w="1915" w:type="dxa"/>
            <w:vAlign w:val="center"/>
          </w:tcPr>
          <w:p w:rsidR="000F2885" w:rsidRPr="007456D7" w:rsidRDefault="000F2885" w:rsidP="00BD4019">
            <w:pPr>
              <w:jc w:val="center"/>
            </w:pPr>
            <w:r w:rsidRPr="007456D7">
              <w:t>1</w:t>
            </w:r>
            <w:r>
              <w:t>,</w:t>
            </w:r>
            <w:r w:rsidRPr="007456D7">
              <w:t>433</w:t>
            </w:r>
          </w:p>
        </w:tc>
        <w:tc>
          <w:tcPr>
            <w:tcW w:w="1916" w:type="dxa"/>
            <w:vAlign w:val="center"/>
          </w:tcPr>
          <w:p w:rsidR="000F2885" w:rsidRPr="007456D7" w:rsidRDefault="000F2885" w:rsidP="00BD4019">
            <w:pPr>
              <w:jc w:val="center"/>
            </w:pPr>
            <w:r w:rsidRPr="007456D7">
              <w:t>9</w:t>
            </w:r>
            <w:r>
              <w:t>,</w:t>
            </w:r>
            <w:r w:rsidRPr="007456D7">
              <w:t>961</w:t>
            </w:r>
          </w:p>
        </w:tc>
      </w:tr>
      <w:tr w:rsidR="000F2885" w:rsidRPr="007456D7" w:rsidTr="00BD4019">
        <w:trPr>
          <w:trHeight w:val="701"/>
        </w:trPr>
        <w:tc>
          <w:tcPr>
            <w:tcW w:w="1915" w:type="dxa"/>
            <w:vAlign w:val="center"/>
          </w:tcPr>
          <w:p w:rsidR="000F2885" w:rsidRPr="007456D7" w:rsidRDefault="000F2885" w:rsidP="00BD4019">
            <w:pPr>
              <w:jc w:val="center"/>
            </w:pPr>
            <w:r w:rsidRPr="007456D7">
              <w:t>2017</w:t>
            </w:r>
          </w:p>
        </w:tc>
        <w:tc>
          <w:tcPr>
            <w:tcW w:w="1915" w:type="dxa"/>
            <w:vAlign w:val="center"/>
          </w:tcPr>
          <w:p w:rsidR="000F2885" w:rsidRPr="007456D7" w:rsidRDefault="000F2885" w:rsidP="00BD4019">
            <w:pPr>
              <w:jc w:val="center"/>
            </w:pPr>
            <w:r w:rsidRPr="007456D7">
              <w:t>37.5</w:t>
            </w:r>
          </w:p>
        </w:tc>
        <w:tc>
          <w:tcPr>
            <w:tcW w:w="1915" w:type="dxa"/>
            <w:vAlign w:val="center"/>
          </w:tcPr>
          <w:p w:rsidR="000F2885" w:rsidRPr="007456D7" w:rsidRDefault="000F2885" w:rsidP="00BD4019">
            <w:pPr>
              <w:jc w:val="center"/>
            </w:pPr>
            <w:r w:rsidRPr="007456D7">
              <w:t>199.7</w:t>
            </w:r>
          </w:p>
        </w:tc>
        <w:tc>
          <w:tcPr>
            <w:tcW w:w="1915" w:type="dxa"/>
            <w:vAlign w:val="center"/>
          </w:tcPr>
          <w:p w:rsidR="000F2885" w:rsidRPr="007456D7" w:rsidRDefault="000F2885" w:rsidP="00BD4019">
            <w:pPr>
              <w:jc w:val="center"/>
            </w:pPr>
            <w:r w:rsidRPr="007456D7">
              <w:t>1</w:t>
            </w:r>
            <w:r>
              <w:t>,</w:t>
            </w:r>
            <w:r w:rsidRPr="007456D7">
              <w:t>551</w:t>
            </w:r>
          </w:p>
        </w:tc>
        <w:tc>
          <w:tcPr>
            <w:tcW w:w="1916" w:type="dxa"/>
            <w:vAlign w:val="center"/>
          </w:tcPr>
          <w:p w:rsidR="000F2885" w:rsidRPr="007456D7" w:rsidRDefault="000F2885" w:rsidP="00BD4019">
            <w:pPr>
              <w:jc w:val="center"/>
            </w:pPr>
            <w:r w:rsidRPr="007456D7">
              <w:t>8</w:t>
            </w:r>
            <w:r>
              <w:t>,</w:t>
            </w:r>
            <w:r w:rsidRPr="007456D7">
              <w:t>410</w:t>
            </w:r>
          </w:p>
        </w:tc>
      </w:tr>
      <w:tr w:rsidR="000F2885" w:rsidRPr="007456D7" w:rsidTr="00BD4019">
        <w:trPr>
          <w:trHeight w:val="683"/>
        </w:trPr>
        <w:tc>
          <w:tcPr>
            <w:tcW w:w="1915" w:type="dxa"/>
            <w:vAlign w:val="center"/>
          </w:tcPr>
          <w:p w:rsidR="000F2885" w:rsidRPr="007456D7" w:rsidRDefault="000F2885" w:rsidP="00BD4019">
            <w:pPr>
              <w:jc w:val="center"/>
            </w:pPr>
            <w:r w:rsidRPr="007456D7">
              <w:t>2018</w:t>
            </w:r>
          </w:p>
        </w:tc>
        <w:tc>
          <w:tcPr>
            <w:tcW w:w="1915" w:type="dxa"/>
            <w:vAlign w:val="center"/>
          </w:tcPr>
          <w:p w:rsidR="000F2885" w:rsidRPr="007456D7" w:rsidRDefault="000F2885" w:rsidP="00BD4019">
            <w:pPr>
              <w:jc w:val="center"/>
            </w:pPr>
            <w:r w:rsidRPr="007456D7">
              <w:t>27.6</w:t>
            </w:r>
          </w:p>
        </w:tc>
        <w:tc>
          <w:tcPr>
            <w:tcW w:w="1915" w:type="dxa"/>
            <w:vAlign w:val="center"/>
          </w:tcPr>
          <w:p w:rsidR="000F2885" w:rsidRPr="007456D7" w:rsidRDefault="000F2885" w:rsidP="00BD4019">
            <w:pPr>
              <w:jc w:val="center"/>
            </w:pPr>
            <w:r w:rsidRPr="007456D7">
              <w:t>172.1</w:t>
            </w:r>
          </w:p>
        </w:tc>
        <w:tc>
          <w:tcPr>
            <w:tcW w:w="1915" w:type="dxa"/>
            <w:vAlign w:val="center"/>
          </w:tcPr>
          <w:p w:rsidR="000F2885" w:rsidRPr="007456D7" w:rsidRDefault="000F2885" w:rsidP="00BD4019">
            <w:pPr>
              <w:jc w:val="center"/>
            </w:pPr>
            <w:r w:rsidRPr="007456D7">
              <w:t>1</w:t>
            </w:r>
            <w:r>
              <w:t>,</w:t>
            </w:r>
            <w:r w:rsidRPr="007456D7">
              <w:t>634</w:t>
            </w:r>
          </w:p>
        </w:tc>
        <w:tc>
          <w:tcPr>
            <w:tcW w:w="1916" w:type="dxa"/>
            <w:vAlign w:val="center"/>
          </w:tcPr>
          <w:p w:rsidR="000F2885" w:rsidRPr="007456D7" w:rsidRDefault="000F2885" w:rsidP="00BD4019">
            <w:pPr>
              <w:jc w:val="center"/>
            </w:pPr>
            <w:r w:rsidRPr="007456D7">
              <w:t>6</w:t>
            </w:r>
            <w:r>
              <w:t>,</w:t>
            </w:r>
            <w:r w:rsidRPr="007456D7">
              <w:t>776</w:t>
            </w:r>
          </w:p>
        </w:tc>
      </w:tr>
      <w:tr w:rsidR="000F2885" w:rsidRPr="007456D7" w:rsidTr="00BD4019">
        <w:trPr>
          <w:trHeight w:val="719"/>
        </w:trPr>
        <w:tc>
          <w:tcPr>
            <w:tcW w:w="1915" w:type="dxa"/>
            <w:vAlign w:val="center"/>
          </w:tcPr>
          <w:p w:rsidR="000F2885" w:rsidRPr="007456D7" w:rsidRDefault="000F2885" w:rsidP="00BD4019">
            <w:pPr>
              <w:jc w:val="center"/>
            </w:pPr>
            <w:r w:rsidRPr="007456D7">
              <w:t>2019</w:t>
            </w:r>
          </w:p>
        </w:tc>
        <w:tc>
          <w:tcPr>
            <w:tcW w:w="1915" w:type="dxa"/>
            <w:vAlign w:val="center"/>
          </w:tcPr>
          <w:p w:rsidR="000F2885" w:rsidRPr="007456D7" w:rsidRDefault="000F2885" w:rsidP="00BD4019">
            <w:pPr>
              <w:jc w:val="center"/>
            </w:pPr>
            <w:r w:rsidRPr="007456D7">
              <w:t>37.8</w:t>
            </w:r>
          </w:p>
        </w:tc>
        <w:tc>
          <w:tcPr>
            <w:tcW w:w="1915" w:type="dxa"/>
            <w:vAlign w:val="center"/>
          </w:tcPr>
          <w:p w:rsidR="000F2885" w:rsidRPr="007456D7" w:rsidRDefault="000F2885" w:rsidP="00BD4019">
            <w:pPr>
              <w:jc w:val="center"/>
            </w:pPr>
            <w:r w:rsidRPr="007456D7">
              <w:t>134.3</w:t>
            </w:r>
          </w:p>
        </w:tc>
        <w:tc>
          <w:tcPr>
            <w:tcW w:w="1915" w:type="dxa"/>
            <w:vAlign w:val="center"/>
          </w:tcPr>
          <w:p w:rsidR="000F2885" w:rsidRPr="007456D7" w:rsidRDefault="000F2885" w:rsidP="00BD4019">
            <w:pPr>
              <w:jc w:val="center"/>
            </w:pPr>
            <w:r w:rsidRPr="007456D7">
              <w:t>1</w:t>
            </w:r>
            <w:r>
              <w:t>,</w:t>
            </w:r>
            <w:r w:rsidRPr="007456D7">
              <w:t>183</w:t>
            </w:r>
          </w:p>
        </w:tc>
        <w:tc>
          <w:tcPr>
            <w:tcW w:w="1916" w:type="dxa"/>
            <w:vAlign w:val="center"/>
          </w:tcPr>
          <w:p w:rsidR="000F2885" w:rsidRPr="007456D7" w:rsidRDefault="000F2885" w:rsidP="00BD4019">
            <w:pPr>
              <w:jc w:val="center"/>
            </w:pPr>
            <w:r w:rsidRPr="007456D7">
              <w:t>5</w:t>
            </w:r>
            <w:r>
              <w:t>,</w:t>
            </w:r>
            <w:r w:rsidRPr="007456D7">
              <w:t>593</w:t>
            </w:r>
          </w:p>
        </w:tc>
      </w:tr>
      <w:tr w:rsidR="000F2885" w:rsidRPr="007456D7" w:rsidTr="00BD4019">
        <w:trPr>
          <w:trHeight w:val="638"/>
        </w:trPr>
        <w:tc>
          <w:tcPr>
            <w:tcW w:w="1915" w:type="dxa"/>
            <w:vAlign w:val="center"/>
          </w:tcPr>
          <w:p w:rsidR="000F2885" w:rsidRPr="007456D7" w:rsidRDefault="000F2885" w:rsidP="00BD4019">
            <w:pPr>
              <w:jc w:val="center"/>
            </w:pPr>
            <w:r w:rsidRPr="007456D7">
              <w:t>2020</w:t>
            </w:r>
          </w:p>
        </w:tc>
        <w:tc>
          <w:tcPr>
            <w:tcW w:w="1915" w:type="dxa"/>
            <w:vAlign w:val="center"/>
          </w:tcPr>
          <w:p w:rsidR="000F2885" w:rsidRPr="007456D7" w:rsidRDefault="000F2885" w:rsidP="00BD4019">
            <w:pPr>
              <w:jc w:val="center"/>
            </w:pPr>
            <w:r w:rsidRPr="007456D7">
              <w:t>25.5</w:t>
            </w:r>
          </w:p>
        </w:tc>
        <w:tc>
          <w:tcPr>
            <w:tcW w:w="1915" w:type="dxa"/>
            <w:vAlign w:val="center"/>
          </w:tcPr>
          <w:p w:rsidR="000F2885" w:rsidRPr="007456D7" w:rsidRDefault="000F2885" w:rsidP="00BD4019">
            <w:pPr>
              <w:jc w:val="center"/>
            </w:pPr>
            <w:r w:rsidRPr="007456D7">
              <w:t>108.8</w:t>
            </w:r>
          </w:p>
        </w:tc>
        <w:tc>
          <w:tcPr>
            <w:tcW w:w="1915" w:type="dxa"/>
            <w:vAlign w:val="center"/>
          </w:tcPr>
          <w:p w:rsidR="000F2885" w:rsidRPr="007456D7" w:rsidRDefault="000F2885" w:rsidP="00BD4019">
            <w:pPr>
              <w:jc w:val="center"/>
            </w:pPr>
            <w:r w:rsidRPr="007456D7">
              <w:t>1</w:t>
            </w:r>
            <w:r>
              <w:t>,</w:t>
            </w:r>
            <w:r w:rsidRPr="007456D7">
              <w:t>186</w:t>
            </w:r>
          </w:p>
        </w:tc>
        <w:tc>
          <w:tcPr>
            <w:tcW w:w="1916" w:type="dxa"/>
            <w:vAlign w:val="center"/>
          </w:tcPr>
          <w:p w:rsidR="000F2885" w:rsidRPr="007456D7" w:rsidRDefault="000F2885" w:rsidP="00BD4019">
            <w:pPr>
              <w:jc w:val="center"/>
            </w:pPr>
            <w:r w:rsidRPr="007456D7">
              <w:t>4</w:t>
            </w:r>
            <w:r>
              <w:t>,</w:t>
            </w:r>
            <w:r w:rsidRPr="007456D7">
              <w:t>407</w:t>
            </w:r>
          </w:p>
        </w:tc>
      </w:tr>
      <w:tr w:rsidR="000F2885" w:rsidRPr="007456D7" w:rsidTr="00BD4019">
        <w:trPr>
          <w:trHeight w:val="701"/>
        </w:trPr>
        <w:tc>
          <w:tcPr>
            <w:tcW w:w="1915" w:type="dxa"/>
            <w:vAlign w:val="center"/>
          </w:tcPr>
          <w:p w:rsidR="000F2885" w:rsidRPr="007456D7" w:rsidRDefault="000F2885" w:rsidP="00BD4019">
            <w:pPr>
              <w:jc w:val="center"/>
            </w:pPr>
            <w:r w:rsidRPr="007456D7">
              <w:t>2021</w:t>
            </w:r>
          </w:p>
        </w:tc>
        <w:tc>
          <w:tcPr>
            <w:tcW w:w="1915" w:type="dxa"/>
            <w:vAlign w:val="center"/>
          </w:tcPr>
          <w:p w:rsidR="000F2885" w:rsidRPr="007456D7" w:rsidRDefault="000F2885" w:rsidP="00BD4019">
            <w:pPr>
              <w:jc w:val="center"/>
            </w:pPr>
            <w:r w:rsidRPr="007456D7">
              <w:t>26.0</w:t>
            </w:r>
          </w:p>
        </w:tc>
        <w:tc>
          <w:tcPr>
            <w:tcW w:w="1915" w:type="dxa"/>
            <w:vAlign w:val="center"/>
          </w:tcPr>
          <w:p w:rsidR="000F2885" w:rsidRPr="007456D7" w:rsidRDefault="000F2885" w:rsidP="00BD4019">
            <w:pPr>
              <w:jc w:val="center"/>
            </w:pPr>
            <w:r w:rsidRPr="007456D7">
              <w:t>82.8</w:t>
            </w:r>
          </w:p>
        </w:tc>
        <w:tc>
          <w:tcPr>
            <w:tcW w:w="1915" w:type="dxa"/>
            <w:vAlign w:val="center"/>
          </w:tcPr>
          <w:p w:rsidR="000F2885" w:rsidRPr="007456D7" w:rsidRDefault="000F2885" w:rsidP="00BD4019">
            <w:pPr>
              <w:jc w:val="center"/>
            </w:pPr>
            <w:r w:rsidRPr="007456D7">
              <w:t>1</w:t>
            </w:r>
            <w:r>
              <w:t>,</w:t>
            </w:r>
            <w:r w:rsidRPr="007456D7">
              <w:t>105</w:t>
            </w:r>
          </w:p>
        </w:tc>
        <w:tc>
          <w:tcPr>
            <w:tcW w:w="1916" w:type="dxa"/>
            <w:vAlign w:val="center"/>
          </w:tcPr>
          <w:p w:rsidR="000F2885" w:rsidRPr="007456D7" w:rsidRDefault="000F2885" w:rsidP="00BD4019">
            <w:pPr>
              <w:jc w:val="center"/>
            </w:pPr>
            <w:r w:rsidRPr="007456D7">
              <w:t>3</w:t>
            </w:r>
            <w:r>
              <w:t>,</w:t>
            </w:r>
            <w:r w:rsidRPr="007456D7">
              <w:t>302</w:t>
            </w:r>
          </w:p>
        </w:tc>
      </w:tr>
      <w:tr w:rsidR="000F2885" w:rsidRPr="007456D7" w:rsidTr="00BD4019">
        <w:trPr>
          <w:trHeight w:val="737"/>
        </w:trPr>
        <w:tc>
          <w:tcPr>
            <w:tcW w:w="1915" w:type="dxa"/>
            <w:vAlign w:val="center"/>
          </w:tcPr>
          <w:p w:rsidR="000F2885" w:rsidRPr="007456D7" w:rsidRDefault="000F2885" w:rsidP="00BD4019">
            <w:pPr>
              <w:jc w:val="center"/>
            </w:pPr>
            <w:r w:rsidRPr="007456D7">
              <w:t>2022</w:t>
            </w:r>
          </w:p>
        </w:tc>
        <w:tc>
          <w:tcPr>
            <w:tcW w:w="1915" w:type="dxa"/>
            <w:vAlign w:val="center"/>
          </w:tcPr>
          <w:p w:rsidR="000F2885" w:rsidRPr="007456D7" w:rsidRDefault="000F2885" w:rsidP="00BD4019">
            <w:pPr>
              <w:jc w:val="center"/>
            </w:pPr>
            <w:r>
              <w:t>36.5</w:t>
            </w:r>
          </w:p>
        </w:tc>
        <w:tc>
          <w:tcPr>
            <w:tcW w:w="1915" w:type="dxa"/>
            <w:vAlign w:val="center"/>
          </w:tcPr>
          <w:p w:rsidR="000F2885" w:rsidRPr="007456D7" w:rsidRDefault="000F2885" w:rsidP="00BD4019">
            <w:pPr>
              <w:jc w:val="center"/>
            </w:pPr>
            <w:r>
              <w:t>46.4</w:t>
            </w:r>
          </w:p>
        </w:tc>
        <w:tc>
          <w:tcPr>
            <w:tcW w:w="1915" w:type="dxa"/>
            <w:vAlign w:val="center"/>
          </w:tcPr>
          <w:p w:rsidR="000F2885" w:rsidRPr="007456D7" w:rsidRDefault="000F2885" w:rsidP="00BD4019">
            <w:pPr>
              <w:jc w:val="center"/>
            </w:pPr>
            <w:r>
              <w:t>1,503</w:t>
            </w:r>
          </w:p>
        </w:tc>
        <w:tc>
          <w:tcPr>
            <w:tcW w:w="1916" w:type="dxa"/>
            <w:vAlign w:val="center"/>
          </w:tcPr>
          <w:p w:rsidR="000F2885" w:rsidRPr="007456D7" w:rsidRDefault="000F2885" w:rsidP="00BD4019">
            <w:pPr>
              <w:jc w:val="center"/>
            </w:pPr>
            <w:r>
              <w:t>1,799</w:t>
            </w:r>
          </w:p>
        </w:tc>
      </w:tr>
      <w:tr w:rsidR="000F2885" w:rsidRPr="007456D7" w:rsidTr="00BD4019">
        <w:trPr>
          <w:trHeight w:val="656"/>
        </w:trPr>
        <w:tc>
          <w:tcPr>
            <w:tcW w:w="1915" w:type="dxa"/>
            <w:vAlign w:val="center"/>
          </w:tcPr>
          <w:p w:rsidR="000F2885" w:rsidRPr="007456D7" w:rsidRDefault="000F2885" w:rsidP="00BD4019">
            <w:pPr>
              <w:jc w:val="center"/>
            </w:pPr>
            <w:r w:rsidRPr="007456D7">
              <w:t>2023</w:t>
            </w:r>
          </w:p>
        </w:tc>
        <w:tc>
          <w:tcPr>
            <w:tcW w:w="1915" w:type="dxa"/>
            <w:vAlign w:val="center"/>
          </w:tcPr>
          <w:p w:rsidR="000F2885" w:rsidRPr="007456D7" w:rsidRDefault="000F2885" w:rsidP="00BD4019">
            <w:pPr>
              <w:jc w:val="center"/>
            </w:pPr>
            <w:r>
              <w:t>12</w:t>
            </w:r>
            <w:r w:rsidRPr="007456D7">
              <w:t>.8</w:t>
            </w:r>
          </w:p>
        </w:tc>
        <w:tc>
          <w:tcPr>
            <w:tcW w:w="1915" w:type="dxa"/>
            <w:vAlign w:val="center"/>
          </w:tcPr>
          <w:p w:rsidR="000F2885" w:rsidRPr="007456D7" w:rsidRDefault="000F2885" w:rsidP="00BD4019">
            <w:pPr>
              <w:jc w:val="center"/>
            </w:pPr>
            <w:r>
              <w:t>33</w:t>
            </w:r>
            <w:r w:rsidRPr="007456D7">
              <w:t>.6</w:t>
            </w:r>
          </w:p>
        </w:tc>
        <w:tc>
          <w:tcPr>
            <w:tcW w:w="1915" w:type="dxa"/>
            <w:vAlign w:val="center"/>
          </w:tcPr>
          <w:p w:rsidR="000F2885" w:rsidRPr="007456D7" w:rsidRDefault="000F2885" w:rsidP="00BD4019">
            <w:pPr>
              <w:jc w:val="center"/>
            </w:pPr>
            <w:r>
              <w:t>671</w:t>
            </w:r>
          </w:p>
        </w:tc>
        <w:tc>
          <w:tcPr>
            <w:tcW w:w="1916" w:type="dxa"/>
            <w:vAlign w:val="center"/>
          </w:tcPr>
          <w:p w:rsidR="000F2885" w:rsidRPr="007456D7" w:rsidRDefault="000F2885" w:rsidP="00BD4019">
            <w:pPr>
              <w:jc w:val="center"/>
            </w:pPr>
            <w:r w:rsidRPr="007456D7">
              <w:t>1</w:t>
            </w:r>
            <w:r>
              <w:t>,128</w:t>
            </w:r>
          </w:p>
        </w:tc>
      </w:tr>
      <w:tr w:rsidR="000F2885" w:rsidRPr="007456D7" w:rsidTr="00BD4019">
        <w:trPr>
          <w:trHeight w:val="620"/>
        </w:trPr>
        <w:tc>
          <w:tcPr>
            <w:tcW w:w="1915" w:type="dxa"/>
            <w:vAlign w:val="center"/>
          </w:tcPr>
          <w:p w:rsidR="000F2885" w:rsidRPr="007456D7" w:rsidRDefault="000F2885" w:rsidP="00BD4019">
            <w:pPr>
              <w:jc w:val="center"/>
            </w:pPr>
            <w:r w:rsidRPr="007456D7">
              <w:t>2024</w:t>
            </w:r>
          </w:p>
        </w:tc>
        <w:tc>
          <w:tcPr>
            <w:tcW w:w="1915" w:type="dxa"/>
            <w:vAlign w:val="center"/>
          </w:tcPr>
          <w:p w:rsidR="000F2885" w:rsidRPr="007456D7" w:rsidRDefault="000F2885" w:rsidP="00BD4019">
            <w:pPr>
              <w:jc w:val="center"/>
            </w:pPr>
            <w:r>
              <w:t>16</w:t>
            </w:r>
            <w:r w:rsidRPr="007456D7">
              <w:t>.8</w:t>
            </w:r>
          </w:p>
        </w:tc>
        <w:tc>
          <w:tcPr>
            <w:tcW w:w="1915" w:type="dxa"/>
            <w:vAlign w:val="center"/>
          </w:tcPr>
          <w:p w:rsidR="000F2885" w:rsidRPr="007456D7" w:rsidRDefault="000F2885" w:rsidP="00BD4019">
            <w:pPr>
              <w:jc w:val="center"/>
            </w:pPr>
            <w:r>
              <w:t>16</w:t>
            </w:r>
            <w:r w:rsidRPr="007456D7">
              <w:t>.8</w:t>
            </w:r>
          </w:p>
        </w:tc>
        <w:tc>
          <w:tcPr>
            <w:tcW w:w="1915" w:type="dxa"/>
            <w:vAlign w:val="center"/>
          </w:tcPr>
          <w:p w:rsidR="000F2885" w:rsidRPr="007456D7" w:rsidRDefault="000F2885" w:rsidP="00BD4019">
            <w:pPr>
              <w:jc w:val="center"/>
            </w:pPr>
            <w:r>
              <w:t>564</w:t>
            </w:r>
          </w:p>
        </w:tc>
        <w:tc>
          <w:tcPr>
            <w:tcW w:w="1916" w:type="dxa"/>
            <w:vAlign w:val="center"/>
          </w:tcPr>
          <w:p w:rsidR="000F2885" w:rsidRPr="007456D7" w:rsidRDefault="000F2885" w:rsidP="00BD4019">
            <w:pPr>
              <w:jc w:val="center"/>
            </w:pPr>
            <w:r>
              <w:t>564</w:t>
            </w:r>
          </w:p>
        </w:tc>
      </w:tr>
      <w:tr w:rsidR="000F2885" w:rsidRPr="007456D7" w:rsidTr="00BD4019">
        <w:trPr>
          <w:trHeight w:val="593"/>
        </w:trPr>
        <w:tc>
          <w:tcPr>
            <w:tcW w:w="1915" w:type="dxa"/>
            <w:vAlign w:val="center"/>
          </w:tcPr>
          <w:p w:rsidR="000F2885" w:rsidRPr="007456D7" w:rsidRDefault="000F2885" w:rsidP="00BD4019">
            <w:pPr>
              <w:jc w:val="center"/>
            </w:pPr>
            <w:r w:rsidRPr="007456D7">
              <w:t>2025</w:t>
            </w:r>
          </w:p>
        </w:tc>
        <w:tc>
          <w:tcPr>
            <w:tcW w:w="1915" w:type="dxa"/>
            <w:vAlign w:val="center"/>
          </w:tcPr>
          <w:p w:rsidR="000F2885" w:rsidRPr="007456D7" w:rsidRDefault="000F2885" w:rsidP="00BD4019">
            <w:pPr>
              <w:jc w:val="center"/>
            </w:pPr>
            <w:r>
              <w:t>16</w:t>
            </w:r>
            <w:r w:rsidRPr="007456D7">
              <w:t>.8</w:t>
            </w:r>
          </w:p>
        </w:tc>
        <w:tc>
          <w:tcPr>
            <w:tcW w:w="1915" w:type="dxa"/>
            <w:vAlign w:val="center"/>
          </w:tcPr>
          <w:p w:rsidR="000F2885" w:rsidRPr="007456D7" w:rsidRDefault="000F2885" w:rsidP="00BD4019">
            <w:pPr>
              <w:jc w:val="center"/>
            </w:pPr>
            <w:r w:rsidRPr="007456D7">
              <w:t>0.0</w:t>
            </w:r>
          </w:p>
        </w:tc>
        <w:tc>
          <w:tcPr>
            <w:tcW w:w="1915" w:type="dxa"/>
            <w:vAlign w:val="center"/>
          </w:tcPr>
          <w:p w:rsidR="000F2885" w:rsidRPr="007456D7" w:rsidRDefault="000F2885" w:rsidP="00BD4019">
            <w:pPr>
              <w:jc w:val="center"/>
            </w:pPr>
            <w:r>
              <w:t>564</w:t>
            </w:r>
          </w:p>
        </w:tc>
        <w:tc>
          <w:tcPr>
            <w:tcW w:w="1916" w:type="dxa"/>
            <w:vAlign w:val="center"/>
          </w:tcPr>
          <w:p w:rsidR="000F2885" w:rsidRPr="007456D7" w:rsidRDefault="000F2885" w:rsidP="00BD4019">
            <w:pPr>
              <w:jc w:val="center"/>
            </w:pPr>
            <w:r w:rsidRPr="007456D7">
              <w:t>0</w:t>
            </w:r>
          </w:p>
        </w:tc>
      </w:tr>
    </w:tbl>
    <w:p w:rsidR="000F2885" w:rsidRDefault="000F2885" w:rsidP="000F2885">
      <w:pPr>
        <w:jc w:val="both"/>
        <w:outlineLvl w:val="0"/>
        <w:rPr>
          <w:bCs/>
          <w:kern w:val="32"/>
          <w:szCs w:val="32"/>
        </w:rPr>
      </w:pPr>
      <w:r>
        <w:rPr>
          <w:bCs/>
          <w:kern w:val="32"/>
          <w:szCs w:val="32"/>
        </w:rPr>
        <w:t>Source: Attachment A to</w:t>
      </w:r>
      <w:r w:rsidRPr="007456D7">
        <w:rPr>
          <w:bCs/>
          <w:kern w:val="32"/>
          <w:szCs w:val="32"/>
        </w:rPr>
        <w:t xml:space="preserve"> </w:t>
      </w:r>
      <w:r>
        <w:rPr>
          <w:bCs/>
          <w:kern w:val="32"/>
          <w:szCs w:val="32"/>
        </w:rPr>
        <w:t>the petition.</w:t>
      </w:r>
    </w:p>
    <w:p w:rsidR="000F2885" w:rsidRDefault="000F2885" w:rsidP="000F2885">
      <w:pPr>
        <w:pStyle w:val="OrderBody"/>
        <w:rPr>
          <w:bCs/>
          <w:kern w:val="32"/>
          <w:szCs w:val="32"/>
        </w:rPr>
      </w:pPr>
      <w:r>
        <w:rPr>
          <w:bCs/>
          <w:kern w:val="32"/>
          <w:szCs w:val="32"/>
        </w:rPr>
        <w:t>*Actuals 2014-July 2022. Projections August 2022</w:t>
      </w:r>
      <w:r w:rsidRPr="007456D7">
        <w:rPr>
          <w:bCs/>
          <w:kern w:val="32"/>
          <w:szCs w:val="32"/>
        </w:rPr>
        <w:t>-2025.</w:t>
      </w:r>
    </w:p>
    <w:p w:rsidR="000F2885" w:rsidRDefault="000F2885" w:rsidP="000F2885">
      <w:pPr>
        <w:pStyle w:val="OrderBody"/>
        <w:sectPr w:rsidR="000F2885">
          <w:headerReference w:type="first" r:id="rId9"/>
          <w:pgSz w:w="12240" w:h="15840" w:code="1"/>
          <w:pgMar w:top="1440" w:right="1440" w:bottom="1440" w:left="1440" w:header="720" w:footer="720" w:gutter="0"/>
          <w:cols w:space="720"/>
          <w:titlePg/>
          <w:docGrid w:linePitch="360"/>
        </w:sectPr>
      </w:pPr>
    </w:p>
    <w:p w:rsidR="000F2885" w:rsidRDefault="000F2885" w:rsidP="000F2885">
      <w:pPr>
        <w:pStyle w:val="OrderBody"/>
      </w:pPr>
      <w:r>
        <w:rPr>
          <w:noProof/>
        </w:rPr>
        <w:lastRenderedPageBreak/>
        <w:drawing>
          <wp:inline distT="0" distB="0" distL="0" distR="0" wp14:anchorId="5D62D8D3" wp14:editId="3424F882">
            <wp:extent cx="5943600" cy="76917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3 tariffs (attachment B)_Page_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0F2885" w:rsidRDefault="000F2885" w:rsidP="000F2885">
      <w:pPr>
        <w:pStyle w:val="OrderBody"/>
        <w:sectPr w:rsidR="000F2885">
          <w:headerReference w:type="first" r:id="rId11"/>
          <w:pgSz w:w="12240" w:h="15840" w:code="1"/>
          <w:pgMar w:top="1440" w:right="1440" w:bottom="1440" w:left="1440" w:header="720" w:footer="720" w:gutter="0"/>
          <w:cols w:space="720"/>
          <w:titlePg/>
          <w:docGrid w:linePitch="360"/>
        </w:sectPr>
      </w:pPr>
    </w:p>
    <w:p w:rsidR="000F2885" w:rsidRPr="000F2885" w:rsidRDefault="000F2885" w:rsidP="000F2885">
      <w:pPr>
        <w:pStyle w:val="OrderBody"/>
      </w:pPr>
      <w:r>
        <w:rPr>
          <w:noProof/>
        </w:rPr>
        <w:lastRenderedPageBreak/>
        <w:drawing>
          <wp:inline distT="0" distB="0" distL="0" distR="0" wp14:anchorId="07CA0F88" wp14:editId="6DC29B36">
            <wp:extent cx="5943600" cy="76917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3 tariffs (attachment B)_Page_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0F2885" w:rsidRPr="000F2885">
      <w:head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E02" w:rsidRDefault="00033E02">
      <w:r>
        <w:separator/>
      </w:r>
    </w:p>
  </w:endnote>
  <w:endnote w:type="continuationSeparator" w:id="0">
    <w:p w:rsidR="00033E02" w:rsidRDefault="00033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E02" w:rsidRDefault="00033E02">
      <w:r>
        <w:separator/>
      </w:r>
    </w:p>
  </w:footnote>
  <w:footnote w:type="continuationSeparator" w:id="0">
    <w:p w:rsidR="00033E02" w:rsidRDefault="00033E02">
      <w:r>
        <w:continuationSeparator/>
      </w:r>
    </w:p>
  </w:footnote>
  <w:footnote w:id="1">
    <w:p w:rsidR="00033E02" w:rsidRPr="004729F7" w:rsidRDefault="00033E02" w:rsidP="00033E02">
      <w:pPr>
        <w:pStyle w:val="FootnoteText"/>
        <w:rPr>
          <w:i/>
        </w:rPr>
      </w:pPr>
      <w:r>
        <w:rPr>
          <w:rStyle w:val="FootnoteReference"/>
        </w:rPr>
        <w:footnoteRef/>
      </w:r>
      <w:r>
        <w:t xml:space="preserve"> Order No. PSC-15-0390-TRF-GU, issued September 15, 2015, in Docket No. 20150116-GU, </w:t>
      </w:r>
      <w:r w:rsidRPr="004729F7">
        <w:rPr>
          <w:i/>
        </w:rPr>
        <w:t xml:space="preserve">In re: Petition for approval of safety, access, and facility enhancement program and associated cost recovery methodology, by Florida City Gas. </w:t>
      </w:r>
    </w:p>
  </w:footnote>
  <w:footnote w:id="2">
    <w:p w:rsidR="00033E02" w:rsidRPr="00E02705" w:rsidRDefault="00033E02" w:rsidP="00033E02">
      <w:pPr>
        <w:pStyle w:val="FootnoteText"/>
        <w:rPr>
          <w:i/>
        </w:rPr>
      </w:pPr>
      <w:r>
        <w:rPr>
          <w:rStyle w:val="FootnoteReference"/>
        </w:rPr>
        <w:footnoteRef/>
      </w:r>
      <w:r>
        <w:t xml:space="preserve"> Order No. PSC-2021-0430-TRF-GU, issued November 19, 2021, in Docket No. 20210149-GU, </w:t>
      </w:r>
      <w:r>
        <w:rPr>
          <w:i/>
        </w:rPr>
        <w:t>In re: Petition for approval of safety, access, and facility enhancement program true-up and 2022 cost recovery factors, by Florida City Gas.</w:t>
      </w:r>
    </w:p>
  </w:footnote>
  <w:footnote w:id="3">
    <w:p w:rsidR="00033E02" w:rsidRDefault="00033E02" w:rsidP="00033E02">
      <w:pPr>
        <w:pStyle w:val="FootnoteText"/>
      </w:pPr>
      <w:r>
        <w:rPr>
          <w:rStyle w:val="FootnoteReference"/>
        </w:rPr>
        <w:footnoteRef/>
      </w:r>
      <w:r>
        <w:t xml:space="preserve"> Docket No. 20220069-EI, </w:t>
      </w:r>
      <w:r w:rsidR="00824B35" w:rsidRPr="00A335FB">
        <w:rPr>
          <w:i/>
        </w:rPr>
        <w:t xml:space="preserve">In re: </w:t>
      </w:r>
      <w:r w:rsidRPr="00A335FB">
        <w:rPr>
          <w:i/>
        </w:rPr>
        <w:t>Petition for approval of rate increase and request for approval of depreciation rates</w:t>
      </w:r>
      <w:r>
        <w:t>, filed May 31, 2022.</w:t>
      </w:r>
    </w:p>
  </w:footnote>
  <w:footnote w:id="4">
    <w:p w:rsidR="00033E02" w:rsidRDefault="00033E02" w:rsidP="00033E02">
      <w:pPr>
        <w:pStyle w:val="FootnoteText"/>
      </w:pPr>
      <w:r>
        <w:rPr>
          <w:rStyle w:val="FootnoteReference"/>
        </w:rPr>
        <w:footnoteRef/>
      </w:r>
      <w:r>
        <w:t xml:space="preserve"> See Page No. 4 of Order No. PSC-15-0390-TRF-GU.</w:t>
      </w:r>
    </w:p>
  </w:footnote>
  <w:footnote w:id="5">
    <w:p w:rsidR="00033E02" w:rsidRDefault="00033E02" w:rsidP="00033E02">
      <w:pPr>
        <w:pStyle w:val="FootnoteText"/>
      </w:pPr>
      <w:r>
        <w:rPr>
          <w:rStyle w:val="FootnoteReference"/>
        </w:rPr>
        <w:footnoteRef/>
      </w:r>
      <w:r>
        <w:t xml:space="preserve"> See direct testimony of Kurt S. Howard, Page Nos. 34-37 (DN 03277-2022) filed in Docket No. 20220069-GU.</w:t>
      </w:r>
    </w:p>
  </w:footnote>
  <w:footnote w:id="6">
    <w:p w:rsidR="00033E02" w:rsidRDefault="00033E02" w:rsidP="00033E02">
      <w:pPr>
        <w:pStyle w:val="FootnoteText"/>
      </w:pPr>
      <w:r>
        <w:rPr>
          <w:rStyle w:val="FootnoteReference"/>
        </w:rPr>
        <w:footnoteRef/>
      </w:r>
      <w:r>
        <w:t xml:space="preserve"> </w:t>
      </w:r>
      <w:r w:rsidRPr="00C52F0D">
        <w:t>The calculation also includes a December 2020 true-up of $</w:t>
      </w:r>
      <w:r>
        <w:t>7,789</w:t>
      </w:r>
      <w:r w:rsidRPr="00C52F0D">
        <w:t xml:space="preserve"> booked in January 2021 plus a December 2021 true-up credit of $7,690.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03 ">
      <w:r w:rsidR="0028678F">
        <w:t>PSC-2022-0403-TRF-GU</w:t>
      </w:r>
    </w:fldSimple>
  </w:p>
  <w:p w:rsidR="00FA6EFD" w:rsidRDefault="00033E02">
    <w:pPr>
      <w:pStyle w:val="OrderHeader"/>
    </w:pPr>
    <w:bookmarkStart w:id="10" w:name="HeaderDocketNo"/>
    <w:bookmarkEnd w:id="10"/>
    <w:r>
      <w:t>DOCKET NO. 20220153-GU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8678F">
      <w:rPr>
        <w:rStyle w:val="PageNumber"/>
        <w:noProof/>
      </w:rPr>
      <w:t>5</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885" w:rsidRDefault="000F2885" w:rsidP="000F2885">
    <w:pPr>
      <w:pStyle w:val="OrderHeader"/>
    </w:pPr>
    <w:r>
      <w:t xml:space="preserve">ORDER NO. </w:t>
    </w:r>
    <w:r w:rsidR="0028678F">
      <w:t>PSC-2022-0403-TRF-GU</w:t>
    </w:r>
  </w:p>
  <w:p w:rsidR="000F2885" w:rsidRDefault="000F2885" w:rsidP="000F2885">
    <w:pPr>
      <w:pStyle w:val="OrderHeader"/>
    </w:pPr>
    <w:r>
      <w:t>DOCKET NO. 20220153-GU</w:t>
    </w:r>
    <w:r>
      <w:tab/>
    </w:r>
    <w:r>
      <w:tab/>
      <w:t>Attachment A</w:t>
    </w:r>
  </w:p>
  <w:p w:rsidR="000F2885" w:rsidRDefault="000F2885" w:rsidP="000F288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8678F">
      <w:rPr>
        <w:rStyle w:val="PageNumber"/>
        <w:noProof/>
      </w:rPr>
      <w:t>7</w:t>
    </w:r>
    <w:r>
      <w:rPr>
        <w:rStyle w:val="PageNumber"/>
      </w:rPr>
      <w:fldChar w:fldCharType="end"/>
    </w:r>
  </w:p>
  <w:p w:rsidR="000F2885" w:rsidRDefault="000F2885" w:rsidP="000F2885">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885" w:rsidRDefault="000F2885" w:rsidP="000F2885">
    <w:pPr>
      <w:pStyle w:val="OrderHeader"/>
    </w:pPr>
    <w:r>
      <w:t xml:space="preserve">ORDER NO. </w:t>
    </w:r>
    <w:r w:rsidR="0028678F">
      <w:t>PSC-2022-0403-TRF-GU</w:t>
    </w:r>
  </w:p>
  <w:p w:rsidR="000F2885" w:rsidRDefault="000F2885" w:rsidP="000F2885">
    <w:pPr>
      <w:pStyle w:val="OrderHeader"/>
    </w:pPr>
    <w:r>
      <w:t>DOCKET NO. 20220153-GU</w:t>
    </w:r>
    <w:r>
      <w:tab/>
    </w:r>
    <w:r>
      <w:tab/>
      <w:t>Attachment B</w:t>
    </w:r>
  </w:p>
  <w:p w:rsidR="000F2885" w:rsidRDefault="000F2885" w:rsidP="000F288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8678F">
      <w:rPr>
        <w:rStyle w:val="PageNumber"/>
        <w:noProof/>
      </w:rPr>
      <w:t>8</w:t>
    </w:r>
    <w:r>
      <w:rPr>
        <w:rStyle w:val="PageNumber"/>
      </w:rPr>
      <w:fldChar w:fldCharType="end"/>
    </w:r>
  </w:p>
  <w:p w:rsidR="000F2885" w:rsidRDefault="000F2885" w:rsidP="000F2885">
    <w:pPr>
      <w:pStyle w:val="Order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885" w:rsidRDefault="000F2885" w:rsidP="000F2885">
    <w:pPr>
      <w:pStyle w:val="OrderHeader"/>
    </w:pPr>
    <w:r>
      <w:t xml:space="preserve">ORDER NO. </w:t>
    </w:r>
    <w:r w:rsidR="0028678F">
      <w:t>PSC-2022-0403-TRF-GU</w:t>
    </w:r>
  </w:p>
  <w:p w:rsidR="000F2885" w:rsidRDefault="000F2885" w:rsidP="000F2885">
    <w:pPr>
      <w:pStyle w:val="OrderHeader"/>
    </w:pPr>
    <w:r>
      <w:t>DOCKET NO. 20220153-GU</w:t>
    </w:r>
    <w:r>
      <w:tab/>
    </w:r>
    <w:r>
      <w:tab/>
      <w:t>Attachment B</w:t>
    </w:r>
  </w:p>
  <w:p w:rsidR="000F2885" w:rsidRDefault="000F2885" w:rsidP="000F288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8678F">
      <w:rPr>
        <w:rStyle w:val="PageNumber"/>
        <w:noProof/>
      </w:rPr>
      <w:t>9</w:t>
    </w:r>
    <w:r>
      <w:rPr>
        <w:rStyle w:val="PageNumber"/>
      </w:rPr>
      <w:fldChar w:fldCharType="end"/>
    </w:r>
  </w:p>
  <w:p w:rsidR="000F2885" w:rsidRDefault="000F2885" w:rsidP="000F2885">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53-GU"/>
  </w:docVars>
  <w:rsids>
    <w:rsidRoot w:val="00033E02"/>
    <w:rsid w:val="000022B8"/>
    <w:rsid w:val="00003883"/>
    <w:rsid w:val="00011251"/>
    <w:rsid w:val="00025C2A"/>
    <w:rsid w:val="00025C9D"/>
    <w:rsid w:val="00033E02"/>
    <w:rsid w:val="0003433F"/>
    <w:rsid w:val="00035A8C"/>
    <w:rsid w:val="00036BDD"/>
    <w:rsid w:val="00041FFD"/>
    <w:rsid w:val="00042C99"/>
    <w:rsid w:val="000504C3"/>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2885"/>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182C"/>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B73BE"/>
    <w:rsid w:val="001C2847"/>
    <w:rsid w:val="001C3BB5"/>
    <w:rsid w:val="001C3F8C"/>
    <w:rsid w:val="001C6097"/>
    <w:rsid w:val="001C7126"/>
    <w:rsid w:val="001D008A"/>
    <w:rsid w:val="001E0152"/>
    <w:rsid w:val="001E0FF5"/>
    <w:rsid w:val="001F0095"/>
    <w:rsid w:val="001F36B0"/>
    <w:rsid w:val="001F48D3"/>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8678F"/>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578E0"/>
    <w:rsid w:val="00361522"/>
    <w:rsid w:val="0037196E"/>
    <w:rsid w:val="003744F5"/>
    <w:rsid w:val="00382C6A"/>
    <w:rsid w:val="0038718B"/>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905B1"/>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BFE"/>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2964"/>
    <w:rsid w:val="006C547E"/>
    <w:rsid w:val="006D2B51"/>
    <w:rsid w:val="006D30E3"/>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454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06"/>
    <w:rsid w:val="00804E7A"/>
    <w:rsid w:val="00805FBB"/>
    <w:rsid w:val="00814292"/>
    <w:rsid w:val="008169A4"/>
    <w:rsid w:val="00824B35"/>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E65FA"/>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335FB"/>
    <w:rsid w:val="00A4303C"/>
    <w:rsid w:val="00A46CAF"/>
    <w:rsid w:val="00A470FD"/>
    <w:rsid w:val="00A50B5E"/>
    <w:rsid w:val="00A51656"/>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4698"/>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6AB"/>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20794"/>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0863"/>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C8E4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033E02"/>
    <w:pPr>
      <w:jc w:val="center"/>
    </w:pPr>
    <w:rPr>
      <w:rFonts w:ascii="Arial" w:hAnsi="Arial"/>
      <w:b/>
    </w:rPr>
  </w:style>
  <w:style w:type="paragraph" w:customStyle="1" w:styleId="IssueHeading">
    <w:name w:val="Issue Heading"/>
    <w:basedOn w:val="Heading1"/>
    <w:next w:val="BodyText"/>
    <w:link w:val="IssueHeadingChar"/>
    <w:qFormat/>
    <w:rsid w:val="00033E02"/>
    <w:pPr>
      <w:keepNext w:val="0"/>
    </w:pPr>
    <w:rPr>
      <w:rFonts w:ascii="Arial" w:hAnsi="Arial"/>
      <w:b/>
      <w:i/>
    </w:rPr>
  </w:style>
  <w:style w:type="character" w:customStyle="1" w:styleId="IssueHeadingChar">
    <w:name w:val="Issue Heading Char"/>
    <w:link w:val="IssueHeading"/>
    <w:rsid w:val="00033E02"/>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033E02"/>
    <w:pPr>
      <w:keepNext w:val="0"/>
    </w:pPr>
    <w:rPr>
      <w:rFonts w:ascii="Arial" w:hAnsi="Arial"/>
      <w:b/>
      <w:i/>
    </w:rPr>
  </w:style>
  <w:style w:type="character" w:customStyle="1" w:styleId="IssueSubsectionHeadingChar">
    <w:name w:val="Issue Subsection Heading Char"/>
    <w:link w:val="IssueSubsectionHeading"/>
    <w:rsid w:val="00033E02"/>
    <w:rPr>
      <w:rFonts w:ascii="Arial" w:hAnsi="Arial" w:cs="Arial"/>
      <w:b/>
      <w:bCs/>
      <w:i/>
      <w:iCs/>
      <w:sz w:val="24"/>
      <w:szCs w:val="28"/>
    </w:rPr>
  </w:style>
  <w:style w:type="paragraph" w:customStyle="1" w:styleId="First-LevelSubheading">
    <w:name w:val="First-Level Subheading"/>
    <w:basedOn w:val="IssueSubsectionHeading"/>
    <w:next w:val="BodyText"/>
    <w:qFormat/>
    <w:rsid w:val="00033E02"/>
    <w:pPr>
      <w:spacing w:after="0"/>
      <w:outlineLvl w:val="2"/>
    </w:pPr>
    <w:rPr>
      <w:i w:val="0"/>
    </w:rPr>
  </w:style>
  <w:style w:type="paragraph" w:customStyle="1" w:styleId="Second-LevelSubheading">
    <w:name w:val="Second-Level Subheading"/>
    <w:basedOn w:val="First-LevelSubheading"/>
    <w:next w:val="BodyText"/>
    <w:qFormat/>
    <w:rsid w:val="00033E02"/>
    <w:pPr>
      <w:ind w:left="720"/>
      <w:outlineLvl w:val="3"/>
    </w:pPr>
    <w:rPr>
      <w:i/>
    </w:rPr>
  </w:style>
  <w:style w:type="paragraph" w:customStyle="1" w:styleId="TableNumber">
    <w:name w:val="Table Number"/>
    <w:basedOn w:val="BodyText"/>
    <w:next w:val="BodyText"/>
    <w:qFormat/>
    <w:rsid w:val="00033E02"/>
    <w:pPr>
      <w:spacing w:before="480" w:after="0"/>
      <w:jc w:val="center"/>
    </w:pPr>
    <w:rPr>
      <w:rFonts w:ascii="Arial" w:hAnsi="Arial"/>
      <w:b/>
    </w:rPr>
  </w:style>
  <w:style w:type="paragraph" w:customStyle="1" w:styleId="TableTitle">
    <w:name w:val="Table Title"/>
    <w:basedOn w:val="BodyText"/>
    <w:next w:val="BodyText"/>
    <w:qFormat/>
    <w:rsid w:val="00033E02"/>
    <w:pPr>
      <w:spacing w:after="0"/>
      <w:jc w:val="center"/>
    </w:pPr>
    <w:rPr>
      <w:rFonts w:ascii="Arial" w:hAnsi="Arial"/>
      <w:b/>
    </w:rPr>
  </w:style>
  <w:style w:type="paragraph" w:customStyle="1" w:styleId="TableSource">
    <w:name w:val="Table Source"/>
    <w:basedOn w:val="BodyText"/>
    <w:next w:val="BodyText"/>
    <w:qFormat/>
    <w:rsid w:val="00033E02"/>
    <w:pPr>
      <w:spacing w:after="480"/>
      <w:jc w:val="both"/>
    </w:pPr>
  </w:style>
  <w:style w:type="character" w:styleId="Emphasis">
    <w:name w:val="Emphasis"/>
    <w:basedOn w:val="DefaultParagraphFont"/>
    <w:qFormat/>
    <w:rsid w:val="0013182C"/>
    <w:rPr>
      <w:i/>
      <w:iCs/>
    </w:rPr>
  </w:style>
  <w:style w:type="paragraph" w:styleId="NoSpacing">
    <w:name w:val="No Spacing"/>
    <w:uiPriority w:val="1"/>
    <w:qFormat/>
    <w:rsid w:val="0013182C"/>
    <w:rPr>
      <w:sz w:val="24"/>
      <w:szCs w:val="24"/>
    </w:rPr>
  </w:style>
  <w:style w:type="paragraph" w:styleId="BalloonText">
    <w:name w:val="Balloon Text"/>
    <w:basedOn w:val="Normal"/>
    <w:link w:val="BalloonTextChar"/>
    <w:semiHidden/>
    <w:unhideWhenUsed/>
    <w:rsid w:val="00B866AB"/>
    <w:rPr>
      <w:rFonts w:ascii="Segoe UI" w:hAnsi="Segoe UI" w:cs="Segoe UI"/>
      <w:sz w:val="18"/>
      <w:szCs w:val="18"/>
    </w:rPr>
  </w:style>
  <w:style w:type="character" w:customStyle="1" w:styleId="BalloonTextChar">
    <w:name w:val="Balloon Text Char"/>
    <w:basedOn w:val="DefaultParagraphFont"/>
    <w:link w:val="BalloonText"/>
    <w:semiHidden/>
    <w:rsid w:val="00B866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7391E-0845-47AD-99E9-0446D9940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9</Pages>
  <Words>1647</Words>
  <Characters>9393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2022-11-21T15:46:00Z</dcterms:created>
  <dcterms:modified xsi:type="dcterms:W3CDTF">2022-11-21T17:12:00Z</dcterms:modified>
</cp:coreProperties>
</file>