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849E6">
            <w:pPr>
              <w:pStyle w:val="MemoHeading"/>
            </w:pPr>
            <w:r>
              <w:t>November 22, 2022</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53B10" w:rsidRDefault="00F53B10">
            <w:pPr>
              <w:pStyle w:val="MemoHeading"/>
            </w:pPr>
            <w:bookmarkStart w:id="1" w:name="From"/>
            <w:r>
              <w:t>Division of Engineering (Wooten, Ellis, King)</w:t>
            </w:r>
          </w:p>
          <w:p w:rsidR="00F53B10" w:rsidRDefault="00F53B10">
            <w:pPr>
              <w:pStyle w:val="MemoHeading"/>
            </w:pPr>
            <w:r>
              <w:t>Division of Accounting and Finance (Sewards)</w:t>
            </w:r>
          </w:p>
          <w:p w:rsidR="00F53B10" w:rsidRDefault="00F53B10">
            <w:pPr>
              <w:pStyle w:val="MemoHeading"/>
            </w:pPr>
            <w:r>
              <w:t>Division of Economics (Bruce)</w:t>
            </w:r>
          </w:p>
          <w:p w:rsidR="007C0528" w:rsidRDefault="00F53B10">
            <w:pPr>
              <w:pStyle w:val="MemoHeading"/>
            </w:pPr>
            <w:r>
              <w:t>Office of the General Counsel (Brownless)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53B10">
            <w:pPr>
              <w:pStyle w:val="MemoHeadingRe"/>
            </w:pPr>
            <w:bookmarkStart w:id="2" w:name="Re"/>
            <w:r>
              <w:t>Docket No. 20220088-WS – Application for certificates to provide water and wastewater service and approval of initial rates and charges in Sumter County, by Middleton Utility Company,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80F97" w:rsidP="004B4CB5">
            <w:pPr>
              <w:pStyle w:val="MemoHeading"/>
            </w:pPr>
            <w:r w:rsidRPr="00252E4B">
              <w:t>12/06/22 –  Regular Agenda - P</w:t>
            </w:r>
            <w:r w:rsidR="004B4CB5">
              <w:t>roposed Agency Action - Except for Issue 1</w:t>
            </w:r>
            <w:r w:rsidRPr="00252E4B">
              <w:t>-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53B10">
            <w:pPr>
              <w:pStyle w:val="MemoHeading"/>
            </w:pPr>
            <w:bookmarkStart w:id="3" w:name="CommissionersAssigned"/>
            <w:r>
              <w:t>All Commissioners</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53B10">
            <w:pPr>
              <w:pStyle w:val="MemoHeading"/>
            </w:pPr>
            <w:bookmarkStart w:id="4" w:name="PrehearingOfficer"/>
            <w:r>
              <w:t>Graham</w:t>
            </w:r>
            <w:bookmarkEnd w:id="4"/>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5" w:name="CriticalDatesLabel"/>
            <w:r>
              <w:t>CRITICAL DATES:</w:t>
            </w:r>
            <w:bookmarkEnd w:id="5"/>
          </w:p>
        </w:tc>
        <w:tc>
          <w:tcPr>
            <w:tcW w:w="5785" w:type="dxa"/>
            <w:tcBorders>
              <w:top w:val="nil"/>
              <w:left w:val="nil"/>
              <w:bottom w:val="nil"/>
              <w:right w:val="nil"/>
            </w:tcBorders>
            <w:shd w:val="clear" w:color="auto" w:fill="auto"/>
          </w:tcPr>
          <w:p w:rsidR="007C0528" w:rsidRDefault="00080F97">
            <w:pPr>
              <w:pStyle w:val="MemoHeading"/>
            </w:pPr>
            <w:r>
              <w:t>12/06/22 (Statutory Deadline for original certificate pursuant to Section 367.031, Florida Statutes, waived by applicant until December 6, 2022)</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53B10">
            <w:pPr>
              <w:pStyle w:val="MemoHeading"/>
            </w:pPr>
            <w:bookmarkStart w:id="6" w:name="SpecialInstructions"/>
            <w:r>
              <w:t>None</w:t>
            </w:r>
            <w:bookmarkEnd w:id="6"/>
          </w:p>
        </w:tc>
      </w:tr>
    </w:tbl>
    <w:p w:rsidR="007C0528" w:rsidRDefault="007C0528">
      <w:pPr>
        <w:pStyle w:val="BodyText"/>
      </w:pPr>
    </w:p>
    <w:p w:rsidR="007C0528" w:rsidRDefault="007C0528">
      <w:pPr>
        <w:pStyle w:val="RecommendationMajorSectionHeading"/>
      </w:pPr>
      <w:bookmarkStart w:id="7" w:name="RecToC"/>
      <w:bookmarkEnd w:id="7"/>
      <w:r>
        <w:t xml:space="preserve"> </w:t>
      </w:r>
      <w:bookmarkStart w:id="8" w:name="CaseBackground"/>
      <w:r>
        <w:t>Case Background</w:t>
      </w:r>
      <w:r>
        <w:fldChar w:fldCharType="begin"/>
      </w:r>
      <w:r>
        <w:instrText xml:space="preserve"> TC  "</w:instrText>
      </w:r>
      <w:r>
        <w:tab/>
      </w:r>
      <w:bookmarkStart w:id="9" w:name="_Toc94516455"/>
      <w:r>
        <w:instrText>Case Background</w:instrText>
      </w:r>
      <w:bookmarkEnd w:id="9"/>
      <w:r>
        <w:instrText xml:space="preserve">" \l 1 </w:instrText>
      </w:r>
      <w:r>
        <w:fldChar w:fldCharType="end"/>
      </w:r>
    </w:p>
    <w:p w:rsidR="00080F97" w:rsidRDefault="00AF6A51" w:rsidP="00080F97">
      <w:pPr>
        <w:jc w:val="both"/>
      </w:pPr>
      <w:r w:rsidRPr="00897786">
        <w:t>On January 31, 2022, Gibson Place Utility Company, LLC’s (Gibson) application to delete a portion of its service territory was granted.</w:t>
      </w:r>
      <w:r w:rsidRPr="00897786">
        <w:rPr>
          <w:rStyle w:val="FootnoteReference"/>
        </w:rPr>
        <w:footnoteReference w:id="1"/>
      </w:r>
      <w:r w:rsidR="00110DB0">
        <w:t xml:space="preserve"> </w:t>
      </w:r>
      <w:r w:rsidRPr="00897786">
        <w:t xml:space="preserve">The deleted portion of the territory became the proposed service territory for Middleton Utility Company, LLC (Middleton or Utility). </w:t>
      </w:r>
      <w:r w:rsidRPr="00897786">
        <w:lastRenderedPageBreak/>
        <w:t>Middleton and Gibson have the same parent company, Holding Company of The Villages, Inc. (The Villages).</w:t>
      </w:r>
    </w:p>
    <w:p w:rsidR="00080F97" w:rsidRDefault="00080F97" w:rsidP="00080F97">
      <w:pPr>
        <w:jc w:val="both"/>
      </w:pPr>
    </w:p>
    <w:p w:rsidR="00197B9F" w:rsidRDefault="00197B9F" w:rsidP="00197B9F">
      <w:pPr>
        <w:jc w:val="both"/>
      </w:pPr>
      <w:r>
        <w:t xml:space="preserve">On April 25, 2022, Middleton filed its application for original water and wastewater certificates in Sumter County to serve the territory deleted from Gibson. The area is in the Southwest Florida Water Management District (SWFWMD) and is not in a water use caution area. Based on its application, Middleton anticipates serving approximately 6,000 residential customers and 329 general service customers. Residential customers will consist of single-family homes and general service customers will primarily consist of offices, retail stores, and restaurants. Middleton will not operate either a water treatment facility or a wastewater treatment facility and those services will be supplied through bulk service agreements with Gibson. </w:t>
      </w:r>
      <w:r w:rsidR="00B907E7">
        <w:t xml:space="preserve">The Commission voted on Gibson’s original water and wastewater certificates including initial rates and charges at the November 1, 2022 Agenda Conference (Docket No. 20200185-WS). </w:t>
      </w:r>
      <w:r>
        <w:t xml:space="preserve">Middleton will maintain the water and wastewater lines that serve the Middleton development. </w:t>
      </w:r>
    </w:p>
    <w:p w:rsidR="00197B9F" w:rsidRDefault="00197B9F" w:rsidP="00197B9F">
      <w:pPr>
        <w:jc w:val="both"/>
      </w:pPr>
    </w:p>
    <w:p w:rsidR="00197B9F" w:rsidRDefault="00197B9F" w:rsidP="00197B9F">
      <w:pPr>
        <w:jc w:val="both"/>
      </w:pPr>
      <w:r>
        <w:t xml:space="preserve">Pursuant to Section 367.031, </w:t>
      </w:r>
      <w:r>
        <w:rPr>
          <w:sz w:val="23"/>
          <w:szCs w:val="23"/>
        </w:rPr>
        <w:t>Florida Statutes (F.S.)</w:t>
      </w:r>
      <w:r>
        <w:t>, the Florida Public Service Commission (Commission) shall grant or deny an application for a certificate of authorization within 90 days after the official filing date of the completed application. The application was initially deemed insufficient when originally filed in April 2022 and a deficiency letter was issued on May 27, 2022.</w:t>
      </w:r>
      <w:r>
        <w:rPr>
          <w:rStyle w:val="FootnoteReference"/>
        </w:rPr>
        <w:footnoteReference w:id="2"/>
      </w:r>
      <w:r>
        <w:t xml:space="preserve"> Middleton filed a response to the deficiencies on June 3, 2022</w:t>
      </w:r>
      <w:r w:rsidR="002A3631">
        <w:t>,</w:t>
      </w:r>
      <w:r>
        <w:rPr>
          <w:rStyle w:val="FootnoteReference"/>
        </w:rPr>
        <w:footnoteReference w:id="3"/>
      </w:r>
      <w:r>
        <w:t xml:space="preserve"> and the application was deemed complete on June 27, 2022, which is considered the official filing date.</w:t>
      </w:r>
      <w:r>
        <w:rPr>
          <w:rStyle w:val="FootnoteReference"/>
        </w:rPr>
        <w:footnoteReference w:id="4"/>
      </w:r>
      <w:r>
        <w:t xml:space="preserve"> Middleton has waived the 90-day statutory deadline through December 6, 2022.</w:t>
      </w:r>
      <w:r>
        <w:rPr>
          <w:rStyle w:val="FootnoteReference"/>
        </w:rPr>
        <w:footnoteReference w:id="5"/>
      </w:r>
    </w:p>
    <w:p w:rsidR="00197B9F" w:rsidRDefault="00197B9F" w:rsidP="00197B9F">
      <w:pPr>
        <w:jc w:val="both"/>
      </w:pPr>
    </w:p>
    <w:p w:rsidR="0068481F" w:rsidRDefault="00197B9F" w:rsidP="00197B9F">
      <w:pPr>
        <w:pStyle w:val="BodyText"/>
      </w:pPr>
      <w:r>
        <w:t xml:space="preserve">This recommendation addresses the application for original water and wastewater certificates </w:t>
      </w:r>
      <w:proofErr w:type="gramStart"/>
      <w:r>
        <w:t>and</w:t>
      </w:r>
      <w:proofErr w:type="gramEnd"/>
      <w:r>
        <w:t xml:space="preserve"> the appropriate rates and charges for the Utility. </w:t>
      </w:r>
      <w:r>
        <w:rPr>
          <w:sz w:val="23"/>
          <w:szCs w:val="23"/>
        </w:rPr>
        <w:t>The Commission has jurisdiction pursuant to Sections 367.031, 367.045 and 367.081, F.S.</w:t>
      </w:r>
    </w:p>
    <w:p w:rsidR="007C0528" w:rsidRDefault="007C0528" w:rsidP="0068481F"/>
    <w:bookmarkEnd w:id="8"/>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2" w:name="DiscussionOfIssues"/>
      <w:r>
        <w:lastRenderedPageBreak/>
        <w:t>Discussion of Issues</w:t>
      </w:r>
    </w:p>
    <w:bookmarkEnd w:id="12"/>
    <w:p w:rsidR="00F53B10" w:rsidRDefault="00F53B10">
      <w:pPr>
        <w:pStyle w:val="IssueHeading"/>
        <w:rPr>
          <w:vanish/>
          <w:specVanish/>
        </w:rPr>
      </w:pPr>
      <w:r w:rsidRPr="004C3641">
        <w:t xml:space="preserve">Issue </w:t>
      </w:r>
      <w:r w:rsidR="00490880">
        <w:fldChar w:fldCharType="begin"/>
      </w:r>
      <w:r w:rsidR="00490880">
        <w:instrText xml:space="preserve"> SEQ Issue \* MERGEFORMAT </w:instrText>
      </w:r>
      <w:r w:rsidR="00490880">
        <w:fldChar w:fldCharType="separate"/>
      </w:r>
      <w:r w:rsidR="00FC34DE">
        <w:rPr>
          <w:noProof/>
        </w:rPr>
        <w:t>1</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1</w:instrText>
      </w:r>
      <w:r>
        <w:fldChar w:fldCharType="end"/>
      </w:r>
      <w:r>
        <w:tab/>
        <w:instrText xml:space="preserve">" \l 1 </w:instrText>
      </w:r>
      <w:r>
        <w:fldChar w:fldCharType="end"/>
      </w:r>
      <w:r>
        <w:t> </w:t>
      </w:r>
    </w:p>
    <w:p w:rsidR="00F53B10" w:rsidRDefault="00F53B10">
      <w:pPr>
        <w:pStyle w:val="BodyText"/>
      </w:pPr>
      <w:r>
        <w:t> </w:t>
      </w:r>
      <w:r w:rsidR="00080F97">
        <w:t>Should the application for water and wastewater certificates by Middleton Utility Company, LLC be approved?</w:t>
      </w:r>
    </w:p>
    <w:p w:rsidR="00F53B10" w:rsidRPr="004C3641" w:rsidRDefault="00F53B10">
      <w:pPr>
        <w:pStyle w:val="IssueSubsectionHeading"/>
        <w:rPr>
          <w:vanish/>
          <w:specVanish/>
        </w:rPr>
      </w:pPr>
      <w:r w:rsidRPr="004C3641">
        <w:t>Recommendation: </w:t>
      </w:r>
    </w:p>
    <w:p w:rsidR="00F53B10" w:rsidRDefault="00197B9F">
      <w:pPr>
        <w:pStyle w:val="BodyText"/>
      </w:pPr>
      <w:r>
        <w:t>Yes. The Commission should grant Middleton Certificate Nos. 681</w:t>
      </w:r>
      <w:r w:rsidRPr="00CD50DA">
        <w:t>-W</w:t>
      </w:r>
      <w:r>
        <w:t xml:space="preserve"> and 581</w:t>
      </w:r>
      <w:r w:rsidRPr="00CD50DA">
        <w:t>-S</w:t>
      </w:r>
      <w:r>
        <w:t xml:space="preserve"> to serve the territory described in Attachment A, effective the date of the Commission’s vote. The resultant order should serve as Middleton’s water and wastewater certificates and it should be retained by the Utility. (Wooten, Sewards)</w:t>
      </w:r>
    </w:p>
    <w:p w:rsidR="00F53B10" w:rsidRPr="004C3641" w:rsidRDefault="00F53B10">
      <w:pPr>
        <w:pStyle w:val="IssueSubsectionHeading"/>
        <w:rPr>
          <w:vanish/>
          <w:specVanish/>
        </w:rPr>
      </w:pPr>
      <w:r w:rsidRPr="004C3641">
        <w:t>Staff Analysis: </w:t>
      </w:r>
    </w:p>
    <w:p w:rsidR="00AE172B" w:rsidRDefault="00520B25" w:rsidP="00AE172B">
      <w:pPr>
        <w:pStyle w:val="BodyText"/>
      </w:pPr>
      <w:r>
        <w:t xml:space="preserve">On April 25, 2022, Middleton filed its application for original water and wastewater certificates in Sumter County. Upon review, staff determined the original filing was deficient and provided the </w:t>
      </w:r>
      <w:r w:rsidR="007036B2">
        <w:t>Utility with a list of deficiencies</w:t>
      </w:r>
      <w:r>
        <w:t xml:space="preserve"> to be corrected. Middleton corrected the deficiencies on June 27, 2022, which is considered the official filing date for the application. </w:t>
      </w:r>
      <w:r w:rsidRPr="00C47EDB">
        <w:t>Middleton has requested th</w:t>
      </w:r>
      <w:r>
        <w:t>e</w:t>
      </w:r>
      <w:r w:rsidRPr="00C47EDB">
        <w:t>s</w:t>
      </w:r>
      <w:r>
        <w:t>e</w:t>
      </w:r>
      <w:r w:rsidRPr="00C47EDB">
        <w:t xml:space="preserve"> certificate</w:t>
      </w:r>
      <w:r>
        <w:t>s</w:t>
      </w:r>
      <w:r w:rsidRPr="00C47EDB">
        <w:t xml:space="preserve"> in order to</w:t>
      </w:r>
      <w:r>
        <w:t xml:space="preserve"> meet future customer need from land</w:t>
      </w:r>
      <w:r w:rsidRPr="00C47EDB">
        <w:t xml:space="preserve"> develop</w:t>
      </w:r>
      <w:r>
        <w:t>ment</w:t>
      </w:r>
      <w:r w:rsidRPr="00C47EDB">
        <w:t xml:space="preserve"> </w:t>
      </w:r>
      <w:r>
        <w:t>by</w:t>
      </w:r>
      <w:r w:rsidRPr="00C47EDB">
        <w:t xml:space="preserve"> </w:t>
      </w:r>
      <w:r>
        <w:t>an affiliate of its</w:t>
      </w:r>
      <w:r w:rsidRPr="00C47EDB">
        <w:t xml:space="preserve"> parent company</w:t>
      </w:r>
      <w:r>
        <w:t>,</w:t>
      </w:r>
      <w:r w:rsidRPr="00C47EDB">
        <w:t xml:space="preserve"> The Villages. </w:t>
      </w:r>
      <w:r>
        <w:t>The application is in compliance with the governing statute, Section 367.045, F.S.</w:t>
      </w:r>
    </w:p>
    <w:p w:rsidR="00AE172B" w:rsidRDefault="00AE172B" w:rsidP="00AE172B">
      <w:pPr>
        <w:pStyle w:val="BodyText"/>
        <w:spacing w:after="0"/>
        <w:rPr>
          <w:rFonts w:ascii="Arial" w:hAnsi="Arial" w:cs="Arial"/>
          <w:b/>
        </w:rPr>
      </w:pPr>
      <w:r>
        <w:rPr>
          <w:rFonts w:ascii="Arial" w:hAnsi="Arial" w:cs="Arial"/>
          <w:b/>
        </w:rPr>
        <w:t>Notice</w:t>
      </w:r>
    </w:p>
    <w:p w:rsidR="00AE172B" w:rsidRDefault="00F27275" w:rsidP="00AE172B">
      <w:pPr>
        <w:pStyle w:val="BodyText"/>
      </w:pPr>
      <w:r>
        <w:t xml:space="preserve">On June 27, 2022, Middleton filed proof of compliance with the noticing provisions set forth in Rule 25-30.030, Florida Administrative Code (F.A.C.). </w:t>
      </w:r>
      <w:r w:rsidRPr="000940E0">
        <w:t xml:space="preserve">The notice of application for an initial certificate of authorization for water and wastewater certificates was mailed to the entities required on </w:t>
      </w:r>
      <w:r>
        <w:t>June 14, 2022</w:t>
      </w:r>
      <w:r>
        <w:rPr>
          <w:rStyle w:val="FootnoteReference"/>
        </w:rPr>
        <w:footnoteReference w:id="6"/>
      </w:r>
      <w:r w:rsidRPr="000940E0">
        <w:t xml:space="preserve">, and published as required on </w:t>
      </w:r>
      <w:r>
        <w:t>June 17, 2022</w:t>
      </w:r>
      <w:r w:rsidR="0071147F">
        <w:t>.</w:t>
      </w:r>
      <w:r>
        <w:rPr>
          <w:rStyle w:val="FootnoteReference"/>
        </w:rPr>
        <w:footnoteReference w:id="7"/>
      </w:r>
      <w:r>
        <w:t xml:space="preserve"> Subsequent to the issuance of the notice, the Commission did not receive any written objections and the time for filing such objections has expired.</w:t>
      </w:r>
    </w:p>
    <w:p w:rsidR="00AE172B" w:rsidRDefault="00AE172B" w:rsidP="00AE172B">
      <w:pPr>
        <w:pStyle w:val="First-LevelSubheading"/>
      </w:pPr>
      <w:r>
        <w:t>Need for Service</w:t>
      </w:r>
    </w:p>
    <w:p w:rsidR="00AE172B" w:rsidRDefault="00F27275" w:rsidP="00AE172B">
      <w:pPr>
        <w:pStyle w:val="BodyText"/>
      </w:pPr>
      <w:r>
        <w:t>Pursuant to Rule 25-30.033(1)(k), F.A.C., the Utility provided statements describing the requests for service, the number and type of customers proposed to be served, the proposed service area</w:t>
      </w:r>
      <w:r w:rsidR="009F3C13">
        <w:t>’</w:t>
      </w:r>
      <w:r>
        <w:t xml:space="preserve">s current land use designation and all known land use restrictions. The proposed service territory is undeveloped land that is outside any other utility’s certificated service territory and is not currently served by any other utility. </w:t>
      </w:r>
      <w:r w:rsidR="006305F3">
        <w:t xml:space="preserve">The proposed utility is therefore not in competition with or duplication of another utility. </w:t>
      </w:r>
      <w:r>
        <w:t xml:space="preserve">The property is being developed by an affiliate of The Villages, who owns the proposed service territory. Therefore, there are no formal requests for service from other property owners or developers for the proposed service territory. As previously discussed, the proposed development is anticipated to serve 6,000 residential customers and 329 general service customers. Residential customers will consist of single-family homes and general service customers will primarily consist of offices, retail stores, and restaurants. According to the Utility, the </w:t>
      </w:r>
      <w:proofErr w:type="gramStart"/>
      <w:r>
        <w:t>provision of the water and wastewater services are</w:t>
      </w:r>
      <w:proofErr w:type="gramEnd"/>
      <w:r>
        <w:t xml:space="preserve"> and will be consistent with the existing Sumter County local comprehensive plans. The proposed service area has a current land use designation of Age Restricted Development Land Use and includes conservation lands and environmentally sensitive areas. The Utility states that any impacts to the conservation lands or environmentally sensitive areas will comply with regulatory requirements. Based on the above, </w:t>
      </w:r>
      <w:r>
        <w:lastRenderedPageBreak/>
        <w:t>staff recommends that Middleton has demonstrated the need for service in the proposed service territory.</w:t>
      </w:r>
    </w:p>
    <w:p w:rsidR="00AE172B" w:rsidRDefault="00AE172B" w:rsidP="00AE172B">
      <w:pPr>
        <w:pStyle w:val="BodyText"/>
        <w:spacing w:after="0"/>
        <w:rPr>
          <w:rFonts w:ascii="Arial" w:hAnsi="Arial" w:cs="Arial"/>
          <w:b/>
        </w:rPr>
      </w:pPr>
      <w:r>
        <w:rPr>
          <w:rFonts w:ascii="Arial" w:hAnsi="Arial" w:cs="Arial"/>
          <w:b/>
        </w:rPr>
        <w:t>Land Ownership and Service Territory</w:t>
      </w:r>
    </w:p>
    <w:p w:rsidR="00AE172B" w:rsidRDefault="00F27275" w:rsidP="00AE172B">
      <w:pPr>
        <w:pStyle w:val="BodyText"/>
      </w:pPr>
      <w:r>
        <w:t>Middleton provided adequate service territory system maps and a territory description as required by Rule 25-30.033, F.A.C. The legal description of the service territory is appended to this recommendation, as Attachment A. Middleton did not submit a recorded executed warranty deed as Middleton’s utility plant will consist of a water distribution system, water meters, a water tower and a wastewater collection system with a master lift station. All treatment services are purchased from Gibson.</w:t>
      </w:r>
    </w:p>
    <w:p w:rsidR="00AE172B" w:rsidRDefault="00AE172B" w:rsidP="00AE172B">
      <w:pPr>
        <w:pStyle w:val="BodyText"/>
        <w:spacing w:after="0"/>
        <w:rPr>
          <w:rFonts w:ascii="Arial" w:hAnsi="Arial" w:cs="Arial"/>
          <w:b/>
        </w:rPr>
      </w:pPr>
      <w:r>
        <w:rPr>
          <w:rFonts w:ascii="Arial" w:hAnsi="Arial" w:cs="Arial"/>
          <w:b/>
        </w:rPr>
        <w:t>Financial and Technical Ability</w:t>
      </w:r>
    </w:p>
    <w:p w:rsidR="00AE172B" w:rsidRDefault="00CE1FF3" w:rsidP="00AE172B">
      <w:pPr>
        <w:pStyle w:val="BodyText"/>
      </w:pPr>
      <w:r w:rsidRPr="000F069B">
        <w:t xml:space="preserve">Rule 25-30.033(1)(h), and (i), F.A.C., requires a statement showing the financial and technical ability of the applicant to provide service, a detailed financial statement, and a list of all entities upon which the applicant is relying to provide funding along with those entities' financial statements. </w:t>
      </w:r>
      <w:r w:rsidR="00A1084C">
        <w:t xml:space="preserve">Regarding financial ability, </w:t>
      </w:r>
      <w:r>
        <w:t>Middleton</w:t>
      </w:r>
      <w:r w:rsidRPr="000F069B">
        <w:t xml:space="preserve"> is relying upon the financial backing of its parent, </w:t>
      </w:r>
      <w:r w:rsidR="004B4CB5">
        <w:t>The Villages</w:t>
      </w:r>
      <w:r w:rsidRPr="000F069B">
        <w:t>. The Commission has traditionally allowed reliance on t</w:t>
      </w:r>
      <w:r>
        <w:t xml:space="preserve">he parent's financial ability. </w:t>
      </w:r>
      <w:r w:rsidRPr="000F069B">
        <w:t xml:space="preserve">The Commission's reasoning has been the logical vested interest of a parent in the financial stability of its subsidiary. The application contains The Villages' most recent financial statements as well as a letter of commitment from The Villages "to make the financial and operating commitment necessary" for </w:t>
      </w:r>
      <w:r>
        <w:t>Middleton</w:t>
      </w:r>
      <w:r w:rsidRPr="000F069B">
        <w:t xml:space="preserve"> to build and operate the system in Lake and Sumter Counties. Staff believes that The Villages' financial statements and extensive business operations in Florida show adequate and stable funding reserves for the Utility. Therefore, staff recommends that </w:t>
      </w:r>
      <w:r>
        <w:t>Middleton</w:t>
      </w:r>
      <w:r w:rsidRPr="000F069B">
        <w:t xml:space="preserve"> has demonstrated that it will have access to adequate financial resources to operate the Utility</w:t>
      </w:r>
      <w:r>
        <w:t>.</w:t>
      </w:r>
    </w:p>
    <w:p w:rsidR="0009092A" w:rsidRDefault="0009092A" w:rsidP="0009092A">
      <w:pPr>
        <w:pStyle w:val="BodyText"/>
      </w:pPr>
      <w:r w:rsidRPr="0009092A">
        <w:t xml:space="preserve">Regarding technical ability, as stated previously, Middleton will only operate water distribution and wastewater collection systems. The Utility will purchase treatment services from Gibson which has adequate capacity to serve Middleton. Furthermore, The Villages has experience with operating multiple water and wastewater utilities. These systems are in good standing with the </w:t>
      </w:r>
      <w:r w:rsidR="00F10A63">
        <w:t>Florida Department of Environmental Protection (</w:t>
      </w:r>
      <w:r w:rsidRPr="0009092A">
        <w:t>DEP</w:t>
      </w:r>
      <w:r w:rsidR="00F10A63">
        <w:t>)</w:t>
      </w:r>
      <w:r w:rsidRPr="0009092A">
        <w:t xml:space="preserve">. The Villages has also retained engineering, design, </w:t>
      </w:r>
      <w:proofErr w:type="gramStart"/>
      <w:r w:rsidRPr="0009092A">
        <w:t>permitting</w:t>
      </w:r>
      <w:proofErr w:type="gramEnd"/>
      <w:r w:rsidRPr="0009092A">
        <w:t>, construction, and operation professionals with experience in the development of its other utility system.</w:t>
      </w:r>
    </w:p>
    <w:p w:rsidR="00F53B10" w:rsidRDefault="00C16A15" w:rsidP="00AE172B">
      <w:pPr>
        <w:pStyle w:val="BodyText"/>
      </w:pPr>
      <w:r>
        <w:t>Based on the above, staff recommends that Middleton has demonstrated the technical and financial ability to provide service to the proposed service territory.</w:t>
      </w:r>
    </w:p>
    <w:p w:rsidR="00C16A15" w:rsidRDefault="00C16A15" w:rsidP="00C16A15">
      <w:pPr>
        <w:pStyle w:val="First-LevelSubheading"/>
      </w:pPr>
      <w:r>
        <w:t>Public Interest</w:t>
      </w:r>
    </w:p>
    <w:p w:rsidR="00C16A15" w:rsidRDefault="00C16A15" w:rsidP="00BB649E">
      <w:pPr>
        <w:spacing w:after="240"/>
        <w:jc w:val="both"/>
      </w:pPr>
      <w:r w:rsidRPr="00686ADE">
        <w:t>Section 367.045(5</w:t>
      </w:r>
      <w:proofErr w:type="gramStart"/>
      <w:r w:rsidRPr="00686ADE">
        <w:t>)(</w:t>
      </w:r>
      <w:proofErr w:type="gramEnd"/>
      <w:r w:rsidRPr="00686ADE">
        <w:t xml:space="preserve">a), F.S., provides that the Commission may grant or amend a certificate of authorization, in whole or in part or with modifications in the public interest, or it may deny a certificate of authorization or an amendment to a certificate of authorization, if in the public interest. In prior proceedings, the Commission has made its determination regarding the public interest based upon whether a utility’s application demonstrates there is a need for service, that the application is not in competition with or duplication of another system, that the utility has the </w:t>
      </w:r>
      <w:r w:rsidRPr="00686ADE">
        <w:lastRenderedPageBreak/>
        <w:t>financial and technical ability to provide service, and the utility has sufficient plant capacity or will construct the plant when needed.</w:t>
      </w:r>
      <w:r w:rsidRPr="00686ADE">
        <w:rPr>
          <w:vertAlign w:val="superscript"/>
        </w:rPr>
        <w:footnoteReference w:id="8"/>
      </w:r>
    </w:p>
    <w:p w:rsidR="00C16A15" w:rsidRDefault="00AF6A51" w:rsidP="00BB649E">
      <w:pPr>
        <w:spacing w:after="240"/>
        <w:jc w:val="both"/>
      </w:pPr>
      <w:r w:rsidRPr="00AF0021">
        <w:t xml:space="preserve">Middleton’s application stated that the proposed service territory is owned by Middleton’s parent company, is outside any other utility’s certificated service territory, </w:t>
      </w:r>
      <w:r w:rsidR="006305F3">
        <w:t xml:space="preserve">and </w:t>
      </w:r>
      <w:r w:rsidRPr="00AF0021">
        <w:t>is not currently served by any other utility</w:t>
      </w:r>
      <w:r w:rsidR="003A3243">
        <w:t xml:space="preserve">. </w:t>
      </w:r>
      <w:r w:rsidRPr="00AF0021">
        <w:t>Therefore, Middleton is not in competition with or duplicating another system. Middleton will serve customers of the proposed development</w:t>
      </w:r>
      <w:r w:rsidR="006305F3">
        <w:t xml:space="preserve"> of Middleton’s parent company</w:t>
      </w:r>
      <w:r w:rsidRPr="00AF0021">
        <w:t xml:space="preserve"> via the bulk service agreement with Gibson and the application provides statements that the Gibson water and wastewater treatment plant will sufficiently meet the demands for both Gibson and Middleton. Additionally, the application has provided </w:t>
      </w:r>
      <w:proofErr w:type="gramStart"/>
      <w:r w:rsidRPr="00AF0021">
        <w:t>statements that demonstrates</w:t>
      </w:r>
      <w:proofErr w:type="gramEnd"/>
      <w:r w:rsidRPr="00AF0021">
        <w:t xml:space="preserve"> The Villages’ financial ability to provide adequate and stable funding reserves for the Utility and The Villages’ experience with successfully operating multiple water and wastewater utilities.</w:t>
      </w:r>
    </w:p>
    <w:p w:rsidR="00C16A15" w:rsidRDefault="0086351B" w:rsidP="00C16A15">
      <w:pPr>
        <w:pStyle w:val="BodyText"/>
      </w:pPr>
      <w:r w:rsidRPr="0086351B">
        <w:t xml:space="preserve">Based on the above, staff recommends that granting the requested certificates to Middleton </w:t>
      </w:r>
      <w:r w:rsidR="004B4CB5">
        <w:t>would be in the public interest.</w:t>
      </w:r>
    </w:p>
    <w:p w:rsidR="00AE172B" w:rsidRDefault="00AE172B" w:rsidP="00AE172B">
      <w:pPr>
        <w:pStyle w:val="First-LevelSubheading"/>
      </w:pPr>
      <w:r>
        <w:t>Conclusion</w:t>
      </w:r>
    </w:p>
    <w:p w:rsidR="00AE172B" w:rsidRDefault="00C16A15" w:rsidP="00AE172B">
      <w:pPr>
        <w:pStyle w:val="BodyText"/>
      </w:pPr>
      <w:r>
        <w:t>Based on the information above, staff recommends the Commission sh</w:t>
      </w:r>
      <w:r w:rsidR="00064A85">
        <w:t xml:space="preserve">ould grant </w:t>
      </w:r>
      <w:r>
        <w:t>Middleton Certificate Nos. 681</w:t>
      </w:r>
      <w:r w:rsidRPr="00CD50DA">
        <w:t>-W</w:t>
      </w:r>
      <w:r>
        <w:t xml:space="preserve"> and 581</w:t>
      </w:r>
      <w:r w:rsidRPr="00CD50DA">
        <w:t>-S</w:t>
      </w:r>
      <w:r>
        <w:t xml:space="preserve"> to serve the territory described in Attachment A, effective the date of the Commission’s vote. The resultant order should serve as Middleton’s water and wastewater certificates and it should be retained by the Utility.</w:t>
      </w:r>
    </w:p>
    <w:p w:rsidR="00913C03" w:rsidRDefault="00913C03">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2</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2</w:instrText>
      </w:r>
      <w:r>
        <w:fldChar w:fldCharType="end"/>
      </w:r>
      <w:r>
        <w:tab/>
        <w:instrText xml:space="preserve">" \l 1 </w:instrText>
      </w:r>
      <w:r>
        <w:fldChar w:fldCharType="end"/>
      </w:r>
      <w:r>
        <w:t> </w:t>
      </w:r>
    </w:p>
    <w:p w:rsidR="00913C03" w:rsidRDefault="00913C03">
      <w:pPr>
        <w:pStyle w:val="BodyText"/>
      </w:pPr>
      <w:r>
        <w:t> </w:t>
      </w:r>
      <w:r w:rsidR="002D126F">
        <w:t>What are the appropriate water and wastewater rates and return on investment for Middleton</w:t>
      </w:r>
      <w:r w:rsidR="00F10A63">
        <w:t xml:space="preserve"> Utility Company, LLC</w:t>
      </w:r>
      <w:r w:rsidR="002D126F">
        <w:t>?</w:t>
      </w:r>
    </w:p>
    <w:p w:rsidR="00913C03" w:rsidRPr="004C3641" w:rsidRDefault="00913C03">
      <w:pPr>
        <w:pStyle w:val="IssueSubsectionHeading"/>
        <w:rPr>
          <w:vanish/>
          <w:specVanish/>
        </w:rPr>
      </w:pPr>
      <w:r w:rsidRPr="004C3641">
        <w:t>Recommendation: </w:t>
      </w:r>
    </w:p>
    <w:p w:rsidR="00913C03" w:rsidRDefault="00913C03">
      <w:pPr>
        <w:pStyle w:val="BodyText"/>
      </w:pPr>
      <w:r>
        <w:t> </w:t>
      </w:r>
      <w:r w:rsidR="001E5707">
        <w:t>Staff’s recommended water and wastewater rates, shown on Schedule Nos. 4-A and 4-B, are reasonable and should be approved. The overall cost of capital should be set at 7.77 percent. A return on equity (ROE) of 7.84 percent with a range of plus or minus 100 basis points should also be approved. The approved rates should be effective for services rendered or connections made on or after the stamped approval date on the ta</w:t>
      </w:r>
      <w:r w:rsidR="006305F3">
        <w:t>riff sheets pursuant to Rule 25-30.</w:t>
      </w:r>
      <w:r w:rsidR="001E5707">
        <w:t>475, F.A.C. The Utility should be required to charge the approved rates until authorized to change them by the Commission in a subsequent proceeding. (Sewards, Bruce, Hudson)</w:t>
      </w:r>
    </w:p>
    <w:p w:rsidR="00F10A63" w:rsidRPr="00F10A63" w:rsidRDefault="00300CD6" w:rsidP="00F10A63">
      <w:pPr>
        <w:pStyle w:val="IssueSubsectionHeading"/>
      </w:pPr>
      <w:r>
        <w:t>Staff Analysis:</w:t>
      </w:r>
      <w:r w:rsidR="00FF4A97">
        <w:t> </w:t>
      </w:r>
    </w:p>
    <w:p w:rsidR="001E6B0E" w:rsidRDefault="001E6B0E" w:rsidP="001E6B0E">
      <w:pPr>
        <w:pStyle w:val="First-LevelSubheading"/>
      </w:pPr>
      <w:r>
        <w:t>Projected Rate Base</w:t>
      </w:r>
    </w:p>
    <w:p w:rsidR="001E6B0E" w:rsidRDefault="001E6B0E" w:rsidP="001E6B0E">
      <w:pPr>
        <w:pStyle w:val="BodyText"/>
      </w:pPr>
      <w:r w:rsidRPr="002A1BCB">
        <w:t>Consistent with Commission practice in applications for original certificates, rate base is identified only as a tool to aid in setting initial rates and is not intended to formally establish rate base. Based on Middleton’s growth projections, the Utility anticipates operating at 80 percent of its design capacity in 2039. The Utility’s proposed water and wastewater rate base calculations, as well as staff adjustments, are described below.</w:t>
      </w:r>
    </w:p>
    <w:p w:rsidR="001E6B0E" w:rsidRDefault="001E6B0E" w:rsidP="001E6B0E">
      <w:pPr>
        <w:pStyle w:val="BodyText"/>
      </w:pPr>
      <w:r w:rsidRPr="00A41407">
        <w:t>The Utility proposed plant in service balances of $</w:t>
      </w:r>
      <w:r>
        <w:t xml:space="preserve">20,395,890 </w:t>
      </w:r>
      <w:r w:rsidRPr="00A41407">
        <w:t>for water and $</w:t>
      </w:r>
      <w:r>
        <w:t>26,955,649</w:t>
      </w:r>
      <w:r w:rsidRPr="00A41407">
        <w:t xml:space="preserve"> for wastewater. </w:t>
      </w:r>
      <w:r>
        <w:t>On June 30, 2022, Middleton filed a notice advising the installation of mobile read water meters that were more expensive than those included in the original filing.</w:t>
      </w:r>
      <w:r>
        <w:rPr>
          <w:rStyle w:val="FootnoteReference"/>
        </w:rPr>
        <w:footnoteReference w:id="9"/>
      </w:r>
      <w:r>
        <w:t xml:space="preserve"> Based on staff’s calculations, water plant in service should be increased by $3,925,062 to account for the updated water meter costs. Additionally, the Utility proposed intangible plant balances of $1,220,320 for water and $3,599,155 for wastewater. These balances represent estimated plant capacity fees paid to </w:t>
      </w:r>
      <w:r w:rsidR="00CE69F1">
        <w:t>Gibson</w:t>
      </w:r>
      <w:r>
        <w:t>. Staff has recalculated intangible plant using the plant capacity fees established for Gibson by the Commission.</w:t>
      </w:r>
      <w:r>
        <w:rPr>
          <w:rStyle w:val="FootnoteReference"/>
        </w:rPr>
        <w:footnoteReference w:id="10"/>
      </w:r>
      <w:r>
        <w:t xml:space="preserve"> As such, plant in service should be increased by $6,518,980 for water and $19,232,745 for wastewater. Based on the adjustments above, staff recommends plant in service balances of $30,839,932 for water and $46,188,394 for wastewater. </w:t>
      </w:r>
    </w:p>
    <w:p w:rsidR="001E6B0E" w:rsidRDefault="001E6B0E" w:rsidP="001E6B0E">
      <w:pPr>
        <w:pStyle w:val="BodyText"/>
      </w:pPr>
      <w:r w:rsidRPr="002A1BCB">
        <w:t>Middleton proposed an accumulated depreciation balance of $4,112,276 for water and $7,025,132 for wastewater. Based on corresponding adjustments to plant in service, accumulated depreciation should be increased by $4,748,078 for water and $7,933,508 for wastewater. As such, staff recommends accumulated depreciation balances of $8,860,354 for water and $14,958,640 for wastewater.</w:t>
      </w:r>
      <w:r>
        <w:t xml:space="preserve"> </w:t>
      </w:r>
    </w:p>
    <w:p w:rsidR="001E6B0E" w:rsidRDefault="001E6B0E" w:rsidP="001E6B0E">
      <w:pPr>
        <w:pStyle w:val="BodyText"/>
      </w:pPr>
      <w:r>
        <w:t xml:space="preserve">In its filing, the Utility proposed contributions in aid of construction (CIAC) balances of $15,371,202 for water and $19,961,062 for wastewater. As discussed further below, staff has recommended an adjustment to the plant and main capacity charges, as well as an updated meter installation charge that was not included in Middleton’s proposed CIAC calculation for the water system. As a result, staff recommends an adjustment to increase CIAC by $7,387,936 for water </w:t>
      </w:r>
      <w:r>
        <w:lastRenderedPageBreak/>
        <w:t>and $7,389,558 for wastewater. Based on these adjustments, staff recommends CIAC balances of $22,759,138 for water and $27,350,620 for wastewater.</w:t>
      </w:r>
    </w:p>
    <w:p w:rsidR="001E6B0E" w:rsidRDefault="001E6B0E" w:rsidP="001E6B0E">
      <w:pPr>
        <w:pStyle w:val="BodyText"/>
      </w:pPr>
      <w:r>
        <w:t xml:space="preserve">Middleton proposed accumulated amortization of CIAC balances of $2,950,381 for water and $4,707,109 for wastewater. As discussed further below, staff has recommended an adjustment to the plant and main capacity charges, as well as an updated meter installation charge that was not included in Middleton’s proposed CIAC calculation for the water system. Additionally, using the depreciation rates pursuant to Rule 25-30.140, F.A.C., </w:t>
      </w:r>
      <w:proofErr w:type="gramStart"/>
      <w:r>
        <w:t>staff</w:t>
      </w:r>
      <w:proofErr w:type="gramEnd"/>
      <w:r>
        <w:t xml:space="preserve"> has adjusted accumulated amortization of CIAC to reflect the use of the proper accounts in determining amortization rates for the plant capacity and main extension charges. As a result, staff recommends adjustments to increase accumulated amortization by $2,214,149 for water and $703,217 for wastewater. Based on these adjustments, staff recommends accumulated amortization of CIAC balances of $5,164,530 for water and $5,410,326 for wastewater.</w:t>
      </w:r>
    </w:p>
    <w:p w:rsidR="001E6B0E" w:rsidRDefault="001E6B0E" w:rsidP="001E6B0E">
      <w:pPr>
        <w:pStyle w:val="BodyText"/>
      </w:pPr>
      <w:r w:rsidRPr="00376A48">
        <w:t>Middleton proposed a working capital allowance of $202,375 for water and $516,169 for wastewater based on the one-eighth of the estimated operation and maintenance (O&amp;M) expenses for each system. The Commission has previously allowed this methodology in original certificate cases as the O&amp;M expenses are just an estimate.</w:t>
      </w:r>
      <w:r w:rsidRPr="00376A48">
        <w:rPr>
          <w:rStyle w:val="FootnoteReference"/>
        </w:rPr>
        <w:footnoteReference w:id="11"/>
      </w:r>
      <w:r w:rsidRPr="00376A48">
        <w:t xml:space="preserve"> </w:t>
      </w:r>
      <w:r w:rsidRPr="00C05AAB">
        <w:t>Based on the adjustments discussed in the operation and maintenance expenses section below, staff recommends a working capital allowance of $221,175 for water and $667,304 for wastewater.</w:t>
      </w:r>
    </w:p>
    <w:p w:rsidR="001E6B0E" w:rsidRDefault="001E6B0E" w:rsidP="001E6B0E">
      <w:pPr>
        <w:pStyle w:val="BodyText"/>
      </w:pPr>
      <w:r w:rsidRPr="00376A48">
        <w:t>In total, the Utility proposed a rate base of $4,065,168 for water and $5,192,733 for wastewater. Based on the adjustments discussed above, staff recommends that the rate base be increased by $</w:t>
      </w:r>
      <w:r>
        <w:t>540,977</w:t>
      </w:r>
      <w:r w:rsidRPr="00376A48">
        <w:t xml:space="preserve"> for water and $4,</w:t>
      </w:r>
      <w:r>
        <w:t>764,031</w:t>
      </w:r>
      <w:r w:rsidRPr="00376A48">
        <w:t xml:space="preserve"> for wastewater. As such, staff recommends an adjusted rate base of $4,</w:t>
      </w:r>
      <w:r>
        <w:t>606,145</w:t>
      </w:r>
      <w:r w:rsidRPr="00376A48">
        <w:t xml:space="preserve"> for water and $9,</w:t>
      </w:r>
      <w:r>
        <w:t>956,764</w:t>
      </w:r>
      <w:r w:rsidRPr="00376A48">
        <w:t xml:space="preserve"> for wastewater be approved. Rate base calculations for the water and wastewater systems are shown on Schedule Nos. 1-A and 1-B, respectively. Staff’s adjustments are shown on Schedule No. 1-C.</w:t>
      </w:r>
    </w:p>
    <w:p w:rsidR="001E6B0E" w:rsidRPr="00376A48" w:rsidRDefault="001E6B0E" w:rsidP="001E6B0E">
      <w:pPr>
        <w:pStyle w:val="First-LevelSubheading"/>
      </w:pPr>
      <w:r w:rsidRPr="00376A48">
        <w:t>Cost of Capital</w:t>
      </w:r>
    </w:p>
    <w:p w:rsidR="001E6B0E" w:rsidRPr="00AB3B82" w:rsidRDefault="001E6B0E" w:rsidP="001E6B0E">
      <w:pPr>
        <w:pStyle w:val="BodyText"/>
      </w:pPr>
      <w:r w:rsidRPr="00376A48">
        <w:t>Middleton proposed a</w:t>
      </w:r>
      <w:r w:rsidR="00EB3F9F">
        <w:t>n</w:t>
      </w:r>
      <w:r w:rsidRPr="00376A48">
        <w:t xml:space="preserve"> </w:t>
      </w:r>
      <w:r w:rsidR="00F10A63">
        <w:t>ROE</w:t>
      </w:r>
      <w:r w:rsidRPr="00376A48">
        <w:t xml:space="preserve"> of 7.88 percent, based on the leverage formula in effect at the time of filing. However, staff recommends the Utility’s ROE be based on the current leverage formula in effect.</w:t>
      </w:r>
      <w:r w:rsidRPr="00376A48">
        <w:rPr>
          <w:rStyle w:val="FootnoteReference"/>
        </w:rPr>
        <w:footnoteReference w:id="12"/>
      </w:r>
      <w:r w:rsidRPr="00376A48">
        <w:t xml:space="preserve"> Using the current leverage formula, staff recommends an ROE of 7.84 percent. As such, staff recommends an overall cost of capital of 7.77 percent. The appropriate ROE for Middleton is 7.84 percent, with a range of plus or minus 100 basis points, as shown on Schedule No. 2.</w:t>
      </w:r>
      <w:r>
        <w:t xml:space="preserve"> </w:t>
      </w:r>
    </w:p>
    <w:p w:rsidR="001E6B0E" w:rsidRPr="00376A48" w:rsidRDefault="001E6B0E" w:rsidP="001E6B0E">
      <w:pPr>
        <w:pStyle w:val="First-LevelSubheading"/>
      </w:pPr>
      <w:r w:rsidRPr="00376A48">
        <w:t>Net Operating Income</w:t>
      </w:r>
    </w:p>
    <w:p w:rsidR="00841D42" w:rsidRDefault="001E6B0E" w:rsidP="001E6B0E">
      <w:pPr>
        <w:pStyle w:val="BodyText"/>
      </w:pPr>
      <w:r w:rsidRPr="00376A48">
        <w:t>The Utility projected net operating income (NOI) for the water and wastewater systems of $316,271 and $403,994, respectively. Based on the adjustments above, staff calculated an NOI of $</w:t>
      </w:r>
      <w:r>
        <w:t>358,060</w:t>
      </w:r>
      <w:r w:rsidRPr="00376A48">
        <w:t xml:space="preserve"> for water and $</w:t>
      </w:r>
      <w:r>
        <w:t>773,992</w:t>
      </w:r>
      <w:r w:rsidRPr="00376A48">
        <w:t xml:space="preserve"> for wastewater. The calculated NOI for the water and wastewater systems are shown in Schedule Nos. 3-A and 3-B, respectively.</w:t>
      </w:r>
    </w:p>
    <w:p w:rsidR="00841D42" w:rsidRDefault="00841D42" w:rsidP="001E6B0E">
      <w:pPr>
        <w:pStyle w:val="First-LevelSubheading"/>
        <w:sectPr w:rsidR="00841D42"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1E6B0E" w:rsidRPr="00376A48" w:rsidRDefault="001E6B0E" w:rsidP="001E6B0E">
      <w:pPr>
        <w:pStyle w:val="First-LevelSubheading"/>
      </w:pPr>
      <w:r w:rsidRPr="00376A48">
        <w:lastRenderedPageBreak/>
        <w:t>Operation and Maintenance Expenses</w:t>
      </w:r>
    </w:p>
    <w:p w:rsidR="002F0B9E" w:rsidRDefault="00742D36" w:rsidP="001E6B0E">
      <w:pPr>
        <w:pStyle w:val="BodyText"/>
        <w:rPr>
          <w:color w:val="000000"/>
        </w:rPr>
      </w:pPr>
      <w:r>
        <w:rPr>
          <w:color w:val="000000"/>
        </w:rPr>
        <w:t>Middleton proposed total O&amp;M expenses of $1,618,998 for water and $4,129,354 for wastewater. Middleton purchases bulk services from Gibson. Included in the utility’s proposed O&amp;M expense is purchased water of $940,308 and purchased wastewater treatment of $3,201,508. The purchased water and purchased wastewater treatment expense is based on the bulk service rates that Gibson will assess to Middleton for services. In the Gibson proceeding</w:t>
      </w:r>
      <w:r w:rsidR="002F0B9E">
        <w:rPr>
          <w:color w:val="000000"/>
        </w:rPr>
        <w:t xml:space="preserve"> (Docket No. 2020185-WS)</w:t>
      </w:r>
      <w:r>
        <w:rPr>
          <w:color w:val="000000"/>
        </w:rPr>
        <w:t>, the Commission approved bulk service rates which reflected Gibson at 80 percent design capacity and Middleton at 18 percent design capacity. For original certificates, consistent with Commission practice, initial rates are set based on 80 percent design capacity. According to the two utilities</w:t>
      </w:r>
      <w:r w:rsidR="00B118EE">
        <w:rPr>
          <w:color w:val="000000"/>
        </w:rPr>
        <w:t>’</w:t>
      </w:r>
      <w:r>
        <w:rPr>
          <w:color w:val="000000"/>
        </w:rPr>
        <w:t xml:space="preserve"> projected timelines for development, Gibson will be at 100 percent when Middleton reaches 80 percent. In this proceeding, for purposes of calculating O&amp;M expenses for Middleton, staff assumed in its calculations the bulk service rates to reflect Middleton at 80 percent design capacity and Gibson at 100 percent design capacity, which equitably distributes costs based on the stage of development for each respective utility. </w:t>
      </w:r>
    </w:p>
    <w:p w:rsidR="001E6B0E" w:rsidRPr="00185DBB" w:rsidRDefault="00742D36" w:rsidP="001E6B0E">
      <w:pPr>
        <w:pStyle w:val="BodyText"/>
      </w:pPr>
      <w:r>
        <w:rPr>
          <w:color w:val="000000"/>
        </w:rPr>
        <w:t>As a result, staff determined purchased water should be $1,099,713 and purchased wastewater should be $4,410,586. This results in an increase of $150,405 ($1,099,713 - $940,308) to purchased water and $1,209,078 ($4,410,586 - $3,201,508) to wastewater. Based on these adjustments, staff recommends O&amp;M expenses of $1,769,403 ($1,618,998 + $150,405) for water and $5,338,432 ($4,129,354 + $1,209,078) for wastewater.</w:t>
      </w:r>
    </w:p>
    <w:p w:rsidR="001E6B0E" w:rsidRPr="00BB62BA" w:rsidRDefault="001E6B0E" w:rsidP="001E6B0E">
      <w:pPr>
        <w:pStyle w:val="First-LevelSubheading"/>
      </w:pPr>
      <w:r w:rsidRPr="00BB62BA">
        <w:t>Net Depreciation Expense</w:t>
      </w:r>
    </w:p>
    <w:p w:rsidR="001E6B0E" w:rsidRPr="00BB62BA" w:rsidRDefault="001E6B0E" w:rsidP="001E6B0E">
      <w:pPr>
        <w:pStyle w:val="BodyText"/>
      </w:pPr>
      <w:r w:rsidRPr="00BB62BA">
        <w:t>The Utility reflected depreciation expense, net of CIAC amortization, of $89,535 for water and $113,296 for wastewater. Based on staff’s adjustments to rate base, corresponding adjustments should be made to increase net depreciation expense by $94,477 for water and $394,512 for wastewater. Additionally, Middleton reflected amortization expense balances of $62,466 for water and $90,704 for wastewater to reflect amortization of organization costs. Organization costs are typically recorded in Accounts 301 and 351 and amortized pursuant to Rule 25-30.140, F.A.C. As such, staff has reclassified organization costs for water and wastewater as depreciation expense. These adjustments result in net depreciation expense of $246,478 ($89,535 + $94,477 + $62,466) for water, and $598,512 ($113,296 + $394,512 + $90,704) for wastewater.</w:t>
      </w:r>
    </w:p>
    <w:p w:rsidR="001E6B0E" w:rsidRPr="00BB62BA" w:rsidRDefault="001E6B0E" w:rsidP="001E6B0E">
      <w:pPr>
        <w:pStyle w:val="First-LevelSubheading"/>
      </w:pPr>
      <w:r w:rsidRPr="00BB62BA">
        <w:t>Amortization Expense</w:t>
      </w:r>
    </w:p>
    <w:p w:rsidR="001E6B0E" w:rsidRPr="00BB62BA" w:rsidRDefault="001E6B0E" w:rsidP="001E6B0E">
      <w:pPr>
        <w:pStyle w:val="BodyText"/>
      </w:pPr>
      <w:r w:rsidRPr="00BB62BA">
        <w:t>Middleton reflected amortization expense balances of $62,466 for water and $90,704 for wastewater to reflect amortization of organization costs. Organization costs are typically recorded in Accounts 301 and 351 and amortized pursuant to Rule 25-30.140, F.A.C. As such, staff has reclassified organization costs for water and wastewater as depreciation expense and included them in its calculation of net depreciation expense above.</w:t>
      </w:r>
    </w:p>
    <w:p w:rsidR="001E6B0E" w:rsidRDefault="001E6B0E" w:rsidP="001E6B0E">
      <w:pPr>
        <w:pStyle w:val="First-LevelSubheading"/>
      </w:pPr>
      <w:r>
        <w:t>Taxes Other Than Income</w:t>
      </w:r>
    </w:p>
    <w:p w:rsidR="001E6B0E" w:rsidRDefault="001E6B0E" w:rsidP="001E6B0E">
      <w:pPr>
        <w:pStyle w:val="BodyText"/>
      </w:pPr>
      <w:r>
        <w:t xml:space="preserve">In its filing, Middleton included taxes other than income (TOTI) expense of $426,144 for water and $714,904 for wastewater. Middleton’s calculation of proposed property tax expense for each system was based on the Sumter County millage rate from 2020. Staff recalculated the property tax expense for each system using the most recent millage rate and recommends an adjustment be made to decrease property tax by $7,468 for water and $15,727 for wastewater. Staff also made a corresponding adjustment to increase regulatory assessment fees (RAFs) by $13,156 for </w:t>
      </w:r>
      <w:r>
        <w:lastRenderedPageBreak/>
        <w:t>water and $92,255 for wastewater to reflect staff’s recommended revenue requirement. Therefore, staff recommends a TOTI balance of $431,832 for water and $791,432 for wastewater.</w:t>
      </w:r>
    </w:p>
    <w:p w:rsidR="001E6B0E" w:rsidRDefault="001E6B0E" w:rsidP="001E6B0E">
      <w:pPr>
        <w:pStyle w:val="First-LevelSubheading"/>
      </w:pPr>
      <w:r>
        <w:t>Revenue Requirement</w:t>
      </w:r>
    </w:p>
    <w:p w:rsidR="001845FC" w:rsidRDefault="001E6B0E" w:rsidP="001E6B0E">
      <w:pPr>
        <w:pStyle w:val="BodyText"/>
      </w:pPr>
      <w:r>
        <w:t>The Utility’s projected revenues include O&amp;M expenses, net depreciation expense, taxes other than income, as well as a return on investment. As a limited liability company, staff notes that Middleton has no income tax expense. The Utility proposed revenue requirements for water and wastewater of $2,513,414 and $5,452,252</w:t>
      </w:r>
      <w:r w:rsidR="00C02FCF">
        <w:t>,</w:t>
      </w:r>
      <w:r>
        <w:t xml:space="preserve"> respectively. Staff recommends adjusted revenue requirements of $2,805,774 for water and $7,502,369 for wastewater to be used to set initial rates for service. The calculation of Middleton’s projected water and wastewater revenue requirements are shown on Schedule Nos. 3-A and 3-B, respectively. Staff’s adjustments are shown on Schedule No. 3-C.</w:t>
      </w:r>
    </w:p>
    <w:p w:rsidR="002D126F" w:rsidRPr="002405CB" w:rsidRDefault="002D126F" w:rsidP="002D126F">
      <w:pPr>
        <w:jc w:val="both"/>
        <w:rPr>
          <w:rFonts w:ascii="Arial" w:hAnsi="Arial" w:cs="Arial"/>
          <w:b/>
        </w:rPr>
      </w:pPr>
      <w:r w:rsidRPr="002405CB">
        <w:rPr>
          <w:rFonts w:ascii="Arial" w:hAnsi="Arial" w:cs="Arial"/>
          <w:b/>
        </w:rPr>
        <w:t>Rates and Rate Structure</w:t>
      </w:r>
    </w:p>
    <w:p w:rsidR="002D126F" w:rsidRDefault="002D126F" w:rsidP="001E5707">
      <w:pPr>
        <w:spacing w:after="240"/>
        <w:jc w:val="both"/>
      </w:pPr>
      <w:r>
        <w:t>Middleton’s proposed rates</w:t>
      </w:r>
      <w:r w:rsidR="006305F3">
        <w:t xml:space="preserve"> are in accordance with Rule 25-</w:t>
      </w:r>
      <w:r>
        <w:t xml:space="preserve">30.033(2), F.A.C., which requires that a base facility charge and usage rate structure, as defined in Rule 25-30.437(6), F.A.C., be utilized for metered service. The Utility’s proposed rates were designed to generate the Utility’s requested revenue requirements of </w:t>
      </w:r>
      <w:r w:rsidRPr="0051300C">
        <w:t>$2,513,414</w:t>
      </w:r>
      <w:r>
        <w:t xml:space="preserve"> for its water system and </w:t>
      </w:r>
      <w:r w:rsidRPr="0051300C">
        <w:t>$5,452,252</w:t>
      </w:r>
      <w:r>
        <w:t xml:space="preserve"> for its wastewater system.</w:t>
      </w:r>
    </w:p>
    <w:p w:rsidR="002D126F" w:rsidRDefault="002D126F" w:rsidP="0069335D">
      <w:pPr>
        <w:spacing w:after="240"/>
        <w:jc w:val="both"/>
      </w:pPr>
      <w:r>
        <w:t>Staff’s recommended water rates shown on Schedule No. 4-A reflect the recommended revenue requirement of $2,805,774 for the water system less projected miscellaneous revenues of $7,276. The Utility projects an average residential consumption of approximately 6,844 gallons per month. The Utility proposed a residential rate structure consisting of a base facility charge (BFC) and two-tier inclining blocks with rate blocks of 1) 0-7,000 gallons and 2) all usage in excess of 7,000 gallons per month. The Utility’s proposed rate structure for the general service water customers consists of a BFC and uniform gallonage charge rate structure. The Utility’s proposed water rates recover 40 percent of the water revenues through the BFC. Staff believes the Utility’s proposed water rate structure is reasonable and consistent with the Commission’s methodology in determining water rate structures.</w:t>
      </w:r>
    </w:p>
    <w:p w:rsidR="002D126F" w:rsidRDefault="002D126F" w:rsidP="0069335D">
      <w:pPr>
        <w:spacing w:after="240"/>
        <w:jc w:val="both"/>
      </w:pPr>
      <w:r>
        <w:t>Staff’s recommended wastewater rates shown on Schedule 4-B reflect the recommended revenue requirement of $7,495,092 less projected miscellaneous revenues of $7,276. Middleton’s proposed wastewater rates include a BFC and uniform gallonage charge rate structure for its residential and general service customers. The residential wastewater rate includes a gallonage cap of 10,000 gallons. The Utility proposed recovering 50 percent of the revenues through the BFC. Staff believes the Utility’s proposed wastewater rate structure is reasonable and consistent with the Commission’s methodology in determining wastewater rate structures.</w:t>
      </w:r>
    </w:p>
    <w:p w:rsidR="002D126F" w:rsidRDefault="002D126F" w:rsidP="002D126F">
      <w:pPr>
        <w:pStyle w:val="BodyText"/>
      </w:pPr>
      <w:r>
        <w:t>Based on the above, staff’s recommended water and wastewater rates and rate structures shown on Schedule Nos. 4-A and 4-B should be approved. The approved rates should be effective for services rendered on or after the stamped approval date on the tariff sheets, pursuant to Rule 25-30.475, F.A.C. Middleton Utility should be required to charge the approved rates until authorized to change them by the Commission in a subsequent proceeding.</w:t>
      </w:r>
    </w:p>
    <w:p w:rsidR="00C364AA" w:rsidRPr="002D126F" w:rsidRDefault="00C364AA" w:rsidP="002D126F">
      <w:pPr>
        <w:pStyle w:val="BodyText"/>
      </w:pPr>
    </w:p>
    <w:p w:rsidR="00C364AA" w:rsidRDefault="00C364AA" w:rsidP="00322D9B">
      <w:pPr>
        <w:pStyle w:val="First-LevelSubheading"/>
        <w:sectPr w:rsidR="00C364AA" w:rsidSect="0068481F">
          <w:pgSz w:w="12240" w:h="15840" w:code="1"/>
          <w:pgMar w:top="1584" w:right="1440" w:bottom="1440" w:left="1440" w:header="720" w:footer="720" w:gutter="0"/>
          <w:cols w:space="720"/>
          <w:formProt w:val="0"/>
          <w:docGrid w:linePitch="360"/>
        </w:sectPr>
      </w:pPr>
    </w:p>
    <w:p w:rsidR="00322D9B" w:rsidRDefault="00322D9B" w:rsidP="00322D9B">
      <w:pPr>
        <w:pStyle w:val="First-LevelSubheading"/>
      </w:pPr>
      <w:r>
        <w:lastRenderedPageBreak/>
        <w:t>Conclusion</w:t>
      </w:r>
    </w:p>
    <w:p w:rsidR="001E6B0E" w:rsidRDefault="0069335D" w:rsidP="001E6B0E">
      <w:pPr>
        <w:pStyle w:val="BodyText"/>
      </w:pPr>
      <w:r>
        <w:t>Staff’s recommended water and wastewater rates, shown on Schedule Nos. 4-A and 4-B, are reasonable and should be approved. The overall cost of capital should be set at 7.77 percent. A</w:t>
      </w:r>
      <w:r w:rsidR="00FC34DE">
        <w:t>n</w:t>
      </w:r>
      <w:r>
        <w:t xml:space="preserve"> </w:t>
      </w:r>
      <w:r w:rsidR="00AD5CDA">
        <w:t>ROE</w:t>
      </w:r>
      <w:r>
        <w:t xml:space="preserve"> of 7.84 percent with a range of plus or minus 100 basis points should also be approved. The approved rates should be effective for services rendered or connections made on or after the stamped approval date on the tarif</w:t>
      </w:r>
      <w:r w:rsidR="006305F3">
        <w:t>f sheets pursuant to Rule 25-30.</w:t>
      </w:r>
      <w:r>
        <w:t>475, F.A.C. The Utility should be required to charge the approved rates until authorized to change them by the Commission in a subsequent proceeding.</w:t>
      </w:r>
    </w:p>
    <w:p w:rsidR="0069335D" w:rsidRDefault="0069335D">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3</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3</w:instrText>
      </w:r>
      <w:r>
        <w:fldChar w:fldCharType="end"/>
      </w:r>
      <w:r>
        <w:tab/>
        <w:instrText xml:space="preserve">" \l 1 </w:instrText>
      </w:r>
      <w:r>
        <w:fldChar w:fldCharType="end"/>
      </w:r>
      <w:r>
        <w:t> </w:t>
      </w:r>
    </w:p>
    <w:p w:rsidR="0069335D" w:rsidRDefault="0069335D">
      <w:pPr>
        <w:pStyle w:val="BodyText"/>
      </w:pPr>
      <w:r>
        <w:t> </w:t>
      </w:r>
      <w:r w:rsidR="00C56158">
        <w:t>Should Middleton Utility Company, LLC</w:t>
      </w:r>
      <w:r w:rsidR="00C02FCF">
        <w:t>’s</w:t>
      </w:r>
      <w:r w:rsidR="00F66C5C" w:rsidRPr="00EC5892">
        <w:t xml:space="preserve"> requested initial customer deposits be approved?</w:t>
      </w:r>
    </w:p>
    <w:p w:rsidR="0069335D" w:rsidRPr="004C3641" w:rsidRDefault="0069335D">
      <w:pPr>
        <w:pStyle w:val="IssueSubsectionHeading"/>
        <w:rPr>
          <w:vanish/>
          <w:specVanish/>
        </w:rPr>
      </w:pPr>
      <w:r w:rsidRPr="004C3641">
        <w:t>Recommendation: </w:t>
      </w:r>
    </w:p>
    <w:p w:rsidR="0069335D" w:rsidRDefault="0069335D">
      <w:pPr>
        <w:pStyle w:val="BodyText"/>
      </w:pPr>
      <w:r>
        <w:t> </w:t>
      </w:r>
      <w:r w:rsidR="00945CD1" w:rsidRPr="00EC5892">
        <w:t>No. The appropriate initial customer deposits are $</w:t>
      </w:r>
      <w:r w:rsidR="00945CD1">
        <w:t>78</w:t>
      </w:r>
      <w:r w:rsidR="00945CD1" w:rsidRPr="00EC5892">
        <w:t xml:space="preserve"> for water and $</w:t>
      </w:r>
      <w:r w:rsidR="00945CD1">
        <w:t>207</w:t>
      </w:r>
      <w:r w:rsidR="00945CD1" w:rsidRPr="00EC5892">
        <w:t xml:space="preserve"> for wastewater service for the residential 5/8″ x 3/4″ meter size. The initial customer deposits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w:t>
      </w:r>
      <w:r w:rsidR="00945CD1">
        <w:t>a subsequent proceeding. (Bruce</w:t>
      </w:r>
      <w:r w:rsidR="00945CD1" w:rsidRPr="00EC5892">
        <w:t>)</w:t>
      </w:r>
      <w:r>
        <w:t xml:space="preserve"> </w:t>
      </w:r>
    </w:p>
    <w:p w:rsidR="0069335D" w:rsidRPr="004C3641" w:rsidRDefault="0069335D">
      <w:pPr>
        <w:pStyle w:val="IssueSubsectionHeading"/>
        <w:rPr>
          <w:vanish/>
          <w:specVanish/>
        </w:rPr>
      </w:pPr>
      <w:r w:rsidRPr="004C3641">
        <w:t>Staff Analysis: </w:t>
      </w:r>
    </w:p>
    <w:p w:rsidR="00945CD1" w:rsidRPr="00EC5892" w:rsidRDefault="0069335D" w:rsidP="00945CD1">
      <w:pPr>
        <w:spacing w:after="240"/>
        <w:jc w:val="both"/>
        <w:outlineLvl w:val="1"/>
      </w:pPr>
      <w:r>
        <w:t> </w:t>
      </w:r>
      <w:r w:rsidR="00945CD1" w:rsidRPr="00EC5892">
        <w:t xml:space="preserve">Rule 25-30.311, F.A.C., contains criteria for collecting, administering, and refunding customer deposits. Rule 25-30.311(1), F.A.C., requires that each company’s tariff shall contain its specific criteria for determining the amount of initial deposits. </w:t>
      </w:r>
      <w:r w:rsidR="00945CD1">
        <w:t xml:space="preserve">The Utility requested initial customer deposits of $71.70 for water and </w:t>
      </w:r>
      <w:r w:rsidR="00945CD1" w:rsidRPr="00EC5892">
        <w:t>$</w:t>
      </w:r>
      <w:r w:rsidR="00945CD1">
        <w:t>1</w:t>
      </w:r>
      <w:r w:rsidR="00945CD1" w:rsidRPr="00EC5892">
        <w:t>5</w:t>
      </w:r>
      <w:r w:rsidR="00945CD1">
        <w:t>0</w:t>
      </w:r>
      <w:r w:rsidR="00945CD1" w:rsidRPr="00EC5892">
        <w:t>.</w:t>
      </w:r>
      <w:r w:rsidR="00945CD1">
        <w:t>26</w:t>
      </w:r>
      <w:r w:rsidR="00945CD1" w:rsidRPr="00EC5892">
        <w:t xml:space="preserve"> for wastewater for the residential 5/8″ x 3/4″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 which ensures that the cost of providing service is recovered from the cost causer.</w:t>
      </w:r>
    </w:p>
    <w:p w:rsidR="00945CD1" w:rsidRPr="00EC5892" w:rsidRDefault="00945CD1" w:rsidP="00945CD1">
      <w:pPr>
        <w:spacing w:after="240"/>
        <w:jc w:val="both"/>
        <w:outlineLvl w:val="1"/>
      </w:pPr>
      <w:r w:rsidRPr="00EC5892">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w:t>
      </w:r>
      <w:r>
        <w:t>Based on the billing determinants and average residential bill provided in the</w:t>
      </w:r>
      <w:r w:rsidRPr="00EC5892">
        <w:t xml:space="preserve"> application</w:t>
      </w:r>
      <w:r>
        <w:t>,</w:t>
      </w:r>
      <w:r w:rsidRPr="00EC5892">
        <w:t xml:space="preserve"> </w:t>
      </w:r>
      <w:r>
        <w:t>staff</w:t>
      </w:r>
      <w:r w:rsidRPr="00EC5892">
        <w:t xml:space="preserve"> determined that the anticipated average residential u</w:t>
      </w:r>
      <w:r>
        <w:t>sage will be approximately 6,844</w:t>
      </w:r>
      <w:r w:rsidRPr="00EC5892">
        <w:t xml:space="preserve"> gallons per month for both water and wastewater. Consequently, the average residential monthly bill will be approximately $</w:t>
      </w:r>
      <w:r>
        <w:t>38.97</w:t>
      </w:r>
      <w:r w:rsidRPr="00EC5892">
        <w:t xml:space="preserve"> for water and $</w:t>
      </w:r>
      <w:r>
        <w:t>103.35</w:t>
      </w:r>
      <w:r w:rsidRPr="00EC5892">
        <w:t xml:space="preserve"> for wastewater service, based on staff’s recommended rates.</w:t>
      </w:r>
    </w:p>
    <w:p w:rsidR="0069335D" w:rsidRDefault="00945CD1" w:rsidP="00945CD1">
      <w:pPr>
        <w:pStyle w:val="BodyText"/>
      </w:pPr>
      <w:r w:rsidRPr="00EC5892">
        <w:t>Based on the above,</w:t>
      </w:r>
      <w:r w:rsidRPr="00EC5892">
        <w:rPr>
          <w:rFonts w:asciiTheme="minorHAnsi" w:hAnsiTheme="minorHAnsi"/>
          <w:sz w:val="22"/>
        </w:rPr>
        <w:t xml:space="preserve"> t</w:t>
      </w:r>
      <w:r w:rsidRPr="00EC5892">
        <w:t>he appropriate initial customer deposits are $</w:t>
      </w:r>
      <w:r>
        <w:t xml:space="preserve">78 </w:t>
      </w:r>
      <w:r w:rsidRPr="00EC5892">
        <w:t>for water and $</w:t>
      </w:r>
      <w:r>
        <w:t xml:space="preserve">207 </w:t>
      </w:r>
      <w:r w:rsidRPr="00EC5892">
        <w:t>for wastewater service for the residential 5/8″ x 3/4″ meter size. The initial customer deposit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w:t>
      </w:r>
    </w:p>
    <w:p w:rsidR="00CC4D5A" w:rsidRDefault="00CC4D5A">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4</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4</w:instrText>
      </w:r>
      <w:r>
        <w:fldChar w:fldCharType="end"/>
      </w:r>
      <w:r>
        <w:tab/>
        <w:instrText xml:space="preserve">" \l 1 </w:instrText>
      </w:r>
      <w:r>
        <w:fldChar w:fldCharType="end"/>
      </w:r>
      <w:r>
        <w:t> </w:t>
      </w:r>
    </w:p>
    <w:p w:rsidR="00CC4D5A" w:rsidRDefault="00CC4D5A">
      <w:pPr>
        <w:pStyle w:val="BodyText"/>
      </w:pPr>
      <w:r>
        <w:t> </w:t>
      </w:r>
      <w:r w:rsidR="00863415">
        <w:t xml:space="preserve">Should the temporary meter deposit requested by </w:t>
      </w:r>
      <w:r w:rsidR="00B554C3">
        <w:t>Middleton Utility Company, LLC</w:t>
      </w:r>
      <w:r w:rsidR="00863415">
        <w:t xml:space="preserve"> be approved?</w:t>
      </w:r>
    </w:p>
    <w:p w:rsidR="00CC4D5A" w:rsidRPr="004C3641" w:rsidRDefault="00CC4D5A">
      <w:pPr>
        <w:pStyle w:val="IssueSubsectionHeading"/>
        <w:rPr>
          <w:vanish/>
          <w:specVanish/>
        </w:rPr>
      </w:pPr>
      <w:r w:rsidRPr="004C3641">
        <w:t>Recommendation: </w:t>
      </w:r>
    </w:p>
    <w:p w:rsidR="00CC4D5A" w:rsidRDefault="00CC4D5A">
      <w:pPr>
        <w:pStyle w:val="BodyText"/>
      </w:pPr>
      <w:r>
        <w:t> </w:t>
      </w:r>
      <w:r w:rsidR="00863415" w:rsidRPr="003849E8">
        <w:t xml:space="preserve">Yes. </w:t>
      </w:r>
      <w:r w:rsidR="00863415">
        <w:t xml:space="preserve">The </w:t>
      </w:r>
      <w:r w:rsidR="00863415" w:rsidRPr="003849E8">
        <w:t>Utility’s requested temporary meter deposit for general service customers at actual cost pursuant to Rules</w:t>
      </w:r>
      <w:r w:rsidR="00863415" w:rsidRPr="003849E8">
        <w:rPr>
          <w:bCs/>
          <w:iCs/>
          <w:szCs w:val="28"/>
        </w:rPr>
        <w:t xml:space="preserve"> 25-30.315 and 25-30.345, F.A.C.,</w:t>
      </w:r>
      <w:r w:rsidR="00863415" w:rsidRPr="003849E8">
        <w:t xml:space="preserve"> is reasonable and should be approved. The approved </w:t>
      </w:r>
      <w:r w:rsidR="00863415">
        <w:t>deposit</w:t>
      </w:r>
      <w:r w:rsidR="00863415" w:rsidRPr="003849E8">
        <w:t xml:space="preserve"> should be effective for service rendered on or after the stamped approval date on the tariff pursuant to Rule 25-30.475, F.A.C. </w:t>
      </w:r>
      <w:r w:rsidR="00863415">
        <w:t>Middleton</w:t>
      </w:r>
      <w:r w:rsidR="00863415" w:rsidRPr="003849E8">
        <w:t xml:space="preserve"> should be required to </w:t>
      </w:r>
      <w:r w:rsidR="00863415">
        <w:t>collect</w:t>
      </w:r>
      <w:r w:rsidR="00863415" w:rsidRPr="003849E8">
        <w:t xml:space="preserve"> the approved </w:t>
      </w:r>
      <w:r w:rsidR="00863415">
        <w:t>deposit,</w:t>
      </w:r>
      <w:r w:rsidR="00863415" w:rsidRPr="003849E8">
        <w:t xml:space="preserve"> </w:t>
      </w:r>
      <w:r w:rsidR="00863415">
        <w:t xml:space="preserve">which covers the anticipated costs of installing and removing facilities and materials for temporary service, </w:t>
      </w:r>
      <w:r w:rsidR="00863415" w:rsidRPr="003849E8">
        <w:t>until authorized to change it by the Commission in a subsequent proceeding. (</w:t>
      </w:r>
      <w:r w:rsidR="00863415">
        <w:t>Bruce</w:t>
      </w:r>
      <w:r w:rsidR="00451624">
        <w:t>)</w:t>
      </w:r>
    </w:p>
    <w:p w:rsidR="00CC4D5A" w:rsidRPr="004C3641" w:rsidRDefault="00CC4D5A">
      <w:pPr>
        <w:pStyle w:val="IssueSubsectionHeading"/>
        <w:rPr>
          <w:vanish/>
          <w:specVanish/>
        </w:rPr>
      </w:pPr>
      <w:r w:rsidRPr="004C3641">
        <w:t>Staff Analysis: </w:t>
      </w:r>
    </w:p>
    <w:p w:rsidR="00863415" w:rsidRPr="003849E8" w:rsidRDefault="00CC4D5A" w:rsidP="00863415">
      <w:pPr>
        <w:spacing w:after="240"/>
        <w:jc w:val="both"/>
        <w:rPr>
          <w:bCs/>
          <w:iCs/>
          <w:szCs w:val="28"/>
        </w:rPr>
      </w:pPr>
      <w:r>
        <w:t> </w:t>
      </w:r>
      <w:r w:rsidR="00863415">
        <w:t>Middleton</w:t>
      </w:r>
      <w:r w:rsidR="00863415" w:rsidRPr="003849E8">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00863415">
        <w:t xml:space="preserve">Middleton </w:t>
      </w:r>
      <w:r w:rsidR="00863415" w:rsidRPr="003849E8">
        <w:rPr>
          <w:bCs/>
          <w:iCs/>
          <w:szCs w:val="28"/>
        </w:rPr>
        <w:t xml:space="preserve">will credit the customer with the reasonable salvage value of the service facilities and materials consistent with Rules 25-30.315 and 25-30.345, F.A.C. </w:t>
      </w:r>
    </w:p>
    <w:p w:rsidR="00CC4D5A" w:rsidRDefault="00863415" w:rsidP="00863415">
      <w:pPr>
        <w:pStyle w:val="BodyText"/>
      </w:pPr>
      <w:r w:rsidRPr="003849E8">
        <w:rPr>
          <w:bCs/>
          <w:iCs/>
          <w:szCs w:val="28"/>
        </w:rPr>
        <w:t xml:space="preserve">Based on the above, the Utility’s requested temporary meter deposit for general service customers at actual cost pursuant to Rules 25-30.315 and 25-30.345, F.A.C., is reasonable and should be approved. The approved </w:t>
      </w:r>
      <w:r>
        <w:rPr>
          <w:bCs/>
          <w:iCs/>
          <w:szCs w:val="28"/>
        </w:rPr>
        <w:t>deposit</w:t>
      </w:r>
      <w:r w:rsidRPr="003849E8">
        <w:rPr>
          <w:bCs/>
          <w:iCs/>
          <w:szCs w:val="28"/>
        </w:rPr>
        <w:t xml:space="preserve"> should be effective for service rendered on or after the stamped approval date on the tariff pursuant to Rule 25-30.475, F.A.C. </w:t>
      </w:r>
      <w:r>
        <w:rPr>
          <w:bCs/>
          <w:iCs/>
          <w:szCs w:val="28"/>
        </w:rPr>
        <w:t>Middleton</w:t>
      </w:r>
      <w:r w:rsidRPr="003849E8">
        <w:t xml:space="preserve"> should be required to </w:t>
      </w:r>
      <w:r>
        <w:t>collect</w:t>
      </w:r>
      <w:r w:rsidRPr="003849E8">
        <w:t xml:space="preserve"> the approved </w:t>
      </w:r>
      <w:r>
        <w:t>deposit,</w:t>
      </w:r>
      <w:r w:rsidRPr="003849E8">
        <w:t xml:space="preserve"> </w:t>
      </w:r>
      <w:r>
        <w:t>which covers the anticipated costs of installing and removing facilities and materials for temporary service, until authorized to change it by the Commission in a subsequent proceeding.</w:t>
      </w:r>
    </w:p>
    <w:p w:rsidR="002B7A95" w:rsidRDefault="002B7A95">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5</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5</w:instrText>
      </w:r>
      <w:r>
        <w:fldChar w:fldCharType="end"/>
      </w:r>
      <w:r>
        <w:tab/>
        <w:instrText xml:space="preserve">" \l 1 </w:instrText>
      </w:r>
      <w:r>
        <w:fldChar w:fldCharType="end"/>
      </w:r>
      <w:r>
        <w:t> </w:t>
      </w:r>
    </w:p>
    <w:p w:rsidR="002B7A95" w:rsidRDefault="002B7A95">
      <w:pPr>
        <w:pStyle w:val="BodyText"/>
      </w:pPr>
      <w:r>
        <w:t> Should the collection device cleaning charge requested by Middleton Utility Company</w:t>
      </w:r>
      <w:r w:rsidR="00B554C3">
        <w:t>, LLC</w:t>
      </w:r>
      <w:r>
        <w:t xml:space="preserve"> be approved?</w:t>
      </w:r>
    </w:p>
    <w:p w:rsidR="002B7A95" w:rsidRPr="004C3641" w:rsidRDefault="002B7A95">
      <w:pPr>
        <w:pStyle w:val="IssueSubsectionHeading"/>
        <w:rPr>
          <w:vanish/>
          <w:specVanish/>
        </w:rPr>
      </w:pPr>
      <w:r w:rsidRPr="004C3641">
        <w:t>Recommendation: </w:t>
      </w:r>
    </w:p>
    <w:p w:rsidR="00CA42F3" w:rsidRDefault="002B7A95" w:rsidP="00CA42F3">
      <w:pPr>
        <w:spacing w:after="240"/>
        <w:jc w:val="both"/>
        <w:outlineLvl w:val="1"/>
      </w:pPr>
      <w:r>
        <w:t> </w:t>
      </w:r>
      <w:r w:rsidRPr="00765BEC">
        <w:rPr>
          <w:rFonts w:ascii="Arial" w:hAnsi="Arial" w:cs="Arial"/>
          <w:b/>
          <w:bCs/>
          <w:i/>
          <w:iCs/>
          <w:szCs w:val="28"/>
        </w:rPr>
        <w:t> </w:t>
      </w:r>
      <w:r>
        <w:t>Yes. The</w:t>
      </w:r>
      <w:r w:rsidRPr="00765BEC">
        <w:t xml:space="preserve"> Utility’s requested collection device cleaning charge</w:t>
      </w:r>
      <w:r>
        <w:t xml:space="preserve"> at actual cost</w:t>
      </w:r>
      <w:r w:rsidRPr="00765BEC">
        <w:t xml:space="preserve"> for general service customers should be approved. The approved charge should be effective for service rendered on or after the stamped approval date on the tariff pursuant to Rule 25-30.475, F.A.C. </w:t>
      </w:r>
      <w:r>
        <w:t xml:space="preserve">Middleton </w:t>
      </w:r>
      <w:r w:rsidRPr="00765BEC">
        <w:t>should be required to charge the approved charge until authorized to change it by the Commission in a subsequent proceeding.</w:t>
      </w:r>
      <w:r>
        <w:t xml:space="preserve"> (Bruce) </w:t>
      </w:r>
    </w:p>
    <w:p w:rsidR="002B7A95" w:rsidRPr="00CA42F3" w:rsidRDefault="002B7A95" w:rsidP="00CA42F3">
      <w:pPr>
        <w:spacing w:after="240"/>
        <w:jc w:val="both"/>
        <w:outlineLvl w:val="1"/>
        <w:rPr>
          <w:rFonts w:ascii="Arial" w:hAnsi="Arial" w:cs="Arial"/>
          <w:b/>
          <w:i/>
          <w:vanish/>
          <w:specVanish/>
        </w:rPr>
      </w:pPr>
      <w:r w:rsidRPr="00CA42F3">
        <w:rPr>
          <w:rFonts w:ascii="Arial" w:hAnsi="Arial" w:cs="Arial"/>
          <w:b/>
          <w:i/>
        </w:rPr>
        <w:t>Staff Analysis: </w:t>
      </w:r>
    </w:p>
    <w:p w:rsidR="00BB649E" w:rsidRDefault="002B7A95" w:rsidP="00BB649E">
      <w:pPr>
        <w:spacing w:after="240"/>
        <w:jc w:val="both"/>
        <w:outlineLvl w:val="1"/>
      </w:pPr>
      <w:r>
        <w:t> </w:t>
      </w:r>
      <w:r w:rsidR="00BB649E">
        <w:t>Middleton</w:t>
      </w:r>
      <w:r w:rsidR="00BB649E" w:rsidRPr="00765BEC">
        <w:rPr>
          <w:bCs/>
          <w:iCs/>
          <w:szCs w:val="28"/>
        </w:rPr>
        <w:t xml:space="preserve"> requested a collection device cleaning charge </w:t>
      </w:r>
      <w:r w:rsidR="00BB649E">
        <w:rPr>
          <w:bCs/>
          <w:iCs/>
          <w:szCs w:val="28"/>
        </w:rPr>
        <w:t xml:space="preserve">at actual cost </w:t>
      </w:r>
      <w:r w:rsidR="00BB649E" w:rsidRPr="00765BEC">
        <w:rPr>
          <w:bCs/>
          <w:iCs/>
          <w:szCs w:val="28"/>
        </w:rPr>
        <w:t xml:space="preserve">for general service customers </w:t>
      </w:r>
      <w:r w:rsidR="00BB649E" w:rsidRPr="00765BEC">
        <w:t>who fail to perform the required actions after rec</w:t>
      </w:r>
      <w:r w:rsidR="00BB649E">
        <w:t>eiving written notice from the U</w:t>
      </w:r>
      <w:r w:rsidR="00BB649E" w:rsidRPr="00765BEC">
        <w:t>tility with an estimate of potential charges.</w:t>
      </w:r>
      <w:r w:rsidR="00BB649E">
        <w:t xml:space="preserve"> Cleaning the collection device helps </w:t>
      </w:r>
      <w:r w:rsidR="00BB649E" w:rsidRPr="0030409B">
        <w:t xml:space="preserve">prevent damage and operational problems in the wastewater collection and treatment system by removing </w:t>
      </w:r>
      <w:r w:rsidR="00BB649E">
        <w:t>fats, oil, and grease (FOG)</w:t>
      </w:r>
      <w:r w:rsidR="00BB649E" w:rsidRPr="0030409B">
        <w:t xml:space="preserve"> from the wastewater stream prior to it entering the collection system.</w:t>
      </w:r>
      <w:r w:rsidR="00BB649E">
        <w:t xml:space="preserve"> </w:t>
      </w:r>
      <w:r w:rsidR="00BB649E" w:rsidRPr="0030409B">
        <w:t>Once FOG is introduced into the wastewater system, it then cools, solidifies, accumulates and restricts wastewater flow within the pipes. Restaurants are the most common type of general service customer to have higher concentrations of FOG in their discharged wastewater.</w:t>
      </w:r>
    </w:p>
    <w:p w:rsidR="00BB649E" w:rsidRPr="00765BEC" w:rsidRDefault="00BB649E" w:rsidP="00BB649E">
      <w:pPr>
        <w:spacing w:after="240"/>
        <w:jc w:val="both"/>
        <w:outlineLvl w:val="1"/>
      </w:pPr>
      <w:r>
        <w:t>Middleton is requiring a</w:t>
      </w:r>
      <w:r w:rsidRPr="00765BEC">
        <w:t xml:space="preserve">ll customers with a grease interceptor </w:t>
      </w:r>
      <w:r>
        <w:t>be</w:t>
      </w:r>
      <w:r w:rsidRPr="00765BEC">
        <w:t xml:space="preserve"> required to have a quarterly cleaning schedule, provide a cleaning manifest to the Utility, and perform any needed maintenance that has been identified by the customer’s grease interceptor cleaning contractor. If a cleaning m</w:t>
      </w:r>
      <w:r>
        <w:t>anifest is not received by the U</w:t>
      </w:r>
      <w:r w:rsidRPr="00765BEC">
        <w:t>tility on time or if necessary maintenance has not been performed, a reminder letter will be sent to the customer with an estimate of charges for cleaning the grease interceptor and giving the customer 15 days to come into compliance. If the customer fails to come into compliance</w:t>
      </w:r>
      <w:r>
        <w:t xml:space="preserve"> by the notified deadline, the U</w:t>
      </w:r>
      <w:r w:rsidRPr="00765BEC">
        <w:t xml:space="preserve">tility will hire a contractor to perform the cleaning and the contractor’s cost will be passed through to the general service customer at </w:t>
      </w:r>
      <w:r>
        <w:t>the actual cost to the U</w:t>
      </w:r>
      <w:r w:rsidRPr="00765BEC">
        <w:t xml:space="preserve">tility. </w:t>
      </w:r>
    </w:p>
    <w:p w:rsidR="00BB649E" w:rsidRDefault="00BB649E" w:rsidP="00BB649E">
      <w:pPr>
        <w:spacing w:after="240"/>
        <w:jc w:val="both"/>
      </w:pPr>
      <w:r>
        <w:t>Staff believes the U</w:t>
      </w:r>
      <w:r w:rsidRPr="00765BEC">
        <w:t>tility’s proposed collection device cleaning charge is a reasonable, proactive approach to avoid operational problems in the Utility’s collection</w:t>
      </w:r>
      <w:r>
        <w:t xml:space="preserve"> and treatment facilities. The U</w:t>
      </w:r>
      <w:r w:rsidRPr="00765BEC">
        <w:t xml:space="preserve">tility’s request is consistent with Rule 20-30.225(6), F.A.C., which provides that </w:t>
      </w:r>
      <w:r>
        <w:t xml:space="preserve">Middleton </w:t>
      </w:r>
      <w:r w:rsidRPr="00765BEC">
        <w:t>may require that each customer be responsible for cleaning and maintaining sewer lat</w:t>
      </w:r>
      <w:r>
        <w:t>erals to the point of delivery. Staff believes the Utility’s requested charge is reasonable and consistent with the Commission’s approval of a collection device cleaning charge in prior dockets.</w:t>
      </w:r>
      <w:r>
        <w:rPr>
          <w:rStyle w:val="FootnoteReference"/>
        </w:rPr>
        <w:footnoteReference w:id="13"/>
      </w:r>
    </w:p>
    <w:p w:rsidR="002B7A95" w:rsidRDefault="00BB649E" w:rsidP="00BB649E">
      <w:pPr>
        <w:pStyle w:val="BodyText"/>
      </w:pPr>
      <w:r w:rsidRPr="00765BEC">
        <w:t>T</w:t>
      </w:r>
      <w:r>
        <w:t>herefore, staff recommends the U</w:t>
      </w:r>
      <w:r w:rsidRPr="00765BEC">
        <w:t>tility’s request to charge a collection device cleaning charge is reasonable and should be approved. This charge may be levied if circumstances are consistent with those discussed in this issu</w:t>
      </w:r>
      <w:r>
        <w:t>e and will be set forth in the U</w:t>
      </w:r>
      <w:r w:rsidRPr="00765BEC">
        <w:t>tility’s tariff. The approved charge should be effective for service rendered on or after the stamped approval date on the tariff pursuant to Rule 25-30.475, F.A.C. T</w:t>
      </w:r>
      <w:r>
        <w:t>he U</w:t>
      </w:r>
      <w:r w:rsidRPr="00765BEC">
        <w:t>tility should be required to charge the approved charge until authorized to change it by the Commission in a subsequent proceeding.</w:t>
      </w:r>
    </w:p>
    <w:p w:rsidR="00BB649E" w:rsidRDefault="00BB649E">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6</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6</w:instrText>
      </w:r>
      <w:r>
        <w:fldChar w:fldCharType="end"/>
      </w:r>
      <w:r>
        <w:tab/>
        <w:instrText xml:space="preserve">" \l 1 </w:instrText>
      </w:r>
      <w:r>
        <w:fldChar w:fldCharType="end"/>
      </w:r>
      <w:r>
        <w:t> </w:t>
      </w:r>
    </w:p>
    <w:p w:rsidR="00BB649E" w:rsidRDefault="00BB649E">
      <w:pPr>
        <w:pStyle w:val="BodyText"/>
      </w:pPr>
      <w:r>
        <w:t> What are the appropriate miscellaneous service charges for Middleton Utility Company, LLC?</w:t>
      </w:r>
    </w:p>
    <w:p w:rsidR="00BB649E" w:rsidRPr="004C3641" w:rsidRDefault="00BB649E">
      <w:pPr>
        <w:pStyle w:val="IssueSubsectionHeading"/>
        <w:rPr>
          <w:vanish/>
          <w:specVanish/>
        </w:rPr>
      </w:pPr>
      <w:r w:rsidRPr="004C3641">
        <w:t>Recommendation: </w:t>
      </w:r>
    </w:p>
    <w:p w:rsidR="00BB649E" w:rsidRDefault="00BB649E">
      <w:pPr>
        <w:pStyle w:val="BodyText"/>
      </w:pPr>
      <w:r>
        <w:t> </w:t>
      </w:r>
      <w:r w:rsidR="004D6720">
        <w:t>The appropriate miscellaneous service charges are shown on Table 6-4 and should be approved. The Utility</w:t>
      </w:r>
      <w:r w:rsidR="004D6720" w:rsidRPr="00CF0FFA">
        <w:t xml:space="preserve"> should file revised tariff sheets to reflect the Commission-approved </w:t>
      </w:r>
      <w:r w:rsidR="004D6720">
        <w:t>charges</w:t>
      </w:r>
      <w:r w:rsidR="004D6720" w:rsidRPr="00CF0FFA">
        <w:t xml:space="preserve">. The approved </w:t>
      </w:r>
      <w:r w:rsidR="004D6720">
        <w:t xml:space="preserve">charges </w:t>
      </w:r>
      <w:r w:rsidR="004D6720" w:rsidRPr="00CF0FFA">
        <w:t xml:space="preserve">should be effective for service rendered on or after the stamped approval date on the tariff sheets pursuant to Rule 25-30.475(1), F.A.C. </w:t>
      </w:r>
      <w:r w:rsidR="004D6720">
        <w:t xml:space="preserve">Middleton </w:t>
      </w:r>
      <w:r w:rsidR="004D6720" w:rsidRPr="00B80BFE">
        <w:t xml:space="preserve">should be required to charge the approved </w:t>
      </w:r>
      <w:r w:rsidR="004D6720">
        <w:t xml:space="preserve">miscellaneous service </w:t>
      </w:r>
      <w:r w:rsidR="004D6720" w:rsidRPr="00B80BFE">
        <w:t>charges until authorized to change them by the Commission in a subsequent proceeding</w:t>
      </w:r>
      <w:r w:rsidR="004D6720" w:rsidRPr="00B23B59">
        <w:t>.</w:t>
      </w:r>
      <w:r w:rsidR="004D6720" w:rsidRPr="00E4572A">
        <w:t xml:space="preserve"> (</w:t>
      </w:r>
      <w:r w:rsidR="004D6720">
        <w:t>Bruce</w:t>
      </w:r>
      <w:r w:rsidR="004D6720" w:rsidRPr="00E4572A">
        <w:t>)</w:t>
      </w:r>
      <w:r>
        <w:t xml:space="preserve"> </w:t>
      </w:r>
    </w:p>
    <w:p w:rsidR="00BB649E" w:rsidRPr="004C3641" w:rsidRDefault="00BB649E">
      <w:pPr>
        <w:pStyle w:val="IssueSubsectionHeading"/>
        <w:rPr>
          <w:vanish/>
          <w:specVanish/>
        </w:rPr>
      </w:pPr>
      <w:r w:rsidRPr="004C3641">
        <w:t>Staff Analysis: </w:t>
      </w:r>
    </w:p>
    <w:p w:rsidR="00BB649E" w:rsidRDefault="00BB649E">
      <w:pPr>
        <w:pStyle w:val="BodyText"/>
      </w:pPr>
      <w:r>
        <w:t> </w:t>
      </w:r>
      <w:r w:rsidR="004D6720" w:rsidRPr="00E4572A">
        <w:t xml:space="preserve">Section 367.091, F.S., authorizes the Commission to establish miscellaneous service charges. </w:t>
      </w:r>
      <w:r w:rsidR="004D6720">
        <w:t>Middleton</w:t>
      </w:r>
      <w:r w:rsidR="004D6720" w:rsidRPr="00E4572A">
        <w:t>’s request was accompanied by its reason for requesting the charges as well as the cost justification required by Section 367.091(6), F.S.</w:t>
      </w:r>
      <w:r w:rsidR="004D6720" w:rsidRPr="008D3290">
        <w:t xml:space="preserve"> </w:t>
      </w:r>
      <w:r w:rsidR="004D6720" w:rsidRPr="00E4572A">
        <w:t>The purpose of these charges is to place the burden for requesting or causing these services on the cost causer rather than the general body of ratepayers.</w:t>
      </w:r>
    </w:p>
    <w:p w:rsidR="004D6720" w:rsidRPr="008D3290" w:rsidRDefault="004D6720" w:rsidP="004D6720">
      <w:pPr>
        <w:jc w:val="both"/>
        <w:rPr>
          <w:rFonts w:ascii="Arial" w:hAnsi="Arial" w:cs="Arial"/>
          <w:b/>
        </w:rPr>
      </w:pPr>
      <w:r>
        <w:rPr>
          <w:rFonts w:ascii="Arial" w:hAnsi="Arial" w:cs="Arial"/>
          <w:b/>
        </w:rPr>
        <w:t>Premises Visit and Violation Reconnection Charges</w:t>
      </w:r>
    </w:p>
    <w:p w:rsidR="004D6720" w:rsidRDefault="004D6720" w:rsidP="004D6720">
      <w:pPr>
        <w:spacing w:after="240"/>
        <w:jc w:val="both"/>
      </w:pPr>
      <w:r w:rsidRPr="00E4572A">
        <w:t>The Utility requested initial connection, normal reconnection, violation reconnection</w:t>
      </w:r>
      <w:r>
        <w:t>,</w:t>
      </w:r>
      <w:r w:rsidRPr="00E4572A">
        <w:t xml:space="preserve"> and premise visit charges of $</w:t>
      </w:r>
      <w:r>
        <w:t>46.05</w:t>
      </w:r>
      <w:r w:rsidRPr="00E4572A">
        <w:t xml:space="preserve"> during normal business hours. Additionally, </w:t>
      </w:r>
      <w:r>
        <w:t xml:space="preserve">Middleton </w:t>
      </w:r>
      <w:r w:rsidRPr="00E4572A">
        <w:t>requested that its violation reconnection charge for its wastewater system be actual cost pursuant to Rule 25-30.460(1</w:t>
      </w:r>
      <w:proofErr w:type="gramStart"/>
      <w:r w:rsidRPr="00E4572A">
        <w:t>)(</w:t>
      </w:r>
      <w:proofErr w:type="gramEnd"/>
      <w:r w:rsidRPr="00E4572A">
        <w:t>c), F.A.C.</w:t>
      </w:r>
      <w:r w:rsidRPr="008D3290">
        <w:t xml:space="preserve"> It should be noted that </w:t>
      </w:r>
      <w:r>
        <w:t>the Utility</w:t>
      </w:r>
      <w:r w:rsidRPr="008D3290">
        <w:t xml:space="preserve">’s request for initial connection and normal reconnection charges do not conform </w:t>
      </w:r>
      <w:r>
        <w:t>to</w:t>
      </w:r>
      <w:r w:rsidRPr="008D3290">
        <w:t xml:space="preserve"> the miscellaneous service charges rule. Effective June 24, 2021, Rule 25-30.460, F.A.C., was amended to remove initial connection and normal reconnection charges.</w:t>
      </w:r>
      <w:r w:rsidRPr="008D3290">
        <w:rPr>
          <w:vertAlign w:val="superscript"/>
        </w:rPr>
        <w:footnoteReference w:id="14"/>
      </w:r>
      <w:r w:rsidRPr="008D3290">
        <w:t xml:space="preserve"> The definitions for initial connection charges and normal reconnection charges were subsumed in the definition of the premises visit charge. Therefore, </w:t>
      </w:r>
      <w:r>
        <w:t>Middleton</w:t>
      </w:r>
      <w:r w:rsidRPr="008D3290">
        <w:t>’s proposed initial connection and normal reconnection charges are obsolete based on the revised rule.</w:t>
      </w:r>
    </w:p>
    <w:p w:rsidR="004D6720" w:rsidRDefault="004D6720" w:rsidP="004D6720">
      <w:pPr>
        <w:pStyle w:val="BodyText"/>
      </w:pPr>
      <w:r>
        <w:t>The U</w:t>
      </w:r>
      <w:r w:rsidRPr="00B80BFE">
        <w:t xml:space="preserve">tility’s cost justification for its requested </w:t>
      </w:r>
      <w:r>
        <w:t>premises visit and water violation reconnection charge</w:t>
      </w:r>
      <w:r w:rsidRPr="00B80BFE">
        <w:t xml:space="preserve"> is shown below in Table </w:t>
      </w:r>
      <w:r>
        <w:t>6-1. Staff believes the premises visit and water violation reconnection charges are reasonable and should be approved pursuant to Rule 25-30.460, F.A.C.</w:t>
      </w:r>
      <w:r w:rsidRPr="00E4572A">
        <w:t xml:space="preserve"> </w:t>
      </w:r>
      <w:r>
        <w:t xml:space="preserve">Middleton Utility’s </w:t>
      </w:r>
      <w:r w:rsidRPr="00E4572A">
        <w:t xml:space="preserve">requested </w:t>
      </w:r>
      <w:r>
        <w:t xml:space="preserve">wastewater </w:t>
      </w:r>
      <w:r w:rsidRPr="00E4572A">
        <w:t xml:space="preserve">violation reconnection charge </w:t>
      </w:r>
      <w:r>
        <w:t>should be</w:t>
      </w:r>
      <w:r w:rsidRPr="00E4572A">
        <w:t xml:space="preserve"> actual cost pursuant to Rule 25-30.460(1)(c), F.A.C.</w:t>
      </w:r>
    </w:p>
    <w:p w:rsidR="004D6720" w:rsidRPr="00E4572A" w:rsidRDefault="004D6720" w:rsidP="004D6720">
      <w:pPr>
        <w:keepNext/>
        <w:spacing w:before="240"/>
        <w:jc w:val="center"/>
        <w:rPr>
          <w:rFonts w:ascii="Arial" w:hAnsi="Arial"/>
          <w:b/>
        </w:rPr>
      </w:pPr>
      <w:r w:rsidRPr="00E4572A">
        <w:rPr>
          <w:rFonts w:ascii="Arial" w:hAnsi="Arial"/>
          <w:b/>
        </w:rPr>
        <w:t xml:space="preserve">Table </w:t>
      </w:r>
      <w:r>
        <w:rPr>
          <w:rFonts w:ascii="Arial" w:hAnsi="Arial"/>
          <w:b/>
        </w:rPr>
        <w:t>6</w:t>
      </w:r>
      <w:r w:rsidRPr="00E4572A">
        <w:rPr>
          <w:rFonts w:ascii="Arial" w:hAnsi="Arial"/>
          <w:b/>
        </w:rPr>
        <w:t>-1</w:t>
      </w:r>
    </w:p>
    <w:p w:rsidR="004D6720" w:rsidRPr="00E4572A" w:rsidRDefault="004D6720" w:rsidP="004D6720">
      <w:pPr>
        <w:keepNext/>
        <w:jc w:val="center"/>
        <w:rPr>
          <w:rFonts w:ascii="Arial" w:hAnsi="Arial"/>
          <w:b/>
        </w:rPr>
      </w:pPr>
      <w:r>
        <w:rPr>
          <w:rFonts w:ascii="Arial" w:hAnsi="Arial"/>
          <w:b/>
        </w:rPr>
        <w:t>Premises Visit and Water Violation Reconnection Charge Cost Justification</w:t>
      </w:r>
    </w:p>
    <w:tbl>
      <w:tblPr>
        <w:tblStyle w:val="TableGrid13"/>
        <w:tblW w:w="0" w:type="auto"/>
        <w:jc w:val="center"/>
        <w:tblLook w:val="04A0" w:firstRow="1" w:lastRow="0" w:firstColumn="1" w:lastColumn="0" w:noHBand="0" w:noVBand="1"/>
      </w:tblPr>
      <w:tblGrid>
        <w:gridCol w:w="3975"/>
        <w:gridCol w:w="3534"/>
      </w:tblGrid>
      <w:tr w:rsidR="004D6720" w:rsidRPr="00E4572A" w:rsidTr="00713B88">
        <w:trPr>
          <w:trHeight w:val="215"/>
          <w:jc w:val="center"/>
        </w:trPr>
        <w:tc>
          <w:tcPr>
            <w:tcW w:w="3975" w:type="dxa"/>
          </w:tcPr>
          <w:p w:rsidR="004D6720" w:rsidRPr="00E4572A" w:rsidRDefault="004D6720" w:rsidP="00713B88">
            <w:r w:rsidRPr="00E4572A">
              <w:t>Field Labor</w:t>
            </w:r>
          </w:p>
        </w:tc>
        <w:tc>
          <w:tcPr>
            <w:tcW w:w="3534" w:type="dxa"/>
          </w:tcPr>
          <w:p w:rsidR="004D6720" w:rsidRPr="00E4572A" w:rsidRDefault="004D6720" w:rsidP="00713B88">
            <w:pPr>
              <w:jc w:val="right"/>
            </w:pPr>
            <w:r w:rsidRPr="00E4572A">
              <w:t>$</w:t>
            </w:r>
            <w:r>
              <w:t>34.92</w:t>
            </w:r>
          </w:p>
        </w:tc>
      </w:tr>
      <w:tr w:rsidR="004D6720" w:rsidRPr="00E4572A" w:rsidTr="00713B88">
        <w:trPr>
          <w:trHeight w:val="215"/>
          <w:jc w:val="center"/>
        </w:trPr>
        <w:tc>
          <w:tcPr>
            <w:tcW w:w="3975" w:type="dxa"/>
          </w:tcPr>
          <w:p w:rsidR="004D6720" w:rsidRPr="00E4572A" w:rsidRDefault="004D6720" w:rsidP="00713B88">
            <w:r w:rsidRPr="00E4572A">
              <w:t>Administrative Labor</w:t>
            </w:r>
          </w:p>
        </w:tc>
        <w:tc>
          <w:tcPr>
            <w:tcW w:w="3534" w:type="dxa"/>
          </w:tcPr>
          <w:p w:rsidR="004D6720" w:rsidRPr="00E4572A" w:rsidRDefault="004D6720" w:rsidP="00713B88">
            <w:pPr>
              <w:jc w:val="right"/>
            </w:pPr>
            <w:r w:rsidRPr="00E4572A">
              <w:t>$</w:t>
            </w:r>
            <w:r>
              <w:t>11.13</w:t>
            </w:r>
          </w:p>
        </w:tc>
      </w:tr>
      <w:tr w:rsidR="004D6720" w:rsidRPr="00E4572A" w:rsidTr="00713B88">
        <w:trPr>
          <w:trHeight w:val="215"/>
          <w:jc w:val="center"/>
        </w:trPr>
        <w:tc>
          <w:tcPr>
            <w:tcW w:w="3975" w:type="dxa"/>
          </w:tcPr>
          <w:p w:rsidR="004D6720" w:rsidRPr="00E4572A" w:rsidRDefault="004D6720" w:rsidP="00713B88">
            <w:r w:rsidRPr="00E4572A">
              <w:t>Total</w:t>
            </w:r>
          </w:p>
        </w:tc>
        <w:tc>
          <w:tcPr>
            <w:tcW w:w="3534" w:type="dxa"/>
          </w:tcPr>
          <w:p w:rsidR="004D6720" w:rsidRPr="00E4572A" w:rsidRDefault="004D6720" w:rsidP="00713B88">
            <w:pPr>
              <w:jc w:val="right"/>
            </w:pPr>
            <w:r w:rsidRPr="00E4572A">
              <w:t>$</w:t>
            </w:r>
            <w:r>
              <w:t>46.05</w:t>
            </w:r>
          </w:p>
        </w:tc>
      </w:tr>
    </w:tbl>
    <w:p w:rsidR="004D6720" w:rsidRDefault="004D6720" w:rsidP="004D6720">
      <w:pPr>
        <w:spacing w:after="480"/>
        <w:jc w:val="both"/>
        <w:rPr>
          <w:sz w:val="20"/>
          <w:szCs w:val="20"/>
        </w:rPr>
      </w:pPr>
      <w:r w:rsidRPr="00E4572A">
        <w:t xml:space="preserve">                </w:t>
      </w:r>
      <w:r w:rsidRPr="004D6720">
        <w:rPr>
          <w:sz w:val="20"/>
          <w:szCs w:val="20"/>
        </w:rPr>
        <w:t>Source: Utility’s Cost Justification</w:t>
      </w:r>
    </w:p>
    <w:p w:rsidR="00017C50" w:rsidRPr="004D6720" w:rsidRDefault="00017C50" w:rsidP="004D6720">
      <w:pPr>
        <w:spacing w:after="480"/>
        <w:jc w:val="both"/>
        <w:rPr>
          <w:sz w:val="20"/>
          <w:szCs w:val="20"/>
        </w:rPr>
      </w:pPr>
    </w:p>
    <w:p w:rsidR="00017C50" w:rsidRDefault="00017C50" w:rsidP="004D6720">
      <w:pPr>
        <w:jc w:val="both"/>
        <w:rPr>
          <w:rFonts w:ascii="Arial" w:hAnsi="Arial" w:cs="Arial"/>
          <w:b/>
        </w:rPr>
        <w:sectPr w:rsidR="00017C50" w:rsidSect="0068481F">
          <w:pgSz w:w="12240" w:h="15840" w:code="1"/>
          <w:pgMar w:top="1584" w:right="1440" w:bottom="1440" w:left="1440" w:header="720" w:footer="720" w:gutter="0"/>
          <w:cols w:space="720"/>
          <w:formProt w:val="0"/>
          <w:docGrid w:linePitch="360"/>
        </w:sectPr>
      </w:pPr>
    </w:p>
    <w:p w:rsidR="004D6720" w:rsidRPr="003B49B9" w:rsidRDefault="004D6720" w:rsidP="004D6720">
      <w:pPr>
        <w:jc w:val="both"/>
        <w:rPr>
          <w:rFonts w:ascii="Arial" w:hAnsi="Arial" w:cs="Arial"/>
          <w:b/>
        </w:rPr>
      </w:pPr>
      <w:r w:rsidRPr="003B49B9">
        <w:rPr>
          <w:rFonts w:ascii="Arial" w:hAnsi="Arial" w:cs="Arial"/>
          <w:b/>
        </w:rPr>
        <w:lastRenderedPageBreak/>
        <w:t>Late Payment Charge</w:t>
      </w:r>
    </w:p>
    <w:p w:rsidR="004D6720" w:rsidRDefault="004D6720" w:rsidP="004D6720">
      <w:pPr>
        <w:jc w:val="both"/>
      </w:pPr>
      <w:r w:rsidRPr="003B49B9">
        <w:t xml:space="preserve">The </w:t>
      </w:r>
      <w:r>
        <w:t>U</w:t>
      </w:r>
      <w:r w:rsidRPr="003B49B9">
        <w:t>tility requested a $</w:t>
      </w:r>
      <w:r>
        <w:t>5.50</w:t>
      </w:r>
      <w:r w:rsidRPr="003B49B9">
        <w:t xml:space="preserve"> late payment charge to recover administrative and supply cost for proces</w:t>
      </w:r>
      <w:r>
        <w:t>sing late payment notices. The U</w:t>
      </w:r>
      <w:r w:rsidRPr="003B49B9">
        <w:t xml:space="preserve">tility’s cost justification for its requested late payment charge is shown below on Table </w:t>
      </w:r>
      <w:r>
        <w:t>6-2</w:t>
      </w:r>
      <w:r w:rsidRPr="003B49B9">
        <w:t xml:space="preserve">. </w:t>
      </w:r>
      <w:r>
        <w:t>Staff believes the requested late payment charge is reasonable and should be approved.</w:t>
      </w:r>
    </w:p>
    <w:p w:rsidR="004D6720" w:rsidRPr="003B49B9" w:rsidRDefault="004D6720" w:rsidP="004D6720">
      <w:pPr>
        <w:jc w:val="both"/>
      </w:pPr>
    </w:p>
    <w:p w:rsidR="004D6720" w:rsidRPr="00AF6BC2" w:rsidRDefault="004D6720" w:rsidP="004D6720">
      <w:pPr>
        <w:keepNext/>
        <w:jc w:val="center"/>
        <w:rPr>
          <w:rFonts w:ascii="Arial" w:hAnsi="Arial"/>
          <w:b/>
        </w:rPr>
      </w:pPr>
      <w:r>
        <w:rPr>
          <w:rFonts w:ascii="Arial" w:hAnsi="Arial"/>
          <w:b/>
        </w:rPr>
        <w:t>Table 6</w:t>
      </w:r>
      <w:r w:rsidRPr="00AF6BC2">
        <w:rPr>
          <w:rFonts w:ascii="Arial" w:hAnsi="Arial"/>
          <w:b/>
        </w:rPr>
        <w:t>-2</w:t>
      </w:r>
    </w:p>
    <w:p w:rsidR="004D6720" w:rsidRPr="00AF6BC2" w:rsidRDefault="004D6720" w:rsidP="004D6720">
      <w:pPr>
        <w:keepNext/>
        <w:jc w:val="center"/>
        <w:rPr>
          <w:rFonts w:ascii="Arial" w:hAnsi="Arial"/>
          <w:b/>
        </w:rPr>
      </w:pPr>
      <w:r w:rsidRPr="00AF6BC2">
        <w:rPr>
          <w:rFonts w:ascii="Arial" w:hAnsi="Arial"/>
          <w:b/>
        </w:rPr>
        <w:t>Late Payment Cost Justification</w:t>
      </w:r>
    </w:p>
    <w:tbl>
      <w:tblPr>
        <w:tblStyle w:val="TableGrid1"/>
        <w:tblW w:w="0" w:type="auto"/>
        <w:jc w:val="center"/>
        <w:tblLook w:val="04A0" w:firstRow="1" w:lastRow="0" w:firstColumn="1" w:lastColumn="0" w:noHBand="0" w:noVBand="1"/>
      </w:tblPr>
      <w:tblGrid>
        <w:gridCol w:w="4604"/>
        <w:gridCol w:w="1724"/>
      </w:tblGrid>
      <w:tr w:rsidR="004D6720" w:rsidRPr="00AF6BC2" w:rsidTr="00713B88">
        <w:trPr>
          <w:trHeight w:val="280"/>
          <w:jc w:val="center"/>
        </w:trPr>
        <w:tc>
          <w:tcPr>
            <w:tcW w:w="4604" w:type="dxa"/>
          </w:tcPr>
          <w:p w:rsidR="004D6720" w:rsidRPr="008C08FB" w:rsidRDefault="004D6720" w:rsidP="00713B88">
            <w:pPr>
              <w:jc w:val="both"/>
              <w:rPr>
                <w:rFonts w:ascii="Times New Roman" w:hAnsi="Times New Roman" w:cs="Times New Roman"/>
              </w:rPr>
            </w:pPr>
            <w:r w:rsidRPr="008C08FB">
              <w:rPr>
                <w:rFonts w:ascii="Times New Roman" w:hAnsi="Times New Roman" w:cs="Times New Roman"/>
              </w:rPr>
              <w:t>Labor</w:t>
            </w:r>
          </w:p>
        </w:tc>
        <w:tc>
          <w:tcPr>
            <w:tcW w:w="1724" w:type="dxa"/>
          </w:tcPr>
          <w:p w:rsidR="004D6720" w:rsidRPr="008C08FB" w:rsidRDefault="004D6720" w:rsidP="00713B88">
            <w:pPr>
              <w:jc w:val="right"/>
              <w:rPr>
                <w:rFonts w:ascii="Times New Roman" w:hAnsi="Times New Roman" w:cs="Times New Roman"/>
              </w:rPr>
            </w:pPr>
            <w:r w:rsidRPr="008C08FB">
              <w:rPr>
                <w:rFonts w:ascii="Times New Roman" w:hAnsi="Times New Roman" w:cs="Times New Roman"/>
              </w:rPr>
              <w:t>$4.59</w:t>
            </w:r>
          </w:p>
        </w:tc>
      </w:tr>
      <w:tr w:rsidR="004D6720" w:rsidRPr="00AF6BC2" w:rsidTr="00713B88">
        <w:trPr>
          <w:trHeight w:val="280"/>
          <w:jc w:val="center"/>
        </w:trPr>
        <w:tc>
          <w:tcPr>
            <w:tcW w:w="4604" w:type="dxa"/>
          </w:tcPr>
          <w:p w:rsidR="004D6720" w:rsidRPr="008C08FB" w:rsidRDefault="004D6720" w:rsidP="00713B88">
            <w:pPr>
              <w:jc w:val="both"/>
              <w:rPr>
                <w:rFonts w:ascii="Times New Roman" w:hAnsi="Times New Roman" w:cs="Times New Roman"/>
              </w:rPr>
            </w:pPr>
            <w:r w:rsidRPr="008C08FB">
              <w:rPr>
                <w:rFonts w:ascii="Times New Roman" w:hAnsi="Times New Roman" w:cs="Times New Roman"/>
              </w:rPr>
              <w:t>Supplies/Postage</w:t>
            </w:r>
          </w:p>
        </w:tc>
        <w:tc>
          <w:tcPr>
            <w:tcW w:w="1724" w:type="dxa"/>
          </w:tcPr>
          <w:p w:rsidR="004D6720" w:rsidRPr="008C08FB" w:rsidRDefault="004D6720" w:rsidP="00713B88">
            <w:pPr>
              <w:jc w:val="right"/>
              <w:rPr>
                <w:rFonts w:ascii="Times New Roman" w:hAnsi="Times New Roman" w:cs="Times New Roman"/>
              </w:rPr>
            </w:pPr>
            <w:r w:rsidRPr="008C08FB">
              <w:rPr>
                <w:rFonts w:ascii="Times New Roman" w:hAnsi="Times New Roman" w:cs="Times New Roman"/>
              </w:rPr>
              <w:t>$.75</w:t>
            </w:r>
          </w:p>
        </w:tc>
      </w:tr>
      <w:tr w:rsidR="004D6720" w:rsidRPr="00AF6BC2" w:rsidTr="00713B88">
        <w:trPr>
          <w:trHeight w:val="280"/>
          <w:jc w:val="center"/>
        </w:trPr>
        <w:tc>
          <w:tcPr>
            <w:tcW w:w="4604" w:type="dxa"/>
            <w:tcBorders>
              <w:bottom w:val="single" w:sz="4" w:space="0" w:color="auto"/>
            </w:tcBorders>
          </w:tcPr>
          <w:p w:rsidR="004D6720" w:rsidRPr="008C08FB" w:rsidRDefault="004D6720" w:rsidP="00713B88">
            <w:pPr>
              <w:jc w:val="both"/>
              <w:rPr>
                <w:rFonts w:ascii="Times New Roman" w:hAnsi="Times New Roman" w:cs="Times New Roman"/>
              </w:rPr>
            </w:pPr>
            <w:r w:rsidRPr="008C08FB">
              <w:rPr>
                <w:rFonts w:ascii="Times New Roman" w:hAnsi="Times New Roman" w:cs="Times New Roman"/>
              </w:rPr>
              <w:t>Mark Up for RAFs</w:t>
            </w:r>
          </w:p>
        </w:tc>
        <w:tc>
          <w:tcPr>
            <w:tcW w:w="1724" w:type="dxa"/>
            <w:tcBorders>
              <w:bottom w:val="single" w:sz="4" w:space="0" w:color="auto"/>
            </w:tcBorders>
          </w:tcPr>
          <w:p w:rsidR="004D6720" w:rsidRPr="008C08FB" w:rsidRDefault="004D6720" w:rsidP="00713B88">
            <w:pPr>
              <w:jc w:val="right"/>
              <w:rPr>
                <w:rFonts w:ascii="Times New Roman" w:hAnsi="Times New Roman" w:cs="Times New Roman"/>
              </w:rPr>
            </w:pPr>
            <w:r w:rsidRPr="008C08FB">
              <w:rPr>
                <w:rFonts w:ascii="Times New Roman" w:hAnsi="Times New Roman" w:cs="Times New Roman"/>
              </w:rPr>
              <w:t>.26</w:t>
            </w:r>
          </w:p>
        </w:tc>
      </w:tr>
      <w:tr w:rsidR="004D6720" w:rsidRPr="00AF6BC2" w:rsidTr="00713B88">
        <w:trPr>
          <w:trHeight w:val="280"/>
          <w:jc w:val="center"/>
        </w:trPr>
        <w:tc>
          <w:tcPr>
            <w:tcW w:w="4604" w:type="dxa"/>
            <w:tcBorders>
              <w:bottom w:val="single" w:sz="4" w:space="0" w:color="auto"/>
            </w:tcBorders>
          </w:tcPr>
          <w:p w:rsidR="004D6720" w:rsidRPr="008C08FB" w:rsidRDefault="004D6720" w:rsidP="00713B88">
            <w:pPr>
              <w:jc w:val="both"/>
              <w:rPr>
                <w:rFonts w:ascii="Times New Roman" w:hAnsi="Times New Roman" w:cs="Times New Roman"/>
              </w:rPr>
            </w:pPr>
            <w:r w:rsidRPr="008C08FB">
              <w:rPr>
                <w:rFonts w:ascii="Times New Roman" w:hAnsi="Times New Roman" w:cs="Times New Roman"/>
              </w:rPr>
              <w:t>Calculated Total</w:t>
            </w:r>
          </w:p>
        </w:tc>
        <w:tc>
          <w:tcPr>
            <w:tcW w:w="1724" w:type="dxa"/>
            <w:tcBorders>
              <w:bottom w:val="single" w:sz="4" w:space="0" w:color="auto"/>
            </w:tcBorders>
          </w:tcPr>
          <w:p w:rsidR="004D6720" w:rsidRPr="008C08FB" w:rsidRDefault="004D6720" w:rsidP="00713B88">
            <w:pPr>
              <w:jc w:val="right"/>
              <w:rPr>
                <w:rFonts w:ascii="Times New Roman" w:hAnsi="Times New Roman" w:cs="Times New Roman"/>
              </w:rPr>
            </w:pPr>
            <w:r w:rsidRPr="008C08FB">
              <w:rPr>
                <w:rFonts w:ascii="Times New Roman" w:hAnsi="Times New Roman" w:cs="Times New Roman"/>
              </w:rPr>
              <w:t>$5.60</w:t>
            </w:r>
          </w:p>
        </w:tc>
      </w:tr>
      <w:tr w:rsidR="004D6720" w:rsidRPr="00AF6BC2" w:rsidTr="00713B88">
        <w:trPr>
          <w:trHeight w:val="280"/>
          <w:jc w:val="center"/>
        </w:trPr>
        <w:tc>
          <w:tcPr>
            <w:tcW w:w="4604" w:type="dxa"/>
            <w:tcBorders>
              <w:top w:val="single" w:sz="4" w:space="0" w:color="auto"/>
            </w:tcBorders>
          </w:tcPr>
          <w:p w:rsidR="004D6720" w:rsidRPr="008C08FB" w:rsidRDefault="004D6720" w:rsidP="00713B88">
            <w:pPr>
              <w:jc w:val="both"/>
              <w:rPr>
                <w:rFonts w:ascii="Times New Roman" w:hAnsi="Times New Roman" w:cs="Times New Roman"/>
              </w:rPr>
            </w:pPr>
          </w:p>
        </w:tc>
        <w:tc>
          <w:tcPr>
            <w:tcW w:w="1724" w:type="dxa"/>
            <w:tcBorders>
              <w:top w:val="single" w:sz="4" w:space="0" w:color="auto"/>
            </w:tcBorders>
          </w:tcPr>
          <w:p w:rsidR="004D6720" w:rsidRPr="008C08FB" w:rsidRDefault="004D6720" w:rsidP="00713B88">
            <w:pPr>
              <w:jc w:val="right"/>
              <w:rPr>
                <w:rFonts w:ascii="Times New Roman" w:hAnsi="Times New Roman" w:cs="Times New Roman"/>
                <w:highlight w:val="yellow"/>
              </w:rPr>
            </w:pPr>
          </w:p>
        </w:tc>
      </w:tr>
      <w:tr w:rsidR="004D6720" w:rsidRPr="00AF6BC2" w:rsidTr="00713B88">
        <w:trPr>
          <w:trHeight w:val="280"/>
          <w:jc w:val="center"/>
        </w:trPr>
        <w:tc>
          <w:tcPr>
            <w:tcW w:w="4604" w:type="dxa"/>
            <w:tcBorders>
              <w:top w:val="single" w:sz="4" w:space="0" w:color="auto"/>
            </w:tcBorders>
          </w:tcPr>
          <w:p w:rsidR="004D6720" w:rsidRPr="008C08FB" w:rsidRDefault="004D6720" w:rsidP="00713B88">
            <w:pPr>
              <w:jc w:val="both"/>
              <w:rPr>
                <w:rFonts w:ascii="Times New Roman" w:hAnsi="Times New Roman" w:cs="Times New Roman"/>
              </w:rPr>
            </w:pPr>
            <w:r w:rsidRPr="008C08FB">
              <w:rPr>
                <w:rFonts w:ascii="Times New Roman" w:hAnsi="Times New Roman" w:cs="Times New Roman"/>
              </w:rPr>
              <w:t>Requested Charge</w:t>
            </w:r>
          </w:p>
        </w:tc>
        <w:tc>
          <w:tcPr>
            <w:tcW w:w="1724" w:type="dxa"/>
            <w:tcBorders>
              <w:top w:val="single" w:sz="4" w:space="0" w:color="auto"/>
            </w:tcBorders>
          </w:tcPr>
          <w:p w:rsidR="004D6720" w:rsidRPr="008C08FB" w:rsidRDefault="004D6720" w:rsidP="00713B88">
            <w:pPr>
              <w:jc w:val="right"/>
              <w:rPr>
                <w:rFonts w:ascii="Times New Roman" w:hAnsi="Times New Roman" w:cs="Times New Roman"/>
              </w:rPr>
            </w:pPr>
            <w:r w:rsidRPr="008C08FB">
              <w:rPr>
                <w:rFonts w:ascii="Times New Roman" w:hAnsi="Times New Roman" w:cs="Times New Roman"/>
              </w:rPr>
              <w:t>$5.50</w:t>
            </w:r>
          </w:p>
        </w:tc>
      </w:tr>
    </w:tbl>
    <w:p w:rsidR="004D6720" w:rsidRPr="004D6720" w:rsidRDefault="004D6720" w:rsidP="004D6720">
      <w:pPr>
        <w:spacing w:after="240"/>
        <w:jc w:val="both"/>
        <w:rPr>
          <w:sz w:val="20"/>
          <w:szCs w:val="20"/>
        </w:rPr>
      </w:pPr>
      <w:r w:rsidRPr="00AF6BC2">
        <w:tab/>
      </w:r>
      <w:r w:rsidRPr="00AF6BC2">
        <w:tab/>
        <w:t xml:space="preserve"> </w:t>
      </w:r>
      <w:r w:rsidRPr="004D6720">
        <w:rPr>
          <w:sz w:val="20"/>
          <w:szCs w:val="20"/>
        </w:rPr>
        <w:t>Source: Utility’s Cost Justification</w:t>
      </w:r>
    </w:p>
    <w:p w:rsidR="004D6720" w:rsidRPr="003B49B9" w:rsidRDefault="004D6720" w:rsidP="004D6720">
      <w:pPr>
        <w:jc w:val="both"/>
        <w:rPr>
          <w:rFonts w:ascii="Arial" w:hAnsi="Arial" w:cs="Arial"/>
          <w:b/>
        </w:rPr>
      </w:pPr>
      <w:r>
        <w:rPr>
          <w:rFonts w:ascii="Arial" w:hAnsi="Arial" w:cs="Arial"/>
          <w:b/>
        </w:rPr>
        <w:t>Nonsufficient Funds Charges (NSF)</w:t>
      </w:r>
    </w:p>
    <w:p w:rsidR="004D6720" w:rsidRDefault="004D6720" w:rsidP="004D6720">
      <w:pPr>
        <w:jc w:val="both"/>
      </w:pPr>
      <w:r>
        <w:t>The U</w:t>
      </w:r>
      <w:r w:rsidRPr="003B49B9">
        <w:t xml:space="preserve">tility </w:t>
      </w:r>
      <w:r>
        <w:t xml:space="preserve">requested </w:t>
      </w:r>
      <w:r w:rsidRPr="003B49B9">
        <w:t>NSF</w:t>
      </w:r>
      <w:r>
        <w:t xml:space="preserve"> charges</w:t>
      </w:r>
      <w:r w:rsidRPr="003B49B9">
        <w:t xml:space="preserve"> pursuant to Section 68.065, F.S. Staff believes that </w:t>
      </w:r>
      <w:r>
        <w:t xml:space="preserve">Middleton </w:t>
      </w:r>
      <w:r w:rsidRPr="003B49B9">
        <w:t>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4D6720" w:rsidRPr="003B49B9" w:rsidRDefault="004D6720" w:rsidP="004D6720">
      <w:pPr>
        <w:jc w:val="both"/>
      </w:pPr>
    </w:p>
    <w:p w:rsidR="004D6720" w:rsidRPr="003B49B9" w:rsidRDefault="004D6720" w:rsidP="004D6720">
      <w:pPr>
        <w:numPr>
          <w:ilvl w:val="0"/>
          <w:numId w:val="11"/>
        </w:numPr>
        <w:spacing w:line="276" w:lineRule="auto"/>
        <w:contextualSpacing/>
        <w:jc w:val="both"/>
      </w:pPr>
      <w:r w:rsidRPr="003B49B9">
        <w:t>$25, if the face value does not exceed $50,</w:t>
      </w:r>
    </w:p>
    <w:p w:rsidR="004D6720" w:rsidRPr="003B49B9" w:rsidRDefault="004D6720" w:rsidP="004D6720">
      <w:pPr>
        <w:numPr>
          <w:ilvl w:val="0"/>
          <w:numId w:val="11"/>
        </w:numPr>
        <w:spacing w:line="276" w:lineRule="auto"/>
        <w:contextualSpacing/>
        <w:jc w:val="both"/>
      </w:pPr>
      <w:r w:rsidRPr="003B49B9">
        <w:t>$30, if the face value exceeds $50 but does not exceed $300,</w:t>
      </w:r>
    </w:p>
    <w:p w:rsidR="004D6720" w:rsidRPr="003B49B9" w:rsidRDefault="004D6720" w:rsidP="004D6720">
      <w:pPr>
        <w:numPr>
          <w:ilvl w:val="0"/>
          <w:numId w:val="11"/>
        </w:numPr>
        <w:spacing w:line="276" w:lineRule="auto"/>
        <w:contextualSpacing/>
        <w:jc w:val="both"/>
      </w:pPr>
      <w:r w:rsidRPr="003B49B9">
        <w:t>$40, if the face value exceeds $300,</w:t>
      </w:r>
    </w:p>
    <w:p w:rsidR="004D6720" w:rsidRDefault="004D6720" w:rsidP="004D6720">
      <w:pPr>
        <w:numPr>
          <w:ilvl w:val="0"/>
          <w:numId w:val="11"/>
        </w:numPr>
        <w:spacing w:after="240" w:line="276" w:lineRule="auto"/>
        <w:contextualSpacing/>
        <w:jc w:val="both"/>
      </w:pPr>
      <w:proofErr w:type="gramStart"/>
      <w:r w:rsidRPr="003B49B9">
        <w:t>or</w:t>
      </w:r>
      <w:proofErr w:type="gramEnd"/>
      <w:r w:rsidRPr="003B49B9">
        <w:t xml:space="preserve"> 5 percent of the face amount of the check, whichever is greater.</w:t>
      </w:r>
    </w:p>
    <w:p w:rsidR="004D6720" w:rsidRPr="003B49B9" w:rsidRDefault="004D6720" w:rsidP="004D6720">
      <w:pPr>
        <w:spacing w:after="240"/>
        <w:ind w:left="1080"/>
        <w:contextualSpacing/>
        <w:jc w:val="both"/>
      </w:pPr>
    </w:p>
    <w:p w:rsidR="004D6720" w:rsidRDefault="004D6720" w:rsidP="004D6720">
      <w:pPr>
        <w:spacing w:after="120"/>
        <w:jc w:val="both"/>
      </w:pPr>
      <w:r w:rsidRPr="003B49B9">
        <w:t xml:space="preserve">The Utility’s proposed and </w:t>
      </w:r>
      <w:proofErr w:type="gramStart"/>
      <w:r w:rsidRPr="003B49B9">
        <w:t>staff’s</w:t>
      </w:r>
      <w:proofErr w:type="gramEnd"/>
      <w:r w:rsidRPr="003B49B9">
        <w:t xml:space="preserve"> recommended miscellaneous service charges are shown in Tables </w:t>
      </w:r>
      <w:r>
        <w:t>6</w:t>
      </w:r>
      <w:r w:rsidRPr="003B49B9">
        <w:t xml:space="preserve">-3 and </w:t>
      </w:r>
      <w:r>
        <w:t>6</w:t>
      </w:r>
      <w:r w:rsidRPr="003B49B9">
        <w:t>-4.</w:t>
      </w:r>
    </w:p>
    <w:p w:rsidR="004D6720" w:rsidRPr="003B49B9" w:rsidRDefault="004D6720" w:rsidP="004D6720">
      <w:pPr>
        <w:keepNext/>
        <w:spacing w:before="240"/>
        <w:jc w:val="center"/>
        <w:rPr>
          <w:rFonts w:ascii="Arial" w:hAnsi="Arial"/>
          <w:b/>
        </w:rPr>
      </w:pPr>
      <w:r w:rsidRPr="003B49B9">
        <w:rPr>
          <w:rFonts w:ascii="Arial" w:hAnsi="Arial"/>
          <w:b/>
        </w:rPr>
        <w:t xml:space="preserve">Table </w:t>
      </w:r>
      <w:r>
        <w:rPr>
          <w:rFonts w:ascii="Arial" w:hAnsi="Arial"/>
          <w:b/>
        </w:rPr>
        <w:t>6</w:t>
      </w:r>
      <w:r w:rsidRPr="003B49B9">
        <w:rPr>
          <w:rFonts w:ascii="Arial" w:hAnsi="Arial"/>
          <w:b/>
        </w:rPr>
        <w:t>-3</w:t>
      </w:r>
    </w:p>
    <w:p w:rsidR="004D6720" w:rsidRPr="003B49B9" w:rsidRDefault="004D6720" w:rsidP="004D6720">
      <w:pPr>
        <w:jc w:val="center"/>
      </w:pPr>
      <w:r w:rsidRPr="003B49B9">
        <w:rPr>
          <w:rFonts w:ascii="Arial" w:hAnsi="Arial"/>
          <w:b/>
        </w:rPr>
        <w:t>Utility Proposed 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p>
        </w:tc>
        <w:tc>
          <w:tcPr>
            <w:tcW w:w="2340" w:type="dxa"/>
          </w:tcPr>
          <w:p w:rsidR="004D6720" w:rsidRPr="00E24626" w:rsidRDefault="004D6720" w:rsidP="00713B88">
            <w:pPr>
              <w:jc w:val="center"/>
              <w:rPr>
                <w:rFonts w:ascii="Times New Roman" w:hAnsi="Times New Roman" w:cs="Times New Roman"/>
                <w:u w:val="single"/>
              </w:rPr>
            </w:pPr>
            <w:r w:rsidRPr="00E24626">
              <w:rPr>
                <w:rFonts w:ascii="Times New Roman" w:hAnsi="Times New Roman" w:cs="Times New Roman"/>
                <w:u w:val="single"/>
              </w:rPr>
              <w:t>Normal Hours</w:t>
            </w:r>
          </w:p>
        </w:tc>
        <w:tc>
          <w:tcPr>
            <w:tcW w:w="1780" w:type="dxa"/>
          </w:tcPr>
          <w:p w:rsidR="004D6720" w:rsidRPr="00E24626" w:rsidRDefault="004D6720" w:rsidP="00713B88">
            <w:pPr>
              <w:jc w:val="center"/>
              <w:rPr>
                <w:rFonts w:ascii="Times New Roman" w:hAnsi="Times New Roman" w:cs="Times New Roman"/>
                <w:u w:val="single"/>
              </w:rPr>
            </w:pPr>
            <w:r w:rsidRPr="00E24626">
              <w:rPr>
                <w:rFonts w:ascii="Times New Roman" w:hAnsi="Times New Roman" w:cs="Times New Roman"/>
                <w:u w:val="single"/>
              </w:rPr>
              <w:t>After Hours</w:t>
            </w: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Initial Connection Charge</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$46.05</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N/A</w:t>
            </w: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Normal Reconnection Charge</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$46.05</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N/A</w:t>
            </w: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Violation Reconnection Charge</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Actual Cost</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Actual Cost</w:t>
            </w: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Premises Visit Charge</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$46.05</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N/A</w:t>
            </w: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(in lieu of disconnection)</w:t>
            </w:r>
          </w:p>
        </w:tc>
        <w:tc>
          <w:tcPr>
            <w:tcW w:w="2340" w:type="dxa"/>
          </w:tcPr>
          <w:p w:rsidR="004D6720" w:rsidRPr="00E24626" w:rsidRDefault="004D6720" w:rsidP="00713B88">
            <w:pPr>
              <w:rPr>
                <w:rFonts w:ascii="Times New Roman" w:hAnsi="Times New Roman" w:cs="Times New Roman"/>
              </w:rPr>
            </w:pPr>
          </w:p>
        </w:tc>
        <w:tc>
          <w:tcPr>
            <w:tcW w:w="1780" w:type="dxa"/>
          </w:tcPr>
          <w:p w:rsidR="004D6720" w:rsidRPr="00E24626" w:rsidRDefault="004D6720" w:rsidP="00713B88">
            <w:pPr>
              <w:jc w:val="center"/>
              <w:rPr>
                <w:rFonts w:ascii="Times New Roman" w:hAnsi="Times New Roman" w:cs="Times New Roman"/>
              </w:rPr>
            </w:pP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Late Payment Charge</w:t>
            </w:r>
          </w:p>
        </w:tc>
        <w:tc>
          <w:tcPr>
            <w:tcW w:w="4120" w:type="dxa"/>
            <w:gridSpan w:val="2"/>
          </w:tcPr>
          <w:p w:rsidR="004D6720" w:rsidRPr="00E24626" w:rsidRDefault="004D6720" w:rsidP="00713B88">
            <w:pPr>
              <w:rPr>
                <w:rFonts w:ascii="Times New Roman" w:hAnsi="Times New Roman" w:cs="Times New Roman"/>
              </w:rPr>
            </w:pPr>
            <w:r w:rsidRPr="00E24626">
              <w:rPr>
                <w:rFonts w:ascii="Times New Roman" w:hAnsi="Times New Roman" w:cs="Times New Roman"/>
              </w:rPr>
              <w:t xml:space="preserve">                              $5.50</w:t>
            </w:r>
          </w:p>
        </w:tc>
      </w:tr>
      <w:tr w:rsidR="004D6720" w:rsidRPr="00E24626" w:rsidTr="00713B88">
        <w:trPr>
          <w:jc w:val="center"/>
        </w:trPr>
        <w:tc>
          <w:tcPr>
            <w:tcW w:w="3370"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NSF Charges</w:t>
            </w:r>
          </w:p>
        </w:tc>
        <w:tc>
          <w:tcPr>
            <w:tcW w:w="4120" w:type="dxa"/>
            <w:gridSpan w:val="2"/>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Pursuant to Section 68.065, F.S.</w:t>
            </w:r>
          </w:p>
        </w:tc>
      </w:tr>
    </w:tbl>
    <w:p w:rsidR="00017C50" w:rsidRDefault="00017C50" w:rsidP="00017C50">
      <w:pPr>
        <w:keepNext/>
        <w:spacing w:before="480"/>
        <w:jc w:val="center"/>
        <w:rPr>
          <w:rFonts w:ascii="Arial" w:hAnsi="Arial"/>
          <w:b/>
        </w:rPr>
        <w:sectPr w:rsidR="00017C50" w:rsidSect="0068481F">
          <w:pgSz w:w="12240" w:h="15840" w:code="1"/>
          <w:pgMar w:top="1584" w:right="1440" w:bottom="1440" w:left="1440" w:header="720" w:footer="720" w:gutter="0"/>
          <w:cols w:space="720"/>
          <w:formProt w:val="0"/>
          <w:docGrid w:linePitch="360"/>
        </w:sectPr>
      </w:pPr>
    </w:p>
    <w:p w:rsidR="004D6720" w:rsidRPr="003B49B9" w:rsidRDefault="004D6720" w:rsidP="00017C50">
      <w:pPr>
        <w:keepNext/>
        <w:spacing w:before="480"/>
        <w:jc w:val="center"/>
        <w:rPr>
          <w:rFonts w:ascii="Arial" w:hAnsi="Arial"/>
          <w:b/>
        </w:rPr>
      </w:pPr>
      <w:r w:rsidRPr="003B49B9">
        <w:rPr>
          <w:rFonts w:ascii="Arial" w:hAnsi="Arial"/>
          <w:b/>
        </w:rPr>
        <w:lastRenderedPageBreak/>
        <w:t xml:space="preserve">Table </w:t>
      </w:r>
      <w:r>
        <w:rPr>
          <w:rFonts w:ascii="Arial" w:hAnsi="Arial"/>
          <w:b/>
        </w:rPr>
        <w:t>6</w:t>
      </w:r>
      <w:r w:rsidRPr="003B49B9">
        <w:rPr>
          <w:rFonts w:ascii="Arial" w:hAnsi="Arial"/>
          <w:b/>
        </w:rPr>
        <w:t>-4</w:t>
      </w:r>
    </w:p>
    <w:p w:rsidR="004D6720" w:rsidRPr="003B49B9" w:rsidRDefault="004D6720" w:rsidP="004D6720">
      <w:pPr>
        <w:jc w:val="center"/>
        <w:rPr>
          <w:b/>
          <w:bCs/>
          <w:u w:val="single"/>
        </w:rPr>
      </w:pPr>
      <w:r w:rsidRPr="003B49B9">
        <w:rPr>
          <w:rFonts w:ascii="Arial" w:hAnsi="Arial"/>
          <w:b/>
        </w:rPr>
        <w:t>Staff Recommended Miscellaneous Service Charges</w:t>
      </w:r>
    </w:p>
    <w:tbl>
      <w:tblPr>
        <w:tblStyle w:val="TableGrid12"/>
        <w:tblW w:w="0" w:type="auto"/>
        <w:jc w:val="center"/>
        <w:tblLook w:val="04A0" w:firstRow="1" w:lastRow="0" w:firstColumn="1" w:lastColumn="0" w:noHBand="0" w:noVBand="1"/>
      </w:tblPr>
      <w:tblGrid>
        <w:gridCol w:w="4727"/>
        <w:gridCol w:w="2340"/>
        <w:gridCol w:w="1780"/>
      </w:tblGrid>
      <w:tr w:rsidR="004D6720" w:rsidRPr="00E24626" w:rsidTr="00713B88">
        <w:trPr>
          <w:jc w:val="center"/>
        </w:trPr>
        <w:tc>
          <w:tcPr>
            <w:tcW w:w="4727" w:type="dxa"/>
          </w:tcPr>
          <w:p w:rsidR="004D6720" w:rsidRPr="00E24626" w:rsidRDefault="004D6720" w:rsidP="00713B88">
            <w:pPr>
              <w:rPr>
                <w:rFonts w:ascii="Times New Roman" w:hAnsi="Times New Roman" w:cs="Times New Roman"/>
              </w:rPr>
            </w:pPr>
          </w:p>
        </w:tc>
        <w:tc>
          <w:tcPr>
            <w:tcW w:w="2340" w:type="dxa"/>
          </w:tcPr>
          <w:p w:rsidR="004D6720" w:rsidRPr="00E24626" w:rsidRDefault="004D6720" w:rsidP="00713B88">
            <w:pPr>
              <w:jc w:val="center"/>
              <w:rPr>
                <w:rFonts w:ascii="Times New Roman" w:hAnsi="Times New Roman" w:cs="Times New Roman"/>
                <w:u w:val="single"/>
              </w:rPr>
            </w:pPr>
            <w:r w:rsidRPr="00E24626">
              <w:rPr>
                <w:rFonts w:ascii="Times New Roman" w:hAnsi="Times New Roman" w:cs="Times New Roman"/>
                <w:u w:val="single"/>
              </w:rPr>
              <w:t>Normal Hours</w:t>
            </w:r>
          </w:p>
        </w:tc>
        <w:tc>
          <w:tcPr>
            <w:tcW w:w="1780" w:type="dxa"/>
          </w:tcPr>
          <w:p w:rsidR="004D6720" w:rsidRPr="00E24626" w:rsidRDefault="004D6720" w:rsidP="00713B88">
            <w:pPr>
              <w:jc w:val="center"/>
              <w:rPr>
                <w:rFonts w:ascii="Times New Roman" w:hAnsi="Times New Roman" w:cs="Times New Roman"/>
                <w:u w:val="single"/>
              </w:rPr>
            </w:pPr>
            <w:r w:rsidRPr="00E24626">
              <w:rPr>
                <w:rFonts w:ascii="Times New Roman" w:hAnsi="Times New Roman" w:cs="Times New Roman"/>
                <w:u w:val="single"/>
              </w:rPr>
              <w:t>After Hours</w:t>
            </w:r>
          </w:p>
        </w:tc>
      </w:tr>
      <w:tr w:rsidR="004D6720" w:rsidRPr="00E24626" w:rsidTr="00713B88">
        <w:trPr>
          <w:jc w:val="center"/>
        </w:trPr>
        <w:tc>
          <w:tcPr>
            <w:tcW w:w="4727"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Violation Reconnection Charge - Water</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$46.05</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Actual Cost</w:t>
            </w:r>
          </w:p>
        </w:tc>
      </w:tr>
      <w:tr w:rsidR="004D6720" w:rsidRPr="00E24626" w:rsidTr="00713B88">
        <w:trPr>
          <w:jc w:val="center"/>
        </w:trPr>
        <w:tc>
          <w:tcPr>
            <w:tcW w:w="4727"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Violation Reconnection Charge -Wastewater</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Actual Cost</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Actual Cost</w:t>
            </w:r>
          </w:p>
        </w:tc>
      </w:tr>
      <w:tr w:rsidR="004D6720" w:rsidRPr="00E24626" w:rsidTr="00713B88">
        <w:trPr>
          <w:jc w:val="center"/>
        </w:trPr>
        <w:tc>
          <w:tcPr>
            <w:tcW w:w="4727"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Premises Visit Charge</w:t>
            </w:r>
          </w:p>
        </w:tc>
        <w:tc>
          <w:tcPr>
            <w:tcW w:w="234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$46.05</w:t>
            </w:r>
          </w:p>
        </w:tc>
        <w:tc>
          <w:tcPr>
            <w:tcW w:w="1780" w:type="dxa"/>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N/A</w:t>
            </w:r>
          </w:p>
        </w:tc>
      </w:tr>
      <w:tr w:rsidR="004D6720" w:rsidRPr="00E24626" w:rsidTr="00713B88">
        <w:trPr>
          <w:jc w:val="center"/>
        </w:trPr>
        <w:tc>
          <w:tcPr>
            <w:tcW w:w="4727"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Late Payment Charge</w:t>
            </w:r>
          </w:p>
        </w:tc>
        <w:tc>
          <w:tcPr>
            <w:tcW w:w="4120" w:type="dxa"/>
            <w:gridSpan w:val="2"/>
          </w:tcPr>
          <w:p w:rsidR="004D6720" w:rsidRPr="00E24626" w:rsidRDefault="004D6720" w:rsidP="00713B88">
            <w:pPr>
              <w:rPr>
                <w:rFonts w:ascii="Times New Roman" w:hAnsi="Times New Roman" w:cs="Times New Roman"/>
              </w:rPr>
            </w:pPr>
            <w:r w:rsidRPr="00E24626">
              <w:rPr>
                <w:rFonts w:ascii="Times New Roman" w:hAnsi="Times New Roman" w:cs="Times New Roman"/>
              </w:rPr>
              <w:t xml:space="preserve">                              $5.50</w:t>
            </w:r>
          </w:p>
        </w:tc>
      </w:tr>
      <w:tr w:rsidR="004D6720" w:rsidRPr="00E24626" w:rsidTr="00713B88">
        <w:trPr>
          <w:jc w:val="center"/>
        </w:trPr>
        <w:tc>
          <w:tcPr>
            <w:tcW w:w="4727" w:type="dxa"/>
          </w:tcPr>
          <w:p w:rsidR="004D6720" w:rsidRPr="00E24626" w:rsidRDefault="004D6720" w:rsidP="00713B88">
            <w:pPr>
              <w:rPr>
                <w:rFonts w:ascii="Times New Roman" w:hAnsi="Times New Roman" w:cs="Times New Roman"/>
              </w:rPr>
            </w:pPr>
            <w:r w:rsidRPr="00E24626">
              <w:rPr>
                <w:rFonts w:ascii="Times New Roman" w:hAnsi="Times New Roman" w:cs="Times New Roman"/>
              </w:rPr>
              <w:t>NSF Charges</w:t>
            </w:r>
          </w:p>
        </w:tc>
        <w:tc>
          <w:tcPr>
            <w:tcW w:w="4120" w:type="dxa"/>
            <w:gridSpan w:val="2"/>
          </w:tcPr>
          <w:p w:rsidR="004D6720" w:rsidRPr="00E24626" w:rsidRDefault="004D6720" w:rsidP="00713B88">
            <w:pPr>
              <w:jc w:val="center"/>
              <w:rPr>
                <w:rFonts w:ascii="Times New Roman" w:hAnsi="Times New Roman" w:cs="Times New Roman"/>
              </w:rPr>
            </w:pPr>
            <w:r w:rsidRPr="00E24626">
              <w:rPr>
                <w:rFonts w:ascii="Times New Roman" w:hAnsi="Times New Roman" w:cs="Times New Roman"/>
              </w:rPr>
              <w:t>Pursuant to Section 68.065, F.S.</w:t>
            </w:r>
          </w:p>
        </w:tc>
      </w:tr>
    </w:tbl>
    <w:p w:rsidR="004D6720" w:rsidRDefault="004D6720" w:rsidP="004D6720">
      <w:pPr>
        <w:jc w:val="both"/>
      </w:pPr>
    </w:p>
    <w:p w:rsidR="004D6720" w:rsidRDefault="004D6720" w:rsidP="004D6720">
      <w:pPr>
        <w:jc w:val="both"/>
      </w:pPr>
      <w:r>
        <w:t>The appropriate miscellaneous service charges are shown above and should be approved. The utility</w:t>
      </w:r>
      <w:r w:rsidRPr="00CF0FFA">
        <w:t xml:space="preserve"> should file revised tariff sheets and a proposed customer notice to reflect the Commission-approved </w:t>
      </w:r>
      <w:r>
        <w:t>charges</w:t>
      </w:r>
      <w:r w:rsidRPr="00CF0FFA">
        <w:t xml:space="preserve">. The approved </w:t>
      </w:r>
      <w:r>
        <w:t xml:space="preserve">charges </w:t>
      </w:r>
      <w:r w:rsidRPr="00CF0FFA">
        <w:t xml:space="preserve">should be effective for service rendered on or after the stamped approval date on the tariff sheets pursuant to Rule 25-30.475(1), F.A.C. </w:t>
      </w:r>
      <w:r>
        <w:t xml:space="preserve">Middleton </w:t>
      </w:r>
      <w:r w:rsidRPr="00B80BFE">
        <w:t xml:space="preserve">should be required to charge the approved </w:t>
      </w:r>
      <w:r>
        <w:t xml:space="preserve">miscellaneous service </w:t>
      </w:r>
      <w:r w:rsidRPr="00B80BFE">
        <w:t>charges until authorized to change them by the Commission in a subsequent proceeding</w:t>
      </w:r>
      <w:r w:rsidRPr="00B23B59">
        <w:t>.</w:t>
      </w:r>
    </w:p>
    <w:p w:rsidR="004D6720" w:rsidRDefault="004D6720" w:rsidP="004D6720">
      <w:pPr>
        <w:pStyle w:val="BodyText"/>
      </w:pPr>
    </w:p>
    <w:p w:rsidR="004D6720" w:rsidRDefault="004D6720">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w:instrText>
      </w:r>
      <w:r w:rsidR="00490880">
        <w:instrText xml:space="preserve">RMAT </w:instrText>
      </w:r>
      <w:r w:rsidR="00490880">
        <w:fldChar w:fldCharType="separate"/>
      </w:r>
      <w:r w:rsidR="00FC34DE">
        <w:rPr>
          <w:noProof/>
        </w:rPr>
        <w:t>7</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7</w:instrText>
      </w:r>
      <w:r>
        <w:fldChar w:fldCharType="end"/>
      </w:r>
      <w:r>
        <w:tab/>
        <w:instrText xml:space="preserve">" \l 1 </w:instrText>
      </w:r>
      <w:r>
        <w:fldChar w:fldCharType="end"/>
      </w:r>
      <w:r>
        <w:t> </w:t>
      </w:r>
    </w:p>
    <w:p w:rsidR="004D6720" w:rsidRDefault="004D6720">
      <w:pPr>
        <w:pStyle w:val="BodyText"/>
      </w:pPr>
      <w:r>
        <w:t> </w:t>
      </w:r>
      <w:r w:rsidR="008C43D9" w:rsidRPr="003803E5">
        <w:t xml:space="preserve">Should the meter tampering charge requested by </w:t>
      </w:r>
      <w:r w:rsidR="008C43D9">
        <w:t>Middleton Utility Company</w:t>
      </w:r>
      <w:r w:rsidR="00E24626">
        <w:t>, LLC</w:t>
      </w:r>
      <w:r w:rsidR="008C43D9">
        <w:t xml:space="preserve"> be approved</w:t>
      </w:r>
      <w:r w:rsidR="008C43D9" w:rsidRPr="003803E5">
        <w:t>?</w:t>
      </w:r>
    </w:p>
    <w:p w:rsidR="004D6720" w:rsidRPr="004C3641" w:rsidRDefault="004D6720">
      <w:pPr>
        <w:pStyle w:val="IssueSubsectionHeading"/>
        <w:rPr>
          <w:vanish/>
          <w:specVanish/>
        </w:rPr>
      </w:pPr>
      <w:r w:rsidRPr="004C3641">
        <w:t>Recommendation: </w:t>
      </w:r>
    </w:p>
    <w:p w:rsidR="004D6720" w:rsidRDefault="004D6720">
      <w:pPr>
        <w:pStyle w:val="BodyText"/>
      </w:pPr>
      <w:r>
        <w:t> </w:t>
      </w:r>
      <w:r w:rsidR="008C43D9">
        <w:t xml:space="preserve">Yes. The Utility’s requested </w:t>
      </w:r>
      <w:r w:rsidR="008C43D9" w:rsidRPr="003803E5">
        <w:t xml:space="preserve">meter tampering charge of </w:t>
      </w:r>
      <w:r w:rsidR="008C43D9">
        <w:t>actual cost</w:t>
      </w:r>
      <w:r w:rsidR="008C43D9" w:rsidRPr="003803E5">
        <w:t xml:space="preserve"> should be approved. The approved charge should be effective for service rendered on or after the stamped approval date on the tariff pursuant to Rule 25-30.475, F.A.C. </w:t>
      </w:r>
      <w:r w:rsidR="008C43D9">
        <w:t xml:space="preserve">Middleton </w:t>
      </w:r>
      <w:r w:rsidR="008C43D9" w:rsidRPr="003803E5">
        <w:t>should be required to charge the approved charge until authorized to change it by the Commission in a subsequent proceeding. (</w:t>
      </w:r>
      <w:r w:rsidR="008C43D9">
        <w:t>Bruce</w:t>
      </w:r>
      <w:r w:rsidR="008C43D9" w:rsidRPr="003803E5">
        <w:t>)</w:t>
      </w:r>
      <w:r>
        <w:t xml:space="preserve"> </w:t>
      </w:r>
    </w:p>
    <w:p w:rsidR="004D6720" w:rsidRPr="004C3641" w:rsidRDefault="004D6720">
      <w:pPr>
        <w:pStyle w:val="IssueSubsectionHeading"/>
        <w:rPr>
          <w:vanish/>
          <w:specVanish/>
        </w:rPr>
      </w:pPr>
      <w:r w:rsidRPr="004C3641">
        <w:t>Staff Analysis: </w:t>
      </w:r>
    </w:p>
    <w:p w:rsidR="008C43D9" w:rsidRPr="003803E5" w:rsidRDefault="004D6720" w:rsidP="008C43D9">
      <w:pPr>
        <w:jc w:val="both"/>
        <w:rPr>
          <w:bCs/>
          <w:iCs/>
          <w:szCs w:val="28"/>
        </w:rPr>
      </w:pPr>
      <w:r>
        <w:t> </w:t>
      </w:r>
      <w:r w:rsidR="008C43D9" w:rsidRPr="003803E5">
        <w:rPr>
          <w:bCs/>
          <w:iCs/>
          <w:szCs w:val="28"/>
        </w:rPr>
        <w:t>Rule 25-30.320(2</w:t>
      </w:r>
      <w:proofErr w:type="gramStart"/>
      <w:r w:rsidR="008C43D9" w:rsidRPr="003803E5">
        <w:rPr>
          <w:bCs/>
          <w:iCs/>
          <w:szCs w:val="28"/>
        </w:rPr>
        <w:t>)(</w:t>
      </w:r>
      <w:proofErr w:type="gramEnd"/>
      <w:r w:rsidR="008C43D9" w:rsidRPr="003803E5">
        <w:rPr>
          <w:bCs/>
          <w:iCs/>
          <w:szCs w:val="28"/>
        </w:rPr>
        <w:t>i), F.A.C., provides that a customer’s service may be discontinued without notice in the event of tampering with the meter or other facilities furnished or owned by the Utility. In addition, Rule 25-30.320(2</w:t>
      </w:r>
      <w:proofErr w:type="gramStart"/>
      <w:r w:rsidR="008C43D9" w:rsidRPr="003803E5">
        <w:rPr>
          <w:bCs/>
          <w:iCs/>
          <w:szCs w:val="28"/>
        </w:rPr>
        <w:t>)(</w:t>
      </w:r>
      <w:proofErr w:type="gramEnd"/>
      <w:r w:rsidR="008C43D9" w:rsidRPr="003803E5">
        <w:rPr>
          <w:bCs/>
          <w:iCs/>
          <w:szCs w:val="28"/>
        </w:rPr>
        <w:t xml:space="preserve">j), F.A.C., provides that a customer’s service may be discontinued in the event of an unauthorized or fraudulent use of service. The rule allows </w:t>
      </w:r>
      <w:r w:rsidR="008C43D9">
        <w:t xml:space="preserve">Middleton </w:t>
      </w:r>
      <w:r w:rsidR="008C43D9" w:rsidRPr="003803E5">
        <w:rPr>
          <w:bCs/>
          <w:iCs/>
          <w:szCs w:val="28"/>
        </w:rPr>
        <w:t>to require</w:t>
      </w:r>
      <w:r w:rsidR="008C43D9">
        <w:rPr>
          <w:bCs/>
          <w:iCs/>
          <w:szCs w:val="28"/>
        </w:rPr>
        <w:t xml:space="preserve"> the customer to reimburse the U</w:t>
      </w:r>
      <w:r w:rsidR="008C43D9" w:rsidRPr="003803E5">
        <w:rPr>
          <w:bCs/>
          <w:iCs/>
          <w:szCs w:val="28"/>
        </w:rPr>
        <w:t>tility for all changes in piping or equipment necessary to eliminate the illegal use and to pay an amount reasonably estimated as the deficiency in revenue resulting from the customer’s fraudulent use before restoring service.</w:t>
      </w:r>
    </w:p>
    <w:p w:rsidR="008C43D9" w:rsidRPr="003803E5" w:rsidRDefault="008C43D9" w:rsidP="008C43D9">
      <w:pPr>
        <w:jc w:val="both"/>
        <w:rPr>
          <w:sz w:val="22"/>
        </w:rPr>
      </w:pPr>
    </w:p>
    <w:p w:rsidR="004D6720" w:rsidRDefault="008C43D9" w:rsidP="008C43D9">
      <w:pPr>
        <w:pStyle w:val="BodyText"/>
      </w:pPr>
      <w:r>
        <w:t xml:space="preserve">Based on the above, the Utility’s requested </w:t>
      </w:r>
      <w:r w:rsidRPr="003803E5">
        <w:t xml:space="preserve">meter tampering charge of </w:t>
      </w:r>
      <w:r>
        <w:t>actual cost</w:t>
      </w:r>
      <w:r w:rsidRPr="003803E5">
        <w:t xml:space="preserve"> should be approved. The approved charge should be effective for service rendered on or after the stamped approval date on the tariff pursuant to Rule 25-30.475, F.A.C. </w:t>
      </w:r>
      <w:r>
        <w:t xml:space="preserve">Middleton </w:t>
      </w:r>
      <w:r w:rsidRPr="003803E5">
        <w:t>should be required to charge the approved charge until authorized to change it by the Commission in a subsequent proceeding.</w:t>
      </w:r>
    </w:p>
    <w:p w:rsidR="008C43D9" w:rsidRDefault="008C43D9">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8</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8</w:instrText>
      </w:r>
      <w:r>
        <w:fldChar w:fldCharType="end"/>
      </w:r>
      <w:r>
        <w:tab/>
        <w:instrText xml:space="preserve">" \l 1 </w:instrText>
      </w:r>
      <w:r>
        <w:fldChar w:fldCharType="end"/>
      </w:r>
      <w:r>
        <w:t> </w:t>
      </w:r>
    </w:p>
    <w:p w:rsidR="008C43D9" w:rsidRDefault="008C43D9">
      <w:pPr>
        <w:pStyle w:val="BodyText"/>
      </w:pPr>
      <w:r>
        <w:t> </w:t>
      </w:r>
      <w:r w:rsidRPr="00761A30">
        <w:t xml:space="preserve">Should </w:t>
      </w:r>
      <w:r w:rsidR="007A35EE">
        <w:t>Middleton Utility Company, LLC</w:t>
      </w:r>
      <w:r w:rsidR="004A0AF3">
        <w:t>’s</w:t>
      </w:r>
      <w:r w:rsidR="007A35EE">
        <w:t xml:space="preserve"> </w:t>
      </w:r>
      <w:r w:rsidRPr="00761A30">
        <w:t>request to implement a backflow prevention assembly testing charge be approved?</w:t>
      </w:r>
    </w:p>
    <w:p w:rsidR="008C43D9" w:rsidRPr="004C3641" w:rsidRDefault="008C43D9">
      <w:pPr>
        <w:pStyle w:val="IssueSubsectionHeading"/>
        <w:rPr>
          <w:vanish/>
          <w:specVanish/>
        </w:rPr>
      </w:pPr>
      <w:r w:rsidRPr="004C3641">
        <w:t>Recommendation: </w:t>
      </w:r>
    </w:p>
    <w:p w:rsidR="008C43D9" w:rsidRDefault="008C43D9">
      <w:pPr>
        <w:pStyle w:val="BodyText"/>
      </w:pPr>
      <w:r>
        <w:t xml:space="preserve"> Yes. The </w:t>
      </w:r>
      <w:r w:rsidRPr="00E92919">
        <w:t xml:space="preserve">Utility’s requested backflow prevention assembly testing charge for general service customers at actual cost should be approved. The approved charge should be effective for service rendered on or after the stamped approval date on the tariff pursuant to Rule 25-30.475, F.A.C. </w:t>
      </w:r>
      <w:r>
        <w:t>Middleton</w:t>
      </w:r>
      <w:r w:rsidRPr="00E92919">
        <w:t xml:space="preserve"> should be required to charge the approved charge until authorized to change it by the Commission in a subsequent proceeding. (</w:t>
      </w:r>
      <w:r>
        <w:t>Bruce</w:t>
      </w:r>
      <w:r w:rsidRPr="00E92919">
        <w:t>)</w:t>
      </w:r>
      <w:r>
        <w:t xml:space="preserve"> </w:t>
      </w:r>
    </w:p>
    <w:p w:rsidR="008C43D9" w:rsidRPr="004C3641" w:rsidRDefault="008C43D9">
      <w:pPr>
        <w:pStyle w:val="IssueSubsectionHeading"/>
        <w:rPr>
          <w:vanish/>
          <w:specVanish/>
        </w:rPr>
      </w:pPr>
      <w:r w:rsidRPr="004C3641">
        <w:t>Staff Analysis: </w:t>
      </w:r>
    </w:p>
    <w:p w:rsidR="008C43D9" w:rsidRDefault="008C43D9">
      <w:pPr>
        <w:pStyle w:val="BodyText"/>
      </w:pPr>
      <w:r>
        <w:t> </w:t>
      </w:r>
      <w:r>
        <w:rPr>
          <w:bCs/>
          <w:iCs/>
          <w:szCs w:val="28"/>
        </w:rPr>
        <w:t>The U</w:t>
      </w:r>
      <w:r w:rsidRPr="00E92919">
        <w:rPr>
          <w:bCs/>
          <w:iCs/>
          <w:szCs w:val="28"/>
        </w:rPr>
        <w:t>tility requested a backflow prevention assembly testing c</w:t>
      </w:r>
      <w:r>
        <w:rPr>
          <w:bCs/>
          <w:iCs/>
          <w:szCs w:val="28"/>
        </w:rPr>
        <w:t>harge to recover the costs the U</w:t>
      </w:r>
      <w:r w:rsidRPr="00E92919">
        <w:rPr>
          <w:bCs/>
          <w:iCs/>
          <w:szCs w:val="28"/>
        </w:rPr>
        <w:t>tility would incur for performing annual testing on behalf of non-compliant commercial customers</w:t>
      </w:r>
      <w:r w:rsidRPr="00E92919">
        <w:t xml:space="preserve">. The DEP requires customers with cross-connections into the water system to install a backflow prevention assembly on the potable water line. In addition, the DEP requires that certain backflow prevention assemblies be field-tested at least once a year by a certified contractor. </w:t>
      </w:r>
      <w:r w:rsidRPr="00D53EDD">
        <w:rPr>
          <w:color w:val="000000" w:themeColor="text1"/>
        </w:rPr>
        <w:t xml:space="preserve">The residential customers of Middleton are not required to annually test their backflow prevention </w:t>
      </w:r>
      <w:r>
        <w:rPr>
          <w:color w:val="000000" w:themeColor="text1"/>
        </w:rPr>
        <w:t>assembly devices because residential customers will have a</w:t>
      </w:r>
      <w:r w:rsidRPr="00D53EDD">
        <w:rPr>
          <w:color w:val="000000" w:themeColor="text1"/>
        </w:rPr>
        <w:t xml:space="preserve"> double check valve</w:t>
      </w:r>
      <w:r>
        <w:rPr>
          <w:color w:val="000000" w:themeColor="text1"/>
        </w:rPr>
        <w:t xml:space="preserve"> which</w:t>
      </w:r>
      <w:r w:rsidRPr="00D53EDD">
        <w:rPr>
          <w:color w:val="000000" w:themeColor="text1"/>
        </w:rPr>
        <w:t xml:space="preserve"> cannot be tested</w:t>
      </w:r>
      <w:r>
        <w:rPr>
          <w:color w:val="000000" w:themeColor="text1"/>
        </w:rPr>
        <w:t>.</w:t>
      </w:r>
      <w:r w:rsidRPr="00D53EDD">
        <w:rPr>
          <w:color w:val="000000" w:themeColor="text1"/>
        </w:rPr>
        <w:t xml:space="preserve"> DEP recommends </w:t>
      </w:r>
      <w:r>
        <w:rPr>
          <w:color w:val="000000" w:themeColor="text1"/>
        </w:rPr>
        <w:t>that the double check valve</w:t>
      </w:r>
      <w:r w:rsidRPr="00D53EDD">
        <w:rPr>
          <w:color w:val="000000" w:themeColor="text1"/>
        </w:rPr>
        <w:t xml:space="preserve"> be replaced every five to ten years pursuant to Rule</w:t>
      </w:r>
      <w:r w:rsidRPr="00AF6BC2">
        <w:rPr>
          <w:color w:val="000000" w:themeColor="text1"/>
        </w:rPr>
        <w:t xml:space="preserve"> 62-555.360, </w:t>
      </w:r>
      <w:r w:rsidRPr="00A41694">
        <w:rPr>
          <w:color w:val="000000" w:themeColor="text1"/>
        </w:rPr>
        <w:t>Cross-Connection Control for Public Water Systems,</w:t>
      </w:r>
      <w:r w:rsidRPr="00AF6BC2">
        <w:rPr>
          <w:color w:val="000000" w:themeColor="text1"/>
        </w:rPr>
        <w:t xml:space="preserve"> F.A.C.</w:t>
      </w:r>
      <w:r>
        <w:t>, which is typically done at the customer’s expense.</w:t>
      </w:r>
    </w:p>
    <w:p w:rsidR="008C43D9" w:rsidRDefault="008C43D9" w:rsidP="008C43D9">
      <w:pPr>
        <w:jc w:val="both"/>
      </w:pPr>
      <w:r w:rsidRPr="00E92919">
        <w:t xml:space="preserve">It is the responsibility of the </w:t>
      </w:r>
      <w:r>
        <w:t xml:space="preserve">general service </w:t>
      </w:r>
      <w:r w:rsidRPr="00E92919">
        <w:t>customer to annually test their bac</w:t>
      </w:r>
      <w:r>
        <w:t>kflow prevention assembly. The U</w:t>
      </w:r>
      <w:r w:rsidRPr="00E92919">
        <w:t xml:space="preserve">tility would only administer this charge if a general service customer fails to test their backflow prevention device in accordance with the DEP requirements. This charge would be imposed after 30 days’ notice to the customer and would include an estimate of the amount which will be charged. This noticing period will provide the customer a final opportunity to come into compliance before </w:t>
      </w:r>
      <w:r>
        <w:t>the Utility</w:t>
      </w:r>
      <w:r w:rsidRPr="00E92919">
        <w:t xml:space="preserve"> performs the necessary testing</w:t>
      </w:r>
      <w:r>
        <w:t xml:space="preserve"> on the customer’s behalf. The U</w:t>
      </w:r>
      <w:r w:rsidRPr="00E92919">
        <w:t xml:space="preserve">tility is requesting this charge at actual cost in order to pass on the amount it will incur from a contractor performing the necessary testing. </w:t>
      </w:r>
      <w:r>
        <w:t xml:space="preserve">Staff believes the Utility’s requested charge is reasonable and consistent with the Commission’s approval of a </w:t>
      </w:r>
      <w:r w:rsidRPr="00761A30">
        <w:t>backflow prevention assembly testing charge</w:t>
      </w:r>
      <w:r>
        <w:t xml:space="preserve"> in a prior docket.</w:t>
      </w:r>
      <w:r>
        <w:rPr>
          <w:rStyle w:val="FootnoteReference"/>
        </w:rPr>
        <w:footnoteReference w:id="15"/>
      </w:r>
    </w:p>
    <w:p w:rsidR="008C43D9" w:rsidRPr="00E92919" w:rsidRDefault="008C43D9" w:rsidP="008C43D9">
      <w:pPr>
        <w:jc w:val="both"/>
      </w:pPr>
    </w:p>
    <w:p w:rsidR="008C43D9" w:rsidRDefault="008C43D9" w:rsidP="008C43D9">
      <w:pPr>
        <w:pStyle w:val="BodyText"/>
      </w:pPr>
      <w:r>
        <w:t>Based on the above, the U</w:t>
      </w:r>
      <w:r w:rsidRPr="00E92919">
        <w:t xml:space="preserve">tility’s requested backflow prevention assembly testing charge for general service customers at actual cost should be approved. The approved charge should be effective for service rendered on or after the stamped approval date on the tariff pursuant to Rule 25-30.475, F.A.C. </w:t>
      </w:r>
      <w:r>
        <w:t xml:space="preserve">Middleton </w:t>
      </w:r>
      <w:r w:rsidRPr="00E92919">
        <w:t>should be required to charg</w:t>
      </w:r>
      <w:r>
        <w:t>e</w:t>
      </w:r>
      <w:r w:rsidRPr="00E92919">
        <w:t xml:space="preserve"> the approved charge until authorized to change it by the Commission in a subsequent proceeding.</w:t>
      </w:r>
    </w:p>
    <w:p w:rsidR="00502835" w:rsidRDefault="00502835">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9</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9</w:instrText>
      </w:r>
      <w:r>
        <w:fldChar w:fldCharType="end"/>
      </w:r>
      <w:r>
        <w:tab/>
        <w:instrText xml:space="preserve">" \l 1 </w:instrText>
      </w:r>
      <w:r>
        <w:fldChar w:fldCharType="end"/>
      </w:r>
      <w:r>
        <w:t> </w:t>
      </w:r>
    </w:p>
    <w:p w:rsidR="00502835" w:rsidRDefault="00502835">
      <w:pPr>
        <w:pStyle w:val="BodyText"/>
      </w:pPr>
      <w:r>
        <w:t> What are the appropriate service availability charges for Middleton Utility Company</w:t>
      </w:r>
      <w:r w:rsidR="007A35EE">
        <w:t>, LLC</w:t>
      </w:r>
      <w:r>
        <w:t>?</w:t>
      </w:r>
    </w:p>
    <w:p w:rsidR="00502835" w:rsidRPr="004C3641" w:rsidRDefault="00502835">
      <w:pPr>
        <w:pStyle w:val="IssueSubsectionHeading"/>
        <w:rPr>
          <w:vanish/>
          <w:specVanish/>
        </w:rPr>
      </w:pPr>
      <w:r w:rsidRPr="004C3641">
        <w:t>Recommendation: </w:t>
      </w:r>
    </w:p>
    <w:p w:rsidR="00502835" w:rsidRDefault="00502835">
      <w:pPr>
        <w:pStyle w:val="BodyText"/>
      </w:pPr>
      <w:r>
        <w:t> </w:t>
      </w:r>
      <w:r w:rsidRPr="00E92919">
        <w:rPr>
          <w:bCs/>
          <w:iCs/>
          <w:szCs w:val="28"/>
        </w:rPr>
        <w:t>The appropriate service availability charges are a meter installation charge of $</w:t>
      </w:r>
      <w:r>
        <w:rPr>
          <w:bCs/>
          <w:iCs/>
          <w:szCs w:val="28"/>
        </w:rPr>
        <w:t xml:space="preserve">571.50 for the residential </w:t>
      </w:r>
      <w:r w:rsidRPr="00E92919">
        <w:rPr>
          <w:bCs/>
          <w:iCs/>
          <w:szCs w:val="28"/>
        </w:rPr>
        <w:t xml:space="preserve">5/8” x 3/4” meter </w:t>
      </w:r>
      <w:r>
        <w:rPr>
          <w:bCs/>
          <w:iCs/>
          <w:szCs w:val="28"/>
        </w:rPr>
        <w:t xml:space="preserve">size and actual cost for all other residential and general service meter sizes. The </w:t>
      </w:r>
      <w:r w:rsidRPr="00E92919">
        <w:rPr>
          <w:bCs/>
          <w:iCs/>
          <w:szCs w:val="28"/>
        </w:rPr>
        <w:t>main extension charge of $</w:t>
      </w:r>
      <w:r>
        <w:rPr>
          <w:bCs/>
          <w:iCs/>
          <w:szCs w:val="28"/>
        </w:rPr>
        <w:t>2,222</w:t>
      </w:r>
      <w:r w:rsidRPr="00E92919">
        <w:rPr>
          <w:bCs/>
          <w:iCs/>
          <w:szCs w:val="28"/>
        </w:rPr>
        <w:t xml:space="preserve"> per </w:t>
      </w:r>
      <w:r w:rsidR="007A35EE">
        <w:rPr>
          <w:bCs/>
          <w:iCs/>
          <w:szCs w:val="28"/>
        </w:rPr>
        <w:t>equivalent residential connection (</w:t>
      </w:r>
      <w:r w:rsidRPr="00E92919">
        <w:rPr>
          <w:bCs/>
          <w:iCs/>
          <w:szCs w:val="28"/>
        </w:rPr>
        <w:t>ERC</w:t>
      </w:r>
      <w:r w:rsidR="007A35EE">
        <w:rPr>
          <w:bCs/>
          <w:iCs/>
          <w:szCs w:val="28"/>
        </w:rPr>
        <w:t>)</w:t>
      </w:r>
      <w:r w:rsidRPr="00E92919">
        <w:rPr>
          <w:bCs/>
          <w:iCs/>
          <w:szCs w:val="28"/>
        </w:rPr>
        <w:t xml:space="preserve"> </w:t>
      </w:r>
      <w:r>
        <w:rPr>
          <w:bCs/>
          <w:iCs/>
          <w:szCs w:val="28"/>
        </w:rPr>
        <w:t xml:space="preserve">and plant capacity charge of $1,224 per ERC </w:t>
      </w:r>
      <w:r w:rsidRPr="00E92919">
        <w:rPr>
          <w:bCs/>
          <w:iCs/>
          <w:szCs w:val="28"/>
        </w:rPr>
        <w:t>for the Utility’s water system</w:t>
      </w:r>
      <w:r>
        <w:rPr>
          <w:bCs/>
          <w:iCs/>
          <w:szCs w:val="28"/>
        </w:rPr>
        <w:t xml:space="preserve"> should be approved</w:t>
      </w:r>
      <w:r w:rsidRPr="00E92919">
        <w:rPr>
          <w:bCs/>
          <w:iCs/>
          <w:szCs w:val="28"/>
        </w:rPr>
        <w:t>.</w:t>
      </w:r>
      <w:r w:rsidRPr="00E92919">
        <w:t xml:space="preserve"> Additionally, a main extension charge of $</w:t>
      </w:r>
      <w:r>
        <w:t>2,298</w:t>
      </w:r>
      <w:r w:rsidRPr="00E92919">
        <w:t xml:space="preserve"> per ERC and a plant capacity charge of $</w:t>
      </w:r>
      <w:r>
        <w:t>2,530</w:t>
      </w:r>
      <w:r w:rsidRPr="00E92919">
        <w:t xml:space="preserve"> per ERC for the Utility’s wastewater system should be approved.</w:t>
      </w:r>
      <w:r>
        <w:t xml:space="preserve"> The recommended main extension and plant capacity charges should be based on 225 gallons per day (</w:t>
      </w:r>
      <w:proofErr w:type="spellStart"/>
      <w:r>
        <w:t>gpd</w:t>
      </w:r>
      <w:proofErr w:type="spellEnd"/>
      <w:r>
        <w:t xml:space="preserve">). </w:t>
      </w:r>
      <w:r w:rsidRPr="00E92919">
        <w:t>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Pr="00E92919">
        <w:rPr>
          <w:bCs/>
          <w:iCs/>
          <w:szCs w:val="28"/>
        </w:rPr>
        <w:t>.</w:t>
      </w:r>
      <w:r>
        <w:rPr>
          <w:bCs/>
          <w:iCs/>
          <w:szCs w:val="28"/>
        </w:rPr>
        <w:t xml:space="preserve"> (Bruce)</w:t>
      </w:r>
      <w:r>
        <w:t xml:space="preserve"> </w:t>
      </w:r>
    </w:p>
    <w:p w:rsidR="00502835" w:rsidRPr="004C3641" w:rsidRDefault="00502835">
      <w:pPr>
        <w:pStyle w:val="IssueSubsectionHeading"/>
        <w:rPr>
          <w:vanish/>
          <w:specVanish/>
        </w:rPr>
      </w:pPr>
      <w:r w:rsidRPr="004C3641">
        <w:t>Staff Analysis: </w:t>
      </w:r>
    </w:p>
    <w:p w:rsidR="00502835" w:rsidRPr="00E92919" w:rsidRDefault="00502835" w:rsidP="00502835">
      <w:pPr>
        <w:spacing w:after="240"/>
        <w:jc w:val="both"/>
        <w:outlineLvl w:val="1"/>
        <w:rPr>
          <w:bCs/>
          <w:iCs/>
          <w:szCs w:val="28"/>
        </w:rPr>
      </w:pPr>
      <w:r>
        <w:t> Middleton</w:t>
      </w:r>
      <w:r w:rsidRPr="00E92919">
        <w:rPr>
          <w:bCs/>
          <w:iCs/>
          <w:szCs w:val="28"/>
        </w:rPr>
        <w:t xml:space="preserve"> requested a meter installation charge of $</w:t>
      </w:r>
      <w:r>
        <w:rPr>
          <w:bCs/>
          <w:iCs/>
          <w:szCs w:val="28"/>
        </w:rPr>
        <w:t>571.50</w:t>
      </w:r>
      <w:r w:rsidRPr="00E92919">
        <w:rPr>
          <w:bCs/>
          <w:iCs/>
          <w:szCs w:val="28"/>
        </w:rPr>
        <w:t xml:space="preserve"> for 5/8” x 3/4” meters and actual</w:t>
      </w:r>
      <w:r>
        <w:rPr>
          <w:bCs/>
          <w:iCs/>
          <w:szCs w:val="28"/>
        </w:rPr>
        <w:t xml:space="preserve"> cost for all other meter sizes and</w:t>
      </w:r>
      <w:r w:rsidRPr="00E92919">
        <w:rPr>
          <w:bCs/>
          <w:iCs/>
          <w:szCs w:val="28"/>
        </w:rPr>
        <w:t xml:space="preserve"> </w:t>
      </w:r>
      <w:r>
        <w:rPr>
          <w:bCs/>
          <w:iCs/>
          <w:szCs w:val="28"/>
        </w:rPr>
        <w:t>service availability charge of $2,716 per ERC, which includes a main extension charge of $2,215 per ERC and plant capacity charge of $501 per ERC for its water system. For its wastewater system</w:t>
      </w:r>
      <w:r w:rsidRPr="00E92919">
        <w:rPr>
          <w:bCs/>
          <w:iCs/>
          <w:szCs w:val="28"/>
        </w:rPr>
        <w:t xml:space="preserve">, the Utility requested a </w:t>
      </w:r>
      <w:r>
        <w:rPr>
          <w:bCs/>
          <w:iCs/>
          <w:szCs w:val="28"/>
        </w:rPr>
        <w:t xml:space="preserve">service availability charge of $3,527 per ERC, which includes a main extension charge of $2,668 per ERC and plant capacity charge of $859 per ERC. The Utility’s proposed ERC is 225 </w:t>
      </w:r>
      <w:proofErr w:type="spellStart"/>
      <w:r>
        <w:rPr>
          <w:bCs/>
          <w:iCs/>
          <w:szCs w:val="28"/>
        </w:rPr>
        <w:t>gpd</w:t>
      </w:r>
      <w:proofErr w:type="spellEnd"/>
      <w:r>
        <w:rPr>
          <w:bCs/>
          <w:iCs/>
          <w:szCs w:val="28"/>
        </w:rPr>
        <w:t xml:space="preserve">. </w:t>
      </w:r>
      <w:r>
        <w:t>T</w:t>
      </w:r>
      <w:r w:rsidRPr="00E92919">
        <w:t>he Utility</w:t>
      </w:r>
      <w:r>
        <w:t xml:space="preserve"> asserts that</w:t>
      </w:r>
      <w:r w:rsidRPr="00E92919">
        <w:t xml:space="preserve"> the requested charges are in compliance with Rule 25-30.580, F.A.C., in that at design capacity the CIAC will not be in excess of 75 percent, and will not be less than the percentage of facilities and plant represented by the distribution and collection systems.</w:t>
      </w:r>
    </w:p>
    <w:p w:rsidR="00502835" w:rsidRDefault="00502835" w:rsidP="00502835">
      <w:pPr>
        <w:spacing w:after="240"/>
        <w:jc w:val="both"/>
        <w:outlineLvl w:val="1"/>
        <w:rPr>
          <w:bCs/>
          <w:iCs/>
          <w:szCs w:val="28"/>
        </w:rPr>
      </w:pPr>
      <w:r w:rsidRPr="00E92919">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w:t>
      </w:r>
      <w:proofErr w:type="gramStart"/>
      <w:r w:rsidRPr="00E92919">
        <w:rPr>
          <w:bCs/>
          <w:iCs/>
          <w:szCs w:val="28"/>
        </w:rPr>
        <w:t>)(</w:t>
      </w:r>
      <w:proofErr w:type="gramEnd"/>
      <w:r w:rsidRPr="00E92919">
        <w:rPr>
          <w:bCs/>
          <w:iCs/>
          <w:szCs w:val="28"/>
        </w:rPr>
        <w:t xml:space="preserve">b), F.A.C., provides that the minimum amount of CIAC should not be less than the percentage of such facilities and plant that is represented by the distribution and collection systems. </w:t>
      </w:r>
      <w:r>
        <w:rPr>
          <w:bCs/>
          <w:iCs/>
          <w:szCs w:val="28"/>
        </w:rPr>
        <w:t>The service availability charges are discussed below.</w:t>
      </w:r>
    </w:p>
    <w:p w:rsidR="00502835" w:rsidRDefault="00502835" w:rsidP="00502835">
      <w:pPr>
        <w:jc w:val="both"/>
        <w:outlineLvl w:val="1"/>
        <w:rPr>
          <w:rFonts w:ascii="Arial" w:hAnsi="Arial" w:cs="Arial"/>
          <w:b/>
        </w:rPr>
      </w:pPr>
      <w:r w:rsidRPr="00E92919">
        <w:rPr>
          <w:rFonts w:ascii="Arial" w:hAnsi="Arial" w:cs="Arial"/>
          <w:b/>
        </w:rPr>
        <w:t>Meter Installation Charges</w:t>
      </w:r>
    </w:p>
    <w:p w:rsidR="00502835" w:rsidRPr="00E92919" w:rsidRDefault="00502835" w:rsidP="00502835">
      <w:pPr>
        <w:spacing w:after="240"/>
        <w:jc w:val="both"/>
        <w:outlineLvl w:val="1"/>
      </w:pPr>
      <w:r>
        <w:t>Middleton</w:t>
      </w:r>
      <w:r w:rsidRPr="00E92919">
        <w:t xml:space="preserve"> is requesting approval of a meter installation charge of $</w:t>
      </w:r>
      <w:r>
        <w:t>571.50</w:t>
      </w:r>
      <w:r w:rsidRPr="00E92919">
        <w:t xml:space="preserve"> for 5/8” x 3/4” meters. All other meter sizes will be installed at the Utility’s actual cost. The Utility’s proposed meter installation charge of $</w:t>
      </w:r>
      <w:r>
        <w:t>571.50</w:t>
      </w:r>
      <w:r w:rsidRPr="00E92919">
        <w:t xml:space="preserve"> is based on the estimated cost to install </w:t>
      </w:r>
      <w:r>
        <w:t xml:space="preserve">remote read </w:t>
      </w:r>
      <w:r w:rsidRPr="00E92919">
        <w:t xml:space="preserve">water meters and the required backflow prevention device for the 5/8” x 3/4” meter size. </w:t>
      </w:r>
      <w:proofErr w:type="gramStart"/>
      <w:r w:rsidRPr="00E92919">
        <w:t>Staff recommends the meter installation charges</w:t>
      </w:r>
      <w:r>
        <w:t>, as proposed,</w:t>
      </w:r>
      <w:r w:rsidRPr="00E92919">
        <w:t xml:space="preserve"> are</w:t>
      </w:r>
      <w:proofErr w:type="gramEnd"/>
      <w:r w:rsidRPr="00E92919">
        <w:t xml:space="preserve"> reasonable and should be approved.</w:t>
      </w:r>
    </w:p>
    <w:p w:rsidR="00502835" w:rsidRPr="00E92919" w:rsidRDefault="00502835" w:rsidP="00502835">
      <w:pPr>
        <w:jc w:val="both"/>
        <w:outlineLvl w:val="1"/>
        <w:rPr>
          <w:rFonts w:ascii="Arial" w:hAnsi="Arial" w:cs="Arial"/>
          <w:b/>
        </w:rPr>
      </w:pPr>
      <w:r w:rsidRPr="00E92919">
        <w:rPr>
          <w:rFonts w:ascii="Arial" w:hAnsi="Arial" w:cs="Arial"/>
          <w:b/>
        </w:rPr>
        <w:t>Main Extension Charges</w:t>
      </w:r>
    </w:p>
    <w:p w:rsidR="00502835" w:rsidRDefault="00502835" w:rsidP="00502835">
      <w:pPr>
        <w:pStyle w:val="BodyText"/>
      </w:pPr>
      <w:r w:rsidRPr="00C42F68">
        <w:t xml:space="preserve">The main extension charge is designed to allow customers to pay their pro rata share of the cost of the </w:t>
      </w:r>
      <w:r>
        <w:t>water distribution and wastewater collection systems</w:t>
      </w:r>
      <w:r w:rsidRPr="00C42F68">
        <w:t xml:space="preserve">, which is installed by the </w:t>
      </w:r>
      <w:r>
        <w:t>U</w:t>
      </w:r>
      <w:r w:rsidRPr="00C42F68">
        <w:t>tility.</w:t>
      </w:r>
      <w:r>
        <w:t xml:space="preserve"> </w:t>
      </w:r>
      <w:proofErr w:type="gramStart"/>
      <w:r>
        <w:t xml:space="preserve">The </w:t>
      </w:r>
      <w:r w:rsidRPr="00E92919">
        <w:t xml:space="preserve"> Commission</w:t>
      </w:r>
      <w:proofErr w:type="gramEnd"/>
      <w:r w:rsidRPr="00E92919">
        <w:t xml:space="preserve"> approves main extension charges </w:t>
      </w:r>
      <w:r>
        <w:t>based on</w:t>
      </w:r>
      <w:r w:rsidRPr="00E92919">
        <w:t xml:space="preserve"> the average cost of the distribution and collection systems and the anticipated capacity</w:t>
      </w:r>
      <w:r>
        <w:t xml:space="preserve"> in ERCs</w:t>
      </w:r>
      <w:r w:rsidRPr="00E92919">
        <w:t>.</w:t>
      </w:r>
      <w:r>
        <w:t xml:space="preserve"> Based on staff’s recommended utility plant in service, the main extension charge per ERC should be $2,222 for water and $2,298 for wastewater.</w:t>
      </w:r>
    </w:p>
    <w:p w:rsidR="00757EEF" w:rsidRPr="00E92919" w:rsidRDefault="00757EEF" w:rsidP="00757EEF">
      <w:pPr>
        <w:jc w:val="both"/>
        <w:outlineLvl w:val="1"/>
        <w:rPr>
          <w:rFonts w:ascii="Arial" w:hAnsi="Arial" w:cs="Arial"/>
          <w:b/>
        </w:rPr>
      </w:pPr>
      <w:r w:rsidRPr="00E92919">
        <w:rPr>
          <w:rFonts w:ascii="Arial" w:hAnsi="Arial" w:cs="Arial"/>
          <w:b/>
        </w:rPr>
        <w:lastRenderedPageBreak/>
        <w:t>Plant Capacity Charges</w:t>
      </w:r>
    </w:p>
    <w:p w:rsidR="00757EEF" w:rsidRDefault="00757EEF" w:rsidP="00757EEF">
      <w:pPr>
        <w:spacing w:after="240"/>
        <w:jc w:val="both"/>
        <w:outlineLvl w:val="1"/>
        <w:rPr>
          <w:bCs/>
          <w:iCs/>
          <w:szCs w:val="28"/>
        </w:rPr>
      </w:pPr>
      <w:r>
        <w:t xml:space="preserve">A plant capacity charge allows the Utility to recover each customer’s pro rata share of the cost of facilities and stay within the guidelines prescribed in </w:t>
      </w:r>
      <w:r w:rsidRPr="00E92919">
        <w:t xml:space="preserve">Rule 25-30.580, F.A.C., </w:t>
      </w:r>
      <w:r>
        <w:t xml:space="preserve">which </w:t>
      </w:r>
      <w:r w:rsidRPr="00E92919">
        <w:t xml:space="preserve">provides minimum and maximum guidelines for designing service availability charges. </w:t>
      </w:r>
      <w:r>
        <w:t>The Utility proposed plant capacity charges of $501 for water and $859 for wastewater, resulted in contribution levels of 75 percent for water and wastewater, which is the maximum guideline provided in the rule mentioned above.</w:t>
      </w:r>
      <w:r w:rsidRPr="00A1695B">
        <w:rPr>
          <w:bCs/>
          <w:iCs/>
          <w:szCs w:val="28"/>
        </w:rPr>
        <w:t xml:space="preserve"> </w:t>
      </w:r>
    </w:p>
    <w:p w:rsidR="00757EEF" w:rsidRPr="00825D3A" w:rsidRDefault="00757EEF" w:rsidP="00713B88">
      <w:pPr>
        <w:spacing w:after="120"/>
        <w:jc w:val="both"/>
        <w:outlineLvl w:val="1"/>
        <w:rPr>
          <w:bCs/>
          <w:iCs/>
          <w:szCs w:val="28"/>
        </w:rPr>
      </w:pPr>
      <w:r>
        <w:rPr>
          <w:bCs/>
          <w:iCs/>
          <w:szCs w:val="28"/>
        </w:rPr>
        <w:t xml:space="preserve">However, based on staff’s recommended utility plant in service, a plant capacity charge of $1,229 per ERC should be approved for water and $2,298 per ERC should be approved for wastewater. </w:t>
      </w:r>
      <w:r>
        <w:t>S</w:t>
      </w:r>
      <w:r w:rsidRPr="00E92919">
        <w:t>taff’s r</w:t>
      </w:r>
      <w:r>
        <w:t>ecommended plant capacity charges result in contribution levels of 75 percent for both water and wastewater, which is equivalent to the contribution levels proposed by the Utility. Staff’s recommended charges are</w:t>
      </w:r>
      <w:r w:rsidR="00DE188B">
        <w:t xml:space="preserve"> consistent</w:t>
      </w:r>
      <w:r w:rsidRPr="00E92919">
        <w:t xml:space="preserve"> with Rule 25-30.580, F.A.C., and will allow </w:t>
      </w:r>
      <w:r>
        <w:t xml:space="preserve">Middleton </w:t>
      </w:r>
      <w:r w:rsidRPr="00E92919">
        <w:t>to maintain an appropriate</w:t>
      </w:r>
      <w:r>
        <w:t xml:space="preserve"> level of</w:t>
      </w:r>
      <w:r w:rsidRPr="00E92919">
        <w:t xml:space="preserve"> investment in its system. Table </w:t>
      </w:r>
      <w:r>
        <w:t>9</w:t>
      </w:r>
      <w:r w:rsidRPr="00E92919">
        <w:t>-1 below displays the Utility’s proposed and staff’s recommended service availability charges for its water and wastewater systems.</w:t>
      </w:r>
    </w:p>
    <w:p w:rsidR="00757EEF" w:rsidRPr="00E92919" w:rsidRDefault="00757EEF" w:rsidP="00713B88">
      <w:pPr>
        <w:keepNext/>
        <w:spacing w:before="240"/>
        <w:jc w:val="center"/>
        <w:rPr>
          <w:rFonts w:ascii="Arial" w:hAnsi="Arial"/>
          <w:b/>
        </w:rPr>
      </w:pPr>
      <w:r w:rsidRPr="00E92919">
        <w:rPr>
          <w:rFonts w:ascii="Arial" w:hAnsi="Arial"/>
          <w:b/>
        </w:rPr>
        <w:t xml:space="preserve">Table </w:t>
      </w:r>
      <w:r>
        <w:rPr>
          <w:rFonts w:ascii="Arial" w:hAnsi="Arial"/>
          <w:b/>
        </w:rPr>
        <w:t>9</w:t>
      </w:r>
      <w:r w:rsidRPr="00E92919">
        <w:rPr>
          <w:rFonts w:ascii="Arial" w:hAnsi="Arial"/>
          <w:b/>
        </w:rPr>
        <w:t>-1</w:t>
      </w:r>
    </w:p>
    <w:p w:rsidR="00757EEF" w:rsidRPr="00E92919" w:rsidRDefault="00757EEF" w:rsidP="00757EEF">
      <w:pPr>
        <w:keepNext/>
        <w:jc w:val="center"/>
        <w:rPr>
          <w:rFonts w:ascii="Arial" w:hAnsi="Arial"/>
          <w:b/>
        </w:rPr>
      </w:pPr>
      <w:r w:rsidRPr="00E92919">
        <w:rPr>
          <w:rFonts w:ascii="Arial" w:hAnsi="Arial"/>
          <w:b/>
        </w:rPr>
        <w:t>Service Availability Charges</w:t>
      </w:r>
    </w:p>
    <w:tbl>
      <w:tblPr>
        <w:tblStyle w:val="TableGrid16"/>
        <w:tblW w:w="0" w:type="auto"/>
        <w:jc w:val="center"/>
        <w:tblLook w:val="04A0" w:firstRow="1" w:lastRow="0" w:firstColumn="1" w:lastColumn="0" w:noHBand="0" w:noVBand="1"/>
      </w:tblPr>
      <w:tblGrid>
        <w:gridCol w:w="3014"/>
        <w:gridCol w:w="1706"/>
        <w:gridCol w:w="1746"/>
        <w:gridCol w:w="1555"/>
        <w:gridCol w:w="1555"/>
      </w:tblGrid>
      <w:tr w:rsidR="00757EEF" w:rsidRPr="00E92919" w:rsidTr="00713B88">
        <w:trPr>
          <w:trHeight w:val="354"/>
          <w:jc w:val="center"/>
        </w:trPr>
        <w:tc>
          <w:tcPr>
            <w:tcW w:w="3014" w:type="dxa"/>
          </w:tcPr>
          <w:p w:rsidR="00757EEF" w:rsidRPr="00E92919" w:rsidRDefault="00757EEF" w:rsidP="00713B88"/>
        </w:tc>
        <w:tc>
          <w:tcPr>
            <w:tcW w:w="3452" w:type="dxa"/>
            <w:gridSpan w:val="2"/>
          </w:tcPr>
          <w:p w:rsidR="00757EEF" w:rsidRPr="00E92919" w:rsidRDefault="00757EEF" w:rsidP="00713B88">
            <w:pPr>
              <w:jc w:val="center"/>
            </w:pPr>
            <w:r w:rsidRPr="00E92919">
              <w:t>Utility Proposed</w:t>
            </w:r>
          </w:p>
        </w:tc>
        <w:tc>
          <w:tcPr>
            <w:tcW w:w="3110" w:type="dxa"/>
            <w:gridSpan w:val="2"/>
          </w:tcPr>
          <w:p w:rsidR="00757EEF" w:rsidRPr="00E92919" w:rsidRDefault="00757EEF" w:rsidP="00713B88">
            <w:pPr>
              <w:jc w:val="center"/>
            </w:pPr>
            <w:r w:rsidRPr="00E92919">
              <w:t>Staff Recommended</w:t>
            </w:r>
          </w:p>
        </w:tc>
      </w:tr>
      <w:tr w:rsidR="00757EEF" w:rsidRPr="00E92919" w:rsidTr="00713B88">
        <w:trPr>
          <w:trHeight w:val="354"/>
          <w:jc w:val="center"/>
        </w:trPr>
        <w:tc>
          <w:tcPr>
            <w:tcW w:w="3014" w:type="dxa"/>
          </w:tcPr>
          <w:p w:rsidR="00757EEF" w:rsidRPr="00E92919" w:rsidRDefault="00757EEF" w:rsidP="00713B88">
            <w:r w:rsidRPr="00E92919">
              <w:t>Charge</w:t>
            </w:r>
          </w:p>
        </w:tc>
        <w:tc>
          <w:tcPr>
            <w:tcW w:w="1706" w:type="dxa"/>
          </w:tcPr>
          <w:p w:rsidR="00757EEF" w:rsidRPr="00E92919" w:rsidRDefault="00757EEF" w:rsidP="00713B88">
            <w:pPr>
              <w:jc w:val="right"/>
            </w:pPr>
            <w:r w:rsidRPr="00E92919">
              <w:t>Water</w:t>
            </w:r>
          </w:p>
        </w:tc>
        <w:tc>
          <w:tcPr>
            <w:tcW w:w="1746" w:type="dxa"/>
          </w:tcPr>
          <w:p w:rsidR="00757EEF" w:rsidRPr="00E92919" w:rsidRDefault="00757EEF" w:rsidP="00713B88">
            <w:pPr>
              <w:jc w:val="right"/>
            </w:pPr>
            <w:r w:rsidRPr="00E92919">
              <w:t>Wastewater</w:t>
            </w:r>
          </w:p>
        </w:tc>
        <w:tc>
          <w:tcPr>
            <w:tcW w:w="1555" w:type="dxa"/>
          </w:tcPr>
          <w:p w:rsidR="00757EEF" w:rsidRPr="00E92919" w:rsidRDefault="00757EEF" w:rsidP="00713B88">
            <w:pPr>
              <w:jc w:val="right"/>
            </w:pPr>
            <w:r w:rsidRPr="00E92919">
              <w:t>Water</w:t>
            </w:r>
          </w:p>
        </w:tc>
        <w:tc>
          <w:tcPr>
            <w:tcW w:w="1555" w:type="dxa"/>
          </w:tcPr>
          <w:p w:rsidR="00757EEF" w:rsidRPr="00E92919" w:rsidRDefault="00757EEF" w:rsidP="00713B88">
            <w:pPr>
              <w:jc w:val="right"/>
            </w:pPr>
            <w:r w:rsidRPr="00E92919">
              <w:t>Wastewater</w:t>
            </w:r>
          </w:p>
        </w:tc>
      </w:tr>
      <w:tr w:rsidR="00757EEF" w:rsidRPr="00E92919" w:rsidTr="00713B88">
        <w:trPr>
          <w:trHeight w:val="354"/>
          <w:jc w:val="center"/>
        </w:trPr>
        <w:tc>
          <w:tcPr>
            <w:tcW w:w="3014" w:type="dxa"/>
          </w:tcPr>
          <w:p w:rsidR="00757EEF" w:rsidRPr="00E92919" w:rsidRDefault="00757EEF" w:rsidP="00713B88">
            <w:r w:rsidRPr="00E92919">
              <w:t>Meter Installation Charge</w:t>
            </w:r>
          </w:p>
        </w:tc>
        <w:tc>
          <w:tcPr>
            <w:tcW w:w="1706" w:type="dxa"/>
          </w:tcPr>
          <w:p w:rsidR="00757EEF" w:rsidRPr="00E92919" w:rsidRDefault="00757EEF" w:rsidP="00713B88">
            <w:pPr>
              <w:jc w:val="right"/>
            </w:pPr>
            <w:r w:rsidRPr="00E92919">
              <w:t>$</w:t>
            </w:r>
            <w:r>
              <w:t>571.50</w:t>
            </w:r>
          </w:p>
        </w:tc>
        <w:tc>
          <w:tcPr>
            <w:tcW w:w="1746" w:type="dxa"/>
          </w:tcPr>
          <w:p w:rsidR="00757EEF" w:rsidRPr="00E92919" w:rsidRDefault="00757EEF" w:rsidP="00713B88">
            <w:pPr>
              <w:jc w:val="right"/>
            </w:pPr>
            <w:r w:rsidRPr="00E92919">
              <w:t>N/A</w:t>
            </w:r>
          </w:p>
        </w:tc>
        <w:tc>
          <w:tcPr>
            <w:tcW w:w="1555" w:type="dxa"/>
          </w:tcPr>
          <w:p w:rsidR="00757EEF" w:rsidRPr="00E92919" w:rsidRDefault="00757EEF" w:rsidP="00713B88">
            <w:pPr>
              <w:jc w:val="right"/>
            </w:pPr>
            <w:r w:rsidRPr="00E92919">
              <w:t>$</w:t>
            </w:r>
            <w:r>
              <w:t>571.50</w:t>
            </w:r>
          </w:p>
        </w:tc>
        <w:tc>
          <w:tcPr>
            <w:tcW w:w="1555" w:type="dxa"/>
          </w:tcPr>
          <w:p w:rsidR="00757EEF" w:rsidRPr="00E92919" w:rsidRDefault="00757EEF" w:rsidP="00713B88">
            <w:pPr>
              <w:jc w:val="right"/>
            </w:pPr>
            <w:r w:rsidRPr="00E92919">
              <w:t>N/A</w:t>
            </w:r>
          </w:p>
        </w:tc>
      </w:tr>
      <w:tr w:rsidR="00757EEF" w:rsidRPr="00E92919" w:rsidTr="00713B88">
        <w:trPr>
          <w:trHeight w:val="354"/>
          <w:jc w:val="center"/>
        </w:trPr>
        <w:tc>
          <w:tcPr>
            <w:tcW w:w="3014" w:type="dxa"/>
          </w:tcPr>
          <w:p w:rsidR="00757EEF" w:rsidRPr="00E92919" w:rsidRDefault="00757EEF" w:rsidP="00713B88">
            <w:r w:rsidRPr="00E92919">
              <w:t>Main Extension Charge</w:t>
            </w:r>
          </w:p>
          <w:p w:rsidR="00757EEF" w:rsidRPr="00E92919" w:rsidRDefault="00757EEF" w:rsidP="00713B88">
            <w:r w:rsidRPr="00E92919">
              <w:t xml:space="preserve">ERC = </w:t>
            </w:r>
            <w:r>
              <w:t xml:space="preserve">225 </w:t>
            </w:r>
            <w:proofErr w:type="spellStart"/>
            <w:r w:rsidRPr="00E92919">
              <w:t>gpd</w:t>
            </w:r>
            <w:proofErr w:type="spellEnd"/>
          </w:p>
        </w:tc>
        <w:tc>
          <w:tcPr>
            <w:tcW w:w="1706" w:type="dxa"/>
          </w:tcPr>
          <w:p w:rsidR="00757EEF" w:rsidRPr="00E92919" w:rsidRDefault="00757EEF" w:rsidP="00713B88">
            <w:pPr>
              <w:jc w:val="right"/>
            </w:pPr>
            <w:r w:rsidRPr="00E92919">
              <w:t>$</w:t>
            </w:r>
            <w:r>
              <w:t>2,215</w:t>
            </w:r>
          </w:p>
        </w:tc>
        <w:tc>
          <w:tcPr>
            <w:tcW w:w="1746" w:type="dxa"/>
          </w:tcPr>
          <w:p w:rsidR="00757EEF" w:rsidRPr="00E92919" w:rsidRDefault="00757EEF" w:rsidP="00713B88">
            <w:pPr>
              <w:jc w:val="right"/>
            </w:pPr>
            <w:r w:rsidRPr="00E92919">
              <w:t>$</w:t>
            </w:r>
            <w:r>
              <w:t>2,268</w:t>
            </w:r>
          </w:p>
        </w:tc>
        <w:tc>
          <w:tcPr>
            <w:tcW w:w="1555" w:type="dxa"/>
          </w:tcPr>
          <w:p w:rsidR="00757EEF" w:rsidRPr="00E92919" w:rsidRDefault="00757EEF" w:rsidP="00713B88">
            <w:pPr>
              <w:jc w:val="right"/>
            </w:pPr>
            <w:r w:rsidRPr="00E92919">
              <w:t>$</w:t>
            </w:r>
            <w:r>
              <w:t>2,222</w:t>
            </w:r>
          </w:p>
        </w:tc>
        <w:tc>
          <w:tcPr>
            <w:tcW w:w="1555" w:type="dxa"/>
          </w:tcPr>
          <w:p w:rsidR="00757EEF" w:rsidRPr="00E92919" w:rsidRDefault="00757EEF" w:rsidP="00713B88">
            <w:pPr>
              <w:jc w:val="right"/>
            </w:pPr>
            <w:r w:rsidRPr="00E92919">
              <w:t>$</w:t>
            </w:r>
            <w:r>
              <w:t>2,298</w:t>
            </w:r>
          </w:p>
        </w:tc>
      </w:tr>
      <w:tr w:rsidR="00757EEF" w:rsidRPr="00E92919" w:rsidTr="00713B88">
        <w:trPr>
          <w:trHeight w:val="354"/>
          <w:jc w:val="center"/>
        </w:trPr>
        <w:tc>
          <w:tcPr>
            <w:tcW w:w="3014" w:type="dxa"/>
          </w:tcPr>
          <w:p w:rsidR="00757EEF" w:rsidRPr="00E92919" w:rsidRDefault="00757EEF" w:rsidP="00713B88">
            <w:r w:rsidRPr="00E92919">
              <w:t xml:space="preserve">Plant Capacity Charge </w:t>
            </w:r>
          </w:p>
          <w:p w:rsidR="00757EEF" w:rsidRPr="00E92919" w:rsidRDefault="00757EEF" w:rsidP="00713B88">
            <w:r w:rsidRPr="00E92919">
              <w:t xml:space="preserve">ERC = </w:t>
            </w:r>
            <w:r>
              <w:t>225</w:t>
            </w:r>
            <w:r w:rsidRPr="00E92919">
              <w:t xml:space="preserve"> </w:t>
            </w:r>
            <w:proofErr w:type="spellStart"/>
            <w:r w:rsidRPr="00E92919">
              <w:t>gpd</w:t>
            </w:r>
            <w:proofErr w:type="spellEnd"/>
          </w:p>
        </w:tc>
        <w:tc>
          <w:tcPr>
            <w:tcW w:w="1706" w:type="dxa"/>
          </w:tcPr>
          <w:p w:rsidR="00757EEF" w:rsidRPr="00E92919" w:rsidRDefault="00757EEF" w:rsidP="00713B88">
            <w:pPr>
              <w:jc w:val="right"/>
            </w:pPr>
            <w:r w:rsidRPr="00E92919">
              <w:t>$</w:t>
            </w:r>
            <w:r>
              <w:t>501</w:t>
            </w:r>
          </w:p>
        </w:tc>
        <w:tc>
          <w:tcPr>
            <w:tcW w:w="1746" w:type="dxa"/>
          </w:tcPr>
          <w:p w:rsidR="00757EEF" w:rsidRPr="00E92919" w:rsidRDefault="00757EEF" w:rsidP="00713B88">
            <w:pPr>
              <w:jc w:val="right"/>
            </w:pPr>
            <w:r w:rsidRPr="00E92919">
              <w:t>$</w:t>
            </w:r>
            <w:r>
              <w:t>859</w:t>
            </w:r>
          </w:p>
        </w:tc>
        <w:tc>
          <w:tcPr>
            <w:tcW w:w="1555" w:type="dxa"/>
          </w:tcPr>
          <w:p w:rsidR="00757EEF" w:rsidRPr="00E92919" w:rsidRDefault="00757EEF" w:rsidP="00713B88">
            <w:pPr>
              <w:jc w:val="right"/>
            </w:pPr>
            <w:r>
              <w:t>$1,229</w:t>
            </w:r>
          </w:p>
        </w:tc>
        <w:tc>
          <w:tcPr>
            <w:tcW w:w="1555" w:type="dxa"/>
          </w:tcPr>
          <w:p w:rsidR="00757EEF" w:rsidRPr="00E92919" w:rsidRDefault="00757EEF" w:rsidP="00713B88">
            <w:pPr>
              <w:jc w:val="right"/>
            </w:pPr>
            <w:r w:rsidRPr="00E92919">
              <w:t>$</w:t>
            </w:r>
            <w:r>
              <w:t>2,530</w:t>
            </w:r>
          </w:p>
        </w:tc>
      </w:tr>
    </w:tbl>
    <w:p w:rsidR="00757EEF" w:rsidRPr="00757EEF" w:rsidRDefault="00757EEF" w:rsidP="00757EEF">
      <w:pPr>
        <w:tabs>
          <w:tab w:val="left" w:pos="-90"/>
        </w:tabs>
        <w:spacing w:after="240"/>
        <w:jc w:val="both"/>
        <w:rPr>
          <w:sz w:val="20"/>
          <w:szCs w:val="20"/>
        </w:rPr>
      </w:pPr>
      <w:r w:rsidRPr="00757EEF">
        <w:rPr>
          <w:sz w:val="20"/>
          <w:szCs w:val="20"/>
        </w:rPr>
        <w:t>Source: Utility’s Cost Justification and Staff Calculations</w:t>
      </w:r>
    </w:p>
    <w:p w:rsidR="00757EEF" w:rsidRDefault="00757EEF" w:rsidP="00757EEF">
      <w:pPr>
        <w:pStyle w:val="BodyText"/>
      </w:pPr>
      <w:r w:rsidRPr="00E92919">
        <w:t xml:space="preserve">Based on the above, </w:t>
      </w:r>
      <w:r>
        <w:rPr>
          <w:bCs/>
          <w:iCs/>
          <w:szCs w:val="28"/>
        </w:rPr>
        <w:t>t</w:t>
      </w:r>
      <w:r w:rsidRPr="00E92919">
        <w:rPr>
          <w:bCs/>
          <w:iCs/>
          <w:szCs w:val="28"/>
        </w:rPr>
        <w:t>he appropriate service availability charges are a meter installation charge of $</w:t>
      </w:r>
      <w:r>
        <w:rPr>
          <w:bCs/>
          <w:iCs/>
          <w:szCs w:val="28"/>
        </w:rPr>
        <w:t xml:space="preserve">571.50 for the residential </w:t>
      </w:r>
      <w:r w:rsidRPr="00E92919">
        <w:rPr>
          <w:bCs/>
          <w:iCs/>
          <w:szCs w:val="28"/>
        </w:rPr>
        <w:t xml:space="preserve">5/8” x 3/4” meter </w:t>
      </w:r>
      <w:r>
        <w:rPr>
          <w:bCs/>
          <w:iCs/>
          <w:szCs w:val="28"/>
        </w:rPr>
        <w:t xml:space="preserve">size and actual cost for all other residential and general service meter sizes. The </w:t>
      </w:r>
      <w:r w:rsidRPr="00E92919">
        <w:rPr>
          <w:bCs/>
          <w:iCs/>
          <w:szCs w:val="28"/>
        </w:rPr>
        <w:t>main extension charge of $</w:t>
      </w:r>
      <w:r>
        <w:rPr>
          <w:bCs/>
          <w:iCs/>
          <w:szCs w:val="28"/>
        </w:rPr>
        <w:t>2,222</w:t>
      </w:r>
      <w:r w:rsidRPr="00E92919">
        <w:rPr>
          <w:bCs/>
          <w:iCs/>
          <w:szCs w:val="28"/>
        </w:rPr>
        <w:t xml:space="preserve"> per ERC </w:t>
      </w:r>
      <w:r>
        <w:rPr>
          <w:bCs/>
          <w:iCs/>
          <w:szCs w:val="28"/>
        </w:rPr>
        <w:t xml:space="preserve">and plant capacity charge of $1,229 per ERC </w:t>
      </w:r>
      <w:r w:rsidRPr="00E92919">
        <w:rPr>
          <w:bCs/>
          <w:iCs/>
          <w:szCs w:val="28"/>
        </w:rPr>
        <w:t>for the Utility’s water system</w:t>
      </w:r>
      <w:r>
        <w:rPr>
          <w:bCs/>
          <w:iCs/>
          <w:szCs w:val="28"/>
        </w:rPr>
        <w:t xml:space="preserve"> should be approved</w:t>
      </w:r>
      <w:r w:rsidRPr="00E92919">
        <w:rPr>
          <w:bCs/>
          <w:iCs/>
          <w:szCs w:val="28"/>
        </w:rPr>
        <w:t>.</w:t>
      </w:r>
      <w:r w:rsidRPr="00E92919">
        <w:t xml:space="preserve"> Additionally, a main extension charge of $</w:t>
      </w:r>
      <w:r>
        <w:t>2,298</w:t>
      </w:r>
      <w:r w:rsidRPr="00E92919">
        <w:t xml:space="preserve"> per ERC and a plant capacity charge of $</w:t>
      </w:r>
      <w:r>
        <w:t>2,530</w:t>
      </w:r>
      <w:r w:rsidRPr="00E92919">
        <w:t xml:space="preserve"> per ERC for the Utility’s wastewater system should be approved. 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00BB3C39">
        <w:t>.</w:t>
      </w:r>
    </w:p>
    <w:p w:rsidR="00F53B10" w:rsidRDefault="00F53B10">
      <w:pPr>
        <w:pStyle w:val="IssueHeading"/>
        <w:rPr>
          <w:vanish/>
          <w:specVanish/>
        </w:rPr>
      </w:pPr>
      <w:r w:rsidRPr="004C3641">
        <w:rPr>
          <w:b w:val="0"/>
          <w:i w:val="0"/>
        </w:rPr>
        <w:br w:type="page"/>
      </w:r>
      <w:r w:rsidRPr="004C3641">
        <w:lastRenderedPageBreak/>
        <w:t xml:space="preserve">Issue </w:t>
      </w:r>
      <w:r w:rsidR="00490880">
        <w:fldChar w:fldCharType="begin"/>
      </w:r>
      <w:r w:rsidR="00490880">
        <w:instrText xml:space="preserve"> SEQ Issue \* MERGEFORMAT </w:instrText>
      </w:r>
      <w:r w:rsidR="00490880">
        <w:fldChar w:fldCharType="separate"/>
      </w:r>
      <w:r w:rsidR="00FC34DE">
        <w:rPr>
          <w:noProof/>
        </w:rPr>
        <w:t>10</w:t>
      </w:r>
      <w:r w:rsidR="004908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C34DE">
        <w:rPr>
          <w:noProof/>
        </w:rPr>
        <w:instrText>10</w:instrText>
      </w:r>
      <w:r>
        <w:fldChar w:fldCharType="end"/>
      </w:r>
      <w:r>
        <w:tab/>
        <w:instrText xml:space="preserve">" \l 1 </w:instrText>
      </w:r>
      <w:r>
        <w:fldChar w:fldCharType="end"/>
      </w:r>
      <w:r>
        <w:t> </w:t>
      </w:r>
    </w:p>
    <w:p w:rsidR="00F53B10" w:rsidRDefault="00F53B10">
      <w:pPr>
        <w:pStyle w:val="BodyText"/>
      </w:pPr>
      <w:r>
        <w:t> Should this docket be closed?</w:t>
      </w:r>
    </w:p>
    <w:p w:rsidR="00F53B10" w:rsidRPr="004C3641" w:rsidRDefault="00F53B10">
      <w:pPr>
        <w:pStyle w:val="IssueSubsectionHeading"/>
        <w:rPr>
          <w:vanish/>
          <w:specVanish/>
        </w:rPr>
      </w:pPr>
      <w:r w:rsidRPr="004C3641">
        <w:t>Recommendation: </w:t>
      </w:r>
    </w:p>
    <w:p w:rsidR="00F53B10" w:rsidRDefault="00F53B10">
      <w:pPr>
        <w:pStyle w:val="BodyText"/>
      </w:pPr>
      <w:r>
        <w:t> </w:t>
      </w:r>
      <w:r w:rsidR="00B53A06">
        <w:t>No. If no person whose substantial interests are affected by the proposed agency actions in Issues 2 through 9 files a protest within 21 days of the issuance of the order, a consummating order should be issued. The docket should remain open for staff’s verification that the revised tariff sheets have been filed by the Utility and approved by staff. Once these actions are complete, this docket should be closed administratively. (Brownless)</w:t>
      </w:r>
    </w:p>
    <w:p w:rsidR="00F53B10" w:rsidRPr="004C3641" w:rsidRDefault="00F53B10">
      <w:pPr>
        <w:pStyle w:val="IssueSubsectionHeading"/>
        <w:rPr>
          <w:vanish/>
          <w:specVanish/>
        </w:rPr>
      </w:pPr>
      <w:r w:rsidRPr="004C3641">
        <w:t>Staff Analysis: </w:t>
      </w:r>
    </w:p>
    <w:p w:rsidR="00E06484" w:rsidRDefault="00F53B10" w:rsidP="00E275D8">
      <w:pPr>
        <w:pStyle w:val="BodyText"/>
      </w:pPr>
      <w:r>
        <w:t> </w:t>
      </w:r>
      <w:r w:rsidR="00B53A06">
        <w:t>If no person whose substantial interests are affected by the proposed agency actions in Issues 2 through 9 files a protest within 21 days of the issuance of the order, a consummating order should be issued. The docket should remain open for staff’s verification that the revised tariff sheets have been filed by the Utility and approved by staff. Once these actions are complete, this docket should be closed administratively.</w:t>
      </w:r>
    </w:p>
    <w:p w:rsidR="00B53A06" w:rsidRDefault="00B53A06" w:rsidP="00E275D8">
      <w:pPr>
        <w:pStyle w:val="BodyText"/>
      </w:pPr>
    </w:p>
    <w:p w:rsidR="00D95345" w:rsidRDefault="00D95345" w:rsidP="00E275D8">
      <w:pPr>
        <w:pStyle w:val="BodyText"/>
      </w:pPr>
    </w:p>
    <w:p w:rsidR="00D95345" w:rsidRDefault="00D95345" w:rsidP="00E275D8">
      <w:pPr>
        <w:pStyle w:val="BodyText"/>
        <w:sectPr w:rsidR="00D95345" w:rsidSect="0068481F">
          <w:pgSz w:w="12240" w:h="15840" w:code="1"/>
          <w:pgMar w:top="1584" w:right="1440" w:bottom="1440" w:left="1440" w:header="720" w:footer="720" w:gutter="0"/>
          <w:cols w:space="720"/>
          <w:formProt w:val="0"/>
          <w:docGrid w:linePitch="360"/>
        </w:sectPr>
      </w:pPr>
    </w:p>
    <w:p w:rsidR="00D95345" w:rsidRDefault="00D95345" w:rsidP="00E275D8">
      <w:pPr>
        <w:pStyle w:val="BodyText"/>
      </w:pPr>
      <w:r>
        <w:lastRenderedPageBreak/>
        <w:t xml:space="preserve"> </w:t>
      </w:r>
    </w:p>
    <w:p w:rsidR="00D95345" w:rsidRPr="000225E8" w:rsidRDefault="00D95345" w:rsidP="00D95345">
      <w:pPr>
        <w:pStyle w:val="BodyText"/>
        <w:spacing w:after="0"/>
        <w:jc w:val="center"/>
        <w:rPr>
          <w:b/>
        </w:rPr>
      </w:pPr>
      <w:r w:rsidRPr="008E78B4">
        <w:rPr>
          <w:b/>
        </w:rPr>
        <w:t>Middleton Utility Company, LLC</w:t>
      </w:r>
      <w:r w:rsidRPr="000225E8">
        <w:rPr>
          <w:b/>
        </w:rPr>
        <w:t>.</w:t>
      </w:r>
    </w:p>
    <w:p w:rsidR="00D95345" w:rsidRPr="000225E8" w:rsidRDefault="00D95345" w:rsidP="00D95345">
      <w:pPr>
        <w:pStyle w:val="BodyText"/>
        <w:jc w:val="center"/>
        <w:rPr>
          <w:b/>
        </w:rPr>
      </w:pPr>
      <w:r w:rsidRPr="000225E8">
        <w:rPr>
          <w:b/>
        </w:rPr>
        <w:t>Description of Water and Wastewater Service Territory</w:t>
      </w:r>
    </w:p>
    <w:p w:rsidR="00D95345" w:rsidRDefault="00D95345" w:rsidP="00D95345">
      <w:pPr>
        <w:pStyle w:val="BodyText"/>
        <w:jc w:val="center"/>
      </w:pPr>
      <w:r>
        <w:rPr>
          <w:b/>
        </w:rPr>
        <w:t>Sumter</w:t>
      </w:r>
      <w:r w:rsidRPr="000225E8">
        <w:rPr>
          <w:b/>
        </w:rPr>
        <w:t xml:space="preserve"> County</w:t>
      </w:r>
    </w:p>
    <w:p w:rsidR="00D95345" w:rsidRDefault="00D95345" w:rsidP="00D95345">
      <w:pPr>
        <w:jc w:val="both"/>
      </w:pPr>
      <w:r>
        <w:t>THAT PORTION OF SECTIONS 15, 16, 17, 20, 21, 22, 27, 28 AND 29, TOWNSHIP 20 SOUTH, RANGE 23 EAST, SUMTER COUNTY, FLORIDA, DESCRIBED AS FOLLOWS:</w:t>
      </w:r>
    </w:p>
    <w:p w:rsidR="00D95345" w:rsidRDefault="00D95345" w:rsidP="00D95345">
      <w:pPr>
        <w:jc w:val="both"/>
      </w:pPr>
    </w:p>
    <w:p w:rsidR="00D82012" w:rsidRDefault="00D95345" w:rsidP="00D95345">
      <w:pPr>
        <w:pStyle w:val="BodyText"/>
        <w:sectPr w:rsidR="00D82012" w:rsidSect="0068481F">
          <w:headerReference w:type="default" r:id="rId14"/>
          <w:footerReference w:type="default" r:id="rId15"/>
          <w:pgSz w:w="12240" w:h="15840" w:code="1"/>
          <w:pgMar w:top="1584" w:right="1440" w:bottom="1440" w:left="1440" w:header="720" w:footer="720" w:gutter="0"/>
          <w:cols w:space="720"/>
          <w:formProt w:val="0"/>
          <w:docGrid w:linePitch="360"/>
        </w:sectPr>
      </w:pPr>
      <w:r>
        <w:t xml:space="preserve">COMMENCE AT THE NORTHEAST CORNER OF THE NORTHEAST 1/4 OF AFORESAID SECTION 17; THENCE ALONG THE NORTH LINE THEREOF, RUN N89°41'47"W, 1,333.69 FEET TO THE NORTHWEST CORNER OF THE EAST 1/4 OF SAID SECTION 17; THENCE DEPARTING SAID NORTH LINE AND ALONG THE WEST LINE OF SAID EAST 1/4, RUN S00°05'18"E, 50.00 FEET TO THE SOUTH RIGHT OF WAY LINE OF COUNTY ROAD C470 FOR THE POINT OF BEGINNING; THE FOLLOWING SEVEN (7) COURSES BEING ALONG SAID SOUTH RIGHT OF WAY LINE: RUN S89°41'47"E, 1,299.79 FEET; THENCE S00°18'13"W, 10.00 FEET; THENCE S89°41'47"E, 33.60 FEET; THENCE S89°47'31"E, 166.50 FEET; THENCE N00°12'29"E, 10.00 FEET; THENCE S89°47'31"E, 2,529.50 FEET; THENCE S89°52'59"E, 375.37 FEET; THENCE DEPARTING SAID SOUTH RIGHT OF WAY LINE, RUN S00°00'00"E, 462.00 FEET; THENCE S89°52'33"E, 2,419.01 FEET; THENCE S00°00'00"E, 155.00 FEET; THENCE S89°43'47"E, 1,012.01 FEET; THENCE S00°00'00"E, 208.39 FEET TO THE POINT OF CURVATURE OF A CURVE CONCAVE NORTHEASTERLY AND HAVING A RADIUS OF 120.00 FEET; THENCE SOUTHEASTERLY ALONG THE ARC OF SAID CURVE THROUGH A CENTRAL ANGLE OF 90°00'00", AN ARC DISTANCE OF 188.50 FEET TO THE POINT OF TANGENCY; THENCE N90°00'00"E, 26.91 FEET TO THE POINT OF CURVATURE OF A CURVE CONCAVE SOUTHWESTERLY AND HAVING A RADIUS OF 30.00 FEET; THENCE SOUTHEASTERLY ALONG THE ARC OF SAID CURVE THROUGH A CENTRAL ANGLE OF 90°00'00", AN ARC DISTANCE OF 47.12 FEET TO THE POINT OF TANGENCY; THENCE S00°00'00"E, 47.20 FEET TO A POINT ON THE ARC OF A NON-TANGENT CURVE CONCAVE EASTERLY, HAVING A RADIUS OF 257.06 FEET AND A CHORD BEARING AND DISTANCE OF S06°41'16"E, 56.07 FEET TO WHICH A RADIAL LINE BEARS S89°34'23"W; THENCE SOUTHERLY ALONG THE ARC OF SAID CURVE, THROUGH A CENTRAL ANGLE OF 12°31'19", AN ARC DISTANCE OF 56.18 FEET TO A POINT ON THE ARC OF A NON-TANGENT CURVE CONCAVE NORTHEASTERLY, HAVING A RADIUS OF 226.00 FEET AND A CHORD BEARING AND DISTANCE OF S51°13'29"E, 293.96 FEET TO WHICH A RADIAL LINE BEARS S79°20'38"W; THENCE SOUTHEASTERLY ALONG THE ARC OF SAID CURVE, THROUGH A CENTRAL ANGLE OF 81°08'13", AN ARC DISTANCE OF 320.04 FEET; THENCE ALONG A NON-TANGENT LINE, RUN S05°18'27"E, 20.45 FEET TO A POINT ON THE ARC OF A NON-TANGENT CURVE CONCAVE SOUTHERLY, HAVING A RADIUS OF 2,148.00 FEET AND A CHORD BEARING AND DISTANCE OF S71°13'53"W, 978.64 FEET TO WHICH A RADIAL LINE BEARS N05°36'03"W; THENCE WESTERLY ALONG THE ARC OF SAID CURVE, THROUGH A CENTRAL ANGLE OF 26°20'08", AN ARC DISTANCE OF 987.31 FEET TO THE POINT OF TANGENCY; THENCE S58°03'49"W, 181.42 FEET TO THE </w:t>
      </w:r>
    </w:p>
    <w:p w:rsidR="00D82012" w:rsidRDefault="00D95345" w:rsidP="00D95345">
      <w:pPr>
        <w:pStyle w:val="BodyText"/>
        <w:sectPr w:rsidR="00D82012" w:rsidSect="0068481F">
          <w:headerReference w:type="default" r:id="rId16"/>
          <w:footerReference w:type="default" r:id="rId17"/>
          <w:pgSz w:w="12240" w:h="15840" w:code="1"/>
          <w:pgMar w:top="1584" w:right="1440" w:bottom="1440" w:left="1440" w:header="720" w:footer="720" w:gutter="0"/>
          <w:cols w:space="720"/>
          <w:formProt w:val="0"/>
          <w:docGrid w:linePitch="360"/>
        </w:sectPr>
      </w:pPr>
      <w:r>
        <w:lastRenderedPageBreak/>
        <w:t>POINT OF CURVATURE OF A CURVE CONCAVE NORTHERLY AND HAVING A RADIUS OF 2,018.00 FEET; THENCE WESTERLY ALONG THE ARC OF SAID CURVE THROUGH A CENTRAL ANGLE OF 21°46'48", AN ARC DISTANCE OF 767.11 FEET TO A POINT OF COMPOUND CURVATURE OF A CURVE CONCAVE NORTHERLY AND HAVING A RADIUS OF 87.00 FEET; THENCE WESTERLY ALONG THE ARC OF SAID CURVE THROUGH A CENTRAL ANGLE OF 49°55'05", AN ARC DISTANCE OF 75.80 FEET TO THE POINT OF REVERSE CURVATURE OF A CURVE CONCAVE SOUTHWESTERLY AND HAVING A RADIUS OF 138.00 FEET; THENCE NORTHWESTERLY ALONG THE ARC OF SAID CURVE THROUGH A CENTRAL ANGLE OF 20°09'36", AN ARC DISTANCE OF 48.56 FEET TO THE POINT OF REVERSE CURVATURE OF A CURVE CONCAVE NORTHEASTERLY AND HAVING A RADIUS OF 87.00 FEET; THENCE NORTHWESTERLY ALONG THE ARC OF SAID CURVE THROUGH A CENTRAL ANGLE OF 49°36'57", AN ARC DISTANCE OF 75.34 FEET; THENCE ALONG A RADIAL LINE, RUN S69°13'03"W, 15.00 FEET TO A POINT ON THE ARC OF A NON-TANGENT CURVE CONCAVE WESTERLY, HAVING A RADIUS OF 330.00 FEET AND A CHORD BEARING AND DISTANCE OF N21°58'39"W, 13.76 FEET TO WHICH A RADIAL LINE BEARS N69°13'03"E; THENCE NORTHERLY ALONG THE ARC OF SAID CURVE, THROUGH A CENTRAL ANGLE OF 02°23'23", AN ARC DISTANCE OF 13.76 FEET; THENCE ALONG A NON-TANGENT LINE RUN S68°34'03"W, 75.04 FEET TO A POINT ON THE ARC OF A NON-TANGENT CURVE CONCAVE NORTHWESTERLY, HAVING A RADIUS OF 75.00 FEET AND A CHORD BEARING AND DISTANCE OF S32°40'15"W, 124.87 FEET TO WHICH A RADIAL LINE BEARS  N66°18'57"E; THENCE SOUTHWESTERLY ALONG THE ARC OF SAID CURVE, THROUGH A CENTRAL ANGLE OF 112°42'37", AN ARC DISTANCE OF 147.54 FEET; THENCE ALONG A NON-TANGENT LINE RUN S01°36'46"E, 130.53 FEET TO A POINT ON THE ARC OF A NON-TANGENT CURVE CONCAVE SOUTHWESTERLY, HAVING A RADIUS OF 90.41 FEET AND A CHORD BEARING AND DISTANCE OF S34°50'13"E, 111.37 FEET TO WHICH A RADIAL LINE BEARS N17°08'32"E; THENCE SOUTHEASTERLY ALONG THE ARC OF SAID CURVE, THROUGH A CENTRAL ANGLE OF 76°02'30", AN ARC DISTANCE OF 119.99 FEET; THENCE ALONG A NON-TANGENT LINE, RUN S00°00'00"E, 253.60 FEET; THENCE S10°30'22"W, 52.36 FEET TO A POINT ON THE ARC OF A NON-TANGENT CURVE CONCAVE EASTERLY, HAVING A RADIUS OF 2,199.00 FEET AND A CHORD BEARING AND DISTANCE OF S04°26'00"E, 250.89 FEET TO WHICH A RADIAL LINE BEARS S88°50'13"W; THENCE SOUTHERLY ALONG THE ARC OF SAID CURVE, THROUGH A CENTRAL ANGLE OF 06°32'26", AN ARC DISTANCE OF 251.02 FEET; THENCE ALONG A NON-TANGENT LINE RUN S52°12'57"E, 14.30 FEET TO A POINT ON THE ARC OF A NON- TANGENT CURVE CONCAVE EASTERLY, HAVING A RADIUS OF 2,189.00 FEET AND A CHORD BEARING AND DISTANCE OF S13°47'24"E, 443.92 FEET TO WHICH A RADIAL LINE BEARS S82°01'47"W; THENCE SOUTHERLY ALONG THE ARC OF SAID CURVE, THROUGH A CENTRAL ANGLE OF 11°38'22", AN ARC DISTANCE OF 444.68 FEET TO A POINT ON THE ARC OF A NON-TANGENT CURVE CONCAVE SOUTHEASTERLY, HAVING A RADIUS OF 315.35 FEET AND A CHORD BEARING AND DISTANCE OF S30°38'13"W, 142.88 FEET TO WHICH A RADIAL LINE BEARS N46°16'10"W; THENCE SOUTHWESTERLY ALONG THE ARC OF SAID CURVE, THROUGH A CENTRAL ANGLE OF 26°11'14", AN ARC DISTANCE OF 144.13 FEET TO A POINT ON THE ARC</w:t>
      </w:r>
    </w:p>
    <w:p w:rsidR="00D82012" w:rsidRDefault="00D95345" w:rsidP="00D95345">
      <w:pPr>
        <w:pStyle w:val="BodyText"/>
        <w:sectPr w:rsidR="00D82012" w:rsidSect="0068481F">
          <w:headerReference w:type="default" r:id="rId18"/>
          <w:footerReference w:type="default" r:id="rId19"/>
          <w:pgSz w:w="12240" w:h="15840" w:code="1"/>
          <w:pgMar w:top="1584" w:right="1440" w:bottom="1440" w:left="1440" w:header="720" w:footer="720" w:gutter="0"/>
          <w:cols w:space="720"/>
          <w:formProt w:val="0"/>
          <w:docGrid w:linePitch="360"/>
        </w:sectPr>
      </w:pPr>
      <w:r>
        <w:lastRenderedPageBreak/>
        <w:t xml:space="preserve"> OF A NON-TANGENT CURVE CONCAVE NORTHERLY, HAVING A RADIUS OF 199.85 FEET AND A CHORD BEARING AND DISTANCE OF S84°04'45"W, 85.35 FEET TO WHICH A RADIAL LINE BEARS S18°15'03"E; THENCE WESTERLY ALONG THE ARC OF SAID CURVE, THROUGH A CENTRAL ANGLE OF 24°39'36", AN ARC DISTANCE OF 86.01 FEET; THENCE ALONG A NON-TANGENT LINE RUN N86°00'00"W, 42.50 FEET; THENCE S04°00'00"W, 146.00 FEET; THENCE S74°35'56"E, 53.59 FEET TO A POINT ON THE ARC OF A NON-TANGENT CURVE CONCAVE NORTHERLY, HAVING A RADIUS OF 232.00 FEET AND A CHORD BEARING AND DISTANCE OF S88°40'03"E, 86.65 FEET TO WHICH A RADIAL LINE BEARS S12°05'45"W; THENCE EASTERLY ALONG THE ARC OF SAID CURVE, THROUGH A CENTRAL ANGLE OF 21°31'36", AN ARC DISTANCE OF 87.16 FEET TO THE POINT OF REVERSE CURVATURE OF A CURVE CONCAVE SOUTHERLY AND HAVING A RADIUS OF 129.00 FEET; THENCE EASTERLY ALONG THE ARC OF SAID CURVE THROUGH A CENTRAL ANGLE OF 41°30'21", AN ARC DISTANCE OF 93.45 FEET TO THE POINT OF REVERSE CURVATURE OF A CURVE CONCAVE NORTHEASTERLY AND HAVING A RADIUS OF 202.00 FEET; THENCE SOUTHEASTERLY ALONG THE ARC OF SAID CURVE THROUGH A CENTRAL ANGLE OF 11°03'01", AN ARC DISTANCE OF 38.96 FEET TO THE POINT OF REVERSE CURVATURE OF A CURVE CONCAVE SOUTHWESTERLY AND HAVING A RADIUS OF 208.00 FEET; THENCE SOUTHEASTERLY ALONG THE ARC OF SAID CURVE THROUGH A CENTRAL ANGLE OF 57°36'46", AN ARC DISTANCE OF 209.15 FEET TO THE POINT OF REVERSE CURVATURE OF A CURVE CONCAVE EASTERLY AND HAVING A RADIUS OF 129.22 FEET; THENCE SOUTHERLY ALONG THE ARC OF SAID CURVE THROUGH A CENTRAL ANGLE OF 11°00'42", AN ARC DISTANCE OF 24.83 FEET TO A POINT ON THE ARC OF A NON-TANGENT CURVE CONCAVE WESTERLY, HAVING A RADIUS OF 117.21 FEET AND A CHORD BEARING AND DISTANCE OF S21°41'08"E, 8.72 FEET TO WHICH A RADIAL LINE BEARS N66°10'56"E; THENCE SOUTHERLY ALONG THE ARC OF SAID CURVE, THROUGH A CENTRAL ANGLE OF 04°15'51", AN ARC DISTANCE OF 8.72 FEET TO A POINT ON THE ARC OF A NON-TANGENT CURVE CONCAVE WESTERLY, HAVING A RADIUS OF 31.00 FEET AND A CHORD BEARING AND DISTANCE OF S04°04'14"W, 25.71 FEET TO WHICH A RADIAL LINE BEARS N69°34'22"E; THENCE SOUTHERLY ALONG THE ARC OF SAID CURVE, THROUGH A CENTRAL ANGLE OF 48°59'46", AN ARC DISTANCE OF 26.51 FEET TO A POINT ON THE ARC OF A NON- TANGENT CURVE CONCAVE EASTERLY, HAVING A RADIUS OF 34.17 FEET AND A CHORD BEARING AND DISTANCE OF S19°24'24"E, 51.08 FEET TO WHICH A RADIAL LINE BEARS N61°02'16"W; THENCE SOUTHERLY ALONG THE ARC OF SAID CURVE, THROUGH A CENTRAL ANGLE OF 96°44'17", AN ARC DISTANCE OF 57.69 FEET TO THE POINT OF REVERSE CURVATURE OF A CURVE CONCAVE SOUTHWESTERLY AND HAVING A RADIUS OF 31.00 FEET; THENCE SOUTHEASTERLY ALONG THE ARC OF SAID CURVE THROUGH A CENTRAL ANGLE OF 49°11'47", AN ARC DISTANCE OF 26.62 FEET TO THE POINT OF REVERSE CURVATURE OF A CURVE CONCAVE NORTHEASTERLY AND HAVING A RADIUS OF 520.00 FEET; THENCE SOUTHEASTERLY ALONG THE ARC OF SAID CURVE THROUGH A CENTRAL ANGLE OF 09°45'13", AN ARC DISTANCE OF 88.52 FEET TO THE POINT OF REVERSE CURVATURE OF A CURVE  CONCAVE  SOUTHWESTERLY  AND  HAVING  A  RADIUS  OF  496.00  FEET;  THENCE SOUTHEASTERLY ALONG THE ARC OF SAID </w:t>
      </w:r>
    </w:p>
    <w:p w:rsidR="00D82012" w:rsidRDefault="00D95345" w:rsidP="00D95345">
      <w:pPr>
        <w:pStyle w:val="BodyText"/>
        <w:sectPr w:rsidR="00D82012" w:rsidSect="0068481F">
          <w:headerReference w:type="default" r:id="rId20"/>
          <w:footerReference w:type="default" r:id="rId21"/>
          <w:pgSz w:w="12240" w:h="15840" w:code="1"/>
          <w:pgMar w:top="1584" w:right="1440" w:bottom="1440" w:left="1440" w:header="720" w:footer="720" w:gutter="0"/>
          <w:cols w:space="720"/>
          <w:formProt w:val="0"/>
          <w:docGrid w:linePitch="360"/>
        </w:sectPr>
      </w:pPr>
      <w:r>
        <w:lastRenderedPageBreak/>
        <w:t>CURVE THROUGH A CENTRAL ANGLE OF 01°47'40", AN ARC DISTANCE OF 15.53 FEET TO A POINT ON THE ARC OF A NON-TANGENT CURVE CONCAVE WESTERLY, HAVING A RADIUS OF 2,405.00 FEET AND A CHORD BEARING AND DISTANCE OF S13°00'07"E, 252.07 FEET TO WHICH A RADIAL LINE BEARS N73°59'39"E; THENCE SOUTHERLY ALONG THE ARC OF SAID CURVE, THROUGH A CENTRAL ANGLE OF 06°00'28", AN ARC DISTANCE OF 252.18 FEET; THENCE ALONG A NON-TANGENT LINE RUN S02°09'22"W, 49.85 FEET TO A POINT ON THE ARC OF A NON-TANGENT CURVE CONCAVE WESTERLY, HAVING A RADIUS OF 2,395.00 FEET AND A CHORD BEARING AND DISTANCE OF S04°37'50"E, 350.92 FEET TO WHICH A RADIAL LINE BEARS N81°10'05"E; THENCE SOUTHERLY ALONG THE ARC OF SAID CURVE, THROUGH A CENTRAL ANGLE OF 08°24'09", AN ARC DISTANCE OF 351.23 FEET TO THE POINT OF TANGENCY; THENCE S00°25'46"E, 18.64 FEET; THENCE S45°25'46"E, 14.14 FEET; THENCE S00°25'46"E, 106.32 FEET TO THE POINT OF CURVATURE OF A CURVE CONCAVE EASTERLY AND HAVING A RADIUS OF 1,466.00 FEET; THENCE SOUTHERLY ALONG THE ARC OF SAID CURVE THROUGH A CENTRAL ANGLE OF 20°45'03", AN ARC DISTANCE OF 530.94 FEET TO A POINT ON THE ARC OF A NON-TANGENT CURVE CONCAVE NORTHEASTERLY, HAVING A RADIUS OF 1,465.03 FEET AND A CHORD BEARING AND DISTANCE OF S25°14'50"E, 207.88 FEET TO WHICH A RADIAL LINE BEARS S68°49'16"W; THENCE SOUTHEASTERLY ALONG THE ARC OF SAID CURVE, THROUGH A CENTRAL ANGLE OF 08°08'12", AN ARC DISTANCE OF 208.05 FEET TO A POINT ON THE ARC OF A NON-TANGENT CURVE CONCAVE WESTERLY, HAVING A RADIUS OF 153.50 FEET AND A CHORD BEARING AND DISTANCE OF S11°56'20"W, 202.39 FEET TO WHICH A RADIAL LINE BEARS N60°41'46"E; THENCE SOUTHERLY ALONG THE ARC OF SAID CURVE, THROUGH A CENTRAL ANGLE OF 82°29'10", AN ARC DISTANCE OF 220.99 FEET TO THE POINT OF REVERSE CURVATURE OF A CURVE CONCAVE SOUTHEASTERLY AND HAVING A RADIUS OF 2,270.00 FEET; THENCE SOUTHWESTERLY ALONG THE ARC OF SAID CURVE THROUGH A CENTRAL ANGLE OF 10°35'18", AN ARC DISTANCE OF 419.50 FEET TO A POINT ON THE ARC OF A NON-TANGENT CURVE CONCAVE SOUTHEASTERLY, HAVING A RADIUS OF 739.68 FEET AND A CHORD BEARING AND DISTANCE OF S30°40'48"W, 312.69 FEET TO WHICH A RADIAL LINE BEARS N47°07'03"W; THENCE SOUTHWESTERLY ALONG THE ARC OF SAID CURVE, THROUGH A CENTRAL ANGLE OF 24°24'19", AN ARC DISTANCE OF 315.07 FEET; THENCE ALONG A NON-TANGENT LINE RUN S01°38'04"E, 108.91 FEET; THENCE S72°01'05"E, 104.73 FEET; THENCE N28°04'56"E, 101.44 FEET TO A POINT ON THE ARC OF A NON-TANGENT CURVE CONCAVE SOUTHEASTERLY, HAVING A RADIUS OF 585.00 FEET AND A CHORD BEARING AND DISTANCE OF N30°34'50"E, 247.09 FEET TO WHICH A RADIAL LINE BEARS N71°36'41"W; THENCE NORTHEASTERLY ALONG THE ARC OF SAID CURVE, THROUGH A CENTRAL ANGLE OF 24°23'02", AN ARC DISTANCE OF 248.96 FEET TO A POINT OF COMPOUND CURVATURE OF A CURVE CONCAVE SOUTHEASTERLY AND HAVING A RADIUS OF 2,135.00 FEET; THENCE NORTHEASTERLY ALONG THE ARC OF SAID CURVE THROUGH A CENTRAL ANGLE OF 11°30'16", AN ARC DISTANCE OF 428.69 FEET; THENCE ALONG A RADIAL LINE RUN S35°43'23"E, 5.00 FEET TO A POINT ON THE ARC OF A NON-TANGENT CURVE CONCAVE SOUTHEASTERLY, HAVING A RADIUS OF 2,130.00 FEET AND A CHORD BEARING AND DISTANCE OF N54°29'05"E, 15.45 FEET TO WHICH A RADIAL</w:t>
      </w:r>
    </w:p>
    <w:p w:rsidR="00D82012" w:rsidRDefault="00D95345" w:rsidP="00D95345">
      <w:pPr>
        <w:pStyle w:val="BodyText"/>
        <w:sectPr w:rsidR="00D82012" w:rsidSect="0068481F">
          <w:headerReference w:type="default" r:id="rId22"/>
          <w:footerReference w:type="default" r:id="rId23"/>
          <w:pgSz w:w="12240" w:h="15840" w:code="1"/>
          <w:pgMar w:top="1584" w:right="1440" w:bottom="1440" w:left="1440" w:header="720" w:footer="720" w:gutter="0"/>
          <w:cols w:space="720"/>
          <w:formProt w:val="0"/>
          <w:docGrid w:linePitch="360"/>
        </w:sectPr>
      </w:pPr>
      <w:r>
        <w:lastRenderedPageBreak/>
        <w:t xml:space="preserve"> LINE BEARS N35°43'23"W; THENCE NORTHEASTERLY ALONG THE ARC OF SAID CURVE, THROUGH A CENTRAL ANGLE OF 00°24'56", AN ARC DISTANCE OF 15.45 FEET TO A POINT OF COMPOUND CURVATURE OF A CURVE CONCAVE SOUTHERLY AND HAVING A RADIUS OF 82.00 FEET; THENCE EASTERLY ALONG THE ARC OF SAID CURVE THROUGH A CENTRAL ANGLE OF 47°53'21", AN ARC DISTANCE OF 68.54 FEET TO THE POINT OF REVERSE CURVATURE OF A CURVE CONCAVE NORTHERLY AND HAVING A RADIUS OF 143.00 FEET; THENCE EASTERLY ALONG THE ARC OF SAID CURVE THROUGH A CENTRAL ANGLE OF 16°33'43", AN ARC DISTANCE OF 41.34 FEET TO THE POINT OF REVERSE CURVATURE OF A CURVE CONCAVE SOUTHERLY AND HAVING A RADIUS OF 82.00 FEET; THENCE EASTERLY ALONG THE ARC OF SAID CURVE THROUGH A CENTRAL ANGLE OF 47°30'10", AN ARC DISTANCE OF 67.98 FEET TO THE POINT OF TANGENCY; THENCE S46°28'40"E, 6.34 FEET; THENCE S43°57'33"E, 84.49 FEET TO A POINT ON THE ARC OF A NON-TANGENT CURVE CONCAVE NORTHEASTERLY, HAVING A RADIUS OF 1,280.30 FEET AND A CHORD BEARING AND DISTANCE OF S63°49'48"E, 710.72 FEET TO WHICH A RADIAL LINE BEARS S42°17'04"W; THENCE SOUTHEASTERLY ALONG THE ARC OF SAID CURVE, THROUGH A CENTRAL ANGLE OF 32°13'45", AN ARC DISTANCE OF 720.17 FEET TO A POINT ON THE ARC OF A NON-TANGENT CURVE CONCAVE SOUTHWESTERLY, HAVING A RADIUS OF 1,421.74 FEET AND A CHORD BEARING AND DISTANCE OF S56°05'31"E, 1,042.04 FEET TO WHICH A RADIAL LINE BEARS N12°24'37"E; THENCE SOUTHEASTERLY ALONG THE ARC OF SAID CURVE, THROUGH A CENTRAL ANGLE OF 42°59'44", AN ARC DISTANCE OF 1,066.89 FEET; THENCE ALONG A NON-TANGENT LINE RUN S34°34'27"E, 424.30 FEET TO THE POINT OF CURVATURE OF A CURVE CONCAVE SOUTHWESTERLY AND HAVING A RADIUS OF 2,498.93 FEET; THENCE SOUTHEASTERLY ALONG THE ARC OF SAID CURVE THROUGH A CENTRAL ANGLE OF 16°48'49", AN ARC DISTANCE OF 733.32 FEET TO A POINT ON THE ARC OF A NON-TANGENT CURVE CONCAVE SOUTHEASTERLY, HAVING A RADIUS OF 130.41 FEET AND A CHORD BEARING AND DISTANCE OF S24°18'38"W, 34.80 FEET TO WHICH A RADIAL LINE BEARS N58°01'20"W; THENCE SOUTHWESTERLY ALONG THE ARC OF SAID CURVE, THROUGH A CENTRAL ANGLE OF 15°20'05", AN ARC DISTANCE OF 34.90 FEET; THENCE ALONG A NON-TANGENT LINE, RUN S68°48'08"W, 163.90 FEET TO THE POINT OF CURVATURE OF A CURVE CONCAVE SOUTHEASTERLY AND HAVING A RADIUS OF 1,045.05 FEET; THENCE SOUTHWESTERLY ALONG THE ARC OF SAID CURVE THROUGH A CENTRAL ANGLE OF 39°38'24", AN ARC DISTANCE OF 723.02 FEET TO THE POINT OF TANGENCY; THENCE S29°09'44"W, 375.87 FEET TO THE POINT OF CURVATURE OF A CURVE CONCAVE NORTHWESTERLY AND HAVING A RADIUS OF 990.04 FEET; THENCE SOUTHWESTERLY ALONG THE ARC OF SAID CURVE THROUGH A CENTRAL ANGLE OF 38°56'09", AN ARC DISTANCE OF 672.79 FEET TO THE POINT OF TANGENCY; THENCE S68°05'53"W, 603.20 FEET; THENCE S12°54'01"E, 129.31 FEET; THENCE N68°05'53"E, 623.43 FEET TO THE POINT OF CURVATURE OF A CURVE CONCAVE NORTHWESTERLY AND HAVING A RADIUS OF 1,117.76 FEET; THENCE NORTHEASTERLY ALONG THE ARC OF SAID CURVE THROUGH A CENTRAL ANGLE OF 39°17'34", AN ARC DISTANCE OF 766.55 FEET TO A POINT ON THE ARC OF A NON-TANGENT CURVE CONCAVE EASTERLY, HAVING A RADIUS</w:t>
      </w:r>
    </w:p>
    <w:p w:rsidR="00D95345" w:rsidRDefault="00D95345" w:rsidP="00D95345">
      <w:pPr>
        <w:pStyle w:val="BodyText"/>
      </w:pPr>
      <w:r>
        <w:lastRenderedPageBreak/>
        <w:t xml:space="preserve"> OF 1,184.71 FEET AND A CHORD BEARING AND DISTANCE OF S14°32'01"W, 73.68 FEET TO WHICH A RADIAL LINE BEARS N73°41'03"W; THENCE SOUTHERLY ALONG THE ARC OF SAID CURVE, THROUGH A CENTRAL ANGLE OF 03°33'51", AN ARC DISTANCE OF 73.70 FEET; THENCE ALONG A NON-TANGENT LINE RUN S09°22'37"W, 767.20 FEET; THENCE S11°51'35"W, 709.59 FEET; THENCE S37°41'39"W, 193.08 FEET; THENCE S43°55'09"W, 260.30 FEET; THENCE S47°26'49"W, 575.05 FEET; THENCE S33°01'26"W, 331.30 FEET; THENCE S63°15'46"W, 1,034.19 FEET; THENCE S69°01'13"W, 989.19 FEET; THENCE S87°49'31"W, 549.01 FEET; THENCE N51°33'25"W, 860.05 FEET; THENCE S81°15'13"W, 91.34 FEET; THENCE S44°36'37"W, 721.85 FEET; THENCE S86°34'18"W, 1,509.65 FEET; THENCE N80°32'15"W, 126.72 FEET; THENCE N78°14'53"W, 718.30 FEET TO THE SOUTHEAST CORNER OF THE NORTH 1/2 OF THE NORTHEAST 1/4 OF AFORESAID SECTION 29; THENCE ALONG THE SOUTH LINE THEREOF RUN N89°38'49"W, 2,694.68 FEET TO THE SOUTHWEST CORNER THEREOF; THENCE ALONG THE WEST LINE THEREOF RUN N00°25'41"E, 1,335.19 FEET TO THE SOUTHEAST CORNER OF THE SOUTHWEST 1/4 OF AFORESAID SECTION 20; THENCE ALONG THE SOUTH LINE THEREOF RUN N89°43'54"W, 2,681.21 FEET TO THE SOUTHWEST CORNER THEREOF; THENCE ALONG THE WEST LINE THEREOF RUN N00°16'44"E, 2,658.68 FEET TO THE NORTHWEST CORNER THEREOF; THENCE ALONG THE NORTH LINE OF THE SOUTH 1/2 OF SAID SECTION 20 RUN S89°39'12"E, 4,028.43 FEET TO THE SOUTHWEST CORNER OF THE EAST 1/2 OF THE NORTHEAST 1/4 OF SAID SECTION 20; THENCE ALONG THE WEST LINE THEREOF RUN N00°24'57"E, 2,656.98 FEET TO THE SOUTHEAST CORNER OF THE SOUTHWEST 1/4 OF THE SOUTHEAST 1/4 OF AFORESAID SECTION 17; THENCE ALONG THE SOUTH LINE THEREOF RUN N89°35'34"W, 1,334.84 FEET TO THE SOUTHWEST CORNER THEREOF; THENCE ALONG THE WEST LINE THEREOF RUN N00°04'35"W, 1,330.43 FEET TO THE NORTHWEST CORNER THEREOF; THENCE ALONG THE NORTH LINE THEREOF RUN S89°37'37"E, 1,334.55 FEET TO THE SOUTHWEST CORNER OF THE EAST 1/4 OF SAID SECTION 17; THENCE ALONG THE WEST LINE THEREOF RUN N00°05'18"W, 3,944.46 FEET TO THE POINT OF BEGINNING.</w:t>
      </w:r>
    </w:p>
    <w:p w:rsidR="001F3A1D" w:rsidRDefault="001F3A1D" w:rsidP="00D95345">
      <w:pPr>
        <w:pStyle w:val="BodyText"/>
        <w:sectPr w:rsidR="001F3A1D" w:rsidSect="0068481F">
          <w:headerReference w:type="default" r:id="rId24"/>
          <w:footerReference w:type="default" r:id="rId25"/>
          <w:pgSz w:w="12240" w:h="15840" w:code="1"/>
          <w:pgMar w:top="1584" w:right="1440" w:bottom="1440" w:left="1440" w:header="720" w:footer="720" w:gutter="0"/>
          <w:cols w:space="720"/>
          <w:formProt w:val="0"/>
          <w:docGrid w:linePitch="360"/>
        </w:sectPr>
      </w:pPr>
    </w:p>
    <w:p w:rsidR="001F3A1D" w:rsidRPr="000A1494" w:rsidRDefault="001F3A1D" w:rsidP="001F3A1D">
      <w:pPr>
        <w:ind w:left="1080" w:right="1080"/>
        <w:jc w:val="center"/>
        <w:rPr>
          <w:rFonts w:ascii="Arial" w:hAnsi="Arial"/>
          <w:sz w:val="28"/>
          <w:szCs w:val="28"/>
        </w:rPr>
      </w:pPr>
      <w:r w:rsidRPr="00206189">
        <w:rPr>
          <w:rFonts w:ascii="Arial" w:hAnsi="Arial"/>
          <w:b/>
          <w:sz w:val="28"/>
          <w:szCs w:val="28"/>
        </w:rPr>
        <w:lastRenderedPageBreak/>
        <w:t>FLORIDA PUBLIC SERVICE COMMISSION</w:t>
      </w:r>
    </w:p>
    <w:p w:rsidR="001F3A1D" w:rsidRDefault="001F3A1D" w:rsidP="001F3A1D">
      <w:pPr>
        <w:ind w:left="1080" w:right="1080"/>
        <w:jc w:val="center"/>
        <w:rPr>
          <w:rFonts w:ascii="Arial" w:hAnsi="Arial"/>
          <w:b/>
        </w:rPr>
      </w:pPr>
      <w:r>
        <w:rPr>
          <w:rFonts w:ascii="Arial" w:hAnsi="Arial"/>
          <w:b/>
        </w:rPr>
        <w:t>Authorizes</w:t>
      </w:r>
    </w:p>
    <w:p w:rsidR="001F3A1D" w:rsidRDefault="005A66ED" w:rsidP="001F3A1D">
      <w:pPr>
        <w:ind w:left="1080" w:right="1080"/>
        <w:jc w:val="center"/>
        <w:rPr>
          <w:rFonts w:ascii="Arial" w:hAnsi="Arial"/>
          <w:b/>
        </w:rPr>
      </w:pPr>
      <w:r w:rsidRPr="00E36EEB">
        <w:rPr>
          <w:rFonts w:ascii="Arial" w:hAnsi="Arial"/>
          <w:b/>
          <w:noProof/>
        </w:rPr>
        <w:t>Middleton Utility Company, LLC</w:t>
      </w:r>
    </w:p>
    <w:p w:rsidR="001F3A1D" w:rsidRDefault="001F3A1D" w:rsidP="001F3A1D">
      <w:pPr>
        <w:ind w:left="1080" w:right="1080"/>
        <w:jc w:val="center"/>
        <w:rPr>
          <w:rFonts w:ascii="Arial" w:hAnsi="Arial"/>
          <w:b/>
        </w:rPr>
      </w:pPr>
      <w:r>
        <w:rPr>
          <w:rFonts w:ascii="Arial" w:hAnsi="Arial"/>
          <w:b/>
        </w:rPr>
        <w:t>Pursuant to</w:t>
      </w:r>
    </w:p>
    <w:p w:rsidR="001F3A1D" w:rsidRDefault="001F3A1D" w:rsidP="001F3A1D">
      <w:pPr>
        <w:ind w:left="1080" w:right="1080"/>
        <w:jc w:val="center"/>
        <w:rPr>
          <w:rFonts w:ascii="Arial" w:hAnsi="Arial"/>
          <w:b/>
        </w:rPr>
      </w:pPr>
      <w:r>
        <w:rPr>
          <w:rFonts w:ascii="Arial" w:hAnsi="Arial"/>
          <w:b/>
        </w:rPr>
        <w:t xml:space="preserve">Certificate Number </w:t>
      </w:r>
      <w:r w:rsidR="005A66ED" w:rsidRPr="00E36EEB">
        <w:rPr>
          <w:rFonts w:ascii="Arial" w:hAnsi="Arial"/>
          <w:b/>
          <w:noProof/>
        </w:rPr>
        <w:t>681-W</w:t>
      </w:r>
    </w:p>
    <w:p w:rsidR="001F3A1D" w:rsidRPr="000A1494" w:rsidRDefault="001F3A1D" w:rsidP="001F3A1D">
      <w:pPr>
        <w:ind w:left="1080" w:right="1080"/>
        <w:jc w:val="center"/>
        <w:rPr>
          <w:rFonts w:ascii="Arial" w:hAnsi="Arial"/>
          <w:b/>
        </w:rPr>
      </w:pPr>
    </w:p>
    <w:p w:rsidR="001F3A1D" w:rsidRDefault="001F3A1D" w:rsidP="001F3A1D">
      <w:pPr>
        <w:jc w:val="both"/>
        <w:rPr>
          <w:rFonts w:ascii="Arial" w:hAnsi="Arial"/>
        </w:rPr>
      </w:pPr>
      <w:r>
        <w:rPr>
          <w:rFonts w:ascii="Arial" w:hAnsi="Arial"/>
        </w:rPr>
        <w:t xml:space="preserve">to provide </w:t>
      </w:r>
      <w:r w:rsidR="005A66ED">
        <w:rPr>
          <w:rFonts w:ascii="Arial" w:hAnsi="Arial"/>
        </w:rPr>
        <w:t>water</w:t>
      </w:r>
      <w:r>
        <w:rPr>
          <w:rFonts w:ascii="Arial" w:hAnsi="Arial"/>
        </w:rPr>
        <w:t xml:space="preserve"> service in </w:t>
      </w:r>
      <w:r w:rsidR="005A66ED">
        <w:rPr>
          <w:rFonts w:ascii="Arial" w:hAnsi="Arial"/>
        </w:rPr>
        <w:t>Sumter County</w:t>
      </w:r>
      <w:r>
        <w:rPr>
          <w:rFonts w:ascii="Arial" w:hAnsi="Arial"/>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w:t>
      </w:r>
    </w:p>
    <w:p w:rsidR="001F3A1D" w:rsidRDefault="001F3A1D" w:rsidP="001F3A1D">
      <w:pPr>
        <w:jc w:val="both"/>
        <w:rPr>
          <w:rFonts w:ascii="Arial" w:hAnsi="Arial"/>
        </w:rPr>
      </w:pPr>
    </w:p>
    <w:p w:rsidR="001F3A1D" w:rsidRDefault="001F3A1D" w:rsidP="001F3A1D">
      <w:pPr>
        <w:tabs>
          <w:tab w:val="left" w:pos="2508"/>
          <w:tab w:val="left" w:pos="4674"/>
          <w:tab w:val="left" w:pos="7125"/>
        </w:tabs>
        <w:rPr>
          <w:rFonts w:ascii="Arial" w:hAnsi="Arial" w:cs="Arial"/>
        </w:rPr>
      </w:pPr>
      <w:r w:rsidRPr="000A1494">
        <w:rPr>
          <w:rFonts w:ascii="Arial" w:hAnsi="Arial" w:cs="Arial"/>
          <w:u w:val="single"/>
        </w:rPr>
        <w:t>Order Number</w:t>
      </w:r>
      <w:r>
        <w:rPr>
          <w:rFonts w:ascii="Arial" w:hAnsi="Arial" w:cs="Arial"/>
        </w:rPr>
        <w:tab/>
      </w:r>
      <w:r w:rsidRPr="000A1494">
        <w:rPr>
          <w:rFonts w:ascii="Arial" w:hAnsi="Arial" w:cs="Arial"/>
          <w:u w:val="single"/>
        </w:rPr>
        <w:t>Date Issued</w:t>
      </w:r>
      <w:r w:rsidRPr="000A1494">
        <w:rPr>
          <w:rFonts w:ascii="Arial" w:hAnsi="Arial" w:cs="Arial"/>
        </w:rPr>
        <w:tab/>
      </w:r>
      <w:r w:rsidRPr="000A1494">
        <w:rPr>
          <w:rFonts w:ascii="Arial" w:hAnsi="Arial" w:cs="Arial"/>
          <w:u w:val="single"/>
        </w:rPr>
        <w:t>Docket Number</w:t>
      </w:r>
      <w:r w:rsidRPr="000A1494">
        <w:rPr>
          <w:rFonts w:ascii="Arial" w:hAnsi="Arial" w:cs="Arial"/>
        </w:rPr>
        <w:tab/>
      </w:r>
      <w:r w:rsidRPr="000A1494">
        <w:rPr>
          <w:rFonts w:ascii="Arial" w:hAnsi="Arial" w:cs="Arial"/>
          <w:u w:val="single"/>
        </w:rPr>
        <w:t>Filing Type</w:t>
      </w:r>
    </w:p>
    <w:p w:rsidR="001F3A1D" w:rsidRDefault="001F3A1D" w:rsidP="001F3A1D">
      <w:pPr>
        <w:tabs>
          <w:tab w:val="left" w:pos="2508"/>
          <w:tab w:val="left" w:pos="4674"/>
          <w:tab w:val="left" w:pos="7125"/>
        </w:tabs>
        <w:rPr>
          <w:rFonts w:ascii="Arial" w:hAnsi="Arial" w:cs="Arial"/>
        </w:rPr>
      </w:pPr>
    </w:p>
    <w:p w:rsidR="005A66ED" w:rsidRDefault="00DE188B" w:rsidP="005A66ED">
      <w:pPr>
        <w:tabs>
          <w:tab w:val="left" w:pos="2508"/>
          <w:tab w:val="left" w:pos="4674"/>
          <w:tab w:val="left" w:pos="7125"/>
        </w:tabs>
        <w:rPr>
          <w:rFonts w:ascii="Arial" w:hAnsi="Arial" w:cs="Arial"/>
          <w:noProof/>
        </w:rPr>
      </w:pPr>
      <w:r>
        <w:rPr>
          <w:rFonts w:ascii="Arial" w:hAnsi="Arial" w:cs="Arial"/>
        </w:rPr>
        <w:t>*</w:t>
      </w:r>
      <w:r w:rsidR="005A66ED">
        <w:rPr>
          <w:rFonts w:ascii="Arial" w:hAnsi="Arial" w:cs="Arial"/>
        </w:rPr>
        <w:tab/>
      </w:r>
      <w:r>
        <w:rPr>
          <w:rFonts w:ascii="Arial" w:hAnsi="Arial" w:cs="Arial"/>
        </w:rPr>
        <w:t>*</w:t>
      </w:r>
      <w:r w:rsidR="005A66ED">
        <w:rPr>
          <w:rFonts w:ascii="Arial" w:hAnsi="Arial" w:cs="Arial"/>
        </w:rPr>
        <w:tab/>
      </w:r>
      <w:r w:rsidR="005A66ED" w:rsidRPr="00E36EEB">
        <w:rPr>
          <w:rFonts w:ascii="Arial" w:hAnsi="Arial" w:cs="Arial"/>
          <w:noProof/>
        </w:rPr>
        <w:t>20220088-WS</w:t>
      </w:r>
      <w:r w:rsidR="001F3A1D">
        <w:rPr>
          <w:rFonts w:ascii="Arial" w:hAnsi="Arial" w:cs="Arial"/>
        </w:rPr>
        <w:tab/>
      </w:r>
      <w:r w:rsidR="005A66ED">
        <w:rPr>
          <w:rFonts w:ascii="Arial" w:hAnsi="Arial" w:cs="Arial"/>
          <w:noProof/>
        </w:rPr>
        <w:t>Original Certificate</w:t>
      </w:r>
    </w:p>
    <w:p w:rsidR="001F3A1D" w:rsidRDefault="001F3A1D" w:rsidP="001F3A1D">
      <w:pPr>
        <w:tabs>
          <w:tab w:val="left" w:pos="2508"/>
          <w:tab w:val="left" w:pos="4674"/>
          <w:tab w:val="left" w:pos="7125"/>
        </w:tabs>
        <w:rPr>
          <w:rFonts w:ascii="Arial" w:hAnsi="Arial" w:cs="Arial"/>
        </w:rPr>
      </w:pPr>
      <w:r>
        <w:rPr>
          <w:rFonts w:ascii="Arial" w:hAnsi="Arial" w:cs="Arial"/>
        </w:rPr>
        <w:tab/>
      </w:r>
      <w:r>
        <w:rPr>
          <w:rFonts w:ascii="Arial" w:hAnsi="Arial" w:cs="Arial"/>
        </w:rPr>
        <w:fldChar w:fldCharType="begin">
          <w:ffData>
            <w:name w:val="Text13"/>
            <w:enabled/>
            <w:calcOnExit w:val="0"/>
            <w:textInput/>
          </w:ffData>
        </w:fldChar>
      </w:r>
      <w:bookmarkStart w:id="13" w:name="Text13"/>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3"/>
      <w:r>
        <w:rPr>
          <w:rFonts w:ascii="Arial" w:hAnsi="Arial" w:cs="Arial"/>
        </w:rPr>
        <w:tab/>
      </w:r>
      <w:r>
        <w:rPr>
          <w:rFonts w:ascii="Arial" w:hAnsi="Arial" w:cs="Arial"/>
        </w:rPr>
        <w:fldChar w:fldCharType="begin">
          <w:ffData>
            <w:name w:val="Text14"/>
            <w:enabled/>
            <w:calcOnExit w:val="0"/>
            <w:textInput/>
          </w:ffData>
        </w:fldChar>
      </w:r>
      <w:bookmarkStart w:id="14" w:name="Text14"/>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4"/>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5"/>
            <w:enabled/>
            <w:calcOnExit w:val="0"/>
            <w:textInput/>
          </w:ffData>
        </w:fldChar>
      </w:r>
      <w:bookmarkStart w:id="15" w:name="Text15"/>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5"/>
      <w:r>
        <w:rPr>
          <w:rFonts w:ascii="Arial" w:hAnsi="Arial" w:cs="Arial"/>
        </w:rPr>
        <w:tab/>
      </w:r>
      <w:r>
        <w:rPr>
          <w:rFonts w:ascii="Arial" w:hAnsi="Arial" w:cs="Arial"/>
        </w:rPr>
        <w:fldChar w:fldCharType="begin">
          <w:ffData>
            <w:name w:val="Text16"/>
            <w:enabled/>
            <w:calcOnExit w:val="0"/>
            <w:textInput/>
          </w:ffData>
        </w:fldChar>
      </w:r>
      <w:bookmarkStart w:id="16" w:name="Text16"/>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6"/>
      <w:r>
        <w:rPr>
          <w:rFonts w:ascii="Arial" w:hAnsi="Arial" w:cs="Arial"/>
        </w:rPr>
        <w:tab/>
      </w:r>
      <w:r>
        <w:rPr>
          <w:rFonts w:ascii="Arial" w:hAnsi="Arial" w:cs="Arial"/>
        </w:rPr>
        <w:fldChar w:fldCharType="begin">
          <w:ffData>
            <w:name w:val="Text17"/>
            <w:enabled/>
            <w:calcOnExit w:val="0"/>
            <w:textInput/>
          </w:ffData>
        </w:fldChar>
      </w:r>
      <w:bookmarkStart w:id="17" w:name="Text17"/>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7"/>
      <w:r>
        <w:rPr>
          <w:rFonts w:ascii="Arial" w:hAnsi="Arial" w:cs="Arial"/>
        </w:rPr>
        <w:tab/>
      </w:r>
      <w:r>
        <w:rPr>
          <w:rFonts w:ascii="Arial" w:hAnsi="Arial" w:cs="Arial"/>
        </w:rPr>
        <w:fldChar w:fldCharType="begin">
          <w:ffData>
            <w:name w:val="Text18"/>
            <w:enabled/>
            <w:calcOnExit w:val="0"/>
            <w:textInput/>
          </w:ffData>
        </w:fldChar>
      </w:r>
      <w:bookmarkStart w:id="18" w:name="Text18"/>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8"/>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9"/>
            <w:enabled/>
            <w:calcOnExit w:val="0"/>
            <w:textInput/>
          </w:ffData>
        </w:fldChar>
      </w:r>
      <w:bookmarkStart w:id="19" w:name="Text19"/>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19"/>
      <w:r>
        <w:rPr>
          <w:rFonts w:ascii="Arial" w:hAnsi="Arial" w:cs="Arial"/>
        </w:rPr>
        <w:tab/>
      </w:r>
      <w:r>
        <w:rPr>
          <w:rFonts w:ascii="Arial" w:hAnsi="Arial" w:cs="Arial"/>
        </w:rPr>
        <w:fldChar w:fldCharType="begin">
          <w:ffData>
            <w:name w:val="Text20"/>
            <w:enabled/>
            <w:calcOnExit w:val="0"/>
            <w:textInput/>
          </w:ffData>
        </w:fldChar>
      </w:r>
      <w:bookmarkStart w:id="20" w:name="Text20"/>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0"/>
      <w:r>
        <w:rPr>
          <w:rFonts w:ascii="Arial" w:hAnsi="Arial" w:cs="Arial"/>
        </w:rPr>
        <w:tab/>
      </w:r>
      <w:r>
        <w:rPr>
          <w:rFonts w:ascii="Arial" w:hAnsi="Arial" w:cs="Arial"/>
        </w:rPr>
        <w:fldChar w:fldCharType="begin">
          <w:ffData>
            <w:name w:val="Text21"/>
            <w:enabled/>
            <w:calcOnExit w:val="0"/>
            <w:textInput/>
          </w:ffData>
        </w:fldChar>
      </w:r>
      <w:bookmarkStart w:id="21" w:name="Text21"/>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1"/>
      <w:r>
        <w:rPr>
          <w:rFonts w:ascii="Arial" w:hAnsi="Arial" w:cs="Arial"/>
        </w:rPr>
        <w:tab/>
      </w:r>
      <w:r>
        <w:rPr>
          <w:rFonts w:ascii="Arial" w:hAnsi="Arial" w:cs="Arial"/>
        </w:rPr>
        <w:fldChar w:fldCharType="begin">
          <w:ffData>
            <w:name w:val="Text22"/>
            <w:enabled/>
            <w:calcOnExit w:val="0"/>
            <w:textInput/>
          </w:ffData>
        </w:fldChar>
      </w:r>
      <w:bookmarkStart w:id="22" w:name="Text22"/>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2"/>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23"/>
            <w:enabled/>
            <w:calcOnExit w:val="0"/>
            <w:textInput/>
          </w:ffData>
        </w:fldChar>
      </w:r>
      <w:bookmarkStart w:id="23" w:name="Text23"/>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3"/>
      <w:r>
        <w:rPr>
          <w:rFonts w:ascii="Arial" w:hAnsi="Arial" w:cs="Arial"/>
        </w:rPr>
        <w:tab/>
      </w:r>
      <w:r>
        <w:rPr>
          <w:rFonts w:ascii="Arial" w:hAnsi="Arial" w:cs="Arial"/>
        </w:rPr>
        <w:fldChar w:fldCharType="begin">
          <w:ffData>
            <w:name w:val="Text24"/>
            <w:enabled/>
            <w:calcOnExit w:val="0"/>
            <w:textInput/>
          </w:ffData>
        </w:fldChar>
      </w:r>
      <w:bookmarkStart w:id="24" w:name="Text24"/>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4"/>
      <w:r>
        <w:rPr>
          <w:rFonts w:ascii="Arial" w:hAnsi="Arial" w:cs="Arial"/>
        </w:rPr>
        <w:tab/>
      </w:r>
      <w:r>
        <w:rPr>
          <w:rFonts w:ascii="Arial" w:hAnsi="Arial" w:cs="Arial"/>
        </w:rPr>
        <w:fldChar w:fldCharType="begin">
          <w:ffData>
            <w:name w:val="Text25"/>
            <w:enabled/>
            <w:calcOnExit w:val="0"/>
            <w:textInput/>
          </w:ffData>
        </w:fldChar>
      </w:r>
      <w:bookmarkStart w:id="25" w:name="Text25"/>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5"/>
      <w:r>
        <w:rPr>
          <w:rFonts w:ascii="Arial" w:hAnsi="Arial" w:cs="Arial"/>
        </w:rPr>
        <w:tab/>
      </w:r>
      <w:r>
        <w:rPr>
          <w:rFonts w:ascii="Arial" w:hAnsi="Arial" w:cs="Arial"/>
        </w:rPr>
        <w:fldChar w:fldCharType="begin">
          <w:ffData>
            <w:name w:val="Text26"/>
            <w:enabled/>
            <w:calcOnExit w:val="0"/>
            <w:textInput/>
          </w:ffData>
        </w:fldChar>
      </w:r>
      <w:bookmarkStart w:id="26" w:name="Text26"/>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bookmarkEnd w:id="26"/>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p>
    <w:p w:rsidR="001F3A1D" w:rsidRDefault="001F3A1D" w:rsidP="001F3A1D">
      <w:pPr>
        <w:pStyle w:val="BodyText"/>
        <w:rPr>
          <w:rFonts w:ascii="Arial" w:hAnsi="Arial" w:cs="Arial"/>
        </w:rPr>
      </w:pPr>
      <w:r>
        <w:rPr>
          <w:rFonts w:ascii="Arial" w:hAnsi="Arial" w:cs="Arial"/>
        </w:rPr>
        <w:t>*Order Number and date to be provided at time of issue.</w:t>
      </w:r>
    </w:p>
    <w:p w:rsidR="001F3A1D" w:rsidRDefault="001F3A1D" w:rsidP="001F3A1D">
      <w:pPr>
        <w:pStyle w:val="BodyText"/>
        <w:sectPr w:rsidR="001F3A1D" w:rsidSect="0068481F">
          <w:headerReference w:type="default" r:id="rId26"/>
          <w:footerReference w:type="default" r:id="rId27"/>
          <w:pgSz w:w="12240" w:h="15840" w:code="1"/>
          <w:pgMar w:top="1584" w:right="1440" w:bottom="1440" w:left="1440" w:header="720" w:footer="720" w:gutter="0"/>
          <w:cols w:space="720"/>
          <w:formProt w:val="0"/>
          <w:docGrid w:linePitch="360"/>
        </w:sectPr>
      </w:pPr>
    </w:p>
    <w:p w:rsidR="001F3A1D" w:rsidRPr="000A1494" w:rsidRDefault="001F3A1D" w:rsidP="001F3A1D">
      <w:pPr>
        <w:ind w:left="1080" w:right="1080"/>
        <w:jc w:val="center"/>
        <w:rPr>
          <w:rFonts w:ascii="Arial" w:hAnsi="Arial"/>
          <w:sz w:val="28"/>
          <w:szCs w:val="28"/>
        </w:rPr>
      </w:pPr>
      <w:r w:rsidRPr="00206189">
        <w:rPr>
          <w:rFonts w:ascii="Arial" w:hAnsi="Arial"/>
          <w:b/>
          <w:sz w:val="28"/>
          <w:szCs w:val="28"/>
        </w:rPr>
        <w:lastRenderedPageBreak/>
        <w:t>FLORIDA PUBLIC SERVICE COMMISSION</w:t>
      </w:r>
    </w:p>
    <w:p w:rsidR="001F3A1D" w:rsidRDefault="001F3A1D" w:rsidP="001F3A1D">
      <w:pPr>
        <w:ind w:left="1080" w:right="1080"/>
        <w:jc w:val="center"/>
        <w:rPr>
          <w:rFonts w:ascii="Arial" w:hAnsi="Arial"/>
          <w:b/>
        </w:rPr>
      </w:pPr>
      <w:r>
        <w:rPr>
          <w:rFonts w:ascii="Arial" w:hAnsi="Arial"/>
          <w:b/>
        </w:rPr>
        <w:t>Authorizes</w:t>
      </w:r>
    </w:p>
    <w:p w:rsidR="001F3A1D" w:rsidRDefault="001C02A9" w:rsidP="001F3A1D">
      <w:pPr>
        <w:ind w:left="1080" w:right="1080"/>
        <w:jc w:val="center"/>
        <w:rPr>
          <w:rFonts w:ascii="Arial" w:hAnsi="Arial"/>
          <w:b/>
        </w:rPr>
      </w:pPr>
      <w:r w:rsidRPr="00E36EEB">
        <w:rPr>
          <w:rFonts w:ascii="Arial" w:hAnsi="Arial"/>
          <w:b/>
          <w:noProof/>
        </w:rPr>
        <w:t>Middleton Utility Company, LLC</w:t>
      </w:r>
    </w:p>
    <w:p w:rsidR="001F3A1D" w:rsidRDefault="001F3A1D" w:rsidP="001F3A1D">
      <w:pPr>
        <w:ind w:left="1080" w:right="1080"/>
        <w:jc w:val="center"/>
        <w:rPr>
          <w:rFonts w:ascii="Arial" w:hAnsi="Arial"/>
          <w:b/>
        </w:rPr>
      </w:pPr>
      <w:r>
        <w:rPr>
          <w:rFonts w:ascii="Arial" w:hAnsi="Arial"/>
          <w:b/>
        </w:rPr>
        <w:t>Pursuant to</w:t>
      </w:r>
    </w:p>
    <w:p w:rsidR="001F3A1D" w:rsidRDefault="001F3A1D" w:rsidP="001F3A1D">
      <w:pPr>
        <w:ind w:left="1080" w:right="1080"/>
        <w:jc w:val="center"/>
        <w:rPr>
          <w:rFonts w:ascii="Arial" w:hAnsi="Arial"/>
          <w:b/>
        </w:rPr>
      </w:pPr>
      <w:r>
        <w:rPr>
          <w:rFonts w:ascii="Arial" w:hAnsi="Arial"/>
          <w:b/>
        </w:rPr>
        <w:t xml:space="preserve">Certificate Number </w:t>
      </w:r>
      <w:r w:rsidR="001C02A9" w:rsidRPr="00B82398">
        <w:rPr>
          <w:rFonts w:ascii="Arial" w:hAnsi="Arial"/>
          <w:b/>
          <w:noProof/>
        </w:rPr>
        <w:t>581-S</w:t>
      </w:r>
    </w:p>
    <w:p w:rsidR="001F3A1D" w:rsidRPr="000A1494" w:rsidRDefault="001F3A1D" w:rsidP="001F3A1D">
      <w:pPr>
        <w:ind w:left="1080" w:right="1080"/>
        <w:jc w:val="center"/>
        <w:rPr>
          <w:rFonts w:ascii="Arial" w:hAnsi="Arial"/>
          <w:b/>
        </w:rPr>
      </w:pPr>
    </w:p>
    <w:p w:rsidR="001F3A1D" w:rsidRDefault="001F3A1D" w:rsidP="001F3A1D">
      <w:pPr>
        <w:jc w:val="both"/>
        <w:rPr>
          <w:rFonts w:ascii="Arial" w:hAnsi="Arial"/>
        </w:rPr>
      </w:pPr>
      <w:r>
        <w:rPr>
          <w:rFonts w:ascii="Arial" w:hAnsi="Arial"/>
        </w:rPr>
        <w:t xml:space="preserve">to provide </w:t>
      </w:r>
      <w:r w:rsidR="001C02A9">
        <w:rPr>
          <w:rFonts w:ascii="Arial" w:hAnsi="Arial"/>
        </w:rPr>
        <w:t>wastewater</w:t>
      </w:r>
      <w:r>
        <w:rPr>
          <w:rFonts w:ascii="Arial" w:hAnsi="Arial"/>
        </w:rPr>
        <w:t xml:space="preserve"> service in </w:t>
      </w:r>
      <w:r w:rsidR="001C02A9">
        <w:rPr>
          <w:rFonts w:ascii="Arial" w:hAnsi="Arial"/>
        </w:rPr>
        <w:t>Sumter County</w:t>
      </w:r>
      <w:r>
        <w:rPr>
          <w:rFonts w:ascii="Arial" w:hAnsi="Arial"/>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w:t>
      </w:r>
    </w:p>
    <w:p w:rsidR="001F3A1D" w:rsidRDefault="001F3A1D" w:rsidP="001F3A1D">
      <w:pPr>
        <w:jc w:val="both"/>
        <w:rPr>
          <w:rFonts w:ascii="Arial" w:hAnsi="Arial"/>
        </w:rPr>
      </w:pPr>
    </w:p>
    <w:p w:rsidR="001F3A1D" w:rsidRDefault="001F3A1D" w:rsidP="001F3A1D">
      <w:pPr>
        <w:tabs>
          <w:tab w:val="left" w:pos="2508"/>
          <w:tab w:val="left" w:pos="4674"/>
          <w:tab w:val="left" w:pos="7125"/>
        </w:tabs>
        <w:rPr>
          <w:rFonts w:ascii="Arial" w:hAnsi="Arial" w:cs="Arial"/>
        </w:rPr>
      </w:pPr>
      <w:r w:rsidRPr="000A1494">
        <w:rPr>
          <w:rFonts w:ascii="Arial" w:hAnsi="Arial" w:cs="Arial"/>
          <w:u w:val="single"/>
        </w:rPr>
        <w:t>Order Number</w:t>
      </w:r>
      <w:r>
        <w:rPr>
          <w:rFonts w:ascii="Arial" w:hAnsi="Arial" w:cs="Arial"/>
        </w:rPr>
        <w:tab/>
      </w:r>
      <w:r w:rsidRPr="000A1494">
        <w:rPr>
          <w:rFonts w:ascii="Arial" w:hAnsi="Arial" w:cs="Arial"/>
          <w:u w:val="single"/>
        </w:rPr>
        <w:t>Date Issued</w:t>
      </w:r>
      <w:r w:rsidRPr="000A1494">
        <w:rPr>
          <w:rFonts w:ascii="Arial" w:hAnsi="Arial" w:cs="Arial"/>
        </w:rPr>
        <w:tab/>
      </w:r>
      <w:r w:rsidRPr="000A1494">
        <w:rPr>
          <w:rFonts w:ascii="Arial" w:hAnsi="Arial" w:cs="Arial"/>
          <w:u w:val="single"/>
        </w:rPr>
        <w:t>Docket Number</w:t>
      </w:r>
      <w:r w:rsidRPr="000A1494">
        <w:rPr>
          <w:rFonts w:ascii="Arial" w:hAnsi="Arial" w:cs="Arial"/>
        </w:rPr>
        <w:tab/>
      </w:r>
      <w:r w:rsidRPr="000A1494">
        <w:rPr>
          <w:rFonts w:ascii="Arial" w:hAnsi="Arial" w:cs="Arial"/>
          <w:u w:val="single"/>
        </w:rPr>
        <w:t>Filing Type</w:t>
      </w:r>
    </w:p>
    <w:p w:rsidR="001F3A1D" w:rsidRDefault="001F3A1D" w:rsidP="001F3A1D">
      <w:pPr>
        <w:tabs>
          <w:tab w:val="left" w:pos="2508"/>
          <w:tab w:val="left" w:pos="4674"/>
          <w:tab w:val="left" w:pos="7125"/>
        </w:tabs>
        <w:rPr>
          <w:rFonts w:ascii="Arial" w:hAnsi="Arial" w:cs="Arial"/>
        </w:rPr>
      </w:pPr>
    </w:p>
    <w:p w:rsidR="001F3A1D" w:rsidRDefault="00DE188B" w:rsidP="001F3A1D">
      <w:pPr>
        <w:tabs>
          <w:tab w:val="left" w:pos="2508"/>
          <w:tab w:val="left" w:pos="4674"/>
          <w:tab w:val="left" w:pos="7125"/>
        </w:tabs>
        <w:rPr>
          <w:rFonts w:ascii="Arial" w:hAnsi="Arial" w:cs="Arial"/>
        </w:rPr>
      </w:pPr>
      <w:r>
        <w:rPr>
          <w:rFonts w:ascii="Arial" w:hAnsi="Arial" w:cs="Arial"/>
        </w:rPr>
        <w:t>*</w:t>
      </w:r>
      <w:r w:rsidR="001F3A1D">
        <w:rPr>
          <w:rFonts w:ascii="Arial" w:hAnsi="Arial" w:cs="Arial"/>
        </w:rPr>
        <w:tab/>
      </w:r>
      <w:r>
        <w:rPr>
          <w:rFonts w:ascii="Arial" w:hAnsi="Arial" w:cs="Arial"/>
        </w:rPr>
        <w:t>*</w:t>
      </w:r>
      <w:r w:rsidR="001F3A1D">
        <w:rPr>
          <w:rFonts w:ascii="Arial" w:hAnsi="Arial" w:cs="Arial"/>
        </w:rPr>
        <w:tab/>
      </w:r>
      <w:r w:rsidR="009863BF" w:rsidRPr="00E36EEB">
        <w:rPr>
          <w:rFonts w:ascii="Arial" w:hAnsi="Arial" w:cs="Arial"/>
          <w:noProof/>
        </w:rPr>
        <w:t>20220088-WS</w:t>
      </w:r>
      <w:r w:rsidR="001F3A1D">
        <w:rPr>
          <w:rFonts w:ascii="Arial" w:hAnsi="Arial" w:cs="Arial"/>
        </w:rPr>
        <w:tab/>
      </w:r>
      <w:r w:rsidR="009863BF">
        <w:rPr>
          <w:rFonts w:ascii="Arial" w:hAnsi="Arial" w:cs="Arial"/>
          <w:noProof/>
        </w:rPr>
        <w:t>Original Certificate</w:t>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sidR="00502835">
        <w:rPr>
          <w:rFonts w:ascii="Arial" w:hAnsi="Arial" w:cs="Arial"/>
          <w:noProof/>
        </w:rPr>
        <w:t> </w:t>
      </w:r>
      <w:r>
        <w:rPr>
          <w:rFonts w:ascii="Arial" w:hAnsi="Arial" w:cs="Arial"/>
        </w:rPr>
        <w:fldChar w:fldCharType="end"/>
      </w:r>
    </w:p>
    <w:p w:rsidR="001F3A1D" w:rsidRDefault="001F3A1D" w:rsidP="001F3A1D">
      <w:pPr>
        <w:tabs>
          <w:tab w:val="left" w:pos="2508"/>
          <w:tab w:val="left" w:pos="4674"/>
          <w:tab w:val="left" w:pos="7125"/>
        </w:tabs>
        <w:rPr>
          <w:rFonts w:ascii="Arial" w:hAnsi="Arial" w:cs="Arial"/>
        </w:rPr>
      </w:pPr>
    </w:p>
    <w:p w:rsidR="001F3A1D" w:rsidRDefault="001F3A1D" w:rsidP="001F3A1D">
      <w:pPr>
        <w:pStyle w:val="BodyText"/>
        <w:rPr>
          <w:rFonts w:ascii="Arial" w:hAnsi="Arial" w:cs="Arial"/>
        </w:rPr>
      </w:pPr>
      <w:r>
        <w:rPr>
          <w:rFonts w:ascii="Arial" w:hAnsi="Arial" w:cs="Arial"/>
        </w:rPr>
        <w:t>*Order Number and date to be provided at time of issue.</w:t>
      </w:r>
    </w:p>
    <w:p w:rsidR="009C350E" w:rsidRDefault="009C350E" w:rsidP="001F3A1D">
      <w:pPr>
        <w:pStyle w:val="BodyText"/>
        <w:sectPr w:rsidR="009C350E" w:rsidSect="0068481F">
          <w:headerReference w:type="default" r:id="rId28"/>
          <w:footerReference w:type="default" r:id="rId29"/>
          <w:pgSz w:w="12240" w:h="15840" w:code="1"/>
          <w:pgMar w:top="1584" w:right="1440" w:bottom="1440" w:left="1440" w:header="720" w:footer="720" w:gutter="0"/>
          <w:cols w:space="720"/>
          <w:formProt w:val="0"/>
          <w:docGrid w:linePitch="360"/>
        </w:sectPr>
      </w:pPr>
    </w:p>
    <w:tbl>
      <w:tblPr>
        <w:tblW w:w="8692" w:type="dxa"/>
        <w:tblInd w:w="113" w:type="dxa"/>
        <w:tblLook w:val="04A0" w:firstRow="1" w:lastRow="0" w:firstColumn="1" w:lastColumn="0" w:noHBand="0" w:noVBand="1"/>
      </w:tblPr>
      <w:tblGrid>
        <w:gridCol w:w="326"/>
        <w:gridCol w:w="3754"/>
        <w:gridCol w:w="1596"/>
        <w:gridCol w:w="1554"/>
        <w:gridCol w:w="1614"/>
      </w:tblGrid>
      <w:tr w:rsidR="009C350E" w:rsidTr="009C2764">
        <w:trPr>
          <w:trHeight w:val="300"/>
        </w:trPr>
        <w:tc>
          <w:tcPr>
            <w:tcW w:w="3928" w:type="dxa"/>
            <w:gridSpan w:val="2"/>
            <w:tcBorders>
              <w:top w:val="single" w:sz="4" w:space="0" w:color="auto"/>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lastRenderedPageBreak/>
              <w:t>Middleton Utility Company, LLC</w:t>
            </w:r>
          </w:p>
        </w:tc>
        <w:tc>
          <w:tcPr>
            <w:tcW w:w="1596" w:type="dxa"/>
            <w:tcBorders>
              <w:top w:val="single" w:sz="4" w:space="0" w:color="auto"/>
              <w:left w:val="nil"/>
              <w:bottom w:val="nil"/>
              <w:right w:val="nil"/>
            </w:tcBorders>
            <w:shd w:val="clear" w:color="000000" w:fill="FFFFFF"/>
            <w:noWrap/>
            <w:vAlign w:val="bottom"/>
            <w:hideMark/>
          </w:tcPr>
          <w:p w:rsidR="009C350E" w:rsidRDefault="009C350E" w:rsidP="009C2764">
            <w:pPr>
              <w:rPr>
                <w:rFonts w:ascii="Arial" w:hAnsi="Arial" w:cs="Arial"/>
                <w:b/>
                <w:bCs/>
                <w:color w:val="000000"/>
              </w:rPr>
            </w:pPr>
            <w:r>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Schedule No. 1-A</w:t>
            </w:r>
          </w:p>
        </w:tc>
      </w:tr>
      <w:tr w:rsidR="009C350E" w:rsidTr="009C2764">
        <w:trPr>
          <w:trHeight w:val="300"/>
        </w:trPr>
        <w:tc>
          <w:tcPr>
            <w:tcW w:w="3928" w:type="dxa"/>
            <w:gridSpan w:val="2"/>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color w:val="000000"/>
              </w:rPr>
            </w:pPr>
            <w:r>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20220088-WS</w:t>
            </w:r>
          </w:p>
        </w:tc>
      </w:tr>
      <w:tr w:rsidR="009C350E" w:rsidTr="009C2764">
        <w:trPr>
          <w:trHeight w:val="300"/>
        </w:trPr>
        <w:tc>
          <w:tcPr>
            <w:tcW w:w="3928" w:type="dxa"/>
            <w:gridSpan w:val="2"/>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color w:val="000000"/>
              </w:rPr>
            </w:pPr>
            <w:r>
              <w:rPr>
                <w:rFonts w:ascii="Arial" w:hAnsi="Arial" w:cs="Arial"/>
                <w:b/>
                <w:bCs/>
                <w:color w:val="000000"/>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color w:val="000000"/>
              </w:rPr>
            </w:pPr>
            <w:r>
              <w:rPr>
                <w:rFonts w:ascii="Arial" w:hAnsi="Arial" w:cs="Arial"/>
                <w:b/>
                <w:bCs/>
                <w:color w:val="000000"/>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754" w:type="dxa"/>
            <w:vMerge w:val="restart"/>
            <w:tcBorders>
              <w:top w:val="nil"/>
              <w:left w:val="nil"/>
              <w:bottom w:val="single" w:sz="4" w:space="0" w:color="000000"/>
              <w:right w:val="nil"/>
            </w:tcBorders>
            <w:shd w:val="clear" w:color="000000" w:fill="FFFFFF"/>
            <w:noWrap/>
            <w:vAlign w:val="center"/>
            <w:hideMark/>
          </w:tcPr>
          <w:p w:rsidR="009C350E" w:rsidRDefault="009C350E" w:rsidP="009C2764">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Test Year</w:t>
            </w:r>
          </w:p>
        </w:tc>
        <w:tc>
          <w:tcPr>
            <w:tcW w:w="1554" w:type="dxa"/>
            <w:tcBorders>
              <w:top w:val="single" w:sz="4" w:space="0" w:color="auto"/>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Staff</w:t>
            </w:r>
          </w:p>
        </w:tc>
        <w:tc>
          <w:tcPr>
            <w:tcW w:w="1614" w:type="dxa"/>
            <w:tcBorders>
              <w:top w:val="single" w:sz="4" w:space="0" w:color="auto"/>
              <w:left w:val="nil"/>
              <w:bottom w:val="nil"/>
              <w:right w:val="single" w:sz="4" w:space="0" w:color="auto"/>
            </w:tcBorders>
            <w:shd w:val="clear" w:color="000000" w:fill="FFFFFF"/>
            <w:noWrap/>
            <w:vAlign w:val="bottom"/>
            <w:hideMark/>
          </w:tcPr>
          <w:p w:rsidR="009C350E" w:rsidRDefault="009C350E" w:rsidP="009C2764">
            <w:pPr>
              <w:jc w:val="center"/>
              <w:rPr>
                <w:b/>
                <w:bCs/>
                <w:sz w:val="22"/>
                <w:szCs w:val="22"/>
              </w:rPr>
            </w:pPr>
            <w:r>
              <w:rPr>
                <w:b/>
                <w:bCs/>
                <w:sz w:val="22"/>
                <w:szCs w:val="22"/>
              </w:rPr>
              <w:t>Staff</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754" w:type="dxa"/>
            <w:vMerge/>
            <w:tcBorders>
              <w:top w:val="nil"/>
              <w:left w:val="nil"/>
              <w:bottom w:val="single" w:sz="4" w:space="0" w:color="000000"/>
              <w:right w:val="nil"/>
            </w:tcBorders>
            <w:vAlign w:val="center"/>
            <w:hideMark/>
          </w:tcPr>
          <w:p w:rsidR="009C350E" w:rsidRDefault="009C350E" w:rsidP="009C2764">
            <w:pPr>
              <w:rPr>
                <w:b/>
                <w:bCs/>
                <w:sz w:val="22"/>
                <w:szCs w:val="22"/>
              </w:rPr>
            </w:pPr>
          </w:p>
        </w:tc>
        <w:tc>
          <w:tcPr>
            <w:tcW w:w="1596"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Per</w:t>
            </w:r>
          </w:p>
        </w:tc>
        <w:tc>
          <w:tcPr>
            <w:tcW w:w="1554"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Adjust-</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center"/>
              <w:rPr>
                <w:b/>
                <w:bCs/>
                <w:sz w:val="22"/>
                <w:szCs w:val="22"/>
              </w:rPr>
            </w:pPr>
            <w:r>
              <w:rPr>
                <w:b/>
                <w:bCs/>
                <w:sz w:val="22"/>
                <w:szCs w:val="22"/>
              </w:rPr>
              <w:t>Adjusted</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754" w:type="dxa"/>
            <w:vMerge/>
            <w:tcBorders>
              <w:top w:val="nil"/>
              <w:left w:val="nil"/>
              <w:bottom w:val="single" w:sz="4" w:space="0" w:color="000000"/>
              <w:right w:val="nil"/>
            </w:tcBorders>
            <w:vAlign w:val="center"/>
            <w:hideMark/>
          </w:tcPr>
          <w:p w:rsidR="009C350E" w:rsidRDefault="009C350E" w:rsidP="009C2764">
            <w:pPr>
              <w:rPr>
                <w:b/>
                <w:bCs/>
                <w:sz w:val="22"/>
                <w:szCs w:val="22"/>
              </w:rPr>
            </w:pPr>
          </w:p>
        </w:tc>
        <w:tc>
          <w:tcPr>
            <w:tcW w:w="1596"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Utility</w:t>
            </w:r>
          </w:p>
        </w:tc>
        <w:tc>
          <w:tcPr>
            <w:tcW w:w="1554"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proofErr w:type="spellStart"/>
            <w:r>
              <w:rPr>
                <w:b/>
                <w:bCs/>
                <w:sz w:val="22"/>
                <w:szCs w:val="22"/>
              </w:rPr>
              <w:t>ments</w:t>
            </w:r>
            <w:proofErr w:type="spellEnd"/>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center"/>
              <w:rPr>
                <w:b/>
                <w:bCs/>
                <w:sz w:val="22"/>
                <w:szCs w:val="22"/>
              </w:rPr>
            </w:pPr>
            <w:r>
              <w:rPr>
                <w:b/>
                <w:bCs/>
                <w:sz w:val="22"/>
                <w:szCs w:val="22"/>
              </w:rPr>
              <w:t>Test Year</w:t>
            </w:r>
          </w:p>
        </w:tc>
      </w:tr>
      <w:tr w:rsidR="009C350E" w:rsidTr="009C2764">
        <w:trPr>
          <w:trHeight w:val="300"/>
        </w:trPr>
        <w:tc>
          <w:tcPr>
            <w:tcW w:w="174" w:type="dxa"/>
            <w:tcBorders>
              <w:top w:val="single" w:sz="4" w:space="0" w:color="000000"/>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single" w:sz="4" w:space="0" w:color="000000"/>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single" w:sz="4" w:space="0" w:color="000000"/>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1</w:t>
            </w:r>
          </w:p>
        </w:tc>
        <w:tc>
          <w:tcPr>
            <w:tcW w:w="37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$20,395,890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$10,444,042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 xml:space="preserve">$30,839,932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2</w:t>
            </w:r>
          </w:p>
        </w:tc>
        <w:tc>
          <w:tcPr>
            <w:tcW w:w="37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(4,112,276)</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(4,748,078)</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(8,860,354)</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3</w:t>
            </w:r>
          </w:p>
        </w:tc>
        <w:tc>
          <w:tcPr>
            <w:tcW w:w="37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(15,371,202)</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(7,387,936)</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(22,759,138)</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4</w:t>
            </w:r>
          </w:p>
        </w:tc>
        <w:tc>
          <w:tcPr>
            <w:tcW w:w="37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2,950,381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2,214,149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 xml:space="preserve">5,164,530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5</w:t>
            </w:r>
          </w:p>
        </w:tc>
        <w:tc>
          <w:tcPr>
            <w:tcW w:w="37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202,375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18,800</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221,175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174"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6</w:t>
            </w:r>
          </w:p>
        </w:tc>
        <w:tc>
          <w:tcPr>
            <w:tcW w:w="3754" w:type="dxa"/>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$4,065,168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$540,977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$4,606,145 </w:t>
            </w:r>
          </w:p>
        </w:tc>
      </w:tr>
      <w:tr w:rsidR="009C350E" w:rsidTr="009C2764">
        <w:trPr>
          <w:trHeight w:val="300"/>
        </w:trPr>
        <w:tc>
          <w:tcPr>
            <w:tcW w:w="174" w:type="dxa"/>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rFonts w:ascii="Arial" w:hAnsi="Arial" w:cs="Arial"/>
                <w:sz w:val="20"/>
                <w:szCs w:val="20"/>
                <w:u w:val="single"/>
              </w:rPr>
            </w:pPr>
          </w:p>
        </w:tc>
        <w:tc>
          <w:tcPr>
            <w:tcW w:w="3754" w:type="dxa"/>
            <w:tcBorders>
              <w:top w:val="nil"/>
              <w:left w:val="nil"/>
              <w:bottom w:val="single" w:sz="4" w:space="0" w:color="auto"/>
              <w:right w:val="nil"/>
            </w:tcBorders>
            <w:shd w:val="clear" w:color="000000" w:fill="FFFFFF"/>
            <w:noWrap/>
            <w:vAlign w:val="bottom"/>
            <w:hideMark/>
          </w:tcPr>
          <w:p w:rsidR="009C350E" w:rsidRDefault="009C350E" w:rsidP="009C2764">
            <w:pPr>
              <w:rPr>
                <w:rFonts w:ascii="Arial" w:hAnsi="Arial" w:cs="Arial"/>
                <w:sz w:val="20"/>
                <w:szCs w:val="20"/>
                <w:u w:val="single"/>
              </w:rPr>
            </w:pPr>
          </w:p>
        </w:tc>
        <w:tc>
          <w:tcPr>
            <w:tcW w:w="1596" w:type="dxa"/>
            <w:tcBorders>
              <w:top w:val="nil"/>
              <w:left w:val="nil"/>
              <w:bottom w:val="single" w:sz="4" w:space="0" w:color="auto"/>
              <w:right w:val="nil"/>
            </w:tcBorders>
            <w:shd w:val="clear" w:color="000000" w:fill="FFFFFF"/>
            <w:noWrap/>
            <w:vAlign w:val="bottom"/>
            <w:hideMark/>
          </w:tcPr>
          <w:p w:rsidR="009C350E" w:rsidRDefault="009C350E" w:rsidP="009C2764">
            <w:pPr>
              <w:rPr>
                <w:rFonts w:ascii="Arial" w:hAnsi="Arial" w:cs="Arial"/>
                <w:sz w:val="20"/>
                <w:szCs w:val="20"/>
                <w:u w:val="single"/>
              </w:rPr>
            </w:pPr>
          </w:p>
        </w:tc>
        <w:tc>
          <w:tcPr>
            <w:tcW w:w="1554" w:type="dxa"/>
            <w:tcBorders>
              <w:top w:val="nil"/>
              <w:left w:val="nil"/>
              <w:bottom w:val="single" w:sz="4" w:space="0" w:color="auto"/>
              <w:right w:val="nil"/>
            </w:tcBorders>
            <w:shd w:val="clear" w:color="000000" w:fill="FFFFFF"/>
            <w:noWrap/>
            <w:vAlign w:val="bottom"/>
            <w:hideMark/>
          </w:tcPr>
          <w:p w:rsidR="009C350E" w:rsidRDefault="009C350E" w:rsidP="009C2764">
            <w:pPr>
              <w:rPr>
                <w:rFonts w:ascii="Arial" w:hAnsi="Arial" w:cs="Arial"/>
                <w:sz w:val="20"/>
                <w:szCs w:val="20"/>
                <w:u w:val="single"/>
              </w:rPr>
            </w:pPr>
          </w:p>
        </w:tc>
        <w:tc>
          <w:tcPr>
            <w:tcW w:w="1614" w:type="dxa"/>
            <w:tcBorders>
              <w:top w:val="nil"/>
              <w:left w:val="nil"/>
              <w:bottom w:val="single" w:sz="4" w:space="0" w:color="auto"/>
              <w:right w:val="single" w:sz="4" w:space="0" w:color="auto"/>
            </w:tcBorders>
            <w:shd w:val="clear" w:color="000000" w:fill="FFFFFF"/>
            <w:noWrap/>
            <w:vAlign w:val="bottom"/>
            <w:hideMark/>
          </w:tcPr>
          <w:p w:rsidR="009C350E" w:rsidRDefault="009C350E" w:rsidP="009C2764">
            <w:pPr>
              <w:rPr>
                <w:rFonts w:ascii="Arial" w:hAnsi="Arial" w:cs="Arial"/>
                <w:sz w:val="20"/>
                <w:szCs w:val="20"/>
                <w:u w:val="single"/>
              </w:rPr>
            </w:pPr>
          </w:p>
        </w:tc>
      </w:tr>
    </w:tbl>
    <w:p w:rsidR="009C350E" w:rsidRDefault="009C350E" w:rsidP="001F3A1D">
      <w:pPr>
        <w:pStyle w:val="BodyText"/>
      </w:pPr>
    </w:p>
    <w:p w:rsidR="009C350E" w:rsidRDefault="009C350E" w:rsidP="001F3A1D">
      <w:pPr>
        <w:pStyle w:val="BodyText"/>
        <w:sectPr w:rsidR="009C350E" w:rsidSect="0068481F">
          <w:headerReference w:type="default" r:id="rId30"/>
          <w:footerReference w:type="default" r:id="rId31"/>
          <w:pgSz w:w="12240" w:h="15840" w:code="1"/>
          <w:pgMar w:top="1584" w:right="1440" w:bottom="1440" w:left="1440" w:header="720" w:footer="720" w:gutter="0"/>
          <w:cols w:space="720"/>
          <w:formProt w:val="0"/>
          <w:docGrid w:linePitch="360"/>
        </w:sectPr>
      </w:pPr>
    </w:p>
    <w:p w:rsidR="009C350E" w:rsidRDefault="009C350E" w:rsidP="001F3A1D">
      <w:pPr>
        <w:pStyle w:val="BodyText"/>
      </w:pPr>
    </w:p>
    <w:tbl>
      <w:tblPr>
        <w:tblW w:w="8692" w:type="dxa"/>
        <w:tblInd w:w="113" w:type="dxa"/>
        <w:tblLook w:val="04A0" w:firstRow="1" w:lastRow="0" w:firstColumn="1" w:lastColumn="0" w:noHBand="0" w:noVBand="1"/>
      </w:tblPr>
      <w:tblGrid>
        <w:gridCol w:w="327"/>
        <w:gridCol w:w="3601"/>
        <w:gridCol w:w="1596"/>
        <w:gridCol w:w="1554"/>
        <w:gridCol w:w="1614"/>
      </w:tblGrid>
      <w:tr w:rsidR="009C350E" w:rsidTr="009C2764">
        <w:trPr>
          <w:trHeight w:val="300"/>
        </w:trPr>
        <w:tc>
          <w:tcPr>
            <w:tcW w:w="3928" w:type="dxa"/>
            <w:gridSpan w:val="2"/>
            <w:tcBorders>
              <w:top w:val="single" w:sz="4" w:space="0" w:color="auto"/>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bookmarkStart w:id="27" w:name="RANGE!A30:G51"/>
            <w:r>
              <w:rPr>
                <w:rFonts w:ascii="Arial" w:hAnsi="Arial" w:cs="Arial"/>
                <w:b/>
                <w:bCs/>
              </w:rPr>
              <w:t>Middleton Utility Company, LLC</w:t>
            </w:r>
            <w:bookmarkEnd w:id="27"/>
          </w:p>
        </w:tc>
        <w:tc>
          <w:tcPr>
            <w:tcW w:w="1596" w:type="dxa"/>
            <w:tcBorders>
              <w:top w:val="single" w:sz="4" w:space="0" w:color="auto"/>
              <w:left w:val="nil"/>
              <w:bottom w:val="nil"/>
              <w:right w:val="nil"/>
            </w:tcBorders>
            <w:shd w:val="clear" w:color="000000" w:fill="FFFFFF"/>
            <w:noWrap/>
            <w:vAlign w:val="bottom"/>
            <w:hideMark/>
          </w:tcPr>
          <w:p w:rsidR="009C350E" w:rsidRDefault="009C350E" w:rsidP="009C2764">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Schedule No. 1-B</w:t>
            </w:r>
          </w:p>
        </w:tc>
      </w:tr>
      <w:tr w:rsidR="009C350E" w:rsidTr="009C2764">
        <w:trPr>
          <w:trHeight w:val="300"/>
        </w:trPr>
        <w:tc>
          <w:tcPr>
            <w:tcW w:w="5524" w:type="dxa"/>
            <w:gridSpan w:val="3"/>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20220088-WS</w:t>
            </w:r>
          </w:p>
        </w:tc>
      </w:tr>
      <w:tr w:rsidR="009C350E" w:rsidTr="009C2764">
        <w:trPr>
          <w:trHeight w:val="300"/>
        </w:trPr>
        <w:tc>
          <w:tcPr>
            <w:tcW w:w="3928" w:type="dxa"/>
            <w:gridSpan w:val="2"/>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9C350E" w:rsidRDefault="009C350E" w:rsidP="009C2764">
            <w:pPr>
              <w:rPr>
                <w:rFonts w:ascii="Courier New" w:hAnsi="Courier New" w:cs="Courier New"/>
                <w:b/>
                <w:bCs/>
                <w:color w:val="000000"/>
              </w:rPr>
            </w:pPr>
            <w:r>
              <w:rPr>
                <w:rFonts w:ascii="Courier New" w:hAnsi="Courier New" w:cs="Courier New"/>
                <w:b/>
                <w:bCs/>
                <w:color w:val="000000"/>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rFonts w:ascii="Courier New" w:hAnsi="Courier New" w:cs="Courier New"/>
                <w:b/>
                <w:bCs/>
                <w:color w:val="000000"/>
              </w:rPr>
            </w:pPr>
            <w:r>
              <w:rPr>
                <w:rFonts w:ascii="Courier New" w:hAnsi="Courier New" w:cs="Courier New"/>
                <w:b/>
                <w:bCs/>
                <w:color w:val="000000"/>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vMerge w:val="restart"/>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Test Year</w:t>
            </w:r>
          </w:p>
        </w:tc>
        <w:tc>
          <w:tcPr>
            <w:tcW w:w="1554" w:type="dxa"/>
            <w:tcBorders>
              <w:top w:val="single" w:sz="4" w:space="0" w:color="auto"/>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Staff</w:t>
            </w:r>
          </w:p>
        </w:tc>
        <w:tc>
          <w:tcPr>
            <w:tcW w:w="1614" w:type="dxa"/>
            <w:tcBorders>
              <w:top w:val="single" w:sz="4" w:space="0" w:color="auto"/>
              <w:left w:val="nil"/>
              <w:bottom w:val="nil"/>
              <w:right w:val="single" w:sz="4" w:space="0" w:color="auto"/>
            </w:tcBorders>
            <w:shd w:val="clear" w:color="000000" w:fill="FFFFFF"/>
            <w:noWrap/>
            <w:vAlign w:val="bottom"/>
            <w:hideMark/>
          </w:tcPr>
          <w:p w:rsidR="009C350E" w:rsidRDefault="009C350E" w:rsidP="009C2764">
            <w:pPr>
              <w:jc w:val="center"/>
              <w:rPr>
                <w:b/>
                <w:bCs/>
                <w:sz w:val="22"/>
                <w:szCs w:val="22"/>
              </w:rPr>
            </w:pPr>
            <w:r>
              <w:rPr>
                <w:b/>
                <w:bCs/>
                <w:sz w:val="22"/>
                <w:szCs w:val="22"/>
              </w:rPr>
              <w:t>Staff</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vMerge/>
            <w:tcBorders>
              <w:top w:val="nil"/>
              <w:left w:val="nil"/>
              <w:bottom w:val="nil"/>
              <w:right w:val="nil"/>
            </w:tcBorders>
            <w:vAlign w:val="center"/>
            <w:hideMark/>
          </w:tcPr>
          <w:p w:rsidR="009C350E" w:rsidRDefault="009C350E" w:rsidP="009C2764">
            <w:pPr>
              <w:rPr>
                <w:b/>
                <w:bCs/>
                <w:sz w:val="22"/>
                <w:szCs w:val="22"/>
              </w:rPr>
            </w:pPr>
          </w:p>
        </w:tc>
        <w:tc>
          <w:tcPr>
            <w:tcW w:w="1596"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Per</w:t>
            </w:r>
          </w:p>
        </w:tc>
        <w:tc>
          <w:tcPr>
            <w:tcW w:w="1554"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Adjust-</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center"/>
              <w:rPr>
                <w:b/>
                <w:bCs/>
                <w:sz w:val="22"/>
                <w:szCs w:val="22"/>
              </w:rPr>
            </w:pPr>
            <w:r>
              <w:rPr>
                <w:b/>
                <w:bCs/>
                <w:sz w:val="22"/>
                <w:szCs w:val="22"/>
              </w:rPr>
              <w:t>Adjusted</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vMerge/>
            <w:tcBorders>
              <w:top w:val="nil"/>
              <w:left w:val="nil"/>
              <w:bottom w:val="nil"/>
              <w:right w:val="nil"/>
            </w:tcBorders>
            <w:vAlign w:val="center"/>
            <w:hideMark/>
          </w:tcPr>
          <w:p w:rsidR="009C350E" w:rsidRDefault="009C350E" w:rsidP="009C2764">
            <w:pPr>
              <w:rPr>
                <w:b/>
                <w:bCs/>
                <w:sz w:val="22"/>
                <w:szCs w:val="22"/>
              </w:rPr>
            </w:pPr>
          </w:p>
        </w:tc>
        <w:tc>
          <w:tcPr>
            <w:tcW w:w="1596"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r>
              <w:rPr>
                <w:b/>
                <w:bCs/>
                <w:sz w:val="22"/>
                <w:szCs w:val="22"/>
              </w:rPr>
              <w:t>Utility</w:t>
            </w:r>
          </w:p>
        </w:tc>
        <w:tc>
          <w:tcPr>
            <w:tcW w:w="1554"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rPr>
            </w:pPr>
            <w:proofErr w:type="spellStart"/>
            <w:r>
              <w:rPr>
                <w:b/>
                <w:bCs/>
                <w:sz w:val="22"/>
                <w:szCs w:val="22"/>
              </w:rPr>
              <w:t>ments</w:t>
            </w:r>
            <w:proofErr w:type="spellEnd"/>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center"/>
              <w:rPr>
                <w:b/>
                <w:bCs/>
                <w:sz w:val="22"/>
                <w:szCs w:val="22"/>
              </w:rPr>
            </w:pPr>
            <w:r>
              <w:rPr>
                <w:b/>
                <w:bCs/>
                <w:sz w:val="22"/>
                <w:szCs w:val="22"/>
              </w:rPr>
              <w:t>Test Year</w:t>
            </w:r>
          </w:p>
        </w:tc>
      </w:tr>
      <w:tr w:rsidR="009C350E" w:rsidTr="009C2764">
        <w:trPr>
          <w:trHeight w:val="300"/>
        </w:trPr>
        <w:tc>
          <w:tcPr>
            <w:tcW w:w="327" w:type="dxa"/>
            <w:tcBorders>
              <w:top w:val="single" w:sz="4" w:space="0" w:color="000000"/>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tcBorders>
              <w:top w:val="single" w:sz="4" w:space="0" w:color="000000"/>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54" w:type="dxa"/>
            <w:tcBorders>
              <w:top w:val="single" w:sz="4" w:space="0" w:color="000000"/>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614" w:type="dxa"/>
            <w:tcBorders>
              <w:top w:val="single" w:sz="4" w:space="0" w:color="000000"/>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1</w:t>
            </w:r>
          </w:p>
        </w:tc>
        <w:tc>
          <w:tcPr>
            <w:tcW w:w="3601"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$26,955,649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$19,232,745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 xml:space="preserve">$46,188,394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2</w:t>
            </w:r>
          </w:p>
        </w:tc>
        <w:tc>
          <w:tcPr>
            <w:tcW w:w="3601"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(7,025,132)</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(7,933,508)</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(14,958,640)</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3</w:t>
            </w:r>
          </w:p>
        </w:tc>
        <w:tc>
          <w:tcPr>
            <w:tcW w:w="3601"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(19,961,062)</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(7,389,558)</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(27,350,620)</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4</w:t>
            </w:r>
          </w:p>
        </w:tc>
        <w:tc>
          <w:tcPr>
            <w:tcW w:w="3601"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4,707,109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703,217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rPr>
            </w:pPr>
            <w:r>
              <w:rPr>
                <w:sz w:val="22"/>
                <w:szCs w:val="22"/>
              </w:rPr>
              <w:t xml:space="preserve">5,410,326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5</w:t>
            </w:r>
          </w:p>
        </w:tc>
        <w:tc>
          <w:tcPr>
            <w:tcW w:w="3601"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516,169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151,135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667,304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trPr>
        <w:tc>
          <w:tcPr>
            <w:tcW w:w="327"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6</w:t>
            </w:r>
          </w:p>
        </w:tc>
        <w:tc>
          <w:tcPr>
            <w:tcW w:w="3601" w:type="dxa"/>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$5,192,733 </w:t>
            </w:r>
          </w:p>
        </w:tc>
        <w:tc>
          <w:tcPr>
            <w:tcW w:w="155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$4,764,031 </w:t>
            </w:r>
          </w:p>
        </w:tc>
        <w:tc>
          <w:tcPr>
            <w:tcW w:w="1614" w:type="dxa"/>
            <w:tcBorders>
              <w:top w:val="nil"/>
              <w:left w:val="nil"/>
              <w:bottom w:val="nil"/>
              <w:right w:val="single" w:sz="4" w:space="0" w:color="auto"/>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$9,956,764 </w:t>
            </w:r>
          </w:p>
        </w:tc>
      </w:tr>
      <w:tr w:rsidR="009C350E" w:rsidTr="009C2764">
        <w:trPr>
          <w:trHeight w:val="300"/>
        </w:trPr>
        <w:tc>
          <w:tcPr>
            <w:tcW w:w="327" w:type="dxa"/>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3601"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96"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554"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614" w:type="dxa"/>
            <w:tcBorders>
              <w:top w:val="nil"/>
              <w:left w:val="nil"/>
              <w:bottom w:val="single" w:sz="4" w:space="0" w:color="auto"/>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bl>
    <w:p w:rsidR="009C350E" w:rsidRDefault="009C350E" w:rsidP="001F3A1D">
      <w:pPr>
        <w:pStyle w:val="BodyText"/>
      </w:pPr>
    </w:p>
    <w:p w:rsidR="009C350E" w:rsidRDefault="009C350E" w:rsidP="001F3A1D">
      <w:pPr>
        <w:pStyle w:val="BodyText"/>
      </w:pPr>
    </w:p>
    <w:p w:rsidR="009C350E" w:rsidRDefault="009C350E" w:rsidP="001F3A1D">
      <w:pPr>
        <w:pStyle w:val="BodyText"/>
        <w:sectPr w:rsidR="009C350E" w:rsidSect="0068481F">
          <w:headerReference w:type="default" r:id="rId32"/>
          <w:footerReference w:type="default" r:id="rId33"/>
          <w:pgSz w:w="12240" w:h="15840" w:code="1"/>
          <w:pgMar w:top="1584" w:right="1440" w:bottom="1440" w:left="1440" w:header="720" w:footer="720" w:gutter="0"/>
          <w:cols w:space="720"/>
          <w:formProt w:val="0"/>
          <w:docGrid w:linePitch="360"/>
        </w:sectPr>
      </w:pPr>
    </w:p>
    <w:p w:rsidR="009C350E" w:rsidRDefault="009C350E" w:rsidP="001F3A1D">
      <w:pPr>
        <w:pStyle w:val="BodyText"/>
      </w:pPr>
    </w:p>
    <w:tbl>
      <w:tblPr>
        <w:tblW w:w="0" w:type="auto"/>
        <w:jc w:val="center"/>
        <w:tblLook w:val="04A0" w:firstRow="1" w:lastRow="0" w:firstColumn="1" w:lastColumn="0" w:noHBand="0" w:noVBand="1"/>
      </w:tblPr>
      <w:tblGrid>
        <w:gridCol w:w="381"/>
        <w:gridCol w:w="6062"/>
        <w:gridCol w:w="1353"/>
        <w:gridCol w:w="1353"/>
        <w:gridCol w:w="283"/>
      </w:tblGrid>
      <w:tr w:rsidR="009C350E" w:rsidTr="009C2764">
        <w:trPr>
          <w:trHeight w:val="300"/>
          <w:jc w:val="center"/>
        </w:trPr>
        <w:tc>
          <w:tcPr>
            <w:tcW w:w="0" w:type="auto"/>
            <w:gridSpan w:val="2"/>
            <w:tcBorders>
              <w:top w:val="single" w:sz="4" w:space="0" w:color="auto"/>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bookmarkStart w:id="28" w:name="RANGE!B5:E25"/>
            <w:r>
              <w:rPr>
                <w:rFonts w:ascii="Arial" w:hAnsi="Arial" w:cs="Arial"/>
                <w:b/>
                <w:bCs/>
              </w:rPr>
              <w:t>Middleton Utility Company, LLC</w:t>
            </w:r>
            <w:bookmarkEnd w:id="28"/>
          </w:p>
        </w:tc>
        <w:tc>
          <w:tcPr>
            <w:tcW w:w="0" w:type="auto"/>
            <w:gridSpan w:val="3"/>
            <w:tcBorders>
              <w:top w:val="single" w:sz="4" w:space="0" w:color="auto"/>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Schedule No. 1-C</w:t>
            </w:r>
          </w:p>
        </w:tc>
      </w:tr>
      <w:tr w:rsidR="009C350E" w:rsidTr="009C2764">
        <w:trPr>
          <w:trHeight w:val="300"/>
          <w:jc w:val="center"/>
        </w:trPr>
        <w:tc>
          <w:tcPr>
            <w:tcW w:w="0" w:type="auto"/>
            <w:gridSpan w:val="2"/>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Adjustments to Rate Base</w:t>
            </w:r>
          </w:p>
        </w:tc>
        <w:tc>
          <w:tcPr>
            <w:tcW w:w="0" w:type="auto"/>
            <w:gridSpan w:val="3"/>
            <w:tcBorders>
              <w:top w:val="nil"/>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20220088-WS</w:t>
            </w:r>
          </w:p>
        </w:tc>
      </w:tr>
      <w:tr w:rsidR="009C350E" w:rsidTr="009C2764">
        <w:trPr>
          <w:trHeight w:val="300"/>
          <w:jc w:val="center"/>
        </w:trPr>
        <w:tc>
          <w:tcPr>
            <w:tcW w:w="0" w:type="auto"/>
            <w:gridSpan w:val="2"/>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80% Design Capacity</w:t>
            </w:r>
          </w:p>
        </w:tc>
        <w:tc>
          <w:tcPr>
            <w:tcW w:w="0" w:type="auto"/>
            <w:tcBorders>
              <w:top w:val="nil"/>
              <w:left w:val="nil"/>
              <w:bottom w:val="nil"/>
              <w:right w:val="nil"/>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rFonts w:ascii="Arial" w:hAnsi="Arial" w:cs="Arial"/>
              </w:rPr>
            </w:pPr>
            <w:r>
              <w:rPr>
                <w:rFonts w:ascii="Arial" w:hAnsi="Arial" w:cs="Arial"/>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c>
          <w:tcPr>
            <w:tcW w:w="0" w:type="auto"/>
            <w:tcBorders>
              <w:top w:val="single" w:sz="4" w:space="0" w:color="000000"/>
              <w:left w:val="nil"/>
              <w:bottom w:val="nil"/>
              <w:right w:val="nil"/>
            </w:tcBorders>
            <w:shd w:val="clear" w:color="000000" w:fill="FFFFFF"/>
            <w:noWrap/>
            <w:vAlign w:val="center"/>
            <w:hideMark/>
          </w:tcPr>
          <w:p w:rsidR="009C350E" w:rsidRDefault="009C350E" w:rsidP="009C2764">
            <w:pPr>
              <w:jc w:val="center"/>
              <w:rPr>
                <w:rFonts w:ascii="Arial" w:hAnsi="Arial" w:cs="Arial"/>
                <w:sz w:val="20"/>
                <w:szCs w:val="20"/>
              </w:rPr>
            </w:pPr>
            <w:r>
              <w:rPr>
                <w:rFonts w:ascii="Arial" w:hAnsi="Arial" w:cs="Arial"/>
                <w:sz w:val="20"/>
                <w:szCs w:val="20"/>
              </w:rPr>
              <w:t> </w:t>
            </w:r>
          </w:p>
        </w:tc>
        <w:tc>
          <w:tcPr>
            <w:tcW w:w="0" w:type="auto"/>
            <w:tcBorders>
              <w:top w:val="single" w:sz="4" w:space="0" w:color="000000"/>
              <w:left w:val="nil"/>
              <w:bottom w:val="nil"/>
              <w:right w:val="nil"/>
            </w:tcBorders>
            <w:shd w:val="clear" w:color="000000" w:fill="FFFFFF"/>
            <w:noWrap/>
            <w:vAlign w:val="center"/>
            <w:hideMark/>
          </w:tcPr>
          <w:p w:rsidR="009C350E" w:rsidRDefault="009C350E" w:rsidP="009C2764">
            <w:pPr>
              <w:jc w:val="center"/>
              <w:rPr>
                <w:rFonts w:ascii="Arial" w:hAnsi="Arial" w:cs="Arial"/>
                <w:sz w:val="20"/>
                <w:szCs w:val="20"/>
              </w:rPr>
            </w:pPr>
            <w:r>
              <w:rPr>
                <w:rFonts w:ascii="Arial" w:hAnsi="Arial" w:cs="Arial"/>
                <w:sz w:val="20"/>
                <w:szCs w:val="20"/>
              </w:rPr>
              <w:t> </w:t>
            </w:r>
          </w:p>
        </w:tc>
        <w:tc>
          <w:tcPr>
            <w:tcW w:w="0" w:type="auto"/>
            <w:tcBorders>
              <w:top w:val="single" w:sz="4" w:space="0" w:color="000000"/>
              <w:left w:val="nil"/>
              <w:bottom w:val="nil"/>
              <w:right w:val="single" w:sz="4" w:space="0" w:color="auto"/>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Explanation</w:t>
            </w:r>
          </w:p>
        </w:tc>
        <w:tc>
          <w:tcPr>
            <w:tcW w:w="0" w:type="auto"/>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Water</w:t>
            </w:r>
          </w:p>
        </w:tc>
        <w:tc>
          <w:tcPr>
            <w:tcW w:w="0" w:type="auto"/>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Wastewater</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jc w:val="center"/>
              <w:rPr>
                <w:rFonts w:ascii="Arial" w:hAnsi="Arial" w:cs="Arial"/>
                <w:sz w:val="20"/>
                <w:szCs w:val="20"/>
              </w:rPr>
            </w:pPr>
            <w:r>
              <w:rPr>
                <w:rFonts w:ascii="Arial" w:hAnsi="Arial" w:cs="Arial"/>
                <w:sz w:val="20"/>
                <w:szCs w:val="20"/>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noWrap/>
            <w:vAlign w:val="center"/>
            <w:hideMark/>
          </w:tcPr>
          <w:p w:rsidR="009C350E" w:rsidRDefault="009C350E" w:rsidP="009C2764">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noWrap/>
            <w:vAlign w:val="center"/>
            <w:hideMark/>
          </w:tcPr>
          <w:p w:rsidR="009C350E" w:rsidRDefault="009C350E" w:rsidP="009C2764">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r>
      <w:tr w:rsidR="009C350E" w:rsidTr="009C2764">
        <w:trPr>
          <w:trHeight w:val="300"/>
          <w:jc w:val="center"/>
        </w:trPr>
        <w:tc>
          <w:tcPr>
            <w:tcW w:w="0" w:type="auto"/>
            <w:tcBorders>
              <w:top w:val="single" w:sz="4" w:space="0" w:color="000000"/>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single" w:sz="4" w:space="0" w:color="000000"/>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single" w:sz="4" w:space="0" w:color="000000"/>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single" w:sz="4" w:space="0" w:color="000000"/>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single" w:sz="4" w:space="0" w:color="000000"/>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Plant In Service</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right"/>
              <w:rPr>
                <w:sz w:val="22"/>
                <w:szCs w:val="22"/>
              </w:rPr>
            </w:pPr>
            <w:r>
              <w:rPr>
                <w:sz w:val="22"/>
                <w:szCs w:val="22"/>
              </w:rPr>
              <w:t> 1</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To reflect appropriate amount for meters.</w:t>
            </w:r>
          </w:p>
        </w:tc>
        <w:tc>
          <w:tcPr>
            <w:tcW w:w="0" w:type="auto"/>
            <w:tcBorders>
              <w:top w:val="nil"/>
              <w:left w:val="nil"/>
              <w:bottom w:val="nil"/>
              <w:right w:val="nil"/>
            </w:tcBorders>
            <w:shd w:val="clear" w:color="000000" w:fill="FFFFFF"/>
            <w:noWrap/>
            <w:vAlign w:val="bottom"/>
            <w:hideMark/>
          </w:tcPr>
          <w:p w:rsidR="009C350E" w:rsidRPr="00C26C13" w:rsidRDefault="009C350E" w:rsidP="009C2764">
            <w:pPr>
              <w:jc w:val="right"/>
              <w:rPr>
                <w:sz w:val="22"/>
                <w:szCs w:val="22"/>
              </w:rPr>
            </w:pPr>
            <w:r w:rsidRPr="00C26C13">
              <w:rPr>
                <w:sz w:val="22"/>
                <w:szCs w:val="22"/>
              </w:rPr>
              <w:t xml:space="preserve">$3,925,062 </w:t>
            </w:r>
          </w:p>
        </w:tc>
        <w:tc>
          <w:tcPr>
            <w:tcW w:w="0" w:type="auto"/>
            <w:tcBorders>
              <w:top w:val="nil"/>
              <w:left w:val="nil"/>
              <w:bottom w:val="nil"/>
              <w:right w:val="nil"/>
            </w:tcBorders>
            <w:shd w:val="clear" w:color="000000" w:fill="FFFFFF"/>
            <w:noWrap/>
            <w:vAlign w:val="bottom"/>
            <w:hideMark/>
          </w:tcPr>
          <w:p w:rsidR="009C350E" w:rsidRPr="00C26C13" w:rsidRDefault="009C350E" w:rsidP="009C2764">
            <w:pPr>
              <w:jc w:val="right"/>
              <w:rPr>
                <w:sz w:val="22"/>
                <w:szCs w:val="22"/>
              </w:rPr>
            </w:pPr>
            <w:r w:rsidRPr="00C26C13">
              <w:rPr>
                <w:sz w:val="22"/>
                <w:szCs w:val="22"/>
              </w:rPr>
              <w:t xml:space="preserve">$0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tcPr>
          <w:p w:rsidR="009C350E" w:rsidRDefault="009C350E" w:rsidP="009C2764">
            <w:pPr>
              <w:jc w:val="right"/>
              <w:rPr>
                <w:sz w:val="22"/>
                <w:szCs w:val="22"/>
              </w:rPr>
            </w:pPr>
            <w:r>
              <w:rPr>
                <w:sz w:val="22"/>
                <w:szCs w:val="22"/>
              </w:rPr>
              <w:t>2</w:t>
            </w:r>
          </w:p>
        </w:tc>
        <w:tc>
          <w:tcPr>
            <w:tcW w:w="0" w:type="auto"/>
            <w:tcBorders>
              <w:top w:val="nil"/>
              <w:left w:val="nil"/>
              <w:bottom w:val="nil"/>
              <w:right w:val="nil"/>
            </w:tcBorders>
            <w:shd w:val="clear" w:color="000000" w:fill="FFFFFF"/>
            <w:noWrap/>
            <w:vAlign w:val="bottom"/>
          </w:tcPr>
          <w:p w:rsidR="009C350E" w:rsidRDefault="009C350E" w:rsidP="009C2764">
            <w:pPr>
              <w:rPr>
                <w:sz w:val="22"/>
                <w:szCs w:val="22"/>
              </w:rPr>
            </w:pPr>
            <w:r>
              <w:rPr>
                <w:sz w:val="22"/>
                <w:szCs w:val="22"/>
              </w:rPr>
              <w:t>To reflect appropriate amount for intangible plant.</w:t>
            </w:r>
          </w:p>
        </w:tc>
        <w:tc>
          <w:tcPr>
            <w:tcW w:w="0" w:type="auto"/>
            <w:tcBorders>
              <w:top w:val="nil"/>
              <w:left w:val="nil"/>
              <w:bottom w:val="nil"/>
              <w:right w:val="nil"/>
            </w:tcBorders>
            <w:shd w:val="clear" w:color="000000" w:fill="FFFFFF"/>
            <w:noWrap/>
            <w:vAlign w:val="bottom"/>
          </w:tcPr>
          <w:p w:rsidR="009C350E" w:rsidRPr="00C26C13" w:rsidRDefault="009C350E" w:rsidP="009C2764">
            <w:pPr>
              <w:jc w:val="right"/>
              <w:rPr>
                <w:sz w:val="22"/>
                <w:szCs w:val="22"/>
                <w:u w:val="single"/>
              </w:rPr>
            </w:pPr>
            <w:r w:rsidRPr="00C26C13">
              <w:rPr>
                <w:sz w:val="22"/>
                <w:szCs w:val="22"/>
                <w:u w:val="single"/>
              </w:rPr>
              <w:t>6,518,980</w:t>
            </w:r>
          </w:p>
        </w:tc>
        <w:tc>
          <w:tcPr>
            <w:tcW w:w="0" w:type="auto"/>
            <w:tcBorders>
              <w:top w:val="nil"/>
              <w:left w:val="nil"/>
              <w:bottom w:val="nil"/>
              <w:right w:val="nil"/>
            </w:tcBorders>
            <w:shd w:val="clear" w:color="000000" w:fill="FFFFFF"/>
            <w:noWrap/>
            <w:vAlign w:val="bottom"/>
          </w:tcPr>
          <w:p w:rsidR="009C350E" w:rsidRPr="00C26C13" w:rsidRDefault="009C350E" w:rsidP="009C2764">
            <w:pPr>
              <w:jc w:val="right"/>
              <w:rPr>
                <w:sz w:val="22"/>
                <w:szCs w:val="22"/>
                <w:u w:val="single"/>
              </w:rPr>
            </w:pPr>
            <w:r w:rsidRPr="00C26C13">
              <w:rPr>
                <w:sz w:val="22"/>
                <w:szCs w:val="22"/>
                <w:u w:val="single"/>
              </w:rPr>
              <w:t>19,232,745</w:t>
            </w:r>
          </w:p>
        </w:tc>
        <w:tc>
          <w:tcPr>
            <w:tcW w:w="0" w:type="auto"/>
            <w:tcBorders>
              <w:top w:val="nil"/>
              <w:left w:val="nil"/>
              <w:bottom w:val="nil"/>
              <w:right w:val="single" w:sz="4" w:space="0" w:color="auto"/>
            </w:tcBorders>
            <w:shd w:val="clear" w:color="000000" w:fill="FFFFFF"/>
            <w:noWrap/>
            <w:vAlign w:val="bottom"/>
          </w:tcPr>
          <w:p w:rsidR="009C350E" w:rsidRDefault="009C350E" w:rsidP="009C2764">
            <w:pPr>
              <w:rPr>
                <w:sz w:val="22"/>
                <w:szCs w:val="22"/>
              </w:rPr>
            </w:pP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tcPr>
          <w:p w:rsidR="009C350E" w:rsidRDefault="009C350E" w:rsidP="009C2764">
            <w:pPr>
              <w:jc w:val="center"/>
              <w:rPr>
                <w:sz w:val="22"/>
                <w:szCs w:val="22"/>
              </w:rPr>
            </w:pPr>
          </w:p>
        </w:tc>
        <w:tc>
          <w:tcPr>
            <w:tcW w:w="0" w:type="auto"/>
            <w:tcBorders>
              <w:top w:val="nil"/>
              <w:left w:val="nil"/>
              <w:bottom w:val="nil"/>
              <w:right w:val="nil"/>
            </w:tcBorders>
            <w:shd w:val="clear" w:color="000000" w:fill="FFFFFF"/>
            <w:noWrap/>
            <w:vAlign w:val="bottom"/>
          </w:tcPr>
          <w:p w:rsidR="009C350E" w:rsidRDefault="009C350E" w:rsidP="009C2764">
            <w:pPr>
              <w:rPr>
                <w:sz w:val="22"/>
                <w:szCs w:val="22"/>
              </w:rPr>
            </w:pPr>
            <w:r>
              <w:rPr>
                <w:b/>
                <w:bCs/>
                <w:sz w:val="22"/>
                <w:szCs w:val="22"/>
              </w:rPr>
              <w:t xml:space="preserve">    Total</w:t>
            </w:r>
          </w:p>
        </w:tc>
        <w:tc>
          <w:tcPr>
            <w:tcW w:w="0" w:type="auto"/>
            <w:tcBorders>
              <w:top w:val="nil"/>
              <w:left w:val="nil"/>
              <w:bottom w:val="nil"/>
              <w:right w:val="nil"/>
            </w:tcBorders>
            <w:shd w:val="clear" w:color="000000" w:fill="FFFFFF"/>
            <w:noWrap/>
            <w:vAlign w:val="bottom"/>
          </w:tcPr>
          <w:p w:rsidR="009C350E" w:rsidRPr="00970F52" w:rsidRDefault="009C350E" w:rsidP="009C2764">
            <w:pPr>
              <w:jc w:val="right"/>
              <w:rPr>
                <w:sz w:val="22"/>
                <w:szCs w:val="22"/>
                <w:u w:val="double"/>
              </w:rPr>
            </w:pPr>
            <w:r w:rsidRPr="00970F52">
              <w:rPr>
                <w:sz w:val="22"/>
                <w:szCs w:val="22"/>
                <w:u w:val="double"/>
              </w:rPr>
              <w:t xml:space="preserve">$10,444,042 </w:t>
            </w:r>
          </w:p>
        </w:tc>
        <w:tc>
          <w:tcPr>
            <w:tcW w:w="0" w:type="auto"/>
            <w:tcBorders>
              <w:top w:val="nil"/>
              <w:left w:val="nil"/>
              <w:bottom w:val="nil"/>
              <w:right w:val="nil"/>
            </w:tcBorders>
            <w:shd w:val="clear" w:color="000000" w:fill="FFFFFF"/>
            <w:noWrap/>
            <w:vAlign w:val="bottom"/>
          </w:tcPr>
          <w:p w:rsidR="009C350E" w:rsidRPr="00970F52" w:rsidRDefault="009C350E" w:rsidP="009C2764">
            <w:pPr>
              <w:jc w:val="right"/>
              <w:rPr>
                <w:sz w:val="22"/>
                <w:szCs w:val="22"/>
                <w:u w:val="double"/>
              </w:rPr>
            </w:pPr>
            <w:r w:rsidRPr="00970F52">
              <w:rPr>
                <w:sz w:val="22"/>
                <w:szCs w:val="22"/>
                <w:u w:val="double"/>
              </w:rPr>
              <w:t xml:space="preserve">$19,232,745 </w:t>
            </w:r>
          </w:p>
        </w:tc>
        <w:tc>
          <w:tcPr>
            <w:tcW w:w="0" w:type="auto"/>
            <w:tcBorders>
              <w:top w:val="nil"/>
              <w:left w:val="nil"/>
              <w:bottom w:val="nil"/>
              <w:right w:val="single" w:sz="4" w:space="0" w:color="auto"/>
            </w:tcBorders>
            <w:shd w:val="clear" w:color="000000" w:fill="FFFFFF"/>
            <w:noWrap/>
            <w:vAlign w:val="bottom"/>
          </w:tcPr>
          <w:p w:rsidR="009C350E" w:rsidRDefault="009C350E" w:rsidP="009C2764">
            <w:pPr>
              <w:rPr>
                <w:sz w:val="22"/>
                <w:szCs w:val="22"/>
              </w:rPr>
            </w:pP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Accumulated Depreciation</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right"/>
              <w:rPr>
                <w:sz w:val="22"/>
                <w:szCs w:val="22"/>
              </w:rPr>
            </w:pPr>
            <w:r>
              <w:rPr>
                <w:sz w:val="22"/>
                <w:szCs w:val="22"/>
              </w:rPr>
              <w:t> 1</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To reflect appropriate amount for meters.</w:t>
            </w:r>
          </w:p>
        </w:tc>
        <w:tc>
          <w:tcPr>
            <w:tcW w:w="0" w:type="auto"/>
            <w:tcBorders>
              <w:top w:val="nil"/>
              <w:left w:val="nil"/>
              <w:bottom w:val="nil"/>
              <w:right w:val="nil"/>
            </w:tcBorders>
            <w:shd w:val="clear" w:color="000000" w:fill="FFFFFF"/>
            <w:noWrap/>
            <w:vAlign w:val="bottom"/>
            <w:hideMark/>
          </w:tcPr>
          <w:p w:rsidR="009C350E" w:rsidRPr="00C26C13" w:rsidRDefault="009C350E" w:rsidP="009C2764">
            <w:pPr>
              <w:jc w:val="right"/>
              <w:rPr>
                <w:sz w:val="22"/>
                <w:szCs w:val="22"/>
              </w:rPr>
            </w:pPr>
            <w:r w:rsidRPr="00C26C13">
              <w:rPr>
                <w:sz w:val="22"/>
                <w:szCs w:val="22"/>
              </w:rPr>
              <w:t>($2,059,000)</w:t>
            </w:r>
          </w:p>
        </w:tc>
        <w:tc>
          <w:tcPr>
            <w:tcW w:w="0" w:type="auto"/>
            <w:tcBorders>
              <w:top w:val="nil"/>
              <w:left w:val="nil"/>
              <w:bottom w:val="nil"/>
              <w:right w:val="nil"/>
            </w:tcBorders>
            <w:shd w:val="clear" w:color="000000" w:fill="FFFFFF"/>
            <w:noWrap/>
            <w:vAlign w:val="bottom"/>
            <w:hideMark/>
          </w:tcPr>
          <w:p w:rsidR="009C350E" w:rsidRPr="00C26C13" w:rsidRDefault="009C350E" w:rsidP="009C2764">
            <w:pPr>
              <w:jc w:val="right"/>
              <w:rPr>
                <w:sz w:val="22"/>
                <w:szCs w:val="22"/>
              </w:rPr>
            </w:pPr>
            <w:r w:rsidRPr="00C26C13">
              <w:rPr>
                <w:sz w:val="22"/>
                <w:szCs w:val="22"/>
              </w:rPr>
              <w:t>$0</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tcPr>
          <w:p w:rsidR="009C350E" w:rsidRDefault="009C350E" w:rsidP="009C2764">
            <w:pPr>
              <w:jc w:val="right"/>
              <w:rPr>
                <w:sz w:val="22"/>
                <w:szCs w:val="22"/>
              </w:rPr>
            </w:pPr>
            <w:r>
              <w:rPr>
                <w:sz w:val="22"/>
                <w:szCs w:val="22"/>
              </w:rPr>
              <w:t>2</w:t>
            </w:r>
          </w:p>
        </w:tc>
        <w:tc>
          <w:tcPr>
            <w:tcW w:w="0" w:type="auto"/>
            <w:tcBorders>
              <w:top w:val="nil"/>
              <w:left w:val="nil"/>
              <w:bottom w:val="nil"/>
              <w:right w:val="nil"/>
            </w:tcBorders>
            <w:shd w:val="clear" w:color="000000" w:fill="FFFFFF"/>
            <w:noWrap/>
            <w:vAlign w:val="bottom"/>
          </w:tcPr>
          <w:p w:rsidR="009C350E" w:rsidRDefault="009C350E" w:rsidP="009C2764">
            <w:pPr>
              <w:rPr>
                <w:sz w:val="22"/>
                <w:szCs w:val="22"/>
              </w:rPr>
            </w:pPr>
            <w:r>
              <w:rPr>
                <w:sz w:val="22"/>
                <w:szCs w:val="22"/>
              </w:rPr>
              <w:t>To reflect appropriate amount for intangible plant.</w:t>
            </w:r>
          </w:p>
        </w:tc>
        <w:tc>
          <w:tcPr>
            <w:tcW w:w="0" w:type="auto"/>
            <w:tcBorders>
              <w:top w:val="nil"/>
              <w:left w:val="nil"/>
              <w:bottom w:val="nil"/>
              <w:right w:val="nil"/>
            </w:tcBorders>
            <w:shd w:val="clear" w:color="000000" w:fill="FFFFFF"/>
            <w:noWrap/>
            <w:vAlign w:val="bottom"/>
          </w:tcPr>
          <w:p w:rsidR="009C350E" w:rsidRPr="00C26C13" w:rsidRDefault="009C350E" w:rsidP="009C2764">
            <w:pPr>
              <w:jc w:val="right"/>
              <w:rPr>
                <w:sz w:val="22"/>
                <w:szCs w:val="22"/>
                <w:u w:val="single"/>
              </w:rPr>
            </w:pPr>
            <w:r w:rsidRPr="00C26C13">
              <w:rPr>
                <w:sz w:val="22"/>
                <w:szCs w:val="22"/>
                <w:u w:val="single"/>
              </w:rPr>
              <w:t>(2,689,079)</w:t>
            </w:r>
          </w:p>
        </w:tc>
        <w:tc>
          <w:tcPr>
            <w:tcW w:w="0" w:type="auto"/>
            <w:tcBorders>
              <w:top w:val="nil"/>
              <w:left w:val="nil"/>
              <w:bottom w:val="nil"/>
              <w:right w:val="nil"/>
            </w:tcBorders>
            <w:shd w:val="clear" w:color="000000" w:fill="FFFFFF"/>
            <w:noWrap/>
            <w:vAlign w:val="bottom"/>
          </w:tcPr>
          <w:p w:rsidR="009C350E" w:rsidRPr="00C26C13" w:rsidRDefault="009C350E" w:rsidP="009C2764">
            <w:pPr>
              <w:jc w:val="right"/>
              <w:rPr>
                <w:sz w:val="22"/>
                <w:szCs w:val="22"/>
                <w:u w:val="single"/>
              </w:rPr>
            </w:pPr>
            <w:r w:rsidRPr="00C26C13">
              <w:rPr>
                <w:sz w:val="22"/>
                <w:szCs w:val="22"/>
                <w:u w:val="single"/>
              </w:rPr>
              <w:t>(7,933,508)</w:t>
            </w:r>
          </w:p>
        </w:tc>
        <w:tc>
          <w:tcPr>
            <w:tcW w:w="0" w:type="auto"/>
            <w:tcBorders>
              <w:top w:val="nil"/>
              <w:left w:val="nil"/>
              <w:bottom w:val="nil"/>
              <w:right w:val="single" w:sz="4" w:space="0" w:color="auto"/>
            </w:tcBorders>
            <w:shd w:val="clear" w:color="000000" w:fill="FFFFFF"/>
            <w:noWrap/>
            <w:vAlign w:val="bottom"/>
          </w:tcPr>
          <w:p w:rsidR="009C350E" w:rsidRDefault="009C350E" w:rsidP="009C2764">
            <w:pPr>
              <w:rPr>
                <w:sz w:val="22"/>
                <w:szCs w:val="22"/>
              </w:rPr>
            </w:pP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tcPr>
          <w:p w:rsidR="009C350E" w:rsidRDefault="009C350E" w:rsidP="009C2764">
            <w:pPr>
              <w:jc w:val="center"/>
              <w:rPr>
                <w:sz w:val="22"/>
                <w:szCs w:val="22"/>
              </w:rPr>
            </w:pPr>
          </w:p>
        </w:tc>
        <w:tc>
          <w:tcPr>
            <w:tcW w:w="0" w:type="auto"/>
            <w:tcBorders>
              <w:top w:val="nil"/>
              <w:left w:val="nil"/>
              <w:bottom w:val="nil"/>
              <w:right w:val="nil"/>
            </w:tcBorders>
            <w:shd w:val="clear" w:color="000000" w:fill="FFFFFF"/>
            <w:noWrap/>
            <w:vAlign w:val="bottom"/>
          </w:tcPr>
          <w:p w:rsidR="009C350E" w:rsidRDefault="009C350E" w:rsidP="009C2764">
            <w:pPr>
              <w:rPr>
                <w:sz w:val="22"/>
                <w:szCs w:val="22"/>
              </w:rPr>
            </w:pPr>
            <w:r>
              <w:rPr>
                <w:b/>
                <w:bCs/>
                <w:sz w:val="22"/>
                <w:szCs w:val="22"/>
              </w:rPr>
              <w:t xml:space="preserve">    Total</w:t>
            </w:r>
          </w:p>
        </w:tc>
        <w:tc>
          <w:tcPr>
            <w:tcW w:w="0" w:type="auto"/>
            <w:tcBorders>
              <w:top w:val="nil"/>
              <w:left w:val="nil"/>
              <w:bottom w:val="nil"/>
              <w:right w:val="nil"/>
            </w:tcBorders>
            <w:shd w:val="clear" w:color="000000" w:fill="FFFFFF"/>
            <w:noWrap/>
            <w:vAlign w:val="bottom"/>
          </w:tcPr>
          <w:p w:rsidR="009C350E" w:rsidRPr="00970F52" w:rsidRDefault="009C350E" w:rsidP="009C2764">
            <w:pPr>
              <w:jc w:val="right"/>
              <w:rPr>
                <w:sz w:val="22"/>
                <w:szCs w:val="22"/>
                <w:u w:val="double"/>
              </w:rPr>
            </w:pPr>
            <w:r w:rsidRPr="00970F52">
              <w:rPr>
                <w:sz w:val="22"/>
                <w:szCs w:val="22"/>
                <w:u w:val="double"/>
              </w:rPr>
              <w:t>($4,748,078)</w:t>
            </w:r>
          </w:p>
        </w:tc>
        <w:tc>
          <w:tcPr>
            <w:tcW w:w="0" w:type="auto"/>
            <w:tcBorders>
              <w:top w:val="nil"/>
              <w:left w:val="nil"/>
              <w:bottom w:val="nil"/>
              <w:right w:val="nil"/>
            </w:tcBorders>
            <w:shd w:val="clear" w:color="000000" w:fill="FFFFFF"/>
            <w:noWrap/>
            <w:vAlign w:val="bottom"/>
          </w:tcPr>
          <w:p w:rsidR="009C350E" w:rsidRPr="00970F52" w:rsidRDefault="009C350E" w:rsidP="009C2764">
            <w:pPr>
              <w:jc w:val="right"/>
              <w:rPr>
                <w:sz w:val="22"/>
                <w:szCs w:val="22"/>
                <w:u w:val="double"/>
              </w:rPr>
            </w:pPr>
            <w:r w:rsidRPr="00970F52">
              <w:rPr>
                <w:sz w:val="22"/>
                <w:szCs w:val="22"/>
                <w:u w:val="double"/>
              </w:rPr>
              <w:t>($7,933,508)</w:t>
            </w:r>
          </w:p>
        </w:tc>
        <w:tc>
          <w:tcPr>
            <w:tcW w:w="0" w:type="auto"/>
            <w:tcBorders>
              <w:top w:val="nil"/>
              <w:left w:val="nil"/>
              <w:bottom w:val="nil"/>
              <w:right w:val="single" w:sz="4" w:space="0" w:color="auto"/>
            </w:tcBorders>
            <w:shd w:val="clear" w:color="000000" w:fill="FFFFFF"/>
            <w:noWrap/>
            <w:vAlign w:val="bottom"/>
          </w:tcPr>
          <w:p w:rsidR="009C350E" w:rsidRDefault="009C350E" w:rsidP="009C2764">
            <w:pPr>
              <w:rPr>
                <w:sz w:val="22"/>
                <w:szCs w:val="22"/>
              </w:rPr>
            </w:pP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CIAC</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To reflect appropriate level of CIAC.</w:t>
            </w:r>
          </w:p>
        </w:tc>
        <w:tc>
          <w:tcPr>
            <w:tcW w:w="0" w:type="auto"/>
            <w:tcBorders>
              <w:top w:val="nil"/>
              <w:left w:val="nil"/>
              <w:bottom w:val="nil"/>
              <w:right w:val="nil"/>
            </w:tcBorders>
            <w:shd w:val="clear" w:color="000000" w:fill="FFFFFF"/>
            <w:noWrap/>
            <w:vAlign w:val="bottom"/>
            <w:hideMark/>
          </w:tcPr>
          <w:p w:rsidR="009C350E" w:rsidRPr="00970F52" w:rsidRDefault="009C350E" w:rsidP="009C2764">
            <w:pPr>
              <w:jc w:val="right"/>
              <w:rPr>
                <w:sz w:val="22"/>
                <w:szCs w:val="22"/>
                <w:u w:val="double"/>
              </w:rPr>
            </w:pPr>
            <w:r w:rsidRPr="00970F52">
              <w:rPr>
                <w:sz w:val="22"/>
                <w:szCs w:val="22"/>
                <w:u w:val="double"/>
              </w:rPr>
              <w:t xml:space="preserve">$7,387,936 </w:t>
            </w:r>
          </w:p>
        </w:tc>
        <w:tc>
          <w:tcPr>
            <w:tcW w:w="0" w:type="auto"/>
            <w:tcBorders>
              <w:top w:val="nil"/>
              <w:left w:val="nil"/>
              <w:bottom w:val="nil"/>
              <w:right w:val="nil"/>
            </w:tcBorders>
            <w:shd w:val="clear" w:color="000000" w:fill="FFFFFF"/>
            <w:noWrap/>
            <w:vAlign w:val="bottom"/>
            <w:hideMark/>
          </w:tcPr>
          <w:p w:rsidR="009C350E" w:rsidRPr="00970F52" w:rsidRDefault="009C350E" w:rsidP="009C2764">
            <w:pPr>
              <w:jc w:val="right"/>
              <w:rPr>
                <w:sz w:val="22"/>
                <w:szCs w:val="22"/>
                <w:u w:val="double"/>
              </w:rPr>
            </w:pPr>
            <w:r w:rsidRPr="00970F52">
              <w:rPr>
                <w:sz w:val="22"/>
                <w:szCs w:val="22"/>
                <w:u w:val="double"/>
              </w:rPr>
              <w:t xml:space="preserve">$7,389,558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Accumulated Amortization of CIAC</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To reflect appropriate level of accumulated amortization of CIAC.</w:t>
            </w:r>
          </w:p>
        </w:tc>
        <w:tc>
          <w:tcPr>
            <w:tcW w:w="0" w:type="auto"/>
            <w:tcBorders>
              <w:top w:val="nil"/>
              <w:left w:val="nil"/>
              <w:bottom w:val="nil"/>
              <w:right w:val="nil"/>
            </w:tcBorders>
            <w:shd w:val="clear" w:color="000000" w:fill="FFFFFF"/>
            <w:noWrap/>
            <w:vAlign w:val="bottom"/>
            <w:hideMark/>
          </w:tcPr>
          <w:p w:rsidR="009C350E" w:rsidRPr="00970F52" w:rsidRDefault="009C350E" w:rsidP="009C2764">
            <w:pPr>
              <w:jc w:val="right"/>
              <w:rPr>
                <w:sz w:val="22"/>
                <w:szCs w:val="22"/>
                <w:u w:val="double"/>
              </w:rPr>
            </w:pPr>
            <w:r w:rsidRPr="00970F52">
              <w:rPr>
                <w:sz w:val="22"/>
                <w:szCs w:val="22"/>
                <w:u w:val="double"/>
              </w:rPr>
              <w:t xml:space="preserve">$2,214,149 </w:t>
            </w:r>
          </w:p>
        </w:tc>
        <w:tc>
          <w:tcPr>
            <w:tcW w:w="0" w:type="auto"/>
            <w:tcBorders>
              <w:top w:val="nil"/>
              <w:left w:val="nil"/>
              <w:bottom w:val="nil"/>
              <w:right w:val="nil"/>
            </w:tcBorders>
            <w:shd w:val="clear" w:color="000000" w:fill="FFFFFF"/>
            <w:noWrap/>
            <w:vAlign w:val="bottom"/>
            <w:hideMark/>
          </w:tcPr>
          <w:p w:rsidR="009C350E" w:rsidRPr="00970F52" w:rsidRDefault="009C350E" w:rsidP="009C2764">
            <w:pPr>
              <w:jc w:val="right"/>
              <w:rPr>
                <w:sz w:val="22"/>
                <w:szCs w:val="22"/>
                <w:u w:val="double"/>
              </w:rPr>
            </w:pPr>
            <w:r w:rsidRPr="00970F52">
              <w:rPr>
                <w:sz w:val="22"/>
                <w:szCs w:val="22"/>
                <w:u w:val="double"/>
              </w:rPr>
              <w:t xml:space="preserve">$703,217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Working Capital</w:t>
            </w:r>
          </w:p>
        </w:tc>
        <w:tc>
          <w:tcPr>
            <w:tcW w:w="0" w:type="auto"/>
            <w:tcBorders>
              <w:top w:val="nil"/>
              <w:left w:val="nil"/>
              <w:bottom w:val="nil"/>
              <w:right w:val="nil"/>
            </w:tcBorders>
            <w:shd w:val="clear" w:color="000000" w:fill="FFFFFF"/>
            <w:noWrap/>
            <w:vAlign w:val="bottom"/>
          </w:tcPr>
          <w:p w:rsidR="009C350E" w:rsidRDefault="009C350E" w:rsidP="009C2764">
            <w:pPr>
              <w:jc w:val="right"/>
              <w:rPr>
                <w:sz w:val="22"/>
                <w:szCs w:val="22"/>
                <w:u w:val="double"/>
              </w:rPr>
            </w:pPr>
          </w:p>
        </w:tc>
        <w:tc>
          <w:tcPr>
            <w:tcW w:w="0" w:type="auto"/>
            <w:tcBorders>
              <w:top w:val="nil"/>
              <w:left w:val="nil"/>
              <w:bottom w:val="nil"/>
              <w:right w:val="nil"/>
            </w:tcBorders>
            <w:shd w:val="clear" w:color="000000" w:fill="FFFFFF"/>
            <w:noWrap/>
            <w:vAlign w:val="bottom"/>
          </w:tcPr>
          <w:p w:rsidR="009C350E" w:rsidRDefault="009C350E" w:rsidP="009C2764">
            <w:pPr>
              <w:jc w:val="right"/>
              <w:rPr>
                <w:sz w:val="22"/>
                <w:szCs w:val="22"/>
                <w:u w:val="double"/>
              </w:rPr>
            </w:pP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0" w:type="auto"/>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To reflect appropriate level of working capital.</w:t>
            </w:r>
          </w:p>
        </w:tc>
        <w:tc>
          <w:tcPr>
            <w:tcW w:w="0" w:type="auto"/>
            <w:tcBorders>
              <w:top w:val="nil"/>
              <w:left w:val="nil"/>
              <w:bottom w:val="nil"/>
              <w:right w:val="nil"/>
            </w:tcBorders>
            <w:shd w:val="clear" w:color="000000" w:fill="FFFFFF"/>
            <w:noWrap/>
            <w:vAlign w:val="bottom"/>
            <w:hideMark/>
          </w:tcPr>
          <w:p w:rsidR="009C350E" w:rsidRDefault="009C350E" w:rsidP="009C2764">
            <w:pPr>
              <w:jc w:val="right"/>
              <w:rPr>
                <w:rFonts w:ascii="Arial" w:hAnsi="Arial" w:cs="Arial"/>
                <w:color w:val="000000"/>
                <w:sz w:val="20"/>
                <w:szCs w:val="20"/>
              </w:rPr>
            </w:pPr>
            <w:r>
              <w:rPr>
                <w:sz w:val="22"/>
                <w:szCs w:val="22"/>
                <w:u w:val="double"/>
              </w:rPr>
              <w:t>$18,800</w:t>
            </w:r>
          </w:p>
        </w:tc>
        <w:tc>
          <w:tcPr>
            <w:tcW w:w="0" w:type="auto"/>
            <w:tcBorders>
              <w:top w:val="nil"/>
              <w:left w:val="nil"/>
              <w:bottom w:val="nil"/>
              <w:right w:val="nil"/>
            </w:tcBorders>
            <w:shd w:val="clear" w:color="000000" w:fill="FFFFFF"/>
            <w:noWrap/>
            <w:vAlign w:val="bottom"/>
            <w:hideMark/>
          </w:tcPr>
          <w:p w:rsidR="009C350E" w:rsidRDefault="009C350E" w:rsidP="009C2764">
            <w:pPr>
              <w:jc w:val="right"/>
              <w:rPr>
                <w:rFonts w:ascii="Arial" w:hAnsi="Arial" w:cs="Arial"/>
                <w:color w:val="000000"/>
                <w:sz w:val="20"/>
                <w:szCs w:val="20"/>
              </w:rPr>
            </w:pPr>
            <w:r>
              <w:rPr>
                <w:sz w:val="22"/>
                <w:szCs w:val="22"/>
                <w:u w:val="double"/>
              </w:rPr>
              <w:t xml:space="preserve">$151,135 </w:t>
            </w:r>
          </w:p>
        </w:tc>
        <w:tc>
          <w:tcPr>
            <w:tcW w:w="0" w:type="auto"/>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u w:val="double"/>
              </w:rPr>
            </w:pPr>
          </w:p>
        </w:tc>
      </w:tr>
      <w:tr w:rsidR="009C350E" w:rsidTr="009C2764">
        <w:trPr>
          <w:trHeight w:val="300"/>
          <w:jc w:val="center"/>
        </w:trPr>
        <w:tc>
          <w:tcPr>
            <w:tcW w:w="0" w:type="auto"/>
            <w:tcBorders>
              <w:top w:val="nil"/>
              <w:left w:val="single" w:sz="4" w:space="0" w:color="auto"/>
              <w:bottom w:val="single" w:sz="4" w:space="0" w:color="auto"/>
              <w:right w:val="nil"/>
            </w:tcBorders>
            <w:shd w:val="clear" w:color="000000" w:fill="FFFFFF"/>
            <w:noWrap/>
            <w:vAlign w:val="bottom"/>
            <w:hideMark/>
          </w:tcPr>
          <w:p w:rsidR="009C350E" w:rsidRDefault="009C350E" w:rsidP="009C2764">
            <w:pPr>
              <w:jc w:val="center"/>
              <w:rPr>
                <w:sz w:val="22"/>
                <w:szCs w:val="22"/>
              </w:rPr>
            </w:pPr>
            <w:r>
              <w:rPr>
                <w:sz w:val="22"/>
                <w:szCs w:val="22"/>
              </w:rPr>
              <w:t> </w:t>
            </w:r>
          </w:p>
        </w:tc>
        <w:tc>
          <w:tcPr>
            <w:tcW w:w="0" w:type="auto"/>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bl>
    <w:p w:rsidR="009C350E" w:rsidRDefault="009C350E" w:rsidP="001F3A1D">
      <w:pPr>
        <w:pStyle w:val="BodyText"/>
      </w:pPr>
    </w:p>
    <w:p w:rsidR="009C350E" w:rsidRDefault="009C350E" w:rsidP="001F3A1D">
      <w:pPr>
        <w:pStyle w:val="BodyText"/>
        <w:sectPr w:rsidR="009C350E" w:rsidSect="0068481F">
          <w:headerReference w:type="default" r:id="rId34"/>
          <w:footerReference w:type="default" r:id="rId35"/>
          <w:pgSz w:w="12240" w:h="15840" w:code="1"/>
          <w:pgMar w:top="1584" w:right="1440" w:bottom="1440" w:left="1440" w:header="720" w:footer="720" w:gutter="0"/>
          <w:cols w:space="720"/>
          <w:formProt w:val="0"/>
          <w:docGrid w:linePitch="360"/>
        </w:sectPr>
      </w:pPr>
    </w:p>
    <w:p w:rsidR="009C350E" w:rsidRDefault="009C350E" w:rsidP="009C350E">
      <w:pPr>
        <w:pStyle w:val="BodyText"/>
      </w:pPr>
    </w:p>
    <w:tbl>
      <w:tblPr>
        <w:tblW w:w="13148" w:type="dxa"/>
        <w:jc w:val="center"/>
        <w:tblLayout w:type="fixed"/>
        <w:tblLook w:val="04A0" w:firstRow="1" w:lastRow="0" w:firstColumn="1" w:lastColumn="0" w:noHBand="0" w:noVBand="1"/>
      </w:tblPr>
      <w:tblGrid>
        <w:gridCol w:w="549"/>
        <w:gridCol w:w="2669"/>
        <w:gridCol w:w="1255"/>
        <w:gridCol w:w="1105"/>
        <w:gridCol w:w="1391"/>
        <w:gridCol w:w="1424"/>
        <w:gridCol w:w="1344"/>
        <w:gridCol w:w="1027"/>
        <w:gridCol w:w="924"/>
        <w:gridCol w:w="1163"/>
        <w:gridCol w:w="297"/>
      </w:tblGrid>
      <w:tr w:rsidR="009C350E" w:rsidTr="009C2764">
        <w:trPr>
          <w:trHeight w:val="300"/>
          <w:jc w:val="center"/>
        </w:trPr>
        <w:tc>
          <w:tcPr>
            <w:tcW w:w="4473" w:type="dxa"/>
            <w:gridSpan w:val="3"/>
            <w:tcBorders>
              <w:top w:val="single" w:sz="4" w:space="0" w:color="auto"/>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bookmarkStart w:id="29" w:name="RANGE!A4:J34"/>
            <w:r>
              <w:rPr>
                <w:rFonts w:ascii="Arial" w:hAnsi="Arial" w:cs="Arial"/>
                <w:b/>
                <w:bCs/>
              </w:rPr>
              <w:t>Middleton Utility Company, LLC</w:t>
            </w:r>
            <w:bookmarkEnd w:id="29"/>
          </w:p>
        </w:tc>
        <w:tc>
          <w:tcPr>
            <w:tcW w:w="1105" w:type="dxa"/>
            <w:tcBorders>
              <w:top w:val="single" w:sz="4" w:space="0" w:color="auto"/>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1391" w:type="dxa"/>
            <w:tcBorders>
              <w:top w:val="single" w:sz="4" w:space="0" w:color="auto"/>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1424" w:type="dxa"/>
            <w:tcBorders>
              <w:top w:val="single" w:sz="4" w:space="0" w:color="auto"/>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1344" w:type="dxa"/>
            <w:tcBorders>
              <w:top w:val="single" w:sz="4" w:space="0" w:color="auto"/>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3411" w:type="dxa"/>
            <w:gridSpan w:val="4"/>
            <w:tcBorders>
              <w:top w:val="single" w:sz="4" w:space="0" w:color="auto"/>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Schedule No. 2</w:t>
            </w:r>
          </w:p>
        </w:tc>
      </w:tr>
      <w:tr w:rsidR="009C350E" w:rsidTr="009C2764">
        <w:trPr>
          <w:trHeight w:val="300"/>
          <w:jc w:val="center"/>
        </w:trPr>
        <w:tc>
          <w:tcPr>
            <w:tcW w:w="5578" w:type="dxa"/>
            <w:gridSpan w:val="4"/>
            <w:tcBorders>
              <w:top w:val="nil"/>
              <w:left w:val="single" w:sz="4" w:space="0" w:color="auto"/>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Capital Structure-13-Month Average</w:t>
            </w:r>
          </w:p>
        </w:tc>
        <w:tc>
          <w:tcPr>
            <w:tcW w:w="1391" w:type="dxa"/>
            <w:tcBorders>
              <w:top w:val="nil"/>
              <w:left w:val="nil"/>
              <w:bottom w:val="nil"/>
              <w:right w:val="nil"/>
            </w:tcBorders>
            <w:shd w:val="clear" w:color="000000" w:fill="FFFFFF"/>
            <w:noWrap/>
            <w:vAlign w:val="bottom"/>
            <w:hideMark/>
          </w:tcPr>
          <w:p w:rsidR="009C350E" w:rsidRPr="007C1103" w:rsidRDefault="009C350E" w:rsidP="009C2764">
            <w:pPr>
              <w:rPr>
                <w:rFonts w:ascii="Arial" w:hAnsi="Arial" w:cs="Arial"/>
                <w:bCs/>
              </w:rPr>
            </w:pPr>
            <w:r w:rsidRPr="007C1103">
              <w:rPr>
                <w:rFonts w:ascii="Arial" w:hAnsi="Arial" w:cs="Arial"/>
                <w:bCs/>
              </w:rPr>
              <w:t> </w:t>
            </w:r>
          </w:p>
        </w:tc>
        <w:tc>
          <w:tcPr>
            <w:tcW w:w="1424" w:type="dxa"/>
            <w:tcBorders>
              <w:top w:val="nil"/>
              <w:left w:val="nil"/>
              <w:bottom w:val="nil"/>
              <w:right w:val="nil"/>
            </w:tcBorders>
            <w:shd w:val="clear" w:color="000000" w:fill="FFFFFF"/>
            <w:noWrap/>
            <w:vAlign w:val="bottom"/>
            <w:hideMark/>
          </w:tcPr>
          <w:p w:rsidR="009C350E" w:rsidRPr="007C1103" w:rsidRDefault="009C350E" w:rsidP="009C2764">
            <w:pPr>
              <w:rPr>
                <w:rFonts w:ascii="Arial" w:hAnsi="Arial" w:cs="Arial"/>
                <w:bCs/>
              </w:rPr>
            </w:pPr>
            <w:r w:rsidRPr="007C1103">
              <w:rPr>
                <w:rFonts w:ascii="Arial" w:hAnsi="Arial" w:cs="Arial"/>
                <w:bCs/>
              </w:rPr>
              <w:t> </w:t>
            </w:r>
          </w:p>
        </w:tc>
        <w:tc>
          <w:tcPr>
            <w:tcW w:w="1344"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3411" w:type="dxa"/>
            <w:gridSpan w:val="4"/>
            <w:tcBorders>
              <w:top w:val="nil"/>
              <w:left w:val="nil"/>
              <w:bottom w:val="nil"/>
              <w:right w:val="single" w:sz="4" w:space="0" w:color="000000"/>
            </w:tcBorders>
            <w:shd w:val="clear" w:color="000000" w:fill="FFFFFF"/>
            <w:noWrap/>
            <w:vAlign w:val="bottom"/>
            <w:hideMark/>
          </w:tcPr>
          <w:p w:rsidR="009C350E" w:rsidRDefault="009C350E" w:rsidP="009C2764">
            <w:pPr>
              <w:jc w:val="right"/>
              <w:rPr>
                <w:rFonts w:ascii="Arial" w:hAnsi="Arial" w:cs="Arial"/>
                <w:b/>
                <w:bCs/>
              </w:rPr>
            </w:pPr>
            <w:r>
              <w:rPr>
                <w:rFonts w:ascii="Arial" w:hAnsi="Arial" w:cs="Arial"/>
                <w:b/>
                <w:bCs/>
              </w:rPr>
              <w:t>20220088-WS</w:t>
            </w:r>
          </w:p>
        </w:tc>
      </w:tr>
      <w:tr w:rsidR="009C350E" w:rsidTr="009C2764">
        <w:trPr>
          <w:trHeight w:val="300"/>
          <w:jc w:val="center"/>
        </w:trPr>
        <w:tc>
          <w:tcPr>
            <w:tcW w:w="4473" w:type="dxa"/>
            <w:gridSpan w:val="3"/>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80% Design Capacity</w:t>
            </w:r>
          </w:p>
        </w:tc>
        <w:tc>
          <w:tcPr>
            <w:tcW w:w="1105"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1391" w:type="dxa"/>
            <w:tcBorders>
              <w:top w:val="nil"/>
              <w:left w:val="nil"/>
              <w:bottom w:val="nil"/>
              <w:right w:val="nil"/>
            </w:tcBorders>
            <w:shd w:val="clear" w:color="000000" w:fill="FFFFFF"/>
            <w:noWrap/>
            <w:vAlign w:val="bottom"/>
            <w:hideMark/>
          </w:tcPr>
          <w:p w:rsidR="009C350E" w:rsidRPr="007C1103" w:rsidRDefault="009C350E" w:rsidP="009C2764">
            <w:pPr>
              <w:rPr>
                <w:rFonts w:ascii="Arial" w:hAnsi="Arial" w:cs="Arial"/>
                <w:bCs/>
              </w:rPr>
            </w:pPr>
            <w:r w:rsidRPr="007C1103">
              <w:rPr>
                <w:rFonts w:ascii="Arial" w:hAnsi="Arial" w:cs="Arial"/>
                <w:bCs/>
              </w:rPr>
              <w:t> </w:t>
            </w:r>
          </w:p>
        </w:tc>
        <w:tc>
          <w:tcPr>
            <w:tcW w:w="1424" w:type="dxa"/>
            <w:tcBorders>
              <w:top w:val="nil"/>
              <w:left w:val="nil"/>
              <w:bottom w:val="nil"/>
              <w:right w:val="nil"/>
            </w:tcBorders>
            <w:shd w:val="clear" w:color="000000" w:fill="FFFFFF"/>
            <w:noWrap/>
            <w:vAlign w:val="bottom"/>
            <w:hideMark/>
          </w:tcPr>
          <w:p w:rsidR="009C350E" w:rsidRPr="007C1103" w:rsidRDefault="009C350E" w:rsidP="009C2764">
            <w:pPr>
              <w:rPr>
                <w:rFonts w:ascii="Arial" w:hAnsi="Arial" w:cs="Arial"/>
                <w:bCs/>
              </w:rPr>
            </w:pPr>
            <w:r w:rsidRPr="007C1103">
              <w:rPr>
                <w:rFonts w:ascii="Arial" w:hAnsi="Arial" w:cs="Arial"/>
                <w:bCs/>
              </w:rPr>
              <w:t> </w:t>
            </w:r>
          </w:p>
        </w:tc>
        <w:tc>
          <w:tcPr>
            <w:tcW w:w="1344"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1027"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924"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b/>
                <w:bCs/>
              </w:rPr>
            </w:pPr>
            <w:r>
              <w:rPr>
                <w:rFonts w:ascii="Arial" w:hAnsi="Arial" w:cs="Arial"/>
                <w:b/>
                <w:bCs/>
              </w:rPr>
              <w:t> </w:t>
            </w:r>
          </w:p>
        </w:tc>
        <w:tc>
          <w:tcPr>
            <w:tcW w:w="1163" w:type="dxa"/>
            <w:tcBorders>
              <w:top w:val="nil"/>
              <w:left w:val="nil"/>
              <w:bottom w:val="nil"/>
              <w:right w:val="nil"/>
            </w:tcBorders>
            <w:shd w:val="clear" w:color="000000" w:fill="FFFFFF"/>
            <w:noWrap/>
            <w:vAlign w:val="bottom"/>
            <w:hideMark/>
          </w:tcPr>
          <w:p w:rsidR="009C350E" w:rsidRDefault="009C350E" w:rsidP="009C2764">
            <w:pPr>
              <w:rPr>
                <w:rFonts w:ascii="Arial" w:hAnsi="Arial" w:cs="Arial"/>
              </w:rPr>
            </w:pPr>
            <w:r>
              <w:rPr>
                <w:rFonts w:ascii="Arial" w:hAnsi="Arial" w:cs="Arial"/>
              </w:rPr>
              <w:t> </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rFonts w:ascii="Arial" w:hAnsi="Arial" w:cs="Arial"/>
                <w:sz w:val="20"/>
                <w:szCs w:val="20"/>
              </w:rPr>
            </w:pPr>
            <w:r>
              <w:rPr>
                <w:rFonts w:ascii="Arial" w:hAnsi="Arial" w:cs="Arial"/>
                <w:sz w:val="20"/>
                <w:szCs w:val="20"/>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center"/>
            <w:hideMark/>
          </w:tcPr>
          <w:p w:rsidR="009C350E" w:rsidRDefault="009C350E" w:rsidP="009C2764">
            <w:pPr>
              <w:rPr>
                <w:b/>
                <w:bCs/>
                <w:sz w:val="22"/>
                <w:szCs w:val="22"/>
              </w:rPr>
            </w:pPr>
            <w:r>
              <w:rPr>
                <w:b/>
                <w:bCs/>
                <w:sz w:val="22"/>
                <w:szCs w:val="22"/>
              </w:rPr>
              <w:t> </w:t>
            </w:r>
          </w:p>
        </w:tc>
        <w:tc>
          <w:tcPr>
            <w:tcW w:w="2669" w:type="dxa"/>
            <w:vMerge w:val="restart"/>
            <w:tcBorders>
              <w:top w:val="nil"/>
              <w:left w:val="nil"/>
              <w:bottom w:val="single" w:sz="4" w:space="0" w:color="000000"/>
              <w:right w:val="nil"/>
            </w:tcBorders>
            <w:shd w:val="clear" w:color="000000" w:fill="FFFFFF"/>
            <w:noWrap/>
            <w:vAlign w:val="center"/>
            <w:hideMark/>
          </w:tcPr>
          <w:p w:rsidR="009C350E" w:rsidRDefault="009C350E" w:rsidP="009C2764">
            <w:pPr>
              <w:jc w:val="center"/>
              <w:rPr>
                <w:b/>
                <w:bCs/>
                <w:sz w:val="22"/>
                <w:szCs w:val="22"/>
              </w:rPr>
            </w:pPr>
            <w:r>
              <w:rPr>
                <w:b/>
                <w:bCs/>
                <w:sz w:val="22"/>
                <w:szCs w:val="22"/>
              </w:rPr>
              <w:t>Description</w:t>
            </w:r>
          </w:p>
        </w:tc>
        <w:tc>
          <w:tcPr>
            <w:tcW w:w="1255" w:type="dxa"/>
            <w:vMerge w:val="restart"/>
            <w:tcBorders>
              <w:top w:val="single" w:sz="4" w:space="0" w:color="auto"/>
              <w:left w:val="nil"/>
              <w:bottom w:val="single" w:sz="4" w:space="0" w:color="000000"/>
              <w:right w:val="nil"/>
            </w:tcBorders>
            <w:shd w:val="clear" w:color="000000" w:fill="FFFFFF"/>
            <w:vAlign w:val="center"/>
            <w:hideMark/>
          </w:tcPr>
          <w:p w:rsidR="009C350E" w:rsidRDefault="009C350E" w:rsidP="009C2764">
            <w:pPr>
              <w:jc w:val="center"/>
              <w:rPr>
                <w:b/>
                <w:bCs/>
                <w:sz w:val="22"/>
                <w:szCs w:val="22"/>
              </w:rPr>
            </w:pPr>
            <w:r>
              <w:rPr>
                <w:b/>
                <w:bCs/>
                <w:sz w:val="22"/>
                <w:szCs w:val="22"/>
              </w:rPr>
              <w:t>Total           Capital</w:t>
            </w:r>
          </w:p>
        </w:tc>
        <w:tc>
          <w:tcPr>
            <w:tcW w:w="1105" w:type="dxa"/>
            <w:vMerge w:val="restart"/>
            <w:tcBorders>
              <w:top w:val="single" w:sz="4" w:space="0" w:color="auto"/>
              <w:left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Specific</w:t>
            </w:r>
          </w:p>
          <w:p w:rsidR="009C350E" w:rsidRDefault="009C350E" w:rsidP="009C2764">
            <w:pPr>
              <w:jc w:val="center"/>
              <w:rPr>
                <w:b/>
                <w:bCs/>
                <w:sz w:val="22"/>
                <w:szCs w:val="22"/>
              </w:rPr>
            </w:pPr>
            <w:r>
              <w:rPr>
                <w:b/>
                <w:bCs/>
                <w:sz w:val="22"/>
                <w:szCs w:val="22"/>
              </w:rPr>
              <w:t>Adjust-</w:t>
            </w:r>
          </w:p>
          <w:p w:rsidR="009C350E" w:rsidRDefault="009C350E" w:rsidP="009C2764">
            <w:pPr>
              <w:jc w:val="center"/>
              <w:rPr>
                <w:b/>
                <w:bCs/>
                <w:sz w:val="22"/>
                <w:szCs w:val="22"/>
              </w:rPr>
            </w:pPr>
            <w:proofErr w:type="spellStart"/>
            <w:r>
              <w:rPr>
                <w:b/>
                <w:bCs/>
                <w:sz w:val="22"/>
                <w:szCs w:val="22"/>
              </w:rPr>
              <w:t>ments</w:t>
            </w:r>
            <w:proofErr w:type="spellEnd"/>
          </w:p>
        </w:tc>
        <w:tc>
          <w:tcPr>
            <w:tcW w:w="1391" w:type="dxa"/>
            <w:vMerge w:val="restart"/>
            <w:tcBorders>
              <w:top w:val="single" w:sz="4" w:space="0" w:color="auto"/>
              <w:left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Subtotal</w:t>
            </w:r>
          </w:p>
          <w:p w:rsidR="009C350E" w:rsidRDefault="009C350E" w:rsidP="009C2764">
            <w:pPr>
              <w:jc w:val="center"/>
              <w:rPr>
                <w:b/>
                <w:bCs/>
                <w:sz w:val="22"/>
                <w:szCs w:val="22"/>
              </w:rPr>
            </w:pPr>
            <w:r>
              <w:rPr>
                <w:b/>
                <w:bCs/>
                <w:sz w:val="22"/>
                <w:szCs w:val="22"/>
              </w:rPr>
              <w:t>Adjusted</w:t>
            </w:r>
          </w:p>
          <w:p w:rsidR="009C350E" w:rsidRDefault="009C350E" w:rsidP="009C2764">
            <w:pPr>
              <w:jc w:val="center"/>
              <w:rPr>
                <w:b/>
                <w:bCs/>
                <w:sz w:val="22"/>
                <w:szCs w:val="22"/>
              </w:rPr>
            </w:pPr>
            <w:r>
              <w:rPr>
                <w:b/>
                <w:bCs/>
                <w:sz w:val="22"/>
                <w:szCs w:val="22"/>
              </w:rPr>
              <w:t>Capital</w:t>
            </w:r>
          </w:p>
        </w:tc>
        <w:tc>
          <w:tcPr>
            <w:tcW w:w="1424" w:type="dxa"/>
            <w:vMerge w:val="restart"/>
            <w:tcBorders>
              <w:top w:val="single" w:sz="4" w:space="0" w:color="auto"/>
              <w:left w:val="nil"/>
              <w:right w:val="nil"/>
            </w:tcBorders>
            <w:shd w:val="clear" w:color="000000" w:fill="FFFFFF"/>
            <w:noWrap/>
            <w:vAlign w:val="center"/>
            <w:hideMark/>
          </w:tcPr>
          <w:p w:rsidR="009C350E" w:rsidRDefault="009C350E" w:rsidP="009C2764">
            <w:pPr>
              <w:jc w:val="center"/>
              <w:rPr>
                <w:b/>
                <w:bCs/>
                <w:sz w:val="22"/>
                <w:szCs w:val="22"/>
              </w:rPr>
            </w:pPr>
            <w:proofErr w:type="spellStart"/>
            <w:r>
              <w:rPr>
                <w:b/>
                <w:bCs/>
                <w:sz w:val="22"/>
                <w:szCs w:val="22"/>
              </w:rPr>
              <w:t>Prorata</w:t>
            </w:r>
            <w:proofErr w:type="spellEnd"/>
          </w:p>
          <w:p w:rsidR="009C350E" w:rsidRDefault="009C350E" w:rsidP="009C2764">
            <w:pPr>
              <w:jc w:val="center"/>
              <w:rPr>
                <w:b/>
                <w:bCs/>
                <w:sz w:val="22"/>
                <w:szCs w:val="22"/>
              </w:rPr>
            </w:pPr>
            <w:r>
              <w:rPr>
                <w:b/>
                <w:bCs/>
                <w:sz w:val="22"/>
                <w:szCs w:val="22"/>
              </w:rPr>
              <w:t>Adjust-</w:t>
            </w:r>
          </w:p>
          <w:p w:rsidR="009C350E" w:rsidRDefault="009C350E" w:rsidP="009C2764">
            <w:pPr>
              <w:jc w:val="center"/>
              <w:rPr>
                <w:b/>
                <w:bCs/>
                <w:sz w:val="22"/>
                <w:szCs w:val="22"/>
              </w:rPr>
            </w:pPr>
            <w:proofErr w:type="spellStart"/>
            <w:r>
              <w:rPr>
                <w:b/>
                <w:bCs/>
                <w:sz w:val="22"/>
                <w:szCs w:val="22"/>
              </w:rPr>
              <w:t>ments</w:t>
            </w:r>
            <w:proofErr w:type="spellEnd"/>
          </w:p>
        </w:tc>
        <w:tc>
          <w:tcPr>
            <w:tcW w:w="1344" w:type="dxa"/>
            <w:tcBorders>
              <w:top w:val="single" w:sz="4" w:space="0" w:color="auto"/>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Capital</w:t>
            </w:r>
          </w:p>
        </w:tc>
        <w:tc>
          <w:tcPr>
            <w:tcW w:w="1027" w:type="dxa"/>
            <w:vMerge w:val="restart"/>
            <w:tcBorders>
              <w:top w:val="single" w:sz="4" w:space="0" w:color="auto"/>
              <w:left w:val="nil"/>
              <w:bottom w:val="single" w:sz="4" w:space="0" w:color="000000"/>
              <w:right w:val="nil"/>
            </w:tcBorders>
            <w:shd w:val="clear" w:color="000000" w:fill="FFFFFF"/>
            <w:noWrap/>
            <w:vAlign w:val="center"/>
            <w:hideMark/>
          </w:tcPr>
          <w:p w:rsidR="009C350E" w:rsidRDefault="009C350E" w:rsidP="009C2764">
            <w:pPr>
              <w:jc w:val="center"/>
              <w:rPr>
                <w:b/>
                <w:bCs/>
                <w:sz w:val="22"/>
                <w:szCs w:val="22"/>
              </w:rPr>
            </w:pPr>
            <w:r>
              <w:rPr>
                <w:b/>
                <w:bCs/>
                <w:sz w:val="22"/>
                <w:szCs w:val="22"/>
              </w:rPr>
              <w:t>Ratio</w:t>
            </w:r>
          </w:p>
        </w:tc>
        <w:tc>
          <w:tcPr>
            <w:tcW w:w="924" w:type="dxa"/>
            <w:vMerge w:val="restart"/>
            <w:tcBorders>
              <w:top w:val="single" w:sz="4" w:space="0" w:color="auto"/>
              <w:left w:val="nil"/>
              <w:bottom w:val="single" w:sz="4" w:space="0" w:color="000000"/>
              <w:right w:val="nil"/>
            </w:tcBorders>
            <w:shd w:val="clear" w:color="000000" w:fill="FFFFFF"/>
            <w:vAlign w:val="center"/>
            <w:hideMark/>
          </w:tcPr>
          <w:p w:rsidR="009C350E" w:rsidRDefault="009C350E" w:rsidP="009C2764">
            <w:pPr>
              <w:jc w:val="center"/>
              <w:rPr>
                <w:b/>
                <w:bCs/>
                <w:sz w:val="22"/>
                <w:szCs w:val="22"/>
              </w:rPr>
            </w:pPr>
            <w:r>
              <w:rPr>
                <w:b/>
                <w:bCs/>
                <w:sz w:val="22"/>
                <w:szCs w:val="22"/>
              </w:rPr>
              <w:t>Cost Rate</w:t>
            </w:r>
          </w:p>
        </w:tc>
        <w:tc>
          <w:tcPr>
            <w:tcW w:w="1163" w:type="dxa"/>
            <w:vMerge w:val="restart"/>
            <w:tcBorders>
              <w:top w:val="single" w:sz="4" w:space="0" w:color="auto"/>
              <w:left w:val="nil"/>
              <w:bottom w:val="single" w:sz="4" w:space="0" w:color="000000"/>
              <w:right w:val="nil"/>
            </w:tcBorders>
            <w:shd w:val="clear" w:color="000000" w:fill="FFFFFF"/>
            <w:vAlign w:val="center"/>
            <w:hideMark/>
          </w:tcPr>
          <w:p w:rsidR="009C350E" w:rsidRDefault="009C350E" w:rsidP="009C2764">
            <w:pPr>
              <w:jc w:val="center"/>
              <w:rPr>
                <w:b/>
                <w:bCs/>
                <w:sz w:val="22"/>
                <w:szCs w:val="22"/>
              </w:rPr>
            </w:pPr>
            <w:r>
              <w:rPr>
                <w:b/>
                <w:bCs/>
                <w:sz w:val="22"/>
                <w:szCs w:val="22"/>
              </w:rPr>
              <w:t>Weighted Cost</w:t>
            </w:r>
          </w:p>
        </w:tc>
        <w:tc>
          <w:tcPr>
            <w:tcW w:w="297" w:type="dxa"/>
            <w:tcBorders>
              <w:top w:val="single" w:sz="4" w:space="0" w:color="auto"/>
              <w:left w:val="nil"/>
              <w:bottom w:val="nil"/>
              <w:right w:val="single" w:sz="4" w:space="0" w:color="auto"/>
            </w:tcBorders>
            <w:shd w:val="clear" w:color="000000" w:fill="FFFFFF"/>
            <w:noWrap/>
            <w:vAlign w:val="center"/>
            <w:hideMark/>
          </w:tcPr>
          <w:p w:rsidR="009C350E" w:rsidRDefault="009C350E" w:rsidP="009C2764">
            <w:pPr>
              <w:rPr>
                <w:b/>
                <w:bCs/>
                <w:sz w:val="22"/>
                <w:szCs w:val="22"/>
              </w:rPr>
            </w:pPr>
            <w:r>
              <w:rPr>
                <w:b/>
                <w:bCs/>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center"/>
            <w:hideMark/>
          </w:tcPr>
          <w:p w:rsidR="009C350E" w:rsidRDefault="009C350E" w:rsidP="009C2764">
            <w:pPr>
              <w:rPr>
                <w:b/>
                <w:bCs/>
                <w:sz w:val="22"/>
                <w:szCs w:val="22"/>
              </w:rPr>
            </w:pPr>
            <w:r>
              <w:rPr>
                <w:b/>
                <w:bCs/>
                <w:sz w:val="22"/>
                <w:szCs w:val="22"/>
              </w:rPr>
              <w:t> </w:t>
            </w:r>
          </w:p>
        </w:tc>
        <w:tc>
          <w:tcPr>
            <w:tcW w:w="2669" w:type="dxa"/>
            <w:vMerge/>
            <w:tcBorders>
              <w:top w:val="nil"/>
              <w:left w:val="nil"/>
              <w:bottom w:val="single" w:sz="4" w:space="0" w:color="000000"/>
              <w:right w:val="nil"/>
            </w:tcBorders>
            <w:vAlign w:val="center"/>
            <w:hideMark/>
          </w:tcPr>
          <w:p w:rsidR="009C350E" w:rsidRDefault="009C350E" w:rsidP="009C2764">
            <w:pPr>
              <w:rPr>
                <w:b/>
                <w:bCs/>
                <w:sz w:val="22"/>
                <w:szCs w:val="22"/>
              </w:rPr>
            </w:pPr>
          </w:p>
        </w:tc>
        <w:tc>
          <w:tcPr>
            <w:tcW w:w="1255"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1105" w:type="dxa"/>
            <w:vMerge/>
            <w:tcBorders>
              <w:left w:val="nil"/>
              <w:right w:val="nil"/>
            </w:tcBorders>
            <w:shd w:val="clear" w:color="000000" w:fill="FFFFFF"/>
            <w:noWrap/>
            <w:vAlign w:val="center"/>
            <w:hideMark/>
          </w:tcPr>
          <w:p w:rsidR="009C350E" w:rsidRDefault="009C350E" w:rsidP="009C2764">
            <w:pPr>
              <w:jc w:val="center"/>
              <w:rPr>
                <w:b/>
                <w:bCs/>
                <w:sz w:val="22"/>
                <w:szCs w:val="22"/>
              </w:rPr>
            </w:pPr>
          </w:p>
        </w:tc>
        <w:tc>
          <w:tcPr>
            <w:tcW w:w="1391" w:type="dxa"/>
            <w:vMerge/>
            <w:tcBorders>
              <w:left w:val="nil"/>
              <w:right w:val="nil"/>
            </w:tcBorders>
            <w:shd w:val="clear" w:color="000000" w:fill="FFFFFF"/>
            <w:noWrap/>
            <w:vAlign w:val="center"/>
            <w:hideMark/>
          </w:tcPr>
          <w:p w:rsidR="009C350E" w:rsidRDefault="009C350E" w:rsidP="009C2764">
            <w:pPr>
              <w:rPr>
                <w:b/>
                <w:bCs/>
                <w:sz w:val="22"/>
                <w:szCs w:val="22"/>
              </w:rPr>
            </w:pPr>
          </w:p>
        </w:tc>
        <w:tc>
          <w:tcPr>
            <w:tcW w:w="1424" w:type="dxa"/>
            <w:vMerge/>
            <w:tcBorders>
              <w:left w:val="nil"/>
              <w:right w:val="nil"/>
            </w:tcBorders>
            <w:shd w:val="clear" w:color="000000" w:fill="FFFFFF"/>
            <w:noWrap/>
            <w:vAlign w:val="center"/>
            <w:hideMark/>
          </w:tcPr>
          <w:p w:rsidR="009C350E" w:rsidRDefault="009C350E" w:rsidP="009C2764">
            <w:pPr>
              <w:rPr>
                <w:b/>
                <w:bCs/>
                <w:sz w:val="22"/>
                <w:szCs w:val="22"/>
              </w:rPr>
            </w:pPr>
          </w:p>
        </w:tc>
        <w:tc>
          <w:tcPr>
            <w:tcW w:w="1344" w:type="dxa"/>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Reconciled</w:t>
            </w:r>
          </w:p>
        </w:tc>
        <w:tc>
          <w:tcPr>
            <w:tcW w:w="1027"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924"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1163"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297" w:type="dxa"/>
            <w:tcBorders>
              <w:top w:val="nil"/>
              <w:left w:val="nil"/>
              <w:bottom w:val="nil"/>
              <w:right w:val="single" w:sz="4" w:space="0" w:color="auto"/>
            </w:tcBorders>
            <w:shd w:val="clear" w:color="000000" w:fill="FFFFFF"/>
            <w:noWrap/>
            <w:vAlign w:val="center"/>
            <w:hideMark/>
          </w:tcPr>
          <w:p w:rsidR="009C350E" w:rsidRDefault="009C350E" w:rsidP="009C2764">
            <w:pPr>
              <w:rPr>
                <w:b/>
                <w:bCs/>
                <w:sz w:val="22"/>
                <w:szCs w:val="22"/>
              </w:rPr>
            </w:pPr>
            <w:r>
              <w:rPr>
                <w:b/>
                <w:bCs/>
                <w:sz w:val="22"/>
                <w:szCs w:val="22"/>
              </w:rPr>
              <w:t> </w:t>
            </w:r>
          </w:p>
        </w:tc>
      </w:tr>
      <w:tr w:rsidR="009C350E" w:rsidTr="009C2764">
        <w:trPr>
          <w:trHeight w:val="300"/>
          <w:jc w:val="center"/>
        </w:trPr>
        <w:tc>
          <w:tcPr>
            <w:tcW w:w="549" w:type="dxa"/>
            <w:tcBorders>
              <w:top w:val="nil"/>
              <w:left w:val="single" w:sz="4" w:space="0" w:color="auto"/>
              <w:bottom w:val="single" w:sz="4" w:space="0" w:color="auto"/>
              <w:right w:val="nil"/>
            </w:tcBorders>
            <w:shd w:val="clear" w:color="000000" w:fill="FFFFFF"/>
            <w:noWrap/>
            <w:vAlign w:val="center"/>
            <w:hideMark/>
          </w:tcPr>
          <w:p w:rsidR="009C350E" w:rsidRDefault="009C350E" w:rsidP="009C2764">
            <w:pPr>
              <w:rPr>
                <w:b/>
                <w:bCs/>
                <w:sz w:val="22"/>
                <w:szCs w:val="22"/>
              </w:rPr>
            </w:pPr>
            <w:r>
              <w:rPr>
                <w:b/>
                <w:bCs/>
                <w:sz w:val="22"/>
                <w:szCs w:val="22"/>
              </w:rPr>
              <w:t> </w:t>
            </w:r>
          </w:p>
        </w:tc>
        <w:tc>
          <w:tcPr>
            <w:tcW w:w="2669" w:type="dxa"/>
            <w:vMerge/>
            <w:tcBorders>
              <w:top w:val="nil"/>
              <w:left w:val="nil"/>
              <w:bottom w:val="single" w:sz="4" w:space="0" w:color="000000"/>
              <w:right w:val="nil"/>
            </w:tcBorders>
            <w:vAlign w:val="center"/>
            <w:hideMark/>
          </w:tcPr>
          <w:p w:rsidR="009C350E" w:rsidRDefault="009C350E" w:rsidP="009C2764">
            <w:pPr>
              <w:rPr>
                <w:b/>
                <w:bCs/>
                <w:sz w:val="22"/>
                <w:szCs w:val="22"/>
              </w:rPr>
            </w:pPr>
          </w:p>
        </w:tc>
        <w:tc>
          <w:tcPr>
            <w:tcW w:w="1255"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1105" w:type="dxa"/>
            <w:vMerge/>
            <w:tcBorders>
              <w:left w:val="nil"/>
              <w:bottom w:val="single" w:sz="4" w:space="0" w:color="auto"/>
              <w:right w:val="nil"/>
            </w:tcBorders>
            <w:shd w:val="clear" w:color="000000" w:fill="FFFFFF"/>
            <w:noWrap/>
            <w:vAlign w:val="center"/>
            <w:hideMark/>
          </w:tcPr>
          <w:p w:rsidR="009C350E" w:rsidRDefault="009C350E" w:rsidP="009C2764">
            <w:pPr>
              <w:jc w:val="center"/>
              <w:rPr>
                <w:b/>
                <w:bCs/>
                <w:sz w:val="22"/>
                <w:szCs w:val="22"/>
              </w:rPr>
            </w:pPr>
          </w:p>
        </w:tc>
        <w:tc>
          <w:tcPr>
            <w:tcW w:w="1391" w:type="dxa"/>
            <w:vMerge/>
            <w:tcBorders>
              <w:left w:val="nil"/>
              <w:bottom w:val="single" w:sz="4" w:space="0" w:color="auto"/>
              <w:right w:val="nil"/>
            </w:tcBorders>
            <w:shd w:val="clear" w:color="000000" w:fill="FFFFFF"/>
            <w:noWrap/>
            <w:vAlign w:val="center"/>
            <w:hideMark/>
          </w:tcPr>
          <w:p w:rsidR="009C350E" w:rsidRDefault="009C350E" w:rsidP="009C2764">
            <w:pPr>
              <w:rPr>
                <w:b/>
                <w:bCs/>
                <w:sz w:val="22"/>
                <w:szCs w:val="22"/>
              </w:rPr>
            </w:pPr>
          </w:p>
        </w:tc>
        <w:tc>
          <w:tcPr>
            <w:tcW w:w="1424" w:type="dxa"/>
            <w:vMerge/>
            <w:tcBorders>
              <w:left w:val="nil"/>
              <w:bottom w:val="single" w:sz="4" w:space="0" w:color="auto"/>
              <w:right w:val="nil"/>
            </w:tcBorders>
            <w:shd w:val="clear" w:color="000000" w:fill="FFFFFF"/>
            <w:noWrap/>
            <w:vAlign w:val="center"/>
            <w:hideMark/>
          </w:tcPr>
          <w:p w:rsidR="009C350E" w:rsidRDefault="009C350E" w:rsidP="009C2764">
            <w:pPr>
              <w:rPr>
                <w:b/>
                <w:bCs/>
                <w:sz w:val="22"/>
                <w:szCs w:val="22"/>
              </w:rPr>
            </w:pPr>
          </w:p>
        </w:tc>
        <w:tc>
          <w:tcPr>
            <w:tcW w:w="1344" w:type="dxa"/>
            <w:tcBorders>
              <w:top w:val="nil"/>
              <w:left w:val="nil"/>
              <w:bottom w:val="single" w:sz="4" w:space="0" w:color="auto"/>
              <w:right w:val="nil"/>
            </w:tcBorders>
            <w:shd w:val="clear" w:color="000000" w:fill="FFFFFF"/>
            <w:noWrap/>
            <w:vAlign w:val="center"/>
            <w:hideMark/>
          </w:tcPr>
          <w:p w:rsidR="009C350E" w:rsidRDefault="009C350E" w:rsidP="009C2764">
            <w:pPr>
              <w:jc w:val="center"/>
              <w:rPr>
                <w:b/>
                <w:bCs/>
                <w:sz w:val="22"/>
                <w:szCs w:val="22"/>
              </w:rPr>
            </w:pPr>
            <w:r>
              <w:rPr>
                <w:b/>
                <w:bCs/>
                <w:sz w:val="22"/>
                <w:szCs w:val="22"/>
              </w:rPr>
              <w:t>to Rate Base</w:t>
            </w:r>
          </w:p>
        </w:tc>
        <w:tc>
          <w:tcPr>
            <w:tcW w:w="1027"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924"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1163" w:type="dxa"/>
            <w:vMerge/>
            <w:tcBorders>
              <w:top w:val="single" w:sz="4" w:space="0" w:color="auto"/>
              <w:left w:val="nil"/>
              <w:bottom w:val="single" w:sz="4" w:space="0" w:color="000000"/>
              <w:right w:val="nil"/>
            </w:tcBorders>
            <w:vAlign w:val="center"/>
            <w:hideMark/>
          </w:tcPr>
          <w:p w:rsidR="009C350E" w:rsidRDefault="009C350E" w:rsidP="009C2764">
            <w:pPr>
              <w:rPr>
                <w:b/>
                <w:bCs/>
                <w:sz w:val="22"/>
                <w:szCs w:val="22"/>
              </w:rPr>
            </w:pPr>
          </w:p>
        </w:tc>
        <w:tc>
          <w:tcPr>
            <w:tcW w:w="297" w:type="dxa"/>
            <w:tcBorders>
              <w:top w:val="nil"/>
              <w:left w:val="nil"/>
              <w:bottom w:val="single" w:sz="4" w:space="0" w:color="auto"/>
              <w:right w:val="single" w:sz="4" w:space="0" w:color="auto"/>
            </w:tcBorders>
            <w:shd w:val="clear" w:color="000000" w:fill="FFFFFF"/>
            <w:noWrap/>
            <w:vAlign w:val="center"/>
            <w:hideMark/>
          </w:tcPr>
          <w:p w:rsidR="009C350E" w:rsidRDefault="009C350E" w:rsidP="009C2764">
            <w:pPr>
              <w:jc w:val="center"/>
              <w:rPr>
                <w:b/>
                <w:bCs/>
                <w:sz w:val="22"/>
                <w:szCs w:val="22"/>
              </w:rPr>
            </w:pPr>
            <w:r>
              <w:rPr>
                <w:b/>
                <w:bCs/>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center"/>
            <w:hideMark/>
          </w:tcPr>
          <w:p w:rsidR="009C350E" w:rsidRDefault="009C350E" w:rsidP="009C2764">
            <w:pPr>
              <w:rPr>
                <w:b/>
                <w:bCs/>
                <w:sz w:val="22"/>
                <w:szCs w:val="22"/>
              </w:rPr>
            </w:pPr>
            <w:r>
              <w:rPr>
                <w:b/>
                <w:bCs/>
                <w:sz w:val="22"/>
                <w:szCs w:val="22"/>
              </w:rPr>
              <w:t> </w:t>
            </w:r>
          </w:p>
        </w:tc>
        <w:tc>
          <w:tcPr>
            <w:tcW w:w="2669" w:type="dxa"/>
            <w:tcBorders>
              <w:top w:val="nil"/>
              <w:left w:val="nil"/>
              <w:bottom w:val="nil"/>
              <w:right w:val="nil"/>
            </w:tcBorders>
            <w:shd w:val="clear" w:color="000000" w:fill="FFFFFF"/>
            <w:noWrap/>
            <w:vAlign w:val="center"/>
            <w:hideMark/>
          </w:tcPr>
          <w:p w:rsidR="009C350E" w:rsidRDefault="009C350E" w:rsidP="009C2764">
            <w:pPr>
              <w:rPr>
                <w:rFonts w:ascii="Arial" w:hAnsi="Arial" w:cs="Arial"/>
              </w:rPr>
            </w:pPr>
            <w:r>
              <w:rPr>
                <w:rFonts w:ascii="Arial" w:hAnsi="Arial" w:cs="Arial"/>
              </w:rPr>
              <w:t> </w:t>
            </w:r>
          </w:p>
        </w:tc>
        <w:tc>
          <w:tcPr>
            <w:tcW w:w="1255" w:type="dxa"/>
            <w:tcBorders>
              <w:top w:val="nil"/>
              <w:left w:val="nil"/>
              <w:bottom w:val="nil"/>
              <w:right w:val="nil"/>
            </w:tcBorders>
            <w:shd w:val="clear" w:color="000000" w:fill="FFFFFF"/>
            <w:vAlign w:val="center"/>
            <w:hideMark/>
          </w:tcPr>
          <w:p w:rsidR="009C350E" w:rsidRDefault="009C350E" w:rsidP="009C2764">
            <w:pPr>
              <w:rPr>
                <w:rFonts w:ascii="Arial" w:hAnsi="Arial" w:cs="Arial"/>
              </w:rPr>
            </w:pPr>
            <w:r>
              <w:rPr>
                <w:rFonts w:ascii="Arial" w:hAnsi="Arial" w:cs="Arial"/>
              </w:rPr>
              <w:t> </w:t>
            </w:r>
          </w:p>
        </w:tc>
        <w:tc>
          <w:tcPr>
            <w:tcW w:w="1105" w:type="dxa"/>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 </w:t>
            </w:r>
          </w:p>
        </w:tc>
        <w:tc>
          <w:tcPr>
            <w:tcW w:w="1391" w:type="dxa"/>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 </w:t>
            </w:r>
          </w:p>
        </w:tc>
        <w:tc>
          <w:tcPr>
            <w:tcW w:w="1424" w:type="dxa"/>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 </w:t>
            </w:r>
          </w:p>
        </w:tc>
        <w:tc>
          <w:tcPr>
            <w:tcW w:w="1344" w:type="dxa"/>
            <w:tcBorders>
              <w:top w:val="nil"/>
              <w:left w:val="nil"/>
              <w:bottom w:val="nil"/>
              <w:right w:val="nil"/>
            </w:tcBorders>
            <w:shd w:val="clear" w:color="000000" w:fill="FFFFFF"/>
            <w:noWrap/>
            <w:vAlign w:val="center"/>
            <w:hideMark/>
          </w:tcPr>
          <w:p w:rsidR="009C350E" w:rsidRDefault="009C350E" w:rsidP="009C2764">
            <w:pPr>
              <w:jc w:val="center"/>
              <w:rPr>
                <w:b/>
                <w:bCs/>
                <w:sz w:val="22"/>
                <w:szCs w:val="22"/>
              </w:rPr>
            </w:pPr>
            <w:r>
              <w:rPr>
                <w:b/>
                <w:bCs/>
                <w:sz w:val="22"/>
                <w:szCs w:val="22"/>
              </w:rPr>
              <w:t> </w:t>
            </w:r>
          </w:p>
        </w:tc>
        <w:tc>
          <w:tcPr>
            <w:tcW w:w="1027" w:type="dxa"/>
            <w:tcBorders>
              <w:top w:val="nil"/>
              <w:left w:val="nil"/>
              <w:bottom w:val="nil"/>
              <w:right w:val="nil"/>
            </w:tcBorders>
            <w:shd w:val="clear" w:color="000000" w:fill="FFFFFF"/>
            <w:noWrap/>
            <w:vAlign w:val="center"/>
            <w:hideMark/>
          </w:tcPr>
          <w:p w:rsidR="009C350E" w:rsidRDefault="009C350E" w:rsidP="009C2764">
            <w:pPr>
              <w:rPr>
                <w:rFonts w:ascii="Arial" w:hAnsi="Arial" w:cs="Arial"/>
              </w:rPr>
            </w:pPr>
            <w:r>
              <w:rPr>
                <w:rFonts w:ascii="Arial" w:hAnsi="Arial" w:cs="Arial"/>
              </w:rPr>
              <w:t> </w:t>
            </w:r>
          </w:p>
        </w:tc>
        <w:tc>
          <w:tcPr>
            <w:tcW w:w="924" w:type="dxa"/>
            <w:tcBorders>
              <w:top w:val="nil"/>
              <w:left w:val="nil"/>
              <w:bottom w:val="nil"/>
              <w:right w:val="nil"/>
            </w:tcBorders>
            <w:shd w:val="clear" w:color="000000" w:fill="FFFFFF"/>
            <w:vAlign w:val="center"/>
            <w:hideMark/>
          </w:tcPr>
          <w:p w:rsidR="009C350E" w:rsidRDefault="009C350E" w:rsidP="009C2764">
            <w:pPr>
              <w:rPr>
                <w:rFonts w:ascii="Arial" w:hAnsi="Arial" w:cs="Arial"/>
              </w:rPr>
            </w:pPr>
            <w:r>
              <w:rPr>
                <w:rFonts w:ascii="Arial" w:hAnsi="Arial" w:cs="Arial"/>
              </w:rPr>
              <w:t> </w:t>
            </w:r>
          </w:p>
        </w:tc>
        <w:tc>
          <w:tcPr>
            <w:tcW w:w="1163" w:type="dxa"/>
            <w:tcBorders>
              <w:top w:val="nil"/>
              <w:left w:val="nil"/>
              <w:bottom w:val="nil"/>
              <w:right w:val="nil"/>
            </w:tcBorders>
            <w:shd w:val="clear" w:color="000000" w:fill="FFFFFF"/>
            <w:vAlign w:val="center"/>
            <w:hideMark/>
          </w:tcPr>
          <w:p w:rsidR="009C350E" w:rsidRDefault="009C350E" w:rsidP="009C2764">
            <w:pPr>
              <w:rPr>
                <w:rFonts w:ascii="Arial" w:hAnsi="Arial" w:cs="Arial"/>
              </w:rPr>
            </w:pPr>
            <w:r>
              <w:rPr>
                <w:rFonts w:ascii="Arial" w:hAnsi="Arial" w:cs="Arial"/>
              </w:rPr>
              <w:t> </w:t>
            </w:r>
          </w:p>
        </w:tc>
        <w:tc>
          <w:tcPr>
            <w:tcW w:w="297" w:type="dxa"/>
            <w:tcBorders>
              <w:top w:val="nil"/>
              <w:left w:val="nil"/>
              <w:bottom w:val="nil"/>
              <w:right w:val="single" w:sz="4" w:space="0" w:color="auto"/>
            </w:tcBorders>
            <w:shd w:val="clear" w:color="000000" w:fill="FFFFFF"/>
            <w:noWrap/>
            <w:vAlign w:val="center"/>
            <w:hideMark/>
          </w:tcPr>
          <w:p w:rsidR="009C350E" w:rsidRDefault="009C350E" w:rsidP="009C2764">
            <w:pPr>
              <w:jc w:val="center"/>
              <w:rPr>
                <w:b/>
                <w:bCs/>
                <w:sz w:val="22"/>
                <w:szCs w:val="22"/>
              </w:rPr>
            </w:pPr>
            <w:r>
              <w:rPr>
                <w:b/>
                <w:bCs/>
                <w:sz w:val="22"/>
                <w:szCs w:val="22"/>
              </w:rPr>
              <w:t> </w:t>
            </w:r>
          </w:p>
        </w:tc>
      </w:tr>
      <w:tr w:rsidR="009C350E" w:rsidTr="009C2764">
        <w:trPr>
          <w:trHeight w:val="300"/>
          <w:jc w:val="center"/>
        </w:trPr>
        <w:tc>
          <w:tcPr>
            <w:tcW w:w="3218" w:type="dxa"/>
            <w:gridSpan w:val="2"/>
            <w:tcBorders>
              <w:top w:val="nil"/>
              <w:left w:val="single" w:sz="4" w:space="0" w:color="auto"/>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Per Staff</w:t>
            </w:r>
          </w:p>
        </w:tc>
        <w:tc>
          <w:tcPr>
            <w:tcW w:w="125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0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39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42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34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027"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92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63"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1</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Long-Term Debt</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2</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Short-Term Debt</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3</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Preferred Stock</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4</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Common Equity</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9,092,162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9,092,162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5,305,001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14,397,163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98.86%</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7.84%</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7.75%</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5</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Customer Deposits</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165,746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165,746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165,746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1.14%</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2.00%</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0.02%</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6</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Tax Credits-Zero Cost</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 xml:space="preserve">0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7</w:t>
            </w:r>
          </w:p>
        </w:tc>
        <w:tc>
          <w:tcPr>
            <w:tcW w:w="2669"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Deferred Income Taxes</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0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0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0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 xml:space="preserve">0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0.00%</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rPr>
            </w:pPr>
            <w:r>
              <w:rPr>
                <w:sz w:val="22"/>
                <w:szCs w:val="22"/>
              </w:rPr>
              <w:t>0.00%</w:t>
            </w: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single"/>
              </w:rPr>
            </w:pPr>
            <w:r>
              <w:rPr>
                <w:sz w:val="22"/>
                <w:szCs w:val="22"/>
                <w:u w:val="single"/>
              </w:rPr>
              <w:t>0.00%</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jc w:val="center"/>
              <w:rPr>
                <w:sz w:val="22"/>
                <w:szCs w:val="22"/>
              </w:rPr>
            </w:pPr>
            <w:r>
              <w:rPr>
                <w:sz w:val="22"/>
                <w:szCs w:val="22"/>
              </w:rPr>
              <w:t>8</w:t>
            </w:r>
          </w:p>
        </w:tc>
        <w:tc>
          <w:tcPr>
            <w:tcW w:w="2669" w:type="dxa"/>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Total Capital</w:t>
            </w:r>
          </w:p>
        </w:tc>
        <w:tc>
          <w:tcPr>
            <w:tcW w:w="1255"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$9,257,908 </w:t>
            </w:r>
          </w:p>
        </w:tc>
        <w:tc>
          <w:tcPr>
            <w:tcW w:w="1105"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$0 </w:t>
            </w:r>
          </w:p>
        </w:tc>
        <w:tc>
          <w:tcPr>
            <w:tcW w:w="1391"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$9,257,908 </w:t>
            </w:r>
          </w:p>
        </w:tc>
        <w:tc>
          <w:tcPr>
            <w:tcW w:w="142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$5,305,001 </w:t>
            </w:r>
          </w:p>
        </w:tc>
        <w:tc>
          <w:tcPr>
            <w:tcW w:w="134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 xml:space="preserve">$14,562,909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100.00%</w:t>
            </w:r>
          </w:p>
        </w:tc>
        <w:tc>
          <w:tcPr>
            <w:tcW w:w="924" w:type="dxa"/>
            <w:tcBorders>
              <w:top w:val="nil"/>
              <w:left w:val="nil"/>
              <w:bottom w:val="nil"/>
              <w:right w:val="nil"/>
            </w:tcBorders>
            <w:shd w:val="clear" w:color="000000" w:fill="FFFFFF"/>
            <w:noWrap/>
            <w:vAlign w:val="bottom"/>
            <w:hideMark/>
          </w:tcPr>
          <w:p w:rsidR="009C350E" w:rsidRDefault="009C350E" w:rsidP="009C2764">
            <w:pPr>
              <w:rPr>
                <w:sz w:val="22"/>
                <w:szCs w:val="22"/>
                <w:u w:val="double"/>
              </w:rPr>
            </w:pPr>
          </w:p>
        </w:tc>
        <w:tc>
          <w:tcPr>
            <w:tcW w:w="1163"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7.77%</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u w:val="double"/>
              </w:rPr>
            </w:pP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669"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0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39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42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34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027"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92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63"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669"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0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391"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424" w:type="dxa"/>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 </w:t>
            </w:r>
          </w:p>
        </w:tc>
        <w:tc>
          <w:tcPr>
            <w:tcW w:w="1344" w:type="dxa"/>
            <w:tcBorders>
              <w:top w:val="nil"/>
              <w:left w:val="nil"/>
              <w:bottom w:val="nil"/>
              <w:right w:val="nil"/>
            </w:tcBorders>
            <w:shd w:val="clear" w:color="000000" w:fill="FFFFFF"/>
            <w:noWrap/>
            <w:vAlign w:val="bottom"/>
            <w:hideMark/>
          </w:tcPr>
          <w:p w:rsidR="009C350E" w:rsidRDefault="009C350E" w:rsidP="009C2764">
            <w:pPr>
              <w:rPr>
                <w:b/>
                <w:bCs/>
                <w:sz w:val="22"/>
                <w:szCs w:val="22"/>
              </w:rPr>
            </w:pPr>
            <w:r>
              <w:rPr>
                <w:b/>
                <w:bCs/>
                <w:sz w:val="22"/>
                <w:szCs w:val="22"/>
              </w:rPr>
              <w:t> </w:t>
            </w:r>
          </w:p>
        </w:tc>
        <w:tc>
          <w:tcPr>
            <w:tcW w:w="1027"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u w:val="single"/>
              </w:rPr>
            </w:pPr>
            <w:r>
              <w:rPr>
                <w:b/>
                <w:bCs/>
                <w:sz w:val="22"/>
                <w:szCs w:val="22"/>
                <w:u w:val="single"/>
              </w:rPr>
              <w:t>LOW</w:t>
            </w:r>
          </w:p>
        </w:tc>
        <w:tc>
          <w:tcPr>
            <w:tcW w:w="924" w:type="dxa"/>
            <w:tcBorders>
              <w:top w:val="nil"/>
              <w:left w:val="nil"/>
              <w:bottom w:val="nil"/>
              <w:right w:val="nil"/>
            </w:tcBorders>
            <w:shd w:val="clear" w:color="000000" w:fill="FFFFFF"/>
            <w:noWrap/>
            <w:vAlign w:val="bottom"/>
            <w:hideMark/>
          </w:tcPr>
          <w:p w:rsidR="009C350E" w:rsidRDefault="009C350E" w:rsidP="009C2764">
            <w:pPr>
              <w:jc w:val="center"/>
              <w:rPr>
                <w:b/>
                <w:bCs/>
                <w:sz w:val="22"/>
                <w:szCs w:val="22"/>
                <w:u w:val="single"/>
              </w:rPr>
            </w:pPr>
            <w:r>
              <w:rPr>
                <w:b/>
                <w:bCs/>
                <w:sz w:val="22"/>
                <w:szCs w:val="22"/>
                <w:u w:val="single"/>
              </w:rPr>
              <w:t>HIGH</w:t>
            </w:r>
          </w:p>
        </w:tc>
        <w:tc>
          <w:tcPr>
            <w:tcW w:w="1163"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669"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0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2815" w:type="dxa"/>
            <w:gridSpan w:val="2"/>
            <w:tcBorders>
              <w:top w:val="nil"/>
              <w:left w:val="nil"/>
              <w:bottom w:val="nil"/>
              <w:right w:val="nil"/>
            </w:tcBorders>
            <w:shd w:val="clear" w:color="000000" w:fill="FFFFFF"/>
            <w:noWrap/>
            <w:vAlign w:val="bottom"/>
            <w:hideMark/>
          </w:tcPr>
          <w:p w:rsidR="009C350E" w:rsidRPr="007C1103" w:rsidRDefault="009C350E" w:rsidP="009C2764">
            <w:pPr>
              <w:rPr>
                <w:sz w:val="22"/>
                <w:szCs w:val="22"/>
              </w:rPr>
            </w:pPr>
            <w:r>
              <w:rPr>
                <w:sz w:val="22"/>
                <w:szCs w:val="22"/>
              </w:rPr>
              <w:t xml:space="preserve">   RETURN ON EQUITY</w:t>
            </w:r>
          </w:p>
        </w:tc>
        <w:tc>
          <w:tcPr>
            <w:tcW w:w="1344"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6.84%</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8.84%</w:t>
            </w:r>
          </w:p>
        </w:tc>
        <w:tc>
          <w:tcPr>
            <w:tcW w:w="1163"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669"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9C350E" w:rsidRDefault="009C350E" w:rsidP="009C2764">
            <w:pPr>
              <w:rPr>
                <w:color w:val="000000"/>
                <w:sz w:val="22"/>
                <w:szCs w:val="22"/>
              </w:rPr>
            </w:pPr>
            <w:r>
              <w:rPr>
                <w:color w:val="000000"/>
                <w:sz w:val="22"/>
                <w:szCs w:val="22"/>
              </w:rPr>
              <w:t> </w:t>
            </w:r>
          </w:p>
        </w:tc>
        <w:tc>
          <w:tcPr>
            <w:tcW w:w="1105"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4159" w:type="dxa"/>
            <w:gridSpan w:val="3"/>
            <w:tcBorders>
              <w:top w:val="nil"/>
              <w:left w:val="nil"/>
              <w:bottom w:val="nil"/>
              <w:right w:val="nil"/>
            </w:tcBorders>
            <w:shd w:val="clear" w:color="000000" w:fill="FFFFFF"/>
            <w:noWrap/>
            <w:vAlign w:val="bottom"/>
            <w:hideMark/>
          </w:tcPr>
          <w:p w:rsidR="009C350E" w:rsidRPr="0071571C" w:rsidRDefault="009C350E" w:rsidP="009C2764">
            <w:pPr>
              <w:rPr>
                <w:sz w:val="22"/>
                <w:szCs w:val="22"/>
              </w:rPr>
            </w:pPr>
            <w:r>
              <w:rPr>
                <w:sz w:val="22"/>
                <w:szCs w:val="22"/>
              </w:rPr>
              <w:t xml:space="preserve">   OVERALL RATE OF RETURN</w:t>
            </w:r>
          </w:p>
        </w:tc>
        <w:tc>
          <w:tcPr>
            <w:tcW w:w="1027"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6.78%</w:t>
            </w:r>
          </w:p>
        </w:tc>
        <w:tc>
          <w:tcPr>
            <w:tcW w:w="924" w:type="dxa"/>
            <w:tcBorders>
              <w:top w:val="nil"/>
              <w:left w:val="nil"/>
              <w:bottom w:val="nil"/>
              <w:right w:val="nil"/>
            </w:tcBorders>
            <w:shd w:val="clear" w:color="000000" w:fill="FFFFFF"/>
            <w:noWrap/>
            <w:vAlign w:val="bottom"/>
            <w:hideMark/>
          </w:tcPr>
          <w:p w:rsidR="009C350E" w:rsidRDefault="009C350E" w:rsidP="009C2764">
            <w:pPr>
              <w:jc w:val="right"/>
              <w:rPr>
                <w:sz w:val="22"/>
                <w:szCs w:val="22"/>
                <w:u w:val="double"/>
              </w:rPr>
            </w:pPr>
            <w:r>
              <w:rPr>
                <w:sz w:val="22"/>
                <w:szCs w:val="22"/>
                <w:u w:val="double"/>
              </w:rPr>
              <w:t>8.76%</w:t>
            </w:r>
          </w:p>
        </w:tc>
        <w:tc>
          <w:tcPr>
            <w:tcW w:w="1163" w:type="dxa"/>
            <w:tcBorders>
              <w:top w:val="nil"/>
              <w:left w:val="nil"/>
              <w:bottom w:val="nil"/>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97" w:type="dxa"/>
            <w:tcBorders>
              <w:top w:val="nil"/>
              <w:left w:val="nil"/>
              <w:bottom w:val="nil"/>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r w:rsidR="009C350E" w:rsidTr="009C2764">
        <w:trPr>
          <w:trHeight w:val="300"/>
          <w:jc w:val="center"/>
        </w:trPr>
        <w:tc>
          <w:tcPr>
            <w:tcW w:w="549" w:type="dxa"/>
            <w:tcBorders>
              <w:top w:val="nil"/>
              <w:left w:val="single" w:sz="4" w:space="0" w:color="auto"/>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669"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255"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105"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391"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424"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344"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027"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924"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1163" w:type="dxa"/>
            <w:tcBorders>
              <w:top w:val="nil"/>
              <w:left w:val="nil"/>
              <w:bottom w:val="single" w:sz="4" w:space="0" w:color="auto"/>
              <w:right w:val="nil"/>
            </w:tcBorders>
            <w:shd w:val="clear" w:color="000000" w:fill="FFFFFF"/>
            <w:noWrap/>
            <w:vAlign w:val="bottom"/>
            <w:hideMark/>
          </w:tcPr>
          <w:p w:rsidR="009C350E" w:rsidRDefault="009C350E" w:rsidP="009C2764">
            <w:pPr>
              <w:rPr>
                <w:sz w:val="22"/>
                <w:szCs w:val="22"/>
              </w:rPr>
            </w:pPr>
            <w:r>
              <w:rPr>
                <w:sz w:val="22"/>
                <w:szCs w:val="22"/>
              </w:rPr>
              <w:t> </w:t>
            </w:r>
          </w:p>
        </w:tc>
        <w:tc>
          <w:tcPr>
            <w:tcW w:w="297" w:type="dxa"/>
            <w:tcBorders>
              <w:top w:val="nil"/>
              <w:left w:val="nil"/>
              <w:bottom w:val="single" w:sz="4" w:space="0" w:color="auto"/>
              <w:right w:val="single" w:sz="4" w:space="0" w:color="auto"/>
            </w:tcBorders>
            <w:shd w:val="clear" w:color="000000" w:fill="FFFFFF"/>
            <w:noWrap/>
            <w:vAlign w:val="bottom"/>
            <w:hideMark/>
          </w:tcPr>
          <w:p w:rsidR="009C350E" w:rsidRDefault="009C350E" w:rsidP="009C2764">
            <w:pPr>
              <w:rPr>
                <w:sz w:val="22"/>
                <w:szCs w:val="22"/>
              </w:rPr>
            </w:pPr>
            <w:r>
              <w:rPr>
                <w:sz w:val="22"/>
                <w:szCs w:val="22"/>
              </w:rPr>
              <w:t> </w:t>
            </w:r>
          </w:p>
        </w:tc>
      </w:tr>
    </w:tbl>
    <w:p w:rsidR="009C350E" w:rsidRDefault="009C350E" w:rsidP="001F3A1D">
      <w:pPr>
        <w:pStyle w:val="BodyText"/>
      </w:pPr>
    </w:p>
    <w:p w:rsidR="009C2764" w:rsidRDefault="009C2764" w:rsidP="001F3A1D">
      <w:pPr>
        <w:pStyle w:val="BodyText"/>
        <w:sectPr w:rsidR="009C2764" w:rsidSect="009C350E">
          <w:headerReference w:type="default" r:id="rId36"/>
          <w:footerReference w:type="default" r:id="rId37"/>
          <w:pgSz w:w="15840" w:h="12240" w:orient="landscape" w:code="1"/>
          <w:pgMar w:top="1440" w:right="1584" w:bottom="1440" w:left="1440" w:header="720" w:footer="720" w:gutter="0"/>
          <w:cols w:space="720"/>
          <w:formProt w:val="0"/>
          <w:docGrid w:linePitch="360"/>
        </w:sectPr>
      </w:pPr>
    </w:p>
    <w:p w:rsidR="009C2764" w:rsidRDefault="009C2764" w:rsidP="001F3A1D">
      <w:pPr>
        <w:pStyle w:val="BodyText"/>
      </w:pPr>
    </w:p>
    <w:tbl>
      <w:tblPr>
        <w:tblW w:w="10007" w:type="dxa"/>
        <w:jc w:val="center"/>
        <w:tblLook w:val="04A0" w:firstRow="1" w:lastRow="0" w:firstColumn="1" w:lastColumn="0" w:noHBand="0" w:noVBand="1"/>
      </w:tblPr>
      <w:tblGrid>
        <w:gridCol w:w="436"/>
        <w:gridCol w:w="2799"/>
        <w:gridCol w:w="1350"/>
        <w:gridCol w:w="1260"/>
        <w:gridCol w:w="1206"/>
        <w:gridCol w:w="1224"/>
        <w:gridCol w:w="1451"/>
        <w:gridCol w:w="281"/>
      </w:tblGrid>
      <w:tr w:rsidR="009C2764" w:rsidTr="009C2764">
        <w:trPr>
          <w:trHeight w:val="300"/>
          <w:jc w:val="center"/>
        </w:trPr>
        <w:tc>
          <w:tcPr>
            <w:tcW w:w="4585" w:type="dxa"/>
            <w:gridSpan w:val="3"/>
            <w:tcBorders>
              <w:top w:val="single" w:sz="4" w:space="0" w:color="auto"/>
              <w:left w:val="single" w:sz="4" w:space="0" w:color="auto"/>
              <w:bottom w:val="nil"/>
              <w:right w:val="nil"/>
            </w:tcBorders>
            <w:shd w:val="clear" w:color="000000" w:fill="FFFFFF"/>
            <w:noWrap/>
            <w:vAlign w:val="bottom"/>
            <w:hideMark/>
          </w:tcPr>
          <w:p w:rsidR="009C2764" w:rsidRPr="00BD5913" w:rsidRDefault="009C2764" w:rsidP="009C2764">
            <w:pPr>
              <w:rPr>
                <w:rFonts w:ascii="Arial" w:hAnsi="Arial" w:cs="Arial"/>
                <w:b/>
                <w:bCs/>
              </w:rPr>
            </w:pPr>
            <w:bookmarkStart w:id="30" w:name="RANGE!A5:I32"/>
            <w:r>
              <w:rPr>
                <w:rFonts w:ascii="Arial" w:hAnsi="Arial" w:cs="Arial"/>
                <w:b/>
                <w:bCs/>
              </w:rPr>
              <w:t>Middleton Utility Company, LLC</w:t>
            </w:r>
            <w:bookmarkEnd w:id="30"/>
          </w:p>
        </w:tc>
        <w:tc>
          <w:tcPr>
            <w:tcW w:w="1260" w:type="dxa"/>
            <w:tcBorders>
              <w:top w:val="single" w:sz="4" w:space="0" w:color="auto"/>
              <w:left w:val="nil"/>
              <w:bottom w:val="nil"/>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1206" w:type="dxa"/>
            <w:tcBorders>
              <w:top w:val="single" w:sz="4" w:space="0" w:color="auto"/>
              <w:left w:val="nil"/>
              <w:bottom w:val="nil"/>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2954" w:type="dxa"/>
            <w:gridSpan w:val="3"/>
            <w:tcBorders>
              <w:top w:val="single" w:sz="4" w:space="0" w:color="auto"/>
              <w:left w:val="nil"/>
              <w:bottom w:val="nil"/>
              <w:right w:val="single" w:sz="4" w:space="0" w:color="000000"/>
            </w:tcBorders>
            <w:shd w:val="clear" w:color="000000" w:fill="FFFFFF"/>
            <w:noWrap/>
            <w:vAlign w:val="bottom"/>
            <w:hideMark/>
          </w:tcPr>
          <w:p w:rsidR="009C2764" w:rsidRDefault="009C2764" w:rsidP="009C2764">
            <w:pPr>
              <w:jc w:val="right"/>
              <w:rPr>
                <w:rFonts w:ascii="Arial" w:hAnsi="Arial" w:cs="Arial"/>
                <w:b/>
                <w:bCs/>
              </w:rPr>
            </w:pPr>
            <w:r>
              <w:rPr>
                <w:rFonts w:ascii="Arial" w:hAnsi="Arial" w:cs="Arial"/>
                <w:b/>
                <w:bCs/>
              </w:rPr>
              <w:t>Schedule No. 3-A</w:t>
            </w:r>
          </w:p>
        </w:tc>
      </w:tr>
      <w:tr w:rsidR="009C2764" w:rsidTr="009C2764">
        <w:trPr>
          <w:trHeight w:val="300"/>
          <w:jc w:val="center"/>
        </w:trPr>
        <w:tc>
          <w:tcPr>
            <w:tcW w:w="4585" w:type="dxa"/>
            <w:gridSpan w:val="3"/>
            <w:tcBorders>
              <w:top w:val="nil"/>
              <w:left w:val="single" w:sz="4" w:space="0" w:color="auto"/>
              <w:bottom w:val="nil"/>
              <w:right w:val="nil"/>
            </w:tcBorders>
            <w:shd w:val="clear" w:color="000000" w:fill="FFFFFF"/>
            <w:noWrap/>
            <w:vAlign w:val="bottom"/>
            <w:hideMark/>
          </w:tcPr>
          <w:p w:rsidR="009C2764" w:rsidRPr="00BD5913" w:rsidRDefault="009C2764" w:rsidP="009C2764">
            <w:pPr>
              <w:rPr>
                <w:rFonts w:ascii="Arial" w:hAnsi="Arial" w:cs="Arial"/>
                <w:b/>
                <w:bCs/>
              </w:rPr>
            </w:pPr>
            <w:r>
              <w:rPr>
                <w:rFonts w:ascii="Arial" w:hAnsi="Arial" w:cs="Arial"/>
                <w:b/>
                <w:bCs/>
              </w:rPr>
              <w:t>Statement of Water Operations</w:t>
            </w:r>
          </w:p>
        </w:tc>
        <w:tc>
          <w:tcPr>
            <w:tcW w:w="1260" w:type="dxa"/>
            <w:tcBorders>
              <w:top w:val="nil"/>
              <w:left w:val="nil"/>
              <w:bottom w:val="nil"/>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2954" w:type="dxa"/>
            <w:gridSpan w:val="3"/>
            <w:tcBorders>
              <w:top w:val="nil"/>
              <w:left w:val="nil"/>
              <w:bottom w:val="nil"/>
              <w:right w:val="single" w:sz="4" w:space="0" w:color="000000"/>
            </w:tcBorders>
            <w:shd w:val="clear" w:color="000000" w:fill="FFFFFF"/>
            <w:noWrap/>
            <w:vAlign w:val="bottom"/>
            <w:hideMark/>
          </w:tcPr>
          <w:p w:rsidR="009C2764" w:rsidRDefault="009C2764" w:rsidP="009C2764">
            <w:pPr>
              <w:jc w:val="right"/>
              <w:rPr>
                <w:rFonts w:ascii="Arial" w:hAnsi="Arial" w:cs="Arial"/>
                <w:b/>
                <w:bCs/>
              </w:rPr>
            </w:pPr>
            <w:r>
              <w:rPr>
                <w:rFonts w:ascii="Arial" w:hAnsi="Arial" w:cs="Arial"/>
                <w:b/>
                <w:bCs/>
              </w:rPr>
              <w:t>20220088-WS</w:t>
            </w:r>
          </w:p>
        </w:tc>
      </w:tr>
      <w:tr w:rsidR="009C2764" w:rsidTr="009C2764">
        <w:trPr>
          <w:trHeight w:val="300"/>
          <w:jc w:val="center"/>
        </w:trPr>
        <w:tc>
          <w:tcPr>
            <w:tcW w:w="3235" w:type="dxa"/>
            <w:gridSpan w:val="2"/>
            <w:tcBorders>
              <w:top w:val="nil"/>
              <w:left w:val="single" w:sz="4" w:space="0" w:color="auto"/>
              <w:bottom w:val="single" w:sz="4" w:space="0" w:color="auto"/>
              <w:right w:val="nil"/>
            </w:tcBorders>
            <w:shd w:val="clear" w:color="auto" w:fill="auto"/>
            <w:noWrap/>
            <w:vAlign w:val="bottom"/>
            <w:hideMark/>
          </w:tcPr>
          <w:p w:rsidR="009C2764" w:rsidRDefault="009C2764" w:rsidP="009C2764">
            <w:pPr>
              <w:rPr>
                <w:rFonts w:ascii="Arial" w:hAnsi="Arial" w:cs="Arial"/>
                <w:b/>
                <w:bCs/>
              </w:rPr>
            </w:pPr>
            <w:r>
              <w:rPr>
                <w:rFonts w:ascii="Arial" w:hAnsi="Arial" w:cs="Arial"/>
                <w:b/>
                <w:bCs/>
              </w:rPr>
              <w:t>80% of Design Capacity</w:t>
            </w:r>
          </w:p>
        </w:tc>
        <w:tc>
          <w:tcPr>
            <w:tcW w:w="1350" w:type="dxa"/>
            <w:tcBorders>
              <w:top w:val="nil"/>
              <w:left w:val="nil"/>
              <w:bottom w:val="single" w:sz="4" w:space="0" w:color="auto"/>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1260" w:type="dxa"/>
            <w:tcBorders>
              <w:top w:val="nil"/>
              <w:left w:val="nil"/>
              <w:bottom w:val="single" w:sz="4" w:space="0" w:color="auto"/>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1206" w:type="dxa"/>
            <w:tcBorders>
              <w:top w:val="nil"/>
              <w:left w:val="nil"/>
              <w:bottom w:val="single" w:sz="4" w:space="0" w:color="auto"/>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1224" w:type="dxa"/>
            <w:tcBorders>
              <w:top w:val="nil"/>
              <w:left w:val="nil"/>
              <w:bottom w:val="single" w:sz="4" w:space="0" w:color="auto"/>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c>
          <w:tcPr>
            <w:tcW w:w="281" w:type="dxa"/>
            <w:tcBorders>
              <w:top w:val="nil"/>
              <w:left w:val="nil"/>
              <w:bottom w:val="single" w:sz="4" w:space="0" w:color="auto"/>
              <w:right w:val="single" w:sz="4" w:space="0" w:color="auto"/>
            </w:tcBorders>
            <w:shd w:val="clear" w:color="000000" w:fill="FFFFFF"/>
            <w:noWrap/>
            <w:vAlign w:val="bottom"/>
            <w:hideMark/>
          </w:tcPr>
          <w:p w:rsidR="009C2764" w:rsidRDefault="009C2764" w:rsidP="009C2764">
            <w:pPr>
              <w:rPr>
                <w:rFonts w:ascii="SWISS" w:hAnsi="SWISS" w:cs="Arial"/>
                <w:b/>
                <w:bCs/>
              </w:rPr>
            </w:pPr>
            <w:r>
              <w:rPr>
                <w:rFonts w:ascii="SWISS" w:hAnsi="SWISS" w:cs="Arial"/>
                <w:b/>
                <w:bCs/>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rPr>
                <w:b/>
                <w:bCs/>
                <w:sz w:val="22"/>
                <w:szCs w:val="22"/>
              </w:rPr>
            </w:pPr>
            <w:r>
              <w:rPr>
                <w:b/>
                <w:bCs/>
                <w:sz w:val="22"/>
                <w:szCs w:val="22"/>
              </w:rPr>
              <w:t> </w:t>
            </w:r>
          </w:p>
        </w:tc>
        <w:tc>
          <w:tcPr>
            <w:tcW w:w="2799"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Description</w:t>
            </w:r>
          </w:p>
        </w:tc>
        <w:tc>
          <w:tcPr>
            <w:tcW w:w="1350"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Proposed      Per Utility</w:t>
            </w:r>
          </w:p>
        </w:tc>
        <w:tc>
          <w:tcPr>
            <w:tcW w:w="1260"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 xml:space="preserve">Staff      Adjust-    </w:t>
            </w:r>
            <w:proofErr w:type="spellStart"/>
            <w:r>
              <w:rPr>
                <w:b/>
                <w:bCs/>
                <w:sz w:val="22"/>
                <w:szCs w:val="22"/>
              </w:rPr>
              <w:t>ments</w:t>
            </w:r>
            <w:proofErr w:type="spellEnd"/>
          </w:p>
        </w:tc>
        <w:tc>
          <w:tcPr>
            <w:tcW w:w="1206"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 xml:space="preserve">Staff  Adjusted  </w:t>
            </w:r>
          </w:p>
        </w:tc>
        <w:tc>
          <w:tcPr>
            <w:tcW w:w="1224"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Revenue Increase</w:t>
            </w:r>
          </w:p>
        </w:tc>
        <w:tc>
          <w:tcPr>
            <w:tcW w:w="1451"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Revenue Requirement</w:t>
            </w:r>
          </w:p>
        </w:tc>
        <w:tc>
          <w:tcPr>
            <w:tcW w:w="281" w:type="dxa"/>
            <w:tcBorders>
              <w:top w:val="nil"/>
              <w:left w:val="nil"/>
              <w:bottom w:val="nil"/>
              <w:right w:val="single" w:sz="4" w:space="0" w:color="auto"/>
            </w:tcBorders>
            <w:shd w:val="clear" w:color="auto" w:fill="auto"/>
            <w:noWrap/>
            <w:vAlign w:val="bottom"/>
            <w:hideMark/>
          </w:tcPr>
          <w:p w:rsidR="009C2764" w:rsidRDefault="009C2764" w:rsidP="009C2764">
            <w:pPr>
              <w:rPr>
                <w:b/>
                <w:bCs/>
                <w:sz w:val="22"/>
                <w:szCs w:val="22"/>
              </w:rPr>
            </w:pPr>
            <w:r>
              <w:rPr>
                <w:b/>
                <w:bCs/>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rPr>
                <w:b/>
                <w:bCs/>
                <w:sz w:val="22"/>
                <w:szCs w:val="22"/>
              </w:rPr>
            </w:pPr>
            <w:r>
              <w:rPr>
                <w:b/>
                <w:bCs/>
                <w:sz w:val="22"/>
                <w:szCs w:val="22"/>
              </w:rPr>
              <w:t> </w:t>
            </w:r>
          </w:p>
        </w:tc>
        <w:tc>
          <w:tcPr>
            <w:tcW w:w="2799" w:type="dxa"/>
            <w:vMerge/>
            <w:tcBorders>
              <w:top w:val="nil"/>
              <w:left w:val="nil"/>
              <w:bottom w:val="nil"/>
              <w:right w:val="nil"/>
            </w:tcBorders>
            <w:vAlign w:val="center"/>
            <w:hideMark/>
          </w:tcPr>
          <w:p w:rsidR="009C2764" w:rsidRDefault="009C2764" w:rsidP="009C2764">
            <w:pPr>
              <w:rPr>
                <w:b/>
                <w:bCs/>
                <w:sz w:val="22"/>
                <w:szCs w:val="22"/>
              </w:rPr>
            </w:pPr>
          </w:p>
        </w:tc>
        <w:tc>
          <w:tcPr>
            <w:tcW w:w="1350" w:type="dxa"/>
            <w:vMerge/>
            <w:tcBorders>
              <w:top w:val="nil"/>
              <w:left w:val="nil"/>
              <w:bottom w:val="nil"/>
              <w:right w:val="nil"/>
            </w:tcBorders>
            <w:vAlign w:val="center"/>
            <w:hideMark/>
          </w:tcPr>
          <w:p w:rsidR="009C2764" w:rsidRDefault="009C2764" w:rsidP="009C2764">
            <w:pPr>
              <w:rPr>
                <w:b/>
                <w:bCs/>
                <w:sz w:val="22"/>
                <w:szCs w:val="22"/>
              </w:rPr>
            </w:pPr>
          </w:p>
        </w:tc>
        <w:tc>
          <w:tcPr>
            <w:tcW w:w="1260" w:type="dxa"/>
            <w:vMerge/>
            <w:tcBorders>
              <w:top w:val="nil"/>
              <w:left w:val="nil"/>
              <w:bottom w:val="nil"/>
              <w:right w:val="nil"/>
            </w:tcBorders>
            <w:vAlign w:val="center"/>
            <w:hideMark/>
          </w:tcPr>
          <w:p w:rsidR="009C2764" w:rsidRDefault="009C2764" w:rsidP="009C2764">
            <w:pPr>
              <w:rPr>
                <w:b/>
                <w:bCs/>
                <w:sz w:val="22"/>
                <w:szCs w:val="22"/>
              </w:rPr>
            </w:pPr>
          </w:p>
        </w:tc>
        <w:tc>
          <w:tcPr>
            <w:tcW w:w="1206" w:type="dxa"/>
            <w:vMerge/>
            <w:tcBorders>
              <w:top w:val="nil"/>
              <w:left w:val="nil"/>
              <w:bottom w:val="nil"/>
              <w:right w:val="nil"/>
            </w:tcBorders>
            <w:vAlign w:val="center"/>
            <w:hideMark/>
          </w:tcPr>
          <w:p w:rsidR="009C2764" w:rsidRDefault="009C2764" w:rsidP="009C2764">
            <w:pPr>
              <w:rPr>
                <w:b/>
                <w:bCs/>
                <w:sz w:val="22"/>
                <w:szCs w:val="22"/>
              </w:rPr>
            </w:pPr>
          </w:p>
        </w:tc>
        <w:tc>
          <w:tcPr>
            <w:tcW w:w="1224" w:type="dxa"/>
            <w:vMerge/>
            <w:tcBorders>
              <w:top w:val="nil"/>
              <w:left w:val="nil"/>
              <w:bottom w:val="nil"/>
              <w:right w:val="nil"/>
            </w:tcBorders>
            <w:vAlign w:val="center"/>
            <w:hideMark/>
          </w:tcPr>
          <w:p w:rsidR="009C2764" w:rsidRDefault="009C2764" w:rsidP="009C2764">
            <w:pPr>
              <w:rPr>
                <w:b/>
                <w:bCs/>
                <w:sz w:val="22"/>
                <w:szCs w:val="22"/>
              </w:rPr>
            </w:pPr>
          </w:p>
        </w:tc>
        <w:tc>
          <w:tcPr>
            <w:tcW w:w="1451" w:type="dxa"/>
            <w:vMerge/>
            <w:tcBorders>
              <w:top w:val="nil"/>
              <w:left w:val="nil"/>
              <w:bottom w:val="nil"/>
              <w:right w:val="nil"/>
            </w:tcBorders>
            <w:vAlign w:val="center"/>
            <w:hideMark/>
          </w:tcPr>
          <w:p w:rsidR="009C2764" w:rsidRDefault="009C2764" w:rsidP="009C2764">
            <w:pPr>
              <w:rPr>
                <w:b/>
                <w:bCs/>
                <w:sz w:val="22"/>
                <w:szCs w:val="22"/>
              </w:rPr>
            </w:pPr>
          </w:p>
        </w:tc>
        <w:tc>
          <w:tcPr>
            <w:tcW w:w="281" w:type="dxa"/>
            <w:tcBorders>
              <w:top w:val="nil"/>
              <w:left w:val="nil"/>
              <w:bottom w:val="nil"/>
              <w:right w:val="single" w:sz="4" w:space="0" w:color="auto"/>
            </w:tcBorders>
            <w:shd w:val="clear" w:color="auto" w:fill="auto"/>
            <w:noWrap/>
            <w:vAlign w:val="bottom"/>
            <w:hideMark/>
          </w:tcPr>
          <w:p w:rsidR="009C2764" w:rsidRDefault="009C2764" w:rsidP="009C2764">
            <w:pPr>
              <w:jc w:val="center"/>
              <w:rPr>
                <w:b/>
                <w:bCs/>
                <w:sz w:val="22"/>
                <w:szCs w:val="22"/>
              </w:rPr>
            </w:pPr>
            <w:r>
              <w:rPr>
                <w:b/>
                <w:bCs/>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rPr>
                <w:b/>
                <w:bCs/>
                <w:sz w:val="22"/>
                <w:szCs w:val="22"/>
              </w:rPr>
            </w:pPr>
            <w:r>
              <w:rPr>
                <w:b/>
                <w:bCs/>
                <w:sz w:val="22"/>
                <w:szCs w:val="22"/>
              </w:rPr>
              <w:t> </w:t>
            </w:r>
          </w:p>
        </w:tc>
        <w:tc>
          <w:tcPr>
            <w:tcW w:w="2799" w:type="dxa"/>
            <w:vMerge/>
            <w:tcBorders>
              <w:top w:val="nil"/>
              <w:left w:val="nil"/>
              <w:bottom w:val="nil"/>
              <w:right w:val="nil"/>
            </w:tcBorders>
            <w:vAlign w:val="center"/>
            <w:hideMark/>
          </w:tcPr>
          <w:p w:rsidR="009C2764" w:rsidRDefault="009C2764" w:rsidP="009C2764">
            <w:pPr>
              <w:rPr>
                <w:b/>
                <w:bCs/>
                <w:sz w:val="22"/>
                <w:szCs w:val="22"/>
              </w:rPr>
            </w:pPr>
          </w:p>
        </w:tc>
        <w:tc>
          <w:tcPr>
            <w:tcW w:w="1350" w:type="dxa"/>
            <w:vMerge/>
            <w:tcBorders>
              <w:top w:val="nil"/>
              <w:left w:val="nil"/>
              <w:bottom w:val="nil"/>
              <w:right w:val="nil"/>
            </w:tcBorders>
            <w:vAlign w:val="center"/>
            <w:hideMark/>
          </w:tcPr>
          <w:p w:rsidR="009C2764" w:rsidRDefault="009C2764" w:rsidP="009C2764">
            <w:pPr>
              <w:rPr>
                <w:b/>
                <w:bCs/>
                <w:sz w:val="22"/>
                <w:szCs w:val="22"/>
              </w:rPr>
            </w:pPr>
          </w:p>
        </w:tc>
        <w:tc>
          <w:tcPr>
            <w:tcW w:w="1260" w:type="dxa"/>
            <w:vMerge/>
            <w:tcBorders>
              <w:top w:val="nil"/>
              <w:left w:val="nil"/>
              <w:bottom w:val="nil"/>
              <w:right w:val="nil"/>
            </w:tcBorders>
            <w:vAlign w:val="center"/>
            <w:hideMark/>
          </w:tcPr>
          <w:p w:rsidR="009C2764" w:rsidRDefault="009C2764" w:rsidP="009C2764">
            <w:pPr>
              <w:rPr>
                <w:b/>
                <w:bCs/>
                <w:sz w:val="22"/>
                <w:szCs w:val="22"/>
              </w:rPr>
            </w:pPr>
          </w:p>
        </w:tc>
        <w:tc>
          <w:tcPr>
            <w:tcW w:w="1206" w:type="dxa"/>
            <w:vMerge/>
            <w:tcBorders>
              <w:top w:val="nil"/>
              <w:left w:val="nil"/>
              <w:bottom w:val="nil"/>
              <w:right w:val="nil"/>
            </w:tcBorders>
            <w:vAlign w:val="center"/>
            <w:hideMark/>
          </w:tcPr>
          <w:p w:rsidR="009C2764" w:rsidRDefault="009C2764" w:rsidP="009C2764">
            <w:pPr>
              <w:rPr>
                <w:b/>
                <w:bCs/>
                <w:sz w:val="22"/>
                <w:szCs w:val="22"/>
              </w:rPr>
            </w:pPr>
          </w:p>
        </w:tc>
        <w:tc>
          <w:tcPr>
            <w:tcW w:w="1224" w:type="dxa"/>
            <w:vMerge/>
            <w:tcBorders>
              <w:top w:val="nil"/>
              <w:left w:val="nil"/>
              <w:bottom w:val="nil"/>
              <w:right w:val="nil"/>
            </w:tcBorders>
            <w:vAlign w:val="center"/>
            <w:hideMark/>
          </w:tcPr>
          <w:p w:rsidR="009C2764" w:rsidRDefault="009C2764" w:rsidP="009C2764">
            <w:pPr>
              <w:rPr>
                <w:b/>
                <w:bCs/>
                <w:sz w:val="22"/>
                <w:szCs w:val="22"/>
              </w:rPr>
            </w:pPr>
          </w:p>
        </w:tc>
        <w:tc>
          <w:tcPr>
            <w:tcW w:w="1451" w:type="dxa"/>
            <w:vMerge/>
            <w:tcBorders>
              <w:top w:val="nil"/>
              <w:left w:val="nil"/>
              <w:bottom w:val="nil"/>
              <w:right w:val="nil"/>
            </w:tcBorders>
            <w:vAlign w:val="center"/>
            <w:hideMark/>
          </w:tcPr>
          <w:p w:rsidR="009C2764" w:rsidRDefault="009C2764" w:rsidP="009C2764">
            <w:pPr>
              <w:rPr>
                <w:b/>
                <w:bCs/>
                <w:sz w:val="22"/>
                <w:szCs w:val="22"/>
              </w:rPr>
            </w:pPr>
          </w:p>
        </w:tc>
        <w:tc>
          <w:tcPr>
            <w:tcW w:w="281" w:type="dxa"/>
            <w:tcBorders>
              <w:top w:val="nil"/>
              <w:left w:val="nil"/>
              <w:bottom w:val="nil"/>
              <w:right w:val="single" w:sz="4" w:space="0" w:color="auto"/>
            </w:tcBorders>
            <w:shd w:val="clear" w:color="auto" w:fill="auto"/>
            <w:noWrap/>
            <w:vAlign w:val="bottom"/>
            <w:hideMark/>
          </w:tcPr>
          <w:p w:rsidR="009C2764" w:rsidRDefault="009C2764" w:rsidP="009C2764">
            <w:pPr>
              <w:jc w:val="center"/>
              <w:rPr>
                <w:b/>
                <w:bCs/>
                <w:sz w:val="22"/>
                <w:szCs w:val="22"/>
              </w:rPr>
            </w:pPr>
            <w:r>
              <w:rPr>
                <w:b/>
                <w:bCs/>
                <w:sz w:val="22"/>
                <w:szCs w:val="22"/>
              </w:rPr>
              <w:t> </w:t>
            </w:r>
          </w:p>
        </w:tc>
      </w:tr>
      <w:tr w:rsidR="009C2764" w:rsidTr="009C2764">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799"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single" w:sz="4" w:space="0" w:color="000000"/>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1</w:t>
            </w:r>
          </w:p>
        </w:tc>
        <w:tc>
          <w:tcPr>
            <w:tcW w:w="2799"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Operating Revenues:</w:t>
            </w:r>
          </w:p>
        </w:tc>
        <w:tc>
          <w:tcPr>
            <w:tcW w:w="1350"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$2,513,414 </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$0 </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$2,513,414 </w:t>
            </w:r>
          </w:p>
        </w:tc>
        <w:tc>
          <w:tcPr>
            <w:tcW w:w="1224"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$292,360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$2,805,774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u w:val="single"/>
              </w:rPr>
            </w:pP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11/63%</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Operating Expenses</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2</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xml:space="preserve">    Operation &amp; Maintenance</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$1,618,998</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150,405 </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$1,769,403</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$1,769,403</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3</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xml:space="preserve">    Depreciation</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89,535 </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156,943 </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246,478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246,478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4</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xml:space="preserve">    Amortization</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62,466 </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(62,466)</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0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0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5</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xml:space="preserve">    Taxes Other Than Income</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426,144 </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(7,468)</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418,676 </w:t>
            </w:r>
          </w:p>
        </w:tc>
        <w:tc>
          <w:tcPr>
            <w:tcW w:w="1224"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13,156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rPr>
            </w:pPr>
            <w:r>
              <w:rPr>
                <w:sz w:val="22"/>
                <w:szCs w:val="22"/>
              </w:rPr>
              <w:t xml:space="preserve">431,832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6</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Total Operating Expense</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2,197,143 </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237,414 </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2,434,557 </w:t>
            </w:r>
          </w:p>
        </w:tc>
        <w:tc>
          <w:tcPr>
            <w:tcW w:w="1224"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13,156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single"/>
              </w:rPr>
            </w:pPr>
            <w:r>
              <w:rPr>
                <w:sz w:val="22"/>
                <w:szCs w:val="22"/>
                <w:u w:val="single"/>
              </w:rPr>
              <w:t xml:space="preserve">2,447,713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u w:val="single"/>
              </w:rPr>
            </w:pP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7</w:t>
            </w:r>
          </w:p>
        </w:tc>
        <w:tc>
          <w:tcPr>
            <w:tcW w:w="2799"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Operating Income</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$316,271 </w:t>
            </w:r>
          </w:p>
        </w:tc>
        <w:tc>
          <w:tcPr>
            <w:tcW w:w="126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($237,414)</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$78,857 </w:t>
            </w:r>
          </w:p>
        </w:tc>
        <w:tc>
          <w:tcPr>
            <w:tcW w:w="1224"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$279,203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$358,060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u w:val="double"/>
              </w:rPr>
            </w:pP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8</w:t>
            </w:r>
          </w:p>
        </w:tc>
        <w:tc>
          <w:tcPr>
            <w:tcW w:w="2799"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Rate Base</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$4,065,168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$4,606,145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 xml:space="preserve">$4,606,145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u w:val="double"/>
              </w:rPr>
            </w:pP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9</w:t>
            </w:r>
          </w:p>
        </w:tc>
        <w:tc>
          <w:tcPr>
            <w:tcW w:w="2799"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Rate of Return</w:t>
            </w:r>
          </w:p>
        </w:tc>
        <w:tc>
          <w:tcPr>
            <w:tcW w:w="1350"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7.78%</w:t>
            </w:r>
          </w:p>
        </w:tc>
        <w:tc>
          <w:tcPr>
            <w:tcW w:w="1260"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1.71%</w:t>
            </w:r>
          </w:p>
        </w:tc>
        <w:tc>
          <w:tcPr>
            <w:tcW w:w="1224"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7.77%</w:t>
            </w:r>
          </w:p>
        </w:tc>
        <w:tc>
          <w:tcPr>
            <w:tcW w:w="281"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u w:val="double"/>
              </w:rPr>
            </w:pPr>
          </w:p>
        </w:tc>
      </w:tr>
      <w:tr w:rsidR="009C2764" w:rsidTr="009C2764">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799"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0"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06"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224"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51"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1" w:type="dxa"/>
            <w:tcBorders>
              <w:top w:val="nil"/>
              <w:left w:val="nil"/>
              <w:bottom w:val="single" w:sz="4" w:space="0" w:color="auto"/>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bl>
    <w:p w:rsidR="009C2764" w:rsidRDefault="009C2764" w:rsidP="001F3A1D">
      <w:pPr>
        <w:pStyle w:val="BodyText"/>
      </w:pPr>
    </w:p>
    <w:p w:rsidR="009C2764" w:rsidRDefault="009C2764" w:rsidP="001F3A1D">
      <w:pPr>
        <w:pStyle w:val="BodyText"/>
      </w:pPr>
    </w:p>
    <w:p w:rsidR="009C2764" w:rsidRDefault="009C2764" w:rsidP="001F3A1D">
      <w:pPr>
        <w:pStyle w:val="BodyText"/>
        <w:sectPr w:rsidR="009C2764" w:rsidSect="009C2764">
          <w:headerReference w:type="default" r:id="rId38"/>
          <w:footerReference w:type="default" r:id="rId39"/>
          <w:pgSz w:w="12240" w:h="15840" w:code="1"/>
          <w:pgMar w:top="1584" w:right="1440" w:bottom="1440" w:left="1440" w:header="720" w:footer="720" w:gutter="0"/>
          <w:cols w:space="720"/>
          <w:formProt w:val="0"/>
          <w:docGrid w:linePitch="360"/>
        </w:sectPr>
      </w:pPr>
    </w:p>
    <w:tbl>
      <w:tblPr>
        <w:tblW w:w="9943" w:type="dxa"/>
        <w:jc w:val="center"/>
        <w:tblLook w:val="04A0" w:firstRow="1" w:lastRow="0" w:firstColumn="1" w:lastColumn="0" w:noHBand="0" w:noVBand="1"/>
      </w:tblPr>
      <w:tblGrid>
        <w:gridCol w:w="436"/>
        <w:gridCol w:w="2799"/>
        <w:gridCol w:w="1206"/>
        <w:gridCol w:w="1353"/>
        <w:gridCol w:w="1346"/>
        <w:gridCol w:w="7"/>
        <w:gridCol w:w="1206"/>
        <w:gridCol w:w="1608"/>
        <w:gridCol w:w="273"/>
        <w:gridCol w:w="6"/>
      </w:tblGrid>
      <w:tr w:rsidR="009C2764" w:rsidTr="009C2764">
        <w:trPr>
          <w:trHeight w:val="300"/>
          <w:jc w:val="center"/>
        </w:trPr>
        <w:tc>
          <w:tcPr>
            <w:tcW w:w="4441" w:type="dxa"/>
            <w:gridSpan w:val="3"/>
            <w:tcBorders>
              <w:top w:val="single" w:sz="4" w:space="0" w:color="auto"/>
              <w:left w:val="single" w:sz="4" w:space="0" w:color="auto"/>
              <w:bottom w:val="nil"/>
              <w:right w:val="nil"/>
            </w:tcBorders>
            <w:shd w:val="clear" w:color="auto" w:fill="auto"/>
            <w:noWrap/>
            <w:vAlign w:val="bottom"/>
            <w:hideMark/>
          </w:tcPr>
          <w:p w:rsidR="009C2764" w:rsidRPr="00590E4A" w:rsidRDefault="009C2764" w:rsidP="009C2764">
            <w:pPr>
              <w:rPr>
                <w:rFonts w:ascii="Arial" w:hAnsi="Arial" w:cs="Arial"/>
                <w:b/>
                <w:bCs/>
              </w:rPr>
            </w:pPr>
            <w:bookmarkStart w:id="31" w:name="RANGE!A39:I66"/>
            <w:r>
              <w:rPr>
                <w:rFonts w:ascii="Arial" w:hAnsi="Arial" w:cs="Arial"/>
                <w:b/>
                <w:bCs/>
              </w:rPr>
              <w:lastRenderedPageBreak/>
              <w:t>Middleton Utility Company, LLC</w:t>
            </w:r>
            <w:bookmarkEnd w:id="31"/>
          </w:p>
        </w:tc>
        <w:tc>
          <w:tcPr>
            <w:tcW w:w="1237" w:type="dxa"/>
            <w:tcBorders>
              <w:top w:val="single" w:sz="4" w:space="0" w:color="auto"/>
              <w:left w:val="nil"/>
              <w:bottom w:val="nil"/>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1206" w:type="dxa"/>
            <w:gridSpan w:val="2"/>
            <w:tcBorders>
              <w:top w:val="single" w:sz="4" w:space="0" w:color="auto"/>
              <w:left w:val="nil"/>
              <w:bottom w:val="nil"/>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3059" w:type="dxa"/>
            <w:gridSpan w:val="4"/>
            <w:tcBorders>
              <w:top w:val="single" w:sz="4" w:space="0" w:color="auto"/>
              <w:left w:val="nil"/>
              <w:bottom w:val="nil"/>
              <w:right w:val="single" w:sz="4" w:space="0" w:color="000000"/>
            </w:tcBorders>
            <w:shd w:val="clear" w:color="auto" w:fill="auto"/>
            <w:noWrap/>
            <w:vAlign w:val="bottom"/>
            <w:hideMark/>
          </w:tcPr>
          <w:p w:rsidR="009C2764" w:rsidRDefault="009C2764" w:rsidP="009C2764">
            <w:pPr>
              <w:jc w:val="right"/>
              <w:rPr>
                <w:rFonts w:ascii="Arial" w:hAnsi="Arial" w:cs="Arial"/>
                <w:b/>
                <w:bCs/>
              </w:rPr>
            </w:pPr>
            <w:r>
              <w:rPr>
                <w:rFonts w:ascii="Arial" w:hAnsi="Arial" w:cs="Arial"/>
                <w:b/>
                <w:bCs/>
              </w:rPr>
              <w:t>Schedule No. 3-B</w:t>
            </w:r>
          </w:p>
        </w:tc>
      </w:tr>
      <w:tr w:rsidR="009C2764" w:rsidTr="009C2764">
        <w:trPr>
          <w:gridAfter w:val="1"/>
          <w:wAfter w:w="6" w:type="dxa"/>
          <w:trHeight w:val="300"/>
          <w:jc w:val="center"/>
        </w:trPr>
        <w:tc>
          <w:tcPr>
            <w:tcW w:w="6878" w:type="dxa"/>
            <w:gridSpan w:val="5"/>
            <w:tcBorders>
              <w:top w:val="nil"/>
              <w:left w:val="single" w:sz="4" w:space="0" w:color="auto"/>
              <w:bottom w:val="nil"/>
              <w:right w:val="nil"/>
            </w:tcBorders>
            <w:shd w:val="clear" w:color="auto" w:fill="auto"/>
            <w:noWrap/>
            <w:vAlign w:val="bottom"/>
            <w:hideMark/>
          </w:tcPr>
          <w:p w:rsidR="009C2764" w:rsidRDefault="009C2764" w:rsidP="009C2764">
            <w:pPr>
              <w:rPr>
                <w:sz w:val="20"/>
                <w:szCs w:val="20"/>
              </w:rPr>
            </w:pPr>
            <w:r>
              <w:rPr>
                <w:rFonts w:ascii="Arial" w:hAnsi="Arial" w:cs="Arial"/>
                <w:b/>
                <w:bCs/>
              </w:rPr>
              <w:t>Statement of Wastewater Operations</w:t>
            </w:r>
          </w:p>
        </w:tc>
        <w:tc>
          <w:tcPr>
            <w:tcW w:w="3059" w:type="dxa"/>
            <w:gridSpan w:val="4"/>
            <w:tcBorders>
              <w:top w:val="nil"/>
              <w:left w:val="nil"/>
              <w:bottom w:val="nil"/>
              <w:right w:val="single" w:sz="4" w:space="0" w:color="000000"/>
            </w:tcBorders>
            <w:shd w:val="clear" w:color="auto" w:fill="auto"/>
            <w:noWrap/>
            <w:vAlign w:val="bottom"/>
            <w:hideMark/>
          </w:tcPr>
          <w:p w:rsidR="009C2764" w:rsidRDefault="009C2764" w:rsidP="009C2764">
            <w:pPr>
              <w:jc w:val="right"/>
              <w:rPr>
                <w:rFonts w:ascii="Arial" w:hAnsi="Arial" w:cs="Arial"/>
                <w:b/>
                <w:bCs/>
              </w:rPr>
            </w:pPr>
            <w:r>
              <w:rPr>
                <w:rFonts w:ascii="Arial" w:hAnsi="Arial" w:cs="Arial"/>
                <w:b/>
                <w:bCs/>
              </w:rPr>
              <w:t>20220088-WS</w:t>
            </w:r>
          </w:p>
        </w:tc>
      </w:tr>
      <w:tr w:rsidR="009C2764" w:rsidTr="009C2764">
        <w:trPr>
          <w:trHeight w:val="300"/>
          <w:jc w:val="center"/>
        </w:trPr>
        <w:tc>
          <w:tcPr>
            <w:tcW w:w="3235" w:type="dxa"/>
            <w:gridSpan w:val="2"/>
            <w:tcBorders>
              <w:top w:val="nil"/>
              <w:left w:val="single" w:sz="4" w:space="0" w:color="auto"/>
              <w:bottom w:val="single" w:sz="4" w:space="0" w:color="auto"/>
              <w:right w:val="nil"/>
            </w:tcBorders>
            <w:shd w:val="clear" w:color="auto" w:fill="auto"/>
            <w:noWrap/>
            <w:vAlign w:val="bottom"/>
            <w:hideMark/>
          </w:tcPr>
          <w:p w:rsidR="009C2764" w:rsidRDefault="009C2764" w:rsidP="009C2764">
            <w:pPr>
              <w:rPr>
                <w:rFonts w:ascii="Arial" w:hAnsi="Arial" w:cs="Arial"/>
                <w:b/>
                <w:bCs/>
              </w:rPr>
            </w:pPr>
            <w:r>
              <w:rPr>
                <w:rFonts w:ascii="Arial" w:hAnsi="Arial" w:cs="Arial"/>
                <w:b/>
                <w:bCs/>
              </w:rPr>
              <w:t>80% of Design Capacity</w:t>
            </w:r>
          </w:p>
        </w:tc>
        <w:tc>
          <w:tcPr>
            <w:tcW w:w="1206" w:type="dxa"/>
            <w:tcBorders>
              <w:top w:val="nil"/>
              <w:left w:val="nil"/>
              <w:bottom w:val="single" w:sz="4" w:space="0" w:color="auto"/>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1237" w:type="dxa"/>
            <w:tcBorders>
              <w:top w:val="nil"/>
              <w:left w:val="nil"/>
              <w:bottom w:val="single" w:sz="4" w:space="0" w:color="auto"/>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1206" w:type="dxa"/>
            <w:gridSpan w:val="2"/>
            <w:tcBorders>
              <w:top w:val="nil"/>
              <w:left w:val="nil"/>
              <w:bottom w:val="single" w:sz="4" w:space="0" w:color="auto"/>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1608" w:type="dxa"/>
            <w:tcBorders>
              <w:top w:val="nil"/>
              <w:left w:val="nil"/>
              <w:bottom w:val="single" w:sz="4" w:space="0" w:color="auto"/>
              <w:right w:val="nil"/>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c>
          <w:tcPr>
            <w:tcW w:w="279" w:type="dxa"/>
            <w:gridSpan w:val="2"/>
            <w:tcBorders>
              <w:top w:val="nil"/>
              <w:left w:val="nil"/>
              <w:bottom w:val="single" w:sz="4" w:space="0" w:color="auto"/>
              <w:right w:val="single" w:sz="4" w:space="0" w:color="auto"/>
            </w:tcBorders>
            <w:shd w:val="clear" w:color="auto" w:fill="auto"/>
            <w:noWrap/>
            <w:vAlign w:val="bottom"/>
            <w:hideMark/>
          </w:tcPr>
          <w:p w:rsidR="009C2764" w:rsidRDefault="009C2764" w:rsidP="009C2764">
            <w:pPr>
              <w:rPr>
                <w:rFonts w:ascii="SWISS" w:hAnsi="SWISS" w:cs="Arial"/>
                <w:b/>
                <w:bCs/>
              </w:rPr>
            </w:pPr>
            <w:r>
              <w:rPr>
                <w:rFonts w:ascii="SWISS" w:hAnsi="SWISS" w:cs="Arial"/>
                <w:b/>
                <w:bCs/>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rPr>
                <w:b/>
                <w:bCs/>
                <w:sz w:val="22"/>
                <w:szCs w:val="22"/>
              </w:rPr>
            </w:pPr>
            <w:r>
              <w:rPr>
                <w:b/>
                <w:bCs/>
                <w:sz w:val="22"/>
                <w:szCs w:val="22"/>
              </w:rPr>
              <w:t> </w:t>
            </w:r>
          </w:p>
        </w:tc>
        <w:tc>
          <w:tcPr>
            <w:tcW w:w="2799"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Description</w:t>
            </w:r>
          </w:p>
        </w:tc>
        <w:tc>
          <w:tcPr>
            <w:tcW w:w="1206"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Adjusted       Test Year      Per Utility</w:t>
            </w:r>
          </w:p>
        </w:tc>
        <w:tc>
          <w:tcPr>
            <w:tcW w:w="1237"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 xml:space="preserve">Staff      Adjust-    </w:t>
            </w:r>
            <w:proofErr w:type="spellStart"/>
            <w:r>
              <w:rPr>
                <w:b/>
                <w:bCs/>
                <w:sz w:val="22"/>
                <w:szCs w:val="22"/>
              </w:rPr>
              <w:t>ments</w:t>
            </w:r>
            <w:proofErr w:type="spellEnd"/>
          </w:p>
        </w:tc>
        <w:tc>
          <w:tcPr>
            <w:tcW w:w="1206" w:type="dxa"/>
            <w:gridSpan w:val="2"/>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Staff    Adjusted    Test Year</w:t>
            </w:r>
          </w:p>
        </w:tc>
        <w:tc>
          <w:tcPr>
            <w:tcW w:w="1170"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Revenue Increase</w:t>
            </w:r>
          </w:p>
        </w:tc>
        <w:tc>
          <w:tcPr>
            <w:tcW w:w="1608" w:type="dxa"/>
            <w:vMerge w:val="restart"/>
            <w:tcBorders>
              <w:top w:val="nil"/>
              <w:left w:val="nil"/>
              <w:bottom w:val="nil"/>
              <w:right w:val="nil"/>
            </w:tcBorders>
            <w:shd w:val="clear" w:color="auto" w:fill="auto"/>
            <w:vAlign w:val="center"/>
            <w:hideMark/>
          </w:tcPr>
          <w:p w:rsidR="009C2764" w:rsidRDefault="009C2764" w:rsidP="009C2764">
            <w:pPr>
              <w:jc w:val="center"/>
              <w:rPr>
                <w:b/>
                <w:bCs/>
                <w:sz w:val="22"/>
                <w:szCs w:val="22"/>
              </w:rPr>
            </w:pPr>
            <w:r>
              <w:rPr>
                <w:b/>
                <w:bCs/>
                <w:sz w:val="22"/>
                <w:szCs w:val="22"/>
              </w:rPr>
              <w:t>Revenue Requirement</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b/>
                <w:bCs/>
                <w:sz w:val="22"/>
                <w:szCs w:val="22"/>
              </w:rPr>
            </w:pPr>
            <w:r>
              <w:rPr>
                <w:b/>
                <w:bCs/>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rPr>
                <w:b/>
                <w:bCs/>
                <w:sz w:val="22"/>
                <w:szCs w:val="22"/>
              </w:rPr>
            </w:pPr>
            <w:r>
              <w:rPr>
                <w:b/>
                <w:bCs/>
                <w:sz w:val="22"/>
                <w:szCs w:val="22"/>
              </w:rPr>
              <w:t> </w:t>
            </w:r>
          </w:p>
        </w:tc>
        <w:tc>
          <w:tcPr>
            <w:tcW w:w="2799" w:type="dxa"/>
            <w:vMerge/>
            <w:tcBorders>
              <w:top w:val="nil"/>
              <w:left w:val="nil"/>
              <w:bottom w:val="nil"/>
              <w:right w:val="nil"/>
            </w:tcBorders>
            <w:vAlign w:val="center"/>
            <w:hideMark/>
          </w:tcPr>
          <w:p w:rsidR="009C2764" w:rsidRDefault="009C2764" w:rsidP="009C2764">
            <w:pPr>
              <w:rPr>
                <w:b/>
                <w:bCs/>
                <w:sz w:val="22"/>
                <w:szCs w:val="22"/>
              </w:rPr>
            </w:pPr>
          </w:p>
        </w:tc>
        <w:tc>
          <w:tcPr>
            <w:tcW w:w="1206" w:type="dxa"/>
            <w:vMerge/>
            <w:tcBorders>
              <w:top w:val="nil"/>
              <w:left w:val="nil"/>
              <w:bottom w:val="nil"/>
              <w:right w:val="nil"/>
            </w:tcBorders>
            <w:vAlign w:val="center"/>
            <w:hideMark/>
          </w:tcPr>
          <w:p w:rsidR="009C2764" w:rsidRDefault="009C2764" w:rsidP="009C2764">
            <w:pPr>
              <w:rPr>
                <w:b/>
                <w:bCs/>
                <w:sz w:val="22"/>
                <w:szCs w:val="22"/>
              </w:rPr>
            </w:pPr>
          </w:p>
        </w:tc>
        <w:tc>
          <w:tcPr>
            <w:tcW w:w="1237" w:type="dxa"/>
            <w:vMerge/>
            <w:tcBorders>
              <w:top w:val="nil"/>
              <w:left w:val="nil"/>
              <w:bottom w:val="nil"/>
              <w:right w:val="nil"/>
            </w:tcBorders>
            <w:vAlign w:val="center"/>
            <w:hideMark/>
          </w:tcPr>
          <w:p w:rsidR="009C2764" w:rsidRDefault="009C2764" w:rsidP="009C2764">
            <w:pPr>
              <w:rPr>
                <w:b/>
                <w:bCs/>
                <w:sz w:val="22"/>
                <w:szCs w:val="22"/>
              </w:rPr>
            </w:pPr>
          </w:p>
        </w:tc>
        <w:tc>
          <w:tcPr>
            <w:tcW w:w="1206" w:type="dxa"/>
            <w:gridSpan w:val="2"/>
            <w:vMerge/>
            <w:tcBorders>
              <w:top w:val="nil"/>
              <w:left w:val="nil"/>
              <w:bottom w:val="nil"/>
              <w:right w:val="nil"/>
            </w:tcBorders>
            <w:vAlign w:val="center"/>
            <w:hideMark/>
          </w:tcPr>
          <w:p w:rsidR="009C2764" w:rsidRDefault="009C2764" w:rsidP="009C2764">
            <w:pPr>
              <w:rPr>
                <w:b/>
                <w:bCs/>
                <w:sz w:val="22"/>
                <w:szCs w:val="22"/>
              </w:rPr>
            </w:pPr>
          </w:p>
        </w:tc>
        <w:tc>
          <w:tcPr>
            <w:tcW w:w="1170" w:type="dxa"/>
            <w:vMerge/>
            <w:tcBorders>
              <w:top w:val="nil"/>
              <w:left w:val="nil"/>
              <w:bottom w:val="nil"/>
              <w:right w:val="nil"/>
            </w:tcBorders>
            <w:vAlign w:val="center"/>
            <w:hideMark/>
          </w:tcPr>
          <w:p w:rsidR="009C2764" w:rsidRDefault="009C2764" w:rsidP="009C2764">
            <w:pPr>
              <w:rPr>
                <w:b/>
                <w:bCs/>
                <w:sz w:val="22"/>
                <w:szCs w:val="22"/>
              </w:rPr>
            </w:pPr>
          </w:p>
        </w:tc>
        <w:tc>
          <w:tcPr>
            <w:tcW w:w="1608" w:type="dxa"/>
            <w:vMerge/>
            <w:tcBorders>
              <w:top w:val="nil"/>
              <w:left w:val="nil"/>
              <w:bottom w:val="nil"/>
              <w:right w:val="nil"/>
            </w:tcBorders>
            <w:vAlign w:val="center"/>
            <w:hideMark/>
          </w:tcPr>
          <w:p w:rsidR="009C2764" w:rsidRDefault="009C2764" w:rsidP="009C2764">
            <w:pPr>
              <w:rPr>
                <w:b/>
                <w:bCs/>
                <w:sz w:val="22"/>
                <w:szCs w:val="22"/>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jc w:val="center"/>
              <w:rPr>
                <w:b/>
                <w:bCs/>
                <w:sz w:val="22"/>
                <w:szCs w:val="22"/>
              </w:rPr>
            </w:pPr>
            <w:r>
              <w:rPr>
                <w:b/>
                <w:bCs/>
                <w:sz w:val="22"/>
                <w:szCs w:val="22"/>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rPr>
                <w:b/>
                <w:bCs/>
                <w:sz w:val="22"/>
                <w:szCs w:val="22"/>
              </w:rPr>
            </w:pPr>
            <w:r>
              <w:rPr>
                <w:b/>
                <w:bCs/>
                <w:sz w:val="22"/>
                <w:szCs w:val="22"/>
              </w:rPr>
              <w:t> </w:t>
            </w:r>
          </w:p>
        </w:tc>
        <w:tc>
          <w:tcPr>
            <w:tcW w:w="2799" w:type="dxa"/>
            <w:vMerge/>
            <w:tcBorders>
              <w:top w:val="nil"/>
              <w:left w:val="nil"/>
              <w:bottom w:val="nil"/>
              <w:right w:val="nil"/>
            </w:tcBorders>
            <w:vAlign w:val="center"/>
            <w:hideMark/>
          </w:tcPr>
          <w:p w:rsidR="009C2764" w:rsidRDefault="009C2764" w:rsidP="009C2764">
            <w:pPr>
              <w:rPr>
                <w:b/>
                <w:bCs/>
                <w:sz w:val="22"/>
                <w:szCs w:val="22"/>
              </w:rPr>
            </w:pPr>
          </w:p>
        </w:tc>
        <w:tc>
          <w:tcPr>
            <w:tcW w:w="1206" w:type="dxa"/>
            <w:vMerge/>
            <w:tcBorders>
              <w:top w:val="nil"/>
              <w:left w:val="nil"/>
              <w:bottom w:val="nil"/>
              <w:right w:val="nil"/>
            </w:tcBorders>
            <w:vAlign w:val="center"/>
            <w:hideMark/>
          </w:tcPr>
          <w:p w:rsidR="009C2764" w:rsidRDefault="009C2764" w:rsidP="009C2764">
            <w:pPr>
              <w:rPr>
                <w:b/>
                <w:bCs/>
                <w:sz w:val="22"/>
                <w:szCs w:val="22"/>
              </w:rPr>
            </w:pPr>
          </w:p>
        </w:tc>
        <w:tc>
          <w:tcPr>
            <w:tcW w:w="1237" w:type="dxa"/>
            <w:vMerge/>
            <w:tcBorders>
              <w:top w:val="nil"/>
              <w:left w:val="nil"/>
              <w:bottom w:val="nil"/>
              <w:right w:val="nil"/>
            </w:tcBorders>
            <w:vAlign w:val="center"/>
            <w:hideMark/>
          </w:tcPr>
          <w:p w:rsidR="009C2764" w:rsidRDefault="009C2764" w:rsidP="009C2764">
            <w:pPr>
              <w:rPr>
                <w:b/>
                <w:bCs/>
                <w:sz w:val="22"/>
                <w:szCs w:val="22"/>
              </w:rPr>
            </w:pPr>
          </w:p>
        </w:tc>
        <w:tc>
          <w:tcPr>
            <w:tcW w:w="1206" w:type="dxa"/>
            <w:gridSpan w:val="2"/>
            <w:vMerge/>
            <w:tcBorders>
              <w:top w:val="nil"/>
              <w:left w:val="nil"/>
              <w:bottom w:val="nil"/>
              <w:right w:val="nil"/>
            </w:tcBorders>
            <w:vAlign w:val="center"/>
            <w:hideMark/>
          </w:tcPr>
          <w:p w:rsidR="009C2764" w:rsidRDefault="009C2764" w:rsidP="009C2764">
            <w:pPr>
              <w:rPr>
                <w:b/>
                <w:bCs/>
                <w:sz w:val="22"/>
                <w:szCs w:val="22"/>
              </w:rPr>
            </w:pPr>
          </w:p>
        </w:tc>
        <w:tc>
          <w:tcPr>
            <w:tcW w:w="1170" w:type="dxa"/>
            <w:vMerge/>
            <w:tcBorders>
              <w:top w:val="nil"/>
              <w:left w:val="nil"/>
              <w:bottom w:val="nil"/>
              <w:right w:val="nil"/>
            </w:tcBorders>
            <w:vAlign w:val="center"/>
            <w:hideMark/>
          </w:tcPr>
          <w:p w:rsidR="009C2764" w:rsidRDefault="009C2764" w:rsidP="009C2764">
            <w:pPr>
              <w:rPr>
                <w:b/>
                <w:bCs/>
                <w:sz w:val="22"/>
                <w:szCs w:val="22"/>
              </w:rPr>
            </w:pPr>
          </w:p>
        </w:tc>
        <w:tc>
          <w:tcPr>
            <w:tcW w:w="1608" w:type="dxa"/>
            <w:vMerge/>
            <w:tcBorders>
              <w:top w:val="nil"/>
              <w:left w:val="nil"/>
              <w:bottom w:val="nil"/>
              <w:right w:val="nil"/>
            </w:tcBorders>
            <w:vAlign w:val="center"/>
            <w:hideMark/>
          </w:tcPr>
          <w:p w:rsidR="009C2764" w:rsidRDefault="009C2764" w:rsidP="009C2764">
            <w:pPr>
              <w:rPr>
                <w:b/>
                <w:bCs/>
                <w:sz w:val="22"/>
                <w:szCs w:val="22"/>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jc w:val="center"/>
              <w:rPr>
                <w:b/>
                <w:bCs/>
                <w:sz w:val="22"/>
                <w:szCs w:val="22"/>
              </w:rPr>
            </w:pPr>
            <w:r>
              <w:rPr>
                <w:b/>
                <w:bCs/>
                <w:sz w:val="22"/>
                <w:szCs w:val="22"/>
              </w:rPr>
              <w:t> </w:t>
            </w:r>
          </w:p>
        </w:tc>
      </w:tr>
      <w:tr w:rsidR="009C2764" w:rsidTr="009C2764">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2799" w:type="dxa"/>
            <w:tcBorders>
              <w:top w:val="single" w:sz="4" w:space="0" w:color="000000"/>
              <w:left w:val="nil"/>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206" w:type="dxa"/>
            <w:tcBorders>
              <w:top w:val="single" w:sz="4" w:space="0" w:color="000000"/>
              <w:left w:val="nil"/>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237" w:type="dxa"/>
            <w:tcBorders>
              <w:top w:val="single" w:sz="4" w:space="0" w:color="000000"/>
              <w:left w:val="nil"/>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206" w:type="dxa"/>
            <w:gridSpan w:val="2"/>
            <w:tcBorders>
              <w:top w:val="single" w:sz="4" w:space="0" w:color="000000"/>
              <w:left w:val="nil"/>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608" w:type="dxa"/>
            <w:tcBorders>
              <w:top w:val="single" w:sz="4" w:space="0" w:color="000000"/>
              <w:left w:val="nil"/>
              <w:bottom w:val="nil"/>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279" w:type="dxa"/>
            <w:gridSpan w:val="2"/>
            <w:tcBorders>
              <w:top w:val="single" w:sz="4" w:space="0" w:color="000000"/>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1</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Operating Revenues:</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$5,452,252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$0 </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$5,452,252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$2,050,117 </w:t>
            </w: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$7,502,369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u w:val="single"/>
              </w:rPr>
            </w:pP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37.60%</w:t>
            </w: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Operating Expenses</w:t>
            </w:r>
          </w:p>
        </w:tc>
        <w:tc>
          <w:tcPr>
            <w:tcW w:w="1206" w:type="dxa"/>
            <w:tcBorders>
              <w:top w:val="nil"/>
              <w:left w:val="nil"/>
              <w:bottom w:val="nil"/>
              <w:right w:val="nil"/>
            </w:tcBorders>
            <w:shd w:val="clear" w:color="auto" w:fill="auto"/>
            <w:noWrap/>
            <w:vAlign w:val="bottom"/>
            <w:hideMark/>
          </w:tcPr>
          <w:p w:rsidR="009C2764" w:rsidRDefault="009C2764" w:rsidP="009C2764">
            <w:pPr>
              <w:rPr>
                <w:b/>
                <w:bCs/>
                <w:sz w:val="22"/>
                <w:szCs w:val="22"/>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2</w:t>
            </w:r>
          </w:p>
        </w:tc>
        <w:tc>
          <w:tcPr>
            <w:tcW w:w="2799" w:type="dxa"/>
            <w:tcBorders>
              <w:top w:val="nil"/>
              <w:left w:val="nil"/>
              <w:bottom w:val="nil"/>
              <w:right w:val="nil"/>
            </w:tcBorders>
            <w:shd w:val="clear" w:color="auto" w:fill="auto"/>
            <w:noWrap/>
            <w:vAlign w:val="bottom"/>
            <w:hideMark/>
          </w:tcPr>
          <w:p w:rsidR="009C2764" w:rsidRDefault="009C2764" w:rsidP="009C2764">
            <w:pPr>
              <w:rPr>
                <w:sz w:val="22"/>
                <w:szCs w:val="22"/>
              </w:rPr>
            </w:pPr>
            <w:r>
              <w:rPr>
                <w:sz w:val="22"/>
                <w:szCs w:val="22"/>
              </w:rPr>
              <w:t xml:space="preserve">    Operation &amp; Maintenance</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$4,129,354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$1,209,078 </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$5,338,432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$5,338,432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3</w:t>
            </w:r>
          </w:p>
        </w:tc>
        <w:tc>
          <w:tcPr>
            <w:tcW w:w="2799" w:type="dxa"/>
            <w:tcBorders>
              <w:top w:val="nil"/>
              <w:left w:val="nil"/>
              <w:bottom w:val="nil"/>
              <w:right w:val="nil"/>
            </w:tcBorders>
            <w:shd w:val="clear" w:color="auto" w:fill="auto"/>
            <w:noWrap/>
            <w:vAlign w:val="bottom"/>
            <w:hideMark/>
          </w:tcPr>
          <w:p w:rsidR="009C2764" w:rsidRDefault="009C2764" w:rsidP="009C2764">
            <w:pPr>
              <w:rPr>
                <w:sz w:val="22"/>
                <w:szCs w:val="22"/>
              </w:rPr>
            </w:pPr>
            <w:r>
              <w:rPr>
                <w:sz w:val="22"/>
                <w:szCs w:val="22"/>
              </w:rPr>
              <w:t xml:space="preserve">    Depreciation</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113,296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485,216 </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598,512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598,512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4</w:t>
            </w:r>
          </w:p>
        </w:tc>
        <w:tc>
          <w:tcPr>
            <w:tcW w:w="2799" w:type="dxa"/>
            <w:tcBorders>
              <w:top w:val="nil"/>
              <w:left w:val="nil"/>
              <w:bottom w:val="nil"/>
              <w:right w:val="nil"/>
            </w:tcBorders>
            <w:shd w:val="clear" w:color="auto" w:fill="auto"/>
            <w:noWrap/>
            <w:vAlign w:val="bottom"/>
            <w:hideMark/>
          </w:tcPr>
          <w:p w:rsidR="009C2764" w:rsidRDefault="009C2764" w:rsidP="009C2764">
            <w:pPr>
              <w:rPr>
                <w:sz w:val="22"/>
                <w:szCs w:val="22"/>
              </w:rPr>
            </w:pPr>
            <w:r>
              <w:rPr>
                <w:sz w:val="22"/>
                <w:szCs w:val="22"/>
              </w:rPr>
              <w:t xml:space="preserve">    Amortization</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90,704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(90,704)</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0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0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5</w:t>
            </w:r>
          </w:p>
        </w:tc>
        <w:tc>
          <w:tcPr>
            <w:tcW w:w="2799" w:type="dxa"/>
            <w:tcBorders>
              <w:top w:val="nil"/>
              <w:left w:val="nil"/>
              <w:bottom w:val="nil"/>
              <w:right w:val="nil"/>
            </w:tcBorders>
            <w:shd w:val="clear" w:color="auto" w:fill="auto"/>
            <w:noWrap/>
            <w:vAlign w:val="bottom"/>
            <w:hideMark/>
          </w:tcPr>
          <w:p w:rsidR="009C2764" w:rsidRDefault="009C2764" w:rsidP="009C2764">
            <w:pPr>
              <w:rPr>
                <w:sz w:val="22"/>
                <w:szCs w:val="22"/>
              </w:rPr>
            </w:pPr>
            <w:r>
              <w:rPr>
                <w:sz w:val="22"/>
                <w:szCs w:val="22"/>
              </w:rPr>
              <w:t xml:space="preserve">    Taxes Other Than Income</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714,904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(15,727)</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699,177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92,255 </w:t>
            </w: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rPr>
            </w:pPr>
            <w:r>
              <w:rPr>
                <w:sz w:val="22"/>
                <w:szCs w:val="22"/>
              </w:rPr>
              <w:t xml:space="preserve">791,432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6</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Total Operating Expense</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5,048,258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1,587,863 </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6,636,121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92,255 </w:t>
            </w: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u w:val="single"/>
              </w:rPr>
            </w:pPr>
            <w:r>
              <w:rPr>
                <w:sz w:val="22"/>
                <w:szCs w:val="22"/>
                <w:u w:val="single"/>
              </w:rPr>
              <w:t xml:space="preserve">6,728,376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u w:val="single"/>
              </w:rPr>
            </w:pP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7</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Operating Income</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$403,994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($1,587,863)</w:t>
            </w: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($1,183,869)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$1,957,861 </w:t>
            </w: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$773,992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u w:val="double"/>
              </w:rPr>
            </w:pP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8</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Rate Base</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$5,192,733 </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$9,956,764 </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 xml:space="preserve">$9,956,764 </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u w:val="double"/>
              </w:rPr>
            </w:pP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 </w:t>
            </w:r>
          </w:p>
        </w:tc>
        <w:tc>
          <w:tcPr>
            <w:tcW w:w="2799" w:type="dxa"/>
            <w:tcBorders>
              <w:top w:val="nil"/>
              <w:left w:val="nil"/>
              <w:bottom w:val="nil"/>
              <w:right w:val="nil"/>
            </w:tcBorders>
            <w:shd w:val="clear" w:color="auto" w:fill="auto"/>
            <w:noWrap/>
            <w:vAlign w:val="bottom"/>
            <w:hideMark/>
          </w:tcPr>
          <w:p w:rsidR="009C2764" w:rsidRDefault="009C2764" w:rsidP="009C2764">
            <w:pPr>
              <w:jc w:val="center"/>
              <w:rPr>
                <w:sz w:val="22"/>
                <w:szCs w:val="22"/>
              </w:rPr>
            </w:pPr>
          </w:p>
        </w:tc>
        <w:tc>
          <w:tcPr>
            <w:tcW w:w="1206"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37"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170"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1608" w:type="dxa"/>
            <w:tcBorders>
              <w:top w:val="nil"/>
              <w:left w:val="nil"/>
              <w:bottom w:val="nil"/>
              <w:right w:val="nil"/>
            </w:tcBorders>
            <w:shd w:val="clear" w:color="auto" w:fill="auto"/>
            <w:noWrap/>
            <w:vAlign w:val="bottom"/>
            <w:hideMark/>
          </w:tcPr>
          <w:p w:rsidR="009C2764" w:rsidRDefault="009C2764" w:rsidP="009C2764">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436" w:type="dxa"/>
            <w:tcBorders>
              <w:top w:val="nil"/>
              <w:left w:val="single" w:sz="4" w:space="0" w:color="auto"/>
              <w:bottom w:val="nil"/>
              <w:right w:val="nil"/>
            </w:tcBorders>
            <w:shd w:val="clear" w:color="auto" w:fill="auto"/>
            <w:noWrap/>
            <w:vAlign w:val="bottom"/>
            <w:hideMark/>
          </w:tcPr>
          <w:p w:rsidR="009C2764" w:rsidRDefault="009C2764" w:rsidP="009C2764">
            <w:pPr>
              <w:jc w:val="center"/>
              <w:rPr>
                <w:sz w:val="22"/>
                <w:szCs w:val="22"/>
              </w:rPr>
            </w:pPr>
            <w:r>
              <w:rPr>
                <w:sz w:val="22"/>
                <w:szCs w:val="22"/>
              </w:rPr>
              <w:t>9</w:t>
            </w:r>
          </w:p>
        </w:tc>
        <w:tc>
          <w:tcPr>
            <w:tcW w:w="2799" w:type="dxa"/>
            <w:tcBorders>
              <w:top w:val="nil"/>
              <w:left w:val="nil"/>
              <w:bottom w:val="nil"/>
              <w:right w:val="nil"/>
            </w:tcBorders>
            <w:shd w:val="clear" w:color="auto" w:fill="auto"/>
            <w:noWrap/>
            <w:vAlign w:val="bottom"/>
            <w:hideMark/>
          </w:tcPr>
          <w:p w:rsidR="009C2764" w:rsidRDefault="009C2764" w:rsidP="009C2764">
            <w:pPr>
              <w:rPr>
                <w:b/>
                <w:bCs/>
                <w:sz w:val="22"/>
                <w:szCs w:val="22"/>
              </w:rPr>
            </w:pPr>
            <w:r>
              <w:rPr>
                <w:b/>
                <w:bCs/>
                <w:sz w:val="22"/>
                <w:szCs w:val="22"/>
              </w:rPr>
              <w:t>Rate of Return</w:t>
            </w:r>
          </w:p>
        </w:tc>
        <w:tc>
          <w:tcPr>
            <w:tcW w:w="1206"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7.78%</w:t>
            </w:r>
          </w:p>
        </w:tc>
        <w:tc>
          <w:tcPr>
            <w:tcW w:w="1237"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p>
        </w:tc>
        <w:tc>
          <w:tcPr>
            <w:tcW w:w="1206" w:type="dxa"/>
            <w:gridSpan w:val="2"/>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-11.89%</w:t>
            </w:r>
          </w:p>
        </w:tc>
        <w:tc>
          <w:tcPr>
            <w:tcW w:w="1170"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p>
        </w:tc>
        <w:tc>
          <w:tcPr>
            <w:tcW w:w="1608" w:type="dxa"/>
            <w:tcBorders>
              <w:top w:val="nil"/>
              <w:left w:val="nil"/>
              <w:bottom w:val="nil"/>
              <w:right w:val="nil"/>
            </w:tcBorders>
            <w:shd w:val="clear" w:color="auto" w:fill="auto"/>
            <w:noWrap/>
            <w:vAlign w:val="bottom"/>
            <w:hideMark/>
          </w:tcPr>
          <w:p w:rsidR="009C2764" w:rsidRDefault="009C2764" w:rsidP="009C2764">
            <w:pPr>
              <w:jc w:val="right"/>
              <w:rPr>
                <w:sz w:val="22"/>
                <w:szCs w:val="22"/>
                <w:u w:val="double"/>
              </w:rPr>
            </w:pPr>
            <w:r>
              <w:rPr>
                <w:sz w:val="22"/>
                <w:szCs w:val="22"/>
                <w:u w:val="double"/>
              </w:rPr>
              <w:t>7.77%</w:t>
            </w:r>
          </w:p>
        </w:tc>
        <w:tc>
          <w:tcPr>
            <w:tcW w:w="279" w:type="dxa"/>
            <w:gridSpan w:val="2"/>
            <w:tcBorders>
              <w:top w:val="nil"/>
              <w:left w:val="nil"/>
              <w:bottom w:val="nil"/>
              <w:right w:val="single" w:sz="4" w:space="0" w:color="auto"/>
            </w:tcBorders>
            <w:shd w:val="clear" w:color="auto" w:fill="auto"/>
            <w:noWrap/>
            <w:vAlign w:val="bottom"/>
            <w:hideMark/>
          </w:tcPr>
          <w:p w:rsidR="009C2764" w:rsidRDefault="009C2764" w:rsidP="009C2764">
            <w:pPr>
              <w:rPr>
                <w:rFonts w:ascii="Arial" w:hAnsi="Arial" w:cs="Arial"/>
                <w:sz w:val="20"/>
                <w:szCs w:val="20"/>
                <w:u w:val="double"/>
              </w:rPr>
            </w:pPr>
          </w:p>
        </w:tc>
      </w:tr>
      <w:tr w:rsidR="009C2764" w:rsidTr="009C2764">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2799" w:type="dxa"/>
            <w:tcBorders>
              <w:top w:val="nil"/>
              <w:left w:val="nil"/>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206" w:type="dxa"/>
            <w:tcBorders>
              <w:top w:val="nil"/>
              <w:left w:val="nil"/>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237" w:type="dxa"/>
            <w:tcBorders>
              <w:top w:val="nil"/>
              <w:left w:val="nil"/>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206" w:type="dxa"/>
            <w:gridSpan w:val="2"/>
            <w:tcBorders>
              <w:top w:val="nil"/>
              <w:left w:val="nil"/>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608" w:type="dxa"/>
            <w:tcBorders>
              <w:top w:val="nil"/>
              <w:left w:val="nil"/>
              <w:bottom w:val="single" w:sz="4" w:space="0" w:color="auto"/>
              <w:right w:val="nil"/>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279" w:type="dxa"/>
            <w:gridSpan w:val="2"/>
            <w:tcBorders>
              <w:top w:val="nil"/>
              <w:left w:val="nil"/>
              <w:bottom w:val="single" w:sz="4" w:space="0" w:color="auto"/>
              <w:right w:val="single" w:sz="4" w:space="0" w:color="auto"/>
            </w:tcBorders>
            <w:shd w:val="clear" w:color="auto" w:fill="auto"/>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bl>
    <w:p w:rsidR="009C2764" w:rsidRDefault="009C2764" w:rsidP="001F3A1D">
      <w:pPr>
        <w:pStyle w:val="BodyText"/>
        <w:sectPr w:rsidR="009C2764" w:rsidSect="009C2764">
          <w:headerReference w:type="default" r:id="rId40"/>
          <w:footerReference w:type="default" r:id="rId41"/>
          <w:pgSz w:w="12240" w:h="15840" w:code="1"/>
          <w:pgMar w:top="1584" w:right="1440" w:bottom="1440" w:left="1440" w:header="720" w:footer="720" w:gutter="0"/>
          <w:cols w:space="720"/>
          <w:formProt w:val="0"/>
          <w:docGrid w:linePitch="360"/>
        </w:sectPr>
      </w:pPr>
    </w:p>
    <w:p w:rsidR="009C2764" w:rsidRDefault="009C2764" w:rsidP="001F3A1D">
      <w:pPr>
        <w:pStyle w:val="BodyText"/>
      </w:pPr>
    </w:p>
    <w:tbl>
      <w:tblPr>
        <w:tblW w:w="10410" w:type="dxa"/>
        <w:jc w:val="center"/>
        <w:tblLook w:val="04A0" w:firstRow="1" w:lastRow="0" w:firstColumn="1" w:lastColumn="0" w:noHBand="0" w:noVBand="1"/>
      </w:tblPr>
      <w:tblGrid>
        <w:gridCol w:w="381"/>
        <w:gridCol w:w="6975"/>
        <w:gridCol w:w="1357"/>
        <w:gridCol w:w="1469"/>
        <w:gridCol w:w="283"/>
      </w:tblGrid>
      <w:tr w:rsidR="009C2764" w:rsidTr="009C2764">
        <w:trPr>
          <w:trHeight w:val="300"/>
          <w:jc w:val="center"/>
        </w:trPr>
        <w:tc>
          <w:tcPr>
            <w:tcW w:w="7301" w:type="dxa"/>
            <w:gridSpan w:val="2"/>
            <w:tcBorders>
              <w:top w:val="single" w:sz="4" w:space="0" w:color="auto"/>
              <w:left w:val="single" w:sz="4" w:space="0" w:color="auto"/>
              <w:bottom w:val="nil"/>
              <w:right w:val="nil"/>
            </w:tcBorders>
            <w:shd w:val="clear" w:color="000000" w:fill="FFFFFF"/>
            <w:noWrap/>
            <w:vAlign w:val="bottom"/>
            <w:hideMark/>
          </w:tcPr>
          <w:p w:rsidR="009C2764" w:rsidRDefault="009C2764" w:rsidP="009C2764">
            <w:pPr>
              <w:rPr>
                <w:rFonts w:ascii="Arial" w:hAnsi="Arial" w:cs="Arial"/>
                <w:b/>
                <w:bCs/>
              </w:rPr>
            </w:pPr>
            <w:bookmarkStart w:id="32" w:name="RANGE!B32:E58"/>
            <w:r>
              <w:rPr>
                <w:rFonts w:ascii="Arial" w:hAnsi="Arial" w:cs="Arial"/>
                <w:b/>
                <w:bCs/>
              </w:rPr>
              <w:t>Middleton Utility Company, LLC</w:t>
            </w:r>
            <w:bookmarkEnd w:id="32"/>
          </w:p>
        </w:tc>
        <w:tc>
          <w:tcPr>
            <w:tcW w:w="3109" w:type="dxa"/>
            <w:gridSpan w:val="3"/>
            <w:tcBorders>
              <w:top w:val="single" w:sz="4" w:space="0" w:color="auto"/>
              <w:left w:val="nil"/>
              <w:bottom w:val="nil"/>
              <w:right w:val="single" w:sz="4" w:space="0" w:color="000000"/>
            </w:tcBorders>
            <w:shd w:val="clear" w:color="000000" w:fill="FFFFFF"/>
            <w:noWrap/>
            <w:vAlign w:val="bottom"/>
            <w:hideMark/>
          </w:tcPr>
          <w:p w:rsidR="009C2764" w:rsidRDefault="009C2764" w:rsidP="009C2764">
            <w:pPr>
              <w:jc w:val="right"/>
              <w:rPr>
                <w:rFonts w:ascii="Arial" w:hAnsi="Arial" w:cs="Arial"/>
                <w:b/>
                <w:bCs/>
              </w:rPr>
            </w:pPr>
            <w:r>
              <w:rPr>
                <w:rFonts w:ascii="Arial" w:hAnsi="Arial" w:cs="Arial"/>
                <w:b/>
                <w:bCs/>
              </w:rPr>
              <w:t>Schedule No. 3-C</w:t>
            </w:r>
          </w:p>
        </w:tc>
      </w:tr>
      <w:tr w:rsidR="009C2764" w:rsidTr="009C2764">
        <w:trPr>
          <w:trHeight w:val="300"/>
          <w:jc w:val="center"/>
        </w:trPr>
        <w:tc>
          <w:tcPr>
            <w:tcW w:w="7301" w:type="dxa"/>
            <w:gridSpan w:val="2"/>
            <w:tcBorders>
              <w:top w:val="nil"/>
              <w:left w:val="single" w:sz="4" w:space="0" w:color="auto"/>
              <w:bottom w:val="nil"/>
              <w:right w:val="nil"/>
            </w:tcBorders>
            <w:shd w:val="clear" w:color="000000" w:fill="FFFFFF"/>
            <w:noWrap/>
            <w:vAlign w:val="bottom"/>
            <w:hideMark/>
          </w:tcPr>
          <w:p w:rsidR="009C2764" w:rsidRDefault="009C2764" w:rsidP="009C2764">
            <w:pPr>
              <w:rPr>
                <w:rFonts w:ascii="Arial" w:hAnsi="Arial" w:cs="Arial"/>
                <w:b/>
                <w:bCs/>
              </w:rPr>
            </w:pPr>
            <w:r>
              <w:rPr>
                <w:rFonts w:ascii="Arial" w:hAnsi="Arial" w:cs="Arial"/>
                <w:b/>
                <w:bCs/>
              </w:rPr>
              <w:t>Adjustments to Operating Income</w:t>
            </w:r>
          </w:p>
        </w:tc>
        <w:tc>
          <w:tcPr>
            <w:tcW w:w="3109" w:type="dxa"/>
            <w:gridSpan w:val="3"/>
            <w:tcBorders>
              <w:top w:val="nil"/>
              <w:left w:val="nil"/>
              <w:bottom w:val="nil"/>
              <w:right w:val="single" w:sz="4" w:space="0" w:color="000000"/>
            </w:tcBorders>
            <w:shd w:val="clear" w:color="000000" w:fill="FFFFFF"/>
            <w:noWrap/>
            <w:vAlign w:val="bottom"/>
            <w:hideMark/>
          </w:tcPr>
          <w:p w:rsidR="009C2764" w:rsidRDefault="009C2764" w:rsidP="009C2764">
            <w:pPr>
              <w:jc w:val="right"/>
              <w:rPr>
                <w:rFonts w:ascii="Arial" w:hAnsi="Arial" w:cs="Arial"/>
                <w:b/>
                <w:bCs/>
              </w:rPr>
            </w:pPr>
            <w:r>
              <w:rPr>
                <w:rFonts w:ascii="Arial" w:hAnsi="Arial" w:cs="Arial"/>
                <w:b/>
                <w:bCs/>
              </w:rPr>
              <w:t>20220088-WS</w:t>
            </w:r>
          </w:p>
        </w:tc>
      </w:tr>
      <w:tr w:rsidR="009C2764" w:rsidTr="009C2764">
        <w:trPr>
          <w:trHeight w:val="300"/>
          <w:jc w:val="center"/>
        </w:trPr>
        <w:tc>
          <w:tcPr>
            <w:tcW w:w="7301" w:type="dxa"/>
            <w:gridSpan w:val="2"/>
            <w:tcBorders>
              <w:top w:val="nil"/>
              <w:left w:val="single" w:sz="4" w:space="0" w:color="auto"/>
              <w:bottom w:val="single" w:sz="4" w:space="0" w:color="auto"/>
              <w:right w:val="nil"/>
            </w:tcBorders>
            <w:shd w:val="clear" w:color="000000" w:fill="FFFFFF"/>
            <w:noWrap/>
            <w:vAlign w:val="bottom"/>
            <w:hideMark/>
          </w:tcPr>
          <w:p w:rsidR="009C2764" w:rsidRDefault="009C2764" w:rsidP="009C2764">
            <w:pPr>
              <w:rPr>
                <w:rFonts w:ascii="Arial" w:hAnsi="Arial" w:cs="Arial"/>
                <w:b/>
                <w:bCs/>
              </w:rPr>
            </w:pPr>
            <w:r>
              <w:rPr>
                <w:rFonts w:ascii="Arial" w:hAnsi="Arial" w:cs="Arial"/>
                <w:b/>
                <w:bCs/>
              </w:rPr>
              <w:t>80% Design Capacity</w:t>
            </w:r>
          </w:p>
        </w:tc>
        <w:tc>
          <w:tcPr>
            <w:tcW w:w="1357" w:type="dxa"/>
            <w:tcBorders>
              <w:top w:val="nil"/>
              <w:left w:val="nil"/>
              <w:bottom w:val="nil"/>
              <w:right w:val="nil"/>
            </w:tcBorders>
            <w:shd w:val="clear" w:color="000000" w:fill="FFFFFF"/>
            <w:noWrap/>
            <w:vAlign w:val="bottom"/>
            <w:hideMark/>
          </w:tcPr>
          <w:p w:rsidR="009C2764" w:rsidRDefault="009C2764" w:rsidP="009C2764">
            <w:pPr>
              <w:jc w:val="right"/>
              <w:rPr>
                <w:rFonts w:ascii="Arial" w:hAnsi="Arial" w:cs="Arial"/>
                <w:b/>
                <w:bCs/>
              </w:rPr>
            </w:pPr>
            <w:r>
              <w:rPr>
                <w:rFonts w:ascii="Arial" w:hAnsi="Arial" w:cs="Arial"/>
                <w:b/>
                <w:bCs/>
              </w:rPr>
              <w:t> </w:t>
            </w:r>
          </w:p>
        </w:tc>
        <w:tc>
          <w:tcPr>
            <w:tcW w:w="1469" w:type="dxa"/>
            <w:tcBorders>
              <w:top w:val="nil"/>
              <w:left w:val="nil"/>
              <w:bottom w:val="nil"/>
              <w:right w:val="nil"/>
            </w:tcBorders>
            <w:shd w:val="clear" w:color="000000" w:fill="FFFFFF"/>
            <w:noWrap/>
            <w:vAlign w:val="bottom"/>
            <w:hideMark/>
          </w:tcPr>
          <w:p w:rsidR="009C2764" w:rsidRDefault="009C2764" w:rsidP="009C2764">
            <w:pPr>
              <w:rPr>
                <w:rFonts w:ascii="Arial" w:hAnsi="Arial" w:cs="Arial"/>
                <w:b/>
                <w:bCs/>
              </w:rPr>
            </w:pPr>
            <w:r>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rFonts w:ascii="Arial" w:hAnsi="Arial" w:cs="Arial"/>
              </w:rPr>
            </w:pPr>
            <w:r>
              <w:rPr>
                <w:rFonts w:ascii="Arial" w:hAnsi="Arial" w:cs="Arial"/>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357" w:type="dxa"/>
            <w:tcBorders>
              <w:top w:val="single" w:sz="4" w:space="0" w:color="000000"/>
              <w:left w:val="nil"/>
              <w:bottom w:val="nil"/>
              <w:right w:val="nil"/>
            </w:tcBorders>
            <w:shd w:val="clear" w:color="000000" w:fill="FFFFFF"/>
            <w:noWrap/>
            <w:vAlign w:val="bottom"/>
            <w:hideMark/>
          </w:tcPr>
          <w:p w:rsidR="009C2764" w:rsidRDefault="009C2764" w:rsidP="009C2764">
            <w:pPr>
              <w:jc w:val="center"/>
              <w:rPr>
                <w:rFonts w:ascii="Arial" w:hAnsi="Arial" w:cs="Arial"/>
                <w:sz w:val="20"/>
                <w:szCs w:val="20"/>
              </w:rPr>
            </w:pPr>
            <w:r>
              <w:rPr>
                <w:rFonts w:ascii="Arial" w:hAnsi="Arial" w:cs="Arial"/>
                <w:sz w:val="20"/>
                <w:szCs w:val="20"/>
              </w:rPr>
              <w:t> </w:t>
            </w:r>
          </w:p>
        </w:tc>
        <w:tc>
          <w:tcPr>
            <w:tcW w:w="1469" w:type="dxa"/>
            <w:tcBorders>
              <w:top w:val="single" w:sz="4" w:space="0" w:color="000000"/>
              <w:left w:val="nil"/>
              <w:bottom w:val="nil"/>
              <w:right w:val="nil"/>
            </w:tcBorders>
            <w:shd w:val="clear" w:color="000000" w:fill="FFFFFF"/>
            <w:noWrap/>
            <w:vAlign w:val="bottom"/>
            <w:hideMark/>
          </w:tcPr>
          <w:p w:rsidR="009C2764" w:rsidRDefault="009C2764" w:rsidP="009C2764">
            <w:pPr>
              <w:jc w:val="center"/>
              <w:rPr>
                <w:rFonts w:ascii="Arial" w:hAnsi="Arial" w:cs="Arial"/>
                <w:sz w:val="20"/>
                <w:szCs w:val="20"/>
              </w:rPr>
            </w:pPr>
            <w:r>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Explanation</w:t>
            </w:r>
          </w:p>
        </w:tc>
        <w:tc>
          <w:tcPr>
            <w:tcW w:w="1357" w:type="dxa"/>
            <w:tcBorders>
              <w:top w:val="nil"/>
              <w:left w:val="nil"/>
              <w:bottom w:val="nil"/>
              <w:right w:val="nil"/>
            </w:tcBorders>
            <w:shd w:val="clear" w:color="000000" w:fill="FFFFFF"/>
            <w:noWrap/>
            <w:vAlign w:val="bottom"/>
            <w:hideMark/>
          </w:tcPr>
          <w:p w:rsidR="009C2764" w:rsidRDefault="009C2764" w:rsidP="009C2764">
            <w:pPr>
              <w:jc w:val="center"/>
              <w:rPr>
                <w:b/>
                <w:bCs/>
                <w:sz w:val="22"/>
                <w:szCs w:val="22"/>
              </w:rPr>
            </w:pPr>
            <w:r>
              <w:rPr>
                <w:b/>
                <w:bCs/>
                <w:sz w:val="22"/>
                <w:szCs w:val="22"/>
              </w:rPr>
              <w:t>Water</w:t>
            </w:r>
          </w:p>
        </w:tc>
        <w:tc>
          <w:tcPr>
            <w:tcW w:w="1469" w:type="dxa"/>
            <w:tcBorders>
              <w:top w:val="nil"/>
              <w:left w:val="nil"/>
              <w:bottom w:val="nil"/>
              <w:right w:val="nil"/>
            </w:tcBorders>
            <w:shd w:val="clear" w:color="000000" w:fill="FFFFFF"/>
            <w:noWrap/>
            <w:vAlign w:val="bottom"/>
            <w:hideMark/>
          </w:tcPr>
          <w:p w:rsidR="009C2764" w:rsidRDefault="009C2764" w:rsidP="009C2764">
            <w:pPr>
              <w:jc w:val="center"/>
              <w:rPr>
                <w:b/>
                <w:bCs/>
                <w:sz w:val="22"/>
                <w:szCs w:val="22"/>
              </w:rPr>
            </w:pPr>
            <w:r>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jc w:val="center"/>
              <w:rPr>
                <w:rFonts w:ascii="Arial" w:hAnsi="Arial" w:cs="Arial"/>
                <w:sz w:val="20"/>
                <w:szCs w:val="20"/>
              </w:rPr>
            </w:pPr>
            <w:r>
              <w:rPr>
                <w:rFonts w:ascii="Arial" w:hAnsi="Arial" w:cs="Arial"/>
                <w:sz w:val="20"/>
                <w:szCs w:val="20"/>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c>
          <w:tcPr>
            <w:tcW w:w="1357" w:type="dxa"/>
            <w:tcBorders>
              <w:top w:val="nil"/>
              <w:left w:val="nil"/>
              <w:bottom w:val="nil"/>
              <w:right w:val="nil"/>
            </w:tcBorders>
            <w:shd w:val="clear" w:color="000000" w:fill="FFFFFF"/>
            <w:noWrap/>
            <w:vAlign w:val="bottom"/>
            <w:hideMark/>
          </w:tcPr>
          <w:p w:rsidR="009C2764" w:rsidRDefault="009C2764" w:rsidP="009C2764">
            <w:pPr>
              <w:jc w:val="center"/>
              <w:rPr>
                <w:rFonts w:ascii="Arial" w:hAnsi="Arial" w:cs="Arial"/>
                <w:sz w:val="20"/>
                <w:szCs w:val="20"/>
              </w:rPr>
            </w:pPr>
            <w:r>
              <w:rPr>
                <w:rFonts w:ascii="Arial" w:hAnsi="Arial" w:cs="Arial"/>
                <w:sz w:val="20"/>
                <w:szCs w:val="20"/>
              </w:rPr>
              <w:t> </w:t>
            </w:r>
          </w:p>
        </w:tc>
        <w:tc>
          <w:tcPr>
            <w:tcW w:w="1469" w:type="dxa"/>
            <w:tcBorders>
              <w:top w:val="nil"/>
              <w:left w:val="nil"/>
              <w:bottom w:val="nil"/>
              <w:right w:val="nil"/>
            </w:tcBorders>
            <w:shd w:val="clear" w:color="000000" w:fill="FFFFFF"/>
            <w:noWrap/>
            <w:vAlign w:val="bottom"/>
            <w:hideMark/>
          </w:tcPr>
          <w:p w:rsidR="009C2764" w:rsidRDefault="009C2764" w:rsidP="009C2764">
            <w:pPr>
              <w:jc w:val="center"/>
              <w:rPr>
                <w:rFonts w:ascii="Arial" w:hAnsi="Arial" w:cs="Arial"/>
                <w:sz w:val="20"/>
                <w:szCs w:val="20"/>
              </w:rPr>
            </w:pPr>
            <w:r>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rFonts w:ascii="Arial" w:hAnsi="Arial" w:cs="Arial"/>
                <w:sz w:val="20"/>
                <w:szCs w:val="20"/>
              </w:rPr>
            </w:pPr>
            <w:r>
              <w:rPr>
                <w:rFonts w:ascii="Arial" w:hAnsi="Arial" w:cs="Arial"/>
                <w:sz w:val="20"/>
                <w:szCs w:val="20"/>
              </w:rPr>
              <w:t> </w:t>
            </w:r>
          </w:p>
        </w:tc>
      </w:tr>
      <w:tr w:rsidR="009C2764" w:rsidTr="009C2764">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7"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single" w:sz="4" w:space="0" w:color="000000"/>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Operation and Maintenance Expense</w:t>
            </w:r>
          </w:p>
        </w:tc>
        <w:tc>
          <w:tcPr>
            <w:tcW w:w="1357"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tcPr>
          <w:p w:rsidR="009C2764" w:rsidRDefault="009C2764" w:rsidP="009C2764">
            <w:pPr>
              <w:jc w:val="center"/>
              <w:rPr>
                <w:sz w:val="22"/>
                <w:szCs w:val="22"/>
              </w:rPr>
            </w:pPr>
          </w:p>
        </w:tc>
        <w:tc>
          <w:tcPr>
            <w:tcW w:w="6975" w:type="dxa"/>
            <w:tcBorders>
              <w:top w:val="nil"/>
              <w:left w:val="nil"/>
              <w:bottom w:val="nil"/>
              <w:right w:val="nil"/>
            </w:tcBorders>
            <w:shd w:val="clear" w:color="000000" w:fill="FFFFFF"/>
            <w:noWrap/>
            <w:vAlign w:val="bottom"/>
          </w:tcPr>
          <w:p w:rsidR="009C2764" w:rsidRPr="00D630B0" w:rsidRDefault="009C2764" w:rsidP="009C2764">
            <w:pPr>
              <w:rPr>
                <w:bCs/>
                <w:sz w:val="22"/>
                <w:szCs w:val="22"/>
              </w:rPr>
            </w:pPr>
            <w:r w:rsidRPr="00D630B0">
              <w:rPr>
                <w:bCs/>
                <w:sz w:val="22"/>
                <w:szCs w:val="22"/>
              </w:rPr>
              <w:t>To reflect correct amount of purchased water and sewage treatment expense.</w:t>
            </w:r>
          </w:p>
        </w:tc>
        <w:tc>
          <w:tcPr>
            <w:tcW w:w="1357" w:type="dxa"/>
            <w:tcBorders>
              <w:top w:val="nil"/>
              <w:left w:val="nil"/>
              <w:bottom w:val="nil"/>
              <w:right w:val="nil"/>
            </w:tcBorders>
            <w:shd w:val="clear" w:color="000000" w:fill="FFFFFF"/>
            <w:noWrap/>
            <w:vAlign w:val="bottom"/>
          </w:tcPr>
          <w:p w:rsidR="009C2764" w:rsidRPr="002253A7" w:rsidRDefault="009C2764" w:rsidP="009C2764">
            <w:pPr>
              <w:jc w:val="right"/>
              <w:rPr>
                <w:sz w:val="22"/>
                <w:szCs w:val="22"/>
                <w:u w:val="double"/>
              </w:rPr>
            </w:pPr>
            <w:r w:rsidRPr="002253A7">
              <w:rPr>
                <w:sz w:val="22"/>
                <w:szCs w:val="22"/>
                <w:u w:val="double"/>
              </w:rPr>
              <w:t>$150,405</w:t>
            </w:r>
          </w:p>
        </w:tc>
        <w:tc>
          <w:tcPr>
            <w:tcW w:w="1469" w:type="dxa"/>
            <w:tcBorders>
              <w:top w:val="nil"/>
              <w:left w:val="nil"/>
              <w:bottom w:val="nil"/>
              <w:right w:val="nil"/>
            </w:tcBorders>
            <w:shd w:val="clear" w:color="000000" w:fill="FFFFFF"/>
            <w:noWrap/>
            <w:vAlign w:val="bottom"/>
          </w:tcPr>
          <w:p w:rsidR="009C2764" w:rsidRPr="002253A7" w:rsidRDefault="009C2764" w:rsidP="009C2764">
            <w:pPr>
              <w:jc w:val="right"/>
              <w:rPr>
                <w:sz w:val="22"/>
                <w:szCs w:val="22"/>
                <w:u w:val="double"/>
              </w:rPr>
            </w:pPr>
            <w:r w:rsidRPr="002253A7">
              <w:rPr>
                <w:sz w:val="22"/>
                <w:szCs w:val="22"/>
                <w:u w:val="double"/>
              </w:rPr>
              <w:t>$1,209,078</w:t>
            </w:r>
          </w:p>
        </w:tc>
        <w:tc>
          <w:tcPr>
            <w:tcW w:w="283" w:type="dxa"/>
            <w:tcBorders>
              <w:top w:val="nil"/>
              <w:left w:val="nil"/>
              <w:bottom w:val="nil"/>
              <w:right w:val="single" w:sz="4" w:space="0" w:color="auto"/>
            </w:tcBorders>
            <w:shd w:val="clear" w:color="000000" w:fill="FFFFFF"/>
            <w:noWrap/>
            <w:vAlign w:val="bottom"/>
          </w:tcPr>
          <w:p w:rsidR="009C2764" w:rsidRDefault="009C2764" w:rsidP="009C2764">
            <w:pPr>
              <w:rPr>
                <w:sz w:val="22"/>
                <w:szCs w:val="22"/>
              </w:rPr>
            </w:pP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tcPr>
          <w:p w:rsidR="009C2764" w:rsidRDefault="009C2764" w:rsidP="009C2764">
            <w:pPr>
              <w:jc w:val="center"/>
              <w:rPr>
                <w:sz w:val="22"/>
                <w:szCs w:val="22"/>
              </w:rPr>
            </w:pPr>
          </w:p>
        </w:tc>
        <w:tc>
          <w:tcPr>
            <w:tcW w:w="6975" w:type="dxa"/>
            <w:tcBorders>
              <w:top w:val="nil"/>
              <w:left w:val="nil"/>
              <w:bottom w:val="nil"/>
              <w:right w:val="nil"/>
            </w:tcBorders>
            <w:shd w:val="clear" w:color="000000" w:fill="FFFFFF"/>
            <w:noWrap/>
            <w:vAlign w:val="bottom"/>
          </w:tcPr>
          <w:p w:rsidR="009C2764" w:rsidRDefault="009C2764" w:rsidP="009C2764">
            <w:pPr>
              <w:rPr>
                <w:b/>
                <w:bCs/>
                <w:sz w:val="22"/>
                <w:szCs w:val="22"/>
              </w:rPr>
            </w:pPr>
          </w:p>
        </w:tc>
        <w:tc>
          <w:tcPr>
            <w:tcW w:w="1357" w:type="dxa"/>
            <w:tcBorders>
              <w:top w:val="nil"/>
              <w:left w:val="nil"/>
              <w:bottom w:val="nil"/>
              <w:right w:val="nil"/>
            </w:tcBorders>
            <w:shd w:val="clear" w:color="000000" w:fill="FFFFFF"/>
            <w:noWrap/>
            <w:vAlign w:val="bottom"/>
          </w:tcPr>
          <w:p w:rsidR="009C2764" w:rsidRDefault="009C2764" w:rsidP="009C2764">
            <w:pPr>
              <w:rPr>
                <w:sz w:val="22"/>
                <w:szCs w:val="22"/>
              </w:rPr>
            </w:pPr>
          </w:p>
        </w:tc>
        <w:tc>
          <w:tcPr>
            <w:tcW w:w="1469" w:type="dxa"/>
            <w:tcBorders>
              <w:top w:val="nil"/>
              <w:left w:val="nil"/>
              <w:bottom w:val="nil"/>
              <w:right w:val="nil"/>
            </w:tcBorders>
            <w:shd w:val="clear" w:color="000000" w:fill="FFFFFF"/>
            <w:noWrap/>
            <w:vAlign w:val="bottom"/>
          </w:tcPr>
          <w:p w:rsidR="009C2764" w:rsidRDefault="009C2764" w:rsidP="009C2764">
            <w:pPr>
              <w:rPr>
                <w:sz w:val="22"/>
                <w:szCs w:val="22"/>
              </w:rPr>
            </w:pPr>
          </w:p>
        </w:tc>
        <w:tc>
          <w:tcPr>
            <w:tcW w:w="283" w:type="dxa"/>
            <w:tcBorders>
              <w:top w:val="nil"/>
              <w:left w:val="nil"/>
              <w:bottom w:val="nil"/>
              <w:right w:val="single" w:sz="4" w:space="0" w:color="auto"/>
            </w:tcBorders>
            <w:shd w:val="clear" w:color="000000" w:fill="FFFFFF"/>
            <w:noWrap/>
            <w:vAlign w:val="bottom"/>
          </w:tcPr>
          <w:p w:rsidR="009C2764" w:rsidRDefault="009C2764" w:rsidP="009C2764">
            <w:pPr>
              <w:rPr>
                <w:sz w:val="22"/>
                <w:szCs w:val="22"/>
              </w:rPr>
            </w:pP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tcPr>
          <w:p w:rsidR="009C2764" w:rsidRDefault="009C2764" w:rsidP="009C2764">
            <w:pPr>
              <w:jc w:val="center"/>
              <w:rPr>
                <w:sz w:val="22"/>
                <w:szCs w:val="22"/>
              </w:rPr>
            </w:pPr>
          </w:p>
        </w:tc>
        <w:tc>
          <w:tcPr>
            <w:tcW w:w="6975" w:type="dxa"/>
            <w:tcBorders>
              <w:top w:val="nil"/>
              <w:left w:val="nil"/>
              <w:bottom w:val="nil"/>
              <w:right w:val="nil"/>
            </w:tcBorders>
            <w:shd w:val="clear" w:color="000000" w:fill="FFFFFF"/>
            <w:noWrap/>
            <w:vAlign w:val="bottom"/>
          </w:tcPr>
          <w:p w:rsidR="009C2764" w:rsidRDefault="009C2764" w:rsidP="009C2764">
            <w:pPr>
              <w:rPr>
                <w:b/>
                <w:bCs/>
                <w:sz w:val="22"/>
                <w:szCs w:val="22"/>
              </w:rPr>
            </w:pPr>
            <w:r>
              <w:rPr>
                <w:b/>
                <w:bCs/>
                <w:sz w:val="22"/>
                <w:szCs w:val="22"/>
              </w:rPr>
              <w:t>Depreciation Expense - Net</w:t>
            </w:r>
          </w:p>
        </w:tc>
        <w:tc>
          <w:tcPr>
            <w:tcW w:w="1357" w:type="dxa"/>
            <w:tcBorders>
              <w:top w:val="nil"/>
              <w:left w:val="nil"/>
              <w:bottom w:val="nil"/>
              <w:right w:val="nil"/>
            </w:tcBorders>
            <w:shd w:val="clear" w:color="000000" w:fill="FFFFFF"/>
            <w:noWrap/>
            <w:vAlign w:val="bottom"/>
          </w:tcPr>
          <w:p w:rsidR="009C2764" w:rsidRDefault="009C2764" w:rsidP="009C2764">
            <w:pPr>
              <w:rPr>
                <w:sz w:val="22"/>
                <w:szCs w:val="22"/>
              </w:rPr>
            </w:pPr>
          </w:p>
        </w:tc>
        <w:tc>
          <w:tcPr>
            <w:tcW w:w="1469" w:type="dxa"/>
            <w:tcBorders>
              <w:top w:val="nil"/>
              <w:left w:val="nil"/>
              <w:bottom w:val="nil"/>
              <w:right w:val="nil"/>
            </w:tcBorders>
            <w:shd w:val="clear" w:color="000000" w:fill="FFFFFF"/>
            <w:noWrap/>
            <w:vAlign w:val="bottom"/>
          </w:tcPr>
          <w:p w:rsidR="009C2764" w:rsidRDefault="009C2764" w:rsidP="009C2764">
            <w:pPr>
              <w:rPr>
                <w:sz w:val="22"/>
                <w:szCs w:val="22"/>
              </w:rPr>
            </w:pPr>
          </w:p>
        </w:tc>
        <w:tc>
          <w:tcPr>
            <w:tcW w:w="283" w:type="dxa"/>
            <w:tcBorders>
              <w:top w:val="nil"/>
              <w:left w:val="nil"/>
              <w:bottom w:val="nil"/>
              <w:right w:val="single" w:sz="4" w:space="0" w:color="auto"/>
            </w:tcBorders>
            <w:shd w:val="clear" w:color="000000" w:fill="FFFFFF"/>
            <w:noWrap/>
            <w:vAlign w:val="bottom"/>
          </w:tcPr>
          <w:p w:rsidR="009C2764" w:rsidRDefault="009C2764" w:rsidP="009C2764">
            <w:pPr>
              <w:rPr>
                <w:sz w:val="22"/>
                <w:szCs w:val="22"/>
              </w:rPr>
            </w:pP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right"/>
              <w:rPr>
                <w:sz w:val="22"/>
                <w:szCs w:val="22"/>
              </w:rPr>
            </w:pPr>
            <w:r>
              <w:rPr>
                <w:sz w:val="22"/>
                <w:szCs w:val="22"/>
              </w:rPr>
              <w:t> 1</w:t>
            </w:r>
          </w:p>
        </w:tc>
        <w:tc>
          <w:tcPr>
            <w:tcW w:w="6975"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To reflect correct levels of plant in service and amortization rate for CIAC.</w:t>
            </w:r>
          </w:p>
        </w:tc>
        <w:tc>
          <w:tcPr>
            <w:tcW w:w="1357" w:type="dxa"/>
            <w:tcBorders>
              <w:top w:val="nil"/>
              <w:left w:val="nil"/>
              <w:bottom w:val="nil"/>
              <w:right w:val="nil"/>
            </w:tcBorders>
            <w:shd w:val="clear" w:color="000000" w:fill="FFFFFF"/>
            <w:noWrap/>
            <w:vAlign w:val="bottom"/>
            <w:hideMark/>
          </w:tcPr>
          <w:p w:rsidR="009C2764" w:rsidRPr="0049744F" w:rsidRDefault="009C2764" w:rsidP="009C2764">
            <w:pPr>
              <w:jc w:val="right"/>
              <w:rPr>
                <w:sz w:val="22"/>
                <w:szCs w:val="22"/>
              </w:rPr>
            </w:pPr>
            <w:r w:rsidRPr="0049744F">
              <w:rPr>
                <w:sz w:val="22"/>
                <w:szCs w:val="22"/>
              </w:rPr>
              <w:t xml:space="preserve">$94,477 </w:t>
            </w:r>
          </w:p>
        </w:tc>
        <w:tc>
          <w:tcPr>
            <w:tcW w:w="1469" w:type="dxa"/>
            <w:tcBorders>
              <w:top w:val="nil"/>
              <w:left w:val="nil"/>
              <w:bottom w:val="nil"/>
              <w:right w:val="nil"/>
            </w:tcBorders>
            <w:shd w:val="clear" w:color="000000" w:fill="FFFFFF"/>
            <w:noWrap/>
            <w:vAlign w:val="bottom"/>
            <w:hideMark/>
          </w:tcPr>
          <w:p w:rsidR="009C2764" w:rsidRPr="0049744F" w:rsidRDefault="009C2764" w:rsidP="009C2764">
            <w:pPr>
              <w:jc w:val="right"/>
              <w:rPr>
                <w:sz w:val="22"/>
                <w:szCs w:val="22"/>
              </w:rPr>
            </w:pPr>
            <w:r w:rsidRPr="0049744F">
              <w:rPr>
                <w:sz w:val="22"/>
                <w:szCs w:val="22"/>
              </w:rPr>
              <w:t xml:space="preserve">$394,512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right"/>
              <w:rPr>
                <w:sz w:val="22"/>
                <w:szCs w:val="22"/>
              </w:rPr>
            </w:pPr>
            <w:r>
              <w:rPr>
                <w:sz w:val="22"/>
                <w:szCs w:val="22"/>
              </w:rPr>
              <w:t> 2</w:t>
            </w:r>
          </w:p>
        </w:tc>
        <w:tc>
          <w:tcPr>
            <w:tcW w:w="6975"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To reclassify amortization expense to depreciation expense.</w:t>
            </w:r>
          </w:p>
        </w:tc>
        <w:tc>
          <w:tcPr>
            <w:tcW w:w="1357" w:type="dxa"/>
            <w:tcBorders>
              <w:top w:val="nil"/>
              <w:left w:val="nil"/>
              <w:bottom w:val="nil"/>
              <w:right w:val="nil"/>
            </w:tcBorders>
            <w:shd w:val="clear" w:color="000000" w:fill="FFFFFF"/>
            <w:noWrap/>
            <w:vAlign w:val="bottom"/>
            <w:hideMark/>
          </w:tcPr>
          <w:p w:rsidR="009C2764" w:rsidRPr="0049744F" w:rsidRDefault="009C2764" w:rsidP="009C2764">
            <w:pPr>
              <w:jc w:val="right"/>
              <w:rPr>
                <w:sz w:val="22"/>
                <w:szCs w:val="22"/>
                <w:u w:val="single"/>
              </w:rPr>
            </w:pPr>
            <w:r w:rsidRPr="0049744F">
              <w:rPr>
                <w:sz w:val="22"/>
                <w:szCs w:val="22"/>
                <w:u w:val="single"/>
              </w:rPr>
              <w:t xml:space="preserve">62,466 </w:t>
            </w:r>
          </w:p>
        </w:tc>
        <w:tc>
          <w:tcPr>
            <w:tcW w:w="1469" w:type="dxa"/>
            <w:tcBorders>
              <w:top w:val="nil"/>
              <w:left w:val="nil"/>
              <w:bottom w:val="nil"/>
              <w:right w:val="nil"/>
            </w:tcBorders>
            <w:shd w:val="clear" w:color="000000" w:fill="FFFFFF"/>
            <w:noWrap/>
            <w:vAlign w:val="bottom"/>
            <w:hideMark/>
          </w:tcPr>
          <w:p w:rsidR="009C2764" w:rsidRPr="0049744F" w:rsidRDefault="009C2764" w:rsidP="009C2764">
            <w:pPr>
              <w:jc w:val="right"/>
              <w:rPr>
                <w:sz w:val="22"/>
                <w:szCs w:val="22"/>
                <w:u w:val="single"/>
              </w:rPr>
            </w:pPr>
            <w:r w:rsidRPr="0049744F">
              <w:rPr>
                <w:sz w:val="22"/>
                <w:szCs w:val="22"/>
                <w:u w:val="single"/>
              </w:rPr>
              <w:t xml:space="preserve">90,704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 xml:space="preserve">    Total</w:t>
            </w:r>
          </w:p>
        </w:tc>
        <w:tc>
          <w:tcPr>
            <w:tcW w:w="1357" w:type="dxa"/>
            <w:tcBorders>
              <w:top w:val="nil"/>
              <w:left w:val="nil"/>
              <w:bottom w:val="nil"/>
              <w:right w:val="nil"/>
            </w:tcBorders>
            <w:shd w:val="clear" w:color="000000" w:fill="FFFFFF"/>
            <w:noWrap/>
            <w:vAlign w:val="bottom"/>
            <w:hideMark/>
          </w:tcPr>
          <w:p w:rsidR="009C2764" w:rsidRPr="0049744F" w:rsidRDefault="009C2764" w:rsidP="009C2764">
            <w:pPr>
              <w:jc w:val="right"/>
              <w:rPr>
                <w:sz w:val="22"/>
                <w:szCs w:val="22"/>
                <w:u w:val="double"/>
              </w:rPr>
            </w:pPr>
            <w:r w:rsidRPr="0049744F">
              <w:rPr>
                <w:sz w:val="22"/>
                <w:szCs w:val="22"/>
                <w:u w:val="double"/>
              </w:rPr>
              <w:t xml:space="preserve">$156,943 </w:t>
            </w:r>
          </w:p>
        </w:tc>
        <w:tc>
          <w:tcPr>
            <w:tcW w:w="1469" w:type="dxa"/>
            <w:tcBorders>
              <w:top w:val="nil"/>
              <w:left w:val="nil"/>
              <w:bottom w:val="nil"/>
              <w:right w:val="nil"/>
            </w:tcBorders>
            <w:shd w:val="clear" w:color="000000" w:fill="FFFFFF"/>
            <w:noWrap/>
            <w:vAlign w:val="bottom"/>
            <w:hideMark/>
          </w:tcPr>
          <w:p w:rsidR="009C2764" w:rsidRPr="0049744F" w:rsidRDefault="009C2764" w:rsidP="009C2764">
            <w:pPr>
              <w:jc w:val="right"/>
              <w:rPr>
                <w:sz w:val="22"/>
                <w:szCs w:val="22"/>
                <w:u w:val="double"/>
              </w:rPr>
            </w:pPr>
            <w:r w:rsidRPr="0049744F">
              <w:rPr>
                <w:sz w:val="22"/>
                <w:szCs w:val="22"/>
                <w:u w:val="double"/>
              </w:rPr>
              <w:t xml:space="preserve">$485,216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7"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Amortization-Other Expense</w:t>
            </w:r>
          </w:p>
        </w:tc>
        <w:tc>
          <w:tcPr>
            <w:tcW w:w="1357"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To reclassify amortization expense to depreciation expense.</w:t>
            </w:r>
          </w:p>
        </w:tc>
        <w:tc>
          <w:tcPr>
            <w:tcW w:w="1357"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($62,466)</w:t>
            </w:r>
          </w:p>
        </w:tc>
        <w:tc>
          <w:tcPr>
            <w:tcW w:w="1469"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($90,704)</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u w:val="double"/>
              </w:rPr>
            </w:pP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7"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nil"/>
              <w:right w:val="nil"/>
            </w:tcBorders>
            <w:shd w:val="clear" w:color="000000" w:fill="FFFFFF"/>
            <w:noWrap/>
            <w:vAlign w:val="bottom"/>
            <w:hideMark/>
          </w:tcPr>
          <w:p w:rsidR="009C2764" w:rsidRDefault="009C2764" w:rsidP="009C2764">
            <w:pPr>
              <w:rPr>
                <w:b/>
                <w:bCs/>
                <w:sz w:val="22"/>
                <w:szCs w:val="22"/>
              </w:rPr>
            </w:pPr>
            <w:r>
              <w:rPr>
                <w:b/>
                <w:bCs/>
                <w:sz w:val="22"/>
                <w:szCs w:val="22"/>
              </w:rPr>
              <w:t>Taxes Other Than Income</w:t>
            </w:r>
          </w:p>
        </w:tc>
        <w:tc>
          <w:tcPr>
            <w:tcW w:w="1357"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nil"/>
              <w:right w:val="nil"/>
            </w:tcBorders>
            <w:shd w:val="clear" w:color="000000" w:fill="FFFFFF"/>
            <w:noWrap/>
            <w:vAlign w:val="bottom"/>
            <w:hideMark/>
          </w:tcPr>
          <w:p w:rsidR="009C2764" w:rsidRDefault="009C2764" w:rsidP="009C2764">
            <w:pPr>
              <w:jc w:val="center"/>
              <w:rPr>
                <w:sz w:val="22"/>
                <w:szCs w:val="22"/>
              </w:rPr>
            </w:pPr>
          </w:p>
        </w:tc>
        <w:tc>
          <w:tcPr>
            <w:tcW w:w="6975" w:type="dxa"/>
            <w:tcBorders>
              <w:top w:val="nil"/>
              <w:left w:val="nil"/>
              <w:bottom w:val="nil"/>
              <w:right w:val="nil"/>
            </w:tcBorders>
            <w:shd w:val="clear" w:color="000000" w:fill="FFFFFF"/>
            <w:noWrap/>
            <w:vAlign w:val="bottom"/>
            <w:hideMark/>
          </w:tcPr>
          <w:p w:rsidR="009C2764" w:rsidRDefault="009C2764" w:rsidP="009C2764">
            <w:pPr>
              <w:rPr>
                <w:sz w:val="22"/>
                <w:szCs w:val="22"/>
              </w:rPr>
            </w:pPr>
            <w:r>
              <w:rPr>
                <w:sz w:val="22"/>
                <w:szCs w:val="22"/>
              </w:rPr>
              <w:t>To reflect the most current millage rate for property tax calculation.</w:t>
            </w:r>
          </w:p>
        </w:tc>
        <w:tc>
          <w:tcPr>
            <w:tcW w:w="1357"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($7,468)</w:t>
            </w:r>
          </w:p>
        </w:tc>
        <w:tc>
          <w:tcPr>
            <w:tcW w:w="1469" w:type="dxa"/>
            <w:tcBorders>
              <w:top w:val="nil"/>
              <w:left w:val="nil"/>
              <w:bottom w:val="nil"/>
              <w:right w:val="nil"/>
            </w:tcBorders>
            <w:shd w:val="clear" w:color="000000" w:fill="FFFFFF"/>
            <w:noWrap/>
            <w:vAlign w:val="bottom"/>
            <w:hideMark/>
          </w:tcPr>
          <w:p w:rsidR="009C2764" w:rsidRDefault="009C2764" w:rsidP="009C2764">
            <w:pPr>
              <w:jc w:val="right"/>
              <w:rPr>
                <w:sz w:val="22"/>
                <w:szCs w:val="22"/>
                <w:u w:val="double"/>
              </w:rPr>
            </w:pPr>
            <w:r>
              <w:rPr>
                <w:sz w:val="22"/>
                <w:szCs w:val="22"/>
                <w:u w:val="double"/>
              </w:rPr>
              <w:t>($15,727)</w:t>
            </w:r>
          </w:p>
        </w:tc>
        <w:tc>
          <w:tcPr>
            <w:tcW w:w="283" w:type="dxa"/>
            <w:tcBorders>
              <w:top w:val="nil"/>
              <w:left w:val="nil"/>
              <w:bottom w:val="nil"/>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r w:rsidR="009C2764" w:rsidTr="009C2764">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9C2764" w:rsidRDefault="009C2764" w:rsidP="009C2764">
            <w:pPr>
              <w:jc w:val="center"/>
              <w:rPr>
                <w:sz w:val="22"/>
                <w:szCs w:val="22"/>
              </w:rPr>
            </w:pPr>
            <w:r>
              <w:rPr>
                <w:sz w:val="22"/>
                <w:szCs w:val="22"/>
              </w:rPr>
              <w:t> </w:t>
            </w:r>
          </w:p>
        </w:tc>
        <w:tc>
          <w:tcPr>
            <w:tcW w:w="6975"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357"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1469" w:type="dxa"/>
            <w:tcBorders>
              <w:top w:val="nil"/>
              <w:left w:val="nil"/>
              <w:bottom w:val="single" w:sz="4" w:space="0" w:color="auto"/>
              <w:right w:val="nil"/>
            </w:tcBorders>
            <w:shd w:val="clear" w:color="000000" w:fill="FFFFFF"/>
            <w:noWrap/>
            <w:vAlign w:val="bottom"/>
            <w:hideMark/>
          </w:tcPr>
          <w:p w:rsidR="009C2764" w:rsidRDefault="009C2764" w:rsidP="009C2764">
            <w:pPr>
              <w:rPr>
                <w:sz w:val="22"/>
                <w:szCs w:val="22"/>
              </w:rPr>
            </w:pPr>
            <w:r>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9C2764" w:rsidRDefault="009C2764" w:rsidP="009C2764">
            <w:pPr>
              <w:rPr>
                <w:sz w:val="22"/>
                <w:szCs w:val="22"/>
              </w:rPr>
            </w:pPr>
            <w:r>
              <w:rPr>
                <w:sz w:val="22"/>
                <w:szCs w:val="22"/>
              </w:rPr>
              <w:t> </w:t>
            </w:r>
          </w:p>
        </w:tc>
      </w:tr>
    </w:tbl>
    <w:p w:rsidR="009C2764" w:rsidRDefault="009C2764" w:rsidP="001F3A1D">
      <w:pPr>
        <w:pStyle w:val="BodyText"/>
      </w:pPr>
    </w:p>
    <w:p w:rsidR="0012722B" w:rsidRDefault="0012722B" w:rsidP="001F3A1D">
      <w:pPr>
        <w:pStyle w:val="BodyText"/>
        <w:sectPr w:rsidR="0012722B" w:rsidSect="009C2764">
          <w:headerReference w:type="default" r:id="rId42"/>
          <w:footerReference w:type="default" r:id="rId43"/>
          <w:pgSz w:w="12240" w:h="15840" w:code="1"/>
          <w:pgMar w:top="1584" w:right="1440" w:bottom="1440" w:left="1440" w:header="720" w:footer="720" w:gutter="0"/>
          <w:cols w:space="720"/>
          <w:formProt w:val="0"/>
          <w:docGrid w:linePitch="360"/>
        </w:sectPr>
      </w:pPr>
    </w:p>
    <w:tbl>
      <w:tblPr>
        <w:tblW w:w="10071" w:type="dxa"/>
        <w:jc w:val="center"/>
        <w:tblLook w:val="04A0" w:firstRow="1" w:lastRow="0" w:firstColumn="1" w:lastColumn="0" w:noHBand="0" w:noVBand="1"/>
      </w:tblPr>
      <w:tblGrid>
        <w:gridCol w:w="5497"/>
        <w:gridCol w:w="1674"/>
        <w:gridCol w:w="2900"/>
      </w:tblGrid>
      <w:tr w:rsidR="0012722B" w:rsidRPr="00C6690C" w:rsidTr="00713B88">
        <w:trPr>
          <w:trHeight w:val="303"/>
          <w:jc w:val="center"/>
        </w:trPr>
        <w:tc>
          <w:tcPr>
            <w:tcW w:w="5497" w:type="dxa"/>
            <w:tcBorders>
              <w:top w:val="single" w:sz="8" w:space="0" w:color="000000"/>
              <w:left w:val="single" w:sz="8" w:space="0" w:color="auto"/>
              <w:bottom w:val="nil"/>
              <w:right w:val="nil"/>
            </w:tcBorders>
            <w:shd w:val="clear" w:color="auto" w:fill="auto"/>
            <w:noWrap/>
            <w:vAlign w:val="center"/>
            <w:hideMark/>
          </w:tcPr>
          <w:p w:rsidR="0012722B" w:rsidRPr="00C6690C" w:rsidRDefault="0012722B" w:rsidP="00713B88">
            <w:pPr>
              <w:rPr>
                <w:b/>
                <w:bCs/>
                <w:color w:val="000000"/>
                <w:sz w:val="22"/>
              </w:rPr>
            </w:pPr>
            <w:r>
              <w:rPr>
                <w:b/>
                <w:bCs/>
                <w:color w:val="000000"/>
                <w:sz w:val="22"/>
              </w:rPr>
              <w:lastRenderedPageBreak/>
              <w:t>MIDDLETON UTILITY COMPANY, LLC.</w:t>
            </w:r>
          </w:p>
        </w:tc>
        <w:tc>
          <w:tcPr>
            <w:tcW w:w="1674" w:type="dxa"/>
            <w:tcBorders>
              <w:top w:val="single" w:sz="8" w:space="0" w:color="auto"/>
              <w:left w:val="nil"/>
              <w:bottom w:val="nil"/>
              <w:right w:val="nil"/>
            </w:tcBorders>
            <w:shd w:val="clear" w:color="auto" w:fill="auto"/>
            <w:noWrap/>
            <w:vAlign w:val="bottom"/>
            <w:hideMark/>
          </w:tcPr>
          <w:p w:rsidR="0012722B" w:rsidRPr="00C6690C" w:rsidRDefault="0012722B" w:rsidP="00713B88">
            <w:pPr>
              <w:rPr>
                <w:b/>
                <w:bCs/>
                <w:color w:val="000000"/>
                <w:sz w:val="22"/>
              </w:rPr>
            </w:pPr>
            <w:r w:rsidRPr="00C6690C">
              <w:rPr>
                <w:b/>
                <w:bCs/>
                <w:color w:val="000000"/>
                <w:sz w:val="22"/>
              </w:rPr>
              <w:t> </w:t>
            </w:r>
          </w:p>
        </w:tc>
        <w:tc>
          <w:tcPr>
            <w:tcW w:w="2900" w:type="dxa"/>
            <w:tcBorders>
              <w:top w:val="single" w:sz="8" w:space="0" w:color="auto"/>
              <w:left w:val="nil"/>
              <w:bottom w:val="nil"/>
              <w:right w:val="single" w:sz="8" w:space="0" w:color="auto"/>
            </w:tcBorders>
            <w:shd w:val="clear" w:color="auto" w:fill="auto"/>
            <w:noWrap/>
            <w:vAlign w:val="bottom"/>
            <w:hideMark/>
          </w:tcPr>
          <w:p w:rsidR="0012722B" w:rsidRPr="00C6690C" w:rsidRDefault="0012722B" w:rsidP="00713B88">
            <w:pPr>
              <w:jc w:val="right"/>
              <w:rPr>
                <w:b/>
                <w:bCs/>
                <w:color w:val="000000"/>
                <w:sz w:val="22"/>
              </w:rPr>
            </w:pPr>
            <w:r w:rsidRPr="00C6690C">
              <w:rPr>
                <w:b/>
                <w:bCs/>
                <w:color w:val="000000"/>
                <w:sz w:val="22"/>
              </w:rPr>
              <w:t>SCHEDULE NO. 4-A</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center"/>
            <w:hideMark/>
          </w:tcPr>
          <w:p w:rsidR="0012722B" w:rsidRPr="00C6690C" w:rsidRDefault="0012722B" w:rsidP="00713B88">
            <w:pPr>
              <w:rPr>
                <w:b/>
                <w:bCs/>
                <w:color w:val="000000"/>
                <w:sz w:val="22"/>
              </w:rPr>
            </w:pPr>
            <w:r w:rsidRPr="00C6690C">
              <w:rPr>
                <w:b/>
                <w:bCs/>
                <w:color w:val="000000"/>
                <w:sz w:val="22"/>
              </w:rPr>
              <w:t>MONTHLY WATER RATES</w:t>
            </w:r>
          </w:p>
        </w:tc>
        <w:tc>
          <w:tcPr>
            <w:tcW w:w="4574" w:type="dxa"/>
            <w:gridSpan w:val="2"/>
            <w:tcBorders>
              <w:top w:val="nil"/>
              <w:left w:val="nil"/>
              <w:bottom w:val="nil"/>
              <w:right w:val="single" w:sz="8" w:space="0" w:color="auto"/>
            </w:tcBorders>
            <w:shd w:val="clear" w:color="auto" w:fill="auto"/>
            <w:noWrap/>
            <w:vAlign w:val="bottom"/>
            <w:hideMark/>
          </w:tcPr>
          <w:p w:rsidR="0012722B" w:rsidRPr="00C6690C" w:rsidRDefault="0012722B" w:rsidP="00713B88">
            <w:pPr>
              <w:jc w:val="right"/>
              <w:rPr>
                <w:b/>
                <w:bCs/>
                <w:color w:val="000000"/>
                <w:sz w:val="22"/>
              </w:rPr>
            </w:pPr>
            <w:r>
              <w:rPr>
                <w:b/>
                <w:bCs/>
                <w:color w:val="000000"/>
                <w:sz w:val="22"/>
              </w:rPr>
              <w:t>DOCKET NO. 20220088</w:t>
            </w:r>
            <w:r w:rsidRPr="00C6690C">
              <w:rPr>
                <w:b/>
                <w:bCs/>
                <w:color w:val="000000"/>
                <w:sz w:val="22"/>
              </w:rPr>
              <w:t>-WS</w:t>
            </w:r>
          </w:p>
        </w:tc>
      </w:tr>
      <w:tr w:rsidR="0012722B" w:rsidRPr="00C6690C" w:rsidTr="00713B88">
        <w:trPr>
          <w:trHeight w:val="303"/>
          <w:jc w:val="center"/>
        </w:trPr>
        <w:tc>
          <w:tcPr>
            <w:tcW w:w="5497" w:type="dxa"/>
            <w:tcBorders>
              <w:top w:val="single" w:sz="8" w:space="0" w:color="000000"/>
              <w:left w:val="single" w:sz="8" w:space="0" w:color="auto"/>
              <w:bottom w:val="nil"/>
              <w:right w:val="nil"/>
            </w:tcBorders>
            <w:shd w:val="clear" w:color="000000" w:fill="D9D9D9"/>
            <w:noWrap/>
            <w:vAlign w:val="bottom"/>
            <w:hideMark/>
          </w:tcPr>
          <w:p w:rsidR="0012722B" w:rsidRPr="00C6690C" w:rsidRDefault="0012722B" w:rsidP="00713B88">
            <w:pPr>
              <w:rPr>
                <w:b/>
                <w:bCs/>
                <w:sz w:val="22"/>
              </w:rPr>
            </w:pPr>
            <w:r w:rsidRPr="00C6690C">
              <w:rPr>
                <w:b/>
                <w:bCs/>
                <w:sz w:val="22"/>
              </w:rPr>
              <w:t> </w:t>
            </w:r>
          </w:p>
        </w:tc>
        <w:tc>
          <w:tcPr>
            <w:tcW w:w="1674" w:type="dxa"/>
            <w:tcBorders>
              <w:top w:val="single" w:sz="8" w:space="0" w:color="000000"/>
              <w:left w:val="nil"/>
              <w:bottom w:val="nil"/>
              <w:right w:val="nil"/>
            </w:tcBorders>
            <w:shd w:val="clear" w:color="000000" w:fill="D9D9D9"/>
            <w:noWrap/>
            <w:vAlign w:val="bottom"/>
            <w:hideMark/>
          </w:tcPr>
          <w:p w:rsidR="0012722B" w:rsidRPr="00C6690C" w:rsidRDefault="0012722B" w:rsidP="00713B88">
            <w:pPr>
              <w:rPr>
                <w:sz w:val="22"/>
              </w:rPr>
            </w:pPr>
            <w:r w:rsidRPr="00C6690C">
              <w:rPr>
                <w:sz w:val="22"/>
              </w:rPr>
              <w:t> </w:t>
            </w:r>
          </w:p>
        </w:tc>
        <w:tc>
          <w:tcPr>
            <w:tcW w:w="2900" w:type="dxa"/>
            <w:tcBorders>
              <w:top w:val="single" w:sz="8" w:space="0" w:color="000000"/>
              <w:left w:val="nil"/>
              <w:bottom w:val="nil"/>
              <w:right w:val="single" w:sz="8" w:space="0" w:color="auto"/>
            </w:tcBorders>
            <w:shd w:val="clear" w:color="000000" w:fill="D9D9D9"/>
            <w:noWrap/>
            <w:vAlign w:val="bottom"/>
            <w:hideMark/>
          </w:tcPr>
          <w:p w:rsidR="0012722B" w:rsidRPr="00C6690C" w:rsidRDefault="0012722B" w:rsidP="00713B88">
            <w:pPr>
              <w:rPr>
                <w:sz w:val="22"/>
              </w:rPr>
            </w:pPr>
            <w:r w:rsidRPr="00C6690C">
              <w:rPr>
                <w:sz w:val="22"/>
              </w:rPr>
              <w:t> </w:t>
            </w:r>
          </w:p>
        </w:tc>
      </w:tr>
      <w:tr w:rsidR="0012722B" w:rsidRPr="00C6690C" w:rsidTr="00713B88">
        <w:trPr>
          <w:trHeight w:val="303"/>
          <w:jc w:val="center"/>
        </w:trPr>
        <w:tc>
          <w:tcPr>
            <w:tcW w:w="5497" w:type="dxa"/>
            <w:tcBorders>
              <w:top w:val="nil"/>
              <w:left w:val="single" w:sz="8" w:space="0" w:color="auto"/>
              <w:bottom w:val="nil"/>
              <w:right w:val="nil"/>
            </w:tcBorders>
            <w:shd w:val="clear" w:color="000000" w:fill="D9D9D9"/>
            <w:noWrap/>
            <w:vAlign w:val="bottom"/>
            <w:hideMark/>
          </w:tcPr>
          <w:p w:rsidR="0012722B" w:rsidRPr="00C6690C" w:rsidRDefault="0012722B" w:rsidP="00713B88">
            <w:pPr>
              <w:rPr>
                <w:b/>
                <w:bCs/>
                <w:sz w:val="22"/>
              </w:rPr>
            </w:pPr>
            <w:r w:rsidRPr="00C6690C">
              <w:rPr>
                <w:b/>
                <w:bCs/>
                <w:sz w:val="22"/>
              </w:rPr>
              <w:t> </w:t>
            </w:r>
          </w:p>
        </w:tc>
        <w:tc>
          <w:tcPr>
            <w:tcW w:w="1674" w:type="dxa"/>
            <w:tcBorders>
              <w:top w:val="nil"/>
              <w:left w:val="nil"/>
              <w:bottom w:val="nil"/>
              <w:right w:val="nil"/>
            </w:tcBorders>
            <w:shd w:val="clear" w:color="000000" w:fill="D9D9D9"/>
            <w:noWrap/>
            <w:vAlign w:val="bottom"/>
            <w:hideMark/>
          </w:tcPr>
          <w:p w:rsidR="0012722B" w:rsidRPr="00C6690C" w:rsidRDefault="0012722B" w:rsidP="00713B88">
            <w:pPr>
              <w:jc w:val="right"/>
              <w:rPr>
                <w:b/>
                <w:bCs/>
                <w:color w:val="000000"/>
                <w:sz w:val="22"/>
              </w:rPr>
            </w:pPr>
            <w:r w:rsidRPr="00C6690C">
              <w:rPr>
                <w:b/>
                <w:bCs/>
                <w:color w:val="000000"/>
                <w:sz w:val="22"/>
              </w:rPr>
              <w:t>UTILITY</w:t>
            </w:r>
          </w:p>
        </w:tc>
        <w:tc>
          <w:tcPr>
            <w:tcW w:w="2900" w:type="dxa"/>
            <w:tcBorders>
              <w:top w:val="nil"/>
              <w:left w:val="nil"/>
              <w:bottom w:val="nil"/>
              <w:right w:val="single" w:sz="8" w:space="0" w:color="auto"/>
            </w:tcBorders>
            <w:shd w:val="clear" w:color="000000" w:fill="D9D9D9"/>
            <w:noWrap/>
            <w:vAlign w:val="bottom"/>
            <w:hideMark/>
          </w:tcPr>
          <w:p w:rsidR="0012722B" w:rsidRPr="00C6690C" w:rsidRDefault="0012722B" w:rsidP="00713B88">
            <w:pPr>
              <w:jc w:val="right"/>
              <w:rPr>
                <w:b/>
                <w:bCs/>
                <w:color w:val="000000"/>
                <w:sz w:val="22"/>
              </w:rPr>
            </w:pPr>
            <w:r w:rsidRPr="00C6690C">
              <w:rPr>
                <w:b/>
                <w:bCs/>
                <w:color w:val="000000"/>
                <w:sz w:val="22"/>
              </w:rPr>
              <w:t>STAFF</w:t>
            </w:r>
          </w:p>
        </w:tc>
      </w:tr>
      <w:tr w:rsidR="0012722B" w:rsidRPr="00C6690C" w:rsidTr="00713B88">
        <w:trPr>
          <w:trHeight w:val="303"/>
          <w:jc w:val="center"/>
        </w:trPr>
        <w:tc>
          <w:tcPr>
            <w:tcW w:w="5497" w:type="dxa"/>
            <w:tcBorders>
              <w:top w:val="nil"/>
              <w:left w:val="single" w:sz="8" w:space="0" w:color="auto"/>
              <w:bottom w:val="nil"/>
              <w:right w:val="nil"/>
            </w:tcBorders>
            <w:shd w:val="clear" w:color="000000" w:fill="D9D9D9"/>
            <w:noWrap/>
            <w:vAlign w:val="bottom"/>
            <w:hideMark/>
          </w:tcPr>
          <w:p w:rsidR="0012722B" w:rsidRPr="00C6690C" w:rsidRDefault="0012722B" w:rsidP="00713B88">
            <w:pPr>
              <w:rPr>
                <w:b/>
                <w:bCs/>
                <w:sz w:val="22"/>
                <w:u w:val="single"/>
              </w:rPr>
            </w:pPr>
          </w:p>
        </w:tc>
        <w:tc>
          <w:tcPr>
            <w:tcW w:w="1674" w:type="dxa"/>
            <w:tcBorders>
              <w:top w:val="nil"/>
              <w:left w:val="nil"/>
              <w:bottom w:val="nil"/>
              <w:right w:val="nil"/>
            </w:tcBorders>
            <w:shd w:val="clear" w:color="000000" w:fill="D9D9D9"/>
            <w:noWrap/>
            <w:vAlign w:val="bottom"/>
            <w:hideMark/>
          </w:tcPr>
          <w:p w:rsidR="0012722B" w:rsidRPr="00C6690C" w:rsidRDefault="0012722B" w:rsidP="00713B88">
            <w:pPr>
              <w:jc w:val="right"/>
              <w:rPr>
                <w:b/>
                <w:bCs/>
                <w:color w:val="000000"/>
                <w:sz w:val="22"/>
              </w:rPr>
            </w:pPr>
            <w:r w:rsidRPr="00C6690C">
              <w:rPr>
                <w:b/>
                <w:bCs/>
                <w:color w:val="000000"/>
                <w:sz w:val="22"/>
              </w:rPr>
              <w:t>REQUESTED</w:t>
            </w:r>
          </w:p>
        </w:tc>
        <w:tc>
          <w:tcPr>
            <w:tcW w:w="2900" w:type="dxa"/>
            <w:tcBorders>
              <w:top w:val="nil"/>
              <w:left w:val="nil"/>
              <w:bottom w:val="nil"/>
              <w:right w:val="single" w:sz="8" w:space="0" w:color="auto"/>
            </w:tcBorders>
            <w:shd w:val="clear" w:color="000000" w:fill="D9D9D9"/>
            <w:noWrap/>
            <w:vAlign w:val="bottom"/>
            <w:hideMark/>
          </w:tcPr>
          <w:p w:rsidR="0012722B" w:rsidRPr="00C6690C" w:rsidRDefault="0012722B" w:rsidP="00713B88">
            <w:pPr>
              <w:jc w:val="right"/>
              <w:rPr>
                <w:b/>
                <w:bCs/>
                <w:color w:val="000000"/>
                <w:sz w:val="22"/>
              </w:rPr>
            </w:pPr>
            <w:r w:rsidRPr="00C6690C">
              <w:rPr>
                <w:b/>
                <w:bCs/>
                <w:color w:val="000000"/>
                <w:sz w:val="22"/>
              </w:rPr>
              <w:t>RECOMMENDED</w:t>
            </w:r>
          </w:p>
        </w:tc>
      </w:tr>
      <w:tr w:rsidR="0012722B" w:rsidRPr="00C6690C" w:rsidTr="00713B88">
        <w:trPr>
          <w:trHeight w:val="318"/>
          <w:jc w:val="center"/>
        </w:trPr>
        <w:tc>
          <w:tcPr>
            <w:tcW w:w="5497" w:type="dxa"/>
            <w:tcBorders>
              <w:top w:val="nil"/>
              <w:left w:val="single" w:sz="8" w:space="0" w:color="auto"/>
              <w:bottom w:val="single" w:sz="8" w:space="0" w:color="000000"/>
              <w:right w:val="nil"/>
            </w:tcBorders>
            <w:shd w:val="clear" w:color="000000" w:fill="D9D9D9"/>
            <w:noWrap/>
            <w:vAlign w:val="bottom"/>
            <w:hideMark/>
          </w:tcPr>
          <w:p w:rsidR="0012722B" w:rsidRPr="00C6690C" w:rsidRDefault="0012722B" w:rsidP="00713B88">
            <w:pPr>
              <w:rPr>
                <w:b/>
                <w:bCs/>
                <w:sz w:val="22"/>
                <w:u w:val="single"/>
              </w:rPr>
            </w:pPr>
          </w:p>
        </w:tc>
        <w:tc>
          <w:tcPr>
            <w:tcW w:w="1674" w:type="dxa"/>
            <w:tcBorders>
              <w:top w:val="nil"/>
              <w:left w:val="nil"/>
              <w:bottom w:val="single" w:sz="8" w:space="0" w:color="000000"/>
              <w:right w:val="nil"/>
            </w:tcBorders>
            <w:shd w:val="clear" w:color="000000" w:fill="D9D9D9"/>
            <w:noWrap/>
            <w:vAlign w:val="bottom"/>
            <w:hideMark/>
          </w:tcPr>
          <w:p w:rsidR="0012722B" w:rsidRPr="00C6690C" w:rsidRDefault="0012722B" w:rsidP="00713B88">
            <w:pPr>
              <w:jc w:val="right"/>
              <w:rPr>
                <w:b/>
                <w:bCs/>
                <w:color w:val="000000"/>
                <w:sz w:val="22"/>
              </w:rPr>
            </w:pPr>
            <w:r w:rsidRPr="00C6690C">
              <w:rPr>
                <w:b/>
                <w:bCs/>
                <w:color w:val="000000"/>
                <w:sz w:val="22"/>
              </w:rPr>
              <w:t xml:space="preserve">RATES </w:t>
            </w:r>
          </w:p>
        </w:tc>
        <w:tc>
          <w:tcPr>
            <w:tcW w:w="2900" w:type="dxa"/>
            <w:tcBorders>
              <w:top w:val="nil"/>
              <w:left w:val="nil"/>
              <w:bottom w:val="single" w:sz="8" w:space="0" w:color="000000"/>
              <w:right w:val="single" w:sz="8" w:space="0" w:color="auto"/>
            </w:tcBorders>
            <w:shd w:val="clear" w:color="000000" w:fill="D9D9D9"/>
            <w:noWrap/>
            <w:vAlign w:val="bottom"/>
            <w:hideMark/>
          </w:tcPr>
          <w:p w:rsidR="0012722B" w:rsidRPr="00C6690C" w:rsidRDefault="0012722B" w:rsidP="00713B88">
            <w:pPr>
              <w:jc w:val="right"/>
              <w:rPr>
                <w:b/>
                <w:bCs/>
                <w:color w:val="000000"/>
                <w:sz w:val="22"/>
              </w:rPr>
            </w:pPr>
            <w:r w:rsidRPr="00C6690C">
              <w:rPr>
                <w:b/>
                <w:bCs/>
                <w:color w:val="000000"/>
                <w:sz w:val="22"/>
              </w:rPr>
              <w:t>RATES</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b/>
                <w:sz w:val="22"/>
                <w:u w:val="thick"/>
              </w:rPr>
            </w:pPr>
            <w:r w:rsidRPr="00C6690C">
              <w:rPr>
                <w:b/>
                <w:sz w:val="22"/>
                <w:u w:val="thick"/>
              </w:rPr>
              <w:t>Residential Service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right w:val="single" w:sz="8" w:space="0" w:color="auto"/>
            </w:tcBorders>
            <w:shd w:val="clear" w:color="auto" w:fill="auto"/>
            <w:noWrap/>
            <w:vAlign w:val="bottom"/>
          </w:tcPr>
          <w:p w:rsidR="0012722B" w:rsidRPr="00C6690C" w:rsidRDefault="0012722B" w:rsidP="00713B88">
            <w:pPr>
              <w:rPr>
                <w:color w:val="000000"/>
                <w:sz w:val="22"/>
              </w:rPr>
            </w:pPr>
            <w:r w:rsidRPr="00C6690C">
              <w:rPr>
                <w:color w:val="000000"/>
                <w:sz w:val="22"/>
              </w:rPr>
              <w:t> </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r w:rsidRPr="00C6690C">
              <w:rPr>
                <w:sz w:val="22"/>
              </w:rPr>
              <w:t>Base Facility Charge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$11.01</w:t>
            </w:r>
          </w:p>
        </w:tc>
        <w:tc>
          <w:tcPr>
            <w:tcW w:w="2900" w:type="dxa"/>
            <w:tcBorders>
              <w:top w:val="nil"/>
              <w:left w:val="nil"/>
              <w:bottom w:val="nil"/>
              <w:right w:val="single" w:sz="4" w:space="0" w:color="auto"/>
            </w:tcBorders>
            <w:shd w:val="clear" w:color="auto" w:fill="auto"/>
            <w:noWrap/>
            <w:vAlign w:val="bottom"/>
          </w:tcPr>
          <w:p w:rsidR="0012722B" w:rsidRPr="00C6690C" w:rsidRDefault="0012722B" w:rsidP="00713B88">
            <w:pPr>
              <w:jc w:val="right"/>
              <w:rPr>
                <w:color w:val="000000"/>
                <w:sz w:val="22"/>
              </w:rPr>
            </w:pPr>
            <w:r w:rsidRPr="00C6690C">
              <w:rPr>
                <w:color w:val="000000"/>
                <w:sz w:val="22"/>
              </w:rPr>
              <w:t>$</w:t>
            </w:r>
            <w:r>
              <w:rPr>
                <w:color w:val="000000"/>
                <w:sz w:val="22"/>
              </w:rPr>
              <w:t>11</w:t>
            </w:r>
            <w:r w:rsidRPr="00C6690C">
              <w:rPr>
                <w:color w:val="000000"/>
                <w:sz w:val="22"/>
              </w:rPr>
              <w:t>.</w:t>
            </w:r>
            <w:r>
              <w:rPr>
                <w:color w:val="000000"/>
                <w:sz w:val="22"/>
              </w:rPr>
              <w:t>87</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4"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r w:rsidRPr="00C6690C">
              <w:rPr>
                <w:sz w:val="22"/>
              </w:rPr>
              <w:t>Gallonage Charge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4"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r w:rsidRPr="00C6690C">
              <w:rPr>
                <w:sz w:val="22"/>
              </w:rPr>
              <w:t xml:space="preserve">0- </w:t>
            </w:r>
            <w:r>
              <w:rPr>
                <w:sz w:val="22"/>
              </w:rPr>
              <w:t>7</w:t>
            </w:r>
            <w:r w:rsidRPr="00C6690C">
              <w:rPr>
                <w:sz w:val="22"/>
              </w:rPr>
              <w:t>,000 gallons</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$3.49</w:t>
            </w:r>
          </w:p>
        </w:tc>
        <w:tc>
          <w:tcPr>
            <w:tcW w:w="2900" w:type="dxa"/>
            <w:tcBorders>
              <w:top w:val="nil"/>
              <w:left w:val="nil"/>
              <w:bottom w:val="nil"/>
              <w:right w:val="single" w:sz="4" w:space="0" w:color="auto"/>
            </w:tcBorders>
            <w:shd w:val="clear" w:color="auto" w:fill="auto"/>
            <w:noWrap/>
            <w:vAlign w:val="bottom"/>
          </w:tcPr>
          <w:p w:rsidR="0012722B" w:rsidRPr="00C6690C" w:rsidRDefault="0012722B" w:rsidP="00713B88">
            <w:pPr>
              <w:jc w:val="right"/>
              <w:rPr>
                <w:color w:val="000000"/>
                <w:sz w:val="22"/>
              </w:rPr>
            </w:pPr>
            <w:r w:rsidRPr="00C6690C">
              <w:rPr>
                <w:color w:val="000000"/>
                <w:sz w:val="22"/>
              </w:rPr>
              <w:t>$</w:t>
            </w:r>
            <w:r>
              <w:rPr>
                <w:color w:val="000000"/>
                <w:sz w:val="22"/>
              </w:rPr>
              <w:t>3.96</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C6690C" w:rsidRDefault="0012722B" w:rsidP="00713B88">
            <w:pPr>
              <w:rPr>
                <w:sz w:val="22"/>
              </w:rPr>
            </w:pPr>
            <w:r>
              <w:rPr>
                <w:sz w:val="22"/>
              </w:rPr>
              <w:t>Over 7</w:t>
            </w:r>
            <w:r w:rsidRPr="00C6690C">
              <w:rPr>
                <w:sz w:val="22"/>
              </w:rPr>
              <w:t>,000 gallons</w:t>
            </w:r>
          </w:p>
        </w:tc>
        <w:tc>
          <w:tcPr>
            <w:tcW w:w="1674" w:type="dxa"/>
            <w:tcBorders>
              <w:top w:val="nil"/>
              <w:left w:val="nil"/>
              <w:bottom w:val="nil"/>
              <w:right w:val="nil"/>
            </w:tcBorders>
            <w:shd w:val="clear" w:color="auto" w:fill="auto"/>
            <w:noWrap/>
            <w:vAlign w:val="bottom"/>
            <w:hideMark/>
          </w:tcPr>
          <w:p w:rsidR="0012722B" w:rsidRPr="00C6690C" w:rsidRDefault="0012722B" w:rsidP="00713B88">
            <w:pPr>
              <w:jc w:val="right"/>
              <w:rPr>
                <w:color w:val="000000"/>
                <w:sz w:val="22"/>
              </w:rPr>
            </w:pPr>
            <w:r>
              <w:rPr>
                <w:color w:val="000000"/>
                <w:sz w:val="22"/>
              </w:rPr>
              <w:t>$4.36</w:t>
            </w:r>
          </w:p>
        </w:tc>
        <w:tc>
          <w:tcPr>
            <w:tcW w:w="2900" w:type="dxa"/>
            <w:tcBorders>
              <w:top w:val="nil"/>
              <w:left w:val="nil"/>
              <w:bottom w:val="nil"/>
              <w:right w:val="single" w:sz="4" w:space="0" w:color="auto"/>
            </w:tcBorders>
            <w:shd w:val="clear" w:color="auto" w:fill="auto"/>
            <w:noWrap/>
            <w:vAlign w:val="bottom"/>
            <w:hideMark/>
          </w:tcPr>
          <w:p w:rsidR="0012722B" w:rsidRPr="00C6690C" w:rsidRDefault="0012722B" w:rsidP="00713B88">
            <w:pPr>
              <w:jc w:val="right"/>
              <w:rPr>
                <w:color w:val="000000"/>
                <w:sz w:val="22"/>
              </w:rPr>
            </w:pPr>
            <w:r>
              <w:rPr>
                <w:color w:val="000000"/>
                <w:sz w:val="22"/>
              </w:rPr>
              <w:t>$4.95</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b/>
                <w:bCs/>
                <w:sz w:val="22"/>
                <w:u w:val="single"/>
              </w:rPr>
            </w:pPr>
            <w:r w:rsidRPr="00C6690C">
              <w:rPr>
                <w:b/>
                <w:bCs/>
                <w:sz w:val="22"/>
                <w:u w:val="single"/>
              </w:rPr>
              <w:t>General Service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sz w:val="22"/>
              </w:rPr>
            </w:pPr>
            <w:r w:rsidRPr="00C6690C">
              <w:rPr>
                <w:sz w:val="22"/>
              </w:rPr>
              <w:t>Base Facility Charge by Meter Size</w:t>
            </w:r>
          </w:p>
        </w:tc>
        <w:tc>
          <w:tcPr>
            <w:tcW w:w="1674" w:type="dxa"/>
            <w:tcBorders>
              <w:top w:val="nil"/>
              <w:left w:val="nil"/>
              <w:bottom w:val="nil"/>
              <w:right w:val="nil"/>
            </w:tcBorders>
            <w:shd w:val="clear" w:color="auto" w:fill="auto"/>
            <w:noWrap/>
            <w:vAlign w:val="bottom"/>
          </w:tcPr>
          <w:p w:rsidR="0012722B" w:rsidRPr="00C6690C" w:rsidRDefault="0012722B" w:rsidP="00713B88">
            <w:pPr>
              <w:rPr>
                <w:color w:val="000000"/>
                <w:sz w:val="22"/>
              </w:rPr>
            </w:pP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rPr>
                <w:color w:val="000000"/>
                <w:sz w:val="22"/>
              </w:rPr>
            </w:pPr>
            <w:r w:rsidRPr="00C6690C">
              <w:rPr>
                <w:color w:val="000000"/>
                <w:sz w:val="22"/>
              </w:rPr>
              <w:t> </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5/8" x 3/4"</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$11.01</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sidRPr="00C6690C">
              <w:rPr>
                <w:color w:val="000000"/>
                <w:sz w:val="22"/>
              </w:rPr>
              <w:t>$</w:t>
            </w:r>
            <w:r>
              <w:rPr>
                <w:color w:val="000000"/>
                <w:sz w:val="22"/>
              </w:rPr>
              <w:t>11.87</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3/4"</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$16.52</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Pr>
                <w:color w:val="000000"/>
                <w:sz w:val="22"/>
              </w:rPr>
              <w:t>$17.81</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1"</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$27.53</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Pr>
                <w:color w:val="000000"/>
                <w:sz w:val="22"/>
              </w:rPr>
              <w:t>$29.68</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1-1/2" Turbine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$55.05</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Pr>
                <w:color w:val="000000"/>
                <w:sz w:val="22"/>
              </w:rPr>
              <w:t>$59.35</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2" Turbine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$88.08</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Pr>
                <w:color w:val="000000"/>
                <w:sz w:val="22"/>
              </w:rPr>
              <w:t>$94.96</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3" Turbine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$192.68</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Pr>
                <w:color w:val="000000"/>
                <w:sz w:val="22"/>
              </w:rPr>
              <w:t>$207.73</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r w:rsidRPr="00C6690C">
              <w:rPr>
                <w:color w:val="000000"/>
                <w:sz w:val="22"/>
              </w:rPr>
              <w:t>Charge per 1,000 gallons - General Service</w:t>
            </w: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r>
              <w:rPr>
                <w:color w:val="000000"/>
                <w:sz w:val="22"/>
              </w:rPr>
              <w:t>$3.63</w:t>
            </w: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r>
              <w:rPr>
                <w:color w:val="000000"/>
                <w:sz w:val="22"/>
              </w:rPr>
              <w:t>$4.11</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C6690C" w:rsidRDefault="0012722B" w:rsidP="00713B88">
            <w:pPr>
              <w:rPr>
                <w:color w:val="000000"/>
                <w:sz w:val="22"/>
              </w:rPr>
            </w:pPr>
          </w:p>
        </w:tc>
        <w:tc>
          <w:tcPr>
            <w:tcW w:w="1674" w:type="dxa"/>
            <w:tcBorders>
              <w:top w:val="nil"/>
              <w:left w:val="nil"/>
              <w:bottom w:val="nil"/>
              <w:right w:val="nil"/>
            </w:tcBorders>
            <w:shd w:val="clear" w:color="auto" w:fill="auto"/>
            <w:noWrap/>
            <w:vAlign w:val="bottom"/>
          </w:tcPr>
          <w:p w:rsidR="0012722B" w:rsidRPr="00C6690C" w:rsidRDefault="0012722B" w:rsidP="00713B88">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rsidR="0012722B" w:rsidRPr="00C6690C" w:rsidRDefault="0012722B" w:rsidP="00713B88">
            <w:pPr>
              <w:jc w:val="right"/>
              <w:rPr>
                <w:color w:val="000000"/>
                <w:sz w:val="22"/>
              </w:rPr>
            </w:pPr>
          </w:p>
        </w:tc>
      </w:tr>
      <w:tr w:rsidR="0012722B" w:rsidRPr="00C6690C" w:rsidTr="00713B88">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rsidR="0012722B" w:rsidRPr="00C6690C" w:rsidRDefault="0012722B" w:rsidP="00713B88">
            <w:pPr>
              <w:rPr>
                <w:b/>
                <w:bCs/>
                <w:color w:val="000000"/>
                <w:sz w:val="22"/>
                <w:u w:val="single"/>
              </w:rPr>
            </w:pPr>
            <w:r w:rsidRPr="00C6690C">
              <w:rPr>
                <w:b/>
                <w:bCs/>
                <w:color w:val="000000"/>
                <w:sz w:val="22"/>
                <w:u w:val="single"/>
              </w:rPr>
              <w:t>Typical Residential 5/8" x 3/4" Meter Bill Comparison</w:t>
            </w:r>
          </w:p>
        </w:tc>
        <w:tc>
          <w:tcPr>
            <w:tcW w:w="2900" w:type="dxa"/>
            <w:tcBorders>
              <w:top w:val="nil"/>
              <w:left w:val="nil"/>
              <w:bottom w:val="nil"/>
              <w:right w:val="single" w:sz="8" w:space="0" w:color="auto"/>
            </w:tcBorders>
            <w:shd w:val="clear" w:color="auto" w:fill="auto"/>
            <w:noWrap/>
            <w:vAlign w:val="bottom"/>
            <w:hideMark/>
          </w:tcPr>
          <w:p w:rsidR="0012722B" w:rsidRPr="00C6690C" w:rsidRDefault="0012722B" w:rsidP="00713B88">
            <w:pPr>
              <w:jc w:val="right"/>
              <w:rPr>
                <w:color w:val="000000"/>
                <w:sz w:val="22"/>
              </w:rPr>
            </w:pPr>
            <w:r w:rsidRPr="00C6690C">
              <w:rPr>
                <w:color w:val="000000"/>
                <w:sz w:val="22"/>
              </w:rPr>
              <w:t> </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C6690C" w:rsidRDefault="0012722B" w:rsidP="00713B88">
            <w:pPr>
              <w:rPr>
                <w:color w:val="000000"/>
                <w:sz w:val="22"/>
              </w:rPr>
            </w:pPr>
            <w:r w:rsidRPr="00C6690C">
              <w:rPr>
                <w:color w:val="000000"/>
                <w:sz w:val="22"/>
              </w:rPr>
              <w:t>3,000 Gallons</w:t>
            </w:r>
          </w:p>
        </w:tc>
        <w:tc>
          <w:tcPr>
            <w:tcW w:w="1674" w:type="dxa"/>
            <w:tcBorders>
              <w:top w:val="nil"/>
              <w:left w:val="nil"/>
              <w:bottom w:val="nil"/>
              <w:right w:val="nil"/>
            </w:tcBorders>
            <w:shd w:val="clear" w:color="auto" w:fill="auto"/>
            <w:noWrap/>
            <w:vAlign w:val="bottom"/>
            <w:hideMark/>
          </w:tcPr>
          <w:p w:rsidR="0012722B" w:rsidRPr="00C6690C" w:rsidRDefault="0012722B" w:rsidP="00713B88">
            <w:pPr>
              <w:jc w:val="right"/>
              <w:rPr>
                <w:color w:val="000000"/>
                <w:sz w:val="22"/>
              </w:rPr>
            </w:pPr>
            <w:r>
              <w:rPr>
                <w:color w:val="000000"/>
                <w:sz w:val="22"/>
              </w:rPr>
              <w:t>$21.48</w:t>
            </w:r>
            <w:r w:rsidRPr="00C6690C">
              <w:rPr>
                <w:color w:val="000000"/>
                <w:sz w:val="22"/>
              </w:rPr>
              <w:t xml:space="preserve"> </w:t>
            </w:r>
          </w:p>
        </w:tc>
        <w:tc>
          <w:tcPr>
            <w:tcW w:w="2900" w:type="dxa"/>
            <w:tcBorders>
              <w:top w:val="nil"/>
              <w:left w:val="nil"/>
              <w:bottom w:val="nil"/>
              <w:right w:val="single" w:sz="8" w:space="0" w:color="auto"/>
            </w:tcBorders>
            <w:shd w:val="clear" w:color="auto" w:fill="auto"/>
            <w:noWrap/>
            <w:vAlign w:val="bottom"/>
            <w:hideMark/>
          </w:tcPr>
          <w:p w:rsidR="0012722B" w:rsidRPr="00C6690C" w:rsidRDefault="0012722B" w:rsidP="00713B88">
            <w:pPr>
              <w:jc w:val="right"/>
              <w:rPr>
                <w:color w:val="000000"/>
                <w:sz w:val="22"/>
              </w:rPr>
            </w:pPr>
            <w:r>
              <w:rPr>
                <w:color w:val="000000"/>
                <w:sz w:val="22"/>
              </w:rPr>
              <w:t>$23</w:t>
            </w:r>
            <w:r w:rsidRPr="00C6690C">
              <w:rPr>
                <w:color w:val="000000"/>
                <w:sz w:val="22"/>
              </w:rPr>
              <w:t>.</w:t>
            </w:r>
            <w:r>
              <w:rPr>
                <w:color w:val="000000"/>
                <w:sz w:val="22"/>
              </w:rPr>
              <w:t>75</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C6690C" w:rsidRDefault="0012722B" w:rsidP="00713B88">
            <w:pPr>
              <w:rPr>
                <w:color w:val="000000"/>
                <w:sz w:val="22"/>
              </w:rPr>
            </w:pPr>
            <w:r>
              <w:rPr>
                <w:color w:val="000000"/>
                <w:sz w:val="22"/>
              </w:rPr>
              <w:t>7</w:t>
            </w:r>
            <w:r w:rsidRPr="00C6690C">
              <w:rPr>
                <w:color w:val="000000"/>
                <w:sz w:val="22"/>
              </w:rPr>
              <w:t>,000 Gallons</w:t>
            </w:r>
          </w:p>
        </w:tc>
        <w:tc>
          <w:tcPr>
            <w:tcW w:w="1674" w:type="dxa"/>
            <w:tcBorders>
              <w:top w:val="nil"/>
              <w:left w:val="nil"/>
              <w:bottom w:val="nil"/>
              <w:right w:val="nil"/>
            </w:tcBorders>
            <w:shd w:val="clear" w:color="auto" w:fill="auto"/>
            <w:noWrap/>
            <w:vAlign w:val="bottom"/>
            <w:hideMark/>
          </w:tcPr>
          <w:p w:rsidR="0012722B" w:rsidRPr="00C6690C" w:rsidRDefault="0012722B" w:rsidP="00713B88">
            <w:pPr>
              <w:jc w:val="right"/>
              <w:rPr>
                <w:color w:val="000000"/>
                <w:sz w:val="22"/>
              </w:rPr>
            </w:pPr>
            <w:r>
              <w:rPr>
                <w:color w:val="000000"/>
                <w:sz w:val="22"/>
              </w:rPr>
              <w:t>$35.44</w:t>
            </w:r>
            <w:r w:rsidRPr="00C6690C">
              <w:rPr>
                <w:color w:val="000000"/>
                <w:sz w:val="22"/>
              </w:rPr>
              <w:t xml:space="preserve"> </w:t>
            </w:r>
          </w:p>
        </w:tc>
        <w:tc>
          <w:tcPr>
            <w:tcW w:w="2900" w:type="dxa"/>
            <w:tcBorders>
              <w:top w:val="nil"/>
              <w:left w:val="nil"/>
              <w:bottom w:val="nil"/>
              <w:right w:val="single" w:sz="8" w:space="0" w:color="auto"/>
            </w:tcBorders>
            <w:shd w:val="clear" w:color="auto" w:fill="auto"/>
            <w:noWrap/>
            <w:vAlign w:val="bottom"/>
            <w:hideMark/>
          </w:tcPr>
          <w:p w:rsidR="0012722B" w:rsidRPr="00C6690C" w:rsidRDefault="0012722B" w:rsidP="00713B88">
            <w:pPr>
              <w:jc w:val="right"/>
              <w:rPr>
                <w:color w:val="000000"/>
                <w:sz w:val="22"/>
              </w:rPr>
            </w:pPr>
            <w:r>
              <w:rPr>
                <w:color w:val="000000"/>
                <w:sz w:val="22"/>
              </w:rPr>
              <w:t>$39.59</w:t>
            </w:r>
          </w:p>
        </w:tc>
      </w:tr>
      <w:tr w:rsidR="0012722B" w:rsidRPr="00C6690C"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C6690C" w:rsidRDefault="0012722B" w:rsidP="00713B88">
            <w:pPr>
              <w:rPr>
                <w:color w:val="000000"/>
                <w:sz w:val="22"/>
              </w:rPr>
            </w:pPr>
            <w:r w:rsidRPr="00C6690C">
              <w:rPr>
                <w:color w:val="000000"/>
                <w:sz w:val="22"/>
              </w:rPr>
              <w:t>10,000 Gallons</w:t>
            </w:r>
          </w:p>
        </w:tc>
        <w:tc>
          <w:tcPr>
            <w:tcW w:w="1674" w:type="dxa"/>
            <w:tcBorders>
              <w:top w:val="nil"/>
              <w:left w:val="nil"/>
              <w:bottom w:val="nil"/>
              <w:right w:val="nil"/>
            </w:tcBorders>
            <w:shd w:val="clear" w:color="auto" w:fill="auto"/>
            <w:noWrap/>
            <w:vAlign w:val="bottom"/>
            <w:hideMark/>
          </w:tcPr>
          <w:p w:rsidR="0012722B" w:rsidRPr="00C6690C" w:rsidRDefault="0012722B" w:rsidP="00713B88">
            <w:pPr>
              <w:jc w:val="right"/>
              <w:rPr>
                <w:color w:val="000000"/>
                <w:sz w:val="22"/>
              </w:rPr>
            </w:pPr>
            <w:r>
              <w:rPr>
                <w:color w:val="000000"/>
                <w:sz w:val="22"/>
              </w:rPr>
              <w:t>$48.52</w:t>
            </w:r>
            <w:r w:rsidRPr="00C6690C">
              <w:rPr>
                <w:color w:val="000000"/>
                <w:sz w:val="22"/>
              </w:rPr>
              <w:t xml:space="preserve"> </w:t>
            </w:r>
          </w:p>
        </w:tc>
        <w:tc>
          <w:tcPr>
            <w:tcW w:w="2900" w:type="dxa"/>
            <w:tcBorders>
              <w:top w:val="nil"/>
              <w:left w:val="nil"/>
              <w:bottom w:val="nil"/>
              <w:right w:val="single" w:sz="8" w:space="0" w:color="auto"/>
            </w:tcBorders>
            <w:shd w:val="clear" w:color="auto" w:fill="auto"/>
            <w:noWrap/>
            <w:vAlign w:val="bottom"/>
            <w:hideMark/>
          </w:tcPr>
          <w:p w:rsidR="0012722B" w:rsidRPr="00C6690C" w:rsidRDefault="0012722B" w:rsidP="00713B88">
            <w:pPr>
              <w:jc w:val="right"/>
              <w:rPr>
                <w:color w:val="000000"/>
                <w:sz w:val="22"/>
              </w:rPr>
            </w:pPr>
            <w:r>
              <w:rPr>
                <w:color w:val="000000"/>
                <w:sz w:val="22"/>
              </w:rPr>
              <w:t>$54.44</w:t>
            </w:r>
          </w:p>
        </w:tc>
      </w:tr>
      <w:tr w:rsidR="0012722B" w:rsidRPr="00C6690C" w:rsidTr="00713B88">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rsidR="0012722B" w:rsidRPr="00C6690C" w:rsidRDefault="0012722B" w:rsidP="00713B88">
            <w:pPr>
              <w:rPr>
                <w:sz w:val="22"/>
              </w:rPr>
            </w:pPr>
            <w:r w:rsidRPr="00C6690C">
              <w:rPr>
                <w:sz w:val="22"/>
              </w:rPr>
              <w:t> </w:t>
            </w:r>
          </w:p>
        </w:tc>
        <w:tc>
          <w:tcPr>
            <w:tcW w:w="1674" w:type="dxa"/>
            <w:tcBorders>
              <w:top w:val="nil"/>
              <w:left w:val="nil"/>
              <w:bottom w:val="single" w:sz="8" w:space="0" w:color="auto"/>
              <w:right w:val="nil"/>
            </w:tcBorders>
            <w:shd w:val="clear" w:color="auto" w:fill="auto"/>
            <w:noWrap/>
            <w:vAlign w:val="bottom"/>
            <w:hideMark/>
          </w:tcPr>
          <w:p w:rsidR="0012722B" w:rsidRPr="00C6690C" w:rsidRDefault="0012722B" w:rsidP="00713B88">
            <w:pPr>
              <w:rPr>
                <w:sz w:val="22"/>
              </w:rPr>
            </w:pPr>
            <w:r w:rsidRPr="00C6690C">
              <w:rPr>
                <w:sz w:val="22"/>
              </w:rPr>
              <w:t> </w:t>
            </w:r>
          </w:p>
        </w:tc>
        <w:tc>
          <w:tcPr>
            <w:tcW w:w="2900" w:type="dxa"/>
            <w:tcBorders>
              <w:top w:val="nil"/>
              <w:left w:val="nil"/>
              <w:bottom w:val="single" w:sz="8" w:space="0" w:color="auto"/>
              <w:right w:val="single" w:sz="8" w:space="0" w:color="auto"/>
            </w:tcBorders>
            <w:shd w:val="clear" w:color="auto" w:fill="auto"/>
            <w:noWrap/>
            <w:vAlign w:val="bottom"/>
            <w:hideMark/>
          </w:tcPr>
          <w:p w:rsidR="0012722B" w:rsidRPr="00C6690C" w:rsidRDefault="0012722B" w:rsidP="00713B88">
            <w:pPr>
              <w:rPr>
                <w:sz w:val="22"/>
              </w:rPr>
            </w:pPr>
            <w:r w:rsidRPr="00C6690C">
              <w:rPr>
                <w:sz w:val="22"/>
              </w:rPr>
              <w:t> </w:t>
            </w:r>
          </w:p>
        </w:tc>
      </w:tr>
    </w:tbl>
    <w:p w:rsidR="0012722B" w:rsidRDefault="0012722B" w:rsidP="001F3A1D">
      <w:pPr>
        <w:pStyle w:val="BodyText"/>
      </w:pPr>
    </w:p>
    <w:p w:rsidR="0012722B" w:rsidRDefault="0012722B" w:rsidP="001F3A1D">
      <w:pPr>
        <w:pStyle w:val="BodyText"/>
        <w:sectPr w:rsidR="0012722B" w:rsidSect="009C2764">
          <w:headerReference w:type="default" r:id="rId44"/>
          <w:footerReference w:type="default" r:id="rId45"/>
          <w:pgSz w:w="12240" w:h="15840" w:code="1"/>
          <w:pgMar w:top="1584" w:right="1440" w:bottom="1440" w:left="1440" w:header="720" w:footer="720" w:gutter="0"/>
          <w:cols w:space="720"/>
          <w:formProt w:val="0"/>
          <w:docGrid w:linePitch="360"/>
        </w:sectPr>
      </w:pPr>
    </w:p>
    <w:tbl>
      <w:tblPr>
        <w:tblW w:w="9536" w:type="dxa"/>
        <w:jc w:val="center"/>
        <w:tblLook w:val="04A0" w:firstRow="1" w:lastRow="0" w:firstColumn="1" w:lastColumn="0" w:noHBand="0" w:noVBand="1"/>
      </w:tblPr>
      <w:tblGrid>
        <w:gridCol w:w="5497"/>
        <w:gridCol w:w="1674"/>
        <w:gridCol w:w="2365"/>
      </w:tblGrid>
      <w:tr w:rsidR="0012722B" w:rsidRPr="009B3138" w:rsidTr="00713B88">
        <w:trPr>
          <w:trHeight w:val="303"/>
          <w:jc w:val="center"/>
        </w:trPr>
        <w:tc>
          <w:tcPr>
            <w:tcW w:w="5497" w:type="dxa"/>
            <w:tcBorders>
              <w:top w:val="single" w:sz="8" w:space="0" w:color="000000"/>
              <w:left w:val="single" w:sz="8" w:space="0" w:color="auto"/>
              <w:right w:val="nil"/>
            </w:tcBorders>
            <w:shd w:val="clear" w:color="auto" w:fill="auto"/>
            <w:noWrap/>
            <w:vAlign w:val="center"/>
            <w:hideMark/>
          </w:tcPr>
          <w:p w:rsidR="0012722B" w:rsidRPr="009B3138" w:rsidRDefault="0012722B" w:rsidP="00713B88">
            <w:pPr>
              <w:rPr>
                <w:b/>
                <w:bCs/>
                <w:color w:val="000000"/>
                <w:sz w:val="22"/>
              </w:rPr>
            </w:pPr>
            <w:r>
              <w:rPr>
                <w:b/>
                <w:bCs/>
                <w:color w:val="000000"/>
                <w:sz w:val="22"/>
              </w:rPr>
              <w:lastRenderedPageBreak/>
              <w:t>MIDDLETON UTILITY COMPANY, LLC</w:t>
            </w:r>
            <w:r w:rsidRPr="009B3138">
              <w:rPr>
                <w:b/>
                <w:bCs/>
                <w:color w:val="000000"/>
                <w:sz w:val="22"/>
              </w:rPr>
              <w:t>.</w:t>
            </w:r>
          </w:p>
        </w:tc>
        <w:tc>
          <w:tcPr>
            <w:tcW w:w="1674" w:type="dxa"/>
            <w:tcBorders>
              <w:top w:val="single" w:sz="8" w:space="0" w:color="auto"/>
              <w:left w:val="nil"/>
              <w:right w:val="nil"/>
            </w:tcBorders>
            <w:shd w:val="clear" w:color="auto" w:fill="auto"/>
            <w:noWrap/>
            <w:vAlign w:val="bottom"/>
            <w:hideMark/>
          </w:tcPr>
          <w:p w:rsidR="0012722B" w:rsidRPr="009B3138" w:rsidRDefault="0012722B" w:rsidP="00713B88">
            <w:pPr>
              <w:rPr>
                <w:b/>
                <w:bCs/>
                <w:color w:val="000000"/>
                <w:sz w:val="20"/>
                <w:szCs w:val="20"/>
              </w:rPr>
            </w:pPr>
            <w:r w:rsidRPr="009B3138">
              <w:rPr>
                <w:b/>
                <w:bCs/>
                <w:color w:val="000000"/>
                <w:sz w:val="20"/>
                <w:szCs w:val="20"/>
              </w:rPr>
              <w:t> </w:t>
            </w:r>
          </w:p>
        </w:tc>
        <w:tc>
          <w:tcPr>
            <w:tcW w:w="2365" w:type="dxa"/>
            <w:tcBorders>
              <w:top w:val="single" w:sz="8" w:space="0" w:color="auto"/>
              <w:left w:val="nil"/>
              <w:right w:val="single" w:sz="8" w:space="0" w:color="auto"/>
            </w:tcBorders>
            <w:shd w:val="clear" w:color="auto" w:fill="auto"/>
            <w:noWrap/>
            <w:vAlign w:val="bottom"/>
            <w:hideMark/>
          </w:tcPr>
          <w:p w:rsidR="0012722B" w:rsidRPr="009B3138" w:rsidRDefault="0012722B" w:rsidP="00713B88">
            <w:pPr>
              <w:jc w:val="right"/>
              <w:rPr>
                <w:b/>
                <w:bCs/>
                <w:color w:val="000000"/>
                <w:sz w:val="22"/>
              </w:rPr>
            </w:pPr>
            <w:r w:rsidRPr="009B3138">
              <w:rPr>
                <w:b/>
                <w:bCs/>
                <w:color w:val="000000"/>
                <w:sz w:val="22"/>
              </w:rPr>
              <w:t>SCHEDULE NO. 4-B</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center"/>
            <w:hideMark/>
          </w:tcPr>
          <w:p w:rsidR="0012722B" w:rsidRPr="009B3138" w:rsidRDefault="0012722B" w:rsidP="00713B88">
            <w:pPr>
              <w:rPr>
                <w:b/>
                <w:bCs/>
                <w:color w:val="000000"/>
                <w:sz w:val="22"/>
              </w:rPr>
            </w:pPr>
            <w:r w:rsidRPr="009B3138">
              <w:rPr>
                <w:b/>
                <w:bCs/>
                <w:color w:val="000000"/>
                <w:sz w:val="22"/>
              </w:rPr>
              <w:t>MONTHLY WASTEWATER RATES</w:t>
            </w:r>
          </w:p>
        </w:tc>
        <w:tc>
          <w:tcPr>
            <w:tcW w:w="4039" w:type="dxa"/>
            <w:gridSpan w:val="2"/>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b/>
                <w:bCs/>
                <w:color w:val="000000"/>
                <w:sz w:val="22"/>
              </w:rPr>
            </w:pPr>
            <w:r>
              <w:rPr>
                <w:b/>
                <w:bCs/>
                <w:color w:val="000000"/>
                <w:sz w:val="22"/>
              </w:rPr>
              <w:t>DOCKET NO. 20220088</w:t>
            </w:r>
            <w:r w:rsidRPr="009B3138">
              <w:rPr>
                <w:b/>
                <w:bCs/>
                <w:color w:val="000000"/>
                <w:sz w:val="22"/>
              </w:rPr>
              <w:t>-WS</w:t>
            </w:r>
          </w:p>
        </w:tc>
      </w:tr>
      <w:tr w:rsidR="0012722B" w:rsidRPr="009B3138" w:rsidTr="00713B88">
        <w:trPr>
          <w:trHeight w:val="303"/>
          <w:jc w:val="center"/>
        </w:trPr>
        <w:tc>
          <w:tcPr>
            <w:tcW w:w="5497" w:type="dxa"/>
            <w:tcBorders>
              <w:top w:val="single" w:sz="8" w:space="0" w:color="000000"/>
              <w:left w:val="single" w:sz="8" w:space="0" w:color="auto"/>
              <w:bottom w:val="nil"/>
              <w:right w:val="nil"/>
            </w:tcBorders>
            <w:shd w:val="clear" w:color="000000" w:fill="D9D9D9"/>
            <w:noWrap/>
            <w:vAlign w:val="bottom"/>
            <w:hideMark/>
          </w:tcPr>
          <w:p w:rsidR="0012722B" w:rsidRPr="009B3138" w:rsidRDefault="0012722B" w:rsidP="00713B88">
            <w:pPr>
              <w:rPr>
                <w:b/>
                <w:bCs/>
                <w:sz w:val="20"/>
                <w:szCs w:val="20"/>
              </w:rPr>
            </w:pPr>
            <w:r w:rsidRPr="009B3138">
              <w:rPr>
                <w:b/>
                <w:bCs/>
                <w:sz w:val="20"/>
                <w:szCs w:val="20"/>
              </w:rPr>
              <w:t> </w:t>
            </w:r>
          </w:p>
        </w:tc>
        <w:tc>
          <w:tcPr>
            <w:tcW w:w="1674" w:type="dxa"/>
            <w:tcBorders>
              <w:top w:val="single" w:sz="8" w:space="0" w:color="000000"/>
              <w:left w:val="nil"/>
              <w:bottom w:val="nil"/>
              <w:right w:val="nil"/>
            </w:tcBorders>
            <w:shd w:val="clear" w:color="000000" w:fill="D9D9D9"/>
            <w:noWrap/>
            <w:vAlign w:val="bottom"/>
            <w:hideMark/>
          </w:tcPr>
          <w:p w:rsidR="0012722B" w:rsidRPr="009B3138" w:rsidRDefault="0012722B" w:rsidP="00713B88">
            <w:pPr>
              <w:rPr>
                <w:sz w:val="20"/>
                <w:szCs w:val="20"/>
              </w:rPr>
            </w:pPr>
            <w:r w:rsidRPr="009B3138">
              <w:rPr>
                <w:sz w:val="20"/>
                <w:szCs w:val="20"/>
              </w:rPr>
              <w:t> </w:t>
            </w:r>
          </w:p>
        </w:tc>
        <w:tc>
          <w:tcPr>
            <w:tcW w:w="2365" w:type="dxa"/>
            <w:tcBorders>
              <w:top w:val="single" w:sz="8" w:space="0" w:color="000000"/>
              <w:left w:val="nil"/>
              <w:bottom w:val="nil"/>
              <w:right w:val="single" w:sz="8" w:space="0" w:color="auto"/>
            </w:tcBorders>
            <w:shd w:val="clear" w:color="000000" w:fill="D9D9D9"/>
            <w:noWrap/>
            <w:vAlign w:val="bottom"/>
            <w:hideMark/>
          </w:tcPr>
          <w:p w:rsidR="0012722B" w:rsidRPr="009B3138" w:rsidRDefault="0012722B" w:rsidP="00713B88">
            <w:pPr>
              <w:rPr>
                <w:sz w:val="20"/>
                <w:szCs w:val="20"/>
              </w:rPr>
            </w:pPr>
            <w:r w:rsidRPr="009B3138">
              <w:rPr>
                <w:sz w:val="20"/>
                <w:szCs w:val="2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000000" w:fill="D9D9D9"/>
            <w:noWrap/>
            <w:vAlign w:val="bottom"/>
            <w:hideMark/>
          </w:tcPr>
          <w:p w:rsidR="0012722B" w:rsidRPr="009B3138" w:rsidRDefault="0012722B" w:rsidP="00713B88">
            <w:pPr>
              <w:rPr>
                <w:b/>
                <w:bCs/>
                <w:sz w:val="20"/>
                <w:szCs w:val="20"/>
              </w:rPr>
            </w:pPr>
            <w:r w:rsidRPr="009B3138">
              <w:rPr>
                <w:b/>
                <w:bCs/>
                <w:sz w:val="20"/>
                <w:szCs w:val="20"/>
              </w:rPr>
              <w:t> </w:t>
            </w:r>
          </w:p>
        </w:tc>
        <w:tc>
          <w:tcPr>
            <w:tcW w:w="1674" w:type="dxa"/>
            <w:tcBorders>
              <w:top w:val="nil"/>
              <w:left w:val="nil"/>
              <w:bottom w:val="nil"/>
              <w:right w:val="nil"/>
            </w:tcBorders>
            <w:shd w:val="clear" w:color="000000" w:fill="D9D9D9"/>
            <w:noWrap/>
            <w:vAlign w:val="bottom"/>
            <w:hideMark/>
          </w:tcPr>
          <w:p w:rsidR="0012722B" w:rsidRPr="009B3138" w:rsidRDefault="0012722B" w:rsidP="00713B88">
            <w:pPr>
              <w:jc w:val="right"/>
              <w:rPr>
                <w:b/>
                <w:bCs/>
                <w:color w:val="000000"/>
                <w:sz w:val="22"/>
              </w:rPr>
            </w:pPr>
            <w:r w:rsidRPr="009B3138">
              <w:rPr>
                <w:b/>
                <w:bCs/>
                <w:color w:val="000000"/>
                <w:sz w:val="22"/>
              </w:rPr>
              <w:t>UTILITY</w:t>
            </w:r>
          </w:p>
        </w:tc>
        <w:tc>
          <w:tcPr>
            <w:tcW w:w="2365" w:type="dxa"/>
            <w:tcBorders>
              <w:top w:val="nil"/>
              <w:left w:val="nil"/>
              <w:bottom w:val="nil"/>
              <w:right w:val="single" w:sz="8" w:space="0" w:color="auto"/>
            </w:tcBorders>
            <w:shd w:val="clear" w:color="000000" w:fill="D9D9D9"/>
            <w:noWrap/>
            <w:vAlign w:val="bottom"/>
            <w:hideMark/>
          </w:tcPr>
          <w:p w:rsidR="0012722B" w:rsidRPr="009B3138" w:rsidRDefault="0012722B" w:rsidP="00713B88">
            <w:pPr>
              <w:jc w:val="right"/>
              <w:rPr>
                <w:b/>
                <w:bCs/>
                <w:color w:val="000000"/>
                <w:sz w:val="22"/>
              </w:rPr>
            </w:pPr>
            <w:r w:rsidRPr="009B3138">
              <w:rPr>
                <w:b/>
                <w:bCs/>
                <w:color w:val="000000"/>
                <w:sz w:val="22"/>
              </w:rPr>
              <w:t xml:space="preserve">STAFF </w:t>
            </w:r>
          </w:p>
        </w:tc>
      </w:tr>
      <w:tr w:rsidR="0012722B" w:rsidRPr="009B3138" w:rsidTr="00713B88">
        <w:trPr>
          <w:trHeight w:val="303"/>
          <w:jc w:val="center"/>
        </w:trPr>
        <w:tc>
          <w:tcPr>
            <w:tcW w:w="5497" w:type="dxa"/>
            <w:tcBorders>
              <w:top w:val="nil"/>
              <w:left w:val="single" w:sz="8" w:space="0" w:color="auto"/>
              <w:bottom w:val="nil"/>
              <w:right w:val="nil"/>
            </w:tcBorders>
            <w:shd w:val="clear" w:color="000000" w:fill="D9D9D9"/>
            <w:noWrap/>
            <w:vAlign w:val="bottom"/>
            <w:hideMark/>
          </w:tcPr>
          <w:p w:rsidR="0012722B" w:rsidRPr="009B3138" w:rsidRDefault="0012722B" w:rsidP="00713B88">
            <w:pPr>
              <w:rPr>
                <w:b/>
                <w:bCs/>
                <w:sz w:val="20"/>
                <w:szCs w:val="20"/>
                <w:u w:val="single"/>
              </w:rPr>
            </w:pPr>
          </w:p>
        </w:tc>
        <w:tc>
          <w:tcPr>
            <w:tcW w:w="1674" w:type="dxa"/>
            <w:tcBorders>
              <w:top w:val="nil"/>
              <w:left w:val="nil"/>
              <w:bottom w:val="nil"/>
              <w:right w:val="nil"/>
            </w:tcBorders>
            <w:shd w:val="clear" w:color="000000" w:fill="D9D9D9"/>
            <w:noWrap/>
            <w:vAlign w:val="bottom"/>
            <w:hideMark/>
          </w:tcPr>
          <w:p w:rsidR="0012722B" w:rsidRPr="009B3138" w:rsidRDefault="0012722B" w:rsidP="00713B88">
            <w:pPr>
              <w:jc w:val="right"/>
              <w:rPr>
                <w:b/>
                <w:bCs/>
                <w:color w:val="000000"/>
                <w:sz w:val="22"/>
              </w:rPr>
            </w:pPr>
            <w:r w:rsidRPr="009B3138">
              <w:rPr>
                <w:b/>
                <w:bCs/>
                <w:color w:val="000000"/>
                <w:sz w:val="22"/>
              </w:rPr>
              <w:t>REQUESTED</w:t>
            </w:r>
          </w:p>
        </w:tc>
        <w:tc>
          <w:tcPr>
            <w:tcW w:w="2365" w:type="dxa"/>
            <w:tcBorders>
              <w:top w:val="nil"/>
              <w:left w:val="nil"/>
              <w:bottom w:val="nil"/>
              <w:right w:val="single" w:sz="8" w:space="0" w:color="auto"/>
            </w:tcBorders>
            <w:shd w:val="clear" w:color="000000" w:fill="D9D9D9"/>
            <w:noWrap/>
            <w:vAlign w:val="bottom"/>
            <w:hideMark/>
          </w:tcPr>
          <w:p w:rsidR="0012722B" w:rsidRPr="009B3138" w:rsidRDefault="0012722B" w:rsidP="00713B88">
            <w:pPr>
              <w:jc w:val="right"/>
              <w:rPr>
                <w:b/>
                <w:bCs/>
                <w:color w:val="000000"/>
                <w:sz w:val="22"/>
              </w:rPr>
            </w:pPr>
            <w:r w:rsidRPr="009B3138">
              <w:rPr>
                <w:b/>
                <w:bCs/>
                <w:color w:val="000000"/>
                <w:sz w:val="22"/>
              </w:rPr>
              <w:t>RECOMMENDED</w:t>
            </w:r>
          </w:p>
        </w:tc>
      </w:tr>
      <w:tr w:rsidR="0012722B" w:rsidRPr="009B3138" w:rsidTr="00713B88">
        <w:trPr>
          <w:trHeight w:val="318"/>
          <w:jc w:val="center"/>
        </w:trPr>
        <w:tc>
          <w:tcPr>
            <w:tcW w:w="5497" w:type="dxa"/>
            <w:tcBorders>
              <w:top w:val="nil"/>
              <w:left w:val="single" w:sz="8" w:space="0" w:color="auto"/>
              <w:bottom w:val="single" w:sz="8" w:space="0" w:color="000000"/>
              <w:right w:val="nil"/>
            </w:tcBorders>
            <w:shd w:val="clear" w:color="000000" w:fill="D9D9D9"/>
            <w:noWrap/>
            <w:vAlign w:val="bottom"/>
            <w:hideMark/>
          </w:tcPr>
          <w:p w:rsidR="0012722B" w:rsidRPr="009B3138" w:rsidRDefault="0012722B" w:rsidP="00713B88">
            <w:pPr>
              <w:rPr>
                <w:b/>
                <w:bCs/>
                <w:sz w:val="20"/>
                <w:szCs w:val="20"/>
                <w:u w:val="single"/>
              </w:rPr>
            </w:pPr>
          </w:p>
        </w:tc>
        <w:tc>
          <w:tcPr>
            <w:tcW w:w="1674" w:type="dxa"/>
            <w:tcBorders>
              <w:top w:val="nil"/>
              <w:left w:val="nil"/>
              <w:bottom w:val="single" w:sz="8" w:space="0" w:color="000000"/>
              <w:right w:val="nil"/>
            </w:tcBorders>
            <w:shd w:val="clear" w:color="000000" w:fill="D9D9D9"/>
            <w:noWrap/>
            <w:vAlign w:val="bottom"/>
            <w:hideMark/>
          </w:tcPr>
          <w:p w:rsidR="0012722B" w:rsidRPr="009B3138" w:rsidRDefault="0012722B" w:rsidP="00713B88">
            <w:pPr>
              <w:jc w:val="right"/>
              <w:rPr>
                <w:b/>
                <w:bCs/>
                <w:color w:val="000000"/>
                <w:sz w:val="22"/>
              </w:rPr>
            </w:pPr>
            <w:r w:rsidRPr="009B3138">
              <w:rPr>
                <w:b/>
                <w:bCs/>
                <w:color w:val="000000"/>
                <w:sz w:val="22"/>
              </w:rPr>
              <w:t xml:space="preserve">RATES </w:t>
            </w:r>
          </w:p>
        </w:tc>
        <w:tc>
          <w:tcPr>
            <w:tcW w:w="2365" w:type="dxa"/>
            <w:tcBorders>
              <w:top w:val="nil"/>
              <w:left w:val="nil"/>
              <w:bottom w:val="single" w:sz="8" w:space="0" w:color="000000"/>
              <w:right w:val="single" w:sz="8" w:space="0" w:color="auto"/>
            </w:tcBorders>
            <w:shd w:val="clear" w:color="000000" w:fill="D9D9D9"/>
            <w:noWrap/>
            <w:vAlign w:val="bottom"/>
            <w:hideMark/>
          </w:tcPr>
          <w:p w:rsidR="0012722B" w:rsidRPr="009B3138" w:rsidRDefault="0012722B" w:rsidP="00713B88">
            <w:pPr>
              <w:jc w:val="right"/>
              <w:rPr>
                <w:b/>
                <w:bCs/>
                <w:color w:val="000000"/>
                <w:sz w:val="22"/>
              </w:rPr>
            </w:pPr>
            <w:r w:rsidRPr="009B3138">
              <w:rPr>
                <w:b/>
                <w:bCs/>
                <w:color w:val="000000"/>
                <w:sz w:val="22"/>
              </w:rPr>
              <w:t>RATES</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0"/>
                <w:szCs w:val="20"/>
              </w:rPr>
            </w:pPr>
            <w:r w:rsidRPr="009B3138">
              <w:rPr>
                <w:sz w:val="20"/>
                <w:szCs w:val="20"/>
              </w:rPr>
              <w:t> </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0"/>
                <w:szCs w:val="20"/>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sz w:val="20"/>
                <w:szCs w:val="20"/>
              </w:rPr>
            </w:pPr>
            <w:r w:rsidRPr="009B3138">
              <w:rPr>
                <w:color w:val="000000"/>
                <w:sz w:val="20"/>
                <w:szCs w:val="2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b/>
                <w:bCs/>
                <w:sz w:val="22"/>
                <w:u w:val="thick"/>
              </w:rPr>
            </w:pPr>
            <w:r w:rsidRPr="009B3138">
              <w:rPr>
                <w:b/>
                <w:bCs/>
                <w:sz w:val="22"/>
                <w:u w:val="thick"/>
              </w:rPr>
              <w:t xml:space="preserve">Residential Service </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rPr>
                <w:color w:val="000000"/>
                <w:sz w:val="22"/>
              </w:rPr>
            </w:pPr>
            <w:r w:rsidRPr="009B3138">
              <w:rPr>
                <w:color w:val="000000"/>
                <w:sz w:val="22"/>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2"/>
              </w:rPr>
            </w:pPr>
            <w:r w:rsidRPr="009B3138">
              <w:rPr>
                <w:sz w:val="22"/>
              </w:rPr>
              <w:t>Base Facility Charge- All Meter Sizes</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$17.03</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23.41</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2"/>
              </w:rPr>
            </w:pPr>
            <w:r w:rsidRPr="009B3138">
              <w:rPr>
                <w:sz w:val="22"/>
              </w:rPr>
              <w:t> </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rPr>
                <w:color w:val="000000"/>
              </w:rPr>
            </w:pPr>
            <w:r w:rsidRPr="009B3138">
              <w:rPr>
                <w:color w:val="00000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2"/>
              </w:rPr>
            </w:pPr>
            <w:r w:rsidRPr="009B3138">
              <w:rPr>
                <w:sz w:val="22"/>
              </w:rPr>
              <w:t>Charge per 1,000 gallons- Residential</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$8.49</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11.68</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2"/>
              </w:rPr>
            </w:pPr>
            <w:r w:rsidRPr="009B3138">
              <w:rPr>
                <w:sz w:val="22"/>
              </w:rPr>
              <w:t>10,000 gallon cap</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rPr>
                <w:color w:val="000000"/>
              </w:rPr>
            </w:pPr>
            <w:r w:rsidRPr="009B3138">
              <w:rPr>
                <w:color w:val="00000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2"/>
              </w:rPr>
            </w:pPr>
            <w:r w:rsidRPr="009B3138">
              <w:rPr>
                <w:sz w:val="22"/>
              </w:rPr>
              <w:t> </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rPr>
                <w:color w:val="000000"/>
              </w:rPr>
            </w:pPr>
            <w:r w:rsidRPr="009B3138">
              <w:rPr>
                <w:color w:val="000000"/>
              </w:rPr>
              <w:t> </w:t>
            </w:r>
          </w:p>
        </w:tc>
      </w:tr>
      <w:tr w:rsidR="0012722B" w:rsidRPr="009B3138" w:rsidTr="00713B88">
        <w:trPr>
          <w:trHeight w:val="387"/>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b/>
                <w:bCs/>
                <w:sz w:val="22"/>
                <w:u w:val="single"/>
              </w:rPr>
            </w:pPr>
            <w:r w:rsidRPr="009B3138">
              <w:rPr>
                <w:b/>
                <w:bCs/>
                <w:sz w:val="22"/>
                <w:u w:val="single"/>
              </w:rPr>
              <w:t>General Service</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rPr>
                <w:color w:val="000000"/>
              </w:rPr>
            </w:pPr>
            <w:r w:rsidRPr="009B3138">
              <w:rPr>
                <w:color w:val="00000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sz w:val="22"/>
              </w:rPr>
            </w:pPr>
            <w:r w:rsidRPr="009B3138">
              <w:rPr>
                <w:sz w:val="22"/>
              </w:rPr>
              <w:t>Base Facility Charge by Meter Size</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rPr>
                <w:color w:val="000000"/>
              </w:rPr>
            </w:pPr>
            <w:r w:rsidRPr="009B3138">
              <w:rPr>
                <w:color w:val="00000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5/8" x 3/4"</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$17.03</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Pr>
                <w:color w:val="000000"/>
              </w:rPr>
              <w:t>$23.41</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3/4"</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$25.55</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35.12</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1"</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$42.58</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58.53</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1-1/2" Turbine</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$85.15</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117.05</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2" Turbine</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$136.24</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Pr>
                <w:color w:val="000000"/>
              </w:rPr>
              <w:t>$187.28</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3" Turbine</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$298.03</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409.68</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 </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Charge per 1,000 gallons - General Service</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$10.18</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14.02</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 </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tcPr>
          <w:p w:rsidR="0012722B" w:rsidRPr="009B3138" w:rsidRDefault="0012722B" w:rsidP="00713B88">
            <w:pPr>
              <w:rPr>
                <w:color w:val="000000"/>
                <w:sz w:val="22"/>
              </w:rPr>
            </w:pPr>
          </w:p>
        </w:tc>
        <w:tc>
          <w:tcPr>
            <w:tcW w:w="1674" w:type="dxa"/>
            <w:tcBorders>
              <w:top w:val="nil"/>
              <w:left w:val="nil"/>
              <w:bottom w:val="nil"/>
              <w:right w:val="nil"/>
            </w:tcBorders>
            <w:shd w:val="clear" w:color="auto" w:fill="auto"/>
            <w:noWrap/>
            <w:vAlign w:val="bottom"/>
          </w:tcPr>
          <w:p w:rsidR="0012722B" w:rsidRPr="009B3138" w:rsidRDefault="0012722B" w:rsidP="00713B88">
            <w:pPr>
              <w:jc w:val="right"/>
              <w:rPr>
                <w:color w:val="000000"/>
                <w:sz w:val="22"/>
              </w:rPr>
            </w:pPr>
          </w:p>
        </w:tc>
        <w:tc>
          <w:tcPr>
            <w:tcW w:w="2365" w:type="dxa"/>
            <w:tcBorders>
              <w:top w:val="nil"/>
              <w:left w:val="nil"/>
              <w:bottom w:val="nil"/>
              <w:right w:val="single" w:sz="8" w:space="0" w:color="auto"/>
            </w:tcBorders>
            <w:shd w:val="clear" w:color="auto" w:fill="auto"/>
            <w:noWrap/>
            <w:vAlign w:val="bottom"/>
          </w:tcPr>
          <w:p w:rsidR="0012722B" w:rsidRPr="009B3138" w:rsidRDefault="0012722B" w:rsidP="00713B88">
            <w:pPr>
              <w:jc w:val="right"/>
              <w:rPr>
                <w:color w:val="000000"/>
              </w:rPr>
            </w:pPr>
          </w:p>
        </w:tc>
      </w:tr>
      <w:tr w:rsidR="0012722B" w:rsidRPr="009B3138" w:rsidTr="00713B88">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rsidR="0012722B" w:rsidRPr="009B3138" w:rsidRDefault="0012722B" w:rsidP="00713B88">
            <w:pPr>
              <w:rPr>
                <w:b/>
                <w:bCs/>
                <w:color w:val="000000"/>
                <w:sz w:val="22"/>
                <w:u w:val="single"/>
              </w:rPr>
            </w:pPr>
            <w:r w:rsidRPr="009B3138">
              <w:rPr>
                <w:b/>
                <w:bCs/>
                <w:color w:val="000000"/>
                <w:sz w:val="22"/>
                <w:u w:val="single"/>
              </w:rPr>
              <w:t>Typical Residential 5/8" x 3/4" Meter Bill Comparison</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sz w:val="22"/>
              </w:rPr>
            </w:pPr>
            <w:r w:rsidRPr="009B3138">
              <w:rPr>
                <w:color w:val="000000"/>
                <w:sz w:val="22"/>
              </w:rPr>
              <w:t> </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3,000 Gallons</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$42.50</w:t>
            </w:r>
            <w:r w:rsidRPr="009B3138">
              <w:rPr>
                <w:color w:val="000000"/>
                <w:sz w:val="22"/>
              </w:rPr>
              <w:t xml:space="preserve"> </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58.45</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6,000 Gallons</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$67.97</w:t>
            </w:r>
            <w:r w:rsidRPr="009B3138">
              <w:rPr>
                <w:color w:val="000000"/>
                <w:sz w:val="22"/>
              </w:rPr>
              <w:t xml:space="preserve"> </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93.49</w:t>
            </w:r>
          </w:p>
        </w:tc>
      </w:tr>
      <w:tr w:rsidR="0012722B" w:rsidRPr="009B3138" w:rsidTr="00713B88">
        <w:trPr>
          <w:trHeight w:val="303"/>
          <w:jc w:val="center"/>
        </w:trPr>
        <w:tc>
          <w:tcPr>
            <w:tcW w:w="5497" w:type="dxa"/>
            <w:tcBorders>
              <w:top w:val="nil"/>
              <w:left w:val="single" w:sz="8" w:space="0" w:color="auto"/>
              <w:bottom w:val="nil"/>
              <w:right w:val="nil"/>
            </w:tcBorders>
            <w:shd w:val="clear" w:color="auto" w:fill="auto"/>
            <w:noWrap/>
            <w:vAlign w:val="bottom"/>
            <w:hideMark/>
          </w:tcPr>
          <w:p w:rsidR="0012722B" w:rsidRPr="009B3138" w:rsidRDefault="0012722B" w:rsidP="00713B88">
            <w:pPr>
              <w:rPr>
                <w:color w:val="000000"/>
                <w:sz w:val="22"/>
              </w:rPr>
            </w:pPr>
            <w:r w:rsidRPr="009B3138">
              <w:rPr>
                <w:color w:val="000000"/>
                <w:sz w:val="22"/>
              </w:rPr>
              <w:t>10,000 Gallons</w:t>
            </w:r>
          </w:p>
        </w:tc>
        <w:tc>
          <w:tcPr>
            <w:tcW w:w="1674" w:type="dxa"/>
            <w:tcBorders>
              <w:top w:val="nil"/>
              <w:left w:val="nil"/>
              <w:bottom w:val="nil"/>
              <w:right w:val="nil"/>
            </w:tcBorders>
            <w:shd w:val="clear" w:color="auto" w:fill="auto"/>
            <w:noWrap/>
            <w:vAlign w:val="bottom"/>
            <w:hideMark/>
          </w:tcPr>
          <w:p w:rsidR="0012722B" w:rsidRPr="009B3138" w:rsidRDefault="0012722B" w:rsidP="00713B88">
            <w:pPr>
              <w:jc w:val="right"/>
              <w:rPr>
                <w:color w:val="000000"/>
                <w:sz w:val="22"/>
              </w:rPr>
            </w:pPr>
            <w:r>
              <w:rPr>
                <w:color w:val="000000"/>
                <w:sz w:val="22"/>
              </w:rPr>
              <w:t>$101.93</w:t>
            </w:r>
            <w:r w:rsidRPr="009B3138">
              <w:rPr>
                <w:color w:val="000000"/>
                <w:sz w:val="22"/>
              </w:rPr>
              <w:t xml:space="preserve"> </w:t>
            </w:r>
          </w:p>
        </w:tc>
        <w:tc>
          <w:tcPr>
            <w:tcW w:w="2365" w:type="dxa"/>
            <w:tcBorders>
              <w:top w:val="nil"/>
              <w:left w:val="nil"/>
              <w:bottom w:val="nil"/>
              <w:right w:val="single" w:sz="8" w:space="0" w:color="auto"/>
            </w:tcBorders>
            <w:shd w:val="clear" w:color="auto" w:fill="auto"/>
            <w:noWrap/>
            <w:vAlign w:val="bottom"/>
            <w:hideMark/>
          </w:tcPr>
          <w:p w:rsidR="0012722B" w:rsidRPr="009B3138" w:rsidRDefault="0012722B" w:rsidP="00713B88">
            <w:pPr>
              <w:jc w:val="right"/>
              <w:rPr>
                <w:color w:val="000000"/>
              </w:rPr>
            </w:pPr>
            <w:r w:rsidRPr="009B3138">
              <w:rPr>
                <w:color w:val="000000"/>
              </w:rPr>
              <w:t>$</w:t>
            </w:r>
            <w:r>
              <w:rPr>
                <w:color w:val="000000"/>
              </w:rPr>
              <w:t>140.21</w:t>
            </w:r>
          </w:p>
        </w:tc>
      </w:tr>
      <w:tr w:rsidR="0012722B" w:rsidRPr="009B3138" w:rsidTr="00713B88">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rsidR="0012722B" w:rsidRPr="009B3138" w:rsidRDefault="0012722B" w:rsidP="00713B88">
            <w:pPr>
              <w:rPr>
                <w:sz w:val="22"/>
              </w:rPr>
            </w:pPr>
            <w:r w:rsidRPr="009B3138">
              <w:rPr>
                <w:sz w:val="22"/>
              </w:rPr>
              <w:t> </w:t>
            </w:r>
          </w:p>
        </w:tc>
        <w:tc>
          <w:tcPr>
            <w:tcW w:w="1674" w:type="dxa"/>
            <w:tcBorders>
              <w:top w:val="nil"/>
              <w:left w:val="nil"/>
              <w:bottom w:val="single" w:sz="8" w:space="0" w:color="auto"/>
              <w:right w:val="nil"/>
            </w:tcBorders>
            <w:shd w:val="clear" w:color="auto" w:fill="auto"/>
            <w:noWrap/>
            <w:vAlign w:val="bottom"/>
            <w:hideMark/>
          </w:tcPr>
          <w:p w:rsidR="0012722B" w:rsidRPr="009B3138" w:rsidRDefault="0012722B" w:rsidP="00713B88">
            <w:pPr>
              <w:rPr>
                <w:sz w:val="22"/>
              </w:rPr>
            </w:pPr>
            <w:r w:rsidRPr="009B3138">
              <w:rPr>
                <w:sz w:val="22"/>
              </w:rPr>
              <w:t> </w:t>
            </w:r>
          </w:p>
        </w:tc>
        <w:tc>
          <w:tcPr>
            <w:tcW w:w="2365" w:type="dxa"/>
            <w:tcBorders>
              <w:top w:val="nil"/>
              <w:left w:val="nil"/>
              <w:bottom w:val="single" w:sz="8" w:space="0" w:color="auto"/>
              <w:right w:val="single" w:sz="8" w:space="0" w:color="auto"/>
            </w:tcBorders>
            <w:shd w:val="clear" w:color="auto" w:fill="auto"/>
            <w:noWrap/>
            <w:vAlign w:val="bottom"/>
            <w:hideMark/>
          </w:tcPr>
          <w:p w:rsidR="0012722B" w:rsidRPr="009B3138" w:rsidRDefault="0012722B" w:rsidP="00713B88">
            <w:pPr>
              <w:rPr>
                <w:sz w:val="22"/>
              </w:rPr>
            </w:pPr>
            <w:r w:rsidRPr="009B3138">
              <w:rPr>
                <w:sz w:val="22"/>
              </w:rPr>
              <w:t> </w:t>
            </w:r>
          </w:p>
        </w:tc>
      </w:tr>
    </w:tbl>
    <w:p w:rsidR="0012722B" w:rsidRDefault="0012722B" w:rsidP="001F3A1D">
      <w:pPr>
        <w:pStyle w:val="BodyText"/>
      </w:pPr>
    </w:p>
    <w:sectPr w:rsidR="0012722B" w:rsidSect="009C2764">
      <w:headerReference w:type="default" r:id="rId4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D42" w:rsidRDefault="00841D42">
      <w:r>
        <w:separator/>
      </w:r>
    </w:p>
  </w:endnote>
  <w:endnote w:type="continuationSeparator" w:id="0">
    <w:p w:rsidR="00841D42" w:rsidRDefault="0084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28</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29</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30</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31</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9C276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32</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9C276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33</w:t>
    </w:r>
    <w:r>
      <w:rPr>
        <w:rStyle w:val="PageNumber"/>
      </w:rPr>
      <w:fldChar w:fldCharType="end"/>
    </w:r>
    <w:r>
      <w:rPr>
        <w:rStyle w:val="PageNumber"/>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9C276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34</w:t>
    </w:r>
    <w:r>
      <w:rPr>
        <w:rStyle w:val="PageNumber"/>
      </w:rPr>
      <w:fldChar w:fldCharType="end"/>
    </w:r>
    <w:r>
      <w:rPr>
        <w:rStyle w:val="PageNumber"/>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9C276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35</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9C276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36</w:t>
    </w:r>
    <w:r>
      <w:rPr>
        <w:rStyle w:val="PageNumber"/>
      </w:rPr>
      <w:fldChar w:fldCharType="end"/>
    </w:r>
    <w:r>
      <w:rPr>
        <w:rStyle w:val="PageNumber"/>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9C276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38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22</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23</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24</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25</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26</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7BB1">
      <w:rPr>
        <w:rStyle w:val="PageNumber"/>
        <w:noProof/>
      </w:rPr>
      <w:t>27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D42" w:rsidRDefault="00841D42">
      <w:r>
        <w:separator/>
      </w:r>
    </w:p>
  </w:footnote>
  <w:footnote w:type="continuationSeparator" w:id="0">
    <w:p w:rsidR="00841D42" w:rsidRDefault="00841D42">
      <w:r>
        <w:continuationSeparator/>
      </w:r>
    </w:p>
  </w:footnote>
  <w:footnote w:id="1">
    <w:p w:rsidR="00841D42" w:rsidRDefault="00841D42" w:rsidP="00AF6A51">
      <w:pPr>
        <w:pStyle w:val="FootnoteText"/>
        <w:rPr>
          <w:i/>
        </w:rPr>
      </w:pPr>
      <w:r>
        <w:rPr>
          <w:rStyle w:val="FootnoteCharacters"/>
        </w:rPr>
        <w:footnoteRef/>
      </w:r>
      <w:r>
        <w:t xml:space="preserve"> Order No. PSC-2022-0049-FOF-WS, issued January 31, 2022, in Docket No. 20210125-WS, </w:t>
      </w:r>
      <w:r>
        <w:rPr>
          <w:i/>
        </w:rPr>
        <w:t>In re: Application for amendment of Certificate Nos. 677-W and 577-S to delete territory in Lake and Sumter Counties, by Gibson Place Utility Company, LLC.</w:t>
      </w:r>
    </w:p>
  </w:footnote>
  <w:footnote w:id="2">
    <w:p w:rsidR="00841D42" w:rsidRDefault="00841D42" w:rsidP="00197B9F">
      <w:pPr>
        <w:pStyle w:val="FootnoteText"/>
      </w:pPr>
      <w:r>
        <w:rPr>
          <w:rStyle w:val="FootnoteCharacters"/>
        </w:rPr>
        <w:footnoteRef/>
      </w:r>
      <w:r>
        <w:t xml:space="preserve"> Document No. 03214-2022, filed May 27, 2022. </w:t>
      </w:r>
    </w:p>
  </w:footnote>
  <w:footnote w:id="3">
    <w:p w:rsidR="00841D42" w:rsidRDefault="00841D42" w:rsidP="00197B9F">
      <w:pPr>
        <w:pStyle w:val="FootnoteText"/>
      </w:pPr>
      <w:r>
        <w:rPr>
          <w:rStyle w:val="FootnoteCharacters"/>
        </w:rPr>
        <w:footnoteRef/>
      </w:r>
      <w:r>
        <w:t xml:space="preserve"> Document No. 03361-2022, filed June 3, 2022.</w:t>
      </w:r>
    </w:p>
  </w:footnote>
  <w:footnote w:id="4">
    <w:p w:rsidR="00841D42" w:rsidRDefault="00841D42" w:rsidP="00197B9F">
      <w:pPr>
        <w:pStyle w:val="FootnoteText"/>
      </w:pPr>
      <w:r>
        <w:rPr>
          <w:rStyle w:val="FootnoteCharacters"/>
        </w:rPr>
        <w:footnoteRef/>
      </w:r>
      <w:r>
        <w:t xml:space="preserve"> Document No. 04560-2022, filed July 7, 2022.</w:t>
      </w:r>
    </w:p>
  </w:footnote>
  <w:footnote w:id="5">
    <w:p w:rsidR="00841D42" w:rsidRDefault="00841D42" w:rsidP="00197B9F">
      <w:pPr>
        <w:pStyle w:val="FootnoteText"/>
      </w:pPr>
      <w:r>
        <w:rPr>
          <w:rStyle w:val="FootnoteCharacters"/>
        </w:rPr>
        <w:footnoteRef/>
      </w:r>
      <w:r>
        <w:t xml:space="preserve"> Document No. 08247-2022, filed September 28, 2022.</w:t>
      </w:r>
    </w:p>
  </w:footnote>
  <w:footnote w:id="6">
    <w:p w:rsidR="00841D42" w:rsidRDefault="00841D42" w:rsidP="00F27275">
      <w:pPr>
        <w:pStyle w:val="FootnoteText"/>
      </w:pPr>
      <w:r>
        <w:rPr>
          <w:rStyle w:val="FootnoteReference"/>
        </w:rPr>
        <w:footnoteRef/>
      </w:r>
      <w:r>
        <w:t xml:space="preserve"> Document No. </w:t>
      </w:r>
      <w:r w:rsidRPr="00403161">
        <w:t>03872-2022</w:t>
      </w:r>
      <w:r>
        <w:t>, filed June 14, 2022</w:t>
      </w:r>
    </w:p>
  </w:footnote>
  <w:footnote w:id="7">
    <w:p w:rsidR="00841D42" w:rsidRDefault="00841D42" w:rsidP="00F27275">
      <w:pPr>
        <w:pStyle w:val="FootnoteText"/>
      </w:pPr>
      <w:r>
        <w:rPr>
          <w:rStyle w:val="FootnoteReference"/>
        </w:rPr>
        <w:footnoteRef/>
      </w:r>
      <w:r>
        <w:t xml:space="preserve"> Document No. </w:t>
      </w:r>
      <w:r w:rsidRPr="00403161">
        <w:t>04213-2022</w:t>
      </w:r>
      <w:r>
        <w:t>, filed June 23, 2022</w:t>
      </w:r>
    </w:p>
  </w:footnote>
  <w:footnote w:id="8">
    <w:p w:rsidR="00841D42" w:rsidRPr="007C1E60" w:rsidRDefault="00841D42" w:rsidP="00C16A15">
      <w:pPr>
        <w:pStyle w:val="FootnoteText"/>
      </w:pPr>
      <w:r>
        <w:rPr>
          <w:rStyle w:val="FootnoteReference"/>
        </w:rPr>
        <w:footnoteRef/>
      </w:r>
      <w:r w:rsidR="00A8119D">
        <w:t xml:space="preserve"> </w:t>
      </w:r>
      <w:r>
        <w:t xml:space="preserve">Order No. PSC-08-0243-FOF-WS, issued April 16, 2008, in Docket No. 20070109-WS, </w:t>
      </w:r>
      <w:r w:rsidRPr="00CE6C6D">
        <w:rPr>
          <w:i/>
        </w:rPr>
        <w:t>In re: Application for amendment of Certificates 611-W and 527-S to extend water and wastewater service areas to include certain land in Charlotte County by Sun River Utilities, Inc. (f/k/a MSM Utilities, LLC)</w:t>
      </w:r>
      <w:r>
        <w:t xml:space="preserve">, pp. 11-13; Order No. PSC-04-0980-FOF-WU, issued October 8, 2004, in Docket No. 20021256-WU, </w:t>
      </w:r>
      <w:r w:rsidRPr="00CE6C6D">
        <w:rPr>
          <w:i/>
        </w:rPr>
        <w:t xml:space="preserve">In re: Application for certificate to provide water service in Volusia and Brevard Counties by </w:t>
      </w:r>
      <w:proofErr w:type="spellStart"/>
      <w:r w:rsidRPr="00CE6C6D">
        <w:rPr>
          <w:i/>
        </w:rPr>
        <w:t>Farmton</w:t>
      </w:r>
      <w:proofErr w:type="spellEnd"/>
      <w:r w:rsidRPr="00CE6C6D">
        <w:rPr>
          <w:i/>
        </w:rPr>
        <w:t xml:space="preserve"> Water Resources LLC</w:t>
      </w:r>
      <w:r>
        <w:t>, p. 26; Order No.</w:t>
      </w:r>
      <w:r w:rsidRPr="00A855DB">
        <w:t xml:space="preserve"> PSC-92-0104-FOF-WU, issued March 27, 1992, in Docket No. </w:t>
      </w:r>
      <w:r>
        <w:t>19910114-WU,</w:t>
      </w:r>
      <w:r w:rsidRPr="000C2F48">
        <w:rPr>
          <w:i/>
        </w:rPr>
        <w:t xml:space="preserve"> In re: Application for water certificate in Brevard, Orange and Osceola Counties by </w:t>
      </w:r>
      <w:r>
        <w:rPr>
          <w:i/>
        </w:rPr>
        <w:t>East Central Florida Services, Inc.</w:t>
      </w:r>
      <w:r>
        <w:t>, pp. 33-34.</w:t>
      </w:r>
    </w:p>
  </w:footnote>
  <w:footnote w:id="9">
    <w:p w:rsidR="00841D42" w:rsidRDefault="00841D42" w:rsidP="001E6B0E">
      <w:pPr>
        <w:pStyle w:val="FootnoteText"/>
      </w:pPr>
      <w:r>
        <w:rPr>
          <w:rStyle w:val="FootnoteReference"/>
        </w:rPr>
        <w:footnoteRef/>
      </w:r>
      <w:r>
        <w:t xml:space="preserve"> Document No. 04369-2022</w:t>
      </w:r>
    </w:p>
  </w:footnote>
  <w:footnote w:id="10">
    <w:p w:rsidR="00841D42" w:rsidRDefault="00841D42" w:rsidP="001E6B0E">
      <w:pPr>
        <w:pStyle w:val="FootnoteText"/>
      </w:pPr>
      <w:r>
        <w:rPr>
          <w:rStyle w:val="FootnoteReference"/>
        </w:rPr>
        <w:footnoteRef/>
      </w:r>
      <w:r>
        <w:t xml:space="preserve"> Document No. 10117-2022; Gibson’s plant capacity fees were approved at the November 1</w:t>
      </w:r>
      <w:r w:rsidR="00CE69F1">
        <w:t>, 2022</w:t>
      </w:r>
      <w:r w:rsidR="00E63E1E">
        <w:t xml:space="preserve"> </w:t>
      </w:r>
      <w:r w:rsidR="00CE69F1">
        <w:t>Commission Conference</w:t>
      </w:r>
      <w:r>
        <w:t>.</w:t>
      </w:r>
    </w:p>
  </w:footnote>
  <w:footnote w:id="11">
    <w:p w:rsidR="00841D42" w:rsidRPr="000B67E4" w:rsidRDefault="00841D42" w:rsidP="001E6B0E">
      <w:pPr>
        <w:pStyle w:val="FootnoteText"/>
      </w:pPr>
      <w:r>
        <w:rPr>
          <w:rStyle w:val="FootnoteReference"/>
        </w:rPr>
        <w:footnoteRef/>
      </w:r>
      <w:r w:rsidR="00577DAA">
        <w:t xml:space="preserve"> </w:t>
      </w:r>
      <w:r>
        <w:t xml:space="preserve">Order No. PSC-2018-0271-PAA-WS, issued May 30, 2018, in Docket No. 20160220-WS, </w:t>
      </w:r>
      <w:r>
        <w:rPr>
          <w:i/>
        </w:rPr>
        <w:t xml:space="preserve">In re: Application for original water and wastewater certificates in Sumter County, by South Sumter Utility Company, </w:t>
      </w:r>
      <w:proofErr w:type="gramStart"/>
      <w:r>
        <w:rPr>
          <w:i/>
        </w:rPr>
        <w:t>LLC.,</w:t>
      </w:r>
      <w:proofErr w:type="gramEnd"/>
      <w:r>
        <w:rPr>
          <w:i/>
        </w:rPr>
        <w:t xml:space="preserve"> </w:t>
      </w:r>
      <w:r>
        <w:t>p. 4.</w:t>
      </w:r>
    </w:p>
  </w:footnote>
  <w:footnote w:id="12">
    <w:p w:rsidR="00841D42" w:rsidRPr="008A40F9" w:rsidRDefault="00841D42" w:rsidP="001E6B0E">
      <w:pPr>
        <w:pStyle w:val="FootnoteText"/>
        <w:rPr>
          <w:i/>
        </w:rPr>
      </w:pPr>
      <w:r>
        <w:rPr>
          <w:rStyle w:val="FootnoteReference"/>
        </w:rPr>
        <w:footnoteRef/>
      </w:r>
      <w:r w:rsidR="00577DAA">
        <w:t xml:space="preserve"> </w:t>
      </w:r>
      <w:r>
        <w:t xml:space="preserve">Order No. PSC-2022-0208-PAA-WS, issued June 15, 2022, in Docket No. 20220006-WS, </w:t>
      </w:r>
      <w:r>
        <w:rPr>
          <w:i/>
        </w:rPr>
        <w:t>In re: Water and wastewater industry annual reestablishment of authorized range of return on common equity of water and wastewater utilities pursuant to Section 367.081(4</w:t>
      </w:r>
      <w:proofErr w:type="gramStart"/>
      <w:r>
        <w:rPr>
          <w:i/>
        </w:rPr>
        <w:t>)(</w:t>
      </w:r>
      <w:proofErr w:type="gramEnd"/>
      <w:r>
        <w:rPr>
          <w:i/>
        </w:rPr>
        <w:t>f), F.S.</w:t>
      </w:r>
    </w:p>
  </w:footnote>
  <w:footnote w:id="13">
    <w:p w:rsidR="00841D42" w:rsidRDefault="00841D42" w:rsidP="00BB649E">
      <w:pPr>
        <w:pStyle w:val="FootnoteText"/>
      </w:pPr>
      <w:r>
        <w:rPr>
          <w:rStyle w:val="FootnoteReference"/>
        </w:rPr>
        <w:footnoteRef/>
      </w:r>
      <w:r>
        <w:t xml:space="preserve"> Order No. PSC-2018-0271-PAA-WS, issued May 30, 2018, in Docket No. 20160220-WS, </w:t>
      </w:r>
      <w:r w:rsidRPr="00761A30">
        <w:rPr>
          <w:i/>
        </w:rPr>
        <w:t>In re: Application for original water and wastewater certificates in South Sumter County by South Sumter Utility Company, LLC.</w:t>
      </w:r>
    </w:p>
  </w:footnote>
  <w:footnote w:id="14">
    <w:p w:rsidR="00841D42" w:rsidRDefault="00841D42" w:rsidP="004D6720">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15">
    <w:p w:rsidR="00841D42" w:rsidRDefault="00841D42" w:rsidP="008C43D9">
      <w:pPr>
        <w:pStyle w:val="FootnoteText"/>
      </w:pPr>
      <w:r>
        <w:rPr>
          <w:rStyle w:val="FootnoteReference"/>
        </w:rPr>
        <w:footnoteRef/>
      </w:r>
      <w:r>
        <w:t xml:space="preserve"> Order No. PSC-2018-0271-PAA-WS, issued May 30, 2018, in Docket No. 20160220-WS, </w:t>
      </w:r>
      <w:r w:rsidRPr="00761A30">
        <w:rPr>
          <w:i/>
        </w:rPr>
        <w:t>In re: Application for original water and wastewater certificates in South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bookmarkStart w:id="10" w:name="DocketLabel"/>
    <w:r>
      <w:t>Docket No.</w:t>
    </w:r>
    <w:bookmarkEnd w:id="10"/>
    <w:r>
      <w:t xml:space="preserve"> </w:t>
    </w:r>
    <w:bookmarkStart w:id="11" w:name="DocketList"/>
    <w:r>
      <w:t>20220088-WS</w:t>
    </w:r>
    <w:bookmarkEnd w:id="11"/>
  </w:p>
  <w:p w:rsidR="00841D42" w:rsidRDefault="00841D42">
    <w:pPr>
      <w:pStyle w:val="Header"/>
    </w:pPr>
    <w:r>
      <w:t>Date: November 22, 2022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7 of 8</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8 of 8</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1-A</w:t>
    </w:r>
  </w:p>
  <w:p w:rsidR="00841D42" w:rsidRDefault="00841D42" w:rsidP="00D95345">
    <w:pPr>
      <w:pStyle w:val="Header"/>
      <w:tabs>
        <w:tab w:val="clear" w:pos="8640"/>
      </w:tabs>
    </w:pPr>
    <w:r>
      <w:t>Date: November 22, 2022</w:t>
    </w:r>
    <w:r>
      <w:tab/>
    </w:r>
    <w:r>
      <w:tab/>
    </w: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1-B</w:t>
    </w:r>
  </w:p>
  <w:p w:rsidR="00841D42" w:rsidRDefault="00841D42" w:rsidP="00D95345">
    <w:pPr>
      <w:pStyle w:val="Header"/>
      <w:tabs>
        <w:tab w:val="clear" w:pos="8640"/>
      </w:tabs>
    </w:pPr>
    <w:r>
      <w:t>Date: November 22, 2022</w:t>
    </w:r>
    <w:r>
      <w:tab/>
    </w:r>
    <w:r>
      <w:tab/>
    </w:r>
    <w:r>
      <w:tab/>
    </w:r>
    <w:r>
      <w:tab/>
    </w:r>
    <w: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1-C</w:t>
    </w:r>
  </w:p>
  <w:p w:rsidR="00841D42" w:rsidRDefault="00841D42" w:rsidP="00D95345">
    <w:pPr>
      <w:pStyle w:val="Header"/>
      <w:tabs>
        <w:tab w:val="clear" w:pos="8640"/>
      </w:tabs>
    </w:pPr>
    <w:r>
      <w:t>Date: November 22, 2022</w:t>
    </w:r>
    <w:r>
      <w:tab/>
    </w:r>
    <w:r>
      <w:tab/>
    </w:r>
    <w:r>
      <w:tab/>
    </w:r>
    <w:r>
      <w:tab/>
    </w:r>
    <w: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r>
    <w:r>
      <w:tab/>
    </w:r>
    <w:r>
      <w:tab/>
      <w:t>Schedule No. 2</w:t>
    </w:r>
  </w:p>
  <w:p w:rsidR="00841D42" w:rsidRDefault="00841D42" w:rsidP="00D95345">
    <w:pPr>
      <w:pStyle w:val="Header"/>
      <w:tabs>
        <w:tab w:val="clear" w:pos="8640"/>
      </w:tabs>
    </w:pPr>
    <w:r>
      <w:t>Date: November 22, 2022</w:t>
    </w:r>
    <w:r>
      <w:tab/>
    </w:r>
    <w:r>
      <w:tab/>
    </w:r>
    <w:r>
      <w:tab/>
    </w:r>
    <w:r>
      <w:tab/>
    </w:r>
    <w:r>
      <w:tab/>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3-A</w:t>
    </w:r>
  </w:p>
  <w:p w:rsidR="00841D42" w:rsidRDefault="00841D42" w:rsidP="00D95345">
    <w:pPr>
      <w:pStyle w:val="Header"/>
      <w:tabs>
        <w:tab w:val="clear" w:pos="8640"/>
      </w:tabs>
    </w:pPr>
    <w:r>
      <w:t>Date: November 22, 2022</w:t>
    </w:r>
    <w:r>
      <w:tab/>
    </w:r>
    <w:r>
      <w:tab/>
    </w:r>
    <w:r>
      <w:tab/>
    </w:r>
    <w:r>
      <w:tab/>
    </w:r>
    <w:r>
      <w:tab/>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3-B</w:t>
    </w:r>
  </w:p>
  <w:p w:rsidR="00841D42" w:rsidRDefault="00841D42" w:rsidP="00D95345">
    <w:pPr>
      <w:pStyle w:val="Header"/>
      <w:tabs>
        <w:tab w:val="clear" w:pos="8640"/>
      </w:tabs>
    </w:pPr>
    <w:r>
      <w:t>Date: November 22, 2022</w:t>
    </w:r>
    <w:r>
      <w:tab/>
    </w:r>
    <w:r>
      <w:tab/>
    </w:r>
    <w:r>
      <w:tab/>
    </w: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3-C</w:t>
    </w:r>
  </w:p>
  <w:p w:rsidR="00841D42" w:rsidRDefault="00841D42" w:rsidP="00D95345">
    <w:pPr>
      <w:pStyle w:val="Header"/>
      <w:tabs>
        <w:tab w:val="clear" w:pos="8640"/>
      </w:tabs>
    </w:pPr>
    <w:r>
      <w:t>Date: November 22, 2022</w:t>
    </w:r>
    <w:r>
      <w:tab/>
    </w:r>
    <w:r>
      <w:tab/>
    </w:r>
    <w:r>
      <w:tab/>
    </w:r>
    <w:r>
      <w:tab/>
    </w:r>
    <w: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4-A</w:t>
    </w:r>
  </w:p>
  <w:p w:rsidR="00841D42" w:rsidRDefault="00841D42" w:rsidP="00D95345">
    <w:pPr>
      <w:pStyle w:val="Header"/>
      <w:tabs>
        <w:tab w:val="clear" w:pos="8640"/>
      </w:tabs>
    </w:pPr>
    <w:r>
      <w:t>Date: November 22, 2022</w:t>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 xml:space="preserve">Issue </w:t>
    </w:r>
    <w:r w:rsidR="00490880">
      <w:fldChar w:fldCharType="begin"/>
    </w:r>
    <w:r w:rsidR="00490880">
      <w:instrText xml:space="preserve"> Seq Issue \c \* Arabic </w:instrText>
    </w:r>
    <w:r w:rsidR="00490880">
      <w:fldChar w:fldCharType="separate"/>
    </w:r>
    <w:r w:rsidR="006C7BB1">
      <w:rPr>
        <w:noProof/>
      </w:rPr>
      <w:t>10</w:t>
    </w:r>
    <w:r w:rsidR="00490880">
      <w:rPr>
        <w:noProof/>
      </w:rPr>
      <w:fldChar w:fldCharType="end"/>
    </w:r>
  </w:p>
  <w:p w:rsidR="00841D42" w:rsidRDefault="00841D42">
    <w:pPr>
      <w:pStyle w:val="Header"/>
    </w:pPr>
    <w:r>
      <w:t>Date: November 22, 2022</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Schedule No. 4-B</w:t>
    </w:r>
  </w:p>
  <w:p w:rsidR="00841D42" w:rsidRDefault="00841D42" w:rsidP="00D95345">
    <w:pPr>
      <w:pStyle w:val="Header"/>
      <w:tabs>
        <w:tab w:val="clear" w:pos="8640"/>
      </w:tabs>
    </w:pPr>
    <w:r>
      <w:t>Date: November 22, 2022</w:t>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1 of 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2 of 8</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3 of 8</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4 of 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5 of 8</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42" w:rsidRDefault="00841D42" w:rsidP="00220732">
    <w:pPr>
      <w:pStyle w:val="Header"/>
      <w:tabs>
        <w:tab w:val="clear" w:pos="4320"/>
        <w:tab w:val="clear" w:pos="8640"/>
        <w:tab w:val="right" w:pos="9360"/>
      </w:tabs>
    </w:pPr>
    <w:r>
      <w:fldChar w:fldCharType="begin"/>
    </w:r>
    <w:r>
      <w:instrText xml:space="preserve"> REF DocketLabel</w:instrText>
    </w:r>
    <w:r>
      <w:fldChar w:fldCharType="separate"/>
    </w:r>
    <w:r w:rsidR="00FC34DE">
      <w:t>Docket No.</w:t>
    </w:r>
    <w:r>
      <w:fldChar w:fldCharType="end"/>
    </w:r>
    <w:r>
      <w:t xml:space="preserve"> </w:t>
    </w:r>
    <w:r>
      <w:fldChar w:fldCharType="begin"/>
    </w:r>
    <w:r>
      <w:instrText xml:space="preserve"> REF DocketList</w:instrText>
    </w:r>
    <w:r>
      <w:fldChar w:fldCharType="separate"/>
    </w:r>
    <w:r w:rsidR="00FC34DE">
      <w:t>20220088-WS</w:t>
    </w:r>
    <w:r>
      <w:fldChar w:fldCharType="end"/>
    </w:r>
    <w:r>
      <w:tab/>
      <w:t>Attachment A</w:t>
    </w:r>
  </w:p>
  <w:p w:rsidR="00841D42" w:rsidRDefault="00841D42" w:rsidP="00D95345">
    <w:pPr>
      <w:pStyle w:val="Header"/>
      <w:tabs>
        <w:tab w:val="clear" w:pos="8640"/>
      </w:tabs>
    </w:pPr>
    <w:r>
      <w:t>Date: November 22, 2022</w:t>
    </w:r>
    <w:r>
      <w:tab/>
    </w:r>
    <w:r>
      <w:tab/>
    </w:r>
    <w:r>
      <w:tab/>
    </w:r>
    <w:r>
      <w:tab/>
    </w:r>
    <w:r>
      <w:tab/>
    </w:r>
    <w:r>
      <w:tab/>
      <w:t xml:space="preserve">     Page 6 of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53B10"/>
    <w:rsid w:val="000043D5"/>
    <w:rsid w:val="00004AB3"/>
    <w:rsid w:val="00006170"/>
    <w:rsid w:val="00010E37"/>
    <w:rsid w:val="000172DA"/>
    <w:rsid w:val="00017C50"/>
    <w:rsid w:val="00022337"/>
    <w:rsid w:val="00023A0E"/>
    <w:rsid w:val="000247C5"/>
    <w:rsid w:val="000277C2"/>
    <w:rsid w:val="00035B48"/>
    <w:rsid w:val="00036CE2"/>
    <w:rsid w:val="000437FE"/>
    <w:rsid w:val="000513BE"/>
    <w:rsid w:val="00051573"/>
    <w:rsid w:val="0005451B"/>
    <w:rsid w:val="00064A85"/>
    <w:rsid w:val="00065A06"/>
    <w:rsid w:val="000666F3"/>
    <w:rsid w:val="00070DCB"/>
    <w:rsid w:val="00072CCA"/>
    <w:rsid w:val="00073120"/>
    <w:rsid w:val="000764D0"/>
    <w:rsid w:val="00080AFE"/>
    <w:rsid w:val="00080F97"/>
    <w:rsid w:val="000828D3"/>
    <w:rsid w:val="0009092A"/>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0DB0"/>
    <w:rsid w:val="00116C6B"/>
    <w:rsid w:val="00117C8C"/>
    <w:rsid w:val="001239F0"/>
    <w:rsid w:val="00124C38"/>
    <w:rsid w:val="00124E2E"/>
    <w:rsid w:val="00125ED4"/>
    <w:rsid w:val="0012722B"/>
    <w:rsid w:val="001303BF"/>
    <w:rsid w:val="001305E9"/>
    <w:rsid w:val="001307AF"/>
    <w:rsid w:val="0013347E"/>
    <w:rsid w:val="00135687"/>
    <w:rsid w:val="00136BD1"/>
    <w:rsid w:val="00146B5D"/>
    <w:rsid w:val="00150ECE"/>
    <w:rsid w:val="0015506E"/>
    <w:rsid w:val="00163031"/>
    <w:rsid w:val="001654C4"/>
    <w:rsid w:val="00171A90"/>
    <w:rsid w:val="00180254"/>
    <w:rsid w:val="001845FC"/>
    <w:rsid w:val="00191E1F"/>
    <w:rsid w:val="00191EE8"/>
    <w:rsid w:val="00192943"/>
    <w:rsid w:val="00193BAF"/>
    <w:rsid w:val="00194791"/>
    <w:rsid w:val="00197B9F"/>
    <w:rsid w:val="001A7406"/>
    <w:rsid w:val="001A7AE4"/>
    <w:rsid w:val="001B1EDC"/>
    <w:rsid w:val="001B4053"/>
    <w:rsid w:val="001B4FEE"/>
    <w:rsid w:val="001B51C5"/>
    <w:rsid w:val="001B672A"/>
    <w:rsid w:val="001B6F3F"/>
    <w:rsid w:val="001C02A9"/>
    <w:rsid w:val="001C52B5"/>
    <w:rsid w:val="001D0D3E"/>
    <w:rsid w:val="001D2817"/>
    <w:rsid w:val="001D2899"/>
    <w:rsid w:val="001E5707"/>
    <w:rsid w:val="001E6B0E"/>
    <w:rsid w:val="001E7FF4"/>
    <w:rsid w:val="001F2245"/>
    <w:rsid w:val="001F2C63"/>
    <w:rsid w:val="001F3A1D"/>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5E01"/>
    <w:rsid w:val="00263D44"/>
    <w:rsid w:val="002702AD"/>
    <w:rsid w:val="002800C9"/>
    <w:rsid w:val="00281EB4"/>
    <w:rsid w:val="00292D82"/>
    <w:rsid w:val="00293EE7"/>
    <w:rsid w:val="002963CB"/>
    <w:rsid w:val="002A3631"/>
    <w:rsid w:val="002B2DAC"/>
    <w:rsid w:val="002B4A01"/>
    <w:rsid w:val="002B7A95"/>
    <w:rsid w:val="002C291B"/>
    <w:rsid w:val="002C746A"/>
    <w:rsid w:val="002C7E4E"/>
    <w:rsid w:val="002D126F"/>
    <w:rsid w:val="002D226D"/>
    <w:rsid w:val="002D74E3"/>
    <w:rsid w:val="002F0B9E"/>
    <w:rsid w:val="002F6030"/>
    <w:rsid w:val="003001AC"/>
    <w:rsid w:val="00300CD6"/>
    <w:rsid w:val="003037E1"/>
    <w:rsid w:val="00307E51"/>
    <w:rsid w:val="003103EC"/>
    <w:rsid w:val="00312132"/>
    <w:rsid w:val="003130BA"/>
    <w:rsid w:val="003144EF"/>
    <w:rsid w:val="0031480E"/>
    <w:rsid w:val="00316877"/>
    <w:rsid w:val="00322D9B"/>
    <w:rsid w:val="00322F74"/>
    <w:rsid w:val="00325E15"/>
    <w:rsid w:val="00340073"/>
    <w:rsid w:val="003411D8"/>
    <w:rsid w:val="00342BC0"/>
    <w:rsid w:val="003445B0"/>
    <w:rsid w:val="00353B66"/>
    <w:rsid w:val="00355934"/>
    <w:rsid w:val="00357928"/>
    <w:rsid w:val="003632FD"/>
    <w:rsid w:val="00370F78"/>
    <w:rsid w:val="00372805"/>
    <w:rsid w:val="00373180"/>
    <w:rsid w:val="00375AB9"/>
    <w:rsid w:val="0037691E"/>
    <w:rsid w:val="003821A0"/>
    <w:rsid w:val="003834C4"/>
    <w:rsid w:val="00385B04"/>
    <w:rsid w:val="003864CF"/>
    <w:rsid w:val="003948AE"/>
    <w:rsid w:val="003A08C0"/>
    <w:rsid w:val="003A22A6"/>
    <w:rsid w:val="003A3243"/>
    <w:rsid w:val="003A32EB"/>
    <w:rsid w:val="003A5494"/>
    <w:rsid w:val="003B2510"/>
    <w:rsid w:val="003B4355"/>
    <w:rsid w:val="003C2CC4"/>
    <w:rsid w:val="003C3710"/>
    <w:rsid w:val="003C42A3"/>
    <w:rsid w:val="003C48F7"/>
    <w:rsid w:val="003D2E98"/>
    <w:rsid w:val="003E0463"/>
    <w:rsid w:val="003E0EFC"/>
    <w:rsid w:val="003E4A2B"/>
    <w:rsid w:val="003E50D5"/>
    <w:rsid w:val="003E6FE9"/>
    <w:rsid w:val="003E76C2"/>
    <w:rsid w:val="003F1367"/>
    <w:rsid w:val="003F1679"/>
    <w:rsid w:val="003F21EB"/>
    <w:rsid w:val="003F4A35"/>
    <w:rsid w:val="003F5F03"/>
    <w:rsid w:val="003F7FDD"/>
    <w:rsid w:val="00401038"/>
    <w:rsid w:val="00402101"/>
    <w:rsid w:val="00402481"/>
    <w:rsid w:val="004042B4"/>
    <w:rsid w:val="00410DC4"/>
    <w:rsid w:val="00412DAE"/>
    <w:rsid w:val="0041302D"/>
    <w:rsid w:val="00421F15"/>
    <w:rsid w:val="004242E6"/>
    <w:rsid w:val="00427B35"/>
    <w:rsid w:val="00431598"/>
    <w:rsid w:val="004319AD"/>
    <w:rsid w:val="004415C6"/>
    <w:rsid w:val="004426B8"/>
    <w:rsid w:val="00444432"/>
    <w:rsid w:val="00447D5C"/>
    <w:rsid w:val="00450202"/>
    <w:rsid w:val="004502B2"/>
    <w:rsid w:val="00451624"/>
    <w:rsid w:val="00455499"/>
    <w:rsid w:val="004649A7"/>
    <w:rsid w:val="00471860"/>
    <w:rsid w:val="00477026"/>
    <w:rsid w:val="00477730"/>
    <w:rsid w:val="004A0AF3"/>
    <w:rsid w:val="004A744D"/>
    <w:rsid w:val="004B4305"/>
    <w:rsid w:val="004B4CB5"/>
    <w:rsid w:val="004B60BD"/>
    <w:rsid w:val="004C3150"/>
    <w:rsid w:val="004C3641"/>
    <w:rsid w:val="004C3873"/>
    <w:rsid w:val="004C4390"/>
    <w:rsid w:val="004C4AF7"/>
    <w:rsid w:val="004C7501"/>
    <w:rsid w:val="004D020C"/>
    <w:rsid w:val="004D2881"/>
    <w:rsid w:val="004D2D7D"/>
    <w:rsid w:val="004D385F"/>
    <w:rsid w:val="004D5B39"/>
    <w:rsid w:val="004D6720"/>
    <w:rsid w:val="004D7976"/>
    <w:rsid w:val="004E0CEA"/>
    <w:rsid w:val="004E330D"/>
    <w:rsid w:val="004E4985"/>
    <w:rsid w:val="004E5147"/>
    <w:rsid w:val="004E69B5"/>
    <w:rsid w:val="004F50D1"/>
    <w:rsid w:val="004F5C43"/>
    <w:rsid w:val="00502835"/>
    <w:rsid w:val="005050A2"/>
    <w:rsid w:val="00506030"/>
    <w:rsid w:val="0050652D"/>
    <w:rsid w:val="00506C03"/>
    <w:rsid w:val="00511A11"/>
    <w:rsid w:val="00516496"/>
    <w:rsid w:val="00520B25"/>
    <w:rsid w:val="00522E7D"/>
    <w:rsid w:val="00523B11"/>
    <w:rsid w:val="0052455B"/>
    <w:rsid w:val="0052572A"/>
    <w:rsid w:val="00532DFB"/>
    <w:rsid w:val="00543CB3"/>
    <w:rsid w:val="005442E4"/>
    <w:rsid w:val="00547652"/>
    <w:rsid w:val="0055529B"/>
    <w:rsid w:val="00560FF0"/>
    <w:rsid w:val="005614BD"/>
    <w:rsid w:val="0057154F"/>
    <w:rsid w:val="00577DAA"/>
    <w:rsid w:val="00580F69"/>
    <w:rsid w:val="00581CA3"/>
    <w:rsid w:val="00585031"/>
    <w:rsid w:val="00586E8B"/>
    <w:rsid w:val="00587A44"/>
    <w:rsid w:val="0059691E"/>
    <w:rsid w:val="00597730"/>
    <w:rsid w:val="005977EC"/>
    <w:rsid w:val="00597DE7"/>
    <w:rsid w:val="005A1CF6"/>
    <w:rsid w:val="005A4AA2"/>
    <w:rsid w:val="005A66ED"/>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5F3"/>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49E6"/>
    <w:rsid w:val="0069335D"/>
    <w:rsid w:val="00693EA1"/>
    <w:rsid w:val="0069636F"/>
    <w:rsid w:val="00696F5D"/>
    <w:rsid w:val="00697249"/>
    <w:rsid w:val="006A06F3"/>
    <w:rsid w:val="006A1A67"/>
    <w:rsid w:val="006B09C4"/>
    <w:rsid w:val="006B3626"/>
    <w:rsid w:val="006B3947"/>
    <w:rsid w:val="006B4293"/>
    <w:rsid w:val="006B624F"/>
    <w:rsid w:val="006C0C95"/>
    <w:rsid w:val="006C31E3"/>
    <w:rsid w:val="006C7BB1"/>
    <w:rsid w:val="006D18D3"/>
    <w:rsid w:val="006D3BD1"/>
    <w:rsid w:val="006E010E"/>
    <w:rsid w:val="006E08CB"/>
    <w:rsid w:val="006E598D"/>
    <w:rsid w:val="007036B2"/>
    <w:rsid w:val="0070437D"/>
    <w:rsid w:val="00704CF1"/>
    <w:rsid w:val="00705B04"/>
    <w:rsid w:val="0071040E"/>
    <w:rsid w:val="0071147F"/>
    <w:rsid w:val="00713B88"/>
    <w:rsid w:val="00717EE9"/>
    <w:rsid w:val="00724992"/>
    <w:rsid w:val="00724F64"/>
    <w:rsid w:val="00727F90"/>
    <w:rsid w:val="00734820"/>
    <w:rsid w:val="007349DC"/>
    <w:rsid w:val="00742D36"/>
    <w:rsid w:val="0074365E"/>
    <w:rsid w:val="00744B55"/>
    <w:rsid w:val="007515FD"/>
    <w:rsid w:val="00757EEF"/>
    <w:rsid w:val="00760D80"/>
    <w:rsid w:val="00761CB4"/>
    <w:rsid w:val="00780C09"/>
    <w:rsid w:val="00780DDF"/>
    <w:rsid w:val="007834E9"/>
    <w:rsid w:val="00787DBC"/>
    <w:rsid w:val="0079019A"/>
    <w:rsid w:val="00792935"/>
    <w:rsid w:val="007A04A1"/>
    <w:rsid w:val="007A1840"/>
    <w:rsid w:val="007A35EE"/>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1D42"/>
    <w:rsid w:val="008426B0"/>
    <w:rsid w:val="008431BB"/>
    <w:rsid w:val="00845E34"/>
    <w:rsid w:val="00850BAC"/>
    <w:rsid w:val="00854A3E"/>
    <w:rsid w:val="00855D08"/>
    <w:rsid w:val="008618A4"/>
    <w:rsid w:val="00863415"/>
    <w:rsid w:val="0086351B"/>
    <w:rsid w:val="008731AB"/>
    <w:rsid w:val="00874344"/>
    <w:rsid w:val="0087505D"/>
    <w:rsid w:val="00877703"/>
    <w:rsid w:val="00882155"/>
    <w:rsid w:val="0088233B"/>
    <w:rsid w:val="0088599E"/>
    <w:rsid w:val="00886C37"/>
    <w:rsid w:val="008915FC"/>
    <w:rsid w:val="00892D99"/>
    <w:rsid w:val="00893315"/>
    <w:rsid w:val="00894C09"/>
    <w:rsid w:val="008960EA"/>
    <w:rsid w:val="008A1466"/>
    <w:rsid w:val="008B5C68"/>
    <w:rsid w:val="008B62AE"/>
    <w:rsid w:val="008C04B5"/>
    <w:rsid w:val="008C08FB"/>
    <w:rsid w:val="008C14FA"/>
    <w:rsid w:val="008C43D9"/>
    <w:rsid w:val="008C7B0B"/>
    <w:rsid w:val="008D4057"/>
    <w:rsid w:val="008E1F19"/>
    <w:rsid w:val="008E4FAA"/>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3C03"/>
    <w:rsid w:val="009145D6"/>
    <w:rsid w:val="00915541"/>
    <w:rsid w:val="00920E64"/>
    <w:rsid w:val="00922002"/>
    <w:rsid w:val="009225CB"/>
    <w:rsid w:val="00924020"/>
    <w:rsid w:val="00924BF4"/>
    <w:rsid w:val="009271A7"/>
    <w:rsid w:val="0092762F"/>
    <w:rsid w:val="0093658B"/>
    <w:rsid w:val="009429FF"/>
    <w:rsid w:val="009444D1"/>
    <w:rsid w:val="00945BD6"/>
    <w:rsid w:val="00945CD1"/>
    <w:rsid w:val="009479FB"/>
    <w:rsid w:val="00951C45"/>
    <w:rsid w:val="00951DD8"/>
    <w:rsid w:val="009656F2"/>
    <w:rsid w:val="00966A08"/>
    <w:rsid w:val="009701B7"/>
    <w:rsid w:val="00971207"/>
    <w:rsid w:val="00975CB4"/>
    <w:rsid w:val="00985410"/>
    <w:rsid w:val="009863B0"/>
    <w:rsid w:val="009863BF"/>
    <w:rsid w:val="00987DE1"/>
    <w:rsid w:val="00990571"/>
    <w:rsid w:val="00991905"/>
    <w:rsid w:val="009926B2"/>
    <w:rsid w:val="0099673A"/>
    <w:rsid w:val="009A3291"/>
    <w:rsid w:val="009A3330"/>
    <w:rsid w:val="009A548F"/>
    <w:rsid w:val="009A7C96"/>
    <w:rsid w:val="009B61BF"/>
    <w:rsid w:val="009C2764"/>
    <w:rsid w:val="009C3253"/>
    <w:rsid w:val="009C350E"/>
    <w:rsid w:val="009C3DB9"/>
    <w:rsid w:val="009C5968"/>
    <w:rsid w:val="009D0436"/>
    <w:rsid w:val="009D46E5"/>
    <w:rsid w:val="009D568A"/>
    <w:rsid w:val="009D6947"/>
    <w:rsid w:val="009F04EC"/>
    <w:rsid w:val="009F2A7C"/>
    <w:rsid w:val="009F3B36"/>
    <w:rsid w:val="009F3C13"/>
    <w:rsid w:val="009F54A5"/>
    <w:rsid w:val="00A019B9"/>
    <w:rsid w:val="00A03157"/>
    <w:rsid w:val="00A1084C"/>
    <w:rsid w:val="00A10920"/>
    <w:rsid w:val="00A11756"/>
    <w:rsid w:val="00A12497"/>
    <w:rsid w:val="00A12508"/>
    <w:rsid w:val="00A1282B"/>
    <w:rsid w:val="00A13A27"/>
    <w:rsid w:val="00A1528E"/>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19D"/>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5CDA"/>
    <w:rsid w:val="00AD6C78"/>
    <w:rsid w:val="00AE03F0"/>
    <w:rsid w:val="00AE172B"/>
    <w:rsid w:val="00AE2EAB"/>
    <w:rsid w:val="00AF13D0"/>
    <w:rsid w:val="00AF5E0E"/>
    <w:rsid w:val="00AF5F89"/>
    <w:rsid w:val="00AF6A51"/>
    <w:rsid w:val="00AF6FB4"/>
    <w:rsid w:val="00AF73CB"/>
    <w:rsid w:val="00B002D6"/>
    <w:rsid w:val="00B02EF0"/>
    <w:rsid w:val="00B03379"/>
    <w:rsid w:val="00B03FA5"/>
    <w:rsid w:val="00B04110"/>
    <w:rsid w:val="00B05B51"/>
    <w:rsid w:val="00B118EE"/>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3A06"/>
    <w:rsid w:val="00B554C3"/>
    <w:rsid w:val="00B565DA"/>
    <w:rsid w:val="00B57A6A"/>
    <w:rsid w:val="00B62D0D"/>
    <w:rsid w:val="00B760F1"/>
    <w:rsid w:val="00B7669E"/>
    <w:rsid w:val="00B76EBB"/>
    <w:rsid w:val="00B77DA1"/>
    <w:rsid w:val="00B822A0"/>
    <w:rsid w:val="00B82F85"/>
    <w:rsid w:val="00B858AE"/>
    <w:rsid w:val="00B85964"/>
    <w:rsid w:val="00B907E7"/>
    <w:rsid w:val="00B96250"/>
    <w:rsid w:val="00B9640F"/>
    <w:rsid w:val="00BA0D55"/>
    <w:rsid w:val="00BA37B3"/>
    <w:rsid w:val="00BA4CC6"/>
    <w:rsid w:val="00BA7F46"/>
    <w:rsid w:val="00BB0F1D"/>
    <w:rsid w:val="00BB3493"/>
    <w:rsid w:val="00BB3C39"/>
    <w:rsid w:val="00BB649E"/>
    <w:rsid w:val="00BB6E4C"/>
    <w:rsid w:val="00BB7468"/>
    <w:rsid w:val="00BC0514"/>
    <w:rsid w:val="00BC188A"/>
    <w:rsid w:val="00BC2722"/>
    <w:rsid w:val="00BC402E"/>
    <w:rsid w:val="00BC70C6"/>
    <w:rsid w:val="00BD0F48"/>
    <w:rsid w:val="00BD14E5"/>
    <w:rsid w:val="00BE0E50"/>
    <w:rsid w:val="00BE6DDB"/>
    <w:rsid w:val="00BF03E0"/>
    <w:rsid w:val="00BF5010"/>
    <w:rsid w:val="00C02FCF"/>
    <w:rsid w:val="00C03009"/>
    <w:rsid w:val="00C03D5F"/>
    <w:rsid w:val="00C130EC"/>
    <w:rsid w:val="00C13791"/>
    <w:rsid w:val="00C16A15"/>
    <w:rsid w:val="00C210BD"/>
    <w:rsid w:val="00C2575A"/>
    <w:rsid w:val="00C31BB3"/>
    <w:rsid w:val="00C364AA"/>
    <w:rsid w:val="00C36977"/>
    <w:rsid w:val="00C41290"/>
    <w:rsid w:val="00C46628"/>
    <w:rsid w:val="00C467DA"/>
    <w:rsid w:val="00C477D9"/>
    <w:rsid w:val="00C56158"/>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0E62"/>
    <w:rsid w:val="00CA15C8"/>
    <w:rsid w:val="00CA2C8F"/>
    <w:rsid w:val="00CA30DA"/>
    <w:rsid w:val="00CA3A24"/>
    <w:rsid w:val="00CA42F3"/>
    <w:rsid w:val="00CB1777"/>
    <w:rsid w:val="00CB33E9"/>
    <w:rsid w:val="00CB6A74"/>
    <w:rsid w:val="00CC10A9"/>
    <w:rsid w:val="00CC3D0F"/>
    <w:rsid w:val="00CC4D5A"/>
    <w:rsid w:val="00CD0655"/>
    <w:rsid w:val="00CE1FF3"/>
    <w:rsid w:val="00CE2BF8"/>
    <w:rsid w:val="00CE484E"/>
    <w:rsid w:val="00CE4D20"/>
    <w:rsid w:val="00CE656F"/>
    <w:rsid w:val="00CE69F1"/>
    <w:rsid w:val="00CF0DA8"/>
    <w:rsid w:val="00CF2E25"/>
    <w:rsid w:val="00CF4453"/>
    <w:rsid w:val="00CF5589"/>
    <w:rsid w:val="00CF5D94"/>
    <w:rsid w:val="00CF7E0F"/>
    <w:rsid w:val="00D00893"/>
    <w:rsid w:val="00D034D7"/>
    <w:rsid w:val="00D04BE4"/>
    <w:rsid w:val="00D06FC7"/>
    <w:rsid w:val="00D12565"/>
    <w:rsid w:val="00D140C1"/>
    <w:rsid w:val="00D14127"/>
    <w:rsid w:val="00D14188"/>
    <w:rsid w:val="00D479AE"/>
    <w:rsid w:val="00D50FCD"/>
    <w:rsid w:val="00D533E3"/>
    <w:rsid w:val="00D567A2"/>
    <w:rsid w:val="00D60B16"/>
    <w:rsid w:val="00D60F02"/>
    <w:rsid w:val="00D66E49"/>
    <w:rsid w:val="00D70D71"/>
    <w:rsid w:val="00D71D0C"/>
    <w:rsid w:val="00D72F74"/>
    <w:rsid w:val="00D73037"/>
    <w:rsid w:val="00D81563"/>
    <w:rsid w:val="00D82012"/>
    <w:rsid w:val="00D837C1"/>
    <w:rsid w:val="00D85907"/>
    <w:rsid w:val="00D860AC"/>
    <w:rsid w:val="00D9073E"/>
    <w:rsid w:val="00D9221D"/>
    <w:rsid w:val="00D9253C"/>
    <w:rsid w:val="00D95345"/>
    <w:rsid w:val="00D958DF"/>
    <w:rsid w:val="00D96DA1"/>
    <w:rsid w:val="00DA51E7"/>
    <w:rsid w:val="00DB0260"/>
    <w:rsid w:val="00DB1C78"/>
    <w:rsid w:val="00DB7D96"/>
    <w:rsid w:val="00DC132A"/>
    <w:rsid w:val="00DC23FE"/>
    <w:rsid w:val="00DC59E6"/>
    <w:rsid w:val="00DD150B"/>
    <w:rsid w:val="00DD3356"/>
    <w:rsid w:val="00DD5025"/>
    <w:rsid w:val="00DD5464"/>
    <w:rsid w:val="00DD6F85"/>
    <w:rsid w:val="00DE188B"/>
    <w:rsid w:val="00DE254E"/>
    <w:rsid w:val="00DE32C0"/>
    <w:rsid w:val="00DE76A7"/>
    <w:rsid w:val="00DF1510"/>
    <w:rsid w:val="00E02F1F"/>
    <w:rsid w:val="00E05454"/>
    <w:rsid w:val="00E06484"/>
    <w:rsid w:val="00E06B24"/>
    <w:rsid w:val="00E20A7D"/>
    <w:rsid w:val="00E23FE4"/>
    <w:rsid w:val="00E24626"/>
    <w:rsid w:val="00E275D8"/>
    <w:rsid w:val="00E30F6A"/>
    <w:rsid w:val="00E3117C"/>
    <w:rsid w:val="00E31288"/>
    <w:rsid w:val="00E34307"/>
    <w:rsid w:val="00E34511"/>
    <w:rsid w:val="00E3635B"/>
    <w:rsid w:val="00E375CA"/>
    <w:rsid w:val="00E5364F"/>
    <w:rsid w:val="00E53CDE"/>
    <w:rsid w:val="00E567E8"/>
    <w:rsid w:val="00E63766"/>
    <w:rsid w:val="00E63E1E"/>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3F9F"/>
    <w:rsid w:val="00EC3FBB"/>
    <w:rsid w:val="00EC6B7A"/>
    <w:rsid w:val="00ED3A87"/>
    <w:rsid w:val="00ED5B67"/>
    <w:rsid w:val="00EE1A5C"/>
    <w:rsid w:val="00EE5F5A"/>
    <w:rsid w:val="00EF264C"/>
    <w:rsid w:val="00EF3FEE"/>
    <w:rsid w:val="00EF6B41"/>
    <w:rsid w:val="00F04B59"/>
    <w:rsid w:val="00F07B69"/>
    <w:rsid w:val="00F10A63"/>
    <w:rsid w:val="00F11741"/>
    <w:rsid w:val="00F117B0"/>
    <w:rsid w:val="00F12B1C"/>
    <w:rsid w:val="00F13CF8"/>
    <w:rsid w:val="00F15855"/>
    <w:rsid w:val="00F200B2"/>
    <w:rsid w:val="00F227DC"/>
    <w:rsid w:val="00F27275"/>
    <w:rsid w:val="00F30701"/>
    <w:rsid w:val="00F32978"/>
    <w:rsid w:val="00F45CB2"/>
    <w:rsid w:val="00F511F3"/>
    <w:rsid w:val="00F53B10"/>
    <w:rsid w:val="00F544C0"/>
    <w:rsid w:val="00F55332"/>
    <w:rsid w:val="00F6156E"/>
    <w:rsid w:val="00F6504A"/>
    <w:rsid w:val="00F65519"/>
    <w:rsid w:val="00F66ABA"/>
    <w:rsid w:val="00F66C5C"/>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34DE"/>
    <w:rsid w:val="00FC4446"/>
    <w:rsid w:val="00FC5469"/>
    <w:rsid w:val="00FC6D7D"/>
    <w:rsid w:val="00FD16B0"/>
    <w:rsid w:val="00FD4FED"/>
    <w:rsid w:val="00FE00C8"/>
    <w:rsid w:val="00FE0577"/>
    <w:rsid w:val="00FE2FF8"/>
    <w:rsid w:val="00FE59EC"/>
    <w:rsid w:val="00FE5B67"/>
    <w:rsid w:val="00FE60D6"/>
    <w:rsid w:val="00FF4046"/>
    <w:rsid w:val="00FF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DE67E77F-6CF2-4EC7-A6E6-3BA72B56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qForma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Characters">
    <w:name w:val="Footnote Characters"/>
    <w:uiPriority w:val="99"/>
    <w:qFormat/>
    <w:rsid w:val="00080F97"/>
    <w:rPr>
      <w:vertAlign w:val="superscript"/>
    </w:rPr>
  </w:style>
  <w:style w:type="character" w:styleId="FootnoteReference">
    <w:name w:val="footnote reference"/>
    <w:rsid w:val="00080F97"/>
    <w:rPr>
      <w:vertAlign w:val="superscript"/>
    </w:rPr>
  </w:style>
  <w:style w:type="character" w:customStyle="1" w:styleId="FootnoteTextChar">
    <w:name w:val="Footnote Text Char"/>
    <w:basedOn w:val="DefaultParagraphFont"/>
    <w:link w:val="FootnoteText"/>
    <w:uiPriority w:val="99"/>
    <w:qFormat/>
    <w:rsid w:val="00080F97"/>
  </w:style>
  <w:style w:type="table" w:customStyle="1" w:styleId="TableGrid13">
    <w:name w:val="Table Grid13"/>
    <w:basedOn w:val="TableNormal"/>
    <w:next w:val="TableGrid"/>
    <w:rsid w:val="004D6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D67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D67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38</Pages>
  <Words>11323</Words>
  <Characters>66150</Characters>
  <Application>Microsoft Office Word</Application>
  <DocSecurity>0</DocSecurity>
  <Lines>551</Lines>
  <Paragraphs>154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2022-11-18T13:01:00Z</cp:lastPrinted>
  <dcterms:created xsi:type="dcterms:W3CDTF">2022-11-22T13:08:00Z</dcterms:created>
  <dcterms:modified xsi:type="dcterms:W3CDTF">2022-11-22T13:08:00Z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20220088-WS</vt:lpwstr>
  </property>
  <property fmtid="{D5CDD505-2E9C-101B-9397-08002B2CF9AE}" pid="3" name="MasterDocument">
    <vt:bool>false</vt:bool>
  </property>
</Properties>
</file>