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12A5" w14:textId="77777777" w:rsidR="00CB5276" w:rsidRDefault="00E50AC7" w:rsidP="00E50AC7">
      <w:pPr>
        <w:pStyle w:val="OrderHeading"/>
      </w:pPr>
      <w:r>
        <w:t>BEFORE THE FLORIDA PUBLIC SERVICE COMMISSION</w:t>
      </w:r>
    </w:p>
    <w:p w14:paraId="62A7038E" w14:textId="77777777" w:rsidR="00E50AC7" w:rsidRDefault="00E50AC7" w:rsidP="00E50AC7">
      <w:pPr>
        <w:pStyle w:val="OrderBody"/>
      </w:pPr>
    </w:p>
    <w:p w14:paraId="3C404098" w14:textId="77777777" w:rsidR="00E50AC7" w:rsidRDefault="00E50AC7" w:rsidP="00E50A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0AC7" w:rsidRPr="00C63FCF" w14:paraId="28E0BAB8" w14:textId="77777777" w:rsidTr="006F034C">
        <w:trPr>
          <w:trHeight w:val="828"/>
        </w:trPr>
        <w:tc>
          <w:tcPr>
            <w:tcW w:w="4788" w:type="dxa"/>
            <w:tcBorders>
              <w:bottom w:val="single" w:sz="8" w:space="0" w:color="auto"/>
              <w:right w:val="double" w:sz="6" w:space="0" w:color="auto"/>
            </w:tcBorders>
            <w:shd w:val="clear" w:color="auto" w:fill="auto"/>
          </w:tcPr>
          <w:p w14:paraId="07FAD12D" w14:textId="77777777" w:rsidR="00E50AC7" w:rsidRDefault="00E50AC7" w:rsidP="006F034C">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14:paraId="3C37698A" w14:textId="77777777" w:rsidR="00E50AC7" w:rsidRDefault="00E50AC7" w:rsidP="00E50AC7">
            <w:pPr>
              <w:pStyle w:val="OrderBody"/>
            </w:pPr>
            <w:r>
              <w:t xml:space="preserve">DOCKET NO. </w:t>
            </w:r>
            <w:bookmarkStart w:id="1" w:name="SSDocketNo"/>
            <w:bookmarkEnd w:id="1"/>
            <w:r>
              <w:t>20220069-GU</w:t>
            </w:r>
          </w:p>
          <w:p w14:paraId="34D8A3D5" w14:textId="652E5112" w:rsidR="00E50AC7" w:rsidRDefault="00E50AC7" w:rsidP="006F034C">
            <w:pPr>
              <w:pStyle w:val="OrderBody"/>
              <w:tabs>
                <w:tab w:val="center" w:pos="4320"/>
                <w:tab w:val="right" w:pos="8640"/>
              </w:tabs>
              <w:jc w:val="left"/>
            </w:pPr>
            <w:r>
              <w:t xml:space="preserve">ORDER NO. </w:t>
            </w:r>
            <w:bookmarkStart w:id="2" w:name="OrderNo0413"/>
            <w:r w:rsidR="00057B19">
              <w:t>PSC-2022-0413-PHO-GU</w:t>
            </w:r>
            <w:bookmarkEnd w:id="2"/>
          </w:p>
          <w:p w14:paraId="7611EDE7" w14:textId="3CE8FFAC" w:rsidR="00E50AC7" w:rsidRDefault="00E50AC7" w:rsidP="006F034C">
            <w:pPr>
              <w:pStyle w:val="OrderBody"/>
              <w:tabs>
                <w:tab w:val="center" w:pos="4320"/>
                <w:tab w:val="right" w:pos="8640"/>
              </w:tabs>
              <w:jc w:val="left"/>
            </w:pPr>
            <w:r>
              <w:t xml:space="preserve">ISSUED: </w:t>
            </w:r>
            <w:r w:rsidR="00057B19">
              <w:t>December 8, 2022</w:t>
            </w:r>
          </w:p>
        </w:tc>
      </w:tr>
    </w:tbl>
    <w:p w14:paraId="5067EBCD" w14:textId="77777777" w:rsidR="00E50AC7" w:rsidRDefault="00E50AC7" w:rsidP="00E50AC7"/>
    <w:p w14:paraId="3DCDF1D6" w14:textId="77777777" w:rsidR="00E50AC7" w:rsidRDefault="00E50AC7" w:rsidP="00E50AC7"/>
    <w:p w14:paraId="20C37AD5" w14:textId="77777777" w:rsidR="00CB5276" w:rsidRDefault="00E50AC7" w:rsidP="00E50AC7">
      <w:pPr>
        <w:pStyle w:val="CenterUnderline"/>
      </w:pPr>
      <w:bookmarkStart w:id="3" w:name="Commissioners"/>
      <w:bookmarkStart w:id="4" w:name="OrderTitle"/>
      <w:bookmarkEnd w:id="3"/>
      <w:r>
        <w:t xml:space="preserve">PREHEARING ORDER </w:t>
      </w:r>
      <w:bookmarkEnd w:id="4"/>
    </w:p>
    <w:p w14:paraId="064BF9ED" w14:textId="77777777" w:rsidR="00E50AC7" w:rsidRDefault="004F627C" w:rsidP="00E50AC7">
      <w:pPr>
        <w:pStyle w:val="CenterUnderline"/>
      </w:pPr>
      <w:r>
        <w:t xml:space="preserve"> </w:t>
      </w:r>
    </w:p>
    <w:p w14:paraId="2BBFA395" w14:textId="77777777" w:rsidR="00E50AC7" w:rsidRDefault="00E50AC7" w:rsidP="00E50AC7"/>
    <w:p w14:paraId="71F36497" w14:textId="77777777" w:rsidR="00E50AC7" w:rsidRPr="00701945" w:rsidRDefault="00E50AC7" w:rsidP="00E50AC7">
      <w:pPr>
        <w:ind w:firstLine="720"/>
        <w:jc w:val="both"/>
      </w:pPr>
      <w:r w:rsidRPr="00701945">
        <w:t xml:space="preserve">Pursuant to Notice and in accordance with Rule 28-106.209, </w:t>
      </w:r>
      <w:r>
        <w:t>Florida Administrative Code (F.A.C.)</w:t>
      </w:r>
      <w:r w:rsidRPr="00701945">
        <w:t xml:space="preserve">, a Prehearing Conference was held on </w:t>
      </w:r>
      <w:r w:rsidRPr="00E50AC7">
        <w:t>November 29, 2022</w:t>
      </w:r>
      <w:r w:rsidRPr="00701945">
        <w:t>, in Tallahassee, Florida, before C</w:t>
      </w:r>
      <w:r w:rsidR="007B4EE4">
        <w:t>hairman</w:t>
      </w:r>
      <w:r w:rsidRPr="00701945">
        <w:t xml:space="preserve"> </w:t>
      </w:r>
      <w:r>
        <w:t>Andrew Giles Fay</w:t>
      </w:r>
      <w:r w:rsidRPr="00701945">
        <w:t>, as Prehearing Officer.</w:t>
      </w:r>
    </w:p>
    <w:p w14:paraId="2166F06A" w14:textId="77777777" w:rsidR="00E50AC7" w:rsidRPr="00701945" w:rsidRDefault="00E50AC7" w:rsidP="00E50AC7">
      <w:pPr>
        <w:jc w:val="both"/>
      </w:pPr>
    </w:p>
    <w:p w14:paraId="0521DA38" w14:textId="77777777" w:rsidR="00E50AC7" w:rsidRPr="00701945" w:rsidRDefault="00E50AC7" w:rsidP="00E50AC7">
      <w:pPr>
        <w:jc w:val="both"/>
      </w:pPr>
      <w:r w:rsidRPr="00701945">
        <w:t>APPEARANCES:</w:t>
      </w:r>
    </w:p>
    <w:p w14:paraId="7EBD434C" w14:textId="77777777" w:rsidR="00E50AC7" w:rsidRPr="00701945" w:rsidRDefault="00E50AC7" w:rsidP="00E50AC7">
      <w:pPr>
        <w:jc w:val="both"/>
      </w:pPr>
    </w:p>
    <w:p w14:paraId="3DCBBA36" w14:textId="77777777" w:rsidR="001875A5" w:rsidRDefault="001875A5" w:rsidP="001875A5">
      <w:pPr>
        <w:ind w:left="1440"/>
        <w:jc w:val="both"/>
        <w:rPr>
          <w:bCs/>
          <w:szCs w:val="32"/>
        </w:rPr>
      </w:pPr>
      <w:r>
        <w:t xml:space="preserve">CHRISTOPHER T. WRIGHT and JOEL T. BAKER, ESQUIRES, </w:t>
      </w:r>
      <w:r w:rsidRPr="00F92229">
        <w:rPr>
          <w:bCs/>
          <w:szCs w:val="32"/>
        </w:rPr>
        <w:t>Florida Power &amp; Light Company</w:t>
      </w:r>
      <w:r>
        <w:rPr>
          <w:bCs/>
          <w:szCs w:val="32"/>
        </w:rPr>
        <w:t xml:space="preserve">, </w:t>
      </w:r>
      <w:r w:rsidRPr="00F92229">
        <w:rPr>
          <w:bCs/>
          <w:szCs w:val="32"/>
        </w:rPr>
        <w:t>700 Universe Boulevard</w:t>
      </w:r>
      <w:r>
        <w:rPr>
          <w:bCs/>
          <w:szCs w:val="32"/>
        </w:rPr>
        <w:t xml:space="preserve">, </w:t>
      </w:r>
      <w:r w:rsidRPr="00F92229">
        <w:rPr>
          <w:bCs/>
          <w:szCs w:val="32"/>
        </w:rPr>
        <w:t>Juno Beach, FL 33408-0420</w:t>
      </w:r>
    </w:p>
    <w:p w14:paraId="4BB39058" w14:textId="77777777" w:rsidR="001875A5" w:rsidRPr="00F92229" w:rsidRDefault="001875A5" w:rsidP="001875A5">
      <w:pPr>
        <w:ind w:left="1440"/>
        <w:jc w:val="both"/>
        <w:rPr>
          <w:bCs/>
          <w:szCs w:val="32"/>
        </w:rPr>
      </w:pPr>
      <w:r>
        <w:t xml:space="preserve">BETH KEATING, ESQUIRE, </w:t>
      </w:r>
      <w:r w:rsidRPr="00F92229">
        <w:rPr>
          <w:szCs w:val="32"/>
        </w:rPr>
        <w:t>Gunster, Yoakley &amp; Stewart, P.A.</w:t>
      </w:r>
      <w:r>
        <w:rPr>
          <w:szCs w:val="32"/>
        </w:rPr>
        <w:t xml:space="preserve">, </w:t>
      </w:r>
      <w:r w:rsidRPr="00F92229">
        <w:rPr>
          <w:szCs w:val="32"/>
        </w:rPr>
        <w:t>215 South Monroe St., Suite 601</w:t>
      </w:r>
      <w:r>
        <w:rPr>
          <w:szCs w:val="32"/>
        </w:rPr>
        <w:t xml:space="preserve">, </w:t>
      </w:r>
      <w:r w:rsidRPr="00F92229">
        <w:rPr>
          <w:szCs w:val="32"/>
        </w:rPr>
        <w:t>Tallahassee, FL 32301</w:t>
      </w:r>
      <w:r w:rsidR="007A1BF9">
        <w:rPr>
          <w:szCs w:val="32"/>
        </w:rPr>
        <w:t>-1804</w:t>
      </w:r>
    </w:p>
    <w:p w14:paraId="42B55AEF" w14:textId="77777777" w:rsidR="00E50AC7" w:rsidRPr="00701945" w:rsidRDefault="00E50AC7" w:rsidP="001875A5">
      <w:pPr>
        <w:ind w:left="720" w:firstLine="720"/>
        <w:jc w:val="both"/>
      </w:pPr>
      <w:r w:rsidRPr="00701945">
        <w:rPr>
          <w:u w:val="single"/>
        </w:rPr>
        <w:t xml:space="preserve">On behalf of </w:t>
      </w:r>
      <w:r w:rsidR="001875A5">
        <w:rPr>
          <w:u w:val="single"/>
        </w:rPr>
        <w:t>Florida City Gas</w:t>
      </w:r>
      <w:r>
        <w:rPr>
          <w:u w:val="single"/>
        </w:rPr>
        <w:t xml:space="preserve"> (</w:t>
      </w:r>
      <w:r w:rsidR="0054181C">
        <w:rPr>
          <w:u w:val="single"/>
        </w:rPr>
        <w:t>FCG</w:t>
      </w:r>
      <w:r>
        <w:rPr>
          <w:u w:val="single"/>
        </w:rPr>
        <w:t>)</w:t>
      </w:r>
      <w:r w:rsidRPr="00701945">
        <w:t>.</w:t>
      </w:r>
    </w:p>
    <w:p w14:paraId="426E49EE" w14:textId="77777777" w:rsidR="00E50AC7" w:rsidRPr="00701945" w:rsidRDefault="00E50AC7" w:rsidP="0054181C">
      <w:pPr>
        <w:jc w:val="both"/>
      </w:pPr>
    </w:p>
    <w:p w14:paraId="1C1717C3" w14:textId="77777777" w:rsidR="00164011" w:rsidRPr="00D87232" w:rsidRDefault="009A2627" w:rsidP="00164011">
      <w:pPr>
        <w:widowControl w:val="0"/>
        <w:tabs>
          <w:tab w:val="left" w:pos="720"/>
        </w:tabs>
        <w:autoSpaceDE w:val="0"/>
        <w:autoSpaceDN w:val="0"/>
        <w:adjustRightInd w:val="0"/>
        <w:ind w:left="1440"/>
        <w:jc w:val="both"/>
        <w:rPr>
          <w:bCs/>
        </w:rPr>
      </w:pPr>
      <w:r>
        <w:t>MARY A. WESSLING</w:t>
      </w:r>
      <w:r w:rsidR="00DD7C5C">
        <w:t xml:space="preserve"> and</w:t>
      </w:r>
      <w:r w:rsidR="00164011">
        <w:t xml:space="preserve"> CHARLES REHWINKEL, ESQUIRE</w:t>
      </w:r>
      <w:r w:rsidR="00DD7C5C">
        <w:t>S</w:t>
      </w:r>
      <w:r w:rsidR="00895CB4">
        <w:t>;</w:t>
      </w:r>
      <w:r w:rsidR="00E50AC7" w:rsidRPr="00701945">
        <w:t xml:space="preserve"> </w:t>
      </w:r>
      <w:r w:rsidR="00164011" w:rsidRPr="00D87232">
        <w:rPr>
          <w:bCs/>
        </w:rPr>
        <w:t>Office of Public Counsel</w:t>
      </w:r>
      <w:r w:rsidR="00164011">
        <w:rPr>
          <w:bCs/>
        </w:rPr>
        <w:t xml:space="preserve">, </w:t>
      </w:r>
      <w:r w:rsidR="00164011" w:rsidRPr="00D87232">
        <w:rPr>
          <w:bCs/>
        </w:rPr>
        <w:t>c/o The Florida Legislature</w:t>
      </w:r>
      <w:r w:rsidR="00164011">
        <w:rPr>
          <w:bCs/>
        </w:rPr>
        <w:t xml:space="preserve">, </w:t>
      </w:r>
      <w:r w:rsidR="00164011" w:rsidRPr="00D87232">
        <w:rPr>
          <w:bCs/>
        </w:rPr>
        <w:t>111 West Madison Street, Room 812</w:t>
      </w:r>
      <w:r w:rsidR="00164011">
        <w:rPr>
          <w:bCs/>
        </w:rPr>
        <w:t xml:space="preserve">, </w:t>
      </w:r>
      <w:r w:rsidR="00164011" w:rsidRPr="00D87232">
        <w:rPr>
          <w:bCs/>
        </w:rPr>
        <w:t>Tallahassee, Florida 32399-1400</w:t>
      </w:r>
    </w:p>
    <w:p w14:paraId="3CF767AF" w14:textId="77777777" w:rsidR="00E50AC7" w:rsidRPr="00701945" w:rsidRDefault="00E50AC7" w:rsidP="0054181C">
      <w:pPr>
        <w:ind w:left="720" w:firstLine="720"/>
        <w:jc w:val="both"/>
      </w:pPr>
      <w:r w:rsidRPr="00701945">
        <w:rPr>
          <w:u w:val="single"/>
        </w:rPr>
        <w:t xml:space="preserve">On behalf of </w:t>
      </w:r>
      <w:r w:rsidR="00164011">
        <w:rPr>
          <w:u w:val="single"/>
        </w:rPr>
        <w:t>the Citizens of the State of Florida</w:t>
      </w:r>
      <w:r>
        <w:rPr>
          <w:u w:val="single"/>
        </w:rPr>
        <w:t xml:space="preserve"> (</w:t>
      </w:r>
      <w:r w:rsidR="0054181C">
        <w:rPr>
          <w:u w:val="single"/>
        </w:rPr>
        <w:t>OPC</w:t>
      </w:r>
      <w:r>
        <w:rPr>
          <w:u w:val="single"/>
        </w:rPr>
        <w:t>)</w:t>
      </w:r>
      <w:r w:rsidRPr="00701945">
        <w:t xml:space="preserve">. </w:t>
      </w:r>
    </w:p>
    <w:p w14:paraId="7A51883A" w14:textId="77777777" w:rsidR="00E50AC7" w:rsidRDefault="00E50AC7" w:rsidP="0054181C">
      <w:pPr>
        <w:jc w:val="both"/>
      </w:pPr>
    </w:p>
    <w:p w14:paraId="24E4093D" w14:textId="77777777" w:rsidR="00895CB4" w:rsidRPr="00895CB4" w:rsidRDefault="00895CB4" w:rsidP="00DD7C5C">
      <w:pPr>
        <w:pStyle w:val="PlainText"/>
        <w:tabs>
          <w:tab w:val="left" w:pos="1440"/>
        </w:tabs>
        <w:ind w:left="1440"/>
        <w:jc w:val="both"/>
        <w:rPr>
          <w:rFonts w:ascii="Times New Roman" w:hAnsi="Times New Roman" w:cs="Times New Roman"/>
          <w:bCs/>
          <w:sz w:val="24"/>
          <w:szCs w:val="24"/>
        </w:rPr>
      </w:pPr>
      <w:r w:rsidRPr="00895CB4">
        <w:rPr>
          <w:rFonts w:ascii="Times New Roman" w:hAnsi="Times New Roman" w:cs="Times New Roman"/>
          <w:caps/>
          <w:sz w:val="24"/>
          <w:szCs w:val="24"/>
        </w:rPr>
        <w:t>Marcus Duffy, Capt,</w:t>
      </w:r>
      <w:r w:rsidRPr="00102C52">
        <w:rPr>
          <w:rFonts w:ascii="Times New Roman" w:hAnsi="Times New Roman" w:cs="Times New Roman"/>
          <w:sz w:val="24"/>
          <w:szCs w:val="24"/>
        </w:rPr>
        <w:t xml:space="preserve"> USAF</w:t>
      </w:r>
      <w:r>
        <w:rPr>
          <w:rFonts w:ascii="Times New Roman" w:hAnsi="Times New Roman" w:cs="Times New Roman"/>
          <w:sz w:val="24"/>
          <w:szCs w:val="24"/>
        </w:rPr>
        <w:t xml:space="preserve">, HOLLY L. BUCHANAN, MAJOR, USAF, </w:t>
      </w:r>
      <w:r w:rsidR="00DD7C5C">
        <w:rPr>
          <w:rFonts w:ascii="Times New Roman" w:hAnsi="Times New Roman" w:cs="Times New Roman"/>
          <w:sz w:val="24"/>
          <w:szCs w:val="24"/>
        </w:rPr>
        <w:t>and</w:t>
      </w:r>
      <w:r>
        <w:rPr>
          <w:rFonts w:ascii="Times New Roman" w:hAnsi="Times New Roman" w:cs="Times New Roman"/>
          <w:sz w:val="24"/>
          <w:szCs w:val="24"/>
        </w:rPr>
        <w:t xml:space="preserve"> THOMAS A. JERNIGAN, ESQUIRE</w:t>
      </w:r>
      <w:r w:rsidR="00DD7C5C">
        <w:rPr>
          <w:rFonts w:ascii="Times New Roman" w:hAnsi="Times New Roman" w:cs="Times New Roman"/>
          <w:sz w:val="24"/>
          <w:szCs w:val="24"/>
        </w:rPr>
        <w:t>S</w:t>
      </w:r>
      <w:r>
        <w:rPr>
          <w:rFonts w:ascii="Times New Roman" w:hAnsi="Times New Roman" w:cs="Times New Roman"/>
          <w:sz w:val="24"/>
          <w:szCs w:val="24"/>
        </w:rPr>
        <w:t>,</w:t>
      </w:r>
      <w:r w:rsidRPr="00895CB4">
        <w:rPr>
          <w:rFonts w:ascii="Times New Roman" w:hAnsi="Times New Roman" w:cs="Times New Roman"/>
          <w:sz w:val="24"/>
          <w:szCs w:val="24"/>
        </w:rPr>
        <w:t xml:space="preserve"> </w:t>
      </w:r>
      <w:r w:rsidRPr="00895CB4">
        <w:rPr>
          <w:rFonts w:ascii="Times New Roman" w:hAnsi="Times New Roman" w:cs="Times New Roman"/>
          <w:bCs/>
          <w:sz w:val="24"/>
          <w:szCs w:val="24"/>
        </w:rPr>
        <w:t>AF/JAOE-ULFSC, 139 Barnes Drive, Suite 1, Tyndall Air Force Base, FL 32403</w:t>
      </w:r>
    </w:p>
    <w:p w14:paraId="5B433FDA" w14:textId="77777777" w:rsidR="0054181C" w:rsidRPr="00701945" w:rsidRDefault="0054181C" w:rsidP="0054181C">
      <w:pPr>
        <w:ind w:left="720" w:firstLine="720"/>
        <w:jc w:val="both"/>
      </w:pPr>
      <w:r w:rsidRPr="00701945">
        <w:rPr>
          <w:u w:val="single"/>
        </w:rPr>
        <w:t xml:space="preserve">On behalf of </w:t>
      </w:r>
      <w:r w:rsidR="00895CB4" w:rsidRPr="00895CB4">
        <w:rPr>
          <w:u w:val="single"/>
        </w:rPr>
        <w:t>Federal Executive Agencies</w:t>
      </w:r>
      <w:r>
        <w:rPr>
          <w:u w:val="single"/>
        </w:rPr>
        <w:t xml:space="preserve"> (FEA)</w:t>
      </w:r>
      <w:r w:rsidRPr="00701945">
        <w:t xml:space="preserve">. </w:t>
      </w:r>
    </w:p>
    <w:p w14:paraId="3DF56E1B" w14:textId="77777777" w:rsidR="0054181C" w:rsidRPr="00701945" w:rsidRDefault="0054181C" w:rsidP="0054181C">
      <w:pPr>
        <w:jc w:val="both"/>
      </w:pPr>
    </w:p>
    <w:p w14:paraId="0B8DC878" w14:textId="77777777" w:rsidR="0054181C" w:rsidRPr="00701945" w:rsidRDefault="00037057" w:rsidP="0054181C">
      <w:pPr>
        <w:ind w:left="1440"/>
        <w:jc w:val="both"/>
      </w:pPr>
      <w:r>
        <w:t>JON C. MOYLE, JR.</w:t>
      </w:r>
      <w:r w:rsidR="00715A2F">
        <w:t xml:space="preserve"> and</w:t>
      </w:r>
      <w:r>
        <w:t xml:space="preserve"> KAREN PUTNAL, ESQUIRE, Moyle Law Firm, P.A., 118 North Gadsden Street, Tallahassee, Florida 32312</w:t>
      </w:r>
    </w:p>
    <w:p w14:paraId="59506215" w14:textId="77777777" w:rsidR="0054181C" w:rsidRPr="00701945" w:rsidRDefault="0054181C" w:rsidP="0054181C">
      <w:pPr>
        <w:ind w:left="720" w:firstLine="720"/>
        <w:jc w:val="both"/>
      </w:pPr>
      <w:r w:rsidRPr="00701945">
        <w:rPr>
          <w:u w:val="single"/>
        </w:rPr>
        <w:t xml:space="preserve">On behalf of </w:t>
      </w:r>
      <w:r w:rsidR="00037057">
        <w:rPr>
          <w:u w:val="single"/>
        </w:rPr>
        <w:t>Florida Industrial Power Users Group</w:t>
      </w:r>
      <w:r>
        <w:rPr>
          <w:u w:val="single"/>
        </w:rPr>
        <w:t xml:space="preserve"> (FIPUG)</w:t>
      </w:r>
      <w:r w:rsidRPr="00701945">
        <w:t xml:space="preserve">. </w:t>
      </w:r>
    </w:p>
    <w:p w14:paraId="7BCFAC32" w14:textId="77777777" w:rsidR="0054181C" w:rsidRPr="00701945" w:rsidRDefault="0054181C" w:rsidP="0054181C">
      <w:pPr>
        <w:jc w:val="both"/>
      </w:pPr>
    </w:p>
    <w:p w14:paraId="690E01EF" w14:textId="77777777" w:rsidR="00E50AC7" w:rsidRPr="00701945" w:rsidRDefault="00082E19" w:rsidP="0054181C">
      <w:pPr>
        <w:ind w:left="1440"/>
        <w:jc w:val="both"/>
      </w:pPr>
      <w:r>
        <w:t>WALTER TRIERWEILER and MATTHEW JONES</w:t>
      </w:r>
      <w:r w:rsidR="00E50AC7" w:rsidRPr="00701945">
        <w:t>, ESQUIRE</w:t>
      </w:r>
      <w:r>
        <w:t>S</w:t>
      </w:r>
      <w:r w:rsidR="00E50AC7" w:rsidRPr="00701945">
        <w:t>, Florida Public Service Commission, 2540 Shumard Oak Boulevard, Tallahassee, Florida 32399-0850</w:t>
      </w:r>
    </w:p>
    <w:p w14:paraId="596D0CC2" w14:textId="77777777" w:rsidR="00E50AC7" w:rsidRPr="00701945" w:rsidRDefault="00E50AC7" w:rsidP="00446687">
      <w:pPr>
        <w:ind w:left="720" w:firstLine="720"/>
        <w:jc w:val="both"/>
      </w:pPr>
      <w:r w:rsidRPr="00701945">
        <w:rPr>
          <w:u w:val="single"/>
        </w:rPr>
        <w:t>On behalf of the Florida Public Service Commission</w:t>
      </w:r>
      <w:r>
        <w:rPr>
          <w:u w:val="single"/>
        </w:rPr>
        <w:t xml:space="preserve"> (Staff)</w:t>
      </w:r>
      <w:r w:rsidRPr="00701945">
        <w:t>.</w:t>
      </w:r>
    </w:p>
    <w:p w14:paraId="478F4DA3" w14:textId="77777777" w:rsidR="00E50AC7" w:rsidRPr="00701945" w:rsidRDefault="00E50AC7" w:rsidP="0054181C">
      <w:pPr>
        <w:jc w:val="both"/>
      </w:pPr>
    </w:p>
    <w:p w14:paraId="5FA233EA" w14:textId="77777777" w:rsidR="00E50AC7" w:rsidRPr="00701945" w:rsidRDefault="005D1FC8" w:rsidP="0054181C">
      <w:pPr>
        <w:ind w:left="1440"/>
        <w:jc w:val="both"/>
      </w:pPr>
      <w:r>
        <w:t xml:space="preserve">SAMANTHA CIBULA, </w:t>
      </w:r>
      <w:r w:rsidR="00E50AC7">
        <w:t xml:space="preserve">ESQUIRE, </w:t>
      </w:r>
      <w:r w:rsidR="004E0E3C">
        <w:t>Advisor to the Commission</w:t>
      </w:r>
      <w:r w:rsidR="00E50AC7">
        <w:t>,</w:t>
      </w:r>
      <w:r w:rsidR="00E50AC7" w:rsidRPr="00701945">
        <w:t xml:space="preserve"> Florida Public Service Commission, 2540 Shumard Oak Boulevard, Tallahassee, Florida 32399-0850</w:t>
      </w:r>
    </w:p>
    <w:p w14:paraId="6CAE7FB5" w14:textId="77777777" w:rsidR="00E50AC7" w:rsidRPr="008A6E64" w:rsidRDefault="00E50AC7" w:rsidP="008A6E64">
      <w:pPr>
        <w:ind w:left="720" w:firstLine="720"/>
        <w:jc w:val="both"/>
      </w:pPr>
      <w:r>
        <w:rPr>
          <w:u w:val="single"/>
        </w:rPr>
        <w:t>Advisor to the</w:t>
      </w:r>
      <w:r w:rsidRPr="00701945">
        <w:rPr>
          <w:u w:val="single"/>
        </w:rPr>
        <w:t xml:space="preserve"> </w:t>
      </w:r>
      <w:smartTag w:uri="urn:schemas-microsoft-com:office:smarttags" w:element="State">
        <w:smartTag w:uri="urn:schemas-microsoft-com:office:smarttags" w:element="place">
          <w:r w:rsidRPr="00701945">
            <w:rPr>
              <w:u w:val="single"/>
            </w:rPr>
            <w:t>Florida</w:t>
          </w:r>
        </w:smartTag>
      </w:smartTag>
      <w:r w:rsidRPr="00701945">
        <w:rPr>
          <w:u w:val="single"/>
        </w:rPr>
        <w:t xml:space="preserve"> Public Service Commission</w:t>
      </w:r>
      <w:r w:rsidRPr="00701945">
        <w:t>.</w:t>
      </w:r>
    </w:p>
    <w:p w14:paraId="7D662B93" w14:textId="77777777" w:rsidR="00E50AC7" w:rsidRPr="00D033EB" w:rsidRDefault="00E50AC7" w:rsidP="0054181C">
      <w:pPr>
        <w:ind w:left="1440"/>
        <w:jc w:val="both"/>
      </w:pPr>
      <w:r w:rsidRPr="00D033EB">
        <w:lastRenderedPageBreak/>
        <w:t>K</w:t>
      </w:r>
      <w:r>
        <w:t>EITH C. HETRICK</w:t>
      </w:r>
      <w:r w:rsidRPr="00D033EB">
        <w:t>, ESQUIRE, General Counsel, Florida Public Service Commission, 2540 Shumard Oak Boulevard, Tallahassee, Florida 32399-0850</w:t>
      </w:r>
    </w:p>
    <w:p w14:paraId="53A2AB19" w14:textId="77777777" w:rsidR="00E50AC7" w:rsidRPr="001A0F5D" w:rsidRDefault="00E50AC7" w:rsidP="0054181C">
      <w:pPr>
        <w:ind w:left="720" w:firstLine="720"/>
        <w:jc w:val="both"/>
      </w:pPr>
      <w:r w:rsidRPr="00D033EB">
        <w:rPr>
          <w:u w:val="single"/>
        </w:rPr>
        <w:t>Florida Public Service Commission General Counsel</w:t>
      </w:r>
      <w:r w:rsidR="001A0F5D">
        <w:t>.</w:t>
      </w:r>
    </w:p>
    <w:p w14:paraId="228AD24C" w14:textId="77777777" w:rsidR="00E50AC7" w:rsidRDefault="00E50AC7" w:rsidP="00E50AC7">
      <w:pPr>
        <w:jc w:val="both"/>
      </w:pPr>
    </w:p>
    <w:p w14:paraId="42B27CE2" w14:textId="77777777" w:rsidR="00E50AC7" w:rsidRPr="00701945" w:rsidRDefault="00E50AC7" w:rsidP="00E50AC7">
      <w:pPr>
        <w:jc w:val="both"/>
      </w:pPr>
    </w:p>
    <w:p w14:paraId="546DCAAF" w14:textId="77777777" w:rsidR="00E50AC7" w:rsidRPr="00A32DC5" w:rsidRDefault="00E50AC7" w:rsidP="00E50AC7">
      <w:pPr>
        <w:jc w:val="both"/>
        <w:rPr>
          <w:b/>
        </w:rPr>
      </w:pPr>
      <w:r w:rsidRPr="00A32DC5">
        <w:rPr>
          <w:b/>
        </w:rPr>
        <w:t>I.</w:t>
      </w:r>
      <w:r w:rsidRPr="00A32DC5">
        <w:rPr>
          <w:b/>
        </w:rPr>
        <w:tab/>
      </w:r>
      <w:r w:rsidRPr="00A32DC5">
        <w:rPr>
          <w:b/>
          <w:u w:val="single"/>
        </w:rPr>
        <w:t>CASE BACKGROUND</w:t>
      </w:r>
    </w:p>
    <w:p w14:paraId="13057A96" w14:textId="77777777" w:rsidR="008B6560" w:rsidRDefault="008B6560" w:rsidP="008B6560">
      <w:pPr>
        <w:keepNext/>
        <w:spacing w:after="240"/>
        <w:rPr>
          <w:b/>
          <w:bCs/>
          <w:sz w:val="22"/>
          <w:szCs w:val="22"/>
        </w:rPr>
      </w:pPr>
    </w:p>
    <w:p w14:paraId="543C8C41" w14:textId="77777777" w:rsidR="008B6560" w:rsidRPr="00C24ECE" w:rsidRDefault="008B6560" w:rsidP="008B6560">
      <w:pPr>
        <w:spacing w:after="240"/>
        <w:ind w:firstLine="720"/>
        <w:jc w:val="both"/>
      </w:pPr>
      <w:r w:rsidRPr="00C24ECE">
        <w:t>On May 31, 2022, Florida City Gas (FCG or Company) filed a petition seeking the Florida Public Service Commission’s (Commission) approval of a rate increase and associated depreciation rates. FCG</w:t>
      </w:r>
      <w:r w:rsidR="0020568D">
        <w:t>, a subsidiary of Florida Power &amp; Light Company,</w:t>
      </w:r>
      <w:r w:rsidRPr="00C24ECE">
        <w:t xml:space="preserve"> is a natural gas local distribution company providing sales and transportation of natural gas, and is a public utility subject to our regulatory jurisdiction under Section 3</w:t>
      </w:r>
      <w:r w:rsidR="0020568D">
        <w:t xml:space="preserve">66.02, Florida Statutes (F.S.). </w:t>
      </w:r>
      <w:r w:rsidRPr="00C24ECE">
        <w:t xml:space="preserve">FCG currently serves approximately 116,000 residential, commercial, and industrial natural gas customers in Miami-Dade, Broward, St. Lucie, Indian River, Brevard, Palm Beach, Hendry, and Martin counties. </w:t>
      </w:r>
    </w:p>
    <w:p w14:paraId="31DD898F" w14:textId="77777777" w:rsidR="008B6560" w:rsidRDefault="005D2244" w:rsidP="008B6560">
      <w:pPr>
        <w:spacing w:after="240"/>
        <w:ind w:firstLine="720"/>
        <w:jc w:val="both"/>
      </w:pPr>
      <w:r w:rsidRPr="00AB0302">
        <w:t>FCG in</w:t>
      </w:r>
      <w:r w:rsidR="00AB0302" w:rsidRPr="00AB0302">
        <w:t>i</w:t>
      </w:r>
      <w:r w:rsidRPr="00AB0302">
        <w:t xml:space="preserve">tially requested an increase of $29.0 million in additional annual revenues, but updated that figure </w:t>
      </w:r>
      <w:r w:rsidR="00FD16A9">
        <w:t xml:space="preserve">in rebuttal </w:t>
      </w:r>
      <w:r w:rsidRPr="00AB0302">
        <w:t xml:space="preserve">to </w:t>
      </w:r>
      <w:r w:rsidR="00895480" w:rsidRPr="00AB0302">
        <w:t>$28.3</w:t>
      </w:r>
      <w:r w:rsidR="008B6560" w:rsidRPr="00AB0302">
        <w:t xml:space="preserve"> million. Of that amount, $5.7 million is associated with the reclassification of FCG’s Safety, Access, and Facility Enhancement program revenues from surcharge to base rates and $3.8 million is related to the revenue requirements for the previously approved Liquefied Natural Gas Facility. Ad</w:t>
      </w:r>
      <w:r w:rsidR="00895480" w:rsidRPr="00AB0302">
        <w:t xml:space="preserve">ditionally, </w:t>
      </w:r>
      <w:r w:rsidRPr="00AB0302">
        <w:t>FCG initially stated that the remaining $19.4 million</w:t>
      </w:r>
      <w:r w:rsidR="008B6560" w:rsidRPr="00AB0302">
        <w:t xml:space="preserve"> is necessary, according to FCG, for the Company to earn a fair return on its investment and to adopt the requested reserve surplus amortization mechanism.</w:t>
      </w:r>
      <w:r w:rsidRPr="00AB0302">
        <w:t xml:space="preserve">  </w:t>
      </w:r>
      <w:r w:rsidR="00FD16A9">
        <w:t xml:space="preserve">In rebuttal, </w:t>
      </w:r>
      <w:r w:rsidRPr="00AB0302">
        <w:t>FCG updated this figure to $18.8 million.</w:t>
      </w:r>
      <w:r w:rsidR="008B6560" w:rsidRPr="00D85565">
        <w:t xml:space="preserve"> </w:t>
      </w:r>
      <w:r w:rsidRPr="00D85565">
        <w:t xml:space="preserve"> </w:t>
      </w:r>
      <w:r w:rsidR="008B6560" w:rsidRPr="00D85565">
        <w:t>FCG based its request on a 13-month average rate base of $489 million for the projected test year ending December 31, 2023. The requested overall rate of return is 7.09 percent based on a mid-point of 10.75 percent return on equity.</w:t>
      </w:r>
    </w:p>
    <w:p w14:paraId="1AF2F4AA" w14:textId="77777777" w:rsidR="008B6560" w:rsidRDefault="008B6560" w:rsidP="008B6560">
      <w:pPr>
        <w:spacing w:after="240"/>
        <w:ind w:firstLine="720"/>
        <w:jc w:val="both"/>
      </w:pPr>
      <w:r w:rsidRPr="00C24ECE">
        <w:t>FCG’s last rate case was filed on October 23, 2017, and was resolved by our approval of a settlement agreement in 2018.</w:t>
      </w:r>
      <w:r w:rsidR="001A0F5D">
        <w:rPr>
          <w:rStyle w:val="FootnoteReference"/>
        </w:rPr>
        <w:footnoteReference w:id="1"/>
      </w:r>
      <w:r w:rsidRPr="00C24ECE">
        <w:t xml:space="preserve"> The Commission-approved settlement agreement allowed FCG to generate an additional $11.5 million in revenues for the projected test year end</w:t>
      </w:r>
      <w:r w:rsidR="001A0F5D">
        <w:t>ing</w:t>
      </w:r>
      <w:r w:rsidRPr="00C24ECE">
        <w:t xml:space="preserve"> December 31, 2018. The settlement agreement also authorized a return on equity of 10.19 percent.</w:t>
      </w:r>
      <w:r w:rsidR="00FD0271">
        <w:t xml:space="preserve"> </w:t>
      </w:r>
    </w:p>
    <w:p w14:paraId="75A0DCB2" w14:textId="1F01C8A6" w:rsidR="008B6560" w:rsidRDefault="00C205D0" w:rsidP="008B6560">
      <w:pPr>
        <w:ind w:firstLine="720"/>
        <w:jc w:val="both"/>
      </w:pPr>
      <w:r w:rsidRPr="004923DF">
        <w:t xml:space="preserve">In compliance with </w:t>
      </w:r>
      <w:r w:rsidR="001817C3">
        <w:t>Paragraphs</w:t>
      </w:r>
      <w:r w:rsidR="001817C3" w:rsidRPr="004923DF">
        <w:t xml:space="preserve"> </w:t>
      </w:r>
      <w:r w:rsidRPr="004923DF">
        <w:t xml:space="preserve">366.06(2), </w:t>
      </w:r>
      <w:r>
        <w:t>and (4) Florida Statutes (</w:t>
      </w:r>
      <w:r w:rsidRPr="004923DF">
        <w:t>F.S.</w:t>
      </w:r>
      <w:r>
        <w:t>)</w:t>
      </w:r>
      <w:r w:rsidRPr="004923DF">
        <w:t xml:space="preserve">, an administrative hearing has been scheduled for these matters </w:t>
      </w:r>
      <w:r>
        <w:t xml:space="preserve">on </w:t>
      </w:r>
      <w:r w:rsidR="008B6560" w:rsidRPr="00C24ECE">
        <w:t xml:space="preserve">December 12-16, 2022. </w:t>
      </w:r>
      <w:r w:rsidR="00330722">
        <w:t xml:space="preserve"> FCG has withdrawn the objection to FIPUG’s standing</w:t>
      </w:r>
      <w:r w:rsidR="00DD5843">
        <w:t xml:space="preserve"> so no ruling was made</w:t>
      </w:r>
      <w:r w:rsidR="00330722">
        <w:t xml:space="preserve">.  </w:t>
      </w:r>
      <w:r w:rsidR="00625A32">
        <w:t xml:space="preserve">The Intervenors in this docket are </w:t>
      </w:r>
      <w:r w:rsidR="0020568D">
        <w:t xml:space="preserve">the </w:t>
      </w:r>
      <w:r w:rsidR="00625A32">
        <w:t>O</w:t>
      </w:r>
      <w:r w:rsidR="0020568D">
        <w:t xml:space="preserve">ffice of </w:t>
      </w:r>
      <w:r w:rsidR="00625A32">
        <w:t>P</w:t>
      </w:r>
      <w:r w:rsidR="0020568D">
        <w:t xml:space="preserve">ublic </w:t>
      </w:r>
      <w:r w:rsidR="00625A32">
        <w:t>C</w:t>
      </w:r>
      <w:r w:rsidR="0020568D">
        <w:t>ounsel (OPC)</w:t>
      </w:r>
      <w:r w:rsidR="00625A32">
        <w:t>, F</w:t>
      </w:r>
      <w:r w:rsidR="0020568D">
        <w:t xml:space="preserve">ederal </w:t>
      </w:r>
      <w:r w:rsidR="00625A32">
        <w:t>E</w:t>
      </w:r>
      <w:r w:rsidR="0020568D">
        <w:t xml:space="preserve">xecutive </w:t>
      </w:r>
      <w:r w:rsidR="00625A32">
        <w:t>A</w:t>
      </w:r>
      <w:r w:rsidR="0020568D">
        <w:t>gencies (FEA)</w:t>
      </w:r>
      <w:r w:rsidR="00625A32">
        <w:t xml:space="preserve">, </w:t>
      </w:r>
      <w:r w:rsidR="00F6469C">
        <w:t xml:space="preserve">and </w:t>
      </w:r>
      <w:r w:rsidR="0020568D">
        <w:t>Florida Industrial Power Users Group (FIPUG)</w:t>
      </w:r>
      <w:r w:rsidR="00625A32">
        <w:t xml:space="preserve">. </w:t>
      </w:r>
      <w:r w:rsidR="00F6469C">
        <w:t xml:space="preserve">  </w:t>
      </w:r>
      <w:r w:rsidR="008B6560" w:rsidRPr="00C24ECE">
        <w:t xml:space="preserve">We have jurisdiction under </w:t>
      </w:r>
      <w:r w:rsidR="00B37982">
        <w:t>Chapter 366,</w:t>
      </w:r>
      <w:r w:rsidR="008B6560" w:rsidRPr="00C24ECE">
        <w:t xml:space="preserve"> F.S.</w:t>
      </w:r>
    </w:p>
    <w:p w14:paraId="373F88AF" w14:textId="77777777" w:rsidR="00D85565" w:rsidRDefault="00D85565" w:rsidP="008B6560">
      <w:pPr>
        <w:ind w:firstLine="720"/>
        <w:jc w:val="both"/>
      </w:pPr>
    </w:p>
    <w:p w14:paraId="1B6B6A55" w14:textId="77777777" w:rsidR="00D85565" w:rsidRDefault="00D85565" w:rsidP="008B6560">
      <w:pPr>
        <w:ind w:firstLine="720"/>
        <w:jc w:val="both"/>
      </w:pPr>
    </w:p>
    <w:p w14:paraId="02DB00AC" w14:textId="719B8E47" w:rsidR="00D85565" w:rsidRDefault="00D85565" w:rsidP="008B6560">
      <w:pPr>
        <w:ind w:firstLine="720"/>
        <w:jc w:val="both"/>
      </w:pPr>
    </w:p>
    <w:p w14:paraId="26B56608" w14:textId="3C6F00AD" w:rsidR="00D85565" w:rsidRDefault="00D85565" w:rsidP="008B6560">
      <w:pPr>
        <w:ind w:firstLine="720"/>
        <w:jc w:val="both"/>
      </w:pPr>
    </w:p>
    <w:p w14:paraId="18180672" w14:textId="77777777" w:rsidR="008A6E64" w:rsidRDefault="008A6E64" w:rsidP="008A6E64">
      <w:pPr>
        <w:jc w:val="both"/>
      </w:pPr>
    </w:p>
    <w:p w14:paraId="6CBBFD1B" w14:textId="77777777" w:rsidR="00E50AC7" w:rsidRPr="00A32DC5" w:rsidRDefault="00E50AC7" w:rsidP="00E50AC7">
      <w:pPr>
        <w:jc w:val="both"/>
        <w:rPr>
          <w:b/>
        </w:rPr>
      </w:pPr>
      <w:r w:rsidRPr="00A32DC5">
        <w:rPr>
          <w:b/>
        </w:rPr>
        <w:t>II.</w:t>
      </w:r>
      <w:r w:rsidRPr="00A32DC5">
        <w:rPr>
          <w:b/>
        </w:rPr>
        <w:tab/>
      </w:r>
      <w:r w:rsidRPr="00A32DC5">
        <w:rPr>
          <w:b/>
          <w:u w:val="single"/>
        </w:rPr>
        <w:t>CONDUCT OF PROCEEDINGS</w:t>
      </w:r>
    </w:p>
    <w:p w14:paraId="02E9EFC5" w14:textId="77777777" w:rsidR="00E50AC7" w:rsidRPr="00701945" w:rsidRDefault="00E50AC7" w:rsidP="00E50AC7">
      <w:pPr>
        <w:jc w:val="both"/>
      </w:pPr>
    </w:p>
    <w:p w14:paraId="63A00EE3" w14:textId="77777777" w:rsidR="00E50AC7" w:rsidRDefault="00E50AC7" w:rsidP="00E50AC7">
      <w:pPr>
        <w:jc w:val="both"/>
      </w:pPr>
      <w:r w:rsidRPr="00701945">
        <w:tab/>
        <w:t>Pursuant to Rule 28-106.211,</w:t>
      </w:r>
      <w:r w:rsidR="001A0F5D">
        <w:t xml:space="preserve"> Florida Administrative Code (</w:t>
      </w:r>
      <w:r>
        <w:t>F.A.C.</w:t>
      </w:r>
      <w:r w:rsidR="00625A32">
        <w:t>)</w:t>
      </w:r>
      <w:r w:rsidRPr="00701945">
        <w:t xml:space="preserve">, this </w:t>
      </w:r>
      <w:r>
        <w:t xml:space="preserve">Prehearing </w:t>
      </w:r>
      <w:r w:rsidRPr="00701945">
        <w:t>Order is issued to prevent delay and to promote the just, speedy, and inexpensive determination of all aspects of this case.</w:t>
      </w:r>
    </w:p>
    <w:p w14:paraId="0E680EC2" w14:textId="77777777" w:rsidR="00D85565" w:rsidRDefault="00D85565" w:rsidP="00E50AC7">
      <w:pPr>
        <w:jc w:val="both"/>
      </w:pPr>
    </w:p>
    <w:p w14:paraId="490AEF5C" w14:textId="77777777" w:rsidR="00D85565" w:rsidRDefault="00D85565" w:rsidP="00E50AC7">
      <w:pPr>
        <w:jc w:val="both"/>
      </w:pPr>
    </w:p>
    <w:p w14:paraId="438D6FD1" w14:textId="77777777" w:rsidR="00E50AC7" w:rsidRPr="00A32DC5" w:rsidRDefault="00E50AC7" w:rsidP="00E50AC7">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24078523" w14:textId="77777777" w:rsidR="00E50AC7" w:rsidRPr="00701945" w:rsidRDefault="00E50AC7" w:rsidP="00E50AC7">
      <w:pPr>
        <w:jc w:val="both"/>
      </w:pPr>
    </w:p>
    <w:p w14:paraId="4F8B4BE2" w14:textId="77777777" w:rsidR="00E50AC7" w:rsidRPr="00701945" w:rsidRDefault="00E50AC7" w:rsidP="00E50AC7">
      <w:pPr>
        <w:jc w:val="both"/>
      </w:pPr>
      <w:r w:rsidRPr="00701945">
        <w:tab/>
        <w:t>This Commission is vested with jurisdiction over the subject matter by the provisions of Chapter</w:t>
      </w:r>
      <w:r w:rsidR="00465D85">
        <w:t>s 120 and</w:t>
      </w:r>
      <w:r w:rsidRPr="00701945">
        <w:t xml:space="preserve"> </w:t>
      </w:r>
      <w:r w:rsidR="00F0202E">
        <w:t>366,</w:t>
      </w:r>
      <w:r w:rsidRPr="00701945">
        <w:t xml:space="preserve"> </w:t>
      </w:r>
      <w:r>
        <w:t>F.S</w:t>
      </w:r>
      <w:r w:rsidRPr="00701945">
        <w:t>.  This hearing will be governed by said Chapter</w:t>
      </w:r>
      <w:r w:rsidR="00465D85">
        <w:t>s</w:t>
      </w:r>
      <w:r w:rsidRPr="00701945">
        <w:t xml:space="preserve"> and </w:t>
      </w:r>
      <w:r w:rsidR="00F0202E" w:rsidRPr="00C50C13">
        <w:t>Rule</w:t>
      </w:r>
      <w:r w:rsidR="00F0202E">
        <w:t>s</w:t>
      </w:r>
      <w:r w:rsidR="00F0202E" w:rsidRPr="00C50C13">
        <w:t xml:space="preserve"> 28-106.211,</w:t>
      </w:r>
      <w:r w:rsidR="00F0202E">
        <w:t xml:space="preserve"> </w:t>
      </w:r>
      <w:r>
        <w:t>25-6</w:t>
      </w:r>
      <w:r w:rsidRPr="00701945">
        <w:t xml:space="preserve">, 25-22, and 28-106, </w:t>
      </w:r>
      <w:r>
        <w:t>F.A.C., as well as any other applicable provisions of law</w:t>
      </w:r>
      <w:r w:rsidRPr="00701945">
        <w:t>.</w:t>
      </w:r>
    </w:p>
    <w:p w14:paraId="2DEAF179" w14:textId="77777777" w:rsidR="00E50AC7" w:rsidRDefault="00E50AC7" w:rsidP="00E50AC7">
      <w:pPr>
        <w:jc w:val="both"/>
      </w:pPr>
    </w:p>
    <w:p w14:paraId="293E76AA" w14:textId="77777777" w:rsidR="00E50AC7" w:rsidRPr="00701945" w:rsidRDefault="00E50AC7" w:rsidP="00E50AC7">
      <w:pPr>
        <w:jc w:val="both"/>
      </w:pPr>
    </w:p>
    <w:p w14:paraId="5C5B2B14" w14:textId="77777777" w:rsidR="00E50AC7" w:rsidRPr="00237584" w:rsidRDefault="00E50AC7" w:rsidP="00E50AC7">
      <w:pPr>
        <w:jc w:val="both"/>
        <w:rPr>
          <w:b/>
        </w:rPr>
      </w:pPr>
      <w:r w:rsidRPr="00237584">
        <w:rPr>
          <w:b/>
        </w:rPr>
        <w:t>IV.</w:t>
      </w:r>
      <w:r w:rsidRPr="00237584">
        <w:rPr>
          <w:b/>
        </w:rPr>
        <w:tab/>
      </w:r>
      <w:r w:rsidRPr="00237584">
        <w:rPr>
          <w:b/>
          <w:u w:val="single"/>
        </w:rPr>
        <w:t>PROCEDURE FOR HANDLING CONFIDENTIAL INFORMATION</w:t>
      </w:r>
    </w:p>
    <w:p w14:paraId="30907782" w14:textId="77777777" w:rsidR="00E50AC7" w:rsidRPr="00237584" w:rsidRDefault="00E50AC7" w:rsidP="00E50AC7">
      <w:pPr>
        <w:jc w:val="both"/>
        <w:rPr>
          <w:b/>
        </w:rPr>
      </w:pPr>
    </w:p>
    <w:p w14:paraId="31457684" w14:textId="77777777" w:rsidR="00E50AC7" w:rsidRDefault="00E50AC7" w:rsidP="00E50AC7">
      <w:pPr>
        <w:jc w:val="both"/>
      </w:pPr>
      <w:r w:rsidRPr="00701945">
        <w:tab/>
      </w:r>
      <w:r>
        <w:t>Information for which proprietary confidential business information status is requested</w:t>
      </w:r>
      <w:r w:rsidRPr="00A72918">
        <w:t xml:space="preserve"> pursuant to</w:t>
      </w:r>
      <w:r>
        <w:t xml:space="preserve"> Section </w:t>
      </w:r>
      <w:r w:rsidR="00F0202E">
        <w:t>366.093</w:t>
      </w:r>
      <w:r w:rsidR="00F0202E" w:rsidRPr="00C50C13">
        <w:t>,</w:t>
      </w:r>
      <w:r>
        <w:t xml:space="preserve"> F.S.</w:t>
      </w:r>
      <w:r w:rsidRPr="00A72918">
        <w:t xml:space="preserve">, and Rule 25-22.006, </w:t>
      </w:r>
      <w:r>
        <w:t>F.A.C.</w:t>
      </w:r>
      <w:r w:rsidRPr="00A72918">
        <w:t>,</w:t>
      </w:r>
      <w:r>
        <w:t xml:space="preserve"> shall be treated by the Commission as confidential.  The information shall be exempt from S</w:t>
      </w:r>
      <w:r w:rsidR="001A0F5D">
        <w:t>ubs</w:t>
      </w:r>
      <w:r>
        <w:t xml:space="preserve">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F0202E">
        <w:t xml:space="preserve">366.093, </w:t>
      </w:r>
      <w:r>
        <w:t>F.S.  T</w:t>
      </w:r>
      <w:r w:rsidRPr="00B2317F">
        <w:t>he Commission may determine that continued possession of the information is necessary for the Commission to conduct its business.</w:t>
      </w:r>
    </w:p>
    <w:p w14:paraId="50E079F2" w14:textId="77777777" w:rsidR="00E50AC7" w:rsidRDefault="00E50AC7" w:rsidP="00E50AC7">
      <w:pPr>
        <w:jc w:val="both"/>
      </w:pPr>
    </w:p>
    <w:p w14:paraId="4EB32A81" w14:textId="77777777" w:rsidR="00E50AC7" w:rsidRDefault="00E50AC7" w:rsidP="00E50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C24ECE">
        <w:t>366.093</w:t>
      </w:r>
      <w:r>
        <w:t xml:space="preserve">, F.S., to protect proprietary confidential business information from disclosure outside the proceeding.  Therefore, any party wishing to use any proprietary confidential business information, as that term is defined in Section </w:t>
      </w:r>
      <w:r w:rsidR="00C24ECE">
        <w:t>366.093</w:t>
      </w:r>
      <w:r>
        <w:t>, F.S., at the hearing shall adhere to the following:</w:t>
      </w:r>
    </w:p>
    <w:p w14:paraId="4A727ECA" w14:textId="77777777" w:rsidR="00E50AC7" w:rsidRDefault="00E50AC7" w:rsidP="00E50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76E2C0" w14:textId="77777777" w:rsidR="00E50AC7" w:rsidRDefault="00E50AC7" w:rsidP="00E50AC7">
      <w:pPr>
        <w:spacing w:line="2" w:lineRule="exact"/>
        <w:jc w:val="both"/>
      </w:pPr>
    </w:p>
    <w:p w14:paraId="5CE5B1A5" w14:textId="77777777" w:rsidR="00E50AC7" w:rsidRDefault="00E50AC7" w:rsidP="00E50AC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72DCF53C" w14:textId="77777777" w:rsidR="00E50AC7" w:rsidRDefault="00E50AC7" w:rsidP="00E50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B8E706" w14:textId="77777777" w:rsidR="00E50AC7" w:rsidRDefault="00E50AC7" w:rsidP="00E50AC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4D839E21" w14:textId="77777777" w:rsidR="00E50AC7" w:rsidRDefault="00E50AC7" w:rsidP="00E50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D5646BB" w14:textId="77777777" w:rsidR="00E50AC7" w:rsidRDefault="00E50AC7" w:rsidP="00E50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01E45F9C" w14:textId="77777777" w:rsidR="00E50AC7" w:rsidRDefault="00E50AC7" w:rsidP="00E50AC7">
      <w:pPr>
        <w:jc w:val="both"/>
      </w:pPr>
    </w:p>
    <w:p w14:paraId="313497D3" w14:textId="77777777" w:rsidR="00E50AC7" w:rsidRDefault="00E50AC7" w:rsidP="00E50AC7">
      <w:pPr>
        <w:jc w:val="both"/>
      </w:pPr>
    </w:p>
    <w:p w14:paraId="49B13D51" w14:textId="77777777" w:rsidR="00E50AC7" w:rsidRPr="00A32DC5" w:rsidRDefault="00E50AC7" w:rsidP="00E50AC7">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2F8A17BB" w14:textId="77777777" w:rsidR="00E50AC7" w:rsidRPr="00701945" w:rsidRDefault="00E50AC7" w:rsidP="00E50AC7">
      <w:pPr>
        <w:jc w:val="both"/>
      </w:pPr>
    </w:p>
    <w:p w14:paraId="5FBD2976" w14:textId="77777777" w:rsidR="00E50AC7" w:rsidRDefault="00E50AC7" w:rsidP="00E50AC7">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rsidR="00895480">
        <w:t>five</w:t>
      </w:r>
      <w:r w:rsidRPr="00701945">
        <w:t xml:space="preserve"> minutes.</w:t>
      </w:r>
    </w:p>
    <w:p w14:paraId="76EC8D79" w14:textId="77777777" w:rsidR="00E50AC7" w:rsidRDefault="00E50AC7" w:rsidP="00E50AC7">
      <w:pPr>
        <w:jc w:val="both"/>
      </w:pPr>
    </w:p>
    <w:p w14:paraId="6BFC5397" w14:textId="77777777" w:rsidR="00E50AC7" w:rsidRPr="00701945" w:rsidRDefault="00E50AC7" w:rsidP="00E50AC7">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4A1FB2C7" w14:textId="77777777" w:rsidR="00E50AC7" w:rsidRPr="00701945" w:rsidRDefault="00E50AC7" w:rsidP="00E50AC7">
      <w:pPr>
        <w:jc w:val="both"/>
      </w:pPr>
    </w:p>
    <w:p w14:paraId="3D1A5DED" w14:textId="77777777" w:rsidR="00E50AC7" w:rsidRPr="00701945" w:rsidRDefault="00E50AC7" w:rsidP="00E50AC7">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37921A93" w14:textId="77777777" w:rsidR="00E50AC7" w:rsidRPr="00B75F84" w:rsidRDefault="00E50AC7" w:rsidP="00E50AC7">
      <w:pPr>
        <w:jc w:val="both"/>
        <w:rPr>
          <w:color w:val="000000"/>
        </w:rPr>
      </w:pPr>
    </w:p>
    <w:p w14:paraId="7B124C32" w14:textId="77777777" w:rsidR="00E50AC7" w:rsidRDefault="00E50AC7" w:rsidP="00E50AC7">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08020F5B" w14:textId="77777777" w:rsidR="00446687" w:rsidRDefault="00446687" w:rsidP="008A6E64">
      <w:pPr>
        <w:jc w:val="both"/>
        <w:rPr>
          <w:color w:val="000000"/>
        </w:rPr>
      </w:pPr>
    </w:p>
    <w:p w14:paraId="5213CCD5" w14:textId="77777777" w:rsidR="00D85565" w:rsidRDefault="00D85565" w:rsidP="008A6E64">
      <w:pPr>
        <w:jc w:val="both"/>
        <w:rPr>
          <w:color w:val="000000"/>
        </w:rPr>
      </w:pPr>
    </w:p>
    <w:p w14:paraId="5CA5D8C0" w14:textId="77777777" w:rsidR="00D85565" w:rsidRDefault="00D85565" w:rsidP="008A6E64">
      <w:pPr>
        <w:jc w:val="both"/>
        <w:rPr>
          <w:color w:val="000000"/>
        </w:rPr>
      </w:pPr>
    </w:p>
    <w:p w14:paraId="617921A1" w14:textId="77777777" w:rsidR="00D85565" w:rsidRDefault="00D85565" w:rsidP="008A6E64">
      <w:pPr>
        <w:jc w:val="both"/>
        <w:rPr>
          <w:color w:val="000000"/>
        </w:rPr>
      </w:pPr>
    </w:p>
    <w:p w14:paraId="7F0BFC32" w14:textId="77777777" w:rsidR="00D85565" w:rsidRDefault="00D85565" w:rsidP="008A6E64">
      <w:pPr>
        <w:jc w:val="both"/>
        <w:rPr>
          <w:color w:val="000000"/>
        </w:rPr>
      </w:pPr>
    </w:p>
    <w:p w14:paraId="09D6FAC9" w14:textId="77777777" w:rsidR="00446687" w:rsidRPr="00B75F84" w:rsidRDefault="00446687" w:rsidP="00E50AC7">
      <w:pPr>
        <w:ind w:firstLine="720"/>
        <w:jc w:val="both"/>
        <w:rPr>
          <w:color w:val="000000"/>
        </w:rPr>
      </w:pPr>
    </w:p>
    <w:p w14:paraId="175FA4CC" w14:textId="77777777" w:rsidR="00E50AC7" w:rsidRPr="00A32DC5" w:rsidRDefault="00E50AC7" w:rsidP="00E50AC7">
      <w:pPr>
        <w:jc w:val="both"/>
        <w:rPr>
          <w:b/>
        </w:rPr>
      </w:pPr>
      <w:r w:rsidRPr="00A32DC5">
        <w:rPr>
          <w:b/>
        </w:rPr>
        <w:t>VI.</w:t>
      </w:r>
      <w:r w:rsidRPr="00A32DC5">
        <w:rPr>
          <w:b/>
        </w:rPr>
        <w:tab/>
      </w:r>
      <w:r w:rsidRPr="00A32DC5">
        <w:rPr>
          <w:b/>
          <w:u w:val="single"/>
        </w:rPr>
        <w:t>ORDER OF WITNESSES</w:t>
      </w:r>
    </w:p>
    <w:p w14:paraId="4B41ED4A" w14:textId="77777777" w:rsidR="00E50AC7" w:rsidRDefault="00E50AC7" w:rsidP="00E50AC7">
      <w:pPr>
        <w:jc w:val="both"/>
      </w:pPr>
    </w:p>
    <w:p w14:paraId="3B391F27" w14:textId="77777777" w:rsidR="00AA0E34" w:rsidRPr="00AA0E34" w:rsidRDefault="00C47987" w:rsidP="00AA0E34">
      <w:pPr>
        <w:ind w:firstLine="720"/>
        <w:jc w:val="both"/>
      </w:pPr>
      <w:r>
        <w:t>The Parties have stipulated to the testimony and exhibits of Commission Staff Witness Angie Calhoun</w:t>
      </w:r>
      <w:r w:rsidR="00AA0E34">
        <w:t xml:space="preserve">, </w:t>
      </w:r>
      <w:r w:rsidR="00AA0E34" w:rsidRPr="00AA0E34">
        <w:t>FEA’s Witness Collins, and FCG Witness Dubose</w:t>
      </w:r>
      <w:r w:rsidR="00200AD8">
        <w:t>. These witnesses have</w:t>
      </w:r>
      <w:r w:rsidR="00AA0E34" w:rsidRPr="00AA0E34">
        <w:t xml:space="preserve"> been excused </w:t>
      </w:r>
      <w:r w:rsidR="00200AD8">
        <w:t xml:space="preserve">and </w:t>
      </w:r>
      <w:r w:rsidR="00AA0E34" w:rsidRPr="00AA0E34">
        <w:t xml:space="preserve">their testimony and exhibits </w:t>
      </w:r>
      <w:r w:rsidR="00200AD8">
        <w:t xml:space="preserve">are </w:t>
      </w:r>
      <w:r w:rsidR="00AA0E34" w:rsidRPr="00AA0E34">
        <w:t>entered into the record as though read.</w:t>
      </w:r>
      <w:r w:rsidR="00FD16A9">
        <w:t xml:space="preserve"> </w:t>
      </w:r>
    </w:p>
    <w:p w14:paraId="196CEAE5" w14:textId="77777777" w:rsidR="00E50AC7" w:rsidRPr="00701945" w:rsidRDefault="00C47987" w:rsidP="00E50AC7">
      <w:pPr>
        <w:jc w:val="both"/>
      </w:pPr>
      <w:r>
        <w:t xml:space="preserve"> </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E50AC7" w:rsidRPr="00701945" w14:paraId="0B4AA786" w14:textId="77777777" w:rsidTr="006F034C">
        <w:trPr>
          <w:cantSplit/>
          <w:trHeight w:val="362"/>
          <w:tblHeader/>
        </w:trPr>
        <w:tc>
          <w:tcPr>
            <w:tcW w:w="3507" w:type="dxa"/>
            <w:tcBorders>
              <w:top w:val="nil"/>
              <w:left w:val="nil"/>
              <w:bottom w:val="nil"/>
              <w:right w:val="nil"/>
            </w:tcBorders>
          </w:tcPr>
          <w:p w14:paraId="027C10DD" w14:textId="77777777" w:rsidR="00E50AC7" w:rsidRPr="00701945" w:rsidRDefault="00E50AC7" w:rsidP="006F034C">
            <w:pPr>
              <w:jc w:val="both"/>
            </w:pPr>
            <w:r w:rsidRPr="00701945">
              <w:rPr>
                <w:u w:val="single"/>
              </w:rPr>
              <w:t>Witness</w:t>
            </w:r>
          </w:p>
        </w:tc>
        <w:tc>
          <w:tcPr>
            <w:tcW w:w="2511" w:type="dxa"/>
            <w:tcBorders>
              <w:top w:val="nil"/>
              <w:left w:val="nil"/>
              <w:bottom w:val="nil"/>
              <w:right w:val="nil"/>
            </w:tcBorders>
          </w:tcPr>
          <w:p w14:paraId="6C9F8E34" w14:textId="77777777" w:rsidR="00E50AC7" w:rsidRPr="00701945" w:rsidRDefault="00E50AC7" w:rsidP="006F034C">
            <w:pPr>
              <w:jc w:val="center"/>
            </w:pPr>
            <w:r w:rsidRPr="00701945">
              <w:rPr>
                <w:u w:val="single"/>
              </w:rPr>
              <w:t>Proffered By</w:t>
            </w:r>
          </w:p>
        </w:tc>
        <w:tc>
          <w:tcPr>
            <w:tcW w:w="3546" w:type="dxa"/>
            <w:tcBorders>
              <w:top w:val="nil"/>
              <w:left w:val="nil"/>
              <w:bottom w:val="nil"/>
              <w:right w:val="nil"/>
            </w:tcBorders>
          </w:tcPr>
          <w:p w14:paraId="401F4945" w14:textId="77777777" w:rsidR="00E50AC7" w:rsidRPr="00701945" w:rsidRDefault="00E50AC7" w:rsidP="006F034C">
            <w:pPr>
              <w:jc w:val="both"/>
            </w:pPr>
            <w:r w:rsidRPr="00701945">
              <w:rPr>
                <w:u w:val="single"/>
              </w:rPr>
              <w:t>Issues #</w:t>
            </w:r>
          </w:p>
        </w:tc>
      </w:tr>
      <w:tr w:rsidR="00E50AC7" w:rsidRPr="00701945" w14:paraId="5FE1A241" w14:textId="77777777" w:rsidTr="006F034C">
        <w:trPr>
          <w:cantSplit/>
          <w:trHeight w:val="362"/>
        </w:trPr>
        <w:tc>
          <w:tcPr>
            <w:tcW w:w="3507" w:type="dxa"/>
            <w:tcBorders>
              <w:top w:val="nil"/>
              <w:left w:val="nil"/>
              <w:bottom w:val="nil"/>
              <w:right w:val="nil"/>
            </w:tcBorders>
          </w:tcPr>
          <w:p w14:paraId="4A096FC9" w14:textId="77777777" w:rsidR="00E50AC7" w:rsidRPr="00AC105C" w:rsidRDefault="00E50AC7" w:rsidP="006F034C">
            <w:pPr>
              <w:jc w:val="both"/>
              <w:rPr>
                <w:u w:val="single"/>
              </w:rPr>
            </w:pPr>
            <w:r w:rsidRPr="00AC105C">
              <w:tab/>
            </w:r>
            <w:r w:rsidRPr="00AC105C">
              <w:rPr>
                <w:u w:val="single"/>
              </w:rPr>
              <w:t>Direct</w:t>
            </w:r>
          </w:p>
        </w:tc>
        <w:tc>
          <w:tcPr>
            <w:tcW w:w="2511" w:type="dxa"/>
            <w:tcBorders>
              <w:top w:val="nil"/>
              <w:left w:val="nil"/>
              <w:bottom w:val="nil"/>
              <w:right w:val="nil"/>
            </w:tcBorders>
          </w:tcPr>
          <w:p w14:paraId="67123D05" w14:textId="77777777" w:rsidR="00E50AC7" w:rsidRPr="00701945" w:rsidRDefault="00E50AC7" w:rsidP="006F034C">
            <w:pPr>
              <w:jc w:val="center"/>
            </w:pPr>
          </w:p>
        </w:tc>
        <w:tc>
          <w:tcPr>
            <w:tcW w:w="3546" w:type="dxa"/>
            <w:tcBorders>
              <w:top w:val="nil"/>
              <w:left w:val="nil"/>
              <w:bottom w:val="nil"/>
              <w:right w:val="nil"/>
            </w:tcBorders>
          </w:tcPr>
          <w:p w14:paraId="41BBE233" w14:textId="77777777" w:rsidR="00E50AC7" w:rsidRPr="00701945" w:rsidRDefault="00E50AC7" w:rsidP="006F034C"/>
        </w:tc>
      </w:tr>
      <w:tr w:rsidR="00E50AC7" w:rsidRPr="00701945" w14:paraId="21817205" w14:textId="77777777" w:rsidTr="006F034C">
        <w:trPr>
          <w:cantSplit/>
          <w:trHeight w:val="382"/>
        </w:trPr>
        <w:tc>
          <w:tcPr>
            <w:tcW w:w="3507" w:type="dxa"/>
            <w:tcBorders>
              <w:top w:val="nil"/>
              <w:left w:val="nil"/>
              <w:bottom w:val="nil"/>
              <w:right w:val="nil"/>
            </w:tcBorders>
          </w:tcPr>
          <w:p w14:paraId="6E1A8EBF" w14:textId="77777777" w:rsidR="00E50AC7" w:rsidRPr="00701945" w:rsidRDefault="00426653" w:rsidP="006F034C">
            <w:pPr>
              <w:jc w:val="both"/>
            </w:pPr>
            <w:r>
              <w:t>Kurt S. Howard</w:t>
            </w:r>
          </w:p>
        </w:tc>
        <w:tc>
          <w:tcPr>
            <w:tcW w:w="2511" w:type="dxa"/>
            <w:tcBorders>
              <w:top w:val="nil"/>
              <w:left w:val="nil"/>
              <w:bottom w:val="nil"/>
              <w:right w:val="nil"/>
            </w:tcBorders>
          </w:tcPr>
          <w:p w14:paraId="0BE32E40" w14:textId="77777777" w:rsidR="00E50AC7" w:rsidRPr="00701945" w:rsidRDefault="00426653" w:rsidP="006F034C">
            <w:pPr>
              <w:jc w:val="center"/>
            </w:pPr>
            <w:r>
              <w:t>FCG</w:t>
            </w:r>
          </w:p>
        </w:tc>
        <w:tc>
          <w:tcPr>
            <w:tcW w:w="3546" w:type="dxa"/>
            <w:tcBorders>
              <w:top w:val="nil"/>
              <w:left w:val="nil"/>
              <w:bottom w:val="nil"/>
              <w:right w:val="nil"/>
            </w:tcBorders>
          </w:tcPr>
          <w:p w14:paraId="25720047" w14:textId="6BFA0E5A" w:rsidR="00E50AC7" w:rsidRPr="00701945" w:rsidRDefault="00426653" w:rsidP="006F034C">
            <w:r>
              <w:t xml:space="preserve">4, </w:t>
            </w:r>
            <w:r w:rsidR="008A57BB">
              <w:t>11-13</w:t>
            </w:r>
            <w:r>
              <w:t xml:space="preserve">, </w:t>
            </w:r>
            <w:r w:rsidR="008A57BB">
              <w:t>38</w:t>
            </w:r>
            <w:r>
              <w:t>, 41-45, 49, 69-71</w:t>
            </w:r>
          </w:p>
        </w:tc>
      </w:tr>
      <w:tr w:rsidR="00E50AC7" w:rsidRPr="00701945" w14:paraId="467B6781" w14:textId="77777777" w:rsidTr="006F034C">
        <w:trPr>
          <w:cantSplit/>
          <w:trHeight w:val="362"/>
        </w:trPr>
        <w:tc>
          <w:tcPr>
            <w:tcW w:w="3507" w:type="dxa"/>
            <w:tcBorders>
              <w:top w:val="nil"/>
              <w:left w:val="nil"/>
              <w:bottom w:val="nil"/>
              <w:right w:val="nil"/>
            </w:tcBorders>
          </w:tcPr>
          <w:p w14:paraId="7DFFF591" w14:textId="77777777" w:rsidR="00E50AC7" w:rsidRPr="00701945" w:rsidRDefault="00426653" w:rsidP="006F034C">
            <w:pPr>
              <w:jc w:val="both"/>
            </w:pPr>
            <w:r>
              <w:t>Mark Campbell</w:t>
            </w:r>
          </w:p>
        </w:tc>
        <w:tc>
          <w:tcPr>
            <w:tcW w:w="2511" w:type="dxa"/>
            <w:tcBorders>
              <w:top w:val="nil"/>
              <w:left w:val="nil"/>
              <w:bottom w:val="nil"/>
              <w:right w:val="nil"/>
            </w:tcBorders>
          </w:tcPr>
          <w:p w14:paraId="5F7CAE04" w14:textId="77777777" w:rsidR="00E50AC7" w:rsidRPr="00701945" w:rsidRDefault="00352EBA" w:rsidP="006F034C">
            <w:pPr>
              <w:jc w:val="center"/>
            </w:pPr>
            <w:r>
              <w:t>FCG</w:t>
            </w:r>
          </w:p>
        </w:tc>
        <w:tc>
          <w:tcPr>
            <w:tcW w:w="3546" w:type="dxa"/>
            <w:tcBorders>
              <w:top w:val="nil"/>
              <w:left w:val="nil"/>
              <w:bottom w:val="nil"/>
              <w:right w:val="nil"/>
            </w:tcBorders>
          </w:tcPr>
          <w:p w14:paraId="4D2CB07C" w14:textId="718B994F" w:rsidR="00E50AC7" w:rsidRPr="00701945" w:rsidRDefault="00426653" w:rsidP="006F034C">
            <w:r>
              <w:t xml:space="preserve">1-3, 5-8, </w:t>
            </w:r>
            <w:r w:rsidR="008A57BB">
              <w:t>12-13</w:t>
            </w:r>
            <w:r>
              <w:t xml:space="preserve">, </w:t>
            </w:r>
            <w:r w:rsidR="008A57BB">
              <w:t>16-17</w:t>
            </w:r>
            <w:r>
              <w:t xml:space="preserve">, </w:t>
            </w:r>
            <w:r w:rsidR="008A57BB">
              <w:t>20</w:t>
            </w:r>
            <w:r>
              <w:t xml:space="preserve">, </w:t>
            </w:r>
            <w:r w:rsidR="008A57BB">
              <w:t>22-29</w:t>
            </w:r>
            <w:r>
              <w:t xml:space="preserve">, </w:t>
            </w:r>
            <w:r w:rsidR="008A57BB">
              <w:t>35</w:t>
            </w:r>
            <w:r>
              <w:t>, 40, 44-46, 48-49, 52, 54-55, 67-68, 71</w:t>
            </w:r>
          </w:p>
        </w:tc>
      </w:tr>
      <w:tr w:rsidR="00895480" w:rsidRPr="00701945" w14:paraId="5E5ADA74" w14:textId="77777777" w:rsidTr="006F034C">
        <w:trPr>
          <w:cantSplit/>
          <w:trHeight w:val="362"/>
        </w:trPr>
        <w:tc>
          <w:tcPr>
            <w:tcW w:w="3507" w:type="dxa"/>
            <w:tcBorders>
              <w:top w:val="nil"/>
              <w:left w:val="nil"/>
              <w:bottom w:val="nil"/>
              <w:right w:val="nil"/>
            </w:tcBorders>
          </w:tcPr>
          <w:p w14:paraId="073E8D45" w14:textId="77777777" w:rsidR="00895480" w:rsidRPr="00701945" w:rsidRDefault="00895480" w:rsidP="00895480">
            <w:pPr>
              <w:jc w:val="both"/>
            </w:pPr>
            <w:r>
              <w:t>Ned W. Allis</w:t>
            </w:r>
          </w:p>
        </w:tc>
        <w:tc>
          <w:tcPr>
            <w:tcW w:w="2511" w:type="dxa"/>
            <w:tcBorders>
              <w:top w:val="nil"/>
              <w:left w:val="nil"/>
              <w:bottom w:val="nil"/>
              <w:right w:val="nil"/>
            </w:tcBorders>
          </w:tcPr>
          <w:p w14:paraId="05BE3589" w14:textId="77777777" w:rsidR="00895480" w:rsidRPr="00701945" w:rsidRDefault="00895480" w:rsidP="00895480">
            <w:pPr>
              <w:jc w:val="center"/>
            </w:pPr>
            <w:r>
              <w:t>FCG</w:t>
            </w:r>
          </w:p>
        </w:tc>
        <w:tc>
          <w:tcPr>
            <w:tcW w:w="3546" w:type="dxa"/>
            <w:tcBorders>
              <w:top w:val="nil"/>
              <w:left w:val="nil"/>
              <w:bottom w:val="nil"/>
              <w:right w:val="nil"/>
            </w:tcBorders>
          </w:tcPr>
          <w:p w14:paraId="6D187559" w14:textId="77777777" w:rsidR="00895480" w:rsidRPr="00701945" w:rsidRDefault="00895480" w:rsidP="00895480">
            <w:r>
              <w:t>5, 7-8</w:t>
            </w:r>
          </w:p>
        </w:tc>
      </w:tr>
      <w:tr w:rsidR="00895480" w:rsidRPr="00701945" w14:paraId="4BEFD457" w14:textId="77777777" w:rsidTr="00895480">
        <w:trPr>
          <w:cantSplit/>
          <w:trHeight w:val="362"/>
        </w:trPr>
        <w:tc>
          <w:tcPr>
            <w:tcW w:w="3507" w:type="dxa"/>
            <w:tcBorders>
              <w:top w:val="nil"/>
              <w:left w:val="nil"/>
              <w:bottom w:val="nil"/>
              <w:right w:val="nil"/>
            </w:tcBorders>
          </w:tcPr>
          <w:p w14:paraId="5E7B8F8C" w14:textId="77777777" w:rsidR="00895480" w:rsidRPr="00701945" w:rsidRDefault="00895480" w:rsidP="00895480">
            <w:pPr>
              <w:jc w:val="both"/>
            </w:pPr>
            <w:r>
              <w:t>Jennifer E. Nelson</w:t>
            </w:r>
          </w:p>
        </w:tc>
        <w:tc>
          <w:tcPr>
            <w:tcW w:w="2511" w:type="dxa"/>
            <w:tcBorders>
              <w:top w:val="nil"/>
              <w:left w:val="nil"/>
              <w:bottom w:val="nil"/>
              <w:right w:val="nil"/>
            </w:tcBorders>
          </w:tcPr>
          <w:p w14:paraId="453ECDEB" w14:textId="77777777" w:rsidR="00895480" w:rsidRPr="00701945" w:rsidRDefault="00895480" w:rsidP="00895480">
            <w:pPr>
              <w:jc w:val="center"/>
            </w:pPr>
            <w:r>
              <w:t>FCG</w:t>
            </w:r>
          </w:p>
        </w:tc>
        <w:tc>
          <w:tcPr>
            <w:tcW w:w="3546" w:type="dxa"/>
            <w:tcBorders>
              <w:top w:val="nil"/>
              <w:left w:val="nil"/>
              <w:bottom w:val="nil"/>
              <w:right w:val="nil"/>
            </w:tcBorders>
          </w:tcPr>
          <w:p w14:paraId="156E84F8" w14:textId="138563F6" w:rsidR="00895480" w:rsidRPr="00701945" w:rsidRDefault="008A57BB" w:rsidP="00895480">
            <w:r>
              <w:t>28-29</w:t>
            </w:r>
          </w:p>
        </w:tc>
      </w:tr>
      <w:tr w:rsidR="00895480" w:rsidRPr="00701945" w14:paraId="3CEF458C" w14:textId="77777777" w:rsidTr="006F034C">
        <w:trPr>
          <w:cantSplit/>
          <w:trHeight w:val="362"/>
        </w:trPr>
        <w:tc>
          <w:tcPr>
            <w:tcW w:w="3507" w:type="dxa"/>
            <w:tcBorders>
              <w:top w:val="nil"/>
              <w:left w:val="nil"/>
              <w:bottom w:val="nil"/>
              <w:right w:val="nil"/>
            </w:tcBorders>
          </w:tcPr>
          <w:p w14:paraId="4AB1FAED" w14:textId="77777777" w:rsidR="00895480" w:rsidRPr="00701945" w:rsidRDefault="00895480" w:rsidP="00895480">
            <w:pPr>
              <w:jc w:val="both"/>
            </w:pPr>
            <w:r>
              <w:t>Liz Fuentes</w:t>
            </w:r>
          </w:p>
        </w:tc>
        <w:tc>
          <w:tcPr>
            <w:tcW w:w="2511" w:type="dxa"/>
            <w:tcBorders>
              <w:top w:val="nil"/>
              <w:left w:val="nil"/>
              <w:bottom w:val="nil"/>
              <w:right w:val="nil"/>
            </w:tcBorders>
          </w:tcPr>
          <w:p w14:paraId="28F43077" w14:textId="77777777" w:rsidR="00895480" w:rsidRPr="00701945" w:rsidRDefault="00895480" w:rsidP="00895480">
            <w:pPr>
              <w:jc w:val="center"/>
            </w:pPr>
            <w:r>
              <w:t>FCG</w:t>
            </w:r>
          </w:p>
        </w:tc>
        <w:tc>
          <w:tcPr>
            <w:tcW w:w="3546" w:type="dxa"/>
            <w:tcBorders>
              <w:top w:val="nil"/>
              <w:left w:val="nil"/>
              <w:bottom w:val="nil"/>
              <w:right w:val="nil"/>
            </w:tcBorders>
          </w:tcPr>
          <w:p w14:paraId="3AF3FAF4" w14:textId="7569A125" w:rsidR="00895480" w:rsidRPr="00701945" w:rsidRDefault="00895480" w:rsidP="00895480">
            <w:r>
              <w:t xml:space="preserve">5-9, </w:t>
            </w:r>
            <w:r w:rsidR="008A57BB">
              <w:t>10</w:t>
            </w:r>
            <w:r>
              <w:t xml:space="preserve">, </w:t>
            </w:r>
            <w:r w:rsidR="008A57BB">
              <w:t>13-27</w:t>
            </w:r>
            <w:r>
              <w:t xml:space="preserve">, </w:t>
            </w:r>
            <w:r w:rsidR="008A57BB">
              <w:t>30-37</w:t>
            </w:r>
            <w:r>
              <w:t xml:space="preserve">, </w:t>
            </w:r>
            <w:r w:rsidR="008A57BB">
              <w:t xml:space="preserve">39, </w:t>
            </w:r>
            <w:r>
              <w:t>40, 47, 50-57, 67, 72</w:t>
            </w:r>
          </w:p>
        </w:tc>
      </w:tr>
      <w:tr w:rsidR="00895480" w:rsidRPr="00701945" w14:paraId="17DFF7D8" w14:textId="77777777" w:rsidTr="006F034C">
        <w:trPr>
          <w:cantSplit/>
          <w:trHeight w:val="362"/>
        </w:trPr>
        <w:tc>
          <w:tcPr>
            <w:tcW w:w="3507" w:type="dxa"/>
            <w:tcBorders>
              <w:top w:val="nil"/>
              <w:left w:val="nil"/>
              <w:bottom w:val="nil"/>
              <w:right w:val="nil"/>
            </w:tcBorders>
          </w:tcPr>
          <w:p w14:paraId="424BDCB5" w14:textId="77777777" w:rsidR="00895480" w:rsidRPr="004024FD" w:rsidRDefault="00895480" w:rsidP="00895480">
            <w:pPr>
              <w:jc w:val="both"/>
              <w:rPr>
                <w:i/>
              </w:rPr>
            </w:pPr>
            <w:r w:rsidRPr="004024FD">
              <w:rPr>
                <w:i/>
              </w:rPr>
              <w:t>Tara B. DuBose</w:t>
            </w:r>
          </w:p>
        </w:tc>
        <w:tc>
          <w:tcPr>
            <w:tcW w:w="2511" w:type="dxa"/>
            <w:tcBorders>
              <w:top w:val="nil"/>
              <w:left w:val="nil"/>
              <w:bottom w:val="nil"/>
              <w:right w:val="nil"/>
            </w:tcBorders>
          </w:tcPr>
          <w:p w14:paraId="735EE537" w14:textId="77777777" w:rsidR="00895480" w:rsidRPr="00701945" w:rsidRDefault="00895480" w:rsidP="00895480">
            <w:pPr>
              <w:jc w:val="center"/>
            </w:pPr>
            <w:r>
              <w:t>FCG</w:t>
            </w:r>
          </w:p>
        </w:tc>
        <w:tc>
          <w:tcPr>
            <w:tcW w:w="3546" w:type="dxa"/>
            <w:tcBorders>
              <w:top w:val="nil"/>
              <w:left w:val="nil"/>
              <w:bottom w:val="nil"/>
              <w:right w:val="nil"/>
            </w:tcBorders>
          </w:tcPr>
          <w:p w14:paraId="1A8C6A8A" w14:textId="7057F456" w:rsidR="00895480" w:rsidRPr="00701945" w:rsidRDefault="008A57BB" w:rsidP="00895480">
            <w:r>
              <w:t>35</w:t>
            </w:r>
            <w:r w:rsidR="00895480">
              <w:t>, 58-66</w:t>
            </w:r>
          </w:p>
        </w:tc>
      </w:tr>
      <w:tr w:rsidR="00895480" w:rsidRPr="00701945" w14:paraId="11D40AB0" w14:textId="77777777" w:rsidTr="006F034C">
        <w:trPr>
          <w:cantSplit/>
          <w:trHeight w:val="362"/>
        </w:trPr>
        <w:tc>
          <w:tcPr>
            <w:tcW w:w="3507" w:type="dxa"/>
            <w:tcBorders>
              <w:top w:val="nil"/>
              <w:left w:val="nil"/>
              <w:bottom w:val="nil"/>
              <w:right w:val="nil"/>
            </w:tcBorders>
          </w:tcPr>
          <w:p w14:paraId="0633C66E" w14:textId="032AE1BB" w:rsidR="00895480" w:rsidRPr="00701945" w:rsidRDefault="00895480" w:rsidP="00895480">
            <w:pPr>
              <w:jc w:val="both"/>
            </w:pPr>
            <w:r w:rsidRPr="00D87232">
              <w:rPr>
                <w:bCs/>
              </w:rPr>
              <w:t>Helmuth</w:t>
            </w:r>
            <w:r>
              <w:rPr>
                <w:bCs/>
              </w:rPr>
              <w:t xml:space="preserve"> W. </w:t>
            </w:r>
            <w:r w:rsidRPr="00D87232">
              <w:rPr>
                <w:bCs/>
              </w:rPr>
              <w:t xml:space="preserve"> Schultz</w:t>
            </w:r>
            <w:r>
              <w:rPr>
                <w:bCs/>
              </w:rPr>
              <w:t>, III</w:t>
            </w:r>
            <w:r w:rsidR="00476A39">
              <w:rPr>
                <w:rStyle w:val="FootnoteReference"/>
                <w:bCs/>
              </w:rPr>
              <w:footnoteReference w:id="2"/>
            </w:r>
          </w:p>
        </w:tc>
        <w:tc>
          <w:tcPr>
            <w:tcW w:w="2511" w:type="dxa"/>
            <w:tcBorders>
              <w:top w:val="nil"/>
              <w:left w:val="nil"/>
              <w:bottom w:val="nil"/>
              <w:right w:val="nil"/>
            </w:tcBorders>
          </w:tcPr>
          <w:p w14:paraId="0B501CD7" w14:textId="77777777" w:rsidR="00895480" w:rsidRPr="00701945" w:rsidRDefault="00895480" w:rsidP="00895480">
            <w:pPr>
              <w:jc w:val="center"/>
            </w:pPr>
            <w:r>
              <w:t>OPC</w:t>
            </w:r>
          </w:p>
        </w:tc>
        <w:tc>
          <w:tcPr>
            <w:tcW w:w="3546" w:type="dxa"/>
            <w:tcBorders>
              <w:top w:val="nil"/>
              <w:left w:val="nil"/>
              <w:bottom w:val="nil"/>
              <w:right w:val="nil"/>
            </w:tcBorders>
          </w:tcPr>
          <w:p w14:paraId="1B6F2466" w14:textId="58D50369" w:rsidR="00895480" w:rsidRPr="00701945" w:rsidRDefault="00895480" w:rsidP="00895480">
            <w:r w:rsidRPr="00C7176B">
              <w:rPr>
                <w:bCs/>
              </w:rPr>
              <w:t xml:space="preserve">1, 6, </w:t>
            </w:r>
            <w:r w:rsidR="008A57BB">
              <w:rPr>
                <w:bCs/>
              </w:rPr>
              <w:t>11-13</w:t>
            </w:r>
            <w:r w:rsidRPr="00C7176B">
              <w:rPr>
                <w:bCs/>
              </w:rPr>
              <w:t xml:space="preserve">, </w:t>
            </w:r>
            <w:r w:rsidR="008A57BB">
              <w:rPr>
                <w:bCs/>
              </w:rPr>
              <w:t>15</w:t>
            </w:r>
            <w:r w:rsidRPr="00C7176B">
              <w:rPr>
                <w:bCs/>
              </w:rPr>
              <w:t xml:space="preserve">, </w:t>
            </w:r>
            <w:r w:rsidR="008A57BB">
              <w:rPr>
                <w:bCs/>
              </w:rPr>
              <w:t>17</w:t>
            </w:r>
            <w:r w:rsidRPr="00C7176B">
              <w:rPr>
                <w:bCs/>
              </w:rPr>
              <w:t xml:space="preserve">, </w:t>
            </w:r>
            <w:r w:rsidR="008A57BB">
              <w:rPr>
                <w:bCs/>
              </w:rPr>
              <w:t>22-24</w:t>
            </w:r>
            <w:r w:rsidRPr="00C7176B">
              <w:rPr>
                <w:bCs/>
              </w:rPr>
              <w:t>,</w:t>
            </w:r>
            <w:r>
              <w:rPr>
                <w:bCs/>
              </w:rPr>
              <w:t xml:space="preserve"> </w:t>
            </w:r>
            <w:r w:rsidR="008A57BB">
              <w:rPr>
                <w:bCs/>
              </w:rPr>
              <w:t>31</w:t>
            </w:r>
            <w:r w:rsidRPr="00C7176B">
              <w:rPr>
                <w:bCs/>
              </w:rPr>
              <w:t xml:space="preserve">, </w:t>
            </w:r>
            <w:r w:rsidR="008A57BB">
              <w:rPr>
                <w:bCs/>
              </w:rPr>
              <w:t>38</w:t>
            </w:r>
            <w:r w:rsidRPr="00C7176B">
              <w:rPr>
                <w:bCs/>
              </w:rPr>
              <w:t>-42, 45-55, 57, 67, 77</w:t>
            </w:r>
          </w:p>
        </w:tc>
      </w:tr>
      <w:tr w:rsidR="00895480" w:rsidRPr="00701945" w14:paraId="111AE6F3" w14:textId="77777777" w:rsidTr="006F034C">
        <w:trPr>
          <w:cantSplit/>
          <w:trHeight w:val="362"/>
        </w:trPr>
        <w:tc>
          <w:tcPr>
            <w:tcW w:w="3507" w:type="dxa"/>
            <w:tcBorders>
              <w:top w:val="nil"/>
              <w:left w:val="nil"/>
              <w:bottom w:val="nil"/>
              <w:right w:val="nil"/>
            </w:tcBorders>
          </w:tcPr>
          <w:p w14:paraId="0EAACD2B" w14:textId="77777777" w:rsidR="00895480" w:rsidRPr="00D87232" w:rsidRDefault="00895480" w:rsidP="00895480">
            <w:pPr>
              <w:tabs>
                <w:tab w:val="left" w:pos="720"/>
              </w:tabs>
              <w:autoSpaceDE w:val="0"/>
              <w:autoSpaceDN w:val="0"/>
              <w:adjustRightInd w:val="0"/>
              <w:rPr>
                <w:bCs/>
              </w:rPr>
            </w:pPr>
            <w:r w:rsidRPr="00D87232">
              <w:rPr>
                <w:bCs/>
              </w:rPr>
              <w:t xml:space="preserve">David </w:t>
            </w:r>
            <w:r>
              <w:rPr>
                <w:bCs/>
              </w:rPr>
              <w:t xml:space="preserve">J. </w:t>
            </w:r>
            <w:r w:rsidRPr="00D87232">
              <w:rPr>
                <w:bCs/>
              </w:rPr>
              <w:t>Garrett</w:t>
            </w:r>
          </w:p>
        </w:tc>
        <w:tc>
          <w:tcPr>
            <w:tcW w:w="2511" w:type="dxa"/>
            <w:tcBorders>
              <w:top w:val="nil"/>
              <w:left w:val="nil"/>
              <w:bottom w:val="nil"/>
              <w:right w:val="nil"/>
            </w:tcBorders>
          </w:tcPr>
          <w:p w14:paraId="498DAC2F" w14:textId="77777777" w:rsidR="00895480" w:rsidRPr="00701945" w:rsidRDefault="00895480" w:rsidP="00895480">
            <w:pPr>
              <w:jc w:val="center"/>
            </w:pPr>
            <w:r>
              <w:t>OPC</w:t>
            </w:r>
          </w:p>
        </w:tc>
        <w:tc>
          <w:tcPr>
            <w:tcW w:w="3546" w:type="dxa"/>
            <w:tcBorders>
              <w:top w:val="nil"/>
              <w:left w:val="nil"/>
              <w:bottom w:val="nil"/>
              <w:right w:val="nil"/>
            </w:tcBorders>
          </w:tcPr>
          <w:p w14:paraId="5B135E70" w14:textId="3DC38C7E" w:rsidR="00895480" w:rsidRPr="00D87232" w:rsidRDefault="00895480" w:rsidP="00895480">
            <w:pPr>
              <w:tabs>
                <w:tab w:val="left" w:pos="720"/>
              </w:tabs>
              <w:autoSpaceDE w:val="0"/>
              <w:autoSpaceDN w:val="0"/>
              <w:adjustRightInd w:val="0"/>
              <w:rPr>
                <w:bCs/>
                <w:highlight w:val="yellow"/>
              </w:rPr>
            </w:pPr>
            <w:r w:rsidRPr="00C7176B">
              <w:rPr>
                <w:bCs/>
              </w:rPr>
              <w:t>5-</w:t>
            </w:r>
            <w:r w:rsidR="008A57BB">
              <w:rPr>
                <w:bCs/>
              </w:rPr>
              <w:t>9</w:t>
            </w:r>
            <w:r w:rsidRPr="00C7176B">
              <w:rPr>
                <w:bCs/>
              </w:rPr>
              <w:t xml:space="preserve">, </w:t>
            </w:r>
            <w:r w:rsidR="008A57BB">
              <w:rPr>
                <w:bCs/>
              </w:rPr>
              <w:t>24-29</w:t>
            </w:r>
            <w:r w:rsidRPr="00C7176B">
              <w:rPr>
                <w:bCs/>
              </w:rPr>
              <w:t xml:space="preserve">, </w:t>
            </w:r>
            <w:r w:rsidR="008A57BB">
              <w:rPr>
                <w:bCs/>
              </w:rPr>
              <w:t>31</w:t>
            </w:r>
            <w:r w:rsidRPr="00C7176B">
              <w:rPr>
                <w:bCs/>
              </w:rPr>
              <w:t>, 51</w:t>
            </w:r>
          </w:p>
        </w:tc>
      </w:tr>
      <w:tr w:rsidR="00895480" w:rsidRPr="00701945" w14:paraId="5D55E5B9" w14:textId="77777777" w:rsidTr="006F034C">
        <w:trPr>
          <w:cantSplit/>
          <w:trHeight w:val="362"/>
        </w:trPr>
        <w:tc>
          <w:tcPr>
            <w:tcW w:w="3507" w:type="dxa"/>
            <w:tcBorders>
              <w:top w:val="nil"/>
              <w:left w:val="nil"/>
              <w:bottom w:val="nil"/>
              <w:right w:val="nil"/>
            </w:tcBorders>
          </w:tcPr>
          <w:p w14:paraId="501AC035" w14:textId="77777777" w:rsidR="00895480" w:rsidRPr="00102C52" w:rsidRDefault="00895480" w:rsidP="00895480">
            <w:pPr>
              <w:tabs>
                <w:tab w:val="left" w:pos="720"/>
              </w:tabs>
              <w:rPr>
                <w:bCs/>
              </w:rPr>
            </w:pPr>
            <w:r w:rsidRPr="00102C52">
              <w:rPr>
                <w:bCs/>
              </w:rPr>
              <w:t>Christopher C. Walters</w:t>
            </w:r>
          </w:p>
        </w:tc>
        <w:tc>
          <w:tcPr>
            <w:tcW w:w="2511" w:type="dxa"/>
            <w:tcBorders>
              <w:top w:val="nil"/>
              <w:left w:val="nil"/>
              <w:bottom w:val="nil"/>
              <w:right w:val="nil"/>
            </w:tcBorders>
          </w:tcPr>
          <w:p w14:paraId="2D4C997B" w14:textId="77777777" w:rsidR="00895480" w:rsidRPr="00701945" w:rsidRDefault="00895480" w:rsidP="00895480">
            <w:pPr>
              <w:jc w:val="center"/>
            </w:pPr>
            <w:r>
              <w:t>FEA</w:t>
            </w:r>
          </w:p>
        </w:tc>
        <w:tc>
          <w:tcPr>
            <w:tcW w:w="3546" w:type="dxa"/>
            <w:tcBorders>
              <w:top w:val="nil"/>
              <w:left w:val="nil"/>
              <w:bottom w:val="nil"/>
              <w:right w:val="nil"/>
            </w:tcBorders>
          </w:tcPr>
          <w:p w14:paraId="6EA8D08F" w14:textId="11F180FD" w:rsidR="00895480" w:rsidRPr="00701945" w:rsidRDefault="008A57BB" w:rsidP="00895480">
            <w:r>
              <w:rPr>
                <w:bCs/>
              </w:rPr>
              <w:t>28, 29, 31</w:t>
            </w:r>
          </w:p>
        </w:tc>
      </w:tr>
      <w:tr w:rsidR="00895480" w:rsidRPr="00701945" w14:paraId="7FA48B72" w14:textId="77777777" w:rsidTr="006F034C">
        <w:trPr>
          <w:cantSplit/>
          <w:trHeight w:val="362"/>
        </w:trPr>
        <w:tc>
          <w:tcPr>
            <w:tcW w:w="3507" w:type="dxa"/>
            <w:tcBorders>
              <w:top w:val="nil"/>
              <w:left w:val="nil"/>
              <w:bottom w:val="nil"/>
              <w:right w:val="nil"/>
            </w:tcBorders>
          </w:tcPr>
          <w:p w14:paraId="435ADA13" w14:textId="77777777" w:rsidR="00895480" w:rsidRPr="004024FD" w:rsidRDefault="00895480" w:rsidP="00895480">
            <w:pPr>
              <w:tabs>
                <w:tab w:val="left" w:pos="720"/>
              </w:tabs>
              <w:rPr>
                <w:bCs/>
                <w:i/>
              </w:rPr>
            </w:pPr>
            <w:r w:rsidRPr="004024FD">
              <w:rPr>
                <w:bCs/>
                <w:i/>
              </w:rPr>
              <w:t>Brian C. Collins</w:t>
            </w:r>
          </w:p>
        </w:tc>
        <w:tc>
          <w:tcPr>
            <w:tcW w:w="2511" w:type="dxa"/>
            <w:tcBorders>
              <w:top w:val="nil"/>
              <w:left w:val="nil"/>
              <w:bottom w:val="nil"/>
              <w:right w:val="nil"/>
            </w:tcBorders>
          </w:tcPr>
          <w:p w14:paraId="0F6CEC03" w14:textId="77777777" w:rsidR="00895480" w:rsidRPr="00701945" w:rsidRDefault="00895480" w:rsidP="00895480">
            <w:pPr>
              <w:jc w:val="center"/>
            </w:pPr>
            <w:r>
              <w:t>FEA</w:t>
            </w:r>
          </w:p>
        </w:tc>
        <w:tc>
          <w:tcPr>
            <w:tcW w:w="3546" w:type="dxa"/>
            <w:tcBorders>
              <w:top w:val="nil"/>
              <w:left w:val="nil"/>
              <w:bottom w:val="nil"/>
              <w:right w:val="nil"/>
            </w:tcBorders>
          </w:tcPr>
          <w:p w14:paraId="60A6F226" w14:textId="77777777" w:rsidR="00895480" w:rsidRPr="009D4299" w:rsidRDefault="00895480" w:rsidP="00895480">
            <w:pPr>
              <w:rPr>
                <w:bCs/>
              </w:rPr>
            </w:pPr>
            <w:r w:rsidRPr="00102C52">
              <w:rPr>
                <w:bCs/>
              </w:rPr>
              <w:t>47, 58, 59, 67</w:t>
            </w:r>
          </w:p>
        </w:tc>
      </w:tr>
      <w:tr w:rsidR="00895480" w:rsidRPr="00701945" w14:paraId="79B268BB" w14:textId="77777777" w:rsidTr="006F034C">
        <w:trPr>
          <w:cantSplit/>
          <w:trHeight w:val="362"/>
        </w:trPr>
        <w:tc>
          <w:tcPr>
            <w:tcW w:w="3507" w:type="dxa"/>
            <w:tcBorders>
              <w:top w:val="nil"/>
              <w:left w:val="nil"/>
              <w:bottom w:val="nil"/>
              <w:right w:val="nil"/>
            </w:tcBorders>
          </w:tcPr>
          <w:p w14:paraId="668686FA" w14:textId="77777777" w:rsidR="00895480" w:rsidRPr="004024FD" w:rsidRDefault="00895480" w:rsidP="00895480">
            <w:pPr>
              <w:jc w:val="both"/>
              <w:rPr>
                <w:i/>
              </w:rPr>
            </w:pPr>
            <w:r w:rsidRPr="004024FD">
              <w:rPr>
                <w:i/>
              </w:rPr>
              <w:t>Angela L. Calhoun</w:t>
            </w:r>
          </w:p>
        </w:tc>
        <w:tc>
          <w:tcPr>
            <w:tcW w:w="2511" w:type="dxa"/>
            <w:tcBorders>
              <w:top w:val="nil"/>
              <w:left w:val="nil"/>
              <w:bottom w:val="nil"/>
              <w:right w:val="nil"/>
            </w:tcBorders>
          </w:tcPr>
          <w:p w14:paraId="51F51AAF" w14:textId="77777777" w:rsidR="00895480" w:rsidRPr="00701945" w:rsidRDefault="00895480" w:rsidP="00895480">
            <w:pPr>
              <w:jc w:val="center"/>
            </w:pPr>
            <w:r>
              <w:t>STAFF</w:t>
            </w:r>
          </w:p>
        </w:tc>
        <w:tc>
          <w:tcPr>
            <w:tcW w:w="3546" w:type="dxa"/>
            <w:tcBorders>
              <w:top w:val="nil"/>
              <w:left w:val="nil"/>
              <w:bottom w:val="nil"/>
              <w:right w:val="nil"/>
            </w:tcBorders>
          </w:tcPr>
          <w:p w14:paraId="430D7AB3" w14:textId="77777777" w:rsidR="00895480" w:rsidRDefault="00895480" w:rsidP="00895480">
            <w:r>
              <w:t>4</w:t>
            </w:r>
          </w:p>
          <w:p w14:paraId="7728F7AC" w14:textId="77777777" w:rsidR="00895480" w:rsidRPr="00701945" w:rsidRDefault="00895480" w:rsidP="00895480"/>
        </w:tc>
      </w:tr>
      <w:tr w:rsidR="00895480" w:rsidRPr="00701945" w14:paraId="30E4E3F5" w14:textId="77777777" w:rsidTr="006F034C">
        <w:trPr>
          <w:cantSplit/>
          <w:trHeight w:val="382"/>
        </w:trPr>
        <w:tc>
          <w:tcPr>
            <w:tcW w:w="3507" w:type="dxa"/>
            <w:tcBorders>
              <w:top w:val="nil"/>
              <w:left w:val="nil"/>
              <w:bottom w:val="nil"/>
              <w:right w:val="nil"/>
            </w:tcBorders>
          </w:tcPr>
          <w:p w14:paraId="4C68D9D3" w14:textId="77777777" w:rsidR="00895480" w:rsidRPr="00701945" w:rsidRDefault="00895480" w:rsidP="00895480">
            <w:pPr>
              <w:jc w:val="both"/>
            </w:pPr>
            <w:r w:rsidRPr="00701945">
              <w:tab/>
            </w:r>
            <w:r w:rsidRPr="00701945">
              <w:rPr>
                <w:u w:val="single"/>
              </w:rPr>
              <w:t>Rebuttal</w:t>
            </w:r>
          </w:p>
        </w:tc>
        <w:tc>
          <w:tcPr>
            <w:tcW w:w="2511" w:type="dxa"/>
            <w:tcBorders>
              <w:top w:val="nil"/>
              <w:left w:val="nil"/>
              <w:bottom w:val="nil"/>
              <w:right w:val="nil"/>
            </w:tcBorders>
          </w:tcPr>
          <w:p w14:paraId="6D795249" w14:textId="77777777" w:rsidR="00895480" w:rsidRPr="00701945" w:rsidRDefault="00895480" w:rsidP="00895480">
            <w:pPr>
              <w:jc w:val="center"/>
            </w:pPr>
          </w:p>
        </w:tc>
        <w:tc>
          <w:tcPr>
            <w:tcW w:w="3546" w:type="dxa"/>
            <w:tcBorders>
              <w:top w:val="nil"/>
              <w:left w:val="nil"/>
              <w:bottom w:val="nil"/>
              <w:right w:val="nil"/>
            </w:tcBorders>
          </w:tcPr>
          <w:p w14:paraId="6256A42B" w14:textId="77777777" w:rsidR="00895480" w:rsidRPr="00701945" w:rsidRDefault="00895480" w:rsidP="00895480"/>
        </w:tc>
      </w:tr>
      <w:tr w:rsidR="00895480" w:rsidRPr="00701945" w14:paraId="6889B22C" w14:textId="77777777" w:rsidTr="006F034C">
        <w:trPr>
          <w:cantSplit/>
          <w:trHeight w:val="362"/>
        </w:trPr>
        <w:tc>
          <w:tcPr>
            <w:tcW w:w="3507" w:type="dxa"/>
            <w:tcBorders>
              <w:top w:val="nil"/>
              <w:left w:val="nil"/>
              <w:bottom w:val="nil"/>
              <w:right w:val="nil"/>
            </w:tcBorders>
          </w:tcPr>
          <w:p w14:paraId="5809FBC7" w14:textId="77777777" w:rsidR="00895480" w:rsidRPr="00701945" w:rsidRDefault="00895480" w:rsidP="00895480">
            <w:pPr>
              <w:jc w:val="both"/>
            </w:pPr>
            <w:r>
              <w:t>Kurt S. Howard</w:t>
            </w:r>
          </w:p>
        </w:tc>
        <w:tc>
          <w:tcPr>
            <w:tcW w:w="2511" w:type="dxa"/>
            <w:tcBorders>
              <w:top w:val="nil"/>
              <w:left w:val="nil"/>
              <w:bottom w:val="nil"/>
              <w:right w:val="nil"/>
            </w:tcBorders>
          </w:tcPr>
          <w:p w14:paraId="120CEFF7" w14:textId="77777777" w:rsidR="00895480" w:rsidRPr="00701945" w:rsidRDefault="00895480" w:rsidP="00895480">
            <w:pPr>
              <w:jc w:val="center"/>
            </w:pPr>
            <w:r>
              <w:t>FCG</w:t>
            </w:r>
          </w:p>
        </w:tc>
        <w:tc>
          <w:tcPr>
            <w:tcW w:w="3546" w:type="dxa"/>
            <w:tcBorders>
              <w:top w:val="nil"/>
              <w:left w:val="nil"/>
              <w:bottom w:val="nil"/>
              <w:right w:val="nil"/>
            </w:tcBorders>
          </w:tcPr>
          <w:p w14:paraId="155E9513" w14:textId="61859529" w:rsidR="00895480" w:rsidRPr="00701945" w:rsidRDefault="00895480" w:rsidP="00895480">
            <w:r>
              <w:t xml:space="preserve">4, </w:t>
            </w:r>
            <w:r w:rsidR="008A57BB">
              <w:t>11-13</w:t>
            </w:r>
            <w:r>
              <w:t xml:space="preserve">, </w:t>
            </w:r>
            <w:r w:rsidR="008A57BB">
              <w:t>38</w:t>
            </w:r>
            <w:r>
              <w:t>, 41, 42, 45, 71</w:t>
            </w:r>
          </w:p>
        </w:tc>
      </w:tr>
      <w:tr w:rsidR="00895480" w:rsidRPr="00701945" w14:paraId="7A52B980" w14:textId="77777777" w:rsidTr="006F034C">
        <w:trPr>
          <w:cantSplit/>
          <w:trHeight w:val="362"/>
        </w:trPr>
        <w:tc>
          <w:tcPr>
            <w:tcW w:w="3507" w:type="dxa"/>
            <w:tcBorders>
              <w:top w:val="nil"/>
              <w:left w:val="nil"/>
              <w:bottom w:val="nil"/>
              <w:right w:val="nil"/>
            </w:tcBorders>
          </w:tcPr>
          <w:p w14:paraId="05852BA3" w14:textId="77777777" w:rsidR="00895480" w:rsidRPr="00701945" w:rsidRDefault="00895480" w:rsidP="00895480">
            <w:pPr>
              <w:jc w:val="both"/>
            </w:pPr>
            <w:r>
              <w:t>Ned W. Allis</w:t>
            </w:r>
          </w:p>
        </w:tc>
        <w:tc>
          <w:tcPr>
            <w:tcW w:w="2511" w:type="dxa"/>
            <w:tcBorders>
              <w:top w:val="nil"/>
              <w:left w:val="nil"/>
              <w:bottom w:val="nil"/>
              <w:right w:val="nil"/>
            </w:tcBorders>
          </w:tcPr>
          <w:p w14:paraId="60E7C409" w14:textId="77777777" w:rsidR="00895480" w:rsidRPr="00701945" w:rsidRDefault="00895480" w:rsidP="00895480">
            <w:pPr>
              <w:jc w:val="center"/>
            </w:pPr>
            <w:r>
              <w:t>FCG</w:t>
            </w:r>
          </w:p>
        </w:tc>
        <w:tc>
          <w:tcPr>
            <w:tcW w:w="3546" w:type="dxa"/>
            <w:tcBorders>
              <w:top w:val="nil"/>
              <w:left w:val="nil"/>
              <w:bottom w:val="nil"/>
              <w:right w:val="nil"/>
            </w:tcBorders>
          </w:tcPr>
          <w:p w14:paraId="36587379" w14:textId="77777777" w:rsidR="00895480" w:rsidRPr="00701945" w:rsidRDefault="00895480" w:rsidP="00895480">
            <w:r>
              <w:t>5, 7-8</w:t>
            </w:r>
          </w:p>
        </w:tc>
      </w:tr>
      <w:tr w:rsidR="00895480" w:rsidRPr="00701945" w14:paraId="5069ED45" w14:textId="77777777" w:rsidTr="006F034C">
        <w:trPr>
          <w:cantSplit/>
          <w:trHeight w:val="362"/>
        </w:trPr>
        <w:tc>
          <w:tcPr>
            <w:tcW w:w="3507" w:type="dxa"/>
            <w:tcBorders>
              <w:top w:val="nil"/>
              <w:left w:val="nil"/>
              <w:bottom w:val="nil"/>
              <w:right w:val="nil"/>
            </w:tcBorders>
          </w:tcPr>
          <w:p w14:paraId="52A36DD1" w14:textId="77777777" w:rsidR="00895480" w:rsidRPr="00701945" w:rsidRDefault="00895480" w:rsidP="00895480">
            <w:pPr>
              <w:jc w:val="both"/>
            </w:pPr>
            <w:r>
              <w:t>Jennifer E. Nelson</w:t>
            </w:r>
          </w:p>
        </w:tc>
        <w:tc>
          <w:tcPr>
            <w:tcW w:w="2511" w:type="dxa"/>
            <w:tcBorders>
              <w:top w:val="nil"/>
              <w:left w:val="nil"/>
              <w:bottom w:val="nil"/>
              <w:right w:val="nil"/>
            </w:tcBorders>
          </w:tcPr>
          <w:p w14:paraId="62B8D0C0" w14:textId="77777777" w:rsidR="00895480" w:rsidRPr="00701945" w:rsidRDefault="00895480" w:rsidP="00895480">
            <w:pPr>
              <w:jc w:val="center"/>
            </w:pPr>
            <w:r>
              <w:t>FCG</w:t>
            </w:r>
          </w:p>
        </w:tc>
        <w:tc>
          <w:tcPr>
            <w:tcW w:w="3546" w:type="dxa"/>
            <w:tcBorders>
              <w:top w:val="nil"/>
              <w:left w:val="nil"/>
              <w:bottom w:val="nil"/>
              <w:right w:val="nil"/>
            </w:tcBorders>
          </w:tcPr>
          <w:p w14:paraId="672D502E" w14:textId="5CB83C81" w:rsidR="00895480" w:rsidRPr="00701945" w:rsidRDefault="008A57BB" w:rsidP="00895480">
            <w:r>
              <w:t>28-29</w:t>
            </w:r>
          </w:p>
        </w:tc>
      </w:tr>
      <w:tr w:rsidR="00895480" w:rsidRPr="00701945" w14:paraId="46899819" w14:textId="77777777" w:rsidTr="006F034C">
        <w:trPr>
          <w:cantSplit/>
          <w:trHeight w:val="362"/>
        </w:trPr>
        <w:tc>
          <w:tcPr>
            <w:tcW w:w="3507" w:type="dxa"/>
            <w:tcBorders>
              <w:top w:val="nil"/>
              <w:left w:val="nil"/>
              <w:bottom w:val="nil"/>
              <w:right w:val="nil"/>
            </w:tcBorders>
          </w:tcPr>
          <w:p w14:paraId="0AC053E0" w14:textId="77777777" w:rsidR="00895480" w:rsidRPr="00701945" w:rsidRDefault="00895480" w:rsidP="00895480">
            <w:pPr>
              <w:jc w:val="both"/>
            </w:pPr>
            <w:r>
              <w:t>Liz Fuentes</w:t>
            </w:r>
          </w:p>
        </w:tc>
        <w:tc>
          <w:tcPr>
            <w:tcW w:w="2511" w:type="dxa"/>
            <w:tcBorders>
              <w:top w:val="nil"/>
              <w:left w:val="nil"/>
              <w:bottom w:val="nil"/>
              <w:right w:val="nil"/>
            </w:tcBorders>
          </w:tcPr>
          <w:p w14:paraId="0F5E69C2" w14:textId="77777777" w:rsidR="00895480" w:rsidRPr="00701945" w:rsidRDefault="00895480" w:rsidP="00895480">
            <w:pPr>
              <w:jc w:val="center"/>
            </w:pPr>
            <w:r>
              <w:t>FCG</w:t>
            </w:r>
          </w:p>
        </w:tc>
        <w:tc>
          <w:tcPr>
            <w:tcW w:w="3546" w:type="dxa"/>
            <w:tcBorders>
              <w:top w:val="nil"/>
              <w:left w:val="nil"/>
              <w:bottom w:val="nil"/>
              <w:right w:val="nil"/>
            </w:tcBorders>
          </w:tcPr>
          <w:p w14:paraId="340BDF7D" w14:textId="16A42A08" w:rsidR="00895480" w:rsidRPr="00701945" w:rsidRDefault="008A57BB" w:rsidP="00895480">
            <w:r>
              <w:t>13</w:t>
            </w:r>
            <w:r w:rsidR="00895480">
              <w:t xml:space="preserve">, </w:t>
            </w:r>
            <w:r>
              <w:t>15</w:t>
            </w:r>
            <w:r w:rsidR="00895480">
              <w:t xml:space="preserve">, </w:t>
            </w:r>
            <w:r>
              <w:t>17</w:t>
            </w:r>
            <w:r w:rsidR="00895480">
              <w:t xml:space="preserve">, </w:t>
            </w:r>
            <w:r>
              <w:t>19</w:t>
            </w:r>
            <w:r w:rsidR="00895480">
              <w:t xml:space="preserve">, </w:t>
            </w:r>
            <w:r>
              <w:t>22-27</w:t>
            </w:r>
            <w:r w:rsidR="00895480">
              <w:t xml:space="preserve">, </w:t>
            </w:r>
            <w:r>
              <w:t>31</w:t>
            </w:r>
            <w:r w:rsidR="00895480">
              <w:t xml:space="preserve">, </w:t>
            </w:r>
            <w:r>
              <w:t>35-36</w:t>
            </w:r>
            <w:r w:rsidR="00895480">
              <w:t xml:space="preserve">, </w:t>
            </w:r>
            <w:r>
              <w:t xml:space="preserve">39, </w:t>
            </w:r>
            <w:r w:rsidR="00895480">
              <w:t>47, 50, 53-55, 57</w:t>
            </w:r>
          </w:p>
        </w:tc>
      </w:tr>
      <w:tr w:rsidR="00895480" w:rsidRPr="00701945" w14:paraId="2DA9AC36" w14:textId="77777777" w:rsidTr="006F034C">
        <w:trPr>
          <w:cantSplit/>
          <w:trHeight w:val="362"/>
        </w:trPr>
        <w:tc>
          <w:tcPr>
            <w:tcW w:w="3507" w:type="dxa"/>
            <w:tcBorders>
              <w:top w:val="nil"/>
              <w:left w:val="nil"/>
              <w:bottom w:val="nil"/>
              <w:right w:val="nil"/>
            </w:tcBorders>
          </w:tcPr>
          <w:p w14:paraId="279CE12F" w14:textId="77777777" w:rsidR="00895480" w:rsidRPr="00701945" w:rsidRDefault="00895480" w:rsidP="00895480">
            <w:pPr>
              <w:jc w:val="both"/>
            </w:pPr>
            <w:r>
              <w:t>Kathleen Slattery</w:t>
            </w:r>
          </w:p>
        </w:tc>
        <w:tc>
          <w:tcPr>
            <w:tcW w:w="2511" w:type="dxa"/>
            <w:tcBorders>
              <w:top w:val="nil"/>
              <w:left w:val="nil"/>
              <w:bottom w:val="nil"/>
              <w:right w:val="nil"/>
            </w:tcBorders>
          </w:tcPr>
          <w:p w14:paraId="48778358" w14:textId="77777777" w:rsidR="00895480" w:rsidRPr="00701945" w:rsidRDefault="00895480" w:rsidP="00895480">
            <w:pPr>
              <w:jc w:val="center"/>
            </w:pPr>
            <w:r>
              <w:t>FCG</w:t>
            </w:r>
          </w:p>
        </w:tc>
        <w:tc>
          <w:tcPr>
            <w:tcW w:w="3546" w:type="dxa"/>
            <w:tcBorders>
              <w:top w:val="nil"/>
              <w:left w:val="nil"/>
              <w:bottom w:val="nil"/>
              <w:right w:val="nil"/>
            </w:tcBorders>
          </w:tcPr>
          <w:p w14:paraId="2BF69472" w14:textId="7CCB242F" w:rsidR="00895480" w:rsidRPr="00701945" w:rsidRDefault="008A57BB" w:rsidP="00895480">
            <w:r>
              <w:t>20</w:t>
            </w:r>
            <w:r w:rsidR="00895480">
              <w:t xml:space="preserve">, </w:t>
            </w:r>
            <w:r>
              <w:t>38</w:t>
            </w:r>
            <w:r w:rsidR="00895480">
              <w:t xml:space="preserve">-40 </w:t>
            </w:r>
          </w:p>
        </w:tc>
      </w:tr>
      <w:tr w:rsidR="00895480" w:rsidRPr="00701945" w14:paraId="608FB93A" w14:textId="77777777" w:rsidTr="006F034C">
        <w:trPr>
          <w:cantSplit/>
          <w:trHeight w:val="362"/>
        </w:trPr>
        <w:tc>
          <w:tcPr>
            <w:tcW w:w="3507" w:type="dxa"/>
            <w:tcBorders>
              <w:top w:val="nil"/>
              <w:left w:val="nil"/>
              <w:bottom w:val="nil"/>
              <w:right w:val="nil"/>
            </w:tcBorders>
          </w:tcPr>
          <w:p w14:paraId="61406271" w14:textId="77777777" w:rsidR="00895480" w:rsidRPr="004024FD" w:rsidRDefault="00895480" w:rsidP="00895480">
            <w:pPr>
              <w:jc w:val="both"/>
              <w:rPr>
                <w:i/>
              </w:rPr>
            </w:pPr>
            <w:r w:rsidRPr="004024FD">
              <w:rPr>
                <w:i/>
              </w:rPr>
              <w:t>Tara B. DuBose</w:t>
            </w:r>
          </w:p>
        </w:tc>
        <w:tc>
          <w:tcPr>
            <w:tcW w:w="2511" w:type="dxa"/>
            <w:tcBorders>
              <w:top w:val="nil"/>
              <w:left w:val="nil"/>
              <w:bottom w:val="nil"/>
              <w:right w:val="nil"/>
            </w:tcBorders>
          </w:tcPr>
          <w:p w14:paraId="7E0D662F" w14:textId="77777777" w:rsidR="00895480" w:rsidRPr="00701945" w:rsidRDefault="00895480" w:rsidP="00895480">
            <w:pPr>
              <w:jc w:val="center"/>
            </w:pPr>
            <w:r>
              <w:t>FCG</w:t>
            </w:r>
          </w:p>
        </w:tc>
        <w:tc>
          <w:tcPr>
            <w:tcW w:w="3546" w:type="dxa"/>
            <w:tcBorders>
              <w:top w:val="nil"/>
              <w:left w:val="nil"/>
              <w:bottom w:val="nil"/>
              <w:right w:val="nil"/>
            </w:tcBorders>
          </w:tcPr>
          <w:p w14:paraId="631610CF" w14:textId="77777777" w:rsidR="00895480" w:rsidRPr="00701945" w:rsidRDefault="00895480" w:rsidP="00895480">
            <w:r>
              <w:t>58-59</w:t>
            </w:r>
          </w:p>
        </w:tc>
      </w:tr>
      <w:tr w:rsidR="00895480" w:rsidRPr="00701945" w14:paraId="20C1A60C" w14:textId="77777777" w:rsidTr="006F034C">
        <w:trPr>
          <w:cantSplit/>
          <w:trHeight w:val="362"/>
        </w:trPr>
        <w:tc>
          <w:tcPr>
            <w:tcW w:w="3507" w:type="dxa"/>
            <w:tcBorders>
              <w:top w:val="nil"/>
              <w:left w:val="nil"/>
              <w:bottom w:val="nil"/>
              <w:right w:val="nil"/>
            </w:tcBorders>
          </w:tcPr>
          <w:p w14:paraId="04C1D2B8" w14:textId="77777777" w:rsidR="00895480" w:rsidRPr="00701945" w:rsidRDefault="00895480" w:rsidP="00895480">
            <w:pPr>
              <w:jc w:val="both"/>
            </w:pPr>
            <w:r>
              <w:t>Mark Campbell</w:t>
            </w:r>
          </w:p>
        </w:tc>
        <w:tc>
          <w:tcPr>
            <w:tcW w:w="2511" w:type="dxa"/>
            <w:tcBorders>
              <w:top w:val="nil"/>
              <w:left w:val="nil"/>
              <w:bottom w:val="nil"/>
              <w:right w:val="nil"/>
            </w:tcBorders>
          </w:tcPr>
          <w:p w14:paraId="1ABD9EDC" w14:textId="77777777" w:rsidR="00895480" w:rsidRPr="00701945" w:rsidRDefault="00895480" w:rsidP="00895480">
            <w:pPr>
              <w:jc w:val="center"/>
            </w:pPr>
            <w:r>
              <w:t>FCG</w:t>
            </w:r>
          </w:p>
        </w:tc>
        <w:tc>
          <w:tcPr>
            <w:tcW w:w="3546" w:type="dxa"/>
            <w:tcBorders>
              <w:top w:val="nil"/>
              <w:left w:val="nil"/>
              <w:bottom w:val="nil"/>
              <w:right w:val="nil"/>
            </w:tcBorders>
          </w:tcPr>
          <w:p w14:paraId="7784125E" w14:textId="742BB59D" w:rsidR="00895480" w:rsidRPr="00701945" w:rsidRDefault="00895480" w:rsidP="00895480">
            <w:r>
              <w:t xml:space="preserve">6-8, </w:t>
            </w:r>
            <w:r w:rsidR="008A57BB">
              <w:t>12-13</w:t>
            </w:r>
            <w:r>
              <w:t xml:space="preserve">, </w:t>
            </w:r>
            <w:r w:rsidR="008A57BB">
              <w:t>22-23</w:t>
            </w:r>
            <w:r>
              <w:t xml:space="preserve">, </w:t>
            </w:r>
            <w:r w:rsidR="008A57BB">
              <w:t>28</w:t>
            </w:r>
            <w:r>
              <w:t>, 46, 67, 71</w:t>
            </w:r>
          </w:p>
        </w:tc>
      </w:tr>
    </w:tbl>
    <w:p w14:paraId="400BE49D" w14:textId="77777777" w:rsidR="008A6E64" w:rsidRDefault="008A6E64" w:rsidP="00E50AC7">
      <w:pPr>
        <w:jc w:val="both"/>
        <w:rPr>
          <w:b/>
        </w:rPr>
      </w:pPr>
    </w:p>
    <w:p w14:paraId="234E351A" w14:textId="77777777" w:rsidR="005D2244" w:rsidRDefault="005D2244" w:rsidP="00E50AC7">
      <w:pPr>
        <w:jc w:val="both"/>
        <w:rPr>
          <w:b/>
        </w:rPr>
      </w:pPr>
    </w:p>
    <w:p w14:paraId="0A57E6AA" w14:textId="77777777" w:rsidR="00E50AC7" w:rsidRPr="00A32DC5" w:rsidRDefault="00E50AC7" w:rsidP="00E50AC7">
      <w:pPr>
        <w:jc w:val="both"/>
        <w:rPr>
          <w:b/>
        </w:rPr>
      </w:pPr>
      <w:r w:rsidRPr="00A32DC5">
        <w:rPr>
          <w:b/>
        </w:rPr>
        <w:t>VII.</w:t>
      </w:r>
      <w:r w:rsidRPr="00A32DC5">
        <w:rPr>
          <w:b/>
        </w:rPr>
        <w:tab/>
      </w:r>
      <w:r w:rsidRPr="00A32DC5">
        <w:rPr>
          <w:b/>
          <w:u w:val="single"/>
        </w:rPr>
        <w:t>BASIC POSITIONS</w:t>
      </w:r>
    </w:p>
    <w:p w14:paraId="6938AE6B" w14:textId="77777777" w:rsidR="00E50AC7" w:rsidRPr="00701945" w:rsidRDefault="00E50AC7" w:rsidP="00E50AC7">
      <w:pPr>
        <w:jc w:val="both"/>
      </w:pPr>
    </w:p>
    <w:p w14:paraId="3E883495" w14:textId="79EEFE70" w:rsidR="00255B7F" w:rsidRDefault="0054181C" w:rsidP="00255B7F">
      <w:pPr>
        <w:ind w:left="1440" w:hanging="1440"/>
        <w:jc w:val="both"/>
        <w:rPr>
          <w:bCs/>
        </w:rPr>
      </w:pPr>
      <w:r>
        <w:rPr>
          <w:b/>
          <w:bCs/>
        </w:rPr>
        <w:t>FCG:</w:t>
      </w:r>
      <w:r w:rsidR="00255B7F">
        <w:rPr>
          <w:b/>
          <w:bCs/>
        </w:rPr>
        <w:tab/>
      </w:r>
      <w:r w:rsidR="00255B7F">
        <w:rPr>
          <w:rFonts w:eastAsia="Calibri"/>
          <w:szCs w:val="20"/>
        </w:rPr>
        <w:t xml:space="preserve">FCG is seeking approval from </w:t>
      </w:r>
      <w:r w:rsidR="00255B7F" w:rsidRPr="00D807BF">
        <w:rPr>
          <w:rFonts w:eastAsia="Calibri"/>
          <w:szCs w:val="20"/>
        </w:rPr>
        <w:t xml:space="preserve">the Commission of a four-year rate plan and associated depreciation rates that would enable FCG to avoid seeking a base rate increase until at least the end of 2026.  </w:t>
      </w:r>
      <w:r w:rsidR="00255B7F">
        <w:rPr>
          <w:bCs/>
        </w:rPr>
        <w:t xml:space="preserve">FCG’s proposed </w:t>
      </w:r>
      <w:r w:rsidR="00255B7F" w:rsidRPr="00B27288">
        <w:rPr>
          <w:bCs/>
        </w:rPr>
        <w:t>four-year rate plan will</w:t>
      </w:r>
      <w:r w:rsidR="00255B7F">
        <w:rPr>
          <w:bCs/>
        </w:rPr>
        <w:t xml:space="preserve">: </w:t>
      </w:r>
      <w:r w:rsidR="00255B7F" w:rsidRPr="00B27288">
        <w:rPr>
          <w:bCs/>
        </w:rPr>
        <w:t xml:space="preserve"> provide </w:t>
      </w:r>
      <w:r w:rsidR="00255B7F">
        <w:rPr>
          <w:bCs/>
        </w:rPr>
        <w:t xml:space="preserve">customers with </w:t>
      </w:r>
      <w:r w:rsidR="00255B7F" w:rsidRPr="00B27288">
        <w:rPr>
          <w:bCs/>
        </w:rPr>
        <w:t>rate stability and certainty</w:t>
      </w:r>
      <w:r w:rsidR="00255B7F">
        <w:rPr>
          <w:bCs/>
        </w:rPr>
        <w:t>;</w:t>
      </w:r>
      <w:r w:rsidR="00255B7F" w:rsidRPr="00B27288">
        <w:rPr>
          <w:bCs/>
        </w:rPr>
        <w:t xml:space="preserve"> </w:t>
      </w:r>
      <w:r w:rsidR="00255B7F">
        <w:rPr>
          <w:bCs/>
        </w:rPr>
        <w:t xml:space="preserve">save customers nearly $10.8 million over the term of the four-year rate plan due to the implementation of </w:t>
      </w:r>
      <w:r w:rsidR="00DD5843">
        <w:rPr>
          <w:bCs/>
        </w:rPr>
        <w:t>Reserved Surplus Amortization Mechanism (</w:t>
      </w:r>
      <w:r w:rsidR="00255B7F">
        <w:rPr>
          <w:bCs/>
        </w:rPr>
        <w:t>RSAM</w:t>
      </w:r>
      <w:r w:rsidR="00DD5843">
        <w:rPr>
          <w:bCs/>
        </w:rPr>
        <w:t>)</w:t>
      </w:r>
      <w:r w:rsidR="00255B7F">
        <w:rPr>
          <w:bCs/>
        </w:rPr>
        <w:t xml:space="preserve">-adjusted depreciation rates; </w:t>
      </w:r>
      <w:r w:rsidR="00255B7F" w:rsidRPr="00B27288">
        <w:rPr>
          <w:bCs/>
        </w:rPr>
        <w:t>avoid repetitive and costly rate proceedings</w:t>
      </w:r>
      <w:r w:rsidR="00255B7F">
        <w:rPr>
          <w:bCs/>
        </w:rPr>
        <w:t>,</w:t>
      </w:r>
      <w:r w:rsidR="00255B7F" w:rsidRPr="00B27288">
        <w:rPr>
          <w:bCs/>
        </w:rPr>
        <w:t xml:space="preserve"> </w:t>
      </w:r>
      <w:r w:rsidR="00255B7F">
        <w:rPr>
          <w:bCs/>
        </w:rPr>
        <w:t>saving customers an additional $2.0 million in rate case expenses in 2024;</w:t>
      </w:r>
      <w:r w:rsidR="00255B7F" w:rsidRPr="00B27288">
        <w:rPr>
          <w:bCs/>
        </w:rPr>
        <w:t xml:space="preserve"> enable the Company </w:t>
      </w:r>
      <w:r w:rsidR="00255B7F" w:rsidRPr="00C25379">
        <w:rPr>
          <w:bCs/>
        </w:rPr>
        <w:t>to continue to meet the natural gas needs of existing and new customers</w:t>
      </w:r>
      <w:r w:rsidR="00255B7F">
        <w:rPr>
          <w:bCs/>
        </w:rPr>
        <w:t>;</w:t>
      </w:r>
      <w:r w:rsidR="00255B7F" w:rsidRPr="00C25379">
        <w:rPr>
          <w:bCs/>
        </w:rPr>
        <w:t xml:space="preserve"> </w:t>
      </w:r>
      <w:r w:rsidR="00255B7F">
        <w:rPr>
          <w:bCs/>
        </w:rPr>
        <w:t xml:space="preserve">allow the Company to </w:t>
      </w:r>
      <w:r w:rsidR="00255B7F" w:rsidRPr="00C25379">
        <w:rPr>
          <w:bCs/>
        </w:rPr>
        <w:t>continue to provide safe, reliable, and high-quality customer service</w:t>
      </w:r>
      <w:r w:rsidR="00255B7F">
        <w:rPr>
          <w:bCs/>
        </w:rPr>
        <w:t>;</w:t>
      </w:r>
      <w:r w:rsidR="00255B7F" w:rsidRPr="00C25379">
        <w:rPr>
          <w:bCs/>
        </w:rPr>
        <w:t xml:space="preserve"> and </w:t>
      </w:r>
      <w:r w:rsidR="00255B7F">
        <w:rPr>
          <w:bCs/>
        </w:rPr>
        <w:t>provide FCG</w:t>
      </w:r>
      <w:r w:rsidR="00255B7F" w:rsidRPr="00C25379">
        <w:rPr>
          <w:bCs/>
        </w:rPr>
        <w:t xml:space="preserve"> a reasonable opportunity to earn a fair rate of return on the Company’s </w:t>
      </w:r>
      <w:r w:rsidR="00255B7F">
        <w:rPr>
          <w:bCs/>
        </w:rPr>
        <w:t xml:space="preserve">necessary capital </w:t>
      </w:r>
      <w:r w:rsidR="00255B7F" w:rsidRPr="00C25379">
        <w:rPr>
          <w:bCs/>
        </w:rPr>
        <w:t>investments</w:t>
      </w:r>
      <w:r w:rsidR="00255B7F" w:rsidRPr="00B27288">
        <w:rPr>
          <w:bCs/>
        </w:rPr>
        <w:t>.</w:t>
      </w:r>
    </w:p>
    <w:p w14:paraId="0A561FAF" w14:textId="77777777" w:rsidR="00255B7F" w:rsidRDefault="00255B7F" w:rsidP="00255B7F">
      <w:pPr>
        <w:ind w:left="1440" w:hanging="1440"/>
        <w:jc w:val="both"/>
        <w:rPr>
          <w:bCs/>
        </w:rPr>
      </w:pPr>
    </w:p>
    <w:p w14:paraId="250A311A" w14:textId="77777777" w:rsidR="00255B7F" w:rsidRDefault="00255B7F" w:rsidP="00255B7F">
      <w:pPr>
        <w:ind w:left="1440" w:hanging="1440"/>
        <w:jc w:val="both"/>
        <w:rPr>
          <w:rFonts w:eastAsia="Calibri"/>
          <w:szCs w:val="20"/>
        </w:rPr>
      </w:pPr>
      <w:r>
        <w:rPr>
          <w:rFonts w:eastAsia="Calibri"/>
          <w:szCs w:val="20"/>
        </w:rPr>
        <w:tab/>
      </w:r>
      <w:r w:rsidRPr="004109E5">
        <w:rPr>
          <w:rFonts w:eastAsia="Calibri"/>
          <w:szCs w:val="20"/>
        </w:rPr>
        <w:t>At present, the Company’s current rates and charges are not sufficient to allow FCG to earn a fair and reasonable rate of return, nor do they yield reasonable compensation for services provided, which FCG is entitled to under Section 366.06(3), F</w:t>
      </w:r>
      <w:r>
        <w:rPr>
          <w:rFonts w:eastAsia="Calibri"/>
          <w:szCs w:val="20"/>
        </w:rPr>
        <w:t xml:space="preserve">lorida </w:t>
      </w:r>
      <w:r w:rsidRPr="004109E5">
        <w:rPr>
          <w:rFonts w:eastAsia="Calibri"/>
          <w:szCs w:val="20"/>
        </w:rPr>
        <w:t>S</w:t>
      </w:r>
      <w:r>
        <w:rPr>
          <w:rFonts w:eastAsia="Calibri"/>
          <w:szCs w:val="20"/>
        </w:rPr>
        <w:t>tatutes.</w:t>
      </w:r>
      <w:r w:rsidRPr="004109E5">
        <w:rPr>
          <w:rFonts w:eastAsia="Calibri"/>
          <w:szCs w:val="20"/>
        </w:rPr>
        <w:t xml:space="preserve">  </w:t>
      </w:r>
      <w:r>
        <w:rPr>
          <w:rFonts w:eastAsia="Calibri"/>
          <w:szCs w:val="20"/>
        </w:rPr>
        <w:t>T</w:t>
      </w:r>
      <w:r w:rsidRPr="004109E5">
        <w:rPr>
          <w:rFonts w:eastAsia="Calibri"/>
          <w:szCs w:val="20"/>
        </w:rPr>
        <w:t>he Company’s December earnings surveillance reports and 2022 forecasted earnings surveillance report filed with the Commission demonstrate that FCG has continually earned and expects to earn below its authorized ROE range each year since its last general rate case.  Further, based on the Company’s projected 2023 financial forecast, FCG projects that its earned ROE will be significantly below the bottom of the current authorized ROE range in 2023 w</w:t>
      </w:r>
      <w:r w:rsidR="00070C96">
        <w:rPr>
          <w:rFonts w:eastAsia="Calibri"/>
          <w:szCs w:val="20"/>
        </w:rPr>
        <w:t xml:space="preserve">ithout rate relief. </w:t>
      </w:r>
    </w:p>
    <w:p w14:paraId="130A7296" w14:textId="77777777" w:rsidR="00255B7F" w:rsidRDefault="00255B7F" w:rsidP="00255B7F">
      <w:pPr>
        <w:ind w:left="1440" w:hanging="1440"/>
        <w:jc w:val="both"/>
        <w:rPr>
          <w:rFonts w:eastAsia="Calibri"/>
          <w:szCs w:val="20"/>
        </w:rPr>
      </w:pPr>
    </w:p>
    <w:p w14:paraId="12DAAA8E" w14:textId="6847E8F7" w:rsidR="008A6E64" w:rsidRDefault="00255B7F" w:rsidP="00D85565">
      <w:pPr>
        <w:ind w:left="1440" w:hanging="1440"/>
        <w:jc w:val="both"/>
        <w:rPr>
          <w:rFonts w:eastAsia="Calibri"/>
          <w:szCs w:val="20"/>
        </w:rPr>
      </w:pPr>
      <w:r>
        <w:rPr>
          <w:rFonts w:eastAsia="Calibri"/>
          <w:szCs w:val="20"/>
        </w:rPr>
        <w:tab/>
      </w:r>
      <w:r w:rsidRPr="004109E5">
        <w:rPr>
          <w:rFonts w:eastAsia="Calibri"/>
          <w:szCs w:val="20"/>
        </w:rPr>
        <w:t xml:space="preserve">Under the four-year proposal </w:t>
      </w:r>
      <w:r>
        <w:rPr>
          <w:rFonts w:eastAsia="Calibri"/>
          <w:szCs w:val="20"/>
        </w:rPr>
        <w:t>described below</w:t>
      </w:r>
      <w:r w:rsidRPr="004109E5">
        <w:rPr>
          <w:rFonts w:eastAsia="Calibri"/>
          <w:szCs w:val="20"/>
        </w:rPr>
        <w:t>, FCG is requesting a single incremental base rate increase of $</w:t>
      </w:r>
      <w:r>
        <w:rPr>
          <w:rFonts w:eastAsia="Calibri"/>
          <w:szCs w:val="20"/>
        </w:rPr>
        <w:t>18.8</w:t>
      </w:r>
      <w:r w:rsidRPr="004109E5">
        <w:rPr>
          <w:rFonts w:eastAsia="Calibri"/>
          <w:szCs w:val="20"/>
        </w:rPr>
        <w:t xml:space="preserve"> million</w:t>
      </w:r>
      <w:r>
        <w:rPr>
          <w:rStyle w:val="FootnoteReference"/>
          <w:rFonts w:eastAsia="Calibri"/>
          <w:szCs w:val="20"/>
        </w:rPr>
        <w:footnoteReference w:id="3"/>
      </w:r>
      <w:r w:rsidRPr="004109E5">
        <w:rPr>
          <w:rFonts w:eastAsia="Calibri"/>
          <w:szCs w:val="20"/>
        </w:rPr>
        <w:t xml:space="preserve"> to be effective February 1, 2023.  The incremental base rate increase is based on the difference between FCG’s projected net operating income of $</w:t>
      </w:r>
      <w:r w:rsidRPr="004109E5" w:rsidDel="00FF0E0E">
        <w:rPr>
          <w:rFonts w:eastAsia="Calibri"/>
          <w:szCs w:val="20"/>
        </w:rPr>
        <w:t>13.</w:t>
      </w:r>
      <w:r>
        <w:rPr>
          <w:rFonts w:eastAsia="Calibri"/>
          <w:szCs w:val="20"/>
        </w:rPr>
        <w:t>8</w:t>
      </w:r>
      <w:r w:rsidRPr="004109E5">
        <w:rPr>
          <w:rFonts w:eastAsia="Calibri"/>
          <w:szCs w:val="20"/>
        </w:rPr>
        <w:t xml:space="preserve"> million and FCG’s required net operating income of $34.7 million, multiplied by the revenue expansion factor of 1.3527, less $5.7 million for the required reclassification of the SAFE program revenues from clause to base rates, and less $3.8 million for the previously approved LNG Facility.  Absent rate relief in 2023, FCG’s earned ROE is projected to be well below the bottom end of the ROE range</w:t>
      </w:r>
      <w:r>
        <w:rPr>
          <w:rFonts w:eastAsia="Calibri"/>
          <w:szCs w:val="20"/>
        </w:rPr>
        <w:t xml:space="preserve">. </w:t>
      </w:r>
    </w:p>
    <w:p w14:paraId="29C14591" w14:textId="77777777" w:rsidR="00F60021" w:rsidRDefault="00F60021" w:rsidP="00D85565">
      <w:pPr>
        <w:ind w:left="1440" w:hanging="1440"/>
        <w:jc w:val="both"/>
        <w:rPr>
          <w:rFonts w:eastAsia="Calibri"/>
          <w:szCs w:val="20"/>
        </w:rPr>
      </w:pPr>
    </w:p>
    <w:p w14:paraId="69CDB6B1" w14:textId="77777777" w:rsidR="00255B7F" w:rsidRDefault="00255B7F" w:rsidP="00255B7F">
      <w:pPr>
        <w:spacing w:after="240"/>
        <w:jc w:val="center"/>
        <w:rPr>
          <w:rFonts w:eastAsia="Calibri"/>
          <w:b/>
          <w:bCs/>
          <w:szCs w:val="20"/>
        </w:rPr>
      </w:pPr>
      <w:r>
        <w:rPr>
          <w:rFonts w:eastAsia="Calibri"/>
          <w:b/>
          <w:bCs/>
          <w:szCs w:val="20"/>
        </w:rPr>
        <w:t>FCG’s Four-Year Rate Plan</w:t>
      </w:r>
    </w:p>
    <w:p w14:paraId="13E68B7B" w14:textId="77777777" w:rsidR="00255B7F" w:rsidRDefault="00255B7F" w:rsidP="00255B7F">
      <w:pPr>
        <w:ind w:left="1440" w:hanging="1440"/>
        <w:rPr>
          <w:bCs/>
        </w:rPr>
      </w:pPr>
      <w:r>
        <w:rPr>
          <w:bCs/>
        </w:rPr>
        <w:tab/>
      </w:r>
      <w:r w:rsidRPr="00FE5B3D">
        <w:rPr>
          <w:bCs/>
        </w:rPr>
        <w:t xml:space="preserve">FCG’s proposed four-year rate plan would run from </w:t>
      </w:r>
      <w:r>
        <w:rPr>
          <w:bCs/>
        </w:rPr>
        <w:t xml:space="preserve">February 1, </w:t>
      </w:r>
      <w:r w:rsidRPr="00FE5B3D">
        <w:rPr>
          <w:bCs/>
        </w:rPr>
        <w:t xml:space="preserve">2023 through at least the </w:t>
      </w:r>
      <w:r>
        <w:rPr>
          <w:bCs/>
        </w:rPr>
        <w:t>end of</w:t>
      </w:r>
      <w:r w:rsidRPr="00FE5B3D">
        <w:rPr>
          <w:bCs/>
        </w:rPr>
        <w:t xml:space="preserve"> 2026, consisting of:  </w:t>
      </w:r>
    </w:p>
    <w:p w14:paraId="0E81A5BC" w14:textId="77777777" w:rsidR="00255B7F" w:rsidRDefault="00255B7F" w:rsidP="00255B7F">
      <w:pPr>
        <w:ind w:left="2160" w:hanging="1440"/>
        <w:jc w:val="both"/>
        <w:rPr>
          <w:bCs/>
        </w:rPr>
      </w:pPr>
    </w:p>
    <w:p w14:paraId="1EBFCBAE" w14:textId="77777777" w:rsidR="00255B7F" w:rsidRDefault="00255B7F" w:rsidP="000E7C31">
      <w:pPr>
        <w:ind w:left="2160" w:right="720" w:hanging="1440"/>
        <w:jc w:val="both"/>
        <w:rPr>
          <w:bCs/>
        </w:rPr>
      </w:pPr>
      <w:r>
        <w:rPr>
          <w:bCs/>
        </w:rPr>
        <w:tab/>
      </w:r>
      <w:r w:rsidRPr="00FE5B3D">
        <w:rPr>
          <w:bCs/>
        </w:rPr>
        <w:t>(a) an increase in base rates and charges sufficient to generate a total base revenue increase of $</w:t>
      </w:r>
      <w:r>
        <w:rPr>
          <w:bCs/>
        </w:rPr>
        <w:t>28.3</w:t>
      </w:r>
      <w:r w:rsidRPr="00FE5B3D">
        <w:rPr>
          <w:bCs/>
        </w:rPr>
        <w:t xml:space="preserve"> million</w:t>
      </w:r>
      <w:r>
        <w:rPr>
          <w:rStyle w:val="FootnoteReference"/>
          <w:bCs/>
        </w:rPr>
        <w:footnoteReference w:id="4"/>
      </w:r>
      <w:r w:rsidRPr="00FE5B3D">
        <w:rPr>
          <w:bCs/>
        </w:rPr>
        <w:t xml:space="preserve"> based on a projected 2023 Test Year, which includes</w:t>
      </w:r>
      <w:r>
        <w:rPr>
          <w:bCs/>
        </w:rPr>
        <w:t xml:space="preserve">: </w:t>
      </w:r>
      <w:r w:rsidRPr="00FE5B3D">
        <w:rPr>
          <w:bCs/>
        </w:rPr>
        <w:t xml:space="preserve"> (i) an incremental base rate revenue requirement of $</w:t>
      </w:r>
      <w:r>
        <w:rPr>
          <w:bCs/>
        </w:rPr>
        <w:t>18.8</w:t>
      </w:r>
      <w:r w:rsidRPr="00FE5B3D">
        <w:rPr>
          <w:bCs/>
        </w:rPr>
        <w:t xml:space="preserve"> million,</w:t>
      </w:r>
      <w:r>
        <w:rPr>
          <w:rStyle w:val="FootnoteReference"/>
          <w:bCs/>
        </w:rPr>
        <w:footnoteReference w:id="5"/>
      </w:r>
      <w:r w:rsidRPr="00FE5B3D">
        <w:rPr>
          <w:bCs/>
        </w:rPr>
        <w:t xml:space="preserve"> (ii) the revenue requirements for the previously approved LNG Facility,</w:t>
      </w:r>
      <w:r w:rsidRPr="00FE5B3D">
        <w:rPr>
          <w:bCs/>
          <w:vertAlign w:val="superscript"/>
        </w:rPr>
        <w:footnoteReference w:id="6"/>
      </w:r>
      <w:r w:rsidRPr="00FE5B3D">
        <w:rPr>
          <w:bCs/>
        </w:rPr>
        <w:t xml:space="preserve"> and (iii) the reclassification of the SAFE program revenues from clause to base rates;</w:t>
      </w:r>
      <w:r w:rsidRPr="00FE5B3D">
        <w:rPr>
          <w:bCs/>
          <w:vertAlign w:val="superscript"/>
        </w:rPr>
        <w:footnoteReference w:id="7"/>
      </w:r>
      <w:r w:rsidRPr="00FE5B3D">
        <w:rPr>
          <w:bCs/>
        </w:rPr>
        <w:t xml:space="preserve"> </w:t>
      </w:r>
    </w:p>
    <w:p w14:paraId="3EF59665" w14:textId="77777777" w:rsidR="00255B7F" w:rsidRDefault="00255B7F" w:rsidP="000E7C31">
      <w:pPr>
        <w:ind w:left="2160" w:right="720" w:hanging="1440"/>
        <w:jc w:val="both"/>
        <w:rPr>
          <w:bCs/>
        </w:rPr>
      </w:pPr>
    </w:p>
    <w:p w14:paraId="6E9785C4" w14:textId="77777777" w:rsidR="00255B7F" w:rsidRDefault="00255B7F" w:rsidP="000E7C31">
      <w:pPr>
        <w:ind w:left="2160" w:right="720" w:hanging="1440"/>
        <w:jc w:val="both"/>
        <w:rPr>
          <w:bCs/>
        </w:rPr>
      </w:pPr>
      <w:r>
        <w:rPr>
          <w:bCs/>
        </w:rPr>
        <w:tab/>
      </w:r>
      <w:r w:rsidRPr="00FE5B3D">
        <w:rPr>
          <w:bCs/>
        </w:rPr>
        <w:t>(b)</w:t>
      </w:r>
      <w:r w:rsidRPr="00FE5B3D">
        <w:rPr>
          <w:rFonts w:eastAsiaTheme="minorHAnsi" w:cstheme="minorBidi"/>
          <w:szCs w:val="22"/>
        </w:rPr>
        <w:t xml:space="preserve"> </w:t>
      </w:r>
      <w:r w:rsidRPr="00FE5B3D">
        <w:rPr>
          <w:bCs/>
        </w:rPr>
        <w:t xml:space="preserve">a 10.75% mid-point ROE and an equity ratio of 59.6% from investor sources for all regulatory purposes; </w:t>
      </w:r>
    </w:p>
    <w:p w14:paraId="45F3B1AE" w14:textId="77777777" w:rsidR="00255B7F" w:rsidRDefault="00255B7F" w:rsidP="000E7C31">
      <w:pPr>
        <w:ind w:left="2160" w:right="720" w:hanging="1440"/>
        <w:jc w:val="both"/>
        <w:rPr>
          <w:bCs/>
        </w:rPr>
      </w:pPr>
    </w:p>
    <w:p w14:paraId="30F43541" w14:textId="77777777" w:rsidR="00255B7F" w:rsidRDefault="00255B7F" w:rsidP="000E7C31">
      <w:pPr>
        <w:ind w:left="2160" w:right="720" w:hanging="1440"/>
        <w:jc w:val="both"/>
        <w:rPr>
          <w:bCs/>
        </w:rPr>
      </w:pPr>
      <w:r>
        <w:rPr>
          <w:bCs/>
        </w:rPr>
        <w:tab/>
      </w:r>
      <w:r w:rsidRPr="00FE5B3D">
        <w:rPr>
          <w:bCs/>
        </w:rPr>
        <w:t xml:space="preserve">(c) implementation of a RSAM, which is a critical and essential component of FCG’s four-year rate plan; </w:t>
      </w:r>
    </w:p>
    <w:p w14:paraId="23ABDEAC" w14:textId="77777777" w:rsidR="00255B7F" w:rsidRDefault="00255B7F" w:rsidP="000E7C31">
      <w:pPr>
        <w:ind w:left="2160" w:right="720" w:hanging="1440"/>
        <w:jc w:val="both"/>
        <w:rPr>
          <w:bCs/>
        </w:rPr>
      </w:pPr>
    </w:p>
    <w:p w14:paraId="138A4115" w14:textId="77777777" w:rsidR="00255B7F" w:rsidRDefault="00255B7F" w:rsidP="000E7C31">
      <w:pPr>
        <w:ind w:left="2160" w:right="720" w:hanging="1440"/>
        <w:jc w:val="both"/>
        <w:rPr>
          <w:bCs/>
        </w:rPr>
      </w:pPr>
      <w:r>
        <w:rPr>
          <w:bCs/>
        </w:rPr>
        <w:tab/>
      </w:r>
      <w:r w:rsidRPr="00FE5B3D">
        <w:rPr>
          <w:bCs/>
        </w:rPr>
        <w:t xml:space="preserve">(d) approval of RSAM-adjusted depreciation rates, which is necessary to support the RSAM and decreases the incremental revenue requirement by $2.7 million; </w:t>
      </w:r>
    </w:p>
    <w:p w14:paraId="39EF78E1" w14:textId="77777777" w:rsidR="00255B7F" w:rsidRDefault="00255B7F" w:rsidP="000E7C31">
      <w:pPr>
        <w:ind w:left="2160" w:right="720" w:hanging="1440"/>
        <w:jc w:val="both"/>
        <w:rPr>
          <w:bCs/>
        </w:rPr>
      </w:pPr>
    </w:p>
    <w:p w14:paraId="32FD16B2" w14:textId="77777777" w:rsidR="00255B7F" w:rsidRDefault="00255B7F" w:rsidP="000E7C31">
      <w:pPr>
        <w:ind w:left="2160" w:right="720" w:hanging="1440"/>
        <w:jc w:val="both"/>
        <w:rPr>
          <w:bCs/>
        </w:rPr>
      </w:pPr>
      <w:r>
        <w:rPr>
          <w:bCs/>
        </w:rPr>
        <w:tab/>
      </w:r>
      <w:r w:rsidRPr="00FE5B3D">
        <w:rPr>
          <w:bCs/>
        </w:rPr>
        <w:t xml:space="preserve">(e) the continuation of the Storm Damage Reserve provision approved as part of FCG’s 2018 Settlement Agreement, as modified to reflect the Commission’s new storm rule for gas utilities; </w:t>
      </w:r>
    </w:p>
    <w:p w14:paraId="325C8507" w14:textId="77777777" w:rsidR="00255B7F" w:rsidRDefault="00255B7F" w:rsidP="000E7C31">
      <w:pPr>
        <w:ind w:left="2160" w:right="720" w:hanging="1440"/>
        <w:jc w:val="both"/>
        <w:rPr>
          <w:bCs/>
        </w:rPr>
      </w:pPr>
    </w:p>
    <w:p w14:paraId="226839A2" w14:textId="77777777" w:rsidR="00255B7F" w:rsidRDefault="00255B7F" w:rsidP="000E7C31">
      <w:pPr>
        <w:ind w:left="2160" w:right="720" w:hanging="1440"/>
        <w:jc w:val="both"/>
        <w:rPr>
          <w:bCs/>
        </w:rPr>
      </w:pPr>
      <w:r>
        <w:rPr>
          <w:bCs/>
        </w:rPr>
        <w:tab/>
      </w:r>
      <w:r w:rsidRPr="00FE5B3D">
        <w:rPr>
          <w:bCs/>
        </w:rPr>
        <w:t xml:space="preserve">(f) a mechanism that will allow FCG to adjust base rates in the event tax laws change during or after the conclusion of this proceeding; </w:t>
      </w:r>
    </w:p>
    <w:p w14:paraId="1377B866" w14:textId="77777777" w:rsidR="00255B7F" w:rsidRDefault="00255B7F" w:rsidP="000E7C31">
      <w:pPr>
        <w:ind w:left="2160" w:right="720" w:hanging="1440"/>
        <w:jc w:val="both"/>
        <w:rPr>
          <w:bCs/>
        </w:rPr>
      </w:pPr>
    </w:p>
    <w:p w14:paraId="72E9CB89" w14:textId="77777777" w:rsidR="00255B7F" w:rsidRDefault="00255B7F" w:rsidP="000E7C31">
      <w:pPr>
        <w:ind w:left="2160" w:right="720" w:hanging="1440"/>
        <w:jc w:val="both"/>
        <w:rPr>
          <w:bCs/>
        </w:rPr>
      </w:pPr>
      <w:r>
        <w:rPr>
          <w:bCs/>
        </w:rPr>
        <w:tab/>
      </w:r>
      <w:r w:rsidRPr="00FE5B3D">
        <w:rPr>
          <w:bCs/>
        </w:rPr>
        <w:t xml:space="preserve">(g) continuation and expansion of the existing SAFE program, which will allow FCG to further improve safe and reliable service to customers and the communities it serves; and </w:t>
      </w:r>
    </w:p>
    <w:p w14:paraId="0E32469A" w14:textId="77777777" w:rsidR="00255B7F" w:rsidRDefault="00255B7F" w:rsidP="000E7C31">
      <w:pPr>
        <w:ind w:left="2160" w:right="720" w:hanging="1440"/>
        <w:jc w:val="both"/>
        <w:rPr>
          <w:bCs/>
        </w:rPr>
      </w:pPr>
    </w:p>
    <w:p w14:paraId="39CB30ED" w14:textId="77777777" w:rsidR="00255B7F" w:rsidRDefault="00255B7F" w:rsidP="000E7C31">
      <w:pPr>
        <w:ind w:left="2160" w:right="720" w:hanging="1440"/>
        <w:jc w:val="both"/>
        <w:rPr>
          <w:bCs/>
        </w:rPr>
      </w:pPr>
      <w:r>
        <w:rPr>
          <w:bCs/>
        </w:rPr>
        <w:tab/>
      </w:r>
      <w:r w:rsidRPr="00FE5B3D">
        <w:rPr>
          <w:bCs/>
        </w:rPr>
        <w:t>(h) implementation of a new limited AMI Pilot that will enable FCG to explore the potential for AMI meters to provide enhanced service to FCG’s customers.</w:t>
      </w:r>
    </w:p>
    <w:p w14:paraId="4320C9AA" w14:textId="77777777" w:rsidR="00255B7F" w:rsidRPr="00FE5B3D" w:rsidRDefault="00255B7F" w:rsidP="00255B7F">
      <w:pPr>
        <w:ind w:left="2160" w:hanging="1440"/>
        <w:jc w:val="both"/>
        <w:rPr>
          <w:rFonts w:eastAsia="Calibri"/>
          <w:szCs w:val="20"/>
        </w:rPr>
      </w:pPr>
    </w:p>
    <w:p w14:paraId="5BE5693B" w14:textId="77777777" w:rsidR="00255B7F" w:rsidRDefault="00255B7F" w:rsidP="00255B7F">
      <w:pPr>
        <w:ind w:firstLine="1440"/>
        <w:rPr>
          <w:i/>
          <w:iCs/>
        </w:rPr>
      </w:pPr>
      <w:r w:rsidRPr="00FE5B3D">
        <w:rPr>
          <w:i/>
          <w:iCs/>
        </w:rPr>
        <w:t>Return on Equity and Capital Structure</w:t>
      </w:r>
    </w:p>
    <w:p w14:paraId="0B02DA8C" w14:textId="77777777" w:rsidR="00255B7F" w:rsidRDefault="00255B7F" w:rsidP="00255B7F">
      <w:pPr>
        <w:ind w:firstLine="1440"/>
        <w:rPr>
          <w:i/>
          <w:iCs/>
        </w:rPr>
      </w:pPr>
    </w:p>
    <w:p w14:paraId="0786E5BC" w14:textId="77777777" w:rsidR="00255B7F" w:rsidRDefault="00255B7F" w:rsidP="008A6E64">
      <w:pPr>
        <w:ind w:left="1440" w:hanging="1440"/>
        <w:jc w:val="both"/>
      </w:pPr>
      <w:r>
        <w:tab/>
        <w:t xml:space="preserve">In its last base rate case, FCG requested an equity ratio based on the consolidated capital structure of its then parent company, Southern Company Gas, because FCG did not at that time issue or hold its own debt or equity and, instead, obtained all short- and long-term financing through Southern Company Gas.  As part of the 2018 Settlement, FCG agreed to a capital structure with a 48% equity ratio for all regulatory purposes, and a deemed equity ratio of no greater than 49.1% for earnings surveillance reporting purposes.  </w:t>
      </w:r>
    </w:p>
    <w:p w14:paraId="17743524" w14:textId="77777777" w:rsidR="00DD5843" w:rsidRDefault="00255B7F" w:rsidP="00DD5843">
      <w:pPr>
        <w:ind w:left="1440" w:hanging="1440"/>
        <w:jc w:val="both"/>
      </w:pPr>
      <w:r>
        <w:tab/>
      </w:r>
    </w:p>
    <w:p w14:paraId="5D280B9A" w14:textId="345265B1" w:rsidR="00255B7F" w:rsidRDefault="00DD5843" w:rsidP="00DD5843">
      <w:pPr>
        <w:ind w:left="1440" w:hanging="1440"/>
        <w:jc w:val="both"/>
      </w:pPr>
      <w:r>
        <w:tab/>
      </w:r>
      <w:r w:rsidR="00255B7F">
        <w:t>On July 29, 2018, FCG became a wholly owned, direct subsidiary of Florida Power &amp; Light Company (“FPL”).  Starting in 2019, FCG received approval from the Commission to obtain all its short- and long-term financing needs through an intercompany loan with FPL.  The interest rate on FCG’s debt borrowings from FPL reflects FPL’s weighted average borrowing costs, which is significantly lower than the interest rates FCG could otherwise obtain on its own.  For these reasons, FCG is requesting a 2023 Test Year financial capital structure from investor sources consisting of 59.6% common equity and 40.4% debt, which is equal to the capital structure of FCG’s direct parent FPL, for all regulatory purposes, including: cost recovery clauses and riders; earning surveillance reporting; the calculation of the revenue requirements for capital investments recovered through the SAFE program surcharge; and when applicable, the calculation of the Company’s Allowance for Funds Used During Construction (“AFUDC”) rate.</w:t>
      </w:r>
    </w:p>
    <w:p w14:paraId="6451F686" w14:textId="77777777" w:rsidR="00255B7F" w:rsidRDefault="00255B7F" w:rsidP="00255B7F">
      <w:pPr>
        <w:ind w:left="1440" w:hanging="1440"/>
        <w:jc w:val="both"/>
      </w:pPr>
    </w:p>
    <w:p w14:paraId="376B5BE1" w14:textId="77777777" w:rsidR="00255B7F" w:rsidRDefault="00255B7F" w:rsidP="00255B7F">
      <w:pPr>
        <w:ind w:left="1440" w:hanging="1440"/>
      </w:pPr>
      <w:r>
        <w:tab/>
        <w:t>FCG’s proposed regulatory capital structure would produce a total weighted average cost of capital (“WACC”) of 7.09 percent in the 2023 Test Year.  This overall WACC is reasonable and reflects the benefit to customers of FCG’s financial strength, including the benefit FCG receives from its parent.</w:t>
      </w:r>
    </w:p>
    <w:p w14:paraId="2CB0A17A" w14:textId="77777777" w:rsidR="00255B7F" w:rsidRPr="00130619" w:rsidRDefault="00255B7F" w:rsidP="00255B7F">
      <w:pPr>
        <w:ind w:left="1440" w:hanging="1440"/>
      </w:pPr>
    </w:p>
    <w:p w14:paraId="0F2F9DE4" w14:textId="77777777" w:rsidR="00255B7F" w:rsidRDefault="00255B7F" w:rsidP="00255B7F">
      <w:pPr>
        <w:ind w:left="1440" w:hanging="1440"/>
        <w:rPr>
          <w:i/>
          <w:iCs/>
        </w:rPr>
      </w:pPr>
      <w:r>
        <w:rPr>
          <w:i/>
          <w:iCs/>
        </w:rPr>
        <w:tab/>
      </w:r>
      <w:r w:rsidRPr="0098405E">
        <w:rPr>
          <w:i/>
          <w:iCs/>
        </w:rPr>
        <w:t>Reserve Surplus Amortization Mechanism</w:t>
      </w:r>
    </w:p>
    <w:p w14:paraId="30C8DBC4" w14:textId="77777777" w:rsidR="00255B7F" w:rsidRDefault="00255B7F" w:rsidP="00255B7F">
      <w:pPr>
        <w:ind w:left="1440" w:hanging="1440"/>
        <w:rPr>
          <w:i/>
          <w:iCs/>
        </w:rPr>
      </w:pPr>
    </w:p>
    <w:p w14:paraId="24A3C0ED" w14:textId="77777777" w:rsidR="00255B7F" w:rsidRDefault="00255B7F" w:rsidP="00255B7F">
      <w:pPr>
        <w:ind w:left="1440" w:hanging="1440"/>
        <w:jc w:val="both"/>
      </w:pPr>
      <w:r>
        <w:tab/>
        <w:t xml:space="preserve">FCG proposes an RSAM that follows the same framework previously approved by this Commission.  FCG will use the RSAM to respond to changes in its underlying revenues and expenses in order to maintain an FPSC Adjusted ROE within the authorized range over the course of the four-year rate plan.  The record evidence in this case will demonstrate that the RSAM is only sufficient to allow FCG the opportunity to earn at its proposed midpoint ROE of 10.75 percent over the term of the four-year rate plan, which does not account for any inflationary costs, interest rate costs, and other risks incurred or to be incurred since the time FCG filed its base rate petition.  </w:t>
      </w:r>
    </w:p>
    <w:p w14:paraId="392D0BF4" w14:textId="77777777" w:rsidR="00255B7F" w:rsidRDefault="00255B7F" w:rsidP="00255B7F">
      <w:pPr>
        <w:ind w:left="1440" w:hanging="1440"/>
        <w:jc w:val="both"/>
      </w:pPr>
    </w:p>
    <w:p w14:paraId="103070E7" w14:textId="77777777" w:rsidR="00255B7F" w:rsidRDefault="00255B7F" w:rsidP="00255B7F">
      <w:pPr>
        <w:ind w:left="1440" w:hanging="1440"/>
        <w:jc w:val="both"/>
      </w:pPr>
      <w:r>
        <w:tab/>
        <w:t>FCG proposes a depreciation reserve amount of $25 million be available for use in the RSAM until base rates are reset following FCG’s next general base rate proceeding.  Consistent with how the mechanism has been structured in prior cases, FCG would have discretion to record increases to expense (debits) or decreases to expense (credits), provided that FCG would be subject to certain limitations in the use and amortization of the amount to maintain earnings within the authorized ROE range.</w:t>
      </w:r>
    </w:p>
    <w:p w14:paraId="2D67F88E" w14:textId="77777777" w:rsidR="00255B7F" w:rsidRDefault="00255B7F" w:rsidP="00255B7F">
      <w:pPr>
        <w:ind w:left="1440" w:hanging="1440"/>
        <w:jc w:val="both"/>
      </w:pPr>
    </w:p>
    <w:p w14:paraId="08B720A1" w14:textId="77777777" w:rsidR="00255B7F" w:rsidRDefault="00255B7F" w:rsidP="00255B7F">
      <w:pPr>
        <w:ind w:left="1440" w:hanging="1440"/>
        <w:jc w:val="both"/>
      </w:pPr>
      <w:r>
        <w:tab/>
        <w:t xml:space="preserve">Pursuant to Rule </w:t>
      </w:r>
      <w:r w:rsidRPr="009537D4">
        <w:t>25-7.0445</w:t>
      </w:r>
      <w:r>
        <w:t xml:space="preserve"> Depreciation, </w:t>
      </w:r>
      <w:r w:rsidR="00895480">
        <w:t>“F.A.C.”,</w:t>
      </w:r>
      <w:r>
        <w:t xml:space="preserve"> FCG prepared its 2022 Depreciation Study and calculated accruals resulting from the parameters identified in that Study.  FCG also calculated alternative depreciation parameters that, while different from those presented in the Company’s 2022 Depreciation Study, are reasonable for FCG’s system and support the use of the RSAM.  The alternative parameters were utilized to calculate RSAM-adjusted depreciation rates, which support the $25 million Reserve Amount (referenced above), reduce the annual revenue requirements by approximately $2.7 million and save customers nearly $10.8 million over the four-year term of FCG’s proposed plan.  FCG requests approval of the RSAM-adjusted depreciation rates as part of its four-year rate plan.</w:t>
      </w:r>
    </w:p>
    <w:p w14:paraId="746B6713" w14:textId="77777777" w:rsidR="00255B7F" w:rsidRDefault="00255B7F" w:rsidP="00255B7F">
      <w:pPr>
        <w:ind w:left="1440" w:hanging="1440"/>
        <w:jc w:val="both"/>
      </w:pPr>
    </w:p>
    <w:p w14:paraId="575E32A5" w14:textId="77777777" w:rsidR="00255B7F" w:rsidRDefault="00255B7F" w:rsidP="00255B7F">
      <w:pPr>
        <w:ind w:left="1440" w:hanging="1440"/>
        <w:rPr>
          <w:i/>
          <w:iCs/>
        </w:rPr>
      </w:pPr>
      <w:r>
        <w:rPr>
          <w:i/>
          <w:iCs/>
        </w:rPr>
        <w:tab/>
      </w:r>
      <w:r w:rsidRPr="0098405E">
        <w:rPr>
          <w:i/>
          <w:iCs/>
        </w:rPr>
        <w:t xml:space="preserve">Storm </w:t>
      </w:r>
      <w:r>
        <w:rPr>
          <w:i/>
          <w:iCs/>
        </w:rPr>
        <w:t>Damage Reserve</w:t>
      </w:r>
    </w:p>
    <w:p w14:paraId="53C9CFC3" w14:textId="77777777" w:rsidR="00255B7F" w:rsidRDefault="00255B7F" w:rsidP="00255B7F">
      <w:pPr>
        <w:ind w:left="1440" w:hanging="1440"/>
        <w:rPr>
          <w:i/>
          <w:iCs/>
        </w:rPr>
      </w:pPr>
    </w:p>
    <w:p w14:paraId="0034544B" w14:textId="77777777" w:rsidR="00255B7F" w:rsidRDefault="00255B7F" w:rsidP="00255B7F">
      <w:pPr>
        <w:ind w:left="1440" w:hanging="1440"/>
        <w:jc w:val="both"/>
      </w:pPr>
      <w:r>
        <w:tab/>
        <w:t>FCG proposes to continue to recover prudently incurred storm costs under the framework prescribed by the 2018 Settlement Agreement.  FCG is proposing to continue an annual Storm Damage Reserve accrual of $57,500 and a target reserve of $800,000, which is supported by a FPSC required independent assessment of FCG’s Stor</w:t>
      </w:r>
      <w:r w:rsidR="003C00BA">
        <w:t xml:space="preserve">m Damage Self-Insurance Reserve. </w:t>
      </w:r>
      <w:r>
        <w:t xml:space="preserve">The only modification FCG is proposing is to calculate and recover the storm related costs consistent with the Commission’s gas storm rule, Rule 25-7.0143 </w:t>
      </w:r>
      <w:r w:rsidRPr="00CF5626">
        <w:t>Use of Accumulated Provision Accounts 228.1, 228.2, and 228.4</w:t>
      </w:r>
      <w:r>
        <w:t>, F.A.C., which became effective June 28, 2021.</w:t>
      </w:r>
    </w:p>
    <w:p w14:paraId="72927CA9" w14:textId="77777777" w:rsidR="00255B7F" w:rsidRDefault="00255B7F" w:rsidP="00255B7F">
      <w:pPr>
        <w:ind w:left="1440" w:hanging="1440"/>
        <w:jc w:val="both"/>
      </w:pPr>
    </w:p>
    <w:p w14:paraId="78C5612B" w14:textId="77777777" w:rsidR="00255B7F" w:rsidRDefault="00255B7F" w:rsidP="00255B7F">
      <w:pPr>
        <w:ind w:left="1440" w:hanging="1440"/>
        <w:rPr>
          <w:i/>
          <w:iCs/>
        </w:rPr>
      </w:pPr>
      <w:r>
        <w:rPr>
          <w:i/>
          <w:iCs/>
        </w:rPr>
        <w:tab/>
      </w:r>
      <w:r w:rsidRPr="00FE5B3D">
        <w:rPr>
          <w:i/>
          <w:iCs/>
        </w:rPr>
        <w:t>Potential Change in Tax Law</w:t>
      </w:r>
    </w:p>
    <w:p w14:paraId="472DADED" w14:textId="77777777" w:rsidR="00255B7F" w:rsidRDefault="00255B7F" w:rsidP="00255B7F">
      <w:pPr>
        <w:ind w:left="1440" w:hanging="1440"/>
        <w:rPr>
          <w:i/>
          <w:iCs/>
        </w:rPr>
      </w:pPr>
    </w:p>
    <w:p w14:paraId="3E7627F4" w14:textId="77777777" w:rsidR="00255B7F" w:rsidRDefault="00255B7F" w:rsidP="00255B7F">
      <w:pPr>
        <w:ind w:left="1440" w:hanging="1440"/>
        <w:jc w:val="both"/>
      </w:pPr>
      <w:r>
        <w:tab/>
        <w:t xml:space="preserve">FCG requests that if a new tax law is passed during the pendency of or after this proceeding, the impact of tax reform be handled through subsequent base rate adjustments.  Within 90 days of the enactment of the new tax law, FCG would submit the calculation of the required change in base rates to the Commission for review.  </w:t>
      </w:r>
      <w:r w:rsidRPr="006D17E6">
        <w:t xml:space="preserve">If timing permits, FCG will submit a revised revenue requirement calculation for Commission consideration as part of FCG’s base rate request.  Otherwise, FCG will submit the calculation for Commission approval of a subsequent base rate adjustment.  In no instance will FCG defer incremental income tax expense for 2022 or request the tax-related base rate adjustment be implemented before February 1, 2023.  Depending on the nature of any final tax law, any deficient or excess deferred income taxes that arise will be deferred as a regulatory asset or liability on the balance sheet and included within FCG’s capital structure.  </w:t>
      </w:r>
    </w:p>
    <w:p w14:paraId="2D42252E" w14:textId="44170898" w:rsidR="00D85565" w:rsidRDefault="00D75CB5" w:rsidP="00F60021">
      <w:pPr>
        <w:ind w:left="1440" w:hanging="1440"/>
        <w:jc w:val="both"/>
        <w:rPr>
          <w:i/>
          <w:iCs/>
        </w:rPr>
      </w:pPr>
      <w:r>
        <w:rPr>
          <w:i/>
          <w:iCs/>
        </w:rPr>
        <w:tab/>
      </w:r>
    </w:p>
    <w:p w14:paraId="5D9925BC" w14:textId="77777777" w:rsidR="00D75CB5" w:rsidRDefault="00255B7F" w:rsidP="00D85565">
      <w:pPr>
        <w:ind w:left="1440"/>
        <w:rPr>
          <w:i/>
          <w:iCs/>
        </w:rPr>
      </w:pPr>
      <w:r w:rsidRPr="006D17E6">
        <w:rPr>
          <w:i/>
          <w:iCs/>
        </w:rPr>
        <w:t>SAFE Program Expansion</w:t>
      </w:r>
    </w:p>
    <w:p w14:paraId="574976D6" w14:textId="77777777" w:rsidR="00D85565" w:rsidRDefault="00D85565" w:rsidP="00D85565">
      <w:pPr>
        <w:ind w:left="1440"/>
        <w:rPr>
          <w:i/>
          <w:iCs/>
        </w:rPr>
      </w:pPr>
    </w:p>
    <w:p w14:paraId="3860CBE8" w14:textId="77777777" w:rsidR="00255B7F" w:rsidRDefault="00D75CB5" w:rsidP="00255B7F">
      <w:pPr>
        <w:ind w:left="1440" w:hanging="1440"/>
        <w:jc w:val="both"/>
      </w:pPr>
      <w:r>
        <w:tab/>
      </w:r>
      <w:r w:rsidR="00255B7F">
        <w:t xml:space="preserve">The current SAFE program is set to expire in 2025 based on the originally identified 254.3 miles of mains and services to be relocated from rear property easements to the street front locations over the initial ten-years of the program.  The Company is requesting approval to continue the SAFE program beyond its initial 2025 expiration date to include approximately 150 miles of additional mains and services that are currently located in rear property easements and eligible for replacement under the SAFE program.  As the Commission has previously found, mains and services located in rear property easements present operational and safety concerns, including the age of the facilities, limitations on the Company’s access to the facilities due to vegetation overgrowth, landscaping and construction in the easements, and potential gas theft or diversion and damages to the facilities.  </w:t>
      </w:r>
    </w:p>
    <w:p w14:paraId="747B46CA" w14:textId="77777777" w:rsidR="00070C96" w:rsidRDefault="00070C96" w:rsidP="00255B7F">
      <w:pPr>
        <w:ind w:left="1440" w:hanging="1440"/>
        <w:jc w:val="both"/>
      </w:pPr>
    </w:p>
    <w:p w14:paraId="3857A679" w14:textId="77777777" w:rsidR="00255B7F" w:rsidRDefault="00070C96" w:rsidP="00255B7F">
      <w:pPr>
        <w:ind w:left="1440" w:hanging="1440"/>
        <w:jc w:val="both"/>
      </w:pPr>
      <w:r>
        <w:tab/>
      </w:r>
      <w:r w:rsidR="00255B7F">
        <w:t>The Company is also requesting approval to expand the SAFE program cost recovery mechanism to include the capital investments necessary for the expedited replacement of approximately 160 miles of early vintage polymer pipelines and mains (a/k/a “orange pipe”), which has been studied by United States Department of Transportation Pipeline and Hazardous Materials Safety Administration (“</w:t>
      </w:r>
      <w:r w:rsidR="00255B7F" w:rsidRPr="00EA5276">
        <w:t>PHMSA</w:t>
      </w:r>
      <w:r w:rsidR="00255B7F">
        <w:t xml:space="preserve">”) and shown through industry research to exhibit premature failure in the form of cracking.  The Company will prioritize the replacement of this orange pipe based on age and highest risk.  </w:t>
      </w:r>
    </w:p>
    <w:p w14:paraId="159A49CD" w14:textId="77777777" w:rsidR="00070C96" w:rsidRDefault="00070C96" w:rsidP="00255B7F">
      <w:pPr>
        <w:ind w:left="1440" w:hanging="1440"/>
        <w:jc w:val="both"/>
      </w:pPr>
    </w:p>
    <w:p w14:paraId="5B0DE8C8" w14:textId="77777777" w:rsidR="00255B7F" w:rsidRDefault="00070C96" w:rsidP="00255B7F">
      <w:pPr>
        <w:ind w:left="1440" w:hanging="1440"/>
        <w:jc w:val="both"/>
      </w:pPr>
      <w:r>
        <w:tab/>
      </w:r>
      <w:r w:rsidR="00255B7F">
        <w:t>FCG’s proposed base rate increase does not include any costs or revenue requirements associated with its proposals to continue and expand the SAFE program.  Rather, if these proposals are approved in this proceeding, FCG will update the SAFE program in its next applicable annual SAFE filing to reflect the continuation and expansion of the SAFE program as described above.  As part of that annual SAFE filing, FCG will propose a new investment/construction schedule and term for the SAFE program.  The reasonableness and prudence of the projected and actual costs incurred, as well as the associated bill impacts, will continue to be reviewed as part of FCG’s annual SAFE filings.</w:t>
      </w:r>
    </w:p>
    <w:p w14:paraId="3FA81A0C" w14:textId="77777777" w:rsidR="00070C96" w:rsidRPr="00130619" w:rsidRDefault="00070C96" w:rsidP="00255B7F">
      <w:pPr>
        <w:ind w:left="1440" w:hanging="1440"/>
        <w:jc w:val="both"/>
      </w:pPr>
    </w:p>
    <w:p w14:paraId="2EFC0C96" w14:textId="77777777" w:rsidR="00255B7F" w:rsidRDefault="00070C96" w:rsidP="00255B7F">
      <w:pPr>
        <w:ind w:left="1440" w:hanging="1440"/>
        <w:jc w:val="both"/>
        <w:rPr>
          <w:i/>
          <w:iCs/>
        </w:rPr>
      </w:pPr>
      <w:r>
        <w:rPr>
          <w:i/>
          <w:iCs/>
        </w:rPr>
        <w:tab/>
      </w:r>
      <w:r w:rsidR="00255B7F" w:rsidRPr="006D17E6">
        <w:rPr>
          <w:i/>
          <w:iCs/>
        </w:rPr>
        <w:t>AMI Pilot</w:t>
      </w:r>
    </w:p>
    <w:p w14:paraId="167BA23F" w14:textId="77777777" w:rsidR="00070C96" w:rsidRDefault="00070C96" w:rsidP="00255B7F">
      <w:pPr>
        <w:ind w:left="1440" w:hanging="1440"/>
        <w:jc w:val="both"/>
        <w:rPr>
          <w:i/>
          <w:iCs/>
        </w:rPr>
      </w:pPr>
    </w:p>
    <w:p w14:paraId="200C16DE" w14:textId="77777777" w:rsidR="00255B7F" w:rsidRDefault="00070C96" w:rsidP="00255B7F">
      <w:pPr>
        <w:ind w:left="1440" w:hanging="1440"/>
        <w:jc w:val="both"/>
      </w:pPr>
      <w:r>
        <w:tab/>
      </w:r>
      <w:r w:rsidR="00255B7F">
        <w:t>FCG’s proposed AMI Pilot is a four-year</w:t>
      </w:r>
      <w:r w:rsidR="00255B7F" w:rsidDel="00611042">
        <w:t xml:space="preserve"> </w:t>
      </w:r>
      <w:r w:rsidR="00255B7F">
        <w:t>pilot to support the evaluation of system-wide deployment of AMI infrastructure in a future case.  The purpose of the AMI Pilot is to test and gain information and data on the deployment, use, benefits, and cost savings associated with AMI that includes two-way communications.  The AMI Pilot will also test and gather data on corrosion resistance and life of new smart meters, as well as the ability of FCG’s back-office information technology and billing systems to support and utilize the full potential of two-way communication smart meters.</w:t>
      </w:r>
    </w:p>
    <w:p w14:paraId="0AD5FD2C" w14:textId="77777777" w:rsidR="00070C96" w:rsidRDefault="00070C96" w:rsidP="00255B7F">
      <w:pPr>
        <w:ind w:left="1440" w:hanging="1440"/>
        <w:jc w:val="both"/>
      </w:pPr>
    </w:p>
    <w:p w14:paraId="4E5E2F24" w14:textId="77777777" w:rsidR="00255B7F" w:rsidRDefault="00070C96" w:rsidP="00255B7F">
      <w:pPr>
        <w:ind w:left="1440" w:hanging="1440"/>
        <w:jc w:val="both"/>
      </w:pPr>
      <w:r>
        <w:tab/>
      </w:r>
      <w:r w:rsidR="00255B7F">
        <w:t>The smart meters and AMI to be deployed under the AMI Pilot are similar to the AMI technology that is widely used by electric utilities, as well as a small number of other gas utilities across the nation.  The AMI Pilot will allow for automated daily and hourly remote meter reads for the smart meters installed.  The remote tracking of this data will allow for:  (a) reduced costs associated with driving routes to read meters on monthly basis; (b) remote disconnection of meters; (c) remote leak and outage detection capabilities; (d) more accurate billing; and (e) enhanced customer access to individualized data and usage information.</w:t>
      </w:r>
    </w:p>
    <w:p w14:paraId="0E434DB9" w14:textId="77777777" w:rsidR="00070C96" w:rsidRDefault="00070C96" w:rsidP="00255B7F">
      <w:pPr>
        <w:ind w:left="1440" w:hanging="1440"/>
        <w:jc w:val="both"/>
      </w:pPr>
    </w:p>
    <w:p w14:paraId="47097D49" w14:textId="77777777" w:rsidR="00255B7F" w:rsidRDefault="00070C96" w:rsidP="00255B7F">
      <w:pPr>
        <w:ind w:left="1440" w:hanging="1440"/>
        <w:jc w:val="both"/>
      </w:pPr>
      <w:r>
        <w:tab/>
      </w:r>
      <w:r w:rsidR="00255B7F">
        <w:t xml:space="preserve">The AMI Pilot will replace 5,000 residential meters in Brevard County.  These meters will be replaced with new state-of-the-art two-way meters that are more resilient to corrosion, which will avoid costs of accelerated retirement and replacement.  Thus, implementation of the AMI Pilot in Brevard County will allow FCG to test and gather data on the benefits associated with AMI, as well as the corrosion resistance and life of these new smart meters.  </w:t>
      </w:r>
    </w:p>
    <w:p w14:paraId="52183382" w14:textId="77777777" w:rsidR="00070C96" w:rsidRPr="00DA1ACD" w:rsidRDefault="00070C96" w:rsidP="00070C96">
      <w:pPr>
        <w:ind w:left="1440" w:firstLine="1440"/>
        <w:jc w:val="both"/>
      </w:pPr>
    </w:p>
    <w:p w14:paraId="057CE1D7" w14:textId="77777777" w:rsidR="00255B7F" w:rsidRDefault="00255B7F" w:rsidP="00070C96">
      <w:pPr>
        <w:ind w:firstLine="1440"/>
        <w:jc w:val="center"/>
        <w:rPr>
          <w:b/>
          <w:bCs/>
        </w:rPr>
      </w:pPr>
      <w:r>
        <w:rPr>
          <w:b/>
          <w:bCs/>
        </w:rPr>
        <w:t>Conclusion</w:t>
      </w:r>
    </w:p>
    <w:p w14:paraId="22F09FE4" w14:textId="77777777" w:rsidR="00070C96" w:rsidRPr="0098405E" w:rsidRDefault="00070C96" w:rsidP="00070C96">
      <w:pPr>
        <w:ind w:firstLine="1440"/>
        <w:jc w:val="center"/>
        <w:rPr>
          <w:b/>
          <w:bCs/>
        </w:rPr>
      </w:pPr>
    </w:p>
    <w:p w14:paraId="0432BCCE" w14:textId="77777777" w:rsidR="00255B7F" w:rsidRPr="00FE5B3D" w:rsidRDefault="00070C96" w:rsidP="00070C96">
      <w:pPr>
        <w:ind w:left="1440" w:hanging="1440"/>
        <w:jc w:val="both"/>
        <w:rPr>
          <w:rFonts w:eastAsia="Calibri"/>
          <w:b/>
          <w:bCs/>
          <w:szCs w:val="20"/>
        </w:rPr>
      </w:pPr>
      <w:r>
        <w:tab/>
      </w:r>
      <w:r w:rsidR="00255B7F" w:rsidRPr="007D59A8">
        <w:t xml:space="preserve">FCG’s proposed four-year rate plan will provide rate stability and certainty, will save customers nearly $10.8 million over the term of the four-year rate plan due to the </w:t>
      </w:r>
      <w:r w:rsidR="00255B7F">
        <w:t xml:space="preserve">implementation of the </w:t>
      </w:r>
      <w:r w:rsidR="00255B7F" w:rsidRPr="007D59A8">
        <w:t>RSAM-adjusted depreciation rates, avoid repetitive and costly rate proceedings saving customers an additional approximately $2.0 million in rate case expense in 2024, enable the Company to continue to meet the natural gas needs of existing and new customers, continue to provide safe, reliable, and high-quality customer service, and have a reasonable opportunity to earn a fair rate of return on the Company’s investments.</w:t>
      </w:r>
      <w:r w:rsidR="00255B7F">
        <w:t xml:space="preserve">  The record evidence in this case will demonstrate that if FCG’s proposed four-year rate plan with the RSAM is not approved, FCG would need to file an additional base rate case in 2024 and the overall, net cumulative increase in cash that would be paid by customers over the period 2023-2026 would be approximately $27.0 million more than as compared to FCG’s proposed four-year rate plan.  </w:t>
      </w:r>
    </w:p>
    <w:p w14:paraId="2981EF8C" w14:textId="77777777" w:rsidR="0054181C" w:rsidRDefault="0054181C" w:rsidP="00E50AC7">
      <w:pPr>
        <w:ind w:left="1440" w:hanging="1440"/>
        <w:jc w:val="both"/>
        <w:rPr>
          <w:b/>
          <w:bCs/>
        </w:rPr>
      </w:pPr>
    </w:p>
    <w:p w14:paraId="78CF96FC" w14:textId="1A850D5F" w:rsidR="0054181C" w:rsidRDefault="0054181C" w:rsidP="00E50AC7">
      <w:pPr>
        <w:ind w:left="1440" w:hanging="1440"/>
        <w:jc w:val="both"/>
        <w:rPr>
          <w:b/>
          <w:bCs/>
        </w:rPr>
      </w:pPr>
      <w:r>
        <w:rPr>
          <w:b/>
          <w:bCs/>
        </w:rPr>
        <w:t>OPC:</w:t>
      </w:r>
      <w:r>
        <w:rPr>
          <w:b/>
          <w:bCs/>
        </w:rPr>
        <w:tab/>
      </w:r>
      <w:r w:rsidR="00CE3AB5" w:rsidRPr="00996BBE">
        <w:t>The Office of Public Counsel’s (OPC) basic position in this case is that Florida City Gas (FCG) has the burden to prove that every aspect of their requested rate increase is appropriate</w:t>
      </w:r>
      <w:r w:rsidR="00CE3AB5">
        <w:t>. The case filed by FCG grossly overstates the revenue requirement needed to provide safe and reliable service. T</w:t>
      </w:r>
      <w:r w:rsidR="00CE3AB5" w:rsidRPr="00996BBE">
        <w:t>he Commission may only approve t</w:t>
      </w:r>
      <w:r w:rsidR="00CE3AB5">
        <w:t>he parts of FCG’s rate request which</w:t>
      </w:r>
      <w:r w:rsidR="00CE3AB5" w:rsidRPr="00996BBE">
        <w:t xml:space="preserve"> are fair, just, and reasonable. In today’s tough economic climate, FCG’s customers are already under great financial pressure, so any increase will have a significant impact on them. Now more than ever, the Commission must consid</w:t>
      </w:r>
      <w:r w:rsidR="00CE3AB5">
        <w:t>er that impact when evaluating</w:t>
      </w:r>
      <w:r w:rsidR="00CE3AB5" w:rsidRPr="00996BBE">
        <w:t xml:space="preserve"> FCG’s </w:t>
      </w:r>
      <w:r w:rsidR="00CE3AB5">
        <w:t>rate request</w:t>
      </w:r>
      <w:r w:rsidR="00CE3AB5" w:rsidRPr="00996BBE">
        <w:t xml:space="preserve">. There are aspects of FCG’s rate </w:t>
      </w:r>
      <w:r w:rsidR="00CE3AB5">
        <w:t>request</w:t>
      </w:r>
      <w:r w:rsidR="00CE3AB5" w:rsidRPr="00996BBE">
        <w:t>, like the</w:t>
      </w:r>
      <w:r w:rsidR="00CE3AB5">
        <w:t xml:space="preserve"> inflated equity ratio, excessive profit request,</w:t>
      </w:r>
      <w:r w:rsidR="00CE3AB5" w:rsidRPr="00996BBE">
        <w:t xml:space="preserve"> </w:t>
      </w:r>
      <w:r w:rsidR="00CE3AB5">
        <w:t xml:space="preserve">proposed </w:t>
      </w:r>
      <w:r w:rsidR="00CE3AB5" w:rsidRPr="00996BBE">
        <w:t>RSAM</w:t>
      </w:r>
      <w:r w:rsidR="00CE3AB5">
        <w:t>,</w:t>
      </w:r>
      <w:r w:rsidR="00CE3AB5" w:rsidRPr="00996BBE">
        <w:t xml:space="preserve"> and the </w:t>
      </w:r>
      <w:r w:rsidR="00CE3AB5">
        <w:t xml:space="preserve">effort to resurrect an extinguished </w:t>
      </w:r>
      <w:r w:rsidR="00CE3AB5" w:rsidRPr="00996BBE">
        <w:t>acquisition adjustment</w:t>
      </w:r>
      <w:r w:rsidR="00CE3AB5">
        <w:t>,</w:t>
      </w:r>
      <w:r w:rsidR="00CE3AB5" w:rsidRPr="00996BBE">
        <w:t xml:space="preserve"> to name a few, that the Commission must disallow as they are inappropriate and inconsistent with the Commission’s </w:t>
      </w:r>
      <w:r w:rsidR="00CE3AB5">
        <w:t>established policy</w:t>
      </w:r>
      <w:r w:rsidR="00CE3AB5" w:rsidRPr="00996BBE">
        <w:t xml:space="preserve">. OPC’s </w:t>
      </w:r>
      <w:r w:rsidR="00CE3AB5">
        <w:t xml:space="preserve">expert </w:t>
      </w:r>
      <w:r w:rsidR="00CE3AB5" w:rsidRPr="00996BBE">
        <w:t xml:space="preserve">witnesses, Helmuth </w:t>
      </w:r>
      <w:r w:rsidR="00CE3AB5">
        <w:t xml:space="preserve">W. </w:t>
      </w:r>
      <w:r w:rsidR="00CE3AB5" w:rsidRPr="00996BBE">
        <w:t>Schultz</w:t>
      </w:r>
      <w:r w:rsidR="00CE3AB5">
        <w:t>,</w:t>
      </w:r>
      <w:r w:rsidR="00CE3AB5" w:rsidRPr="00996BBE">
        <w:t xml:space="preserve"> III and David Garrett</w:t>
      </w:r>
      <w:r w:rsidR="00CE3AB5">
        <w:t>,</w:t>
      </w:r>
      <w:r w:rsidR="00CE3AB5" w:rsidRPr="00996BBE">
        <w:t xml:space="preserve"> will testify in depth about the flawed aspects of FCG’s requested rate increase. </w:t>
      </w:r>
      <w:r w:rsidR="00CE3AB5">
        <w:t>Ultimately, the Commission must hold FCG to its burden and only approve the portions of FCG’s rate request which are fair, just, and reasonable.</w:t>
      </w:r>
      <w:r w:rsidR="00CE3AB5" w:rsidRPr="005A01C4">
        <w:t xml:space="preserve"> </w:t>
      </w:r>
      <w:r w:rsidR="00CE3AB5">
        <w:t>The Commission does not possess the authority to create the RSAM in a contested hearing by artificially manipulating depreciation parameters and expense. Likewise, the Commission lacks the authority to agree to the unenforceable, illusory four year rate plan proposed by FCG.</w:t>
      </w:r>
    </w:p>
    <w:p w14:paraId="4EE04C8A" w14:textId="77777777" w:rsidR="0054181C" w:rsidRDefault="0054181C" w:rsidP="00E50AC7">
      <w:pPr>
        <w:ind w:left="1440" w:hanging="1440"/>
        <w:jc w:val="both"/>
        <w:rPr>
          <w:b/>
          <w:bCs/>
        </w:rPr>
      </w:pPr>
    </w:p>
    <w:p w14:paraId="0DE521E1" w14:textId="77777777" w:rsidR="00895CB4" w:rsidRPr="00102C52" w:rsidRDefault="0054181C" w:rsidP="001F7B35">
      <w:pPr>
        <w:adjustRightInd w:val="0"/>
        <w:ind w:left="1440" w:hanging="1440"/>
        <w:jc w:val="both"/>
      </w:pPr>
      <w:r>
        <w:rPr>
          <w:b/>
          <w:bCs/>
        </w:rPr>
        <w:t>FEA:</w:t>
      </w:r>
      <w:r>
        <w:rPr>
          <w:b/>
          <w:bCs/>
        </w:rPr>
        <w:tab/>
      </w:r>
      <w:r w:rsidR="00895CB4" w:rsidRPr="00102C52">
        <w:t>FEA filed testimony regarding investors’ required return on equity for Florida City Gas (“FCG”).  FEA’s recommendation is predicated on a well-balanced and reasoned approach that relied on several market models and the resulting estimates from the application of those models.  FEA’s recommendation represents fair compensation for FCG’s investment risk</w:t>
      </w:r>
      <w:r w:rsidR="00895CB4">
        <w:t>,</w:t>
      </w:r>
      <w:r w:rsidR="00895CB4" w:rsidRPr="00102C52">
        <w:t xml:space="preserve"> is based on the current and expected economic environment,</w:t>
      </w:r>
      <w:r w:rsidR="00895CB4">
        <w:t xml:space="preserve"> </w:t>
      </w:r>
      <w:r w:rsidR="00895CB4" w:rsidRPr="00102C52">
        <w:t>and will provide an equitable balance between customers and shareholders.  As shown in FEA’s testimony</w:t>
      </w:r>
      <w:r w:rsidR="00895CB4">
        <w:t>,</w:t>
      </w:r>
      <w:r w:rsidR="00895CB4" w:rsidRPr="00102C52">
        <w:t xml:space="preserve"> the proximity of FEA’s recommended range of 9.0%-9.80%, and recommended </w:t>
      </w:r>
      <w:r w:rsidR="00895CB4">
        <w:t>return on equity</w:t>
      </w:r>
      <w:r w:rsidR="00895CB4" w:rsidRPr="00102C52">
        <w:t xml:space="preserve"> of 9.40%, are reasonable and just in this proceeding. </w:t>
      </w:r>
    </w:p>
    <w:p w14:paraId="2A515CC0" w14:textId="77777777" w:rsidR="00895CB4" w:rsidRDefault="00895CB4" w:rsidP="00895CB4">
      <w:pPr>
        <w:tabs>
          <w:tab w:val="left" w:pos="720"/>
        </w:tabs>
        <w:adjustRightInd w:val="0"/>
        <w:ind w:left="1440" w:hanging="1440"/>
        <w:jc w:val="both"/>
      </w:pPr>
    </w:p>
    <w:p w14:paraId="0E600B71" w14:textId="77777777" w:rsidR="00895CB4" w:rsidRPr="00102C52" w:rsidRDefault="001F7B35" w:rsidP="00895CB4">
      <w:pPr>
        <w:tabs>
          <w:tab w:val="left" w:pos="720"/>
        </w:tabs>
        <w:adjustRightInd w:val="0"/>
        <w:ind w:left="1440" w:hanging="1440"/>
        <w:jc w:val="both"/>
      </w:pPr>
      <w:r>
        <w:tab/>
      </w:r>
      <w:r w:rsidR="00895CB4">
        <w:tab/>
      </w:r>
      <w:r w:rsidR="00895CB4" w:rsidRPr="00102C52">
        <w:t xml:space="preserve">FEA also filed testimony regarding class cost of service (“CCOS”) and rate design.  FCG’s CCOS study does not accurately reflect class cost causation because it uses the Peak and Average (“P&amp;A”) method to allocate the cost of mains to customer classes and also fails to classify and allocate any distribution mains cost on a customer basis.  </w:t>
      </w:r>
    </w:p>
    <w:p w14:paraId="15A3B1CA" w14:textId="77777777" w:rsidR="00895CB4" w:rsidRDefault="00895CB4" w:rsidP="00895CB4">
      <w:pPr>
        <w:tabs>
          <w:tab w:val="left" w:pos="720"/>
        </w:tabs>
        <w:adjustRightInd w:val="0"/>
        <w:ind w:left="1440" w:hanging="1440"/>
        <w:jc w:val="both"/>
      </w:pPr>
    </w:p>
    <w:p w14:paraId="43E84DA7" w14:textId="77777777" w:rsidR="00895CB4" w:rsidRPr="00102C52" w:rsidRDefault="001F7B35" w:rsidP="00895CB4">
      <w:pPr>
        <w:tabs>
          <w:tab w:val="left" w:pos="720"/>
        </w:tabs>
        <w:adjustRightInd w:val="0"/>
        <w:ind w:left="1440" w:hanging="1440"/>
        <w:jc w:val="both"/>
      </w:pPr>
      <w:r>
        <w:tab/>
      </w:r>
      <w:r w:rsidR="00895CB4">
        <w:tab/>
      </w:r>
      <w:r w:rsidR="00895CB4" w:rsidRPr="00102C52">
        <w:t xml:space="preserve">FCG bases its class revenue allocation on its proposed P&amp;A CCOS study.  Since FCG’s CCOS study does not accurately reflect cost causation, FEA recommends an alternative allocation of any revenue increase to customers.  </w:t>
      </w:r>
    </w:p>
    <w:p w14:paraId="41F7CD25" w14:textId="77777777" w:rsidR="00895CB4" w:rsidRDefault="00895CB4" w:rsidP="00895CB4">
      <w:pPr>
        <w:tabs>
          <w:tab w:val="left" w:pos="720"/>
        </w:tabs>
        <w:adjustRightInd w:val="0"/>
        <w:ind w:left="1440" w:hanging="1440"/>
        <w:jc w:val="both"/>
      </w:pPr>
    </w:p>
    <w:p w14:paraId="5A85D73C" w14:textId="77777777" w:rsidR="00895CB4" w:rsidRPr="00102C52" w:rsidRDefault="001F7B35" w:rsidP="00895CB4">
      <w:pPr>
        <w:tabs>
          <w:tab w:val="left" w:pos="720"/>
        </w:tabs>
        <w:adjustRightInd w:val="0"/>
        <w:ind w:left="1440" w:hanging="1440"/>
        <w:jc w:val="both"/>
      </w:pPr>
      <w:r>
        <w:tab/>
      </w:r>
      <w:r w:rsidR="00895CB4">
        <w:tab/>
      </w:r>
      <w:r w:rsidR="00895CB4" w:rsidRPr="00102C52">
        <w:t xml:space="preserve">FCG has also not justified its significant increase in its requested rate case expense.  The requested increase is a 63% increase from the prior rate case.  FEA recommends that the Commission limit the recovery of rate case expense to the amount approved in the prior case adjusted for inflation, or approximately $1.427 million.  </w:t>
      </w:r>
    </w:p>
    <w:p w14:paraId="5B9F0DFC" w14:textId="77777777" w:rsidR="00895CB4" w:rsidRDefault="00895CB4" w:rsidP="00895CB4">
      <w:pPr>
        <w:ind w:left="1440" w:hanging="1440"/>
        <w:jc w:val="both"/>
      </w:pPr>
    </w:p>
    <w:p w14:paraId="7FE859AE" w14:textId="297C184D" w:rsidR="0054181C" w:rsidRDefault="00895CB4" w:rsidP="00895CB4">
      <w:pPr>
        <w:ind w:left="1440" w:hanging="1440"/>
        <w:jc w:val="both"/>
        <w:rPr>
          <w:b/>
          <w:bCs/>
        </w:rPr>
      </w:pPr>
      <w:r>
        <w:tab/>
      </w:r>
      <w:r w:rsidRPr="00102C52">
        <w:t>FEA also submitted testimony regarding FCG’s proposed Reserve Surplus Amortization Mechanism (“RSAM”).  It is FEA’s position that the RSAM should be denied because it does not incent</w:t>
      </w:r>
      <w:r>
        <w:t>ivize</w:t>
      </w:r>
      <w:r w:rsidRPr="00102C52">
        <w:t xml:space="preserve"> FCG to manage its costs efficiently to the benefit of its customers if it is automatically guaranteed its approved rate of return. The proposed RSAM is an imbalanced regulatory mechanism, shifting revenue recovery risk to its customers and therefore, is inappropriate.</w:t>
      </w:r>
    </w:p>
    <w:p w14:paraId="0FC55FF3" w14:textId="77777777" w:rsidR="0054181C" w:rsidRDefault="0054181C" w:rsidP="00E50AC7">
      <w:pPr>
        <w:ind w:left="1440" w:hanging="1440"/>
        <w:jc w:val="both"/>
        <w:rPr>
          <w:b/>
          <w:bCs/>
        </w:rPr>
      </w:pPr>
    </w:p>
    <w:p w14:paraId="21FEAAF2" w14:textId="77777777" w:rsidR="0054181C" w:rsidRDefault="0054181C" w:rsidP="00E50AC7">
      <w:pPr>
        <w:ind w:left="1440" w:hanging="1440"/>
        <w:jc w:val="both"/>
        <w:rPr>
          <w:b/>
          <w:bCs/>
        </w:rPr>
      </w:pPr>
      <w:r>
        <w:rPr>
          <w:b/>
          <w:bCs/>
        </w:rPr>
        <w:t>FIPUG:</w:t>
      </w:r>
      <w:r>
        <w:rPr>
          <w:b/>
          <w:bCs/>
        </w:rPr>
        <w:tab/>
      </w:r>
      <w:bookmarkStart w:id="5" w:name="_Hlk115439899"/>
      <w:r w:rsidR="00037057">
        <w:t>Florida City Gas (“FCG”) seeks to increase its customers’ base rates during these challenging economic times marked by high inflation and the real threat of an economic recession.  FCG’s request for a midpoint return on equity (“ROE”) of 10.75%, its $29 million dollar rate increase, and its proposed 59.6% equity ratio are excessive and should be reduced.  FCG must meet its burden of proof in this matter in all respects.  FIPUG further adopts the positions of the Office of Public Counsel in this matter as if fully set forth herein.</w:t>
      </w:r>
      <w:bookmarkEnd w:id="5"/>
    </w:p>
    <w:p w14:paraId="41F0CC32" w14:textId="77777777" w:rsidR="0054181C" w:rsidRDefault="0054181C" w:rsidP="00E50AC7">
      <w:pPr>
        <w:ind w:left="1440" w:hanging="1440"/>
        <w:jc w:val="both"/>
        <w:rPr>
          <w:b/>
          <w:bCs/>
        </w:rPr>
      </w:pPr>
    </w:p>
    <w:p w14:paraId="4DD6828A" w14:textId="77777777" w:rsidR="00E50AC7" w:rsidRDefault="00E50AC7" w:rsidP="008A6E64">
      <w:pPr>
        <w:ind w:left="1440" w:hanging="1440"/>
        <w:jc w:val="both"/>
      </w:pPr>
      <w:r w:rsidRPr="005D4B47">
        <w:rPr>
          <w:b/>
          <w:bCs/>
        </w:rPr>
        <w:t>STAFF</w:t>
      </w:r>
      <w:r w:rsidRPr="00701945">
        <w:rPr>
          <w:b/>
          <w:bCs/>
        </w:rPr>
        <w:t>:</w:t>
      </w:r>
      <w:r>
        <w:rPr>
          <w:b/>
          <w:bCs/>
        </w:rPr>
        <w:tab/>
      </w:r>
      <w:r w:rsidR="00082E19">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14:paraId="395AC2F2" w14:textId="77777777" w:rsidR="00D85565" w:rsidRDefault="00D85565" w:rsidP="008A6E64">
      <w:pPr>
        <w:ind w:left="1440" w:hanging="1440"/>
        <w:jc w:val="both"/>
      </w:pPr>
    </w:p>
    <w:p w14:paraId="69F59D72" w14:textId="77777777" w:rsidR="00D85565" w:rsidRDefault="00D85565" w:rsidP="008A6E64">
      <w:pPr>
        <w:ind w:left="1440" w:hanging="1440"/>
        <w:jc w:val="both"/>
      </w:pPr>
    </w:p>
    <w:p w14:paraId="0EA60EF6" w14:textId="20DD765B" w:rsidR="00E50AC7" w:rsidRDefault="00E50AC7" w:rsidP="00E50AC7">
      <w:pPr>
        <w:jc w:val="both"/>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6B123954" w14:textId="118290F3" w:rsidR="002963BD" w:rsidRDefault="002963BD" w:rsidP="00E50AC7">
      <w:pPr>
        <w:jc w:val="both"/>
      </w:pPr>
    </w:p>
    <w:p w14:paraId="35311238" w14:textId="68D1465C" w:rsidR="001F536A" w:rsidRPr="001F536A" w:rsidRDefault="002963BD" w:rsidP="001F536A">
      <w:pPr>
        <w:jc w:val="both"/>
      </w:pPr>
      <w:r>
        <w:tab/>
      </w:r>
      <w:r w:rsidRPr="002963BD">
        <w:t xml:space="preserve">OPC’s Proposed Issues A-D and F-I, were not accepted. </w:t>
      </w:r>
      <w:r w:rsidR="001F536A" w:rsidRPr="001F536A">
        <w:t>By consent, the Parties approved OPC’s Proposed Exhibit E, which has been moved to Issue 39. Also, by consent, Issue 10 has been withdrawn and is removed from the Prehearing Order. The Prehearing order has been renumbered to reflect all changes. SCGC’s Proposed Issues J and K were withdrawn when SCGC withdrew from this docket.</w:t>
      </w:r>
    </w:p>
    <w:p w14:paraId="6142C9C7" w14:textId="77777777" w:rsidR="00D328A5" w:rsidRPr="00D328A5" w:rsidRDefault="00D328A5" w:rsidP="00E50AC7">
      <w:pPr>
        <w:jc w:val="both"/>
      </w:pPr>
    </w:p>
    <w:p w14:paraId="5A43CA4E" w14:textId="77777777" w:rsidR="00D328A5" w:rsidRPr="008C76AE" w:rsidRDefault="00D328A5" w:rsidP="00D328A5">
      <w:pPr>
        <w:pStyle w:val="Default"/>
        <w:jc w:val="center"/>
        <w:rPr>
          <w:b/>
          <w:bCs/>
          <w:u w:val="single"/>
        </w:rPr>
      </w:pPr>
      <w:r w:rsidRPr="008C76AE">
        <w:rPr>
          <w:b/>
          <w:bCs/>
          <w:u w:val="single"/>
        </w:rPr>
        <w:t>TEST PERIOD AND FORECASTING</w:t>
      </w:r>
    </w:p>
    <w:p w14:paraId="75B50B91" w14:textId="77777777" w:rsidR="00D328A5" w:rsidRPr="008C76AE" w:rsidRDefault="00D328A5" w:rsidP="00D328A5">
      <w:pPr>
        <w:pStyle w:val="Default"/>
        <w:jc w:val="center"/>
        <w:rPr>
          <w:b/>
          <w:bCs/>
        </w:rPr>
      </w:pPr>
    </w:p>
    <w:p w14:paraId="3D89B5D5" w14:textId="77777777" w:rsidR="00D328A5" w:rsidRPr="00B32031" w:rsidRDefault="00D328A5" w:rsidP="00D328A5">
      <w:pPr>
        <w:pStyle w:val="Default"/>
        <w:numPr>
          <w:ilvl w:val="0"/>
          <w:numId w:val="2"/>
        </w:numPr>
        <w:ind w:left="1440" w:hanging="1440"/>
        <w:jc w:val="both"/>
        <w:rPr>
          <w:b/>
        </w:rPr>
      </w:pPr>
      <w:r w:rsidRPr="00B32031">
        <w:rPr>
          <w:b/>
        </w:rPr>
        <w:t>Is FCG’s projected test period of the twelve months ending December 31, 2023, appropriate?</w:t>
      </w:r>
    </w:p>
    <w:p w14:paraId="67118577" w14:textId="77777777" w:rsidR="00D328A5" w:rsidRDefault="00D328A5" w:rsidP="00D328A5">
      <w:pPr>
        <w:pStyle w:val="Default"/>
        <w:ind w:left="1440" w:hanging="1440"/>
        <w:jc w:val="both"/>
      </w:pPr>
    </w:p>
    <w:p w14:paraId="263A2550" w14:textId="77777777" w:rsidR="00070C96" w:rsidRPr="00070C96" w:rsidRDefault="00070C96" w:rsidP="00070C96">
      <w:pPr>
        <w:ind w:left="1440" w:hanging="1440"/>
        <w:jc w:val="both"/>
        <w:rPr>
          <w:bCs/>
        </w:rPr>
      </w:pPr>
      <w:r>
        <w:rPr>
          <w:b/>
          <w:bCs/>
        </w:rPr>
        <w:t>FCG:</w:t>
      </w:r>
      <w:r>
        <w:rPr>
          <w:b/>
          <w:bCs/>
        </w:rPr>
        <w:tab/>
      </w:r>
      <w:r w:rsidR="006F034C" w:rsidRPr="00471540">
        <w:rPr>
          <w:rFonts w:eastAsia="Calibri"/>
          <w:color w:val="000000"/>
        </w:rPr>
        <w:t xml:space="preserve">Yes. The Company’s petition requests an increase in base rates effective February 1, 2023. </w:t>
      </w:r>
      <w:r w:rsidR="006F034C">
        <w:rPr>
          <w:rFonts w:eastAsia="Calibri"/>
          <w:color w:val="000000"/>
        </w:rPr>
        <w:t xml:space="preserve"> </w:t>
      </w:r>
      <w:r w:rsidR="006F034C" w:rsidRPr="00471540">
        <w:rPr>
          <w:rFonts w:eastAsia="Calibri"/>
          <w:color w:val="000000"/>
        </w:rPr>
        <w:t>Accordingly, 2023 is the most appropriate year to evaluate the Company’s projected revenue requirements to afford the appropriate match between revenues and revenue requirements for 2023.</w:t>
      </w:r>
      <w:r w:rsidR="006F034C">
        <w:rPr>
          <w:rFonts w:eastAsia="Calibri"/>
          <w:color w:val="000000"/>
        </w:rPr>
        <w:t xml:space="preserve">  (Campbell)</w:t>
      </w:r>
    </w:p>
    <w:p w14:paraId="1FB623F0" w14:textId="77777777" w:rsidR="00070C96" w:rsidRPr="00070C96" w:rsidRDefault="00070C96" w:rsidP="00070C96">
      <w:pPr>
        <w:ind w:left="1440" w:hanging="1440"/>
        <w:jc w:val="both"/>
        <w:rPr>
          <w:bCs/>
        </w:rPr>
      </w:pPr>
    </w:p>
    <w:p w14:paraId="298D78AB" w14:textId="77777777" w:rsidR="00070C96" w:rsidRPr="00070C96" w:rsidRDefault="00070C96" w:rsidP="00070C96">
      <w:pPr>
        <w:ind w:left="1440" w:hanging="1440"/>
        <w:jc w:val="both"/>
        <w:rPr>
          <w:bCs/>
        </w:rPr>
      </w:pPr>
      <w:r>
        <w:rPr>
          <w:b/>
          <w:bCs/>
        </w:rPr>
        <w:t>OPC:</w:t>
      </w:r>
      <w:r>
        <w:rPr>
          <w:b/>
          <w:bCs/>
        </w:rPr>
        <w:tab/>
      </w:r>
      <w:r w:rsidR="00B32031">
        <w:t>No. If there are no imminent plans to merge the company with another and with appropriate adjustments, the proposed 2023 test year may be representative of the period of time in which rates will be in effect. FCG has failed to meet its burden of demonstrating the appropriateness of the test year since it has refused to demonstrate that there will be no merger activities that will affect the appropriateness of the test year. (Schultz)</w:t>
      </w:r>
    </w:p>
    <w:p w14:paraId="335B00BA" w14:textId="77777777" w:rsidR="00070C96" w:rsidRPr="00070C96" w:rsidRDefault="00070C96" w:rsidP="00070C96">
      <w:pPr>
        <w:ind w:left="1440" w:hanging="1440"/>
        <w:jc w:val="both"/>
        <w:rPr>
          <w:bCs/>
        </w:rPr>
      </w:pPr>
    </w:p>
    <w:p w14:paraId="4537B9C9" w14:textId="77777777" w:rsidR="00070C96" w:rsidRPr="00070C96" w:rsidRDefault="00070C96" w:rsidP="00070C96">
      <w:pPr>
        <w:ind w:left="1440" w:hanging="1440"/>
        <w:jc w:val="both"/>
        <w:rPr>
          <w:bCs/>
        </w:rPr>
      </w:pPr>
      <w:r>
        <w:rPr>
          <w:b/>
          <w:bCs/>
        </w:rPr>
        <w:t>FEA:</w:t>
      </w:r>
      <w:r>
        <w:rPr>
          <w:b/>
          <w:bCs/>
        </w:rPr>
        <w:tab/>
      </w:r>
      <w:r w:rsidR="005D30B5">
        <w:t>No position.</w:t>
      </w:r>
    </w:p>
    <w:p w14:paraId="05DF222C" w14:textId="77777777" w:rsidR="00070C96" w:rsidRPr="00070C96" w:rsidRDefault="00070C96" w:rsidP="00070C96">
      <w:pPr>
        <w:ind w:left="1440" w:hanging="1440"/>
        <w:jc w:val="both"/>
        <w:rPr>
          <w:bCs/>
        </w:rPr>
      </w:pPr>
    </w:p>
    <w:p w14:paraId="5C2EB6C4" w14:textId="77777777" w:rsidR="00070C96" w:rsidRPr="00070C96" w:rsidRDefault="00070C96" w:rsidP="00070C96">
      <w:pPr>
        <w:ind w:left="1440" w:hanging="1440"/>
        <w:jc w:val="both"/>
        <w:rPr>
          <w:bCs/>
        </w:rPr>
      </w:pPr>
      <w:r>
        <w:rPr>
          <w:b/>
          <w:bCs/>
        </w:rPr>
        <w:t>FIPUG:</w:t>
      </w:r>
      <w:r>
        <w:rPr>
          <w:b/>
          <w:bCs/>
        </w:rPr>
        <w:tab/>
      </w:r>
      <w:r w:rsidR="00037057" w:rsidRPr="003D62FB">
        <w:rPr>
          <w:bCs/>
          <w:color w:val="000000"/>
        </w:rPr>
        <w:t>Adopt position of OPC.</w:t>
      </w:r>
    </w:p>
    <w:p w14:paraId="69302143" w14:textId="77777777" w:rsidR="00070C96" w:rsidRPr="00070C96" w:rsidRDefault="00070C96" w:rsidP="00070C96">
      <w:pPr>
        <w:pStyle w:val="Default"/>
        <w:ind w:left="1440" w:hanging="1440"/>
        <w:jc w:val="both"/>
      </w:pPr>
      <w:r w:rsidRPr="005D4B47">
        <w:rPr>
          <w:b/>
          <w:bCs/>
        </w:rPr>
        <w:t>STAFF</w:t>
      </w:r>
      <w:r w:rsidRPr="00701945">
        <w:rPr>
          <w:b/>
          <w:bCs/>
        </w:rPr>
        <w:t>:</w:t>
      </w:r>
      <w:r>
        <w:rPr>
          <w:b/>
          <w:bCs/>
        </w:rPr>
        <w:tab/>
      </w:r>
      <w:r w:rsidR="00082E19">
        <w:t>No position.</w:t>
      </w:r>
    </w:p>
    <w:p w14:paraId="767905BE" w14:textId="77777777" w:rsidR="00D328A5" w:rsidRDefault="00D328A5" w:rsidP="00D328A5">
      <w:pPr>
        <w:pStyle w:val="Default"/>
        <w:ind w:left="1440" w:hanging="1440"/>
        <w:jc w:val="both"/>
      </w:pPr>
    </w:p>
    <w:p w14:paraId="1BDE3446" w14:textId="77777777" w:rsidR="00070C96" w:rsidRPr="00070C96" w:rsidRDefault="00070C96" w:rsidP="00D328A5">
      <w:pPr>
        <w:pStyle w:val="Default"/>
        <w:ind w:left="1440" w:hanging="1440"/>
        <w:jc w:val="both"/>
      </w:pPr>
    </w:p>
    <w:p w14:paraId="36882AC9" w14:textId="77777777" w:rsidR="00D328A5" w:rsidRPr="00B32031" w:rsidRDefault="00D328A5" w:rsidP="00D328A5">
      <w:pPr>
        <w:pStyle w:val="Default"/>
        <w:numPr>
          <w:ilvl w:val="0"/>
          <w:numId w:val="2"/>
        </w:numPr>
        <w:ind w:left="1440" w:hanging="1440"/>
        <w:jc w:val="both"/>
        <w:rPr>
          <w:b/>
        </w:rPr>
      </w:pPr>
      <w:r w:rsidRPr="00B32031">
        <w:rPr>
          <w:b/>
        </w:rPr>
        <w:t>Are FCG’s forecasts of customer and therms by rate class for the projected test year ending December 31, 2023, appropriate? If not, w</w:t>
      </w:r>
      <w:r w:rsidR="00B32031">
        <w:rPr>
          <w:b/>
        </w:rPr>
        <w:t>hat adjustments should be made?</w:t>
      </w:r>
    </w:p>
    <w:p w14:paraId="20DE3431" w14:textId="77777777" w:rsidR="00D328A5" w:rsidRDefault="00D328A5" w:rsidP="00D328A5">
      <w:pPr>
        <w:pStyle w:val="Default"/>
        <w:ind w:left="1440" w:hanging="1440"/>
        <w:jc w:val="both"/>
      </w:pPr>
    </w:p>
    <w:p w14:paraId="0785071C" w14:textId="77777777" w:rsidR="00070C96" w:rsidRPr="00070C96" w:rsidRDefault="00070C96" w:rsidP="00070C96">
      <w:pPr>
        <w:ind w:left="1440" w:hanging="1440"/>
        <w:jc w:val="both"/>
        <w:rPr>
          <w:bCs/>
        </w:rPr>
      </w:pPr>
      <w:r>
        <w:rPr>
          <w:b/>
          <w:bCs/>
        </w:rPr>
        <w:t>FCG:</w:t>
      </w:r>
      <w:r>
        <w:rPr>
          <w:b/>
          <w:bCs/>
        </w:rPr>
        <w:tab/>
      </w:r>
      <w:r w:rsidR="006F034C" w:rsidRPr="00471540">
        <w:rPr>
          <w:rFonts w:eastAsia="Calibri"/>
          <w:color w:val="000000"/>
        </w:rPr>
        <w:t>Yes.  FCG relie</w:t>
      </w:r>
      <w:r w:rsidR="006F034C">
        <w:rPr>
          <w:rFonts w:eastAsia="Calibri"/>
          <w:color w:val="000000"/>
        </w:rPr>
        <w:t>d</w:t>
      </w:r>
      <w:r w:rsidR="006F034C" w:rsidRPr="00471540">
        <w:rPr>
          <w:rFonts w:eastAsia="Calibri"/>
          <w:color w:val="000000"/>
        </w:rPr>
        <w:t xml:space="preserve"> on statistically sound forecasting methods and reasonable input assumptions</w:t>
      </w:r>
      <w:r w:rsidR="006F034C" w:rsidRPr="004F4E86">
        <w:rPr>
          <w:rFonts w:eastAsia="Calibri"/>
          <w:color w:val="000000"/>
        </w:rPr>
        <w:t xml:space="preserve"> </w:t>
      </w:r>
      <w:r w:rsidR="006F034C">
        <w:rPr>
          <w:rFonts w:eastAsia="Calibri"/>
          <w:color w:val="000000"/>
        </w:rPr>
        <w:t xml:space="preserve">to </w:t>
      </w:r>
      <w:r w:rsidR="006F034C" w:rsidRPr="00471540">
        <w:rPr>
          <w:rFonts w:eastAsia="Calibri"/>
          <w:color w:val="000000"/>
        </w:rPr>
        <w:t xml:space="preserve">forecast customers and therms by rate class for the 2023 projected </w:t>
      </w:r>
      <w:r w:rsidR="006F034C">
        <w:rPr>
          <w:rFonts w:eastAsia="Calibri"/>
          <w:color w:val="000000"/>
        </w:rPr>
        <w:t>T</w:t>
      </w:r>
      <w:r w:rsidR="006F034C" w:rsidRPr="00471540">
        <w:rPr>
          <w:rFonts w:eastAsia="Calibri"/>
          <w:color w:val="000000"/>
        </w:rPr>
        <w:t xml:space="preserve">est </w:t>
      </w:r>
      <w:r w:rsidR="006F034C">
        <w:rPr>
          <w:rFonts w:eastAsia="Calibri"/>
          <w:color w:val="000000"/>
        </w:rPr>
        <w:t>Y</w:t>
      </w:r>
      <w:r w:rsidR="006F034C" w:rsidRPr="00471540">
        <w:rPr>
          <w:rFonts w:eastAsia="Calibri"/>
          <w:color w:val="000000"/>
        </w:rPr>
        <w:t xml:space="preserve">ear.  Consistent with Commission precedent, FCG’s forecast assumes normal weather conditions. </w:t>
      </w:r>
      <w:r w:rsidR="006F034C">
        <w:rPr>
          <w:rFonts w:eastAsia="Calibri"/>
          <w:color w:val="000000"/>
        </w:rPr>
        <w:t xml:space="preserve"> </w:t>
      </w:r>
      <w:r w:rsidR="006F034C" w:rsidRPr="00471540">
        <w:rPr>
          <w:rFonts w:eastAsia="Calibri"/>
          <w:color w:val="000000"/>
        </w:rPr>
        <w:t>Additionally, the forecast of customers and therms by rate schedule is consistent with the sales and customer forecast by revenue class and reflects the billing determinants specified in each rate schedule.</w:t>
      </w:r>
      <w:r w:rsidR="006F034C">
        <w:rPr>
          <w:rFonts w:eastAsia="Calibri"/>
          <w:color w:val="000000"/>
        </w:rPr>
        <w:t xml:space="preserve">  (Campbell)</w:t>
      </w:r>
    </w:p>
    <w:p w14:paraId="156E5F58" w14:textId="77777777" w:rsidR="00070C96" w:rsidRPr="00070C96" w:rsidRDefault="00070C96" w:rsidP="00070C96">
      <w:pPr>
        <w:ind w:left="1440" w:hanging="1440"/>
        <w:jc w:val="both"/>
        <w:rPr>
          <w:bCs/>
        </w:rPr>
      </w:pPr>
    </w:p>
    <w:p w14:paraId="464C5FDA" w14:textId="77777777" w:rsidR="00070C96" w:rsidRPr="00070C96" w:rsidRDefault="00070C96" w:rsidP="00070C96">
      <w:pPr>
        <w:ind w:left="1440" w:hanging="1440"/>
        <w:jc w:val="both"/>
        <w:rPr>
          <w:bCs/>
        </w:rPr>
      </w:pPr>
      <w:r>
        <w:rPr>
          <w:b/>
          <w:bCs/>
        </w:rPr>
        <w:t>OPC:</w:t>
      </w:r>
      <w:r>
        <w:rPr>
          <w:b/>
          <w:bCs/>
        </w:rPr>
        <w:tab/>
      </w:r>
      <w:r w:rsidR="00B32031">
        <w:t>No. FPL appears to have misstated these elements of the forecast and an adjustment should be made based on information being developed in discovery and at hearing.</w:t>
      </w:r>
    </w:p>
    <w:p w14:paraId="7B060077" w14:textId="77777777" w:rsidR="00070C96" w:rsidRPr="00070C96" w:rsidRDefault="00070C96" w:rsidP="00070C96">
      <w:pPr>
        <w:ind w:left="1440" w:hanging="1440"/>
        <w:jc w:val="both"/>
        <w:rPr>
          <w:bCs/>
        </w:rPr>
      </w:pPr>
    </w:p>
    <w:p w14:paraId="304CC001" w14:textId="77777777" w:rsidR="00070C96" w:rsidRPr="00070C96" w:rsidRDefault="00070C96" w:rsidP="00070C96">
      <w:pPr>
        <w:ind w:left="1440" w:hanging="1440"/>
        <w:jc w:val="both"/>
        <w:rPr>
          <w:bCs/>
        </w:rPr>
      </w:pPr>
      <w:r>
        <w:rPr>
          <w:b/>
          <w:bCs/>
        </w:rPr>
        <w:t>FEA:</w:t>
      </w:r>
      <w:r>
        <w:rPr>
          <w:b/>
          <w:bCs/>
        </w:rPr>
        <w:tab/>
      </w:r>
      <w:r w:rsidR="005D30B5">
        <w:t>No position.</w:t>
      </w:r>
    </w:p>
    <w:p w14:paraId="0B6EBA10" w14:textId="77777777" w:rsidR="00070C96" w:rsidRPr="00070C96" w:rsidRDefault="00070C96" w:rsidP="00070C96">
      <w:pPr>
        <w:ind w:left="1440" w:hanging="1440"/>
        <w:jc w:val="both"/>
        <w:rPr>
          <w:bCs/>
        </w:rPr>
      </w:pPr>
    </w:p>
    <w:p w14:paraId="31E4A72B" w14:textId="77777777" w:rsidR="00070C96" w:rsidRDefault="00070C96" w:rsidP="00070C96">
      <w:pPr>
        <w:ind w:left="1440" w:hanging="1440"/>
        <w:jc w:val="both"/>
        <w:rPr>
          <w:bCs/>
          <w:color w:val="000000"/>
        </w:rPr>
      </w:pPr>
      <w:r>
        <w:rPr>
          <w:b/>
          <w:bCs/>
        </w:rPr>
        <w:t>FIPUG:</w:t>
      </w:r>
      <w:r>
        <w:rPr>
          <w:b/>
          <w:bCs/>
        </w:rPr>
        <w:tab/>
      </w:r>
      <w:r w:rsidR="00037057" w:rsidRPr="003D62FB">
        <w:rPr>
          <w:bCs/>
          <w:color w:val="000000"/>
        </w:rPr>
        <w:t>Adopt position of OPC.</w:t>
      </w:r>
    </w:p>
    <w:p w14:paraId="2BEDEEAB" w14:textId="77777777" w:rsidR="00D85565" w:rsidRPr="00070C96" w:rsidRDefault="00D85565" w:rsidP="00070C96">
      <w:pPr>
        <w:ind w:left="1440" w:hanging="1440"/>
        <w:jc w:val="both"/>
        <w:rPr>
          <w:bCs/>
        </w:rPr>
      </w:pPr>
    </w:p>
    <w:p w14:paraId="61E9EBFD" w14:textId="77777777" w:rsidR="00070C96" w:rsidRPr="00070C96" w:rsidRDefault="00070C96" w:rsidP="00070C96">
      <w:pPr>
        <w:pStyle w:val="Default"/>
        <w:ind w:left="1440" w:hanging="1440"/>
        <w:jc w:val="both"/>
      </w:pPr>
      <w:r w:rsidRPr="005D4B47">
        <w:rPr>
          <w:b/>
          <w:bCs/>
        </w:rPr>
        <w:t>STAFF</w:t>
      </w:r>
      <w:r w:rsidRPr="00701945">
        <w:rPr>
          <w:b/>
          <w:bCs/>
        </w:rPr>
        <w:t>:</w:t>
      </w:r>
      <w:r>
        <w:rPr>
          <w:b/>
          <w:bCs/>
        </w:rPr>
        <w:tab/>
      </w:r>
      <w:r w:rsidR="00C577BC">
        <w:t>No position.</w:t>
      </w:r>
    </w:p>
    <w:p w14:paraId="660F28E4" w14:textId="77777777" w:rsidR="00070C96" w:rsidRDefault="00070C96" w:rsidP="00070C96">
      <w:pPr>
        <w:pStyle w:val="Default"/>
        <w:ind w:left="1440" w:hanging="1440"/>
        <w:jc w:val="both"/>
      </w:pPr>
    </w:p>
    <w:p w14:paraId="6EA0A6D1" w14:textId="77777777" w:rsidR="00D328A5" w:rsidRPr="008C76AE" w:rsidRDefault="00D328A5" w:rsidP="00D328A5">
      <w:pPr>
        <w:pStyle w:val="Default"/>
        <w:ind w:left="1440" w:hanging="1440"/>
        <w:jc w:val="both"/>
      </w:pPr>
    </w:p>
    <w:p w14:paraId="242C80A9" w14:textId="77777777" w:rsidR="00D328A5" w:rsidRPr="005F3C68" w:rsidRDefault="00D328A5" w:rsidP="00D328A5">
      <w:pPr>
        <w:pStyle w:val="Default"/>
        <w:numPr>
          <w:ilvl w:val="0"/>
          <w:numId w:val="2"/>
        </w:numPr>
        <w:ind w:left="1440" w:hanging="1440"/>
        <w:jc w:val="both"/>
        <w:rPr>
          <w:b/>
        </w:rPr>
      </w:pPr>
      <w:r w:rsidRPr="00B32031">
        <w:rPr>
          <w:b/>
          <w:bCs/>
        </w:rPr>
        <w:t>Are FCG’s estimated revenues from sales of gas by rate class at present rates for the projected test year appropriate? If not, w</w:t>
      </w:r>
      <w:r w:rsidR="00B32031">
        <w:rPr>
          <w:b/>
          <w:bCs/>
        </w:rPr>
        <w:t>hat adjustments should be made?</w:t>
      </w:r>
    </w:p>
    <w:p w14:paraId="5A509A0D" w14:textId="77777777" w:rsidR="005F3C68" w:rsidRPr="00B32031" w:rsidRDefault="005F3C68" w:rsidP="00A3257A">
      <w:pPr>
        <w:pStyle w:val="Default"/>
        <w:ind w:left="1440"/>
        <w:jc w:val="both"/>
        <w:rPr>
          <w:b/>
        </w:rPr>
      </w:pPr>
    </w:p>
    <w:p w14:paraId="6132C993" w14:textId="77777777" w:rsidR="00070C96" w:rsidRPr="00070C96" w:rsidRDefault="00070C96" w:rsidP="00070C96">
      <w:pPr>
        <w:ind w:left="1440" w:hanging="1440"/>
        <w:jc w:val="both"/>
        <w:rPr>
          <w:bCs/>
        </w:rPr>
      </w:pPr>
      <w:r>
        <w:rPr>
          <w:b/>
          <w:bCs/>
        </w:rPr>
        <w:t>FCG:</w:t>
      </w:r>
      <w:r>
        <w:rPr>
          <w:b/>
          <w:bCs/>
        </w:rPr>
        <w:tab/>
      </w:r>
      <w:r w:rsidR="006F034C" w:rsidRPr="00471540">
        <w:rPr>
          <w:rFonts w:eastAsia="Calibri"/>
        </w:rPr>
        <w:t xml:space="preserve">Yes. </w:t>
      </w:r>
      <w:r w:rsidR="006F034C">
        <w:rPr>
          <w:rFonts w:eastAsia="Calibri"/>
        </w:rPr>
        <w:t xml:space="preserve"> FCG’s sales</w:t>
      </w:r>
      <w:r w:rsidR="006F034C" w:rsidRPr="00C6756E">
        <w:rPr>
          <w:rFonts w:eastAsia="Calibri"/>
        </w:rPr>
        <w:t xml:space="preserve"> forecasts were developed using econometric and regression models as the</w:t>
      </w:r>
      <w:r w:rsidR="006F034C">
        <w:rPr>
          <w:rFonts w:eastAsia="Calibri"/>
        </w:rPr>
        <w:t xml:space="preserve"> </w:t>
      </w:r>
      <w:r w:rsidR="006F034C" w:rsidRPr="00C6756E">
        <w:rPr>
          <w:rFonts w:eastAsia="Calibri"/>
        </w:rPr>
        <w:t xml:space="preserve">primary tools. </w:t>
      </w:r>
      <w:r w:rsidR="006F034C">
        <w:rPr>
          <w:rFonts w:eastAsia="Calibri"/>
        </w:rPr>
        <w:t xml:space="preserve"> </w:t>
      </w:r>
      <w:r w:rsidR="006F034C" w:rsidRPr="00C6756E">
        <w:rPr>
          <w:rFonts w:eastAsia="Calibri"/>
        </w:rPr>
        <w:t>These models are statistically sound and include logically</w:t>
      </w:r>
      <w:r w:rsidR="006F034C">
        <w:rPr>
          <w:rFonts w:eastAsia="Calibri"/>
        </w:rPr>
        <w:t xml:space="preserve"> </w:t>
      </w:r>
      <w:r w:rsidR="006F034C" w:rsidRPr="00C6756E">
        <w:rPr>
          <w:rFonts w:eastAsia="Calibri"/>
        </w:rPr>
        <w:t xml:space="preserve">reasonable drivers obtained from leading industry experts. </w:t>
      </w:r>
      <w:r w:rsidR="006F034C">
        <w:rPr>
          <w:rFonts w:eastAsia="Calibri"/>
        </w:rPr>
        <w:t xml:space="preserve"> FCG evaluated the forecasts for</w:t>
      </w:r>
      <w:r w:rsidR="006F034C" w:rsidRPr="00C6756E">
        <w:rPr>
          <w:rFonts w:eastAsia="Calibri"/>
        </w:rPr>
        <w:t xml:space="preserve"> reasonableness by comparing forecasted trends against</w:t>
      </w:r>
      <w:r w:rsidR="006F034C">
        <w:rPr>
          <w:rFonts w:eastAsia="Calibri"/>
        </w:rPr>
        <w:t xml:space="preserve"> </w:t>
      </w:r>
      <w:r w:rsidR="006F034C" w:rsidRPr="00C6756E">
        <w:rPr>
          <w:rFonts w:eastAsia="Calibri"/>
        </w:rPr>
        <w:t>historical trends and other growth factors</w:t>
      </w:r>
      <w:r w:rsidR="006F034C">
        <w:rPr>
          <w:rFonts w:eastAsia="Calibri"/>
        </w:rPr>
        <w:t xml:space="preserve">.  </w:t>
      </w:r>
      <w:r w:rsidR="006F034C" w:rsidRPr="00471540">
        <w:rPr>
          <w:rFonts w:eastAsia="Calibri"/>
        </w:rPr>
        <w:t xml:space="preserve">FCG has correctly estimated the 2023 revenues from sales of gas at present rates. </w:t>
      </w:r>
      <w:r w:rsidR="006F034C">
        <w:rPr>
          <w:rFonts w:eastAsia="Calibri"/>
        </w:rPr>
        <w:t xml:space="preserve"> </w:t>
      </w:r>
      <w:r w:rsidR="006F034C" w:rsidRPr="00471540">
        <w:rPr>
          <w:rFonts w:eastAsia="Calibri"/>
        </w:rPr>
        <w:t xml:space="preserve">The revenue calculations for 2023 are detailed in Test Year MFR </w:t>
      </w:r>
      <w:r w:rsidR="006F034C">
        <w:rPr>
          <w:rFonts w:eastAsia="Calibri"/>
        </w:rPr>
        <w:t>E-1 (with RSAM)</w:t>
      </w:r>
      <w:r w:rsidR="006F034C" w:rsidRPr="00471540">
        <w:rPr>
          <w:rFonts w:eastAsia="Calibri"/>
        </w:rPr>
        <w:t>.</w:t>
      </w:r>
      <w:r w:rsidR="006F034C">
        <w:rPr>
          <w:rFonts w:eastAsia="Calibri"/>
        </w:rPr>
        <w:t xml:space="preserve">  (Campbell)</w:t>
      </w:r>
    </w:p>
    <w:p w14:paraId="746BF8F8" w14:textId="77777777" w:rsidR="00070C96" w:rsidRPr="00070C96" w:rsidRDefault="00070C96" w:rsidP="00070C96">
      <w:pPr>
        <w:ind w:left="1440" w:hanging="1440"/>
        <w:jc w:val="both"/>
        <w:rPr>
          <w:bCs/>
        </w:rPr>
      </w:pPr>
    </w:p>
    <w:p w14:paraId="6D3B49DD" w14:textId="77777777" w:rsidR="00070C96" w:rsidRPr="00070C96" w:rsidRDefault="00070C96" w:rsidP="00070C96">
      <w:pPr>
        <w:ind w:left="1440" w:hanging="1440"/>
        <w:jc w:val="both"/>
        <w:rPr>
          <w:bCs/>
        </w:rPr>
      </w:pPr>
      <w:r>
        <w:rPr>
          <w:b/>
          <w:bCs/>
        </w:rPr>
        <w:t>OPC:</w:t>
      </w:r>
      <w:r>
        <w:rPr>
          <w:b/>
          <w:bCs/>
        </w:rPr>
        <w:tab/>
      </w:r>
      <w:r w:rsidR="00B32031">
        <w:t>No. FPL appears to have misstated these elements of the revenue estimate and an adjustment should be made based on information being developed in discovery and at hearing.</w:t>
      </w:r>
    </w:p>
    <w:p w14:paraId="168D8239" w14:textId="77777777" w:rsidR="00070C96" w:rsidRPr="00070C96" w:rsidRDefault="00070C96" w:rsidP="00070C96">
      <w:pPr>
        <w:ind w:left="1440" w:hanging="1440"/>
        <w:jc w:val="both"/>
        <w:rPr>
          <w:bCs/>
        </w:rPr>
      </w:pPr>
    </w:p>
    <w:p w14:paraId="4DC97D94" w14:textId="77777777" w:rsidR="00070C96" w:rsidRPr="00070C96" w:rsidRDefault="00070C96" w:rsidP="00070C96">
      <w:pPr>
        <w:ind w:left="1440" w:hanging="1440"/>
        <w:jc w:val="both"/>
        <w:rPr>
          <w:bCs/>
        </w:rPr>
      </w:pPr>
      <w:r>
        <w:rPr>
          <w:b/>
          <w:bCs/>
        </w:rPr>
        <w:t>FEA:</w:t>
      </w:r>
      <w:r>
        <w:rPr>
          <w:b/>
          <w:bCs/>
        </w:rPr>
        <w:tab/>
      </w:r>
      <w:r w:rsidR="005D30B5">
        <w:t>No position.</w:t>
      </w:r>
    </w:p>
    <w:p w14:paraId="45E36B6F" w14:textId="77777777" w:rsidR="00070C96" w:rsidRPr="00070C96" w:rsidRDefault="00070C96" w:rsidP="00070C96">
      <w:pPr>
        <w:ind w:left="1440" w:hanging="1440"/>
        <w:jc w:val="both"/>
        <w:rPr>
          <w:bCs/>
        </w:rPr>
      </w:pPr>
    </w:p>
    <w:p w14:paraId="409D64E7" w14:textId="77777777" w:rsidR="00070C96" w:rsidRPr="00070C96" w:rsidRDefault="00070C96" w:rsidP="00070C96">
      <w:pPr>
        <w:ind w:left="1440" w:hanging="1440"/>
        <w:jc w:val="both"/>
        <w:rPr>
          <w:bCs/>
        </w:rPr>
      </w:pPr>
      <w:r>
        <w:rPr>
          <w:b/>
          <w:bCs/>
        </w:rPr>
        <w:t>FIPUG:</w:t>
      </w:r>
      <w:r>
        <w:rPr>
          <w:b/>
          <w:bCs/>
        </w:rPr>
        <w:tab/>
      </w:r>
      <w:r w:rsidR="00037057" w:rsidRPr="003D62FB">
        <w:rPr>
          <w:bCs/>
          <w:color w:val="000000"/>
        </w:rPr>
        <w:t>Adopt position of OPC.</w:t>
      </w:r>
    </w:p>
    <w:p w14:paraId="7134DB1D" w14:textId="77777777" w:rsidR="00070C96" w:rsidRPr="00070C96" w:rsidRDefault="00070C96" w:rsidP="00070C96">
      <w:pPr>
        <w:ind w:left="1440" w:hanging="1440"/>
        <w:jc w:val="both"/>
        <w:rPr>
          <w:bCs/>
        </w:rPr>
      </w:pPr>
    </w:p>
    <w:p w14:paraId="13C6E8A4" w14:textId="77777777" w:rsidR="00070C96" w:rsidRPr="00070C96" w:rsidRDefault="00070C96" w:rsidP="00070C96">
      <w:pPr>
        <w:pStyle w:val="Default"/>
        <w:ind w:left="1440" w:hanging="1440"/>
        <w:jc w:val="both"/>
      </w:pPr>
      <w:r w:rsidRPr="005D4B47">
        <w:rPr>
          <w:b/>
          <w:bCs/>
        </w:rPr>
        <w:t>STAFF</w:t>
      </w:r>
      <w:r w:rsidRPr="00701945">
        <w:rPr>
          <w:b/>
          <w:bCs/>
        </w:rPr>
        <w:t>:</w:t>
      </w:r>
      <w:r>
        <w:rPr>
          <w:b/>
          <w:bCs/>
        </w:rPr>
        <w:tab/>
      </w:r>
      <w:r w:rsidR="00C577BC">
        <w:t>No position.</w:t>
      </w:r>
    </w:p>
    <w:p w14:paraId="50D78DDB" w14:textId="77777777" w:rsidR="00070C96" w:rsidRDefault="00070C96" w:rsidP="00070C96">
      <w:pPr>
        <w:pStyle w:val="Default"/>
        <w:ind w:left="1440" w:hanging="1440"/>
        <w:jc w:val="both"/>
      </w:pPr>
    </w:p>
    <w:p w14:paraId="7869DFD3" w14:textId="77777777" w:rsidR="00D328A5" w:rsidRPr="008C76AE" w:rsidRDefault="00D328A5" w:rsidP="00D328A5">
      <w:pPr>
        <w:pStyle w:val="Default"/>
      </w:pPr>
    </w:p>
    <w:p w14:paraId="10BC969E" w14:textId="77777777" w:rsidR="00D328A5" w:rsidRPr="008C76AE" w:rsidRDefault="00D328A5" w:rsidP="00D328A5">
      <w:pPr>
        <w:pStyle w:val="Default"/>
        <w:jc w:val="center"/>
        <w:rPr>
          <w:b/>
          <w:u w:val="single"/>
        </w:rPr>
      </w:pPr>
      <w:r w:rsidRPr="008C76AE">
        <w:rPr>
          <w:b/>
          <w:u w:val="single"/>
        </w:rPr>
        <w:t>QUALITY OF SERVICE</w:t>
      </w:r>
    </w:p>
    <w:p w14:paraId="2DEAF3B5" w14:textId="77777777" w:rsidR="00D328A5" w:rsidRPr="00D328A5" w:rsidRDefault="00D328A5" w:rsidP="00D328A5">
      <w:pPr>
        <w:pStyle w:val="Default"/>
      </w:pPr>
    </w:p>
    <w:p w14:paraId="29942519" w14:textId="77777777" w:rsidR="00D328A5" w:rsidRPr="009347C2" w:rsidRDefault="00D328A5" w:rsidP="00D328A5">
      <w:pPr>
        <w:pStyle w:val="Default"/>
        <w:numPr>
          <w:ilvl w:val="0"/>
          <w:numId w:val="2"/>
        </w:numPr>
        <w:ind w:left="1440" w:hanging="1440"/>
        <w:jc w:val="both"/>
        <w:rPr>
          <w:b/>
          <w:bCs/>
        </w:rPr>
      </w:pPr>
      <w:r w:rsidRPr="009347C2">
        <w:rPr>
          <w:b/>
          <w:bCs/>
        </w:rPr>
        <w:t xml:space="preserve">Is the quality of service provided by FCG adequate? </w:t>
      </w:r>
    </w:p>
    <w:p w14:paraId="335FE85B" w14:textId="77777777" w:rsidR="00D328A5" w:rsidRPr="00877329" w:rsidRDefault="00D328A5" w:rsidP="00D328A5">
      <w:pPr>
        <w:pStyle w:val="Default"/>
        <w:jc w:val="both"/>
        <w:rPr>
          <w:bCs/>
        </w:rPr>
      </w:pPr>
    </w:p>
    <w:p w14:paraId="0161AE59" w14:textId="77777777" w:rsidR="00070C96" w:rsidRPr="00070C96" w:rsidRDefault="00070C96" w:rsidP="00070C96">
      <w:pPr>
        <w:ind w:left="1440" w:hanging="1440"/>
        <w:jc w:val="both"/>
        <w:rPr>
          <w:bCs/>
        </w:rPr>
      </w:pPr>
      <w:r>
        <w:rPr>
          <w:b/>
          <w:bCs/>
        </w:rPr>
        <w:t>FCG:</w:t>
      </w:r>
      <w:r>
        <w:rPr>
          <w:b/>
          <w:bCs/>
        </w:rPr>
        <w:tab/>
      </w:r>
      <w:r w:rsidR="0055068B" w:rsidRPr="00471540">
        <w:rPr>
          <w:rFonts w:eastAsia="Calibri"/>
          <w:bCs/>
          <w:color w:val="000000"/>
        </w:rPr>
        <w:t xml:space="preserve">Yes.  FCG has delivered superior reliability and a high level of customer service.  </w:t>
      </w:r>
      <w:r w:rsidR="0055068B">
        <w:rPr>
          <w:rFonts w:eastAsia="Calibri"/>
          <w:bCs/>
          <w:color w:val="000000"/>
        </w:rPr>
        <w:t>The Commission held a</w:t>
      </w:r>
      <w:r w:rsidR="0055068B" w:rsidRPr="00E0316A">
        <w:rPr>
          <w:rFonts w:eastAsia="Calibri"/>
          <w:bCs/>
          <w:color w:val="000000"/>
        </w:rPr>
        <w:t xml:space="preserve"> total of five customer service hearings, with three held virtually and two</w:t>
      </w:r>
      <w:r w:rsidR="0055068B">
        <w:rPr>
          <w:rFonts w:eastAsia="Calibri"/>
          <w:bCs/>
          <w:color w:val="000000"/>
        </w:rPr>
        <w:t xml:space="preserve"> </w:t>
      </w:r>
      <w:r w:rsidR="0055068B" w:rsidRPr="00E0316A">
        <w:rPr>
          <w:rFonts w:eastAsia="Calibri"/>
          <w:bCs/>
          <w:color w:val="000000"/>
        </w:rPr>
        <w:t xml:space="preserve">held in-person at the request of OPC. </w:t>
      </w:r>
      <w:r w:rsidR="0055068B">
        <w:rPr>
          <w:rFonts w:eastAsia="Calibri"/>
          <w:bCs/>
          <w:color w:val="000000"/>
        </w:rPr>
        <w:t xml:space="preserve"> At these hearings, a</w:t>
      </w:r>
      <w:r w:rsidR="0055068B" w:rsidRPr="00E0316A">
        <w:rPr>
          <w:rFonts w:eastAsia="Calibri"/>
          <w:bCs/>
          <w:color w:val="000000"/>
        </w:rPr>
        <w:t xml:space="preserve"> total of 18 individuals appeared </w:t>
      </w:r>
      <w:r w:rsidR="0055068B">
        <w:rPr>
          <w:rFonts w:eastAsia="Calibri"/>
          <w:bCs/>
          <w:color w:val="000000"/>
        </w:rPr>
        <w:t>and none expressed</w:t>
      </w:r>
      <w:r w:rsidR="0055068B" w:rsidRPr="00E0316A">
        <w:rPr>
          <w:rFonts w:eastAsia="Calibri"/>
          <w:bCs/>
          <w:color w:val="000000"/>
        </w:rPr>
        <w:t xml:space="preserve"> a negative view of the service quality provided by FCG</w:t>
      </w:r>
      <w:r w:rsidR="0055068B">
        <w:rPr>
          <w:rFonts w:eastAsia="Calibri"/>
          <w:bCs/>
          <w:color w:val="000000"/>
        </w:rPr>
        <w:t>.  (Howard)</w:t>
      </w:r>
    </w:p>
    <w:p w14:paraId="1B6A4428" w14:textId="77777777" w:rsidR="00070C96" w:rsidRPr="00070C96" w:rsidRDefault="00070C96" w:rsidP="00070C96">
      <w:pPr>
        <w:ind w:left="1440" w:hanging="1440"/>
        <w:jc w:val="both"/>
        <w:rPr>
          <w:bCs/>
        </w:rPr>
      </w:pPr>
    </w:p>
    <w:p w14:paraId="56C5725F" w14:textId="77777777" w:rsidR="00070C96" w:rsidRPr="00070C96" w:rsidRDefault="00070C96" w:rsidP="00070C96">
      <w:pPr>
        <w:ind w:left="1440" w:hanging="1440"/>
        <w:jc w:val="both"/>
        <w:rPr>
          <w:bCs/>
        </w:rPr>
      </w:pPr>
      <w:r>
        <w:rPr>
          <w:b/>
          <w:bCs/>
        </w:rPr>
        <w:t>OPC:</w:t>
      </w:r>
      <w:r>
        <w:rPr>
          <w:b/>
          <w:bCs/>
        </w:rPr>
        <w:tab/>
      </w:r>
      <w:r w:rsidR="009347C2" w:rsidRPr="003C68F6">
        <w:t>At least one customer</w:t>
      </w:r>
      <w:r w:rsidR="009347C2">
        <w:t xml:space="preserve"> </w:t>
      </w:r>
      <w:r w:rsidR="009347C2" w:rsidRPr="003C68F6">
        <w:t xml:space="preserve">has </w:t>
      </w:r>
      <w:r w:rsidR="009347C2">
        <w:t xml:space="preserve">submitted a comment to the Commission in this docket and </w:t>
      </w:r>
      <w:r w:rsidR="009347C2" w:rsidRPr="003C68F6">
        <w:t>expressed dissatisfaction with the quality of service provided by FCG.</w:t>
      </w:r>
      <w:r w:rsidR="009347C2">
        <w:t xml:space="preserve"> Furthermore it is unclear if some of the testimony of the individuals who appeared at the customer service hearings reflect actual service provided by FCG. The merits of this testimony and other customer information adduced through the hearing should be considered. The OPC reserves the right to update its position based on customer testimony.</w:t>
      </w:r>
    </w:p>
    <w:p w14:paraId="6FC1828F" w14:textId="77777777" w:rsidR="00070C96" w:rsidRPr="00070C96" w:rsidRDefault="00070C96" w:rsidP="00070C96">
      <w:pPr>
        <w:ind w:left="1440" w:hanging="1440"/>
        <w:jc w:val="both"/>
        <w:rPr>
          <w:bCs/>
        </w:rPr>
      </w:pPr>
    </w:p>
    <w:p w14:paraId="6DBA9A96" w14:textId="77777777" w:rsidR="00070C96" w:rsidRDefault="00070C96" w:rsidP="00070C96">
      <w:pPr>
        <w:ind w:left="1440" w:hanging="1440"/>
        <w:jc w:val="both"/>
      </w:pPr>
      <w:r>
        <w:rPr>
          <w:b/>
          <w:bCs/>
        </w:rPr>
        <w:t>FEA:</w:t>
      </w:r>
      <w:r>
        <w:rPr>
          <w:b/>
          <w:bCs/>
        </w:rPr>
        <w:tab/>
      </w:r>
      <w:r w:rsidR="005D30B5">
        <w:t>No position.</w:t>
      </w:r>
    </w:p>
    <w:p w14:paraId="2AC96966" w14:textId="77777777" w:rsidR="00D85565" w:rsidRPr="00070C96" w:rsidRDefault="00D85565" w:rsidP="00070C96">
      <w:pPr>
        <w:ind w:left="1440" w:hanging="1440"/>
        <w:jc w:val="both"/>
        <w:rPr>
          <w:bCs/>
        </w:rPr>
      </w:pPr>
    </w:p>
    <w:p w14:paraId="0BDD401B" w14:textId="77777777" w:rsidR="00070C96" w:rsidRDefault="00070C96" w:rsidP="00070C96">
      <w:pPr>
        <w:ind w:left="1440" w:hanging="1440"/>
        <w:jc w:val="both"/>
        <w:rPr>
          <w:bCs/>
          <w:color w:val="000000"/>
        </w:rPr>
      </w:pPr>
      <w:r>
        <w:rPr>
          <w:b/>
          <w:bCs/>
        </w:rPr>
        <w:t>FIPUG:</w:t>
      </w:r>
      <w:r>
        <w:rPr>
          <w:b/>
          <w:bCs/>
        </w:rPr>
        <w:tab/>
      </w:r>
      <w:r w:rsidR="00037057" w:rsidRPr="003D62FB">
        <w:rPr>
          <w:bCs/>
          <w:color w:val="000000"/>
        </w:rPr>
        <w:t>Adopt position of OPC.</w:t>
      </w:r>
    </w:p>
    <w:p w14:paraId="41F0FB50" w14:textId="77777777" w:rsidR="00335C41" w:rsidRPr="00070C96" w:rsidRDefault="00335C41" w:rsidP="00070C96">
      <w:pPr>
        <w:ind w:left="1440" w:hanging="1440"/>
        <w:jc w:val="both"/>
        <w:rPr>
          <w:bCs/>
        </w:rPr>
      </w:pPr>
    </w:p>
    <w:p w14:paraId="54E60C0B" w14:textId="77777777" w:rsidR="00070C96" w:rsidRPr="00070C96" w:rsidRDefault="00070C96" w:rsidP="00070C96">
      <w:pPr>
        <w:pStyle w:val="Default"/>
        <w:ind w:left="1440" w:hanging="1440"/>
        <w:jc w:val="both"/>
      </w:pPr>
      <w:r w:rsidRPr="005D4B47">
        <w:rPr>
          <w:b/>
          <w:bCs/>
        </w:rPr>
        <w:t>STAFF</w:t>
      </w:r>
      <w:r w:rsidRPr="00701945">
        <w:rPr>
          <w:b/>
          <w:bCs/>
        </w:rPr>
        <w:t>:</w:t>
      </w:r>
      <w:r>
        <w:rPr>
          <w:b/>
          <w:bCs/>
        </w:rPr>
        <w:tab/>
      </w:r>
      <w:r w:rsidR="00C577BC">
        <w:t>No position.</w:t>
      </w:r>
    </w:p>
    <w:p w14:paraId="1868F5FD" w14:textId="77777777" w:rsidR="00070C96" w:rsidRDefault="00070C96" w:rsidP="00070C96">
      <w:pPr>
        <w:pStyle w:val="Default"/>
        <w:ind w:left="1440" w:hanging="1440"/>
        <w:jc w:val="both"/>
      </w:pPr>
    </w:p>
    <w:p w14:paraId="0DB1A548" w14:textId="77777777" w:rsidR="00D328A5" w:rsidRPr="00D328A5" w:rsidRDefault="00D328A5" w:rsidP="00D328A5">
      <w:pPr>
        <w:pStyle w:val="Default"/>
        <w:rPr>
          <w:bCs/>
        </w:rPr>
      </w:pPr>
    </w:p>
    <w:p w14:paraId="731E81BC" w14:textId="77777777" w:rsidR="00D328A5" w:rsidRPr="00877329" w:rsidRDefault="00D328A5" w:rsidP="00D328A5">
      <w:pPr>
        <w:pStyle w:val="Default"/>
        <w:jc w:val="center"/>
        <w:rPr>
          <w:b/>
          <w:u w:val="single"/>
        </w:rPr>
      </w:pPr>
      <w:r w:rsidRPr="00877329">
        <w:rPr>
          <w:b/>
          <w:u w:val="single"/>
        </w:rPr>
        <w:t>DEPRECIATION STUDY</w:t>
      </w:r>
    </w:p>
    <w:p w14:paraId="74640D8B" w14:textId="77777777" w:rsidR="00D328A5" w:rsidRPr="008C76AE" w:rsidRDefault="00D328A5" w:rsidP="00D328A5">
      <w:pPr>
        <w:pStyle w:val="Default"/>
        <w:jc w:val="both"/>
      </w:pPr>
    </w:p>
    <w:p w14:paraId="3D687E43" w14:textId="77777777" w:rsidR="00D328A5" w:rsidRPr="009347C2" w:rsidRDefault="00D328A5" w:rsidP="00D328A5">
      <w:pPr>
        <w:pStyle w:val="Default"/>
        <w:numPr>
          <w:ilvl w:val="0"/>
          <w:numId w:val="2"/>
        </w:numPr>
        <w:ind w:left="1440" w:hanging="1440"/>
        <w:jc w:val="both"/>
        <w:rPr>
          <w:b/>
        </w:rPr>
      </w:pPr>
      <w:r w:rsidRPr="009347C2">
        <w:rPr>
          <w:b/>
          <w:bCs/>
        </w:rPr>
        <w:t>Based on FCG’s 2022 Depreciation Study, what are the appropriate depreciation parameters (e.g.</w:t>
      </w:r>
      <w:r w:rsidR="003C00BA">
        <w:rPr>
          <w:b/>
          <w:bCs/>
        </w:rPr>
        <w:t>,</w:t>
      </w:r>
      <w:r w:rsidRPr="009347C2">
        <w:rPr>
          <w:b/>
          <w:bCs/>
        </w:rPr>
        <w:t xml:space="preserve"> service lives, remaining life, net salvage percentage, and reserve percentage) and resulting depreciation rates for each distribution and general plant account?</w:t>
      </w:r>
    </w:p>
    <w:p w14:paraId="6CC0B86A" w14:textId="77777777" w:rsidR="00D328A5" w:rsidRDefault="00D328A5" w:rsidP="00D328A5">
      <w:pPr>
        <w:pStyle w:val="Default"/>
        <w:jc w:val="both"/>
      </w:pPr>
    </w:p>
    <w:p w14:paraId="386F9FD0" w14:textId="77777777" w:rsidR="00070C96" w:rsidRPr="00070C96" w:rsidRDefault="00070C96" w:rsidP="00070C96">
      <w:pPr>
        <w:ind w:left="1440" w:hanging="1440"/>
        <w:jc w:val="both"/>
        <w:rPr>
          <w:bCs/>
        </w:rPr>
      </w:pPr>
      <w:r>
        <w:rPr>
          <w:b/>
          <w:bCs/>
        </w:rPr>
        <w:t>FCG:</w:t>
      </w:r>
      <w:r>
        <w:rPr>
          <w:b/>
          <w:bCs/>
        </w:rPr>
        <w:tab/>
      </w:r>
      <w:r w:rsidR="0055068B" w:rsidRPr="00471540">
        <w:rPr>
          <w:rFonts w:eastAsia="Calibri"/>
          <w:color w:val="000000"/>
        </w:rPr>
        <w:t xml:space="preserve">Based on FCG’s 2022 Depreciation Study, the </w:t>
      </w:r>
      <w:r w:rsidR="0055068B">
        <w:rPr>
          <w:rFonts w:eastAsia="Calibri"/>
          <w:color w:val="000000"/>
        </w:rPr>
        <w:t>most reasonable</w:t>
      </w:r>
      <w:r w:rsidR="0055068B" w:rsidRPr="00471540">
        <w:rPr>
          <w:rFonts w:eastAsia="Calibri"/>
          <w:color w:val="000000"/>
        </w:rPr>
        <w:t xml:space="preserve"> depreciation parameters and resulting </w:t>
      </w:r>
      <w:r w:rsidR="0055068B">
        <w:rPr>
          <w:rFonts w:eastAsia="Calibri"/>
          <w:color w:val="000000"/>
        </w:rPr>
        <w:t xml:space="preserve">depreciation </w:t>
      </w:r>
      <w:r w:rsidR="0055068B" w:rsidRPr="00471540">
        <w:rPr>
          <w:rFonts w:eastAsia="Calibri"/>
          <w:color w:val="000000"/>
        </w:rPr>
        <w:t xml:space="preserve">rates for each distribution and general plant account are reflected on FCG’s Exhibit NWA-1.  </w:t>
      </w:r>
      <w:r w:rsidR="0055068B">
        <w:rPr>
          <w:rFonts w:eastAsia="Calibri"/>
          <w:color w:val="000000"/>
        </w:rPr>
        <w:t xml:space="preserve">However, FCG’s proposed RSAM-adjusted depreciation rates represent a reasonable alternative to those contained in the 2022 Depreciation Study and are appropriate and necessary to support the tremendous customer value and savings under FCG’s proposed four-year rate plan.  </w:t>
      </w:r>
      <w:r w:rsidR="0055068B" w:rsidRPr="00471540">
        <w:rPr>
          <w:rFonts w:eastAsia="Calibri"/>
          <w:color w:val="000000"/>
        </w:rPr>
        <w:t>(Allis</w:t>
      </w:r>
      <w:r w:rsidR="0055068B">
        <w:rPr>
          <w:rFonts w:eastAsia="Calibri"/>
          <w:color w:val="000000"/>
        </w:rPr>
        <w:t>, Campbell, Fuentes</w:t>
      </w:r>
      <w:r w:rsidR="0055068B" w:rsidRPr="00471540">
        <w:rPr>
          <w:rFonts w:eastAsia="Calibri"/>
          <w:color w:val="000000"/>
        </w:rPr>
        <w:t>)</w:t>
      </w:r>
    </w:p>
    <w:p w14:paraId="2D52B838" w14:textId="77777777" w:rsidR="00070C96" w:rsidRPr="00070C96" w:rsidRDefault="00070C96" w:rsidP="00070C96">
      <w:pPr>
        <w:ind w:left="1440" w:hanging="1440"/>
        <w:jc w:val="both"/>
        <w:rPr>
          <w:bCs/>
        </w:rPr>
      </w:pPr>
    </w:p>
    <w:p w14:paraId="59720506" w14:textId="77777777" w:rsidR="00070C96" w:rsidRPr="00070C96" w:rsidRDefault="00070C96" w:rsidP="00070C96">
      <w:pPr>
        <w:ind w:left="1440" w:hanging="1440"/>
        <w:jc w:val="both"/>
        <w:rPr>
          <w:bCs/>
        </w:rPr>
      </w:pPr>
      <w:r>
        <w:rPr>
          <w:b/>
          <w:bCs/>
        </w:rPr>
        <w:t>OPC:</w:t>
      </w:r>
      <w:r>
        <w:rPr>
          <w:b/>
          <w:bCs/>
        </w:rPr>
        <w:tab/>
      </w:r>
      <w:r w:rsidR="009347C2" w:rsidRPr="003C68F6">
        <w:t xml:space="preserve">The depreciation parameters and resulting depreciation rates are shown in OPC Witness Garrett’s testimony and </w:t>
      </w:r>
      <w:r w:rsidR="009347C2">
        <w:t>Exhibits DJG-19 and DJG-20</w:t>
      </w:r>
      <w:r w:rsidR="009347C2" w:rsidRPr="003C68F6">
        <w:t xml:space="preserve">. </w:t>
      </w:r>
      <w:r w:rsidR="009347C2">
        <w:t xml:space="preserve"> These parameters and rates are proposed for the legitimate establishment -- in the Commission’s litigated ratemaking process -- of depreciation expense to the lives of the assets and not for the purpose of creating an artificial earnings manipulation device. </w:t>
      </w:r>
      <w:r w:rsidR="009347C2" w:rsidRPr="003C68F6">
        <w:t>(Garrett)</w:t>
      </w:r>
    </w:p>
    <w:p w14:paraId="0637985E" w14:textId="77777777" w:rsidR="00070C96" w:rsidRPr="00070C96" w:rsidRDefault="00070C96" w:rsidP="00070C96">
      <w:pPr>
        <w:ind w:left="1440" w:hanging="1440"/>
        <w:jc w:val="both"/>
        <w:rPr>
          <w:bCs/>
        </w:rPr>
      </w:pPr>
    </w:p>
    <w:p w14:paraId="1DDCF1D1" w14:textId="77777777" w:rsidR="00070C96" w:rsidRPr="00070C96" w:rsidRDefault="00070C96" w:rsidP="00070C96">
      <w:pPr>
        <w:ind w:left="1440" w:hanging="1440"/>
        <w:jc w:val="both"/>
        <w:rPr>
          <w:bCs/>
        </w:rPr>
      </w:pPr>
      <w:r>
        <w:rPr>
          <w:b/>
          <w:bCs/>
        </w:rPr>
        <w:t>FEA:</w:t>
      </w:r>
      <w:r>
        <w:rPr>
          <w:b/>
          <w:bCs/>
        </w:rPr>
        <w:tab/>
      </w:r>
      <w:r w:rsidR="005D30B5" w:rsidRPr="005D30B5">
        <w:t>No position.</w:t>
      </w:r>
    </w:p>
    <w:p w14:paraId="4035A416" w14:textId="77777777" w:rsidR="00070C96" w:rsidRPr="00070C96" w:rsidRDefault="00070C96" w:rsidP="00070C96">
      <w:pPr>
        <w:ind w:left="1440" w:hanging="1440"/>
        <w:jc w:val="both"/>
        <w:rPr>
          <w:bCs/>
        </w:rPr>
      </w:pPr>
    </w:p>
    <w:p w14:paraId="64E4AC91" w14:textId="77777777" w:rsidR="00070C96" w:rsidRPr="00070C96" w:rsidRDefault="00070C96" w:rsidP="00070C96">
      <w:pPr>
        <w:ind w:left="1440" w:hanging="1440"/>
        <w:jc w:val="both"/>
        <w:rPr>
          <w:bCs/>
        </w:rPr>
      </w:pPr>
      <w:r>
        <w:rPr>
          <w:b/>
          <w:bCs/>
        </w:rPr>
        <w:t>FIPUG:</w:t>
      </w:r>
      <w:r>
        <w:rPr>
          <w:b/>
          <w:bCs/>
        </w:rPr>
        <w:tab/>
      </w:r>
      <w:r w:rsidR="00037057" w:rsidRPr="003D62FB">
        <w:rPr>
          <w:bCs/>
          <w:color w:val="000000"/>
        </w:rPr>
        <w:t>Adopt position of OPC.</w:t>
      </w:r>
    </w:p>
    <w:p w14:paraId="33BD28F1" w14:textId="77777777" w:rsidR="00070C96" w:rsidRPr="00070C96" w:rsidRDefault="00070C96" w:rsidP="00070C96">
      <w:pPr>
        <w:ind w:left="1440" w:hanging="1440"/>
        <w:jc w:val="both"/>
        <w:rPr>
          <w:bCs/>
        </w:rPr>
      </w:pPr>
    </w:p>
    <w:p w14:paraId="7AD87F76" w14:textId="4724A3E4" w:rsidR="00D328A5" w:rsidRDefault="00070C96" w:rsidP="00D85565">
      <w:pPr>
        <w:pStyle w:val="Default"/>
        <w:ind w:left="1440" w:hanging="1440"/>
        <w:jc w:val="both"/>
      </w:pPr>
      <w:r w:rsidRPr="005D4B47">
        <w:rPr>
          <w:b/>
          <w:bCs/>
        </w:rPr>
        <w:t>STAFF</w:t>
      </w:r>
      <w:r w:rsidRPr="00701945">
        <w:rPr>
          <w:b/>
          <w:bCs/>
        </w:rPr>
        <w:t>:</w:t>
      </w:r>
      <w:r>
        <w:rPr>
          <w:b/>
          <w:bCs/>
        </w:rPr>
        <w:tab/>
      </w:r>
      <w:r w:rsidR="00C577BC">
        <w:t>No position.</w:t>
      </w:r>
    </w:p>
    <w:p w14:paraId="63B03E36" w14:textId="0FFE313C" w:rsidR="00A63ABC" w:rsidRDefault="00A63ABC" w:rsidP="00D85565">
      <w:pPr>
        <w:pStyle w:val="Default"/>
        <w:ind w:left="1440" w:hanging="1440"/>
        <w:jc w:val="both"/>
      </w:pPr>
    </w:p>
    <w:p w14:paraId="25B3719D" w14:textId="77777777" w:rsidR="00A63ABC" w:rsidRPr="00305C04" w:rsidRDefault="00A63ABC" w:rsidP="00D85565">
      <w:pPr>
        <w:pStyle w:val="Default"/>
        <w:ind w:left="1440" w:hanging="1440"/>
        <w:jc w:val="both"/>
      </w:pPr>
    </w:p>
    <w:p w14:paraId="5E9ED0DE" w14:textId="77777777" w:rsidR="00D328A5" w:rsidRPr="009347C2" w:rsidRDefault="00D328A5" w:rsidP="00D328A5">
      <w:pPr>
        <w:pStyle w:val="Default"/>
        <w:numPr>
          <w:ilvl w:val="0"/>
          <w:numId w:val="2"/>
        </w:numPr>
        <w:ind w:left="1440" w:hanging="1440"/>
        <w:jc w:val="both"/>
        <w:rPr>
          <w:b/>
        </w:rPr>
      </w:pPr>
      <w:r w:rsidRPr="009347C2">
        <w:rPr>
          <w:b/>
          <w:bCs/>
        </w:rPr>
        <w:t>If the Commission approves FCG’s proposed RSAM (Issue 67), what are the appropriate depreciation parameters (e.g.</w:t>
      </w:r>
      <w:r w:rsidR="003C00BA">
        <w:rPr>
          <w:b/>
          <w:bCs/>
        </w:rPr>
        <w:t>,</w:t>
      </w:r>
      <w:r w:rsidRPr="009347C2">
        <w:rPr>
          <w:b/>
          <w:bCs/>
        </w:rPr>
        <w:t xml:space="preserve"> service lives, remaining lives, net salvage percentages, and reserve percentages) and depreciation rates?</w:t>
      </w:r>
    </w:p>
    <w:p w14:paraId="0DBFD05C" w14:textId="77777777" w:rsidR="00D328A5" w:rsidRDefault="00D328A5" w:rsidP="00D328A5">
      <w:pPr>
        <w:pStyle w:val="Default"/>
        <w:ind w:left="1440" w:hanging="1440"/>
        <w:jc w:val="both"/>
      </w:pPr>
    </w:p>
    <w:p w14:paraId="12A908A1" w14:textId="611F0C02" w:rsidR="00070C96" w:rsidRDefault="00070C96" w:rsidP="00070C96">
      <w:pPr>
        <w:ind w:left="1440" w:hanging="1440"/>
        <w:jc w:val="both"/>
        <w:rPr>
          <w:rFonts w:eastAsia="Calibri"/>
          <w:color w:val="000000"/>
        </w:rPr>
      </w:pPr>
      <w:r>
        <w:rPr>
          <w:b/>
          <w:bCs/>
        </w:rPr>
        <w:t>FCG:</w:t>
      </w:r>
      <w:r>
        <w:rPr>
          <w:b/>
          <w:bCs/>
        </w:rPr>
        <w:tab/>
      </w:r>
      <w:r w:rsidR="0055068B" w:rsidRPr="00471540">
        <w:rPr>
          <w:rFonts w:eastAsia="Calibri"/>
          <w:color w:val="000000"/>
        </w:rPr>
        <w:t xml:space="preserve">The appropriate depreciation parameters and resulting </w:t>
      </w:r>
      <w:r w:rsidR="0055068B">
        <w:rPr>
          <w:rFonts w:eastAsia="Calibri"/>
          <w:color w:val="000000"/>
        </w:rPr>
        <w:t xml:space="preserve">depreciation </w:t>
      </w:r>
      <w:r w:rsidR="0055068B" w:rsidRPr="00471540">
        <w:rPr>
          <w:rFonts w:eastAsia="Calibri"/>
          <w:color w:val="000000"/>
        </w:rPr>
        <w:t xml:space="preserve">rates to be used in conjunction with the </w:t>
      </w:r>
      <w:r w:rsidR="0055068B">
        <w:rPr>
          <w:rFonts w:eastAsia="Calibri"/>
          <w:color w:val="000000"/>
        </w:rPr>
        <w:t>RSAM</w:t>
      </w:r>
      <w:r w:rsidR="0055068B" w:rsidRPr="00471540">
        <w:rPr>
          <w:rFonts w:eastAsia="Calibri"/>
          <w:color w:val="000000"/>
        </w:rPr>
        <w:t xml:space="preserve"> are reflected on</w:t>
      </w:r>
      <w:r w:rsidR="0055068B">
        <w:rPr>
          <w:rFonts w:eastAsia="Calibri"/>
          <w:color w:val="000000"/>
        </w:rPr>
        <w:t xml:space="preserve"> </w:t>
      </w:r>
      <w:r w:rsidR="0055068B" w:rsidRPr="00471540">
        <w:rPr>
          <w:rFonts w:eastAsia="Calibri"/>
          <w:color w:val="000000"/>
        </w:rPr>
        <w:t xml:space="preserve">FCG’s Exhibit LF-5(B). </w:t>
      </w:r>
      <w:r w:rsidR="0055068B">
        <w:rPr>
          <w:rFonts w:eastAsia="Calibri"/>
          <w:color w:val="000000"/>
        </w:rPr>
        <w:t xml:space="preserve"> The RSAM-adjusted depreciation parameters are a critical and essential component of FCG’s proposed four-year rate plan, and are necessary to provide rate stability for FCG’s customers and avoid the potential for approximately $27.0 million in additional cumulative net cash paid by customers through at least the end of 2026 if FCG’s proposed four-year rate plan with RSAM is denied.  </w:t>
      </w:r>
      <w:r w:rsidR="0055068B" w:rsidRPr="00471540">
        <w:rPr>
          <w:rFonts w:eastAsia="Calibri"/>
          <w:color w:val="000000"/>
        </w:rPr>
        <w:t>(Fuentes</w:t>
      </w:r>
      <w:r w:rsidR="0055068B">
        <w:rPr>
          <w:rFonts w:eastAsia="Calibri"/>
          <w:color w:val="000000"/>
        </w:rPr>
        <w:t>, Campbell</w:t>
      </w:r>
      <w:r w:rsidR="0055068B" w:rsidRPr="00471540">
        <w:rPr>
          <w:rFonts w:eastAsia="Calibri"/>
          <w:color w:val="000000"/>
        </w:rPr>
        <w:t>)</w:t>
      </w:r>
    </w:p>
    <w:p w14:paraId="7F1C8842" w14:textId="77777777" w:rsidR="00E90AFF" w:rsidRPr="00070C96" w:rsidRDefault="00E90AFF" w:rsidP="00070C96">
      <w:pPr>
        <w:ind w:left="1440" w:hanging="1440"/>
        <w:jc w:val="both"/>
        <w:rPr>
          <w:bCs/>
        </w:rPr>
      </w:pPr>
    </w:p>
    <w:p w14:paraId="79BCCC98" w14:textId="77777777" w:rsidR="00070C96" w:rsidRPr="009347C2" w:rsidRDefault="00070C96" w:rsidP="00070C96">
      <w:pPr>
        <w:ind w:left="1440" w:hanging="1440"/>
        <w:jc w:val="both"/>
        <w:rPr>
          <w:bCs/>
        </w:rPr>
      </w:pPr>
      <w:r>
        <w:rPr>
          <w:b/>
          <w:bCs/>
        </w:rPr>
        <w:t>OPC:</w:t>
      </w:r>
      <w:r>
        <w:rPr>
          <w:b/>
          <w:bCs/>
        </w:rPr>
        <w:tab/>
      </w:r>
      <w:r w:rsidR="009347C2" w:rsidRPr="003C68F6">
        <w:t xml:space="preserve">The Commission </w:t>
      </w:r>
      <w:r w:rsidR="009347C2">
        <w:t xml:space="preserve">does not have the authority to, and </w:t>
      </w:r>
      <w:r w:rsidR="009347C2" w:rsidRPr="003C68F6">
        <w:t>should not</w:t>
      </w:r>
      <w:r w:rsidR="009347C2">
        <w:t>,</w:t>
      </w:r>
      <w:r w:rsidR="009347C2" w:rsidRPr="003C68F6">
        <w:t xml:space="preserve"> approve FCG’s proposed RSAM.</w:t>
      </w:r>
      <w:r w:rsidR="009347C2">
        <w:t xml:space="preserve"> The Commission may not </w:t>
      </w:r>
      <w:r w:rsidR="009347C2" w:rsidRPr="00121692">
        <w:t>establish depreciation rates in a general rate case for the express purpose of creating a depreciation imbalance (surplus)</w:t>
      </w:r>
      <w:r w:rsidR="009347C2">
        <w:t xml:space="preserve"> </w:t>
      </w:r>
      <w:r w:rsidR="009347C2" w:rsidRPr="00121692">
        <w:t>based on parameters which are not factually based on a depreciation study</w:t>
      </w:r>
      <w:r w:rsidR="009347C2">
        <w:t>. Such a practice would be a departure from generally accepted accounting principles. It would also eliminate any incentive for FCG to generate efficiencies, and it would be grossly unfair to FCG’s current and future customers.</w:t>
      </w:r>
      <w:r w:rsidR="009347C2" w:rsidRPr="003C68F6">
        <w:t xml:space="preserve"> (Schultz</w:t>
      </w:r>
      <w:r w:rsidR="009347C2">
        <w:t>; Garrett)</w:t>
      </w:r>
    </w:p>
    <w:p w14:paraId="5B01E7B1" w14:textId="77777777" w:rsidR="00070C96" w:rsidRPr="00070C96" w:rsidRDefault="00070C96" w:rsidP="00070C96">
      <w:pPr>
        <w:ind w:left="1440" w:hanging="1440"/>
        <w:jc w:val="both"/>
        <w:rPr>
          <w:bCs/>
        </w:rPr>
      </w:pPr>
    </w:p>
    <w:p w14:paraId="73225088" w14:textId="77777777" w:rsidR="00070C96" w:rsidRPr="00070C96" w:rsidRDefault="00070C96" w:rsidP="00070C96">
      <w:pPr>
        <w:ind w:left="1440" w:hanging="1440"/>
        <w:jc w:val="both"/>
        <w:rPr>
          <w:bCs/>
        </w:rPr>
      </w:pPr>
      <w:r>
        <w:rPr>
          <w:b/>
          <w:bCs/>
        </w:rPr>
        <w:t>FEA:</w:t>
      </w:r>
      <w:r>
        <w:rPr>
          <w:b/>
          <w:bCs/>
        </w:rPr>
        <w:tab/>
      </w:r>
      <w:r w:rsidR="005D30B5">
        <w:t>No position.</w:t>
      </w:r>
    </w:p>
    <w:p w14:paraId="06786C71" w14:textId="77777777" w:rsidR="00070C96" w:rsidRPr="00070C96" w:rsidRDefault="00070C96" w:rsidP="00070C96">
      <w:pPr>
        <w:ind w:left="1440" w:hanging="1440"/>
        <w:jc w:val="both"/>
        <w:rPr>
          <w:bCs/>
        </w:rPr>
      </w:pPr>
    </w:p>
    <w:p w14:paraId="54E4E86B" w14:textId="77777777" w:rsidR="00070C96" w:rsidRPr="00070C96" w:rsidRDefault="00070C96" w:rsidP="00070C96">
      <w:pPr>
        <w:ind w:left="1440" w:hanging="1440"/>
        <w:jc w:val="both"/>
        <w:rPr>
          <w:bCs/>
        </w:rPr>
      </w:pPr>
      <w:r>
        <w:rPr>
          <w:b/>
          <w:bCs/>
        </w:rPr>
        <w:t>FIPUG:</w:t>
      </w:r>
      <w:r>
        <w:rPr>
          <w:b/>
          <w:bCs/>
        </w:rPr>
        <w:tab/>
      </w:r>
      <w:r w:rsidR="00037057" w:rsidRPr="003D62FB">
        <w:rPr>
          <w:bCs/>
          <w:color w:val="000000"/>
        </w:rPr>
        <w:t>Adopt position of OPC.</w:t>
      </w:r>
    </w:p>
    <w:p w14:paraId="6CB521A4" w14:textId="77777777" w:rsidR="00070C96" w:rsidRPr="00070C96" w:rsidRDefault="00070C96" w:rsidP="00070C96">
      <w:pPr>
        <w:ind w:left="1440" w:hanging="1440"/>
        <w:jc w:val="both"/>
        <w:rPr>
          <w:bCs/>
        </w:rPr>
      </w:pPr>
    </w:p>
    <w:p w14:paraId="7BD8896F" w14:textId="77777777" w:rsidR="00070C96" w:rsidRPr="00070C96" w:rsidRDefault="00070C96" w:rsidP="00070C96">
      <w:pPr>
        <w:pStyle w:val="Default"/>
        <w:ind w:left="1440" w:hanging="1440"/>
        <w:jc w:val="both"/>
      </w:pPr>
      <w:r w:rsidRPr="005D4B47">
        <w:rPr>
          <w:b/>
          <w:bCs/>
        </w:rPr>
        <w:t>STAFF</w:t>
      </w:r>
      <w:r w:rsidRPr="00701945">
        <w:rPr>
          <w:b/>
          <w:bCs/>
        </w:rPr>
        <w:t>:</w:t>
      </w:r>
      <w:r>
        <w:rPr>
          <w:b/>
          <w:bCs/>
        </w:rPr>
        <w:tab/>
      </w:r>
      <w:r w:rsidR="00F53BE5">
        <w:t>No position.</w:t>
      </w:r>
    </w:p>
    <w:p w14:paraId="3D1D6714" w14:textId="77777777" w:rsidR="00070C96" w:rsidRDefault="00070C96" w:rsidP="00070C96">
      <w:pPr>
        <w:pStyle w:val="Default"/>
        <w:ind w:left="1440" w:hanging="1440"/>
        <w:jc w:val="both"/>
      </w:pPr>
    </w:p>
    <w:p w14:paraId="2C083891" w14:textId="77777777" w:rsidR="00D328A5" w:rsidRPr="008C76AE" w:rsidRDefault="00D328A5" w:rsidP="00D328A5">
      <w:pPr>
        <w:pStyle w:val="Default"/>
        <w:ind w:left="1440" w:hanging="1440"/>
        <w:jc w:val="both"/>
      </w:pPr>
    </w:p>
    <w:p w14:paraId="526EE565" w14:textId="77777777" w:rsidR="00D328A5" w:rsidRPr="009347C2" w:rsidRDefault="00D328A5" w:rsidP="00D328A5">
      <w:pPr>
        <w:pStyle w:val="Default"/>
        <w:numPr>
          <w:ilvl w:val="0"/>
          <w:numId w:val="2"/>
        </w:numPr>
        <w:ind w:left="1440" w:hanging="1440"/>
        <w:jc w:val="both"/>
        <w:rPr>
          <w:b/>
        </w:rPr>
      </w:pPr>
      <w:r w:rsidRPr="009347C2">
        <w:rPr>
          <w:b/>
          <w:bCs/>
        </w:rPr>
        <w:t xml:space="preserve">Based on the application of the depreciation parameters that the Commission has deemed appropriate to FCG’s data, and a comparison of the theoretical reserves to the book reserves, what, if any, are the resulting imbalances? </w:t>
      </w:r>
    </w:p>
    <w:p w14:paraId="036341EA" w14:textId="77777777" w:rsidR="00D328A5" w:rsidRDefault="00D328A5" w:rsidP="00D328A5">
      <w:pPr>
        <w:pStyle w:val="Default"/>
        <w:ind w:left="1440" w:hanging="1440"/>
        <w:jc w:val="both"/>
      </w:pPr>
    </w:p>
    <w:p w14:paraId="11E468E8" w14:textId="77777777" w:rsidR="00644687" w:rsidRPr="00070C96" w:rsidRDefault="00644687" w:rsidP="00644687">
      <w:pPr>
        <w:ind w:left="1440" w:hanging="1440"/>
        <w:jc w:val="both"/>
        <w:rPr>
          <w:bCs/>
        </w:rPr>
      </w:pPr>
      <w:r>
        <w:rPr>
          <w:b/>
          <w:bCs/>
        </w:rPr>
        <w:t>FCG:</w:t>
      </w:r>
      <w:r>
        <w:rPr>
          <w:b/>
          <w:bCs/>
        </w:rPr>
        <w:tab/>
      </w:r>
      <w:r w:rsidR="0055068B" w:rsidRPr="00471540">
        <w:rPr>
          <w:rFonts w:eastAsia="Calibri"/>
          <w:color w:val="000000"/>
        </w:rPr>
        <w:t>If the Commission adopts the RSAM as part of the Company’s four-year rate proposal, then the appropriate theoretical reserve imbalance is a surplus of approximately $</w:t>
      </w:r>
      <w:r w:rsidR="0055068B">
        <w:rPr>
          <w:rFonts w:eastAsia="Calibri"/>
          <w:color w:val="000000"/>
        </w:rPr>
        <w:t>52.1 million</w:t>
      </w:r>
      <w:r w:rsidR="0055068B" w:rsidRPr="00471540">
        <w:rPr>
          <w:rFonts w:eastAsia="Calibri"/>
          <w:color w:val="000000"/>
        </w:rPr>
        <w:t xml:space="preserve"> as reflected in Exhibit LF-5(B)</w:t>
      </w:r>
      <w:r w:rsidR="0055068B">
        <w:rPr>
          <w:rFonts w:eastAsia="Calibri"/>
          <w:color w:val="000000"/>
        </w:rPr>
        <w:t>, of which FCG has requested $25 million to be available under an RSAM</w:t>
      </w:r>
      <w:r w:rsidR="0055068B" w:rsidRPr="00471540">
        <w:rPr>
          <w:rFonts w:eastAsia="Calibri"/>
          <w:color w:val="000000"/>
        </w:rPr>
        <w:t xml:space="preserve">.  </w:t>
      </w:r>
      <w:r w:rsidR="0055068B">
        <w:rPr>
          <w:rFonts w:eastAsia="Calibri"/>
          <w:color w:val="000000"/>
        </w:rPr>
        <w:t xml:space="preserve">The $25 million of RSAM is only sufficient to allow FCG to earn at the proposed midpoint ROE over the term of the four-year rate plan.  </w:t>
      </w:r>
      <w:r w:rsidR="0055068B" w:rsidRPr="00471540">
        <w:rPr>
          <w:rFonts w:eastAsia="Calibri"/>
          <w:color w:val="000000"/>
        </w:rPr>
        <w:t>If</w:t>
      </w:r>
      <w:r w:rsidR="0055068B">
        <w:rPr>
          <w:rFonts w:eastAsia="Calibri"/>
          <w:color w:val="000000"/>
        </w:rPr>
        <w:t>, however,</w:t>
      </w:r>
      <w:r w:rsidR="0055068B" w:rsidRPr="00471540">
        <w:rPr>
          <w:rFonts w:eastAsia="Calibri"/>
          <w:color w:val="000000"/>
        </w:rPr>
        <w:t xml:space="preserve"> the Commission does not approve the RSAM, the theoretical reserve imbalances from FCG’s 2022 Depreciation Study are reflected on NWA-1, which totals a net deficit of $</w:t>
      </w:r>
      <w:r w:rsidR="0055068B">
        <w:rPr>
          <w:rFonts w:eastAsia="Calibri"/>
          <w:color w:val="000000"/>
        </w:rPr>
        <w:t>3.2</w:t>
      </w:r>
      <w:r w:rsidR="0055068B" w:rsidRPr="00471540">
        <w:rPr>
          <w:rFonts w:eastAsia="Calibri"/>
          <w:color w:val="000000"/>
        </w:rPr>
        <w:t xml:space="preserve"> </w:t>
      </w:r>
      <w:r w:rsidR="0055068B">
        <w:rPr>
          <w:rFonts w:eastAsia="Calibri"/>
          <w:color w:val="000000"/>
        </w:rPr>
        <w:t>million</w:t>
      </w:r>
      <w:r w:rsidR="0055068B" w:rsidRPr="00471540">
        <w:rPr>
          <w:rFonts w:eastAsia="Calibri"/>
          <w:color w:val="000000"/>
        </w:rPr>
        <w:t xml:space="preserve"> (total system). </w:t>
      </w:r>
      <w:r w:rsidR="0055068B">
        <w:rPr>
          <w:rFonts w:eastAsia="Calibri"/>
          <w:color w:val="000000"/>
        </w:rPr>
        <w:t xml:space="preserve"> </w:t>
      </w:r>
      <w:r w:rsidR="0055068B" w:rsidRPr="00471540">
        <w:rPr>
          <w:rFonts w:eastAsia="Calibri"/>
          <w:color w:val="000000"/>
        </w:rPr>
        <w:t xml:space="preserve">(Allis, </w:t>
      </w:r>
      <w:r w:rsidR="0055068B">
        <w:rPr>
          <w:rFonts w:eastAsia="Calibri"/>
          <w:color w:val="000000"/>
        </w:rPr>
        <w:t xml:space="preserve">Campbell, </w:t>
      </w:r>
      <w:r w:rsidR="0055068B" w:rsidRPr="00471540">
        <w:rPr>
          <w:rFonts w:eastAsia="Calibri"/>
          <w:color w:val="000000"/>
        </w:rPr>
        <w:t>Fuentes)</w:t>
      </w:r>
    </w:p>
    <w:p w14:paraId="029936EB" w14:textId="77777777" w:rsidR="00644687" w:rsidRPr="00070C96" w:rsidRDefault="00644687" w:rsidP="00644687">
      <w:pPr>
        <w:ind w:left="1440" w:hanging="1440"/>
        <w:jc w:val="both"/>
        <w:rPr>
          <w:bCs/>
        </w:rPr>
      </w:pPr>
    </w:p>
    <w:p w14:paraId="4ADC9669" w14:textId="77777777" w:rsidR="00644687" w:rsidRPr="009347C2" w:rsidRDefault="00644687" w:rsidP="00644687">
      <w:pPr>
        <w:ind w:left="1440" w:hanging="1440"/>
        <w:jc w:val="both"/>
        <w:rPr>
          <w:bCs/>
        </w:rPr>
      </w:pPr>
      <w:r>
        <w:rPr>
          <w:b/>
          <w:bCs/>
        </w:rPr>
        <w:t>OPC:</w:t>
      </w:r>
      <w:r>
        <w:rPr>
          <w:b/>
          <w:bCs/>
        </w:rPr>
        <w:tab/>
      </w:r>
      <w:r w:rsidR="009347C2" w:rsidRPr="003C68F6">
        <w:t xml:space="preserve">The depreciation parameters and resulting depreciation rates are shown in OPC Witness Garrett’s testimony and </w:t>
      </w:r>
      <w:r w:rsidR="009347C2">
        <w:t>Exhibits DJG-19 and DJG-20</w:t>
      </w:r>
      <w:r w:rsidR="009347C2" w:rsidRPr="003C68F6">
        <w:t xml:space="preserve">. </w:t>
      </w:r>
      <w:r w:rsidR="009347C2">
        <w:t xml:space="preserve">The resulting imbalance, if any, with these adjustments is a fallout number. </w:t>
      </w:r>
      <w:r w:rsidR="009347C2" w:rsidRPr="003C68F6">
        <w:t>(Garrett)</w:t>
      </w:r>
    </w:p>
    <w:p w14:paraId="0B83071A" w14:textId="77777777" w:rsidR="00644687" w:rsidRPr="00070C96" w:rsidRDefault="00644687" w:rsidP="00644687">
      <w:pPr>
        <w:ind w:left="1440" w:hanging="1440"/>
        <w:jc w:val="both"/>
        <w:rPr>
          <w:bCs/>
        </w:rPr>
      </w:pPr>
    </w:p>
    <w:p w14:paraId="3CB42977" w14:textId="77777777" w:rsidR="00644687" w:rsidRDefault="00644687" w:rsidP="00644687">
      <w:pPr>
        <w:ind w:left="1440" w:hanging="1440"/>
        <w:jc w:val="both"/>
      </w:pPr>
      <w:r>
        <w:rPr>
          <w:b/>
          <w:bCs/>
        </w:rPr>
        <w:t>FEA:</w:t>
      </w:r>
      <w:r>
        <w:rPr>
          <w:b/>
          <w:bCs/>
        </w:rPr>
        <w:tab/>
      </w:r>
      <w:r w:rsidR="005D30B5">
        <w:t>No position.</w:t>
      </w:r>
    </w:p>
    <w:p w14:paraId="66A79CD6" w14:textId="77777777" w:rsidR="005D30B5" w:rsidRPr="00070C96" w:rsidRDefault="005D30B5" w:rsidP="00644687">
      <w:pPr>
        <w:ind w:left="1440" w:hanging="1440"/>
        <w:jc w:val="both"/>
        <w:rPr>
          <w:bCs/>
        </w:rPr>
      </w:pPr>
    </w:p>
    <w:p w14:paraId="47389914"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1557E36" w14:textId="77777777" w:rsidR="00644687" w:rsidRPr="00070C96" w:rsidRDefault="00644687" w:rsidP="00644687">
      <w:pPr>
        <w:ind w:left="1440" w:hanging="1440"/>
        <w:jc w:val="both"/>
        <w:rPr>
          <w:bCs/>
        </w:rPr>
      </w:pPr>
    </w:p>
    <w:p w14:paraId="4435D5B9" w14:textId="6804D39A" w:rsidR="00AA0E34" w:rsidRDefault="00644687" w:rsidP="00D328A5">
      <w:pPr>
        <w:pStyle w:val="Default"/>
        <w:ind w:left="1440" w:hanging="1440"/>
        <w:jc w:val="both"/>
      </w:pPr>
      <w:r w:rsidRPr="005D4B47">
        <w:rPr>
          <w:b/>
          <w:bCs/>
        </w:rPr>
        <w:t>STAFF</w:t>
      </w:r>
      <w:r w:rsidRPr="00701945">
        <w:rPr>
          <w:b/>
          <w:bCs/>
        </w:rPr>
        <w:t>:</w:t>
      </w:r>
      <w:r>
        <w:rPr>
          <w:b/>
          <w:bCs/>
        </w:rPr>
        <w:tab/>
      </w:r>
      <w:r w:rsidR="00F53BE5">
        <w:t>No position.</w:t>
      </w:r>
    </w:p>
    <w:p w14:paraId="1C36A8A5" w14:textId="3D41C922" w:rsidR="00A63ABC" w:rsidRDefault="00A63ABC" w:rsidP="00D328A5">
      <w:pPr>
        <w:pStyle w:val="Default"/>
        <w:ind w:left="1440" w:hanging="1440"/>
        <w:jc w:val="both"/>
      </w:pPr>
    </w:p>
    <w:p w14:paraId="1FCDEF66" w14:textId="77777777" w:rsidR="00A63ABC" w:rsidRPr="008C76AE" w:rsidRDefault="00A63ABC" w:rsidP="00D328A5">
      <w:pPr>
        <w:pStyle w:val="Default"/>
        <w:ind w:left="1440" w:hanging="1440"/>
        <w:jc w:val="both"/>
      </w:pPr>
    </w:p>
    <w:p w14:paraId="6054F013" w14:textId="77777777" w:rsidR="00D328A5" w:rsidRPr="009347C2" w:rsidRDefault="00D328A5" w:rsidP="00D328A5">
      <w:pPr>
        <w:pStyle w:val="Default"/>
        <w:numPr>
          <w:ilvl w:val="0"/>
          <w:numId w:val="2"/>
        </w:numPr>
        <w:ind w:left="1440" w:hanging="1440"/>
        <w:jc w:val="both"/>
        <w:rPr>
          <w:b/>
        </w:rPr>
      </w:pPr>
      <w:r w:rsidRPr="009347C2">
        <w:rPr>
          <w:b/>
          <w:bCs/>
        </w:rPr>
        <w:t>What, if any, corrective depreciation reserve measures should be taken with respect to any imbalances identified in Issue 7?</w:t>
      </w:r>
      <w:r w:rsidRPr="009347C2">
        <w:rPr>
          <w:b/>
        </w:rPr>
        <w:t xml:space="preserve"> </w:t>
      </w:r>
    </w:p>
    <w:p w14:paraId="358AE8E3" w14:textId="77777777" w:rsidR="00D328A5" w:rsidRDefault="00D328A5" w:rsidP="00D328A5">
      <w:pPr>
        <w:pStyle w:val="Default"/>
        <w:jc w:val="both"/>
      </w:pPr>
    </w:p>
    <w:p w14:paraId="2D151A18" w14:textId="77777777" w:rsidR="00644687" w:rsidRPr="00070C96" w:rsidRDefault="00644687" w:rsidP="00644687">
      <w:pPr>
        <w:ind w:left="1440" w:hanging="1440"/>
        <w:jc w:val="both"/>
        <w:rPr>
          <w:bCs/>
        </w:rPr>
      </w:pPr>
      <w:r>
        <w:rPr>
          <w:b/>
          <w:bCs/>
        </w:rPr>
        <w:t>FCG:</w:t>
      </w:r>
      <w:r>
        <w:rPr>
          <w:b/>
          <w:bCs/>
        </w:rPr>
        <w:tab/>
      </w:r>
      <w:r w:rsidR="0055068B" w:rsidRPr="00471540">
        <w:rPr>
          <w:rFonts w:eastAsia="Calibri"/>
        </w:rPr>
        <w:t xml:space="preserve">If the Commission adopts </w:t>
      </w:r>
      <w:r w:rsidR="0055068B" w:rsidRPr="00FB0D27">
        <w:rPr>
          <w:rFonts w:eastAsia="Calibri"/>
        </w:rPr>
        <w:t xml:space="preserve">the RSAM as part of FCG’s four-year rate proposal, then the corrective reserve measures outlined in FCG’s Exhibit MC-6 should be taken. </w:t>
      </w:r>
      <w:r w:rsidR="0055068B">
        <w:rPr>
          <w:rFonts w:eastAsia="Calibri"/>
        </w:rPr>
        <w:t xml:space="preserve"> Any remaining reserve imbalance should be addressed in FCG’s next depreciation study.  </w:t>
      </w:r>
      <w:r w:rsidR="0055068B" w:rsidRPr="00FB0D27">
        <w:rPr>
          <w:rFonts w:eastAsia="Calibri"/>
        </w:rPr>
        <w:t>If the Commission</w:t>
      </w:r>
      <w:r w:rsidR="0055068B" w:rsidRPr="00471540">
        <w:rPr>
          <w:rFonts w:eastAsia="Calibri"/>
        </w:rPr>
        <w:t xml:space="preserve"> does not adopt the RSAM as part of FCG’s four-year rate proposal, then the remaining life technique should be used, and no other corrective</w:t>
      </w:r>
      <w:r w:rsidR="0055068B">
        <w:rPr>
          <w:rFonts w:eastAsia="Calibri"/>
        </w:rPr>
        <w:t xml:space="preserve"> </w:t>
      </w:r>
      <w:r w:rsidR="0055068B" w:rsidRPr="00471540">
        <w:rPr>
          <w:rFonts w:eastAsia="Calibri"/>
        </w:rPr>
        <w:t>reserve measures should be taken.</w:t>
      </w:r>
      <w:r w:rsidR="0055068B">
        <w:rPr>
          <w:rFonts w:eastAsia="Calibri"/>
        </w:rPr>
        <w:t xml:space="preserve"> </w:t>
      </w:r>
      <w:r w:rsidR="0055068B" w:rsidRPr="00471540">
        <w:rPr>
          <w:rFonts w:eastAsia="Calibri"/>
        </w:rPr>
        <w:t xml:space="preserve"> (</w:t>
      </w:r>
      <w:r w:rsidR="0055068B">
        <w:rPr>
          <w:rFonts w:eastAsia="Calibri"/>
        </w:rPr>
        <w:t>Allis, Campbell</w:t>
      </w:r>
      <w:r w:rsidR="0055068B" w:rsidRPr="00471540">
        <w:rPr>
          <w:rFonts w:eastAsia="Calibri"/>
        </w:rPr>
        <w:t>, Fuentes)</w:t>
      </w:r>
    </w:p>
    <w:p w14:paraId="1D96C517" w14:textId="77777777" w:rsidR="00644687" w:rsidRPr="00070C96" w:rsidRDefault="00644687" w:rsidP="00644687">
      <w:pPr>
        <w:ind w:left="1440" w:hanging="1440"/>
        <w:jc w:val="both"/>
        <w:rPr>
          <w:bCs/>
        </w:rPr>
      </w:pPr>
    </w:p>
    <w:p w14:paraId="3C13C9F0" w14:textId="77777777" w:rsidR="00644687" w:rsidRPr="009347C2" w:rsidRDefault="00644687" w:rsidP="00644687">
      <w:pPr>
        <w:ind w:left="1440" w:hanging="1440"/>
        <w:jc w:val="both"/>
        <w:rPr>
          <w:bCs/>
        </w:rPr>
      </w:pPr>
      <w:r>
        <w:rPr>
          <w:b/>
          <w:bCs/>
        </w:rPr>
        <w:t>OPC:</w:t>
      </w:r>
      <w:r>
        <w:rPr>
          <w:b/>
          <w:bCs/>
        </w:rPr>
        <w:tab/>
      </w:r>
      <w:r w:rsidR="009347C2" w:rsidRPr="003C68F6">
        <w:t>Any imbalances identified by adoption of the depreciation parameters and resulting depreciation rates shown in OPC Witness Garrett’s testimony and exhibits should</w:t>
      </w:r>
      <w:r w:rsidR="009347C2">
        <w:t xml:space="preserve">, consistent with Commission practice, </w:t>
      </w:r>
      <w:r w:rsidR="009347C2" w:rsidRPr="003C68F6">
        <w:t xml:space="preserve"> be allocated over the service life of the assets using the parameters included in OPC Witness Garrett’s testimony and exhibits. </w:t>
      </w:r>
      <w:r w:rsidR="009347C2">
        <w:t xml:space="preserve">The Commission may not </w:t>
      </w:r>
      <w:r w:rsidR="009347C2" w:rsidRPr="00121692">
        <w:t>establish depreciation rates in a general rate case for the express purpose of creating a depreciation imbalance (surplus)</w:t>
      </w:r>
      <w:r w:rsidR="009347C2">
        <w:t xml:space="preserve"> </w:t>
      </w:r>
      <w:r w:rsidR="009347C2" w:rsidRPr="00121692">
        <w:t>based on parameters which are not factually based on a depreciation study</w:t>
      </w:r>
      <w:r w:rsidR="009347C2">
        <w:t>. Such a practice would be a departure from generally accepted accounting principles. It would also eliminate any incentive for FCG to generate efficiencies, and it would be grossly unfair to FCG’s current and future customers.</w:t>
      </w:r>
      <w:r w:rsidR="009347C2" w:rsidRPr="003C68F6">
        <w:t xml:space="preserve"> (Garrett)</w:t>
      </w:r>
    </w:p>
    <w:p w14:paraId="5E36DA12" w14:textId="77777777" w:rsidR="00644687" w:rsidRPr="00070C96" w:rsidRDefault="00644687" w:rsidP="00644687">
      <w:pPr>
        <w:ind w:left="1440" w:hanging="1440"/>
        <w:jc w:val="both"/>
        <w:rPr>
          <w:bCs/>
        </w:rPr>
      </w:pPr>
    </w:p>
    <w:p w14:paraId="7958D53A" w14:textId="77777777" w:rsidR="00644687" w:rsidRPr="00070C96" w:rsidRDefault="00644687" w:rsidP="00644687">
      <w:pPr>
        <w:ind w:left="1440" w:hanging="1440"/>
        <w:jc w:val="both"/>
        <w:rPr>
          <w:bCs/>
        </w:rPr>
      </w:pPr>
      <w:r>
        <w:rPr>
          <w:b/>
          <w:bCs/>
        </w:rPr>
        <w:t>FEA:</w:t>
      </w:r>
      <w:r>
        <w:rPr>
          <w:b/>
          <w:bCs/>
        </w:rPr>
        <w:tab/>
      </w:r>
      <w:r w:rsidR="009D1863">
        <w:t>No position.</w:t>
      </w:r>
    </w:p>
    <w:p w14:paraId="5FF91977" w14:textId="77777777" w:rsidR="00644687" w:rsidRPr="00070C96" w:rsidRDefault="00644687" w:rsidP="00644687">
      <w:pPr>
        <w:ind w:left="1440" w:hanging="1440"/>
        <w:jc w:val="both"/>
        <w:rPr>
          <w:bCs/>
        </w:rPr>
      </w:pPr>
    </w:p>
    <w:p w14:paraId="7252CCC2"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D862935" w14:textId="77777777" w:rsidR="00644687" w:rsidRPr="00070C96" w:rsidRDefault="00644687" w:rsidP="00644687">
      <w:pPr>
        <w:ind w:left="1440" w:hanging="1440"/>
        <w:jc w:val="both"/>
        <w:rPr>
          <w:bCs/>
        </w:rPr>
      </w:pPr>
    </w:p>
    <w:p w14:paraId="4EE7C479"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5B7AE9D9" w14:textId="4B719CF2" w:rsidR="00D328A5" w:rsidRDefault="00D328A5" w:rsidP="00D328A5">
      <w:pPr>
        <w:pStyle w:val="Default"/>
        <w:jc w:val="both"/>
      </w:pPr>
    </w:p>
    <w:p w14:paraId="609ECE06" w14:textId="77777777" w:rsidR="00A63ABC" w:rsidRPr="008C76AE" w:rsidRDefault="00A63ABC" w:rsidP="00D328A5">
      <w:pPr>
        <w:pStyle w:val="Default"/>
        <w:jc w:val="both"/>
      </w:pPr>
    </w:p>
    <w:p w14:paraId="156A0D1D" w14:textId="77777777" w:rsidR="00D328A5" w:rsidRPr="009347C2" w:rsidRDefault="00D328A5" w:rsidP="00D328A5">
      <w:pPr>
        <w:pStyle w:val="Default"/>
        <w:numPr>
          <w:ilvl w:val="0"/>
          <w:numId w:val="2"/>
        </w:numPr>
        <w:ind w:left="1440" w:hanging="1440"/>
        <w:jc w:val="both"/>
        <w:rPr>
          <w:b/>
          <w:bCs/>
        </w:rPr>
      </w:pPr>
      <w:r w:rsidRPr="009347C2">
        <w:rPr>
          <w:b/>
        </w:rPr>
        <w:t>What should be the implementation date for revised depreciation rates and amortization schedules?</w:t>
      </w:r>
      <w:r w:rsidRPr="009347C2">
        <w:rPr>
          <w:b/>
          <w:bCs/>
        </w:rPr>
        <w:t xml:space="preserve"> </w:t>
      </w:r>
    </w:p>
    <w:p w14:paraId="2085DEDD" w14:textId="77777777" w:rsidR="00D328A5" w:rsidRDefault="00D328A5" w:rsidP="00D328A5">
      <w:pPr>
        <w:pStyle w:val="Default"/>
        <w:jc w:val="both"/>
        <w:rPr>
          <w:bCs/>
        </w:rPr>
      </w:pPr>
    </w:p>
    <w:p w14:paraId="4AC38925" w14:textId="77777777" w:rsidR="00644687" w:rsidRPr="00070C96" w:rsidRDefault="00644687" w:rsidP="00644687">
      <w:pPr>
        <w:ind w:left="1440" w:hanging="1440"/>
        <w:jc w:val="both"/>
        <w:rPr>
          <w:bCs/>
        </w:rPr>
      </w:pPr>
      <w:r>
        <w:rPr>
          <w:b/>
          <w:bCs/>
        </w:rPr>
        <w:t>FCG:</w:t>
      </w:r>
      <w:r>
        <w:rPr>
          <w:b/>
          <w:bCs/>
        </w:rPr>
        <w:tab/>
      </w:r>
      <w:r w:rsidR="0055068B" w:rsidRPr="00471540">
        <w:rPr>
          <w:rFonts w:eastAsia="Calibri"/>
          <w:color w:val="000000"/>
        </w:rPr>
        <w:t xml:space="preserve">The implementation date should be February 1, 2023. </w:t>
      </w:r>
      <w:r w:rsidR="0055068B">
        <w:rPr>
          <w:rFonts w:eastAsia="Calibri"/>
          <w:color w:val="000000"/>
        </w:rPr>
        <w:t xml:space="preserve"> </w:t>
      </w:r>
      <w:r w:rsidR="0055068B" w:rsidRPr="00471540">
        <w:rPr>
          <w:rFonts w:eastAsia="Calibri"/>
          <w:color w:val="000000"/>
        </w:rPr>
        <w:t>(Fuentes)</w:t>
      </w:r>
    </w:p>
    <w:p w14:paraId="4A712782" w14:textId="77777777" w:rsidR="00644687" w:rsidRPr="00070C96" w:rsidRDefault="00644687" w:rsidP="00644687">
      <w:pPr>
        <w:ind w:left="1440" w:hanging="1440"/>
        <w:jc w:val="both"/>
        <w:rPr>
          <w:bCs/>
        </w:rPr>
      </w:pPr>
    </w:p>
    <w:p w14:paraId="7205829C" w14:textId="77777777" w:rsidR="00644687" w:rsidRPr="00070C96" w:rsidRDefault="00644687" w:rsidP="00644687">
      <w:pPr>
        <w:ind w:left="1440" w:hanging="1440"/>
        <w:jc w:val="both"/>
        <w:rPr>
          <w:bCs/>
        </w:rPr>
      </w:pPr>
      <w:r>
        <w:rPr>
          <w:b/>
          <w:bCs/>
        </w:rPr>
        <w:t>OPC:</w:t>
      </w:r>
      <w:r>
        <w:rPr>
          <w:b/>
          <w:bCs/>
        </w:rPr>
        <w:tab/>
      </w:r>
      <w:r w:rsidR="009347C2">
        <w:t>The depreciation parameters and resulting depreciation rates are as shown in OPC Witness Garrett’s testimony and exhibits and should be implemented upon approval by the Commission, effective January 1. 2023. (Garrett)</w:t>
      </w:r>
    </w:p>
    <w:p w14:paraId="58709973" w14:textId="77777777" w:rsidR="00644687" w:rsidRPr="00070C96" w:rsidRDefault="00644687" w:rsidP="00644687">
      <w:pPr>
        <w:ind w:left="1440" w:hanging="1440"/>
        <w:jc w:val="both"/>
        <w:rPr>
          <w:bCs/>
        </w:rPr>
      </w:pPr>
    </w:p>
    <w:p w14:paraId="72BBB780" w14:textId="77777777" w:rsidR="00644687" w:rsidRPr="00070C96" w:rsidRDefault="00644687" w:rsidP="00644687">
      <w:pPr>
        <w:ind w:left="1440" w:hanging="1440"/>
        <w:jc w:val="both"/>
        <w:rPr>
          <w:bCs/>
        </w:rPr>
      </w:pPr>
      <w:r>
        <w:rPr>
          <w:b/>
          <w:bCs/>
        </w:rPr>
        <w:t>FEA:</w:t>
      </w:r>
      <w:r>
        <w:rPr>
          <w:b/>
          <w:bCs/>
        </w:rPr>
        <w:tab/>
      </w:r>
      <w:r w:rsidR="009D1863">
        <w:t>No position.</w:t>
      </w:r>
    </w:p>
    <w:p w14:paraId="267BAAD4" w14:textId="77777777" w:rsidR="00644687" w:rsidRPr="00070C96" w:rsidRDefault="00644687" w:rsidP="00644687">
      <w:pPr>
        <w:ind w:left="1440" w:hanging="1440"/>
        <w:jc w:val="both"/>
        <w:rPr>
          <w:bCs/>
        </w:rPr>
      </w:pPr>
    </w:p>
    <w:p w14:paraId="71554E45"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70A8A34D" w14:textId="77777777" w:rsidR="00644687" w:rsidRPr="00070C96" w:rsidRDefault="00644687" w:rsidP="00644687">
      <w:pPr>
        <w:ind w:left="1440" w:hanging="1440"/>
        <w:jc w:val="both"/>
        <w:rPr>
          <w:bCs/>
        </w:rPr>
      </w:pPr>
    </w:p>
    <w:p w14:paraId="108DB317"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271C4569" w14:textId="77777777" w:rsidR="00644687" w:rsidRDefault="00644687" w:rsidP="00644687">
      <w:pPr>
        <w:pStyle w:val="Default"/>
        <w:ind w:left="1440" w:hanging="1440"/>
        <w:jc w:val="both"/>
      </w:pPr>
    </w:p>
    <w:p w14:paraId="029F8EA3" w14:textId="77777777" w:rsidR="00644687" w:rsidRPr="00070C96" w:rsidRDefault="00644687" w:rsidP="006E6F3A">
      <w:pPr>
        <w:jc w:val="both"/>
        <w:rPr>
          <w:bCs/>
        </w:rPr>
      </w:pPr>
    </w:p>
    <w:p w14:paraId="3E2FAD40" w14:textId="77777777" w:rsidR="00D328A5" w:rsidRPr="00877329" w:rsidRDefault="00D328A5" w:rsidP="00D328A5">
      <w:pPr>
        <w:pStyle w:val="Default"/>
        <w:jc w:val="center"/>
        <w:rPr>
          <w:b/>
          <w:bCs/>
          <w:u w:val="single"/>
        </w:rPr>
      </w:pPr>
      <w:r w:rsidRPr="00877329">
        <w:rPr>
          <w:b/>
          <w:bCs/>
          <w:u w:val="single"/>
        </w:rPr>
        <w:t>RATE BASE</w:t>
      </w:r>
    </w:p>
    <w:p w14:paraId="46164645" w14:textId="77777777" w:rsidR="00D328A5" w:rsidRPr="008C76AE" w:rsidRDefault="00D328A5" w:rsidP="00D328A5">
      <w:pPr>
        <w:pStyle w:val="Default"/>
        <w:jc w:val="center"/>
      </w:pPr>
    </w:p>
    <w:p w14:paraId="5F92A3A0" w14:textId="77777777" w:rsidR="00D328A5" w:rsidRPr="009347C2" w:rsidRDefault="00D328A5" w:rsidP="00D73B1E">
      <w:pPr>
        <w:pStyle w:val="Default"/>
        <w:numPr>
          <w:ilvl w:val="0"/>
          <w:numId w:val="2"/>
        </w:numPr>
        <w:ind w:left="1440" w:hanging="1440"/>
        <w:jc w:val="both"/>
        <w:rPr>
          <w:b/>
        </w:rPr>
      </w:pPr>
      <w:r w:rsidRPr="009347C2">
        <w:rPr>
          <w:b/>
        </w:rPr>
        <w:t>Has FCG made the appropriate adjustment to Rate Base to transfer the SAFE investments as of December 31, 2022 from clause recovery to base rates?</w:t>
      </w:r>
      <w:r w:rsidRPr="009347C2">
        <w:rPr>
          <w:rStyle w:val="CommentReference"/>
          <w:b/>
        </w:rPr>
        <w:t xml:space="preserve"> </w:t>
      </w:r>
      <w:r w:rsidRPr="009347C2">
        <w:rPr>
          <w:b/>
        </w:rPr>
        <w:t xml:space="preserve"> </w:t>
      </w:r>
    </w:p>
    <w:p w14:paraId="179C13CF" w14:textId="77777777" w:rsidR="00D328A5" w:rsidRDefault="00D328A5" w:rsidP="00D73B1E">
      <w:pPr>
        <w:pStyle w:val="Default"/>
        <w:ind w:left="1440" w:hanging="1440"/>
        <w:jc w:val="both"/>
      </w:pPr>
    </w:p>
    <w:p w14:paraId="59B0A824" w14:textId="77777777" w:rsidR="00644687" w:rsidRPr="00070C96" w:rsidRDefault="00644687" w:rsidP="00644687">
      <w:pPr>
        <w:ind w:left="1440" w:hanging="1440"/>
        <w:jc w:val="both"/>
        <w:rPr>
          <w:bCs/>
        </w:rPr>
      </w:pPr>
      <w:r>
        <w:rPr>
          <w:b/>
          <w:bCs/>
        </w:rPr>
        <w:t>FCG:</w:t>
      </w:r>
      <w:r>
        <w:rPr>
          <w:b/>
          <w:bCs/>
        </w:rPr>
        <w:tab/>
      </w:r>
      <w:r w:rsidR="0055068B" w:rsidRPr="00471540">
        <w:rPr>
          <w:rFonts w:eastAsia="Calibri"/>
          <w:color w:val="000000"/>
        </w:rPr>
        <w:t xml:space="preserve">Yes. </w:t>
      </w:r>
      <w:r w:rsidR="0055068B" w:rsidRPr="00784653">
        <w:rPr>
          <w:rFonts w:eastAsia="Calibri"/>
          <w:color w:val="000000"/>
        </w:rPr>
        <w:t>Per Order No. PSC-15-0390-TRF-GU</w:t>
      </w:r>
      <w:r w:rsidR="0055068B">
        <w:rPr>
          <w:rFonts w:eastAsia="Calibri"/>
          <w:color w:val="000000"/>
        </w:rPr>
        <w:t xml:space="preserve"> in</w:t>
      </w:r>
      <w:r w:rsidR="0055068B" w:rsidRPr="00784653">
        <w:rPr>
          <w:rFonts w:eastAsia="Calibri"/>
          <w:color w:val="000000"/>
        </w:rPr>
        <w:t xml:space="preserve"> Docket No. 150116-GU,</w:t>
      </w:r>
      <w:r w:rsidR="0055068B">
        <w:rPr>
          <w:rFonts w:eastAsia="Calibri"/>
          <w:color w:val="000000"/>
        </w:rPr>
        <w:t xml:space="preserve"> </w:t>
      </w:r>
      <w:r w:rsidR="0055068B" w:rsidRPr="00784653">
        <w:rPr>
          <w:rFonts w:eastAsia="Calibri"/>
          <w:color w:val="000000"/>
        </w:rPr>
        <w:t>investments in the SAFE program are required to be folded into any newly</w:t>
      </w:r>
      <w:r w:rsidR="0055068B" w:rsidRPr="00471540">
        <w:rPr>
          <w:rFonts w:eastAsia="Calibri"/>
          <w:color w:val="000000"/>
        </w:rPr>
        <w:t xml:space="preserve"> </w:t>
      </w:r>
      <w:r w:rsidR="0055068B" w:rsidRPr="00F21DC4">
        <w:rPr>
          <w:rFonts w:eastAsia="Calibri"/>
          <w:color w:val="000000"/>
        </w:rPr>
        <w:t xml:space="preserve">approved rate base and the SAFE surcharge is to begin anew. </w:t>
      </w:r>
      <w:r w:rsidR="0055068B">
        <w:rPr>
          <w:rFonts w:eastAsia="Calibri"/>
          <w:color w:val="000000"/>
        </w:rPr>
        <w:t xml:space="preserve"> </w:t>
      </w:r>
      <w:r w:rsidR="0055068B" w:rsidRPr="00F21DC4">
        <w:rPr>
          <w:rFonts w:eastAsia="Calibri"/>
          <w:color w:val="000000"/>
        </w:rPr>
        <w:t>As reflected on Exhibit LF-3, $5.7</w:t>
      </w:r>
      <w:r w:rsidR="0055068B">
        <w:rPr>
          <w:rFonts w:eastAsia="Calibri"/>
          <w:color w:val="000000"/>
        </w:rPr>
        <w:t xml:space="preserve"> </w:t>
      </w:r>
      <w:r w:rsidR="0055068B" w:rsidRPr="00F21DC4">
        <w:rPr>
          <w:rFonts w:eastAsia="Calibri"/>
          <w:color w:val="000000"/>
        </w:rPr>
        <w:t xml:space="preserve">million of SAFE revenue requirements </w:t>
      </w:r>
      <w:r w:rsidR="0055068B">
        <w:rPr>
          <w:rFonts w:eastAsia="Calibri"/>
          <w:color w:val="000000"/>
        </w:rPr>
        <w:t xml:space="preserve">were transferred </w:t>
      </w:r>
      <w:r w:rsidR="0055068B" w:rsidRPr="00F21DC4">
        <w:rPr>
          <w:rFonts w:eastAsia="Calibri"/>
          <w:color w:val="000000"/>
        </w:rPr>
        <w:t>from clause recovery to base rates in</w:t>
      </w:r>
      <w:r w:rsidR="0055068B">
        <w:rPr>
          <w:rFonts w:eastAsia="Calibri"/>
          <w:color w:val="000000"/>
        </w:rPr>
        <w:t xml:space="preserve"> </w:t>
      </w:r>
      <w:r w:rsidR="0055068B" w:rsidRPr="00F21DC4">
        <w:rPr>
          <w:rFonts w:eastAsia="Calibri"/>
          <w:color w:val="000000"/>
        </w:rPr>
        <w:t xml:space="preserve">the 2023 Test Year. </w:t>
      </w:r>
      <w:r w:rsidR="0055068B">
        <w:rPr>
          <w:rFonts w:eastAsia="Calibri"/>
          <w:color w:val="000000"/>
        </w:rPr>
        <w:t xml:space="preserve"> </w:t>
      </w:r>
      <w:r w:rsidR="0055068B" w:rsidRPr="00F21DC4">
        <w:rPr>
          <w:rFonts w:eastAsia="Calibri"/>
          <w:color w:val="000000"/>
        </w:rPr>
        <w:t xml:space="preserve">As a result, the $5.7 million of SAFE revenue requirements that were transferred from clause to base </w:t>
      </w:r>
      <w:r w:rsidR="0055068B">
        <w:rPr>
          <w:rFonts w:eastAsia="Calibri"/>
          <w:color w:val="000000"/>
        </w:rPr>
        <w:t xml:space="preserve">rates </w:t>
      </w:r>
      <w:r w:rsidR="0055068B" w:rsidRPr="00F21DC4">
        <w:rPr>
          <w:rFonts w:eastAsia="Calibri"/>
          <w:color w:val="000000"/>
        </w:rPr>
        <w:t>are included in FCG’s requested $</w:t>
      </w:r>
      <w:r w:rsidR="0055068B">
        <w:rPr>
          <w:rFonts w:eastAsia="Calibri"/>
          <w:color w:val="000000"/>
        </w:rPr>
        <w:t xml:space="preserve">28.3 </w:t>
      </w:r>
      <w:r w:rsidR="0055068B" w:rsidRPr="00F21DC4">
        <w:rPr>
          <w:rFonts w:eastAsia="Calibri"/>
          <w:color w:val="000000"/>
        </w:rPr>
        <w:t>million</w:t>
      </w:r>
      <w:r w:rsidR="0055068B">
        <w:rPr>
          <w:rStyle w:val="FootnoteReference"/>
          <w:rFonts w:eastAsia="Calibri"/>
          <w:color w:val="000000"/>
        </w:rPr>
        <w:footnoteReference w:id="8"/>
      </w:r>
      <w:r w:rsidR="0055068B" w:rsidRPr="00F21DC4">
        <w:rPr>
          <w:rFonts w:eastAsia="Calibri"/>
          <w:color w:val="000000"/>
        </w:rPr>
        <w:t xml:space="preserve"> total base revenue increase.</w:t>
      </w:r>
      <w:r w:rsidR="0055068B">
        <w:rPr>
          <w:rFonts w:eastAsia="Calibri"/>
          <w:color w:val="000000"/>
        </w:rPr>
        <w:t xml:space="preserve">  (Fuentes)</w:t>
      </w:r>
    </w:p>
    <w:p w14:paraId="692F52E7" w14:textId="77777777" w:rsidR="00644687" w:rsidRPr="00070C96" w:rsidRDefault="00644687" w:rsidP="00644687">
      <w:pPr>
        <w:ind w:left="1440" w:hanging="1440"/>
        <w:jc w:val="both"/>
        <w:rPr>
          <w:bCs/>
        </w:rPr>
      </w:pPr>
    </w:p>
    <w:p w14:paraId="578C625A" w14:textId="77777777" w:rsidR="00644687" w:rsidRPr="00070C96" w:rsidRDefault="00644687" w:rsidP="00644687">
      <w:pPr>
        <w:ind w:left="1440" w:hanging="1440"/>
        <w:jc w:val="both"/>
        <w:rPr>
          <w:bCs/>
        </w:rPr>
      </w:pPr>
      <w:r>
        <w:rPr>
          <w:b/>
          <w:bCs/>
        </w:rPr>
        <w:t>OPC:</w:t>
      </w:r>
      <w:r>
        <w:rPr>
          <w:b/>
          <w:bCs/>
        </w:rPr>
        <w:tab/>
      </w:r>
      <w:r w:rsidR="009347C2">
        <w:t>No position.</w:t>
      </w:r>
    </w:p>
    <w:p w14:paraId="3FA5E8E4" w14:textId="77777777" w:rsidR="00644687" w:rsidRPr="00070C96" w:rsidRDefault="00644687" w:rsidP="00644687">
      <w:pPr>
        <w:ind w:left="1440" w:hanging="1440"/>
        <w:jc w:val="both"/>
        <w:rPr>
          <w:bCs/>
        </w:rPr>
      </w:pPr>
    </w:p>
    <w:p w14:paraId="5AE456A2" w14:textId="77777777" w:rsidR="00644687" w:rsidRPr="00070C96" w:rsidRDefault="00644687" w:rsidP="00644687">
      <w:pPr>
        <w:ind w:left="1440" w:hanging="1440"/>
        <w:jc w:val="both"/>
        <w:rPr>
          <w:bCs/>
        </w:rPr>
      </w:pPr>
      <w:r>
        <w:rPr>
          <w:b/>
          <w:bCs/>
        </w:rPr>
        <w:t>FEA:</w:t>
      </w:r>
      <w:r>
        <w:rPr>
          <w:b/>
          <w:bCs/>
        </w:rPr>
        <w:tab/>
      </w:r>
      <w:r w:rsidR="009D1863">
        <w:t>No position.</w:t>
      </w:r>
    </w:p>
    <w:p w14:paraId="04DC5C99" w14:textId="77777777" w:rsidR="00644687" w:rsidRPr="00070C96" w:rsidRDefault="00644687" w:rsidP="00644687">
      <w:pPr>
        <w:ind w:left="1440" w:hanging="1440"/>
        <w:jc w:val="both"/>
        <w:rPr>
          <w:bCs/>
        </w:rPr>
      </w:pPr>
    </w:p>
    <w:p w14:paraId="14D90199"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41EFDE8" w14:textId="77777777" w:rsidR="00644687" w:rsidRPr="00070C96" w:rsidRDefault="00644687" w:rsidP="00644687">
      <w:pPr>
        <w:ind w:left="1440" w:hanging="1440"/>
        <w:jc w:val="both"/>
        <w:rPr>
          <w:bCs/>
        </w:rPr>
      </w:pPr>
    </w:p>
    <w:p w14:paraId="13FF9762" w14:textId="77777777"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4F5F45DF" w14:textId="77777777" w:rsidR="00F955BF" w:rsidRPr="00070C96" w:rsidRDefault="00F955BF" w:rsidP="00644687">
      <w:pPr>
        <w:pStyle w:val="Default"/>
        <w:ind w:left="1440" w:hanging="1440"/>
        <w:jc w:val="both"/>
      </w:pPr>
    </w:p>
    <w:p w14:paraId="79F81334" w14:textId="77777777" w:rsidR="00D328A5" w:rsidRPr="009347C2" w:rsidRDefault="00D328A5" w:rsidP="00D73B1E">
      <w:pPr>
        <w:pStyle w:val="Default"/>
        <w:numPr>
          <w:ilvl w:val="0"/>
          <w:numId w:val="2"/>
        </w:numPr>
        <w:ind w:left="1440" w:hanging="1440"/>
        <w:jc w:val="both"/>
        <w:rPr>
          <w:b/>
        </w:rPr>
      </w:pPr>
      <w:r w:rsidRPr="009347C2">
        <w:rPr>
          <w:b/>
        </w:rPr>
        <w:t>Should FCG’s proposed Advanced Metering Infrastructure (AMI) Pilot be approved? If so, what adjustments, if any, should be made?</w:t>
      </w:r>
    </w:p>
    <w:p w14:paraId="3D05A714" w14:textId="77777777" w:rsidR="00D328A5" w:rsidRDefault="00D328A5" w:rsidP="00D73B1E">
      <w:pPr>
        <w:pStyle w:val="Default"/>
        <w:jc w:val="both"/>
      </w:pPr>
    </w:p>
    <w:p w14:paraId="1CE78767" w14:textId="77777777" w:rsidR="00644687" w:rsidRPr="00070C96" w:rsidRDefault="00644687" w:rsidP="00644687">
      <w:pPr>
        <w:ind w:left="1440" w:hanging="1440"/>
        <w:jc w:val="both"/>
        <w:rPr>
          <w:bCs/>
        </w:rPr>
      </w:pPr>
      <w:r>
        <w:rPr>
          <w:b/>
          <w:bCs/>
        </w:rPr>
        <w:t>FCG:</w:t>
      </w:r>
      <w:r>
        <w:rPr>
          <w:b/>
          <w:bCs/>
        </w:rPr>
        <w:tab/>
      </w:r>
      <w:r w:rsidR="0055068B" w:rsidRPr="00471540">
        <w:rPr>
          <w:rFonts w:eastAsia="Calibri"/>
        </w:rPr>
        <w:t xml:space="preserve">Yes.  </w:t>
      </w:r>
      <w:r w:rsidR="0055068B">
        <w:rPr>
          <w:rFonts w:eastAsia="Calibri"/>
        </w:rPr>
        <w:t xml:space="preserve">The AMI Pilot will provide real-world data and information regarding the deployment, implementation, features and functionality, operating and maintenance costs, and benefits of AMI technology on FCG’s system, as well as allow FCG to test and gather data on the corrosion resistance and life of new smart meters.  This information will be valuable in evaluating and determining whether AMI technology should be deployed system wide, as well as providing an opportunity to identify best practices and lessons learned before full-scale deployment.  </w:t>
      </w:r>
      <w:r w:rsidR="0055068B" w:rsidRPr="00C109BF">
        <w:rPr>
          <w:rFonts w:eastAsia="Calibri"/>
        </w:rPr>
        <w:t>FCG took a thoughtful and measured approach to its AMI Pilot, limiting the implementation of the pilot to only an initial 5,000 meters</w:t>
      </w:r>
      <w:r w:rsidR="0055068B">
        <w:rPr>
          <w:rFonts w:eastAsia="Calibri"/>
        </w:rPr>
        <w:t xml:space="preserve"> that currently experience accelerated corrosion and retirement</w:t>
      </w:r>
      <w:r w:rsidR="0055068B" w:rsidRPr="00C109BF">
        <w:rPr>
          <w:rFonts w:eastAsia="Calibri"/>
        </w:rPr>
        <w:t xml:space="preserve">. </w:t>
      </w:r>
      <w:r w:rsidR="0055068B" w:rsidRPr="00471540" w:rsidDel="008247B3">
        <w:rPr>
          <w:rFonts w:eastAsia="Calibri"/>
        </w:rPr>
        <w:t xml:space="preserve"> </w:t>
      </w:r>
      <w:r w:rsidR="0055068B">
        <w:rPr>
          <w:rFonts w:eastAsia="Calibri"/>
        </w:rPr>
        <w:t>No adjustments should be made.  (Howard)</w:t>
      </w:r>
    </w:p>
    <w:p w14:paraId="79424BC9" w14:textId="77777777" w:rsidR="00644687" w:rsidRPr="00070C96" w:rsidRDefault="00644687" w:rsidP="00644687">
      <w:pPr>
        <w:ind w:left="1440" w:hanging="1440"/>
        <w:jc w:val="both"/>
        <w:rPr>
          <w:bCs/>
        </w:rPr>
      </w:pPr>
    </w:p>
    <w:p w14:paraId="7F626842" w14:textId="77777777" w:rsidR="00644687" w:rsidRPr="00070C96" w:rsidRDefault="00644687" w:rsidP="00644687">
      <w:pPr>
        <w:ind w:left="1440" w:hanging="1440"/>
        <w:jc w:val="both"/>
        <w:rPr>
          <w:bCs/>
        </w:rPr>
      </w:pPr>
      <w:r>
        <w:rPr>
          <w:b/>
          <w:bCs/>
        </w:rPr>
        <w:t>OPC:</w:t>
      </w:r>
      <w:r>
        <w:rPr>
          <w:b/>
          <w:bCs/>
        </w:rPr>
        <w:tab/>
      </w:r>
      <w:r w:rsidR="009347C2">
        <w:t>No, the cost for this experimental program should be borne by shareholders, not customers, since it is not known whether there will be a benefit. The adjustments shown on HWS-2, page 8 of 38, Sch. B-3, of a plant in service adjustment of $837,500 and related accumulated depreciation adjustment of $23,456 and should be made. In addition, the related O&amp;M expense of $20,000 and depreciation expense of $46,913 should be reduced as shown in Issue 49 and HWS-2, page 8 of 28, Schedule B-3. These amounts are subject to revision based on discovery. (Schultz)</w:t>
      </w:r>
    </w:p>
    <w:p w14:paraId="7D46B11F" w14:textId="77777777" w:rsidR="00644687" w:rsidRPr="00070C96" w:rsidRDefault="00644687" w:rsidP="00644687">
      <w:pPr>
        <w:ind w:left="1440" w:hanging="1440"/>
        <w:jc w:val="both"/>
        <w:rPr>
          <w:bCs/>
        </w:rPr>
      </w:pPr>
    </w:p>
    <w:p w14:paraId="1C05E9ED" w14:textId="77777777" w:rsidR="00644687" w:rsidRPr="00070C96" w:rsidRDefault="00644687" w:rsidP="00644687">
      <w:pPr>
        <w:ind w:left="1440" w:hanging="1440"/>
        <w:jc w:val="both"/>
        <w:rPr>
          <w:bCs/>
        </w:rPr>
      </w:pPr>
      <w:r>
        <w:rPr>
          <w:b/>
          <w:bCs/>
        </w:rPr>
        <w:t>FEA:</w:t>
      </w:r>
      <w:r>
        <w:rPr>
          <w:b/>
          <w:bCs/>
        </w:rPr>
        <w:tab/>
      </w:r>
      <w:r w:rsidR="009D1863">
        <w:t>No position.</w:t>
      </w:r>
    </w:p>
    <w:p w14:paraId="29EBDFB9" w14:textId="77777777" w:rsidR="00644687" w:rsidRPr="00070C96" w:rsidRDefault="00644687" w:rsidP="00644687">
      <w:pPr>
        <w:ind w:left="1440" w:hanging="1440"/>
        <w:jc w:val="both"/>
        <w:rPr>
          <w:bCs/>
        </w:rPr>
      </w:pPr>
    </w:p>
    <w:p w14:paraId="58F27FA4"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A17A2B3" w14:textId="77777777" w:rsidR="00644687" w:rsidRPr="00070C96" w:rsidRDefault="00644687" w:rsidP="00644687">
      <w:pPr>
        <w:ind w:left="1440" w:hanging="1440"/>
        <w:jc w:val="both"/>
        <w:rPr>
          <w:bCs/>
        </w:rPr>
      </w:pPr>
    </w:p>
    <w:p w14:paraId="27C98AFD"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79E5DD34" w14:textId="77777777" w:rsidR="00644687" w:rsidRDefault="00644687" w:rsidP="00644687">
      <w:pPr>
        <w:pStyle w:val="Default"/>
        <w:ind w:left="1440" w:hanging="1440"/>
        <w:jc w:val="both"/>
      </w:pPr>
    </w:p>
    <w:p w14:paraId="0264172B" w14:textId="77777777" w:rsidR="00D328A5" w:rsidRDefault="00D328A5" w:rsidP="00D73B1E">
      <w:pPr>
        <w:pStyle w:val="Default"/>
        <w:jc w:val="both"/>
      </w:pPr>
    </w:p>
    <w:p w14:paraId="54D98916" w14:textId="77777777" w:rsidR="00D328A5" w:rsidRPr="009347C2" w:rsidRDefault="00D328A5" w:rsidP="00D73B1E">
      <w:pPr>
        <w:pStyle w:val="Default"/>
        <w:numPr>
          <w:ilvl w:val="0"/>
          <w:numId w:val="2"/>
        </w:numPr>
        <w:ind w:left="1440" w:hanging="1440"/>
        <w:jc w:val="both"/>
        <w:rPr>
          <w:b/>
        </w:rPr>
      </w:pPr>
      <w:r w:rsidRPr="009347C2">
        <w:rPr>
          <w:b/>
        </w:rPr>
        <w:t>What is the appropriate amount of plant in service for FCG’s delayed LNG facility that was approved in its last rate case?</w:t>
      </w:r>
    </w:p>
    <w:p w14:paraId="386D013D" w14:textId="77777777" w:rsidR="00644687" w:rsidRDefault="00644687" w:rsidP="00644687">
      <w:pPr>
        <w:pStyle w:val="Default"/>
        <w:ind w:left="1440" w:hanging="1440"/>
        <w:jc w:val="both"/>
      </w:pPr>
    </w:p>
    <w:p w14:paraId="48D54F63" w14:textId="77777777" w:rsidR="00644687" w:rsidRPr="00070C96" w:rsidRDefault="00644687" w:rsidP="00644687">
      <w:pPr>
        <w:ind w:left="1440" w:hanging="1440"/>
        <w:jc w:val="both"/>
        <w:rPr>
          <w:bCs/>
        </w:rPr>
      </w:pPr>
      <w:r>
        <w:rPr>
          <w:b/>
          <w:bCs/>
        </w:rPr>
        <w:t>FCG:</w:t>
      </w:r>
      <w:r>
        <w:rPr>
          <w:b/>
          <w:bCs/>
        </w:rPr>
        <w:tab/>
      </w:r>
      <w:r w:rsidR="0055068B" w:rsidRPr="004B10DF">
        <w:rPr>
          <w:rFonts w:eastAsia="Calibri"/>
          <w:color w:val="000000"/>
        </w:rPr>
        <w:t>The need and construction of the LNG Facility was previously approved by the Commission in Docket No. 201701</w:t>
      </w:r>
      <w:r w:rsidR="0055068B">
        <w:rPr>
          <w:rFonts w:eastAsia="Calibri"/>
          <w:color w:val="000000"/>
        </w:rPr>
        <w:t>7</w:t>
      </w:r>
      <w:r w:rsidR="0055068B" w:rsidRPr="004B10DF">
        <w:rPr>
          <w:rFonts w:eastAsia="Calibri"/>
          <w:color w:val="000000"/>
        </w:rPr>
        <w:t xml:space="preserve">9-GU.  FCG currently projects the total cost necessary to complete the LNG Facility is $68 million with an in-service date of March 2023. </w:t>
      </w:r>
      <w:r w:rsidR="0055068B" w:rsidRPr="00471540">
        <w:rPr>
          <w:rFonts w:eastAsia="Calibri"/>
          <w:color w:val="000000"/>
        </w:rPr>
        <w:t xml:space="preserve"> </w:t>
      </w:r>
      <w:r w:rsidR="0055068B">
        <w:rPr>
          <w:rFonts w:eastAsia="Calibri"/>
          <w:color w:val="000000"/>
        </w:rPr>
        <w:t xml:space="preserve">As reflected on page </w:t>
      </w:r>
      <w:r w:rsidR="0055068B" w:rsidRPr="004B10DF">
        <w:rPr>
          <w:rFonts w:eastAsia="Calibri"/>
          <w:color w:val="000000"/>
        </w:rPr>
        <w:t>27 of MFR G-</w:t>
      </w:r>
      <w:r w:rsidR="0055068B" w:rsidDel="00B249BF">
        <w:rPr>
          <w:rFonts w:eastAsia="Calibri"/>
          <w:color w:val="000000"/>
        </w:rPr>
        <w:t>1</w:t>
      </w:r>
      <w:r w:rsidR="0055068B">
        <w:rPr>
          <w:rFonts w:eastAsia="Calibri"/>
          <w:color w:val="000000"/>
        </w:rPr>
        <w:t>, the appropriate amount of plant in service for the LNG Facility when it is placed in service in March 2023</w:t>
      </w:r>
      <w:r w:rsidR="0055068B" w:rsidRPr="004B10DF">
        <w:rPr>
          <w:rFonts w:eastAsia="Calibri"/>
          <w:color w:val="000000"/>
        </w:rPr>
        <w:t xml:space="preserve"> is $68 million. </w:t>
      </w:r>
      <w:r w:rsidR="0055068B">
        <w:rPr>
          <w:rFonts w:eastAsia="Calibri"/>
          <w:color w:val="000000"/>
        </w:rPr>
        <w:t xml:space="preserve"> (Campbell, Howard)</w:t>
      </w:r>
    </w:p>
    <w:p w14:paraId="3A5354B8" w14:textId="77777777" w:rsidR="00644687" w:rsidRPr="00070C96" w:rsidRDefault="00644687" w:rsidP="00644687">
      <w:pPr>
        <w:ind w:left="1440" w:hanging="1440"/>
        <w:jc w:val="both"/>
        <w:rPr>
          <w:bCs/>
        </w:rPr>
      </w:pPr>
    </w:p>
    <w:p w14:paraId="29E5E2D3" w14:textId="77777777" w:rsidR="00644687" w:rsidRPr="00070C96" w:rsidRDefault="00644687" w:rsidP="00644687">
      <w:pPr>
        <w:ind w:left="1440" w:hanging="1440"/>
        <w:jc w:val="both"/>
        <w:rPr>
          <w:bCs/>
        </w:rPr>
      </w:pPr>
      <w:r>
        <w:rPr>
          <w:b/>
          <w:bCs/>
        </w:rPr>
        <w:t>OPC:</w:t>
      </w:r>
      <w:r>
        <w:rPr>
          <w:b/>
          <w:bCs/>
        </w:rPr>
        <w:tab/>
      </w:r>
      <w:r w:rsidR="009347C2">
        <w:t>OPC Witness Schultz’s testimony and exhibits address the appropriate amount of plant-in-service. The plant in service for the delayed LNG facility should be reduced by at least $7,692,308 and the associated accumulated depreciation of $56,253. Further adjustments may be warranted based on the actual in-service date of the facility. (Schultz)</w:t>
      </w:r>
    </w:p>
    <w:p w14:paraId="733B732B" w14:textId="77777777" w:rsidR="00644687" w:rsidRPr="00070C96" w:rsidRDefault="00644687" w:rsidP="00644687">
      <w:pPr>
        <w:ind w:left="1440" w:hanging="1440"/>
        <w:jc w:val="both"/>
        <w:rPr>
          <w:bCs/>
        </w:rPr>
      </w:pPr>
    </w:p>
    <w:p w14:paraId="4ABE3381" w14:textId="77777777" w:rsidR="00644687" w:rsidRPr="00070C96" w:rsidRDefault="00644687" w:rsidP="00644687">
      <w:pPr>
        <w:ind w:left="1440" w:hanging="1440"/>
        <w:jc w:val="both"/>
        <w:rPr>
          <w:bCs/>
        </w:rPr>
      </w:pPr>
      <w:r>
        <w:rPr>
          <w:b/>
          <w:bCs/>
        </w:rPr>
        <w:t>FEA:</w:t>
      </w:r>
      <w:r>
        <w:rPr>
          <w:b/>
          <w:bCs/>
        </w:rPr>
        <w:tab/>
      </w:r>
      <w:r w:rsidR="009D1863">
        <w:t>No position.</w:t>
      </w:r>
    </w:p>
    <w:p w14:paraId="7DCAB181" w14:textId="77777777" w:rsidR="00644687" w:rsidRPr="00070C96" w:rsidRDefault="00644687" w:rsidP="00644687">
      <w:pPr>
        <w:ind w:left="1440" w:hanging="1440"/>
        <w:jc w:val="both"/>
        <w:rPr>
          <w:bCs/>
        </w:rPr>
      </w:pPr>
    </w:p>
    <w:p w14:paraId="6408934E"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3807F17A" w14:textId="77777777" w:rsidR="00644687" w:rsidRPr="00070C96" w:rsidRDefault="00644687" w:rsidP="00644687">
      <w:pPr>
        <w:ind w:left="1440" w:hanging="1440"/>
        <w:jc w:val="both"/>
        <w:rPr>
          <w:bCs/>
        </w:rPr>
      </w:pPr>
    </w:p>
    <w:p w14:paraId="23C79C81"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3BCBC9C5" w14:textId="77777777" w:rsidR="00644687" w:rsidRDefault="00644687" w:rsidP="00644687">
      <w:pPr>
        <w:pStyle w:val="Default"/>
        <w:ind w:left="1440" w:hanging="1440"/>
        <w:jc w:val="both"/>
      </w:pPr>
    </w:p>
    <w:p w14:paraId="66AE99B8" w14:textId="714F42D3" w:rsidR="004024FD" w:rsidRPr="00D328A5" w:rsidRDefault="004024FD" w:rsidP="00D73B1E">
      <w:pPr>
        <w:pStyle w:val="Default"/>
        <w:jc w:val="both"/>
        <w:rPr>
          <w:bCs/>
        </w:rPr>
      </w:pPr>
    </w:p>
    <w:p w14:paraId="1F7CACEA" w14:textId="77777777" w:rsidR="00D328A5" w:rsidRPr="009347C2" w:rsidRDefault="00D328A5" w:rsidP="00D73B1E">
      <w:pPr>
        <w:pStyle w:val="Default"/>
        <w:numPr>
          <w:ilvl w:val="0"/>
          <w:numId w:val="2"/>
        </w:numPr>
        <w:ind w:left="1440" w:hanging="1440"/>
        <w:jc w:val="both"/>
        <w:rPr>
          <w:b/>
          <w:bCs/>
        </w:rPr>
      </w:pPr>
      <w:r w:rsidRPr="009347C2">
        <w:rPr>
          <w:b/>
          <w:bCs/>
        </w:rPr>
        <w:t>What is the appropriate level of plant in service for the projected test year? (Fallout Issue)</w:t>
      </w:r>
    </w:p>
    <w:p w14:paraId="0D02534B" w14:textId="77777777" w:rsidR="00D328A5" w:rsidRDefault="00D328A5" w:rsidP="00D73B1E">
      <w:pPr>
        <w:pStyle w:val="Default"/>
        <w:ind w:left="1440" w:hanging="1440"/>
        <w:jc w:val="both"/>
      </w:pPr>
    </w:p>
    <w:p w14:paraId="2D422642" w14:textId="77777777" w:rsidR="00644687" w:rsidRPr="00070C96" w:rsidRDefault="00644687" w:rsidP="00644687">
      <w:pPr>
        <w:ind w:left="1440" w:hanging="1440"/>
        <w:jc w:val="both"/>
        <w:rPr>
          <w:bCs/>
        </w:rPr>
      </w:pPr>
      <w:r>
        <w:rPr>
          <w:b/>
          <w:bCs/>
        </w:rPr>
        <w:t>FCG:</w:t>
      </w:r>
      <w:r>
        <w:rPr>
          <w:b/>
          <w:bCs/>
        </w:rPr>
        <w:tab/>
      </w:r>
      <w:r w:rsidR="0055068B" w:rsidRPr="60A72BA2">
        <w:rPr>
          <w:rFonts w:eastAsia="Calibri"/>
          <w:color w:val="000000" w:themeColor="text1"/>
        </w:rPr>
        <w:t>As reflected in page 1 of MFR A-3 (with RSAM), the appropriate amount of plant in-service, including the gross amount of the acquisition adjustment, is $664,736,539</w:t>
      </w:r>
      <w:r w:rsidR="0055068B" w:rsidRPr="60A72BA2" w:rsidDel="007F0FF0">
        <w:rPr>
          <w:rFonts w:eastAsia="Calibri"/>
          <w:color w:val="000000" w:themeColor="text1"/>
        </w:rPr>
        <w:t xml:space="preserve"> </w:t>
      </w:r>
      <w:r w:rsidR="0055068B" w:rsidRPr="60A72BA2">
        <w:rPr>
          <w:rFonts w:eastAsia="Calibri"/>
          <w:color w:val="000000" w:themeColor="text1"/>
        </w:rPr>
        <w:t>(adjusted) for the 2023 projected Test Year.  If the Commission does not adopt the RSAM as part of FCG’s four-year rate proposal, the appropriate amount of plant in service for the 2023 projected test year is also $664,736,539 (adjusted).  (Campbell, Fuentes</w:t>
      </w:r>
      <w:r w:rsidR="0055068B">
        <w:rPr>
          <w:rFonts w:eastAsia="Calibri"/>
          <w:color w:val="000000" w:themeColor="text1"/>
        </w:rPr>
        <w:t>, Howard</w:t>
      </w:r>
      <w:r w:rsidR="0055068B" w:rsidRPr="60A72BA2">
        <w:rPr>
          <w:rFonts w:eastAsia="Calibri"/>
          <w:color w:val="000000" w:themeColor="text1"/>
        </w:rPr>
        <w:t>)</w:t>
      </w:r>
    </w:p>
    <w:p w14:paraId="5DC28CCA" w14:textId="77777777" w:rsidR="00644687" w:rsidRPr="00070C96" w:rsidRDefault="00644687" w:rsidP="00644687">
      <w:pPr>
        <w:ind w:left="1440" w:hanging="1440"/>
        <w:jc w:val="both"/>
        <w:rPr>
          <w:bCs/>
        </w:rPr>
      </w:pPr>
    </w:p>
    <w:p w14:paraId="0BA000EB" w14:textId="77777777" w:rsidR="00644687" w:rsidRPr="00070C96" w:rsidRDefault="00644687" w:rsidP="00644687">
      <w:pPr>
        <w:ind w:left="1440" w:hanging="1440"/>
        <w:jc w:val="both"/>
        <w:rPr>
          <w:bCs/>
        </w:rPr>
      </w:pPr>
      <w:r>
        <w:rPr>
          <w:b/>
          <w:bCs/>
        </w:rPr>
        <w:t>OPC:</w:t>
      </w:r>
      <w:r>
        <w:rPr>
          <w:b/>
          <w:bCs/>
        </w:rPr>
        <w:tab/>
      </w:r>
      <w:r w:rsidR="009347C2">
        <w:t>OPC Witness Schultz’s testimony and exhibits demonstrate that the appropriate amount of plant-in-service to include in the projected test year should be no greater than $624,911,908. This includes an adjustment to remove $9,637,988 of overstated projected plant in service plus $460,884 of accumulated depreciation. (Schultz)</w:t>
      </w:r>
    </w:p>
    <w:p w14:paraId="1450018E" w14:textId="77777777" w:rsidR="00644687" w:rsidRPr="00070C96" w:rsidRDefault="00644687" w:rsidP="00644687">
      <w:pPr>
        <w:ind w:left="1440" w:hanging="1440"/>
        <w:jc w:val="both"/>
        <w:rPr>
          <w:bCs/>
        </w:rPr>
      </w:pPr>
    </w:p>
    <w:p w14:paraId="5C585151" w14:textId="77777777" w:rsidR="00644687" w:rsidRPr="00070C96" w:rsidRDefault="00644687" w:rsidP="00644687">
      <w:pPr>
        <w:ind w:left="1440" w:hanging="1440"/>
        <w:jc w:val="both"/>
        <w:rPr>
          <w:bCs/>
        </w:rPr>
      </w:pPr>
      <w:r>
        <w:rPr>
          <w:b/>
          <w:bCs/>
        </w:rPr>
        <w:t>FEA:</w:t>
      </w:r>
      <w:r>
        <w:rPr>
          <w:b/>
          <w:bCs/>
        </w:rPr>
        <w:tab/>
      </w:r>
      <w:r w:rsidR="009D1863">
        <w:t>No position.</w:t>
      </w:r>
    </w:p>
    <w:p w14:paraId="43347B20" w14:textId="77777777" w:rsidR="00644687" w:rsidRPr="00070C96" w:rsidRDefault="00644687" w:rsidP="00644687">
      <w:pPr>
        <w:ind w:left="1440" w:hanging="1440"/>
        <w:jc w:val="both"/>
        <w:rPr>
          <w:bCs/>
        </w:rPr>
      </w:pPr>
    </w:p>
    <w:p w14:paraId="4F644747"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550F41AA" w14:textId="77777777" w:rsidR="00644687" w:rsidRPr="00070C96" w:rsidRDefault="00644687" w:rsidP="00644687">
      <w:pPr>
        <w:ind w:left="1440" w:hanging="1440"/>
        <w:jc w:val="both"/>
        <w:rPr>
          <w:bCs/>
        </w:rPr>
      </w:pPr>
    </w:p>
    <w:p w14:paraId="4556EC8D"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32BDB63D" w14:textId="77777777" w:rsidR="00644687" w:rsidRDefault="00644687" w:rsidP="00644687">
      <w:pPr>
        <w:pStyle w:val="Default"/>
        <w:ind w:left="1440" w:hanging="1440"/>
        <w:jc w:val="both"/>
      </w:pPr>
    </w:p>
    <w:p w14:paraId="330513E8" w14:textId="77777777" w:rsidR="00B87153" w:rsidRPr="008C76AE" w:rsidRDefault="00B87153" w:rsidP="008A6E64">
      <w:pPr>
        <w:pStyle w:val="Default"/>
        <w:jc w:val="both"/>
      </w:pPr>
    </w:p>
    <w:p w14:paraId="64D98BA3" w14:textId="77777777" w:rsidR="00D328A5" w:rsidRPr="009347C2" w:rsidRDefault="00D328A5" w:rsidP="00D73B1E">
      <w:pPr>
        <w:pStyle w:val="Default"/>
        <w:numPr>
          <w:ilvl w:val="0"/>
          <w:numId w:val="2"/>
        </w:numPr>
        <w:ind w:left="1440" w:hanging="1440"/>
        <w:jc w:val="both"/>
        <w:rPr>
          <w:b/>
        </w:rPr>
      </w:pPr>
      <w:r w:rsidRPr="009347C2">
        <w:rPr>
          <w:b/>
          <w:bCs/>
        </w:rPr>
        <w:t xml:space="preserve">Has FCG made the appropriate adjustments to remove all non-utility activities from Plant in Service, Accumulated Depreciation, and Working Capital? </w:t>
      </w:r>
    </w:p>
    <w:p w14:paraId="08CEDCB0" w14:textId="77777777" w:rsidR="00D328A5" w:rsidRDefault="00D328A5" w:rsidP="00D73B1E">
      <w:pPr>
        <w:pStyle w:val="Default"/>
        <w:ind w:left="1440" w:hanging="1440"/>
        <w:jc w:val="both"/>
      </w:pPr>
    </w:p>
    <w:p w14:paraId="02F4F1B5" w14:textId="77777777" w:rsidR="00644687" w:rsidRPr="00070C96" w:rsidRDefault="00644687" w:rsidP="00644687">
      <w:pPr>
        <w:ind w:left="1440" w:hanging="1440"/>
        <w:jc w:val="both"/>
        <w:rPr>
          <w:bCs/>
        </w:rPr>
      </w:pPr>
      <w:r>
        <w:rPr>
          <w:b/>
          <w:bCs/>
        </w:rPr>
        <w:t>FCG:</w:t>
      </w:r>
      <w:r>
        <w:rPr>
          <w:b/>
          <w:bCs/>
        </w:rPr>
        <w:tab/>
      </w:r>
      <w:r w:rsidR="0055068B">
        <w:t>FCG does not have any non-utility investments and therefore, adjustments were not required</w:t>
      </w:r>
      <w:r w:rsidR="0055068B" w:rsidRPr="00471540">
        <w:rPr>
          <w:rFonts w:eastAsia="Calibri"/>
          <w:color w:val="000000"/>
        </w:rPr>
        <w:t>.  (Fuentes)</w:t>
      </w:r>
    </w:p>
    <w:p w14:paraId="09E94EDA" w14:textId="77777777" w:rsidR="00644687" w:rsidRPr="00070C96" w:rsidRDefault="00644687" w:rsidP="00644687">
      <w:pPr>
        <w:ind w:left="1440" w:hanging="1440"/>
        <w:jc w:val="both"/>
        <w:rPr>
          <w:bCs/>
        </w:rPr>
      </w:pPr>
    </w:p>
    <w:p w14:paraId="5682A71C" w14:textId="77777777" w:rsidR="00644687" w:rsidRPr="00070C96" w:rsidRDefault="00644687" w:rsidP="00644687">
      <w:pPr>
        <w:ind w:left="1440" w:hanging="1440"/>
        <w:jc w:val="both"/>
        <w:rPr>
          <w:bCs/>
        </w:rPr>
      </w:pPr>
      <w:r>
        <w:rPr>
          <w:b/>
          <w:bCs/>
        </w:rPr>
        <w:t>OPC:</w:t>
      </w:r>
      <w:r>
        <w:rPr>
          <w:b/>
          <w:bCs/>
        </w:rPr>
        <w:tab/>
      </w:r>
      <w:r w:rsidR="009347C2">
        <w:t>No position.</w:t>
      </w:r>
    </w:p>
    <w:p w14:paraId="6D51CA8E" w14:textId="77777777" w:rsidR="00644687" w:rsidRPr="00070C96" w:rsidRDefault="00644687" w:rsidP="00644687">
      <w:pPr>
        <w:ind w:left="1440" w:hanging="1440"/>
        <w:jc w:val="both"/>
        <w:rPr>
          <w:bCs/>
        </w:rPr>
      </w:pPr>
    </w:p>
    <w:p w14:paraId="75D4A1FE" w14:textId="77777777" w:rsidR="00644687" w:rsidRPr="00070C96" w:rsidRDefault="00644687" w:rsidP="00644687">
      <w:pPr>
        <w:ind w:left="1440" w:hanging="1440"/>
        <w:jc w:val="both"/>
        <w:rPr>
          <w:bCs/>
        </w:rPr>
      </w:pPr>
      <w:r>
        <w:rPr>
          <w:b/>
          <w:bCs/>
        </w:rPr>
        <w:t>FEA:</w:t>
      </w:r>
      <w:r>
        <w:rPr>
          <w:b/>
          <w:bCs/>
        </w:rPr>
        <w:tab/>
      </w:r>
      <w:r w:rsidR="009D1863">
        <w:t>No position.</w:t>
      </w:r>
    </w:p>
    <w:p w14:paraId="79578994" w14:textId="77777777" w:rsidR="00644687" w:rsidRPr="00070C96" w:rsidRDefault="00644687" w:rsidP="00644687">
      <w:pPr>
        <w:ind w:left="1440" w:hanging="1440"/>
        <w:jc w:val="both"/>
        <w:rPr>
          <w:bCs/>
        </w:rPr>
      </w:pPr>
    </w:p>
    <w:p w14:paraId="2E45D9CB"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31C14E34"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5FE1E034" w14:textId="77777777" w:rsidR="00644687" w:rsidRDefault="00644687" w:rsidP="00644687">
      <w:pPr>
        <w:pStyle w:val="Default"/>
        <w:ind w:left="1440" w:hanging="1440"/>
        <w:jc w:val="both"/>
      </w:pPr>
    </w:p>
    <w:p w14:paraId="77631762" w14:textId="77777777" w:rsidR="00D328A5" w:rsidRPr="008C76AE" w:rsidRDefault="00D328A5" w:rsidP="00D73B1E">
      <w:pPr>
        <w:pStyle w:val="Default"/>
        <w:ind w:left="1440" w:hanging="1440"/>
        <w:jc w:val="both"/>
      </w:pPr>
    </w:p>
    <w:p w14:paraId="2F850B68" w14:textId="77777777" w:rsidR="00D328A5" w:rsidRPr="009347C2" w:rsidRDefault="00D328A5" w:rsidP="00D73B1E">
      <w:pPr>
        <w:pStyle w:val="Default"/>
        <w:numPr>
          <w:ilvl w:val="0"/>
          <w:numId w:val="2"/>
        </w:numPr>
        <w:ind w:left="1440" w:hanging="1440"/>
        <w:jc w:val="both"/>
        <w:rPr>
          <w:b/>
          <w:bCs/>
        </w:rPr>
      </w:pPr>
      <w:r w:rsidRPr="009347C2">
        <w:rPr>
          <w:b/>
          <w:bCs/>
        </w:rPr>
        <w:t xml:space="preserve">Should any adjustments be made to the amounts included in the projected test year for acquisition adjustment and accumulated amortization of acquisition adjustment? </w:t>
      </w:r>
    </w:p>
    <w:p w14:paraId="1E13518D" w14:textId="77777777" w:rsidR="00D328A5" w:rsidRDefault="00D328A5" w:rsidP="00D73B1E">
      <w:pPr>
        <w:pStyle w:val="Default"/>
        <w:ind w:left="1440" w:hanging="1440"/>
        <w:jc w:val="both"/>
      </w:pPr>
    </w:p>
    <w:p w14:paraId="662C4D9C" w14:textId="77777777" w:rsidR="00644687" w:rsidRPr="00070C96" w:rsidRDefault="00644687" w:rsidP="00644687">
      <w:pPr>
        <w:ind w:left="1440" w:hanging="1440"/>
        <w:jc w:val="both"/>
        <w:rPr>
          <w:bCs/>
        </w:rPr>
      </w:pPr>
      <w:r>
        <w:rPr>
          <w:b/>
          <w:bCs/>
        </w:rPr>
        <w:t>FCG:</w:t>
      </w:r>
      <w:r>
        <w:rPr>
          <w:b/>
          <w:bCs/>
        </w:rPr>
        <w:tab/>
      </w:r>
      <w:r w:rsidR="0055068B">
        <w:rPr>
          <w:rFonts w:eastAsia="Calibri"/>
          <w:color w:val="000000"/>
        </w:rPr>
        <w:t xml:space="preserve">No.  </w:t>
      </w:r>
      <w:r w:rsidR="0055068B" w:rsidRPr="00294B73">
        <w:rPr>
          <w:rFonts w:eastAsia="Calibri"/>
          <w:color w:val="000000"/>
        </w:rPr>
        <w:t>FCG has not requested Commission approval of an acquisition adjustment related</w:t>
      </w:r>
      <w:r w:rsidR="0055068B">
        <w:rPr>
          <w:rFonts w:eastAsia="Calibri"/>
          <w:color w:val="000000"/>
        </w:rPr>
        <w:t xml:space="preserve"> </w:t>
      </w:r>
      <w:r w:rsidR="0055068B" w:rsidRPr="00294B73">
        <w:rPr>
          <w:rFonts w:eastAsia="Calibri"/>
          <w:color w:val="000000"/>
        </w:rPr>
        <w:t xml:space="preserve">to the acquisition from Southern Company Gas in July 2018, nor has it included any associated acquisition adjustment in its 2023 Test Year. </w:t>
      </w:r>
      <w:r w:rsidR="0055068B">
        <w:rPr>
          <w:rFonts w:eastAsia="Calibri"/>
          <w:color w:val="000000"/>
        </w:rPr>
        <w:t xml:space="preserve"> </w:t>
      </w:r>
      <w:r w:rsidR="0055068B" w:rsidRPr="00294B73">
        <w:rPr>
          <w:rFonts w:eastAsia="Calibri"/>
          <w:color w:val="000000"/>
        </w:rPr>
        <w:t>Rather, FCG carried over the</w:t>
      </w:r>
      <w:r w:rsidR="0055068B">
        <w:rPr>
          <w:rFonts w:eastAsia="Calibri"/>
          <w:color w:val="000000"/>
        </w:rPr>
        <w:t xml:space="preserve"> </w:t>
      </w:r>
      <w:r w:rsidR="0055068B" w:rsidRPr="00294B73">
        <w:rPr>
          <w:rFonts w:eastAsia="Calibri"/>
          <w:color w:val="000000"/>
        </w:rPr>
        <w:t>actual amounts reflected on its balance sheet at the time of the acquisition from</w:t>
      </w:r>
      <w:r w:rsidR="0055068B">
        <w:rPr>
          <w:rFonts w:eastAsia="Calibri"/>
          <w:color w:val="000000"/>
        </w:rPr>
        <w:t xml:space="preserve"> </w:t>
      </w:r>
      <w:r w:rsidR="0055068B" w:rsidRPr="00294B73">
        <w:rPr>
          <w:rFonts w:eastAsia="Calibri"/>
          <w:color w:val="000000"/>
        </w:rPr>
        <w:t>Southern Company Gas in July 2018.  This carryover amount included FCG’s</w:t>
      </w:r>
      <w:r w:rsidR="0055068B">
        <w:rPr>
          <w:rFonts w:eastAsia="Calibri"/>
          <w:color w:val="000000"/>
        </w:rPr>
        <w:t xml:space="preserve"> </w:t>
      </w:r>
      <w:r w:rsidR="0055068B" w:rsidRPr="00294B73">
        <w:rPr>
          <w:rFonts w:eastAsia="Calibri"/>
          <w:color w:val="000000"/>
        </w:rPr>
        <w:t>existing positive acquisition adjustment and associated accumulated amortization</w:t>
      </w:r>
      <w:r w:rsidR="0055068B">
        <w:rPr>
          <w:rFonts w:eastAsia="Calibri"/>
          <w:color w:val="000000"/>
        </w:rPr>
        <w:t xml:space="preserve"> </w:t>
      </w:r>
      <w:r w:rsidR="0055068B" w:rsidRPr="00294B73">
        <w:rPr>
          <w:rFonts w:eastAsia="Calibri"/>
          <w:color w:val="000000"/>
        </w:rPr>
        <w:t>related to AGLR</w:t>
      </w:r>
      <w:r w:rsidR="0055068B">
        <w:rPr>
          <w:rFonts w:eastAsia="Calibri"/>
          <w:color w:val="000000"/>
        </w:rPr>
        <w:t>’s acquisition of FCG in 2004</w:t>
      </w:r>
      <w:r w:rsidR="0055068B" w:rsidRPr="00294B73">
        <w:rPr>
          <w:rFonts w:eastAsia="Calibri"/>
          <w:color w:val="000000"/>
        </w:rPr>
        <w:t xml:space="preserve">, which was </w:t>
      </w:r>
      <w:r w:rsidR="0055068B">
        <w:rPr>
          <w:rFonts w:eastAsia="Calibri"/>
          <w:color w:val="000000"/>
        </w:rPr>
        <w:t xml:space="preserve">initially </w:t>
      </w:r>
      <w:r w:rsidR="0055068B" w:rsidRPr="00294B73">
        <w:rPr>
          <w:rFonts w:eastAsia="Calibri"/>
          <w:color w:val="000000"/>
        </w:rPr>
        <w:t>approved by Commission Order No. PSC-07-0913-PAA-GU in Docket No. 20060657-GU (“AGLR Order”)</w:t>
      </w:r>
      <w:r w:rsidR="0055068B">
        <w:rPr>
          <w:rFonts w:eastAsia="Calibri"/>
          <w:color w:val="000000"/>
        </w:rPr>
        <w:t>.  This acquisition adjustment survived a subsequent acquisition by Southern Company Gas and permanence of the acquisition adjustment was addressed and resolved in FCG’s most recent base rate case in Docket No. 20170179-GU as required by the AGLR Order</w:t>
      </w:r>
      <w:r w:rsidR="0055068B" w:rsidRPr="00294B73">
        <w:rPr>
          <w:rFonts w:eastAsia="Calibri"/>
          <w:color w:val="000000"/>
        </w:rPr>
        <w:t xml:space="preserve">. </w:t>
      </w:r>
      <w:r w:rsidR="0055068B">
        <w:rPr>
          <w:rFonts w:eastAsia="Calibri"/>
          <w:color w:val="000000"/>
        </w:rPr>
        <w:t xml:space="preserve"> </w:t>
      </w:r>
      <w:r w:rsidR="0055068B" w:rsidRPr="00294B73">
        <w:rPr>
          <w:rFonts w:eastAsia="Calibri"/>
          <w:color w:val="000000"/>
        </w:rPr>
        <w:t>As a result, FCG’s rate base</w:t>
      </w:r>
      <w:r w:rsidR="0055068B">
        <w:rPr>
          <w:rFonts w:eastAsia="Calibri"/>
          <w:color w:val="000000"/>
        </w:rPr>
        <w:t xml:space="preserve"> </w:t>
      </w:r>
      <w:r w:rsidR="0055068B" w:rsidRPr="00294B73">
        <w:rPr>
          <w:rFonts w:eastAsia="Calibri"/>
          <w:color w:val="000000"/>
        </w:rPr>
        <w:t>remained unchanged when it was acquired from Southern Company Gas in 2018 and</w:t>
      </w:r>
      <w:r w:rsidR="0055068B">
        <w:rPr>
          <w:rFonts w:eastAsia="Calibri"/>
          <w:color w:val="000000"/>
        </w:rPr>
        <w:t xml:space="preserve"> </w:t>
      </w:r>
      <w:r w:rsidR="0055068B" w:rsidRPr="00294B73">
        <w:rPr>
          <w:rFonts w:eastAsia="Calibri"/>
          <w:color w:val="000000"/>
        </w:rPr>
        <w:t xml:space="preserve">there </w:t>
      </w:r>
      <w:r w:rsidR="0055068B">
        <w:rPr>
          <w:rFonts w:eastAsia="Calibri"/>
          <w:color w:val="000000"/>
        </w:rPr>
        <w:t>is no need to make an adjustment to remove the previously approved and re-confirmed AGLR acquisition adjustment and associated amortization from FCG’s 2023 Test Year</w:t>
      </w:r>
      <w:r w:rsidR="0055068B" w:rsidRPr="00294B73">
        <w:rPr>
          <w:rFonts w:eastAsia="Calibri"/>
          <w:color w:val="000000"/>
        </w:rPr>
        <w:t>.</w:t>
      </w:r>
      <w:r w:rsidR="0055068B">
        <w:rPr>
          <w:rFonts w:eastAsia="Calibri"/>
          <w:color w:val="000000"/>
        </w:rPr>
        <w:t xml:space="preserve">  (Fuentes)</w:t>
      </w:r>
    </w:p>
    <w:p w14:paraId="4CAA4D23" w14:textId="77777777" w:rsidR="00644687" w:rsidRPr="00070C96" w:rsidRDefault="00644687" w:rsidP="00644687">
      <w:pPr>
        <w:ind w:left="1440" w:hanging="1440"/>
        <w:jc w:val="both"/>
        <w:rPr>
          <w:bCs/>
        </w:rPr>
      </w:pPr>
    </w:p>
    <w:p w14:paraId="3C5E0E08" w14:textId="77777777" w:rsidR="00644687" w:rsidRPr="00070C96" w:rsidRDefault="00644687" w:rsidP="00644687">
      <w:pPr>
        <w:ind w:left="1440" w:hanging="1440"/>
        <w:jc w:val="both"/>
        <w:rPr>
          <w:bCs/>
        </w:rPr>
      </w:pPr>
      <w:r>
        <w:rPr>
          <w:b/>
          <w:bCs/>
        </w:rPr>
        <w:t>OPC:</w:t>
      </w:r>
      <w:r>
        <w:rPr>
          <w:b/>
          <w:bCs/>
        </w:rPr>
        <w:tab/>
      </w:r>
      <w:r w:rsidR="009347C2">
        <w:rPr>
          <w:bCs/>
        </w:rPr>
        <w:t>Yes, the acquisition adjustment in the amount of $21,656,835 and the accumulated amortization of acquisition adjustment in the amount of $13,475,365 should be disallowed pursuant to prior Commission practice. Acquisition adjustments do not survive subsequent purchases of a utility’s assets. Amortization expense in the amount of $721,894 should also be removed from the income statement. (Schultz)</w:t>
      </w:r>
    </w:p>
    <w:p w14:paraId="7F4D2C55" w14:textId="77777777" w:rsidR="00644687" w:rsidRPr="00070C96" w:rsidRDefault="00644687" w:rsidP="00644687">
      <w:pPr>
        <w:ind w:left="1440" w:hanging="1440"/>
        <w:jc w:val="both"/>
        <w:rPr>
          <w:bCs/>
        </w:rPr>
      </w:pPr>
    </w:p>
    <w:p w14:paraId="4EAABA81" w14:textId="77777777" w:rsidR="009D1863" w:rsidRDefault="00644687" w:rsidP="00644687">
      <w:pPr>
        <w:ind w:left="1440" w:hanging="1440"/>
        <w:jc w:val="both"/>
      </w:pPr>
      <w:r>
        <w:rPr>
          <w:b/>
          <w:bCs/>
        </w:rPr>
        <w:t>FEA:</w:t>
      </w:r>
      <w:r>
        <w:rPr>
          <w:b/>
          <w:bCs/>
        </w:rPr>
        <w:tab/>
      </w:r>
      <w:r w:rsidR="009D1863">
        <w:t>No position.</w:t>
      </w:r>
    </w:p>
    <w:p w14:paraId="06C1C9FF" w14:textId="77777777" w:rsidR="009D1863" w:rsidRDefault="009D1863" w:rsidP="00644687">
      <w:pPr>
        <w:ind w:left="1440" w:hanging="1440"/>
        <w:jc w:val="both"/>
      </w:pPr>
    </w:p>
    <w:p w14:paraId="536EFB06"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3A108A4" w14:textId="77777777" w:rsidR="00644687" w:rsidRPr="00070C96" w:rsidRDefault="00644687" w:rsidP="00644687">
      <w:pPr>
        <w:ind w:left="1440" w:hanging="1440"/>
        <w:jc w:val="both"/>
        <w:rPr>
          <w:bCs/>
        </w:rPr>
      </w:pPr>
    </w:p>
    <w:p w14:paraId="33D57843"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F735F69" w14:textId="77777777" w:rsidR="00644687" w:rsidRDefault="00644687" w:rsidP="00644687">
      <w:pPr>
        <w:pStyle w:val="Default"/>
        <w:ind w:left="1440" w:hanging="1440"/>
        <w:jc w:val="both"/>
      </w:pPr>
    </w:p>
    <w:p w14:paraId="281FF40C" w14:textId="77777777" w:rsidR="00D328A5" w:rsidRPr="008C76AE" w:rsidRDefault="00D328A5" w:rsidP="00D73B1E">
      <w:pPr>
        <w:pStyle w:val="Default"/>
        <w:ind w:left="1440" w:hanging="1440"/>
        <w:jc w:val="both"/>
      </w:pPr>
    </w:p>
    <w:p w14:paraId="6CE22CF9" w14:textId="77777777" w:rsidR="00D328A5" w:rsidRPr="009347C2" w:rsidRDefault="00D328A5" w:rsidP="00D73B1E">
      <w:pPr>
        <w:pStyle w:val="Default"/>
        <w:numPr>
          <w:ilvl w:val="0"/>
          <w:numId w:val="2"/>
        </w:numPr>
        <w:ind w:left="1440" w:hanging="1440"/>
        <w:jc w:val="both"/>
        <w:rPr>
          <w:b/>
        </w:rPr>
      </w:pPr>
      <w:r w:rsidRPr="009347C2">
        <w:rPr>
          <w:b/>
          <w:bCs/>
        </w:rPr>
        <w:t xml:space="preserve">What is the appropriate level of CWIP to include in the projected test year? </w:t>
      </w:r>
    </w:p>
    <w:p w14:paraId="3BE44AA3" w14:textId="77777777" w:rsidR="00D328A5" w:rsidRDefault="00D328A5" w:rsidP="00D73B1E">
      <w:pPr>
        <w:pStyle w:val="Default"/>
        <w:ind w:left="1440" w:hanging="1440"/>
        <w:jc w:val="both"/>
      </w:pPr>
    </w:p>
    <w:p w14:paraId="4010248F" w14:textId="77777777" w:rsidR="00644687" w:rsidRPr="00070C96" w:rsidRDefault="00644687" w:rsidP="00644687">
      <w:pPr>
        <w:ind w:left="1440" w:hanging="1440"/>
        <w:jc w:val="both"/>
        <w:rPr>
          <w:bCs/>
        </w:rPr>
      </w:pPr>
      <w:r>
        <w:rPr>
          <w:b/>
          <w:bCs/>
        </w:rPr>
        <w:t>FCG:</w:t>
      </w:r>
      <w:r>
        <w:rPr>
          <w:b/>
          <w:bCs/>
        </w:rPr>
        <w:tab/>
      </w:r>
      <w:r w:rsidR="001E7161" w:rsidRPr="00C85422">
        <w:rPr>
          <w:rFonts w:eastAsia="Calibri"/>
          <w:color w:val="000000"/>
        </w:rPr>
        <w:t xml:space="preserve">As reflected </w:t>
      </w:r>
      <w:r w:rsidR="001E7161">
        <w:rPr>
          <w:rFonts w:eastAsia="Calibri"/>
          <w:color w:val="000000"/>
        </w:rPr>
        <w:t>on page 1 of MFR A-3 (with RSAM)</w:t>
      </w:r>
      <w:r w:rsidR="001E7161" w:rsidRPr="00471540">
        <w:rPr>
          <w:rFonts w:eastAsia="Calibri"/>
          <w:color w:val="000000"/>
        </w:rPr>
        <w:t>,</w:t>
      </w:r>
      <w:r w:rsidR="001E7161">
        <w:rPr>
          <w:rFonts w:eastAsia="Calibri"/>
          <w:color w:val="000000"/>
        </w:rPr>
        <w:t xml:space="preserve"> </w:t>
      </w:r>
      <w:r w:rsidR="001E7161" w:rsidRPr="00471540">
        <w:rPr>
          <w:rFonts w:eastAsia="Calibri"/>
          <w:color w:val="000000"/>
        </w:rPr>
        <w:t>the appropriate amount of</w:t>
      </w:r>
      <w:r w:rsidR="001E7161">
        <w:rPr>
          <w:rFonts w:eastAsia="Calibri"/>
          <w:color w:val="000000"/>
        </w:rPr>
        <w:t xml:space="preserve"> </w:t>
      </w:r>
      <w:r w:rsidR="001E7161" w:rsidRPr="00471540">
        <w:rPr>
          <w:rFonts w:eastAsia="Calibri"/>
          <w:color w:val="000000"/>
        </w:rPr>
        <w:t>CWIP is $</w:t>
      </w:r>
      <w:r w:rsidR="001E7161" w:rsidRPr="00C24BCC">
        <w:rPr>
          <w:rFonts w:eastAsia="Calibri"/>
          <w:color w:val="000000"/>
        </w:rPr>
        <w:t>28,192,440</w:t>
      </w:r>
      <w:r w:rsidR="001E7161" w:rsidRPr="00471540">
        <w:rPr>
          <w:rFonts w:eastAsia="Calibri"/>
          <w:color w:val="000000"/>
        </w:rPr>
        <w:t xml:space="preserve"> (adjusted) for the 2023 projected test year.</w:t>
      </w:r>
      <w:r w:rsidR="001E7161">
        <w:rPr>
          <w:rFonts w:eastAsia="Calibri"/>
          <w:color w:val="000000"/>
        </w:rPr>
        <w:t xml:space="preserve">  </w:t>
      </w:r>
      <w:r w:rsidR="001E7161" w:rsidRPr="00436883">
        <w:rPr>
          <w:rFonts w:eastAsia="Calibri"/>
          <w:color w:val="000000"/>
        </w:rPr>
        <w:t xml:space="preserve">If the Commission does not adopt the RSAM as part of FCG’s four-year rate proposal, the appropriate </w:t>
      </w:r>
      <w:r w:rsidR="001E7161">
        <w:rPr>
          <w:rFonts w:eastAsia="Calibri"/>
          <w:color w:val="000000"/>
        </w:rPr>
        <w:t>amount of CWIP to include in</w:t>
      </w:r>
      <w:r w:rsidR="001E7161" w:rsidRPr="00436883">
        <w:rPr>
          <w:rFonts w:eastAsia="Calibri"/>
          <w:color w:val="000000"/>
        </w:rPr>
        <w:t xml:space="preserve"> the 2023 projected test year is also </w:t>
      </w:r>
      <w:r w:rsidR="001E7161" w:rsidRPr="00471540">
        <w:rPr>
          <w:rFonts w:eastAsia="Calibri"/>
          <w:color w:val="000000"/>
        </w:rPr>
        <w:t>$</w:t>
      </w:r>
      <w:r w:rsidR="001E7161">
        <w:rPr>
          <w:rFonts w:eastAsia="Calibri"/>
          <w:color w:val="000000"/>
        </w:rPr>
        <w:t>28,192,440</w:t>
      </w:r>
      <w:r w:rsidR="001E7161" w:rsidRPr="00436883">
        <w:rPr>
          <w:rFonts w:eastAsia="Calibri"/>
          <w:color w:val="000000"/>
        </w:rPr>
        <w:t xml:space="preserve"> </w:t>
      </w:r>
      <w:r w:rsidR="001E7161">
        <w:rPr>
          <w:rFonts w:eastAsia="Calibri"/>
          <w:color w:val="000000"/>
        </w:rPr>
        <w:t>(adjusted).  (Campbell, Fuentes)</w:t>
      </w:r>
    </w:p>
    <w:p w14:paraId="1FC54D6E" w14:textId="77777777" w:rsidR="00644687" w:rsidRPr="00070C96" w:rsidRDefault="00644687" w:rsidP="00644687">
      <w:pPr>
        <w:ind w:left="1440" w:hanging="1440"/>
        <w:jc w:val="both"/>
        <w:rPr>
          <w:bCs/>
        </w:rPr>
      </w:pPr>
      <w:r>
        <w:rPr>
          <w:b/>
          <w:bCs/>
        </w:rPr>
        <w:t>OPC:</w:t>
      </w:r>
      <w:r>
        <w:rPr>
          <w:b/>
          <w:bCs/>
        </w:rPr>
        <w:tab/>
      </w:r>
      <w:r w:rsidR="00F955BF">
        <w:t>No position.</w:t>
      </w:r>
    </w:p>
    <w:p w14:paraId="6F382CB4" w14:textId="77777777" w:rsidR="00644687" w:rsidRPr="00070C96" w:rsidRDefault="00644687" w:rsidP="00644687">
      <w:pPr>
        <w:ind w:left="1440" w:hanging="1440"/>
        <w:jc w:val="both"/>
        <w:rPr>
          <w:bCs/>
        </w:rPr>
      </w:pPr>
    </w:p>
    <w:p w14:paraId="5917FAFD" w14:textId="77777777" w:rsidR="00644687" w:rsidRPr="00070C96" w:rsidRDefault="00644687" w:rsidP="00644687">
      <w:pPr>
        <w:ind w:left="1440" w:hanging="1440"/>
        <w:jc w:val="both"/>
        <w:rPr>
          <w:bCs/>
        </w:rPr>
      </w:pPr>
      <w:r>
        <w:rPr>
          <w:b/>
          <w:bCs/>
        </w:rPr>
        <w:t>FEA:</w:t>
      </w:r>
      <w:r>
        <w:rPr>
          <w:b/>
          <w:bCs/>
        </w:rPr>
        <w:tab/>
      </w:r>
      <w:r w:rsidR="009D1863">
        <w:t>No position.</w:t>
      </w:r>
    </w:p>
    <w:p w14:paraId="080490A8" w14:textId="77777777" w:rsidR="00644687" w:rsidRPr="00070C96" w:rsidRDefault="00644687" w:rsidP="00644687">
      <w:pPr>
        <w:ind w:left="1440" w:hanging="1440"/>
        <w:jc w:val="both"/>
        <w:rPr>
          <w:bCs/>
        </w:rPr>
      </w:pPr>
    </w:p>
    <w:p w14:paraId="322E4138"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3388C00F" w14:textId="77777777" w:rsidR="00644687" w:rsidRPr="00070C96" w:rsidRDefault="00644687" w:rsidP="00644687">
      <w:pPr>
        <w:ind w:left="1440" w:hanging="1440"/>
        <w:jc w:val="both"/>
        <w:rPr>
          <w:bCs/>
        </w:rPr>
      </w:pPr>
    </w:p>
    <w:p w14:paraId="203CDA90"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59999B5B" w14:textId="27DB4401" w:rsidR="00644687" w:rsidRDefault="00644687" w:rsidP="00644687">
      <w:pPr>
        <w:pStyle w:val="Default"/>
        <w:ind w:left="1440" w:hanging="1440"/>
        <w:jc w:val="both"/>
      </w:pPr>
    </w:p>
    <w:p w14:paraId="21CCB4A7" w14:textId="77777777" w:rsidR="00A63ABC" w:rsidRDefault="00A63ABC" w:rsidP="00644687">
      <w:pPr>
        <w:pStyle w:val="Default"/>
        <w:ind w:left="1440" w:hanging="1440"/>
        <w:jc w:val="both"/>
      </w:pPr>
    </w:p>
    <w:p w14:paraId="140ECBE4" w14:textId="77777777" w:rsidR="00E90AFF" w:rsidRPr="00E90AFF" w:rsidRDefault="00D328A5" w:rsidP="00D85565">
      <w:pPr>
        <w:pStyle w:val="Default"/>
        <w:numPr>
          <w:ilvl w:val="0"/>
          <w:numId w:val="2"/>
        </w:numPr>
        <w:ind w:left="1440" w:hanging="1440"/>
        <w:jc w:val="both"/>
        <w:rPr>
          <w:b/>
        </w:rPr>
      </w:pPr>
      <w:r w:rsidRPr="009347C2">
        <w:rPr>
          <w:b/>
          <w:bCs/>
        </w:rPr>
        <w:t>What is the appropriate level of Gas Plant Accumulated Depreciation and Amortization for the projected test year?</w:t>
      </w:r>
    </w:p>
    <w:p w14:paraId="1C5CC776" w14:textId="7D17C5DE" w:rsidR="00D328A5" w:rsidRPr="00D85565" w:rsidRDefault="00D328A5" w:rsidP="004024FD">
      <w:pPr>
        <w:pStyle w:val="Default"/>
        <w:ind w:left="1440"/>
        <w:jc w:val="both"/>
        <w:rPr>
          <w:b/>
        </w:rPr>
      </w:pPr>
      <w:r w:rsidRPr="009347C2">
        <w:rPr>
          <w:b/>
          <w:bCs/>
        </w:rPr>
        <w:t xml:space="preserve"> </w:t>
      </w:r>
    </w:p>
    <w:p w14:paraId="2E5CC7CB" w14:textId="77777777" w:rsidR="00644687" w:rsidRPr="00070C96" w:rsidRDefault="00644687" w:rsidP="00644687">
      <w:pPr>
        <w:ind w:left="1440" w:hanging="1440"/>
        <w:jc w:val="both"/>
        <w:rPr>
          <w:bCs/>
        </w:rPr>
      </w:pPr>
      <w:r>
        <w:rPr>
          <w:b/>
          <w:bCs/>
        </w:rPr>
        <w:t>FCG:</w:t>
      </w:r>
      <w:r>
        <w:rPr>
          <w:b/>
          <w:bCs/>
        </w:rPr>
        <w:tab/>
      </w:r>
      <w:r w:rsidR="001E7161" w:rsidRPr="00F54AFE">
        <w:rPr>
          <w:rFonts w:eastAsia="Calibri"/>
          <w:color w:val="000000"/>
        </w:rPr>
        <w:t xml:space="preserve">As reflected </w:t>
      </w:r>
      <w:r w:rsidR="001E7161">
        <w:rPr>
          <w:rFonts w:eastAsia="Calibri"/>
          <w:color w:val="000000"/>
        </w:rPr>
        <w:t>on page 1 of MFR A-3 (with RSAM)</w:t>
      </w:r>
      <w:r w:rsidR="001E7161" w:rsidRPr="00471540" w:rsidDel="007A6359">
        <w:rPr>
          <w:rFonts w:eastAsia="Calibri"/>
          <w:color w:val="000000"/>
        </w:rPr>
        <w:t>,</w:t>
      </w:r>
      <w:r w:rsidR="001E7161" w:rsidDel="007A6359">
        <w:rPr>
          <w:rFonts w:eastAsia="Calibri"/>
          <w:color w:val="000000"/>
        </w:rPr>
        <w:t xml:space="preserve"> </w:t>
      </w:r>
      <w:r w:rsidR="001E7161" w:rsidRPr="00471540">
        <w:rPr>
          <w:rFonts w:eastAsia="Calibri"/>
          <w:color w:val="000000"/>
        </w:rPr>
        <w:t>the appropriate amount of Accumulated Depreciation with RSAM</w:t>
      </w:r>
      <w:r w:rsidR="001E7161">
        <w:rPr>
          <w:rFonts w:eastAsia="Calibri"/>
          <w:color w:val="000000"/>
        </w:rPr>
        <w:t>, including accumulated amortization associated with the acquisition adjustment,</w:t>
      </w:r>
      <w:r w:rsidR="001E7161" w:rsidRPr="00471540">
        <w:rPr>
          <w:rFonts w:eastAsia="Calibri"/>
          <w:color w:val="000000"/>
        </w:rPr>
        <w:t xml:space="preserve"> is </w:t>
      </w:r>
      <w:r w:rsidR="001E7161" w:rsidRPr="007020C9">
        <w:rPr>
          <w:rFonts w:eastAsia="Calibri"/>
          <w:color w:val="000000"/>
        </w:rPr>
        <w:t>$221,380,711</w:t>
      </w:r>
      <w:r w:rsidR="001E7161" w:rsidRPr="00471540">
        <w:rPr>
          <w:rFonts w:eastAsia="Calibri"/>
          <w:color w:val="000000"/>
        </w:rPr>
        <w:t xml:space="preserve"> (adjusted) for the 2023 projected test year.  If the Commission does not adopt the RSAM as part of FCG’s four-year rate proposal, the appropriate amount of Accumulated Depreciation without RSAM</w:t>
      </w:r>
      <w:r w:rsidR="001E7161">
        <w:rPr>
          <w:rFonts w:eastAsia="Calibri"/>
          <w:color w:val="000000"/>
        </w:rPr>
        <w:t>, including accumulated amortization associated with the acquisition adjustment,</w:t>
      </w:r>
      <w:r w:rsidR="001E7161" w:rsidRPr="00471540">
        <w:rPr>
          <w:rFonts w:eastAsia="Calibri"/>
          <w:color w:val="000000"/>
        </w:rPr>
        <w:t xml:space="preserve"> is </w:t>
      </w:r>
      <w:r w:rsidR="001E7161" w:rsidRPr="005B7AA5">
        <w:rPr>
          <w:rFonts w:eastAsia="Calibri"/>
          <w:color w:val="000000"/>
        </w:rPr>
        <w:t>$222,960,003</w:t>
      </w:r>
      <w:r w:rsidR="001E7161" w:rsidRPr="00471540">
        <w:rPr>
          <w:rFonts w:eastAsia="Calibri"/>
          <w:color w:val="000000"/>
        </w:rPr>
        <w:t xml:space="preserve"> (adjusted) for the 2023 projected test year</w:t>
      </w:r>
      <w:r w:rsidR="001E7161" w:rsidRPr="004C785C">
        <w:rPr>
          <w:rFonts w:eastAsia="Calibri"/>
          <w:color w:val="000000"/>
        </w:rPr>
        <w:t xml:space="preserve"> </w:t>
      </w:r>
      <w:r w:rsidR="001E7161" w:rsidRPr="00150B6C">
        <w:rPr>
          <w:rFonts w:eastAsia="Calibri"/>
          <w:color w:val="000000"/>
        </w:rPr>
        <w:t xml:space="preserve">as reflected </w:t>
      </w:r>
      <w:r w:rsidR="001E7161">
        <w:rPr>
          <w:rFonts w:eastAsia="Calibri"/>
          <w:color w:val="000000"/>
        </w:rPr>
        <w:t xml:space="preserve">on page 1 of </w:t>
      </w:r>
      <w:r w:rsidR="001E7161" w:rsidRPr="00150B6C">
        <w:rPr>
          <w:rFonts w:eastAsia="Calibri"/>
          <w:color w:val="000000"/>
        </w:rPr>
        <w:t>MFR</w:t>
      </w:r>
      <w:r w:rsidR="001E7161">
        <w:rPr>
          <w:rFonts w:eastAsia="Calibri"/>
          <w:color w:val="000000"/>
        </w:rPr>
        <w:t xml:space="preserve"> A-3</w:t>
      </w:r>
      <w:r w:rsidR="001E7161" w:rsidRPr="00471540">
        <w:rPr>
          <w:rFonts w:eastAsia="Calibri"/>
          <w:color w:val="000000"/>
        </w:rPr>
        <w:t>.  (</w:t>
      </w:r>
      <w:r w:rsidR="001E7161">
        <w:rPr>
          <w:rFonts w:eastAsia="Calibri"/>
          <w:color w:val="000000"/>
        </w:rPr>
        <w:t xml:space="preserve">Campbell, </w:t>
      </w:r>
      <w:r w:rsidR="001E7161" w:rsidRPr="00471540">
        <w:rPr>
          <w:rFonts w:eastAsia="Calibri"/>
          <w:color w:val="000000"/>
        </w:rPr>
        <w:t>Fuentes)</w:t>
      </w:r>
    </w:p>
    <w:p w14:paraId="38698CFD" w14:textId="77777777" w:rsidR="00644687" w:rsidRPr="00070C96" w:rsidRDefault="00644687" w:rsidP="00644687">
      <w:pPr>
        <w:ind w:left="1440" w:hanging="1440"/>
        <w:jc w:val="both"/>
        <w:rPr>
          <w:bCs/>
        </w:rPr>
      </w:pPr>
    </w:p>
    <w:p w14:paraId="4452A25F" w14:textId="77777777" w:rsidR="00644687" w:rsidRPr="00070C96" w:rsidRDefault="00644687" w:rsidP="00644687">
      <w:pPr>
        <w:ind w:left="1440" w:hanging="1440"/>
        <w:jc w:val="both"/>
        <w:rPr>
          <w:bCs/>
        </w:rPr>
      </w:pPr>
      <w:r>
        <w:rPr>
          <w:b/>
          <w:bCs/>
        </w:rPr>
        <w:t>OPC:</w:t>
      </w:r>
      <w:r>
        <w:rPr>
          <w:b/>
          <w:bCs/>
        </w:rPr>
        <w:tab/>
      </w:r>
      <w:r w:rsidR="009347C2">
        <w:t>OPC Witness Schultz addresses this in his testimony and exhibits including, but not limited to, Schedule B. The appropriate level of Accumulated Depreciation and Amortization for the projected test year should be at least $208,172,408. (Schultz)</w:t>
      </w:r>
    </w:p>
    <w:p w14:paraId="312BF5E6" w14:textId="77777777" w:rsidR="00644687" w:rsidRPr="00070C96" w:rsidRDefault="00644687" w:rsidP="00644687">
      <w:pPr>
        <w:ind w:left="1440" w:hanging="1440"/>
        <w:jc w:val="both"/>
        <w:rPr>
          <w:bCs/>
        </w:rPr>
      </w:pPr>
    </w:p>
    <w:p w14:paraId="7E8534CB" w14:textId="77777777" w:rsidR="00644687" w:rsidRPr="00070C96" w:rsidRDefault="00644687" w:rsidP="00644687">
      <w:pPr>
        <w:ind w:left="1440" w:hanging="1440"/>
        <w:jc w:val="both"/>
        <w:rPr>
          <w:bCs/>
        </w:rPr>
      </w:pPr>
      <w:r>
        <w:rPr>
          <w:b/>
          <w:bCs/>
        </w:rPr>
        <w:t>FEA:</w:t>
      </w:r>
      <w:r>
        <w:rPr>
          <w:b/>
          <w:bCs/>
        </w:rPr>
        <w:tab/>
      </w:r>
      <w:r w:rsidR="009D1863">
        <w:t>No position.</w:t>
      </w:r>
    </w:p>
    <w:p w14:paraId="57475172" w14:textId="77777777" w:rsidR="00644687" w:rsidRPr="00070C96" w:rsidRDefault="00644687" w:rsidP="00644687">
      <w:pPr>
        <w:ind w:left="1440" w:hanging="1440"/>
        <w:jc w:val="both"/>
        <w:rPr>
          <w:bCs/>
        </w:rPr>
      </w:pPr>
    </w:p>
    <w:p w14:paraId="660C6C70"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05A8DF5B" w14:textId="77777777" w:rsidR="00644687" w:rsidRPr="00070C96" w:rsidRDefault="00644687" w:rsidP="00644687">
      <w:pPr>
        <w:ind w:left="1440" w:hanging="1440"/>
        <w:jc w:val="both"/>
        <w:rPr>
          <w:bCs/>
        </w:rPr>
      </w:pPr>
    </w:p>
    <w:p w14:paraId="3A8D514B"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5A747CAA" w14:textId="77777777" w:rsidR="00644687" w:rsidRDefault="00644687" w:rsidP="00644687">
      <w:pPr>
        <w:pStyle w:val="Default"/>
        <w:ind w:left="1440" w:hanging="1440"/>
        <w:jc w:val="both"/>
      </w:pPr>
    </w:p>
    <w:p w14:paraId="41DF7E78" w14:textId="77777777" w:rsidR="00D328A5" w:rsidRPr="008C76AE" w:rsidRDefault="00D328A5" w:rsidP="00D73B1E">
      <w:pPr>
        <w:pStyle w:val="Default"/>
        <w:ind w:left="1440" w:hanging="1440"/>
        <w:jc w:val="both"/>
      </w:pPr>
    </w:p>
    <w:p w14:paraId="36038CF9" w14:textId="77777777" w:rsidR="00D328A5" w:rsidRPr="009347C2" w:rsidRDefault="00D328A5" w:rsidP="00D73B1E">
      <w:pPr>
        <w:pStyle w:val="Default"/>
        <w:numPr>
          <w:ilvl w:val="0"/>
          <w:numId w:val="2"/>
        </w:numPr>
        <w:ind w:left="1440" w:hanging="1440"/>
        <w:jc w:val="both"/>
        <w:rPr>
          <w:b/>
        </w:rPr>
      </w:pPr>
      <w:r w:rsidRPr="009347C2">
        <w:rPr>
          <w:b/>
          <w:bCs/>
        </w:rPr>
        <w:t xml:space="preserve">Have under recoveries and over recoveries related to the Purchased Gas Adjustment, Energy Conservation Cost Recovery, and Area Expansion Plan been appropriately reflected in the Working Capital Allowance? </w:t>
      </w:r>
    </w:p>
    <w:p w14:paraId="4143FBF5" w14:textId="77777777" w:rsidR="00D328A5" w:rsidRDefault="00D328A5" w:rsidP="00D73B1E">
      <w:pPr>
        <w:pStyle w:val="Default"/>
        <w:jc w:val="both"/>
      </w:pPr>
    </w:p>
    <w:p w14:paraId="6825B520"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Yes. </w:t>
      </w:r>
      <w:r w:rsidR="001E7161">
        <w:rPr>
          <w:rFonts w:eastAsia="Calibri"/>
          <w:color w:val="000000"/>
        </w:rPr>
        <w:t xml:space="preserve"> </w:t>
      </w:r>
      <w:r w:rsidR="001E7161" w:rsidRPr="00471540">
        <w:rPr>
          <w:rFonts w:eastAsia="Calibri"/>
          <w:color w:val="000000"/>
        </w:rPr>
        <w:t xml:space="preserve">FCG has made the appropriate test year adjustments to remove </w:t>
      </w:r>
      <w:r w:rsidR="001E7161">
        <w:rPr>
          <w:rFonts w:eastAsia="Calibri"/>
          <w:color w:val="000000"/>
        </w:rPr>
        <w:t>forecasted net-under recoveries related to its cost recovery clauses from working capital as reflected on page 4 of MFR G-1 with RSAM</w:t>
      </w:r>
      <w:r w:rsidR="001E7161" w:rsidRPr="00471540">
        <w:rPr>
          <w:rFonts w:eastAsia="Calibri"/>
          <w:color w:val="000000"/>
        </w:rPr>
        <w:t xml:space="preserve">. </w:t>
      </w:r>
      <w:r w:rsidR="001E7161">
        <w:rPr>
          <w:rFonts w:eastAsia="Calibri"/>
          <w:color w:val="000000"/>
        </w:rPr>
        <w:t xml:space="preserve"> </w:t>
      </w:r>
      <w:r w:rsidR="001E7161" w:rsidRPr="00471540">
        <w:rPr>
          <w:rFonts w:eastAsia="Calibri"/>
          <w:color w:val="000000"/>
        </w:rPr>
        <w:t>(Fuentes)</w:t>
      </w:r>
    </w:p>
    <w:p w14:paraId="09A285A3" w14:textId="77777777" w:rsidR="00644687" w:rsidRPr="00070C96" w:rsidRDefault="00644687" w:rsidP="00644687">
      <w:pPr>
        <w:ind w:left="1440" w:hanging="1440"/>
        <w:jc w:val="both"/>
        <w:rPr>
          <w:bCs/>
        </w:rPr>
      </w:pPr>
    </w:p>
    <w:p w14:paraId="3AED7F1A" w14:textId="77777777" w:rsidR="00644687" w:rsidRPr="00070C96" w:rsidRDefault="00644687" w:rsidP="00644687">
      <w:pPr>
        <w:ind w:left="1440" w:hanging="1440"/>
        <w:jc w:val="both"/>
        <w:rPr>
          <w:bCs/>
        </w:rPr>
      </w:pPr>
      <w:r>
        <w:rPr>
          <w:b/>
          <w:bCs/>
        </w:rPr>
        <w:t>OPC:</w:t>
      </w:r>
      <w:r>
        <w:rPr>
          <w:b/>
          <w:bCs/>
        </w:rPr>
        <w:tab/>
      </w:r>
      <w:r w:rsidR="009347C2">
        <w:t>No position.</w:t>
      </w:r>
    </w:p>
    <w:p w14:paraId="4431EDD3" w14:textId="77777777" w:rsidR="00644687" w:rsidRPr="00070C96" w:rsidRDefault="00644687" w:rsidP="00644687">
      <w:pPr>
        <w:ind w:left="1440" w:hanging="1440"/>
        <w:jc w:val="both"/>
        <w:rPr>
          <w:bCs/>
        </w:rPr>
      </w:pPr>
    </w:p>
    <w:p w14:paraId="4A7D8846" w14:textId="77777777" w:rsidR="00644687" w:rsidRPr="00070C96" w:rsidRDefault="00644687" w:rsidP="00644687">
      <w:pPr>
        <w:ind w:left="1440" w:hanging="1440"/>
        <w:jc w:val="both"/>
        <w:rPr>
          <w:bCs/>
        </w:rPr>
      </w:pPr>
      <w:r>
        <w:rPr>
          <w:b/>
          <w:bCs/>
        </w:rPr>
        <w:t>FEA:</w:t>
      </w:r>
      <w:r>
        <w:rPr>
          <w:b/>
          <w:bCs/>
        </w:rPr>
        <w:tab/>
      </w:r>
      <w:r w:rsidR="009D1863">
        <w:t>No position.</w:t>
      </w:r>
    </w:p>
    <w:p w14:paraId="4CE1D05A" w14:textId="77777777" w:rsidR="00644687" w:rsidRPr="00070C96" w:rsidRDefault="00644687" w:rsidP="00644687">
      <w:pPr>
        <w:ind w:left="1440" w:hanging="1440"/>
        <w:jc w:val="both"/>
        <w:rPr>
          <w:bCs/>
        </w:rPr>
      </w:pPr>
    </w:p>
    <w:p w14:paraId="0E02EE41"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2C6F0833" w14:textId="31DAECC5" w:rsidR="00A63ABC" w:rsidRPr="00070C96" w:rsidRDefault="00A63ABC" w:rsidP="00644687">
      <w:pPr>
        <w:ind w:left="1440" w:hanging="1440"/>
        <w:jc w:val="both"/>
        <w:rPr>
          <w:bCs/>
        </w:rPr>
      </w:pPr>
    </w:p>
    <w:p w14:paraId="254E4200" w14:textId="0C18D7D0" w:rsidR="00E90AFF" w:rsidRDefault="00644687" w:rsidP="00DD5843">
      <w:pPr>
        <w:pStyle w:val="Default"/>
        <w:ind w:left="1440" w:hanging="1440"/>
        <w:jc w:val="both"/>
      </w:pPr>
      <w:r w:rsidRPr="005D4B47">
        <w:rPr>
          <w:b/>
          <w:bCs/>
        </w:rPr>
        <w:t>STAFF</w:t>
      </w:r>
      <w:r w:rsidRPr="00701945">
        <w:rPr>
          <w:b/>
          <w:bCs/>
        </w:rPr>
        <w:t>:</w:t>
      </w:r>
      <w:r>
        <w:rPr>
          <w:b/>
          <w:bCs/>
        </w:rPr>
        <w:tab/>
      </w:r>
      <w:r w:rsidR="00F53BE5">
        <w:t>No position.</w:t>
      </w:r>
    </w:p>
    <w:p w14:paraId="301C0B33" w14:textId="2FD025A6" w:rsidR="00112E7F" w:rsidRDefault="00112E7F" w:rsidP="00DD5843">
      <w:pPr>
        <w:pStyle w:val="Default"/>
        <w:ind w:left="1440" w:hanging="1440"/>
        <w:jc w:val="both"/>
      </w:pPr>
    </w:p>
    <w:p w14:paraId="5F411843" w14:textId="77777777" w:rsidR="00112E7F" w:rsidRDefault="00112E7F" w:rsidP="00DD5843">
      <w:pPr>
        <w:pStyle w:val="Default"/>
        <w:ind w:left="1440" w:hanging="1440"/>
        <w:jc w:val="both"/>
      </w:pPr>
    </w:p>
    <w:p w14:paraId="129AE934" w14:textId="77777777" w:rsidR="00D328A5" w:rsidRPr="009347C2" w:rsidRDefault="00D328A5" w:rsidP="00D73B1E">
      <w:pPr>
        <w:pStyle w:val="Default"/>
        <w:numPr>
          <w:ilvl w:val="0"/>
          <w:numId w:val="2"/>
        </w:numPr>
        <w:ind w:left="1440" w:hanging="1440"/>
        <w:jc w:val="both"/>
        <w:rPr>
          <w:b/>
        </w:rPr>
      </w:pPr>
      <w:r w:rsidRPr="009347C2">
        <w:rPr>
          <w:b/>
        </w:rPr>
        <w:t>Should the unamortized balance of Rate Case Expense be included in Working Capital and, if so, what is the appropriate amount to include?</w:t>
      </w:r>
    </w:p>
    <w:p w14:paraId="5BF12B88" w14:textId="77777777" w:rsidR="00D328A5" w:rsidRDefault="00D328A5" w:rsidP="00D73B1E">
      <w:pPr>
        <w:jc w:val="both"/>
        <w:rPr>
          <w:color w:val="000000"/>
        </w:rPr>
      </w:pPr>
    </w:p>
    <w:p w14:paraId="4E1FF0B9"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Yes. </w:t>
      </w:r>
      <w:r w:rsidR="001E7161">
        <w:rPr>
          <w:rFonts w:eastAsia="Calibri"/>
          <w:color w:val="000000"/>
        </w:rPr>
        <w:t xml:space="preserve"> </w:t>
      </w:r>
      <w:r w:rsidR="001E7161" w:rsidRPr="00471540">
        <w:rPr>
          <w:rFonts w:eastAsia="Calibri"/>
          <w:color w:val="000000"/>
        </w:rPr>
        <w:t xml:space="preserve">The inclusion of the unamortized balance of rate case expenses of </w:t>
      </w:r>
      <w:r w:rsidR="001E7161" w:rsidRPr="000432DD">
        <w:rPr>
          <w:rFonts w:eastAsia="Calibri"/>
          <w:color w:val="000000"/>
        </w:rPr>
        <w:t>$</w:t>
      </w:r>
      <w:r w:rsidR="001E7161" w:rsidRPr="00DB2084">
        <w:rPr>
          <w:rFonts w:eastAsia="Calibri"/>
          <w:color w:val="000000"/>
        </w:rPr>
        <w:t>1,645,732</w:t>
      </w:r>
      <w:r w:rsidR="001E7161" w:rsidRPr="00471540">
        <w:rPr>
          <w:rFonts w:eastAsia="Calibri"/>
          <w:color w:val="000000"/>
        </w:rPr>
        <w:t xml:space="preserve"> (</w:t>
      </w:r>
      <w:r w:rsidR="001E7161">
        <w:rPr>
          <w:rFonts w:eastAsia="Calibri"/>
          <w:color w:val="000000"/>
        </w:rPr>
        <w:t>as reflected on Exhibit LF-7</w:t>
      </w:r>
      <w:r w:rsidR="001E7161" w:rsidRPr="00471540">
        <w:rPr>
          <w:rFonts w:eastAsia="Calibri"/>
          <w:color w:val="000000"/>
        </w:rPr>
        <w:t>) for the 2023 projected test year in Working Capital is appropriate in order to avoid a</w:t>
      </w:r>
      <w:r w:rsidR="001E7161">
        <w:rPr>
          <w:rFonts w:eastAsia="Calibri"/>
          <w:color w:val="000000"/>
        </w:rPr>
        <w:t>n implicit</w:t>
      </w:r>
      <w:r w:rsidR="001E7161" w:rsidRPr="00471540">
        <w:rPr>
          <w:rFonts w:eastAsia="Calibri"/>
          <w:color w:val="000000"/>
        </w:rPr>
        <w:t xml:space="preserve"> disallowance of reasonable and necessary costs. </w:t>
      </w:r>
      <w:r w:rsidR="001E7161">
        <w:rPr>
          <w:rFonts w:eastAsia="Calibri"/>
          <w:color w:val="000000"/>
        </w:rPr>
        <w:t xml:space="preserve"> </w:t>
      </w:r>
      <w:r w:rsidR="001E7161" w:rsidRPr="00471540">
        <w:rPr>
          <w:rFonts w:eastAsia="Calibri"/>
          <w:color w:val="000000"/>
        </w:rPr>
        <w:t>Full recovery of necessary rate case expenses is appropriate but will not occur unless FCG is afforded the opportunity to earn a return on the unamortized balance of those expenses.  (Fuentes)</w:t>
      </w:r>
    </w:p>
    <w:p w14:paraId="3A62CDC3" w14:textId="77777777" w:rsidR="00644687" w:rsidRPr="00070C96" w:rsidRDefault="00644687" w:rsidP="00644687">
      <w:pPr>
        <w:ind w:left="1440" w:hanging="1440"/>
        <w:jc w:val="both"/>
        <w:rPr>
          <w:bCs/>
        </w:rPr>
      </w:pPr>
    </w:p>
    <w:p w14:paraId="7B7C8289" w14:textId="77777777" w:rsidR="00644687" w:rsidRPr="00070C96" w:rsidRDefault="00644687" w:rsidP="009347C2">
      <w:pPr>
        <w:pStyle w:val="Default"/>
        <w:ind w:left="1440" w:hanging="1440"/>
        <w:jc w:val="both"/>
        <w:rPr>
          <w:bCs/>
        </w:rPr>
      </w:pPr>
      <w:r>
        <w:rPr>
          <w:b/>
          <w:bCs/>
        </w:rPr>
        <w:t>OPC:</w:t>
      </w:r>
      <w:r>
        <w:rPr>
          <w:b/>
          <w:bCs/>
        </w:rPr>
        <w:tab/>
      </w:r>
      <w:r w:rsidR="009347C2">
        <w:t>No, unamortized rate case expense should not be included in working capital for a gas company pursuant to Commission policy.</w:t>
      </w:r>
    </w:p>
    <w:p w14:paraId="72A8B3A8" w14:textId="77777777" w:rsidR="00644687" w:rsidRPr="00070C96" w:rsidRDefault="00644687" w:rsidP="00644687">
      <w:pPr>
        <w:ind w:left="1440" w:hanging="1440"/>
        <w:jc w:val="both"/>
        <w:rPr>
          <w:bCs/>
        </w:rPr>
      </w:pPr>
    </w:p>
    <w:p w14:paraId="4D0137D4" w14:textId="77777777" w:rsidR="00644687" w:rsidRPr="00070C96" w:rsidRDefault="00644687" w:rsidP="00644687">
      <w:pPr>
        <w:ind w:left="1440" w:hanging="1440"/>
        <w:jc w:val="both"/>
        <w:rPr>
          <w:bCs/>
        </w:rPr>
      </w:pPr>
      <w:r>
        <w:rPr>
          <w:b/>
          <w:bCs/>
        </w:rPr>
        <w:t>FEA:</w:t>
      </w:r>
      <w:r>
        <w:rPr>
          <w:b/>
          <w:bCs/>
        </w:rPr>
        <w:tab/>
      </w:r>
      <w:r w:rsidR="009D1863">
        <w:t>No position.</w:t>
      </w:r>
    </w:p>
    <w:p w14:paraId="42C7AD56" w14:textId="77777777" w:rsidR="00644687" w:rsidRPr="00070C96" w:rsidRDefault="00644687" w:rsidP="00644687">
      <w:pPr>
        <w:ind w:left="1440" w:hanging="1440"/>
        <w:jc w:val="both"/>
        <w:rPr>
          <w:bCs/>
        </w:rPr>
      </w:pPr>
    </w:p>
    <w:p w14:paraId="0151969C"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320B9466" w14:textId="77777777" w:rsidR="00644687" w:rsidRPr="00070C96" w:rsidRDefault="00644687" w:rsidP="00644687">
      <w:pPr>
        <w:ind w:left="1440" w:hanging="1440"/>
        <w:jc w:val="both"/>
        <w:rPr>
          <w:bCs/>
        </w:rPr>
      </w:pPr>
    </w:p>
    <w:p w14:paraId="0148C99A" w14:textId="77777777"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06ACEEE" w14:textId="77777777" w:rsidR="00644687" w:rsidRDefault="00644687" w:rsidP="00461AFB">
      <w:pPr>
        <w:pStyle w:val="Default"/>
        <w:jc w:val="both"/>
      </w:pPr>
    </w:p>
    <w:p w14:paraId="7C916892" w14:textId="77777777" w:rsidR="00D328A5" w:rsidRDefault="00D328A5" w:rsidP="00D73B1E">
      <w:pPr>
        <w:jc w:val="both"/>
        <w:rPr>
          <w:color w:val="000000"/>
        </w:rPr>
      </w:pPr>
    </w:p>
    <w:p w14:paraId="7165B082" w14:textId="77777777" w:rsidR="00D328A5" w:rsidRPr="009347C2" w:rsidRDefault="00D328A5" w:rsidP="00D73B1E">
      <w:pPr>
        <w:pStyle w:val="Default"/>
        <w:numPr>
          <w:ilvl w:val="0"/>
          <w:numId w:val="2"/>
        </w:numPr>
        <w:ind w:left="1440" w:hanging="1440"/>
        <w:jc w:val="both"/>
        <w:rPr>
          <w:b/>
        </w:rPr>
      </w:pPr>
      <w:r w:rsidRPr="009347C2">
        <w:rPr>
          <w:b/>
        </w:rPr>
        <w:t>What is the appropriate amount of deferred pension debit in working capital for FCG to include in rate base?</w:t>
      </w:r>
    </w:p>
    <w:p w14:paraId="653154A6"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30895406" w14:textId="77777777" w:rsidR="00644687" w:rsidRPr="00070C96" w:rsidRDefault="00644687" w:rsidP="00644687">
      <w:pPr>
        <w:ind w:left="1440" w:hanging="1440"/>
        <w:jc w:val="both"/>
        <w:rPr>
          <w:bCs/>
        </w:rPr>
      </w:pPr>
      <w:r>
        <w:rPr>
          <w:b/>
          <w:bCs/>
        </w:rPr>
        <w:t>FCG:</w:t>
      </w:r>
      <w:r>
        <w:rPr>
          <w:b/>
          <w:bCs/>
        </w:rPr>
        <w:tab/>
      </w:r>
      <w:r w:rsidR="001E7161">
        <w:rPr>
          <w:rFonts w:eastAsia="Calibri"/>
          <w:color w:val="000000"/>
        </w:rPr>
        <w:t xml:space="preserve">As reflected on page </w:t>
      </w:r>
      <w:r w:rsidR="001E7161" w:rsidRPr="643A77D2">
        <w:rPr>
          <w:rFonts w:eastAsia="Calibri"/>
          <w:color w:val="000000" w:themeColor="text1"/>
        </w:rPr>
        <w:t>2</w:t>
      </w:r>
      <w:r w:rsidR="001E7161">
        <w:rPr>
          <w:rFonts w:eastAsia="Calibri"/>
          <w:color w:val="000000"/>
        </w:rPr>
        <w:t xml:space="preserve"> of MFR G-1</w:t>
      </w:r>
      <w:r w:rsidR="001E7161" w:rsidRPr="643A77D2">
        <w:rPr>
          <w:rFonts w:eastAsia="Calibri"/>
          <w:color w:val="000000" w:themeColor="text1"/>
        </w:rPr>
        <w:t xml:space="preserve"> (with RSAM), within the balance on Line 13, and provided in FEA’s Second Request for Production of Documents No. 12, </w:t>
      </w:r>
      <w:r w:rsidR="001E7161" w:rsidRPr="00471540">
        <w:rPr>
          <w:rFonts w:eastAsia="Calibri"/>
          <w:color w:val="000000"/>
        </w:rPr>
        <w:t>the appropriate amount of deferred pension debit in working capital for FCG to include in rate base is $</w:t>
      </w:r>
      <w:r w:rsidR="001E7161" w:rsidRPr="643A77D2">
        <w:rPr>
          <w:rFonts w:eastAsia="Calibri"/>
          <w:color w:val="000000" w:themeColor="text1"/>
        </w:rPr>
        <w:t>4,604,263</w:t>
      </w:r>
      <w:r w:rsidR="001E7161" w:rsidRPr="00471540">
        <w:rPr>
          <w:rFonts w:eastAsia="Calibri"/>
          <w:color w:val="000000"/>
        </w:rPr>
        <w:t xml:space="preserve"> (adjusted) for the 2023 projected test year.</w:t>
      </w:r>
      <w:r w:rsidR="001E7161" w:rsidRPr="643A77D2">
        <w:rPr>
          <w:rFonts w:eastAsia="Calibri"/>
          <w:color w:val="000000" w:themeColor="text1"/>
        </w:rPr>
        <w:t xml:space="preserve">  </w:t>
      </w:r>
      <w:r w:rsidR="001E7161" w:rsidRPr="7357A262">
        <w:rPr>
          <w:rFonts w:eastAsia="Calibri"/>
          <w:color w:val="000000" w:themeColor="text1"/>
        </w:rPr>
        <w:t>(</w:t>
      </w:r>
      <w:r w:rsidR="001E7161">
        <w:rPr>
          <w:rFonts w:eastAsia="Calibri"/>
          <w:color w:val="000000" w:themeColor="text1"/>
        </w:rPr>
        <w:t xml:space="preserve">Fuentes, </w:t>
      </w:r>
      <w:r w:rsidR="001E7161" w:rsidRPr="7357A262">
        <w:rPr>
          <w:rFonts w:eastAsia="Calibri"/>
          <w:color w:val="000000" w:themeColor="text1"/>
        </w:rPr>
        <w:t>Slattery</w:t>
      </w:r>
      <w:r w:rsidR="001E7161">
        <w:rPr>
          <w:rFonts w:eastAsia="Calibri"/>
          <w:color w:val="000000" w:themeColor="text1"/>
        </w:rPr>
        <w:t>, Campbell</w:t>
      </w:r>
      <w:r w:rsidR="001E7161" w:rsidRPr="7357A262">
        <w:rPr>
          <w:rFonts w:eastAsia="Calibri"/>
          <w:color w:val="000000" w:themeColor="text1"/>
        </w:rPr>
        <w:t>)</w:t>
      </w:r>
    </w:p>
    <w:p w14:paraId="1F693D5A" w14:textId="77777777" w:rsidR="00644687" w:rsidRPr="00070C96" w:rsidRDefault="00644687" w:rsidP="00644687">
      <w:pPr>
        <w:ind w:left="1440" w:hanging="1440"/>
        <w:jc w:val="both"/>
        <w:rPr>
          <w:bCs/>
        </w:rPr>
      </w:pPr>
    </w:p>
    <w:p w14:paraId="23637100" w14:textId="77777777" w:rsidR="00644687" w:rsidRPr="00070C96" w:rsidRDefault="00644687" w:rsidP="00644687">
      <w:pPr>
        <w:ind w:left="1440" w:hanging="1440"/>
        <w:jc w:val="both"/>
        <w:rPr>
          <w:bCs/>
        </w:rPr>
      </w:pPr>
      <w:r>
        <w:rPr>
          <w:b/>
          <w:bCs/>
        </w:rPr>
        <w:t>OPC:</w:t>
      </w:r>
      <w:r>
        <w:rPr>
          <w:b/>
          <w:bCs/>
        </w:rPr>
        <w:tab/>
      </w:r>
      <w:r w:rsidR="009347C2">
        <w:t>No position.</w:t>
      </w:r>
    </w:p>
    <w:p w14:paraId="38F2D588" w14:textId="77777777" w:rsidR="00644687" w:rsidRPr="00070C96" w:rsidRDefault="00644687" w:rsidP="00644687">
      <w:pPr>
        <w:ind w:left="1440" w:hanging="1440"/>
        <w:jc w:val="both"/>
        <w:rPr>
          <w:bCs/>
        </w:rPr>
      </w:pPr>
    </w:p>
    <w:p w14:paraId="56F695A7" w14:textId="77777777" w:rsidR="00644687" w:rsidRPr="00070C96" w:rsidRDefault="00644687" w:rsidP="00644687">
      <w:pPr>
        <w:ind w:left="1440" w:hanging="1440"/>
        <w:jc w:val="both"/>
        <w:rPr>
          <w:bCs/>
        </w:rPr>
      </w:pPr>
      <w:r>
        <w:rPr>
          <w:b/>
          <w:bCs/>
        </w:rPr>
        <w:t>FEA:</w:t>
      </w:r>
      <w:r>
        <w:rPr>
          <w:b/>
          <w:bCs/>
        </w:rPr>
        <w:tab/>
      </w:r>
      <w:r w:rsidR="009D1863">
        <w:t>No position.</w:t>
      </w:r>
    </w:p>
    <w:p w14:paraId="4CD7F9F0" w14:textId="77777777" w:rsidR="00644687" w:rsidRPr="00070C96" w:rsidRDefault="00644687" w:rsidP="00644687">
      <w:pPr>
        <w:ind w:left="1440" w:hanging="1440"/>
        <w:jc w:val="both"/>
        <w:rPr>
          <w:bCs/>
        </w:rPr>
      </w:pPr>
    </w:p>
    <w:p w14:paraId="149C56F7"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4CC0EEFD" w14:textId="77777777" w:rsidR="00644687" w:rsidRPr="00070C96" w:rsidRDefault="00644687" w:rsidP="00644687">
      <w:pPr>
        <w:ind w:left="1440" w:hanging="1440"/>
        <w:jc w:val="both"/>
        <w:rPr>
          <w:bCs/>
        </w:rPr>
      </w:pPr>
    </w:p>
    <w:p w14:paraId="209D2EA9"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4913DF90" w14:textId="77777777" w:rsidR="00644687" w:rsidRDefault="00644687" w:rsidP="00644687">
      <w:pPr>
        <w:pStyle w:val="Default"/>
        <w:ind w:left="1440" w:hanging="1440"/>
        <w:jc w:val="both"/>
      </w:pPr>
    </w:p>
    <w:p w14:paraId="1A746CCF" w14:textId="4DD85D36" w:rsidR="00D328A5" w:rsidRDefault="00D328A5" w:rsidP="00D73B1E">
      <w:pPr>
        <w:pStyle w:val="ListParagraph"/>
        <w:spacing w:after="0"/>
        <w:ind w:left="0"/>
        <w:jc w:val="both"/>
        <w:rPr>
          <w:rFonts w:ascii="Times New Roman" w:hAnsi="Times New Roman" w:cs="Times New Roman"/>
          <w:color w:val="000000"/>
          <w:sz w:val="24"/>
          <w:szCs w:val="24"/>
        </w:rPr>
      </w:pPr>
    </w:p>
    <w:p w14:paraId="007CB464" w14:textId="1953AAE5" w:rsidR="006D0855" w:rsidRDefault="006D0855" w:rsidP="00D73B1E">
      <w:pPr>
        <w:pStyle w:val="ListParagraph"/>
        <w:spacing w:after="0"/>
        <w:ind w:left="0"/>
        <w:jc w:val="both"/>
        <w:rPr>
          <w:rFonts w:ascii="Times New Roman" w:hAnsi="Times New Roman" w:cs="Times New Roman"/>
          <w:color w:val="000000"/>
          <w:sz w:val="24"/>
          <w:szCs w:val="24"/>
        </w:rPr>
      </w:pPr>
    </w:p>
    <w:p w14:paraId="39CFC34C" w14:textId="77777777" w:rsidR="006D0855" w:rsidRPr="00D328A5" w:rsidRDefault="006D0855" w:rsidP="00D73B1E">
      <w:pPr>
        <w:pStyle w:val="ListParagraph"/>
        <w:spacing w:after="0"/>
        <w:ind w:left="0"/>
        <w:jc w:val="both"/>
        <w:rPr>
          <w:rFonts w:ascii="Times New Roman" w:hAnsi="Times New Roman" w:cs="Times New Roman"/>
          <w:color w:val="000000"/>
          <w:sz w:val="24"/>
          <w:szCs w:val="24"/>
        </w:rPr>
      </w:pPr>
    </w:p>
    <w:p w14:paraId="7F7EFE56" w14:textId="77777777" w:rsidR="00D328A5" w:rsidRPr="009347C2" w:rsidRDefault="00D328A5" w:rsidP="00D73B1E">
      <w:pPr>
        <w:pStyle w:val="Default"/>
        <w:numPr>
          <w:ilvl w:val="0"/>
          <w:numId w:val="2"/>
        </w:numPr>
        <w:ind w:left="1440" w:hanging="1440"/>
        <w:jc w:val="both"/>
        <w:rPr>
          <w:b/>
        </w:rPr>
      </w:pPr>
      <w:r w:rsidRPr="009347C2">
        <w:rPr>
          <w:b/>
        </w:rPr>
        <w:t>Should the unbilled revenues be included in working capital?</w:t>
      </w:r>
    </w:p>
    <w:p w14:paraId="45F031D6" w14:textId="77777777" w:rsidR="00D328A5" w:rsidRDefault="00D328A5" w:rsidP="00D73B1E">
      <w:pPr>
        <w:pStyle w:val="Default"/>
        <w:ind w:left="1440" w:hanging="1440"/>
        <w:jc w:val="both"/>
      </w:pPr>
    </w:p>
    <w:p w14:paraId="2AB4BDAE"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Yes. </w:t>
      </w:r>
      <w:r w:rsidR="001E7161">
        <w:rPr>
          <w:rFonts w:eastAsia="Calibri"/>
          <w:color w:val="000000"/>
        </w:rPr>
        <w:t xml:space="preserve"> </w:t>
      </w:r>
      <w:r w:rsidR="001E7161" w:rsidRPr="00471540">
        <w:rPr>
          <w:rFonts w:eastAsia="Calibri"/>
          <w:color w:val="000000"/>
        </w:rPr>
        <w:t xml:space="preserve">FCG incurs costs to deliver gas to customers, all of which have been accrued or paid. </w:t>
      </w:r>
      <w:r w:rsidR="001E7161">
        <w:rPr>
          <w:rFonts w:eastAsia="Calibri"/>
          <w:color w:val="000000"/>
        </w:rPr>
        <w:t xml:space="preserve"> </w:t>
      </w:r>
      <w:r w:rsidR="001E7161" w:rsidRPr="00471540">
        <w:rPr>
          <w:rFonts w:eastAsia="Calibri"/>
          <w:color w:val="000000"/>
        </w:rPr>
        <w:t xml:space="preserve">Delivery of that gas gives rise to both customer accounts receivables and a receivable for unbilled revenues. </w:t>
      </w:r>
      <w:r w:rsidR="001E7161">
        <w:rPr>
          <w:rFonts w:eastAsia="Calibri"/>
          <w:color w:val="000000"/>
        </w:rPr>
        <w:t xml:space="preserve"> </w:t>
      </w:r>
      <w:r w:rsidR="001E7161" w:rsidRPr="00471540">
        <w:rPr>
          <w:rFonts w:eastAsia="Calibri"/>
          <w:color w:val="000000"/>
        </w:rPr>
        <w:t>FCG must finance the costs of delivering gas, whether or not the gas sales have yet been billed.  For this reason, the Commission has a long-standing practice of including unbilled revenues in working capital.  (Fuentes)</w:t>
      </w:r>
    </w:p>
    <w:p w14:paraId="72DD7501" w14:textId="77777777" w:rsidR="00644687" w:rsidRPr="00070C96" w:rsidRDefault="00644687" w:rsidP="00644687">
      <w:pPr>
        <w:ind w:left="1440" w:hanging="1440"/>
        <w:jc w:val="both"/>
        <w:rPr>
          <w:bCs/>
        </w:rPr>
      </w:pPr>
    </w:p>
    <w:p w14:paraId="34DE9B6E" w14:textId="77777777" w:rsidR="00644687" w:rsidRPr="00070C96" w:rsidRDefault="00644687" w:rsidP="00644687">
      <w:pPr>
        <w:ind w:left="1440" w:hanging="1440"/>
        <w:jc w:val="both"/>
        <w:rPr>
          <w:bCs/>
        </w:rPr>
      </w:pPr>
      <w:r>
        <w:rPr>
          <w:b/>
          <w:bCs/>
        </w:rPr>
        <w:t>OPC:</w:t>
      </w:r>
      <w:r>
        <w:rPr>
          <w:b/>
          <w:bCs/>
        </w:rPr>
        <w:tab/>
      </w:r>
      <w:r w:rsidR="009347C2" w:rsidRPr="007E0770">
        <w:t>No position.</w:t>
      </w:r>
    </w:p>
    <w:p w14:paraId="5AFD8C5F" w14:textId="77777777" w:rsidR="00644687" w:rsidRPr="00070C96" w:rsidRDefault="00644687" w:rsidP="00644687">
      <w:pPr>
        <w:ind w:left="1440" w:hanging="1440"/>
        <w:jc w:val="both"/>
        <w:rPr>
          <w:bCs/>
        </w:rPr>
      </w:pPr>
    </w:p>
    <w:p w14:paraId="4BFF084E" w14:textId="77777777" w:rsidR="00644687" w:rsidRPr="00070C96" w:rsidRDefault="00644687" w:rsidP="00644687">
      <w:pPr>
        <w:ind w:left="1440" w:hanging="1440"/>
        <w:jc w:val="both"/>
        <w:rPr>
          <w:bCs/>
        </w:rPr>
      </w:pPr>
      <w:r>
        <w:rPr>
          <w:b/>
          <w:bCs/>
        </w:rPr>
        <w:t>FEA:</w:t>
      </w:r>
      <w:r>
        <w:rPr>
          <w:b/>
          <w:bCs/>
        </w:rPr>
        <w:tab/>
      </w:r>
      <w:r w:rsidR="009D1863">
        <w:t>No position.</w:t>
      </w:r>
    </w:p>
    <w:p w14:paraId="5EB13F81" w14:textId="77777777" w:rsidR="00822A0A" w:rsidRDefault="00822A0A" w:rsidP="00644687">
      <w:pPr>
        <w:ind w:left="1440" w:hanging="1440"/>
        <w:jc w:val="both"/>
        <w:rPr>
          <w:b/>
          <w:bCs/>
        </w:rPr>
      </w:pPr>
    </w:p>
    <w:p w14:paraId="11EE727A" w14:textId="36EDDFD8"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03AA7982" w14:textId="77777777" w:rsidR="00644687" w:rsidRPr="00070C96" w:rsidRDefault="00644687" w:rsidP="00644687">
      <w:pPr>
        <w:ind w:left="1440" w:hanging="1440"/>
        <w:jc w:val="both"/>
        <w:rPr>
          <w:bCs/>
        </w:rPr>
      </w:pPr>
    </w:p>
    <w:p w14:paraId="3E0412C5" w14:textId="77777777" w:rsidR="00AA0E34" w:rsidRDefault="00644687" w:rsidP="00D85565">
      <w:pPr>
        <w:pStyle w:val="Default"/>
        <w:ind w:left="1440" w:hanging="1440"/>
        <w:jc w:val="both"/>
      </w:pPr>
      <w:r w:rsidRPr="005D4B47">
        <w:rPr>
          <w:b/>
          <w:bCs/>
        </w:rPr>
        <w:t>STAFF</w:t>
      </w:r>
      <w:r w:rsidRPr="00701945">
        <w:rPr>
          <w:b/>
          <w:bCs/>
        </w:rPr>
        <w:t>:</w:t>
      </w:r>
      <w:r>
        <w:rPr>
          <w:b/>
          <w:bCs/>
        </w:rPr>
        <w:tab/>
      </w:r>
      <w:r w:rsidR="00F53BE5">
        <w:t>No position.</w:t>
      </w:r>
    </w:p>
    <w:p w14:paraId="3D50DF4A" w14:textId="77777777" w:rsidR="00D85565" w:rsidRDefault="00D85565" w:rsidP="00D85565">
      <w:pPr>
        <w:pStyle w:val="Default"/>
        <w:ind w:left="1440" w:hanging="1440"/>
        <w:jc w:val="both"/>
      </w:pPr>
    </w:p>
    <w:p w14:paraId="6292FDE9" w14:textId="77777777" w:rsidR="00AA0E34" w:rsidRPr="008C76AE" w:rsidRDefault="00AA0E34" w:rsidP="00D73B1E">
      <w:pPr>
        <w:pStyle w:val="Default"/>
        <w:ind w:left="1440" w:hanging="1440"/>
        <w:jc w:val="both"/>
      </w:pPr>
    </w:p>
    <w:p w14:paraId="3C23C04B" w14:textId="77777777" w:rsidR="00D328A5" w:rsidRPr="009347C2" w:rsidRDefault="00D328A5" w:rsidP="00D73B1E">
      <w:pPr>
        <w:pStyle w:val="Default"/>
        <w:numPr>
          <w:ilvl w:val="0"/>
          <w:numId w:val="2"/>
        </w:numPr>
        <w:ind w:left="1440" w:hanging="1440"/>
        <w:jc w:val="both"/>
        <w:rPr>
          <w:b/>
          <w:bCs/>
        </w:rPr>
      </w:pPr>
      <w:r w:rsidRPr="009347C2">
        <w:rPr>
          <w:b/>
          <w:bCs/>
        </w:rPr>
        <w:t>What is the appropriate level of working capital for the projected test year?</w:t>
      </w:r>
    </w:p>
    <w:p w14:paraId="4294BF42" w14:textId="77777777" w:rsidR="00644687" w:rsidRDefault="00644687" w:rsidP="00644687">
      <w:pPr>
        <w:pStyle w:val="Default"/>
        <w:ind w:left="1440" w:hanging="1440"/>
        <w:jc w:val="both"/>
      </w:pPr>
    </w:p>
    <w:p w14:paraId="5F7A21CA"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As reflected </w:t>
      </w:r>
      <w:r w:rsidR="001E7161">
        <w:rPr>
          <w:rFonts w:eastAsia="Calibri"/>
          <w:color w:val="000000"/>
        </w:rPr>
        <w:t>in</w:t>
      </w:r>
      <w:r w:rsidR="001E7161" w:rsidRPr="00471540">
        <w:rPr>
          <w:rFonts w:eastAsia="Calibri"/>
          <w:color w:val="000000"/>
        </w:rPr>
        <w:t xml:space="preserve"> </w:t>
      </w:r>
      <w:r w:rsidR="001E7161">
        <w:rPr>
          <w:rFonts w:eastAsia="Calibri"/>
          <w:color w:val="000000"/>
        </w:rPr>
        <w:t>Exhibit LF-11</w:t>
      </w:r>
      <w:r w:rsidR="001E7161" w:rsidRPr="00471540">
        <w:rPr>
          <w:rFonts w:eastAsia="Calibri"/>
          <w:color w:val="000000"/>
        </w:rPr>
        <w:t>, the appropriate amount of working capital with RSAM for the 2023 projected test year is $</w:t>
      </w:r>
      <w:r w:rsidR="001E7161">
        <w:rPr>
          <w:rFonts w:eastAsia="Calibri"/>
          <w:color w:val="000000"/>
        </w:rPr>
        <w:t>17,357,425</w:t>
      </w:r>
      <w:r w:rsidR="001E7161" w:rsidRPr="00471540">
        <w:rPr>
          <w:rFonts w:eastAsia="Calibri"/>
          <w:color w:val="000000"/>
        </w:rPr>
        <w:t xml:space="preserve"> (adjusted). </w:t>
      </w:r>
      <w:r w:rsidR="001E7161">
        <w:rPr>
          <w:rFonts w:eastAsia="Calibri"/>
          <w:color w:val="000000"/>
        </w:rPr>
        <w:t xml:space="preserve"> </w:t>
      </w:r>
      <w:r w:rsidR="001E7161" w:rsidRPr="00471540">
        <w:rPr>
          <w:rFonts w:eastAsia="Calibri"/>
          <w:color w:val="000000"/>
        </w:rPr>
        <w:t>If the Commission does not adopt the RSAM as part of FCG’s four-year rate proposal</w:t>
      </w:r>
      <w:r w:rsidR="001E7161" w:rsidRPr="00471540" w:rsidDel="008E6E28">
        <w:rPr>
          <w:rFonts w:eastAsia="Calibri"/>
          <w:color w:val="000000"/>
        </w:rPr>
        <w:t xml:space="preserve">, </w:t>
      </w:r>
      <w:r w:rsidR="001E7161" w:rsidRPr="00471540">
        <w:rPr>
          <w:rFonts w:eastAsia="Calibri"/>
          <w:color w:val="000000"/>
        </w:rPr>
        <w:t>the appropriate amount of working capital without RSAM for the 2023 projected test year is $</w:t>
      </w:r>
      <w:r w:rsidR="001E7161" w:rsidRPr="00761EF9">
        <w:rPr>
          <w:rFonts w:eastAsia="Calibri"/>
          <w:color w:val="000000"/>
        </w:rPr>
        <w:t>17,</w:t>
      </w:r>
      <w:r w:rsidR="001E7161">
        <w:rPr>
          <w:rFonts w:eastAsia="Calibri"/>
          <w:color w:val="000000"/>
        </w:rPr>
        <w:t>357,354</w:t>
      </w:r>
      <w:r w:rsidR="001E7161" w:rsidRPr="00471540">
        <w:rPr>
          <w:rFonts w:eastAsia="Calibri"/>
          <w:color w:val="000000"/>
        </w:rPr>
        <w:t xml:space="preserve"> (adjusted) as reflected </w:t>
      </w:r>
      <w:r w:rsidR="001E7161">
        <w:rPr>
          <w:rFonts w:eastAsia="Calibri"/>
          <w:color w:val="000000"/>
        </w:rPr>
        <w:t>in</w:t>
      </w:r>
      <w:r w:rsidR="001E7161" w:rsidRPr="00471540">
        <w:rPr>
          <w:rFonts w:eastAsia="Calibri"/>
          <w:color w:val="000000"/>
        </w:rPr>
        <w:t xml:space="preserve"> </w:t>
      </w:r>
      <w:r w:rsidR="001E7161">
        <w:rPr>
          <w:rFonts w:eastAsia="Calibri"/>
          <w:color w:val="000000"/>
        </w:rPr>
        <w:t>FCG Exhibit LF-12</w:t>
      </w:r>
      <w:r w:rsidR="001E7161" w:rsidRPr="00471540">
        <w:rPr>
          <w:rFonts w:eastAsia="Calibri"/>
          <w:color w:val="000000"/>
        </w:rPr>
        <w:t>.  (</w:t>
      </w:r>
      <w:r w:rsidR="001E7161">
        <w:rPr>
          <w:rFonts w:eastAsia="Calibri"/>
          <w:color w:val="000000"/>
        </w:rPr>
        <w:t xml:space="preserve">Campbell, </w:t>
      </w:r>
      <w:r w:rsidR="001E7161" w:rsidRPr="00471540">
        <w:rPr>
          <w:rFonts w:eastAsia="Calibri"/>
          <w:color w:val="000000"/>
        </w:rPr>
        <w:t>Fuentes)</w:t>
      </w:r>
    </w:p>
    <w:p w14:paraId="6B6F21EA" w14:textId="77777777" w:rsidR="00644687" w:rsidRPr="00070C96" w:rsidRDefault="00644687" w:rsidP="00644687">
      <w:pPr>
        <w:ind w:left="1440" w:hanging="1440"/>
        <w:jc w:val="both"/>
        <w:rPr>
          <w:bCs/>
        </w:rPr>
      </w:pPr>
    </w:p>
    <w:p w14:paraId="2174FE8D" w14:textId="77777777" w:rsidR="00644687" w:rsidRPr="00070C96" w:rsidRDefault="00644687" w:rsidP="009347C2">
      <w:pPr>
        <w:pStyle w:val="Default"/>
        <w:ind w:left="1440" w:hanging="1440"/>
        <w:jc w:val="both"/>
        <w:rPr>
          <w:bCs/>
        </w:rPr>
      </w:pPr>
      <w:r>
        <w:rPr>
          <w:b/>
          <w:bCs/>
        </w:rPr>
        <w:t>OPC:</w:t>
      </w:r>
      <w:r>
        <w:rPr>
          <w:b/>
          <w:bCs/>
        </w:rPr>
        <w:tab/>
      </w:r>
      <w:r w:rsidR="009347C2">
        <w:t>OPC Witness Schultz’s testimony and exhibits including, but not limited to, Schedule B, address the appropriate adjustments to the Working Capital Allowance. Working capital should be no more than $10,103,595. (Schultz)</w:t>
      </w:r>
    </w:p>
    <w:p w14:paraId="20563A78" w14:textId="77777777" w:rsidR="00644687" w:rsidRPr="00070C96" w:rsidRDefault="00644687" w:rsidP="009347C2">
      <w:pPr>
        <w:ind w:left="1440" w:hanging="1440"/>
        <w:jc w:val="both"/>
        <w:rPr>
          <w:bCs/>
        </w:rPr>
      </w:pPr>
    </w:p>
    <w:p w14:paraId="270DDFDE" w14:textId="77777777" w:rsidR="00644687" w:rsidRPr="00070C96" w:rsidRDefault="00644687" w:rsidP="00644687">
      <w:pPr>
        <w:ind w:left="1440" w:hanging="1440"/>
        <w:jc w:val="both"/>
        <w:rPr>
          <w:bCs/>
        </w:rPr>
      </w:pPr>
      <w:r>
        <w:rPr>
          <w:b/>
          <w:bCs/>
        </w:rPr>
        <w:t>FEA:</w:t>
      </w:r>
      <w:r>
        <w:rPr>
          <w:b/>
          <w:bCs/>
        </w:rPr>
        <w:tab/>
      </w:r>
      <w:r w:rsidR="009D1863">
        <w:t>No position.</w:t>
      </w:r>
    </w:p>
    <w:p w14:paraId="5A520C0F" w14:textId="77777777" w:rsidR="00644687" w:rsidRPr="00070C96" w:rsidRDefault="00644687" w:rsidP="00644687">
      <w:pPr>
        <w:ind w:left="1440" w:hanging="1440"/>
        <w:jc w:val="both"/>
        <w:rPr>
          <w:bCs/>
        </w:rPr>
      </w:pPr>
    </w:p>
    <w:p w14:paraId="18A56F12"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1DA2D44B" w14:textId="77777777" w:rsidR="00644687" w:rsidRPr="00070C96" w:rsidRDefault="00644687" w:rsidP="00644687">
      <w:pPr>
        <w:ind w:left="1440" w:hanging="1440"/>
        <w:jc w:val="both"/>
        <w:rPr>
          <w:bCs/>
        </w:rPr>
      </w:pPr>
    </w:p>
    <w:p w14:paraId="0AB6F10E"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274A5538" w14:textId="77777777" w:rsidR="00644687" w:rsidRDefault="00644687" w:rsidP="00644687">
      <w:pPr>
        <w:pStyle w:val="Default"/>
        <w:ind w:left="1440" w:hanging="1440"/>
        <w:jc w:val="both"/>
      </w:pPr>
    </w:p>
    <w:p w14:paraId="69B4027C" w14:textId="77777777" w:rsidR="00D328A5" w:rsidRPr="008C76AE" w:rsidRDefault="00D328A5" w:rsidP="00D73B1E">
      <w:pPr>
        <w:pStyle w:val="Default"/>
        <w:ind w:left="1440" w:hanging="1440"/>
        <w:jc w:val="both"/>
      </w:pPr>
    </w:p>
    <w:p w14:paraId="39D03147" w14:textId="77777777" w:rsidR="00D328A5" w:rsidRPr="00441235" w:rsidRDefault="00D328A5" w:rsidP="00D73B1E">
      <w:pPr>
        <w:pStyle w:val="Default"/>
        <w:numPr>
          <w:ilvl w:val="0"/>
          <w:numId w:val="2"/>
        </w:numPr>
        <w:ind w:left="1440" w:hanging="1440"/>
        <w:jc w:val="both"/>
        <w:rPr>
          <w:b/>
        </w:rPr>
      </w:pPr>
      <w:r w:rsidRPr="00441235">
        <w:rPr>
          <w:b/>
          <w:bCs/>
        </w:rPr>
        <w:t xml:space="preserve">What is the appropriate level of rate base for the projected test year? (Fallout Issue) </w:t>
      </w:r>
    </w:p>
    <w:p w14:paraId="02FF4FA8" w14:textId="77777777" w:rsidR="00D328A5" w:rsidRDefault="00D328A5" w:rsidP="00D73B1E">
      <w:pPr>
        <w:pStyle w:val="Default"/>
        <w:jc w:val="both"/>
      </w:pPr>
    </w:p>
    <w:p w14:paraId="179F91DD"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As reflected </w:t>
      </w:r>
      <w:r w:rsidR="001E7161">
        <w:rPr>
          <w:rFonts w:eastAsia="Calibri"/>
          <w:color w:val="000000"/>
        </w:rPr>
        <w:t>in</w:t>
      </w:r>
      <w:r w:rsidR="001E7161" w:rsidRPr="00471540">
        <w:rPr>
          <w:rFonts w:eastAsia="Calibri"/>
          <w:color w:val="000000"/>
        </w:rPr>
        <w:t xml:space="preserve"> Exhibit LF-</w:t>
      </w:r>
      <w:r w:rsidR="001E7161">
        <w:rPr>
          <w:rFonts w:eastAsia="Calibri"/>
          <w:color w:val="000000"/>
        </w:rPr>
        <w:t>11</w:t>
      </w:r>
      <w:r w:rsidR="001E7161" w:rsidRPr="00471540">
        <w:rPr>
          <w:rFonts w:eastAsia="Calibri"/>
          <w:color w:val="000000"/>
        </w:rPr>
        <w:t>, the appropriate amount of rate base with RSAM for the 2023 projected test year is $</w:t>
      </w:r>
      <w:r w:rsidR="001E7161">
        <w:rPr>
          <w:rFonts w:eastAsia="Calibri"/>
          <w:color w:val="000000"/>
        </w:rPr>
        <w:t>488,905,694</w:t>
      </w:r>
      <w:r w:rsidR="001E7161" w:rsidRPr="00471540">
        <w:rPr>
          <w:rFonts w:eastAsia="Calibri"/>
          <w:color w:val="000000"/>
        </w:rPr>
        <w:t xml:space="preserve"> (adjusted). </w:t>
      </w:r>
      <w:r w:rsidR="001E7161">
        <w:rPr>
          <w:rFonts w:eastAsia="Calibri"/>
          <w:color w:val="000000"/>
        </w:rPr>
        <w:t xml:space="preserve"> </w:t>
      </w:r>
      <w:r w:rsidR="001E7161" w:rsidRPr="00471540">
        <w:rPr>
          <w:rFonts w:eastAsia="Calibri"/>
          <w:color w:val="000000"/>
        </w:rPr>
        <w:t>If the Commission does not adopt the RSAM as part of FCG’s four-year rate proposal</w:t>
      </w:r>
      <w:r w:rsidR="001E7161" w:rsidRPr="00471540" w:rsidDel="00A0334E">
        <w:rPr>
          <w:rFonts w:eastAsia="Calibri"/>
          <w:color w:val="000000"/>
        </w:rPr>
        <w:t xml:space="preserve">, </w:t>
      </w:r>
      <w:r w:rsidR="001E7161" w:rsidRPr="00471540">
        <w:rPr>
          <w:rFonts w:eastAsia="Calibri"/>
          <w:color w:val="000000"/>
        </w:rPr>
        <w:t>the appropriate amount of rate base without RSAM for the 2023 projected test year is $</w:t>
      </w:r>
      <w:r w:rsidR="001E7161">
        <w:rPr>
          <w:rFonts w:eastAsia="Calibri"/>
          <w:color w:val="000000"/>
        </w:rPr>
        <w:t>487,326,330</w:t>
      </w:r>
      <w:r w:rsidR="001E7161" w:rsidRPr="00471540">
        <w:rPr>
          <w:rFonts w:eastAsia="Calibri"/>
          <w:color w:val="000000"/>
        </w:rPr>
        <w:t xml:space="preserve"> (adjusted)</w:t>
      </w:r>
      <w:r w:rsidR="001E7161">
        <w:rPr>
          <w:rFonts w:eastAsia="Calibri"/>
          <w:color w:val="000000"/>
        </w:rPr>
        <w:t xml:space="preserve"> as reflected in Exhibit LF-12</w:t>
      </w:r>
      <w:r w:rsidR="001E7161" w:rsidRPr="00471540">
        <w:rPr>
          <w:rFonts w:eastAsia="Calibri"/>
          <w:color w:val="000000"/>
        </w:rPr>
        <w:t xml:space="preserve">. </w:t>
      </w:r>
      <w:r w:rsidR="001E7161">
        <w:rPr>
          <w:rFonts w:eastAsia="Calibri"/>
          <w:color w:val="000000"/>
        </w:rPr>
        <w:t xml:space="preserve"> </w:t>
      </w:r>
      <w:r w:rsidR="001E7161" w:rsidRPr="00471540">
        <w:rPr>
          <w:rFonts w:eastAsia="Calibri"/>
          <w:color w:val="000000"/>
        </w:rPr>
        <w:t>(</w:t>
      </w:r>
      <w:r w:rsidR="001E7161">
        <w:rPr>
          <w:rFonts w:eastAsia="Calibri"/>
          <w:color w:val="000000"/>
        </w:rPr>
        <w:t xml:space="preserve">Campbell, </w:t>
      </w:r>
      <w:r w:rsidR="001E7161" w:rsidRPr="00471540">
        <w:rPr>
          <w:rFonts w:eastAsia="Calibri"/>
          <w:color w:val="000000"/>
        </w:rPr>
        <w:t>Fuentes)</w:t>
      </w:r>
    </w:p>
    <w:p w14:paraId="5FAB76BF" w14:textId="77777777" w:rsidR="00644687" w:rsidRPr="00070C96" w:rsidRDefault="00644687" w:rsidP="00644687">
      <w:pPr>
        <w:ind w:left="1440" w:hanging="1440"/>
        <w:jc w:val="both"/>
        <w:rPr>
          <w:bCs/>
        </w:rPr>
      </w:pPr>
    </w:p>
    <w:p w14:paraId="4FF7555A" w14:textId="77777777" w:rsidR="00644687" w:rsidRPr="00070C96" w:rsidRDefault="00644687" w:rsidP="00644687">
      <w:pPr>
        <w:ind w:left="1440" w:hanging="1440"/>
        <w:jc w:val="both"/>
        <w:rPr>
          <w:bCs/>
        </w:rPr>
      </w:pPr>
      <w:r>
        <w:rPr>
          <w:b/>
          <w:bCs/>
        </w:rPr>
        <w:t>OPC:</w:t>
      </w:r>
      <w:r>
        <w:rPr>
          <w:b/>
          <w:bCs/>
        </w:rPr>
        <w:tab/>
      </w:r>
      <w:r w:rsidR="00441235">
        <w:t>OPC Witness Schultz’s testimony and exhibits including, but not limited to, Schedule B, page 1, address the appropriate adjustments to rate base. The adjusted amount should be no more than $455,035,463. (Schultz)</w:t>
      </w:r>
    </w:p>
    <w:p w14:paraId="5E9240F9" w14:textId="77777777" w:rsidR="00644687" w:rsidRPr="00070C96" w:rsidRDefault="00644687" w:rsidP="00644687">
      <w:pPr>
        <w:ind w:left="1440" w:hanging="1440"/>
        <w:jc w:val="both"/>
        <w:rPr>
          <w:bCs/>
        </w:rPr>
      </w:pPr>
    </w:p>
    <w:p w14:paraId="2BD38426" w14:textId="77777777" w:rsidR="00644687" w:rsidRPr="00070C96" w:rsidRDefault="00644687" w:rsidP="00644687">
      <w:pPr>
        <w:ind w:left="1440" w:hanging="1440"/>
        <w:jc w:val="both"/>
        <w:rPr>
          <w:bCs/>
        </w:rPr>
      </w:pPr>
      <w:r>
        <w:rPr>
          <w:b/>
          <w:bCs/>
        </w:rPr>
        <w:t>FEA:</w:t>
      </w:r>
      <w:r>
        <w:rPr>
          <w:b/>
          <w:bCs/>
        </w:rPr>
        <w:tab/>
      </w:r>
      <w:r w:rsidR="009D1863">
        <w:t>No position.</w:t>
      </w:r>
    </w:p>
    <w:p w14:paraId="3BE5D2D3"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7AD5C52F" w14:textId="77777777" w:rsidR="00644687" w:rsidRPr="00070C96" w:rsidRDefault="00644687" w:rsidP="00644687">
      <w:pPr>
        <w:ind w:left="1440" w:hanging="1440"/>
        <w:jc w:val="both"/>
        <w:rPr>
          <w:bCs/>
        </w:rPr>
      </w:pPr>
    </w:p>
    <w:p w14:paraId="75FAA8C9"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2C2A2C05" w14:textId="77777777" w:rsidR="00644687" w:rsidRDefault="00644687" w:rsidP="00644687">
      <w:pPr>
        <w:pStyle w:val="Default"/>
        <w:ind w:left="1440" w:hanging="1440"/>
        <w:jc w:val="both"/>
      </w:pPr>
    </w:p>
    <w:p w14:paraId="68E77F2D" w14:textId="77777777" w:rsidR="00644687" w:rsidRDefault="00644687" w:rsidP="00112E7F">
      <w:pPr>
        <w:pStyle w:val="Default"/>
        <w:rPr>
          <w:b/>
          <w:bCs/>
          <w:u w:val="single"/>
        </w:rPr>
      </w:pPr>
    </w:p>
    <w:p w14:paraId="1406C681" w14:textId="77777777" w:rsidR="00D328A5" w:rsidRPr="00877329" w:rsidRDefault="00D328A5" w:rsidP="00D328A5">
      <w:pPr>
        <w:pStyle w:val="Default"/>
        <w:jc w:val="center"/>
        <w:rPr>
          <w:b/>
          <w:bCs/>
          <w:u w:val="single"/>
        </w:rPr>
      </w:pPr>
      <w:r w:rsidRPr="00877329">
        <w:rPr>
          <w:b/>
          <w:bCs/>
          <w:u w:val="single"/>
        </w:rPr>
        <w:t>COST OF CAPITAL</w:t>
      </w:r>
    </w:p>
    <w:p w14:paraId="62F9FE94" w14:textId="77777777" w:rsidR="00D328A5" w:rsidRPr="008C76AE" w:rsidRDefault="00D328A5" w:rsidP="00D328A5">
      <w:pPr>
        <w:pStyle w:val="Default"/>
        <w:jc w:val="center"/>
      </w:pPr>
    </w:p>
    <w:p w14:paraId="2BA86B0E" w14:textId="77777777" w:rsidR="00D328A5" w:rsidRPr="00441235" w:rsidRDefault="00D328A5" w:rsidP="00D73B1E">
      <w:pPr>
        <w:pStyle w:val="Default"/>
        <w:numPr>
          <w:ilvl w:val="0"/>
          <w:numId w:val="2"/>
        </w:numPr>
        <w:ind w:left="1440" w:hanging="1440"/>
        <w:jc w:val="both"/>
        <w:rPr>
          <w:b/>
        </w:rPr>
      </w:pPr>
      <w:r w:rsidRPr="00441235">
        <w:rPr>
          <w:b/>
          <w:bCs/>
        </w:rPr>
        <w:t xml:space="preserve">What is the appropriate amount of accumulated deferred taxes to include in the projected test year capital structure? </w:t>
      </w:r>
    </w:p>
    <w:p w14:paraId="771FB227" w14:textId="77777777" w:rsidR="00644687" w:rsidRDefault="00644687" w:rsidP="00644687">
      <w:pPr>
        <w:pStyle w:val="Default"/>
        <w:ind w:left="1440" w:hanging="1440"/>
        <w:jc w:val="both"/>
      </w:pPr>
    </w:p>
    <w:p w14:paraId="1602799B"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As reflected </w:t>
      </w:r>
      <w:r w:rsidR="001E7161">
        <w:rPr>
          <w:rFonts w:eastAsia="Calibri"/>
          <w:color w:val="000000"/>
        </w:rPr>
        <w:t>in</w:t>
      </w:r>
      <w:r w:rsidR="001E7161" w:rsidRPr="00471540">
        <w:rPr>
          <w:rFonts w:eastAsia="Calibri"/>
          <w:color w:val="000000"/>
        </w:rPr>
        <w:t xml:space="preserve"> Exhibit LF-</w:t>
      </w:r>
      <w:r w:rsidR="001E7161">
        <w:rPr>
          <w:rFonts w:eastAsia="Calibri"/>
          <w:color w:val="000000"/>
        </w:rPr>
        <w:t>11</w:t>
      </w:r>
      <w:r w:rsidR="001E7161" w:rsidRPr="00471540">
        <w:rPr>
          <w:rFonts w:eastAsia="Calibri"/>
          <w:color w:val="000000"/>
        </w:rPr>
        <w:t>, the appropriate amount of accumulated deferred taxes with RSAM included in capital structure for the 2023 projected test year is $</w:t>
      </w:r>
      <w:r w:rsidR="001E7161">
        <w:rPr>
          <w:rFonts w:eastAsia="Calibri"/>
          <w:color w:val="000000"/>
        </w:rPr>
        <w:t>53,898,912</w:t>
      </w:r>
      <w:r w:rsidR="001E7161" w:rsidRPr="00471540">
        <w:rPr>
          <w:rFonts w:eastAsia="Calibri"/>
          <w:color w:val="000000"/>
        </w:rPr>
        <w:t xml:space="preserve"> (adjusted).  If the Commission does not adopt the RSAM as part of FCG’s four-year rate proposal, the appropriate amount of accumulated deferred taxes without RSAM included in capital structure for the 2023 projected test year is $</w:t>
      </w:r>
      <w:r w:rsidR="001E7161" w:rsidRPr="002D2884">
        <w:rPr>
          <w:rFonts w:eastAsia="Calibri"/>
          <w:color w:val="000000"/>
        </w:rPr>
        <w:t>53,</w:t>
      </w:r>
      <w:r w:rsidR="001E7161">
        <w:rPr>
          <w:rFonts w:eastAsia="Calibri"/>
          <w:color w:val="000000"/>
        </w:rPr>
        <w:t>743,662</w:t>
      </w:r>
      <w:r w:rsidR="001E7161" w:rsidRPr="00471540">
        <w:rPr>
          <w:rFonts w:eastAsia="Calibri"/>
          <w:color w:val="000000"/>
        </w:rPr>
        <w:t xml:space="preserve"> (adjusted)</w:t>
      </w:r>
      <w:r w:rsidR="001E7161">
        <w:rPr>
          <w:rFonts w:eastAsia="Calibri"/>
          <w:color w:val="000000"/>
        </w:rPr>
        <w:t xml:space="preserve"> as reflected in Exhibit LF-12</w:t>
      </w:r>
      <w:r w:rsidR="001E7161" w:rsidRPr="00471540">
        <w:rPr>
          <w:rFonts w:eastAsia="Calibri"/>
          <w:color w:val="000000"/>
        </w:rPr>
        <w:t xml:space="preserve">. </w:t>
      </w:r>
      <w:r w:rsidR="001E7161">
        <w:rPr>
          <w:rFonts w:eastAsia="Calibri"/>
          <w:color w:val="000000"/>
        </w:rPr>
        <w:t xml:space="preserve"> </w:t>
      </w:r>
      <w:r w:rsidR="001E7161" w:rsidRPr="00471540">
        <w:rPr>
          <w:rFonts w:eastAsia="Calibri"/>
          <w:color w:val="000000"/>
        </w:rPr>
        <w:t>(Fuentes</w:t>
      </w:r>
      <w:r w:rsidR="001E7161">
        <w:rPr>
          <w:rFonts w:eastAsia="Calibri"/>
          <w:color w:val="000000"/>
        </w:rPr>
        <w:t>, Campbell</w:t>
      </w:r>
      <w:r w:rsidR="001E7161" w:rsidRPr="00471540">
        <w:rPr>
          <w:rFonts w:eastAsia="Calibri"/>
          <w:color w:val="000000"/>
        </w:rPr>
        <w:t>)</w:t>
      </w:r>
    </w:p>
    <w:p w14:paraId="77FFF776" w14:textId="77777777" w:rsidR="00644687" w:rsidRPr="00070C96" w:rsidRDefault="00644687" w:rsidP="00644687">
      <w:pPr>
        <w:ind w:left="1440" w:hanging="1440"/>
        <w:jc w:val="both"/>
        <w:rPr>
          <w:bCs/>
        </w:rPr>
      </w:pPr>
    </w:p>
    <w:p w14:paraId="31C56700" w14:textId="77777777" w:rsidR="00644687" w:rsidRPr="00070C96" w:rsidRDefault="00644687" w:rsidP="00644687">
      <w:pPr>
        <w:ind w:left="1440" w:hanging="1440"/>
        <w:jc w:val="both"/>
        <w:rPr>
          <w:bCs/>
        </w:rPr>
      </w:pPr>
      <w:r>
        <w:rPr>
          <w:b/>
          <w:bCs/>
        </w:rPr>
        <w:t>OPC:</w:t>
      </w:r>
      <w:r>
        <w:rPr>
          <w:b/>
          <w:bCs/>
        </w:rPr>
        <w:tab/>
      </w:r>
      <w:r w:rsidR="00441235">
        <w:t>OPC Witness Garrett’s testimony and exhibits including, but not limited to, Exhibit DJG-17, as well as OPC Witness Schultz’s testimony and exhibits including, but not limited to HWS-2, Schedule D, address the appropriate amount of accumulated deferred taxes to include in the projected test year capital structure. The appropriate amount of accumulated deferred taxes is at least $50,182,538. (Schultz; Garrett)</w:t>
      </w:r>
    </w:p>
    <w:p w14:paraId="7D0D2BA9" w14:textId="77777777" w:rsidR="00644687" w:rsidRPr="00070C96" w:rsidRDefault="00644687" w:rsidP="00644687">
      <w:pPr>
        <w:ind w:left="1440" w:hanging="1440"/>
        <w:jc w:val="both"/>
        <w:rPr>
          <w:bCs/>
        </w:rPr>
      </w:pPr>
    </w:p>
    <w:p w14:paraId="7D50E93A" w14:textId="77777777" w:rsidR="00644687" w:rsidRPr="00070C96" w:rsidRDefault="00644687" w:rsidP="00644687">
      <w:pPr>
        <w:ind w:left="1440" w:hanging="1440"/>
        <w:jc w:val="both"/>
        <w:rPr>
          <w:bCs/>
        </w:rPr>
      </w:pPr>
      <w:r>
        <w:rPr>
          <w:b/>
          <w:bCs/>
        </w:rPr>
        <w:t>FEA:</w:t>
      </w:r>
      <w:r>
        <w:rPr>
          <w:b/>
          <w:bCs/>
        </w:rPr>
        <w:tab/>
      </w:r>
      <w:r w:rsidR="009D1863">
        <w:t>No position.</w:t>
      </w:r>
    </w:p>
    <w:p w14:paraId="24105992" w14:textId="77777777" w:rsidR="00644687" w:rsidRPr="00070C96" w:rsidRDefault="00644687" w:rsidP="00644687">
      <w:pPr>
        <w:ind w:left="1440" w:hanging="1440"/>
        <w:jc w:val="both"/>
        <w:rPr>
          <w:bCs/>
        </w:rPr>
      </w:pPr>
    </w:p>
    <w:p w14:paraId="2249077D"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6B10AE5" w14:textId="77777777" w:rsidR="00644687" w:rsidRPr="00070C96" w:rsidRDefault="00644687" w:rsidP="00644687">
      <w:pPr>
        <w:ind w:left="1440" w:hanging="1440"/>
        <w:jc w:val="both"/>
        <w:rPr>
          <w:bCs/>
        </w:rPr>
      </w:pPr>
    </w:p>
    <w:p w14:paraId="30FBCDC8"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47123C49" w14:textId="77777777" w:rsidR="00644687" w:rsidRDefault="00644687" w:rsidP="00644687">
      <w:pPr>
        <w:pStyle w:val="Default"/>
        <w:ind w:left="1440" w:hanging="1440"/>
        <w:jc w:val="both"/>
      </w:pPr>
    </w:p>
    <w:p w14:paraId="219F9310" w14:textId="77777777" w:rsidR="00D328A5" w:rsidRPr="008C76AE" w:rsidRDefault="00D328A5" w:rsidP="00D73B1E">
      <w:pPr>
        <w:pStyle w:val="Default"/>
        <w:ind w:left="1440" w:hanging="1440"/>
        <w:jc w:val="both"/>
      </w:pPr>
    </w:p>
    <w:p w14:paraId="01D99ECA" w14:textId="77777777" w:rsidR="00D328A5" w:rsidRPr="00441235" w:rsidRDefault="00D328A5" w:rsidP="00D73B1E">
      <w:pPr>
        <w:pStyle w:val="Default"/>
        <w:numPr>
          <w:ilvl w:val="0"/>
          <w:numId w:val="2"/>
        </w:numPr>
        <w:ind w:left="1440" w:hanging="1440"/>
        <w:jc w:val="both"/>
        <w:rPr>
          <w:b/>
        </w:rPr>
      </w:pPr>
      <w:r w:rsidRPr="00441235">
        <w:rPr>
          <w:b/>
          <w:bCs/>
        </w:rPr>
        <w:t>What is the appropriate amount and cost rate for short-term debt to include in the projected test year capital structure?</w:t>
      </w:r>
      <w:r w:rsidRPr="00441235">
        <w:rPr>
          <w:b/>
        </w:rPr>
        <w:t xml:space="preserve"> </w:t>
      </w:r>
    </w:p>
    <w:p w14:paraId="14AD53EC" w14:textId="77777777" w:rsidR="00D328A5" w:rsidRDefault="00D328A5" w:rsidP="00D73B1E">
      <w:pPr>
        <w:pStyle w:val="Default"/>
        <w:ind w:left="1440" w:hanging="1440"/>
        <w:jc w:val="both"/>
      </w:pPr>
    </w:p>
    <w:p w14:paraId="5879427A"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As reflected </w:t>
      </w:r>
      <w:r w:rsidR="001E7161">
        <w:rPr>
          <w:rFonts w:eastAsia="Calibri"/>
          <w:color w:val="000000"/>
        </w:rPr>
        <w:t>in Exhibit LF-11</w:t>
      </w:r>
      <w:r w:rsidR="001E7161" w:rsidRPr="00471540">
        <w:rPr>
          <w:rFonts w:eastAsia="Calibri"/>
          <w:color w:val="000000"/>
        </w:rPr>
        <w:t>, the appropriate amount and cost rate for short-term debt with RSAM for the 2023 projected test year is $</w:t>
      </w:r>
      <w:r w:rsidR="001E7161">
        <w:rPr>
          <w:rFonts w:eastAsia="Calibri"/>
          <w:color w:val="000000"/>
        </w:rPr>
        <w:t>20,203,793</w:t>
      </w:r>
      <w:r w:rsidR="001E7161" w:rsidRPr="00471540">
        <w:rPr>
          <w:rFonts w:eastAsia="Calibri"/>
          <w:color w:val="000000"/>
        </w:rPr>
        <w:t xml:space="preserve"> (adjusted) and </w:t>
      </w:r>
      <w:r w:rsidR="001E7161">
        <w:rPr>
          <w:rFonts w:eastAsia="Calibri"/>
          <w:color w:val="000000"/>
        </w:rPr>
        <w:t>1</w:t>
      </w:r>
      <w:r w:rsidR="001E7161" w:rsidRPr="00471540">
        <w:rPr>
          <w:rFonts w:eastAsia="Calibri"/>
          <w:color w:val="000000"/>
        </w:rPr>
        <w:t>.</w:t>
      </w:r>
      <w:r w:rsidR="001E7161">
        <w:rPr>
          <w:rFonts w:eastAsia="Calibri"/>
          <w:color w:val="000000"/>
        </w:rPr>
        <w:t>78</w:t>
      </w:r>
      <w:r w:rsidR="001E7161" w:rsidRPr="00471540">
        <w:rPr>
          <w:rFonts w:eastAsia="Calibri"/>
          <w:color w:val="000000"/>
        </w:rPr>
        <w:t>%</w:t>
      </w:r>
      <w:r w:rsidR="001E7161">
        <w:rPr>
          <w:rFonts w:eastAsia="Calibri"/>
          <w:color w:val="000000"/>
        </w:rPr>
        <w:t>, respectively</w:t>
      </w:r>
      <w:r w:rsidR="001E7161" w:rsidRPr="00471540">
        <w:rPr>
          <w:rFonts w:eastAsia="Calibri"/>
          <w:color w:val="000000"/>
        </w:rPr>
        <w:t>.  If the Commission does not adopt the RSAM as part of FCG’s four-year rate proposal, the appropriate amount and cost rate for short-term debt without RSAM for the 2023 projected test year is $</w:t>
      </w:r>
      <w:r w:rsidR="001E7161">
        <w:rPr>
          <w:rFonts w:eastAsia="Calibri"/>
          <w:color w:val="000000"/>
        </w:rPr>
        <w:t>20,137,159</w:t>
      </w:r>
      <w:r w:rsidR="001E7161" w:rsidRPr="00471540">
        <w:rPr>
          <w:rFonts w:eastAsia="Calibri"/>
          <w:color w:val="000000"/>
        </w:rPr>
        <w:t xml:space="preserve"> (adjusted) and </w:t>
      </w:r>
      <w:r w:rsidR="001E7161">
        <w:rPr>
          <w:rFonts w:eastAsia="Calibri"/>
          <w:color w:val="000000"/>
        </w:rPr>
        <w:t>1</w:t>
      </w:r>
      <w:r w:rsidR="001E7161" w:rsidRPr="00471540">
        <w:rPr>
          <w:rFonts w:eastAsia="Calibri"/>
          <w:color w:val="000000"/>
        </w:rPr>
        <w:t>.</w:t>
      </w:r>
      <w:r w:rsidR="001E7161">
        <w:rPr>
          <w:rFonts w:eastAsia="Calibri"/>
          <w:color w:val="000000"/>
        </w:rPr>
        <w:t>78</w:t>
      </w:r>
      <w:r w:rsidR="001E7161" w:rsidRPr="00471540">
        <w:rPr>
          <w:rFonts w:eastAsia="Calibri"/>
          <w:color w:val="000000"/>
        </w:rPr>
        <w:t>%</w:t>
      </w:r>
      <w:r w:rsidR="001E7161">
        <w:rPr>
          <w:rFonts w:eastAsia="Calibri"/>
          <w:color w:val="000000"/>
        </w:rPr>
        <w:t>, respectively, as reflected in Exhibit LF-12</w:t>
      </w:r>
      <w:r w:rsidR="001E7161" w:rsidRPr="00471540">
        <w:rPr>
          <w:rFonts w:eastAsia="Calibri"/>
          <w:color w:val="000000"/>
        </w:rPr>
        <w:t xml:space="preserve">. </w:t>
      </w:r>
      <w:r w:rsidR="001E7161">
        <w:rPr>
          <w:rFonts w:eastAsia="Calibri"/>
          <w:color w:val="000000"/>
        </w:rPr>
        <w:t xml:space="preserve"> </w:t>
      </w:r>
      <w:r w:rsidR="001E7161" w:rsidRPr="00471540">
        <w:rPr>
          <w:rFonts w:eastAsia="Calibri"/>
          <w:color w:val="000000"/>
        </w:rPr>
        <w:t>(</w:t>
      </w:r>
      <w:r w:rsidR="001E7161">
        <w:rPr>
          <w:rFonts w:eastAsia="Calibri"/>
          <w:color w:val="000000"/>
        </w:rPr>
        <w:t>Fuentes, Campbell</w:t>
      </w:r>
      <w:r w:rsidR="001E7161" w:rsidRPr="00471540">
        <w:rPr>
          <w:rFonts w:eastAsia="Calibri"/>
          <w:color w:val="000000"/>
        </w:rPr>
        <w:t>)</w:t>
      </w:r>
    </w:p>
    <w:p w14:paraId="3EF82693" w14:textId="77777777" w:rsidR="00644687" w:rsidRPr="00070C96" w:rsidRDefault="00644687" w:rsidP="00644687">
      <w:pPr>
        <w:ind w:left="1440" w:hanging="1440"/>
        <w:jc w:val="both"/>
        <w:rPr>
          <w:bCs/>
        </w:rPr>
      </w:pPr>
    </w:p>
    <w:p w14:paraId="50ECB097" w14:textId="77777777" w:rsidR="00644687" w:rsidRPr="00070C96" w:rsidRDefault="00644687" w:rsidP="00644687">
      <w:pPr>
        <w:ind w:left="1440" w:hanging="1440"/>
        <w:jc w:val="both"/>
        <w:rPr>
          <w:bCs/>
        </w:rPr>
      </w:pPr>
      <w:r>
        <w:rPr>
          <w:b/>
          <w:bCs/>
        </w:rPr>
        <w:t>OPC:</w:t>
      </w:r>
      <w:r>
        <w:rPr>
          <w:b/>
          <w:bCs/>
        </w:rPr>
        <w:tab/>
      </w:r>
      <w:r w:rsidR="00441235">
        <w:t>The appropriate</w:t>
      </w:r>
      <w:r w:rsidR="00441235" w:rsidRPr="009E3B59">
        <w:rPr>
          <w:bCs/>
        </w:rPr>
        <w:t xml:space="preserve"> </w:t>
      </w:r>
      <w:r w:rsidR="00441235" w:rsidRPr="00C46D32">
        <w:rPr>
          <w:bCs/>
        </w:rPr>
        <w:t xml:space="preserve">amount </w:t>
      </w:r>
      <w:r w:rsidR="00441235">
        <w:rPr>
          <w:bCs/>
        </w:rPr>
        <w:t xml:space="preserve">of short-term debt $18,821,767 </w:t>
      </w:r>
      <w:r w:rsidR="00441235" w:rsidRPr="00C46D32">
        <w:rPr>
          <w:bCs/>
        </w:rPr>
        <w:t>and cost rate for short-term debt to include in the projected test year capital structure</w:t>
      </w:r>
      <w:r w:rsidR="00441235">
        <w:rPr>
          <w:bCs/>
        </w:rPr>
        <w:t>, which is 1.78%. (Garrett)</w:t>
      </w:r>
    </w:p>
    <w:p w14:paraId="53405C96" w14:textId="77777777" w:rsidR="00644687" w:rsidRPr="00070C96" w:rsidRDefault="00644687" w:rsidP="00644687">
      <w:pPr>
        <w:ind w:left="1440" w:hanging="1440"/>
        <w:jc w:val="both"/>
        <w:rPr>
          <w:bCs/>
        </w:rPr>
      </w:pPr>
      <w:r>
        <w:rPr>
          <w:b/>
          <w:bCs/>
        </w:rPr>
        <w:t>FEA:</w:t>
      </w:r>
      <w:r>
        <w:rPr>
          <w:b/>
          <w:bCs/>
        </w:rPr>
        <w:tab/>
      </w:r>
      <w:r w:rsidR="009D1863">
        <w:t>No position.</w:t>
      </w:r>
    </w:p>
    <w:p w14:paraId="73E82F34" w14:textId="77777777" w:rsidR="00822A0A" w:rsidRDefault="00822A0A" w:rsidP="00644687">
      <w:pPr>
        <w:ind w:left="1440" w:hanging="1440"/>
        <w:jc w:val="both"/>
        <w:rPr>
          <w:b/>
          <w:bCs/>
        </w:rPr>
      </w:pPr>
    </w:p>
    <w:p w14:paraId="3A2076F5" w14:textId="01995F43"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0A806DB9" w14:textId="77777777" w:rsidR="00644687" w:rsidRPr="00070C96" w:rsidRDefault="00644687" w:rsidP="00644687">
      <w:pPr>
        <w:ind w:left="1440" w:hanging="1440"/>
        <w:jc w:val="both"/>
        <w:rPr>
          <w:bCs/>
        </w:rPr>
      </w:pPr>
    </w:p>
    <w:p w14:paraId="7BFE0814" w14:textId="4F5B8FFC"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6AFA79E" w14:textId="4079C88E" w:rsidR="00E90AFF" w:rsidRDefault="00E90AFF" w:rsidP="00644687">
      <w:pPr>
        <w:pStyle w:val="Default"/>
        <w:ind w:left="1440" w:hanging="1440"/>
        <w:jc w:val="both"/>
      </w:pPr>
    </w:p>
    <w:p w14:paraId="1B0FB98B" w14:textId="77777777" w:rsidR="00476A39" w:rsidRDefault="00476A39" w:rsidP="00644687">
      <w:pPr>
        <w:pStyle w:val="Default"/>
        <w:ind w:left="1440" w:hanging="1440"/>
        <w:jc w:val="both"/>
      </w:pPr>
    </w:p>
    <w:p w14:paraId="5B88D81B" w14:textId="77777777" w:rsidR="00D328A5" w:rsidRPr="00441235" w:rsidRDefault="00D328A5" w:rsidP="00D73B1E">
      <w:pPr>
        <w:pStyle w:val="Default"/>
        <w:numPr>
          <w:ilvl w:val="0"/>
          <w:numId w:val="2"/>
        </w:numPr>
        <w:ind w:left="1440" w:hanging="1440"/>
        <w:jc w:val="both"/>
        <w:rPr>
          <w:b/>
        </w:rPr>
      </w:pPr>
      <w:r w:rsidRPr="00441235">
        <w:rPr>
          <w:b/>
          <w:bCs/>
        </w:rPr>
        <w:t xml:space="preserve">What is the appropriate amount and cost rate for long-term debt to include in the projected test year capital structure? </w:t>
      </w:r>
    </w:p>
    <w:p w14:paraId="2BD772EE"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0360D641"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As reflected </w:t>
      </w:r>
      <w:r w:rsidR="001E7161">
        <w:rPr>
          <w:rFonts w:eastAsia="Calibri"/>
          <w:color w:val="000000"/>
        </w:rPr>
        <w:t>in Exhibit LF-11</w:t>
      </w:r>
      <w:r w:rsidR="001E7161" w:rsidRPr="00471540">
        <w:rPr>
          <w:rFonts w:eastAsia="Calibri"/>
          <w:color w:val="000000"/>
        </w:rPr>
        <w:t>, the appropriate amount and cost rate for long-term debt with RSAM for the 2023 projected test year is $</w:t>
      </w:r>
      <w:r w:rsidR="001E7161">
        <w:rPr>
          <w:rFonts w:eastAsia="Calibri"/>
          <w:color w:val="000000"/>
        </w:rPr>
        <w:t>154,025,674</w:t>
      </w:r>
      <w:r w:rsidR="001E7161" w:rsidRPr="00471540">
        <w:rPr>
          <w:rFonts w:eastAsia="Calibri"/>
          <w:color w:val="000000"/>
        </w:rPr>
        <w:t xml:space="preserve"> (adjusted) and </w:t>
      </w:r>
      <w:r w:rsidR="001E7161">
        <w:rPr>
          <w:rFonts w:eastAsia="Calibri"/>
          <w:color w:val="000000"/>
        </w:rPr>
        <w:t>4</w:t>
      </w:r>
      <w:r w:rsidR="001E7161" w:rsidRPr="00471540">
        <w:rPr>
          <w:rFonts w:eastAsia="Calibri"/>
          <w:color w:val="000000"/>
        </w:rPr>
        <w:t>.</w:t>
      </w:r>
      <w:r w:rsidR="001E7161">
        <w:rPr>
          <w:rFonts w:eastAsia="Calibri"/>
          <w:color w:val="000000"/>
        </w:rPr>
        <w:t>28</w:t>
      </w:r>
      <w:r w:rsidR="001E7161" w:rsidRPr="00471540">
        <w:rPr>
          <w:rFonts w:eastAsia="Calibri"/>
          <w:color w:val="000000"/>
        </w:rPr>
        <w:t>%</w:t>
      </w:r>
      <w:r w:rsidR="001E7161">
        <w:rPr>
          <w:rFonts w:eastAsia="Calibri"/>
          <w:color w:val="000000"/>
        </w:rPr>
        <w:t>, respectively</w:t>
      </w:r>
      <w:r w:rsidR="001E7161" w:rsidRPr="00471540">
        <w:rPr>
          <w:rFonts w:eastAsia="Calibri"/>
          <w:color w:val="000000"/>
        </w:rPr>
        <w:t>.</w:t>
      </w:r>
      <w:r w:rsidR="001E7161">
        <w:rPr>
          <w:rFonts w:eastAsia="Calibri"/>
          <w:color w:val="000000"/>
        </w:rPr>
        <w:t xml:space="preserve"> </w:t>
      </w:r>
      <w:r w:rsidR="001E7161" w:rsidRPr="00471540">
        <w:rPr>
          <w:rFonts w:eastAsia="Calibri"/>
          <w:color w:val="000000"/>
        </w:rPr>
        <w:t xml:space="preserve"> If the Commission does not adopt the RSAM as part of FCG’s four-year rate proposal, the appropriate amount and cost rate for long-term debt without RSAM for the 2023 projected test year is $</w:t>
      </w:r>
      <w:r w:rsidR="001E7161">
        <w:rPr>
          <w:rFonts w:eastAsia="Calibri"/>
          <w:color w:val="000000"/>
        </w:rPr>
        <w:t>153,521,933</w:t>
      </w:r>
      <w:r w:rsidR="001E7161" w:rsidRPr="00471540">
        <w:rPr>
          <w:rFonts w:eastAsia="Calibri"/>
          <w:color w:val="000000"/>
        </w:rPr>
        <w:t xml:space="preserve"> (adjusted) and </w:t>
      </w:r>
      <w:r w:rsidR="001E7161">
        <w:rPr>
          <w:rFonts w:eastAsia="Calibri"/>
          <w:color w:val="000000"/>
        </w:rPr>
        <w:t>4</w:t>
      </w:r>
      <w:r w:rsidR="001E7161" w:rsidRPr="00471540">
        <w:rPr>
          <w:rFonts w:eastAsia="Calibri"/>
          <w:color w:val="000000"/>
        </w:rPr>
        <w:t>.</w:t>
      </w:r>
      <w:r w:rsidR="001E7161">
        <w:rPr>
          <w:rFonts w:eastAsia="Calibri"/>
          <w:color w:val="000000"/>
        </w:rPr>
        <w:t>28</w:t>
      </w:r>
      <w:r w:rsidR="001E7161" w:rsidRPr="00471540">
        <w:rPr>
          <w:rFonts w:eastAsia="Calibri"/>
          <w:color w:val="000000"/>
        </w:rPr>
        <w:t>%</w:t>
      </w:r>
      <w:r w:rsidR="001E7161">
        <w:rPr>
          <w:rFonts w:eastAsia="Calibri"/>
          <w:color w:val="000000"/>
        </w:rPr>
        <w:t>, respectively, as reflected in Exhibit LF-12</w:t>
      </w:r>
      <w:r w:rsidR="001E7161" w:rsidRPr="00471540">
        <w:rPr>
          <w:rFonts w:eastAsia="Calibri"/>
          <w:color w:val="000000"/>
        </w:rPr>
        <w:t>.  (</w:t>
      </w:r>
      <w:r w:rsidR="001E7161">
        <w:rPr>
          <w:rFonts w:eastAsia="Calibri"/>
          <w:color w:val="000000"/>
        </w:rPr>
        <w:t>Fuentes, Campbell</w:t>
      </w:r>
      <w:r w:rsidR="001E7161" w:rsidRPr="00471540">
        <w:rPr>
          <w:rFonts w:eastAsia="Calibri"/>
          <w:color w:val="000000"/>
        </w:rPr>
        <w:t>)</w:t>
      </w:r>
    </w:p>
    <w:p w14:paraId="35081B29" w14:textId="77777777" w:rsidR="00644687" w:rsidRPr="00070C96" w:rsidRDefault="00644687" w:rsidP="00644687">
      <w:pPr>
        <w:ind w:left="1440" w:hanging="1440"/>
        <w:jc w:val="both"/>
        <w:rPr>
          <w:bCs/>
        </w:rPr>
      </w:pPr>
    </w:p>
    <w:p w14:paraId="1306B96E" w14:textId="77777777" w:rsidR="00644687" w:rsidRPr="00070C96" w:rsidRDefault="00644687" w:rsidP="00644687">
      <w:pPr>
        <w:ind w:left="1440" w:hanging="1440"/>
        <w:jc w:val="both"/>
        <w:rPr>
          <w:bCs/>
        </w:rPr>
      </w:pPr>
      <w:r>
        <w:rPr>
          <w:b/>
          <w:bCs/>
        </w:rPr>
        <w:t>OPC:</w:t>
      </w:r>
      <w:r>
        <w:rPr>
          <w:b/>
          <w:bCs/>
        </w:rPr>
        <w:tab/>
      </w:r>
      <w:r w:rsidR="00441235">
        <w:t>The appropriate</w:t>
      </w:r>
      <w:r w:rsidR="00441235" w:rsidRPr="009E3B59">
        <w:rPr>
          <w:bCs/>
        </w:rPr>
        <w:t xml:space="preserve"> </w:t>
      </w:r>
      <w:r w:rsidR="00441235">
        <w:rPr>
          <w:bCs/>
        </w:rPr>
        <w:t>amount of long term debt is $194,277,560 and the cost rate is 4.28%. (Garrett)</w:t>
      </w:r>
    </w:p>
    <w:p w14:paraId="04047A05" w14:textId="77777777" w:rsidR="00644687" w:rsidRPr="00070C96" w:rsidRDefault="00644687" w:rsidP="00644687">
      <w:pPr>
        <w:ind w:left="1440" w:hanging="1440"/>
        <w:jc w:val="both"/>
        <w:rPr>
          <w:bCs/>
        </w:rPr>
      </w:pPr>
    </w:p>
    <w:p w14:paraId="3AC9C91D" w14:textId="77777777" w:rsidR="00644687" w:rsidRPr="00070C96" w:rsidRDefault="00644687" w:rsidP="00644687">
      <w:pPr>
        <w:ind w:left="1440" w:hanging="1440"/>
        <w:jc w:val="both"/>
        <w:rPr>
          <w:bCs/>
        </w:rPr>
      </w:pPr>
      <w:r>
        <w:rPr>
          <w:b/>
          <w:bCs/>
        </w:rPr>
        <w:t>FEA:</w:t>
      </w:r>
      <w:r>
        <w:rPr>
          <w:b/>
          <w:bCs/>
        </w:rPr>
        <w:tab/>
      </w:r>
      <w:r w:rsidR="009D1863">
        <w:t>No position.</w:t>
      </w:r>
    </w:p>
    <w:p w14:paraId="6A353952" w14:textId="77777777" w:rsidR="00644687" w:rsidRPr="00070C96" w:rsidRDefault="00644687" w:rsidP="00644687">
      <w:pPr>
        <w:ind w:left="1440" w:hanging="1440"/>
        <w:jc w:val="both"/>
        <w:rPr>
          <w:bCs/>
        </w:rPr>
      </w:pPr>
    </w:p>
    <w:p w14:paraId="16E4EC30"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745A867" w14:textId="77777777" w:rsidR="00644687" w:rsidRPr="00070C96" w:rsidRDefault="00644687" w:rsidP="00644687">
      <w:pPr>
        <w:ind w:left="1440" w:hanging="1440"/>
        <w:jc w:val="both"/>
        <w:rPr>
          <w:bCs/>
        </w:rPr>
      </w:pPr>
    </w:p>
    <w:p w14:paraId="765A75BE"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76403AC" w14:textId="77777777" w:rsidR="00B87153" w:rsidRDefault="00B87153" w:rsidP="00D73B1E">
      <w:pPr>
        <w:pStyle w:val="ListParagraph"/>
        <w:spacing w:after="0"/>
        <w:ind w:left="0"/>
        <w:jc w:val="both"/>
        <w:rPr>
          <w:rFonts w:ascii="Times New Roman" w:hAnsi="Times New Roman" w:cs="Times New Roman"/>
          <w:color w:val="000000"/>
          <w:sz w:val="24"/>
          <w:szCs w:val="24"/>
        </w:rPr>
      </w:pPr>
    </w:p>
    <w:p w14:paraId="22ED8486" w14:textId="77777777" w:rsidR="00B87153" w:rsidRPr="00D328A5" w:rsidRDefault="00B87153" w:rsidP="00D73B1E">
      <w:pPr>
        <w:pStyle w:val="ListParagraph"/>
        <w:spacing w:after="0"/>
        <w:ind w:left="0"/>
        <w:jc w:val="both"/>
        <w:rPr>
          <w:rFonts w:ascii="Times New Roman" w:hAnsi="Times New Roman" w:cs="Times New Roman"/>
          <w:color w:val="000000"/>
          <w:sz w:val="24"/>
          <w:szCs w:val="24"/>
        </w:rPr>
      </w:pPr>
    </w:p>
    <w:p w14:paraId="0D01D483" w14:textId="77777777" w:rsidR="00D328A5" w:rsidRPr="00441235" w:rsidRDefault="00D328A5" w:rsidP="00D73B1E">
      <w:pPr>
        <w:pStyle w:val="Default"/>
        <w:numPr>
          <w:ilvl w:val="0"/>
          <w:numId w:val="2"/>
        </w:numPr>
        <w:ind w:left="1440" w:hanging="1440"/>
        <w:jc w:val="both"/>
        <w:rPr>
          <w:b/>
        </w:rPr>
      </w:pPr>
      <w:r w:rsidRPr="00441235">
        <w:rPr>
          <w:b/>
        </w:rPr>
        <w:t>What is the appropriate amount and cost rate for customer deposits to include in the capital structure?</w:t>
      </w:r>
    </w:p>
    <w:p w14:paraId="1A42522D" w14:textId="77777777" w:rsidR="00D328A5" w:rsidRDefault="00D328A5" w:rsidP="00D73B1E">
      <w:pPr>
        <w:pStyle w:val="Default"/>
        <w:jc w:val="both"/>
      </w:pPr>
    </w:p>
    <w:p w14:paraId="7D573EBE"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As reflected </w:t>
      </w:r>
      <w:r w:rsidR="001E7161">
        <w:rPr>
          <w:rFonts w:eastAsia="Calibri"/>
          <w:color w:val="000000"/>
        </w:rPr>
        <w:t>in Exhibit LF-11</w:t>
      </w:r>
      <w:r w:rsidR="001E7161" w:rsidRPr="00471540">
        <w:rPr>
          <w:rFonts w:eastAsia="Calibri"/>
          <w:color w:val="000000"/>
        </w:rPr>
        <w:t>, the appropriate amount and cost rate for customer deposits with RSAM for the 2023 test year is $</w:t>
      </w:r>
      <w:r w:rsidR="001E7161">
        <w:rPr>
          <w:rFonts w:eastAsia="Calibri"/>
          <w:color w:val="000000"/>
        </w:rPr>
        <w:t>3,799,283</w:t>
      </w:r>
      <w:r w:rsidR="001E7161" w:rsidRPr="00471540">
        <w:rPr>
          <w:rFonts w:eastAsia="Calibri"/>
          <w:color w:val="000000"/>
        </w:rPr>
        <w:t xml:space="preserve"> (adjusted) and </w:t>
      </w:r>
      <w:r w:rsidR="001E7161">
        <w:rPr>
          <w:rFonts w:eastAsia="Calibri"/>
          <w:color w:val="000000"/>
        </w:rPr>
        <w:t>2</w:t>
      </w:r>
      <w:r w:rsidR="001E7161" w:rsidRPr="00471540">
        <w:rPr>
          <w:rFonts w:eastAsia="Calibri"/>
          <w:color w:val="000000"/>
        </w:rPr>
        <w:t>.</w:t>
      </w:r>
      <w:r w:rsidR="001E7161">
        <w:rPr>
          <w:rFonts w:eastAsia="Calibri"/>
          <w:color w:val="000000"/>
        </w:rPr>
        <w:t>64</w:t>
      </w:r>
      <w:r w:rsidR="001E7161" w:rsidRPr="00471540">
        <w:rPr>
          <w:rFonts w:eastAsia="Calibri"/>
          <w:color w:val="000000"/>
        </w:rPr>
        <w:t>%</w:t>
      </w:r>
      <w:r w:rsidR="001E7161">
        <w:rPr>
          <w:rFonts w:eastAsia="Calibri"/>
          <w:color w:val="000000"/>
        </w:rPr>
        <w:t>, respectively</w:t>
      </w:r>
      <w:r w:rsidR="001E7161" w:rsidRPr="00471540">
        <w:rPr>
          <w:rFonts w:eastAsia="Calibri"/>
          <w:color w:val="000000"/>
        </w:rPr>
        <w:t>.  If the Commission does not adopt the RSAM as part of FCG’s four-year rate proposal, the appropriate amount and cost rate for customer deposits without RSAM for the 2023 test year is $</w:t>
      </w:r>
      <w:r w:rsidR="001E7161">
        <w:rPr>
          <w:rFonts w:eastAsia="Calibri"/>
          <w:color w:val="000000"/>
        </w:rPr>
        <w:t>3,786,845</w:t>
      </w:r>
      <w:r w:rsidR="001E7161" w:rsidRPr="00471540">
        <w:rPr>
          <w:rFonts w:eastAsia="Calibri"/>
          <w:color w:val="000000"/>
        </w:rPr>
        <w:t xml:space="preserve"> (adjusted) and </w:t>
      </w:r>
      <w:r w:rsidR="001E7161">
        <w:rPr>
          <w:rFonts w:eastAsia="Calibri"/>
          <w:color w:val="000000"/>
        </w:rPr>
        <w:t>2</w:t>
      </w:r>
      <w:r w:rsidR="001E7161" w:rsidRPr="00471540">
        <w:rPr>
          <w:rFonts w:eastAsia="Calibri"/>
          <w:color w:val="000000"/>
        </w:rPr>
        <w:t>.</w:t>
      </w:r>
      <w:r w:rsidR="001E7161">
        <w:rPr>
          <w:rFonts w:eastAsia="Calibri"/>
          <w:color w:val="000000"/>
        </w:rPr>
        <w:t>64</w:t>
      </w:r>
      <w:r w:rsidR="001E7161" w:rsidRPr="00471540">
        <w:rPr>
          <w:rFonts w:eastAsia="Calibri"/>
          <w:color w:val="000000"/>
        </w:rPr>
        <w:t>%</w:t>
      </w:r>
      <w:r w:rsidR="001E7161">
        <w:rPr>
          <w:rFonts w:eastAsia="Calibri"/>
          <w:color w:val="000000"/>
        </w:rPr>
        <w:t>, respectively, as reflected in Exhibit LF-12</w:t>
      </w:r>
      <w:r w:rsidR="001E7161" w:rsidRPr="00471540">
        <w:rPr>
          <w:rFonts w:eastAsia="Calibri"/>
          <w:color w:val="000000"/>
        </w:rPr>
        <w:t xml:space="preserve">. </w:t>
      </w:r>
      <w:r w:rsidR="001E7161">
        <w:rPr>
          <w:rFonts w:eastAsia="Calibri"/>
          <w:color w:val="000000"/>
        </w:rPr>
        <w:t xml:space="preserve"> </w:t>
      </w:r>
      <w:r w:rsidR="001E7161" w:rsidRPr="00471540">
        <w:rPr>
          <w:rFonts w:eastAsia="Calibri"/>
          <w:color w:val="000000"/>
        </w:rPr>
        <w:t>(</w:t>
      </w:r>
      <w:r w:rsidR="001E7161">
        <w:rPr>
          <w:rFonts w:eastAsia="Calibri"/>
          <w:color w:val="000000"/>
        </w:rPr>
        <w:t>Fuentes, Campbell</w:t>
      </w:r>
      <w:r w:rsidR="001E7161" w:rsidRPr="00471540">
        <w:rPr>
          <w:rFonts w:eastAsia="Calibri"/>
          <w:color w:val="000000"/>
        </w:rPr>
        <w:t>)</w:t>
      </w:r>
    </w:p>
    <w:p w14:paraId="170EFA49" w14:textId="77777777" w:rsidR="00644687" w:rsidRPr="00070C96" w:rsidRDefault="00644687" w:rsidP="00644687">
      <w:pPr>
        <w:ind w:left="1440" w:hanging="1440"/>
        <w:jc w:val="both"/>
        <w:rPr>
          <w:bCs/>
        </w:rPr>
      </w:pPr>
    </w:p>
    <w:p w14:paraId="34A46E5B" w14:textId="77777777" w:rsidR="00644687" w:rsidRPr="00070C96" w:rsidRDefault="00644687" w:rsidP="00644687">
      <w:pPr>
        <w:ind w:left="1440" w:hanging="1440"/>
        <w:jc w:val="both"/>
        <w:rPr>
          <w:bCs/>
        </w:rPr>
      </w:pPr>
      <w:r>
        <w:rPr>
          <w:b/>
          <w:bCs/>
        </w:rPr>
        <w:t>OPC:</w:t>
      </w:r>
      <w:r>
        <w:rPr>
          <w:b/>
          <w:bCs/>
        </w:rPr>
        <w:tab/>
      </w:r>
      <w:r w:rsidR="00441235">
        <w:t>The appropriate</w:t>
      </w:r>
      <w:r w:rsidR="00441235" w:rsidRPr="009E3B59">
        <w:rPr>
          <w:bCs/>
        </w:rPr>
        <w:t xml:space="preserve"> </w:t>
      </w:r>
      <w:r w:rsidR="00441235">
        <w:rPr>
          <w:bCs/>
        </w:rPr>
        <w:t>amount of customer deposits is $ $3,535,924 and the cost rate is 2.64%. (Garrett)</w:t>
      </w:r>
    </w:p>
    <w:p w14:paraId="232A5680" w14:textId="77777777" w:rsidR="00644687" w:rsidRPr="00070C96" w:rsidRDefault="00644687" w:rsidP="00644687">
      <w:pPr>
        <w:ind w:left="1440" w:hanging="1440"/>
        <w:jc w:val="both"/>
        <w:rPr>
          <w:bCs/>
        </w:rPr>
      </w:pPr>
    </w:p>
    <w:p w14:paraId="2A45443E" w14:textId="77777777" w:rsidR="00644687" w:rsidRPr="00070C96" w:rsidRDefault="00644687" w:rsidP="00644687">
      <w:pPr>
        <w:ind w:left="1440" w:hanging="1440"/>
        <w:jc w:val="both"/>
        <w:rPr>
          <w:bCs/>
        </w:rPr>
      </w:pPr>
      <w:r>
        <w:rPr>
          <w:b/>
          <w:bCs/>
        </w:rPr>
        <w:t>FEA:</w:t>
      </w:r>
      <w:r>
        <w:rPr>
          <w:b/>
          <w:bCs/>
        </w:rPr>
        <w:tab/>
      </w:r>
      <w:r w:rsidR="009D1863">
        <w:t>No position.</w:t>
      </w:r>
    </w:p>
    <w:p w14:paraId="3E57CCE6" w14:textId="77777777" w:rsidR="00644687" w:rsidRPr="00070C96" w:rsidRDefault="00644687" w:rsidP="00644687">
      <w:pPr>
        <w:ind w:left="1440" w:hanging="1440"/>
        <w:jc w:val="both"/>
        <w:rPr>
          <w:bCs/>
        </w:rPr>
      </w:pPr>
    </w:p>
    <w:p w14:paraId="495C6D3E"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79D7CD9E" w14:textId="77777777" w:rsidR="00644687" w:rsidRPr="00070C96" w:rsidRDefault="00644687" w:rsidP="00644687">
      <w:pPr>
        <w:ind w:left="1440" w:hanging="1440"/>
        <w:jc w:val="both"/>
        <w:rPr>
          <w:bCs/>
        </w:rPr>
      </w:pPr>
    </w:p>
    <w:p w14:paraId="7EAE7249" w14:textId="7688052D" w:rsidR="00D328A5" w:rsidRDefault="00644687" w:rsidP="00DD5843">
      <w:pPr>
        <w:pStyle w:val="Default"/>
        <w:ind w:left="1440" w:hanging="1440"/>
        <w:jc w:val="both"/>
      </w:pPr>
      <w:r w:rsidRPr="005D4B47">
        <w:rPr>
          <w:b/>
          <w:bCs/>
        </w:rPr>
        <w:t>STAFF</w:t>
      </w:r>
      <w:r w:rsidRPr="00701945">
        <w:rPr>
          <w:b/>
          <w:bCs/>
        </w:rPr>
        <w:t>:</w:t>
      </w:r>
      <w:r>
        <w:rPr>
          <w:b/>
          <w:bCs/>
        </w:rPr>
        <w:tab/>
      </w:r>
      <w:r w:rsidR="00F53BE5">
        <w:t>No position.</w:t>
      </w:r>
    </w:p>
    <w:p w14:paraId="5B3B7613" w14:textId="7E65A918" w:rsidR="00A63ABC" w:rsidRDefault="00A63ABC" w:rsidP="00DD5843">
      <w:pPr>
        <w:pStyle w:val="Default"/>
        <w:ind w:left="1440" w:hanging="1440"/>
        <w:jc w:val="both"/>
      </w:pPr>
    </w:p>
    <w:p w14:paraId="1D14E918" w14:textId="77777777" w:rsidR="00A63ABC" w:rsidRDefault="00A63ABC" w:rsidP="00DD5843">
      <w:pPr>
        <w:pStyle w:val="Default"/>
        <w:ind w:left="1440" w:hanging="1440"/>
        <w:jc w:val="both"/>
      </w:pPr>
    </w:p>
    <w:p w14:paraId="05634B97" w14:textId="77777777" w:rsidR="00D328A5" w:rsidRPr="006D50A4" w:rsidRDefault="00D328A5" w:rsidP="00D73B1E">
      <w:pPr>
        <w:pStyle w:val="Default"/>
        <w:numPr>
          <w:ilvl w:val="0"/>
          <w:numId w:val="2"/>
        </w:numPr>
        <w:ind w:left="1440" w:hanging="1440"/>
        <w:jc w:val="both"/>
        <w:rPr>
          <w:b/>
        </w:rPr>
      </w:pPr>
      <w:r w:rsidRPr="006D50A4">
        <w:rPr>
          <w:b/>
        </w:rPr>
        <w:t>What is the appropriate equity ratio to use in the capital structure for ratemaking purposes?</w:t>
      </w:r>
    </w:p>
    <w:p w14:paraId="4D579714" w14:textId="77777777" w:rsidR="00D328A5" w:rsidRDefault="00D328A5" w:rsidP="00D73B1E">
      <w:pPr>
        <w:pStyle w:val="Default"/>
        <w:jc w:val="both"/>
      </w:pPr>
    </w:p>
    <w:p w14:paraId="344BAF16"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FCG’s equity ratio should be 59.6</w:t>
      </w:r>
      <w:r w:rsidR="001E7161">
        <w:rPr>
          <w:rFonts w:eastAsia="Calibri"/>
          <w:color w:val="000000"/>
        </w:rPr>
        <w:t>%</w:t>
      </w:r>
      <w:r w:rsidR="001E7161" w:rsidRPr="00471540">
        <w:rPr>
          <w:rFonts w:eastAsia="Calibri"/>
          <w:color w:val="000000"/>
        </w:rPr>
        <w:t xml:space="preserve"> based on investor sources.  </w:t>
      </w:r>
      <w:r w:rsidR="001E7161">
        <w:rPr>
          <w:rFonts w:eastAsia="Calibri"/>
          <w:color w:val="000000"/>
        </w:rPr>
        <w:t>This is appropriate due to the fact that FCG does not</w:t>
      </w:r>
      <w:r w:rsidR="001E7161" w:rsidRPr="00471540">
        <w:rPr>
          <w:rFonts w:eastAsia="Calibri"/>
          <w:color w:val="000000"/>
        </w:rPr>
        <w:t xml:space="preserve"> </w:t>
      </w:r>
      <w:r w:rsidR="001E7161" w:rsidRPr="00CB24CE">
        <w:rPr>
          <w:rFonts w:eastAsia="Calibri"/>
          <w:color w:val="000000"/>
        </w:rPr>
        <w:t>issue its own debt or equity and obtains all short- and long-term financing</w:t>
      </w:r>
      <w:r w:rsidR="001E7161">
        <w:rPr>
          <w:rFonts w:eastAsia="Calibri"/>
          <w:color w:val="000000"/>
        </w:rPr>
        <w:t xml:space="preserve"> </w:t>
      </w:r>
      <w:r w:rsidR="001E7161" w:rsidRPr="00CB24CE">
        <w:rPr>
          <w:rFonts w:eastAsia="Calibri"/>
          <w:color w:val="000000"/>
        </w:rPr>
        <w:t>through its parent, FPL</w:t>
      </w:r>
      <w:r w:rsidR="001E7161">
        <w:rPr>
          <w:rFonts w:eastAsia="Calibri"/>
          <w:color w:val="000000"/>
        </w:rPr>
        <w:t xml:space="preserve"> pursuant to Commission-approved Financing Applications.</w:t>
      </w:r>
      <w:r w:rsidR="001E7161" w:rsidRPr="00CB24CE">
        <w:rPr>
          <w:rFonts w:eastAsia="Calibri"/>
          <w:color w:val="000000"/>
        </w:rPr>
        <w:t xml:space="preserve"> </w:t>
      </w:r>
      <w:r w:rsidR="001E7161">
        <w:rPr>
          <w:rFonts w:eastAsia="Calibri"/>
          <w:color w:val="000000"/>
        </w:rPr>
        <w:t xml:space="preserve"> </w:t>
      </w:r>
      <w:r w:rsidR="001E7161" w:rsidRPr="00471540">
        <w:rPr>
          <w:rFonts w:eastAsia="Calibri"/>
          <w:color w:val="000000"/>
        </w:rPr>
        <w:t>(</w:t>
      </w:r>
      <w:r w:rsidR="001E7161">
        <w:rPr>
          <w:rFonts w:eastAsia="Calibri"/>
          <w:color w:val="000000"/>
        </w:rPr>
        <w:t xml:space="preserve">Campbell, </w:t>
      </w:r>
      <w:r w:rsidR="001E7161" w:rsidRPr="00471540">
        <w:rPr>
          <w:rFonts w:eastAsia="Calibri"/>
          <w:color w:val="000000"/>
        </w:rPr>
        <w:t>Nelson)</w:t>
      </w:r>
    </w:p>
    <w:p w14:paraId="5688AA25" w14:textId="77777777" w:rsidR="00644687" w:rsidRPr="00070C96" w:rsidRDefault="00644687" w:rsidP="00644687">
      <w:pPr>
        <w:ind w:left="1440" w:hanging="1440"/>
        <w:jc w:val="both"/>
        <w:rPr>
          <w:bCs/>
        </w:rPr>
      </w:pPr>
    </w:p>
    <w:p w14:paraId="53F42E66" w14:textId="77777777" w:rsidR="00644687" w:rsidRPr="00070C96" w:rsidRDefault="00644687" w:rsidP="00644687">
      <w:pPr>
        <w:ind w:left="1440" w:hanging="1440"/>
        <w:jc w:val="both"/>
        <w:rPr>
          <w:bCs/>
        </w:rPr>
      </w:pPr>
      <w:r>
        <w:rPr>
          <w:b/>
          <w:bCs/>
        </w:rPr>
        <w:t>OPC:</w:t>
      </w:r>
      <w:r>
        <w:rPr>
          <w:b/>
          <w:bCs/>
        </w:rPr>
        <w:tab/>
      </w:r>
      <w:r w:rsidR="006D50A4" w:rsidRPr="00CD78BE">
        <w:t xml:space="preserve">The Commission should authorize an equity ratio of no more than 46.9%. </w:t>
      </w:r>
      <w:r w:rsidR="006D50A4" w:rsidRPr="00CD78BE">
        <w:rPr>
          <w:bCs/>
        </w:rPr>
        <w:t>(Garrett)</w:t>
      </w:r>
    </w:p>
    <w:p w14:paraId="59A4DA8A" w14:textId="77777777" w:rsidR="00644687" w:rsidRPr="00070C96" w:rsidRDefault="00644687" w:rsidP="00644687">
      <w:pPr>
        <w:ind w:left="1440" w:hanging="1440"/>
        <w:jc w:val="both"/>
        <w:rPr>
          <w:bCs/>
        </w:rPr>
      </w:pPr>
    </w:p>
    <w:p w14:paraId="2460D805" w14:textId="77777777" w:rsidR="00644687" w:rsidRPr="00070C96" w:rsidRDefault="00644687" w:rsidP="00644687">
      <w:pPr>
        <w:ind w:left="1440" w:hanging="1440"/>
        <w:jc w:val="both"/>
        <w:rPr>
          <w:bCs/>
        </w:rPr>
      </w:pPr>
      <w:r>
        <w:rPr>
          <w:b/>
          <w:bCs/>
        </w:rPr>
        <w:t>FEA:</w:t>
      </w:r>
      <w:r>
        <w:rPr>
          <w:b/>
          <w:bCs/>
        </w:rPr>
        <w:tab/>
      </w:r>
      <w:r w:rsidR="002D7403" w:rsidRPr="00102C52">
        <w:t>Christopher Walters will testify that a common equity of no higher than 50% is</w:t>
      </w:r>
      <w:r w:rsidR="002D7403">
        <w:t xml:space="preserve">  </w:t>
      </w:r>
      <w:r w:rsidR="002D7403" w:rsidRPr="00102C52">
        <w:t>fair, reasonable, and more consistent with the capital structures of the proxy</w:t>
      </w:r>
      <w:r w:rsidR="002D7403">
        <w:t xml:space="preserve"> </w:t>
      </w:r>
      <w:r w:rsidR="002D7403" w:rsidRPr="00102C52">
        <w:t>group used to estimate FCG’s cost of equity.</w:t>
      </w:r>
    </w:p>
    <w:p w14:paraId="324C0345" w14:textId="77777777" w:rsidR="00644687" w:rsidRPr="00070C96" w:rsidRDefault="00644687" w:rsidP="00644687">
      <w:pPr>
        <w:ind w:left="1440" w:hanging="1440"/>
        <w:jc w:val="both"/>
        <w:rPr>
          <w:bCs/>
        </w:rPr>
      </w:pPr>
    </w:p>
    <w:p w14:paraId="29264489"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3C2006C6" w14:textId="77777777" w:rsidR="00644687" w:rsidRPr="00070C96" w:rsidRDefault="00644687" w:rsidP="00644687">
      <w:pPr>
        <w:ind w:left="1440" w:hanging="1440"/>
        <w:jc w:val="both"/>
        <w:rPr>
          <w:bCs/>
        </w:rPr>
      </w:pPr>
    </w:p>
    <w:p w14:paraId="33B0ACF4"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BE7CA02" w14:textId="77777777" w:rsidR="00644687" w:rsidRDefault="00644687" w:rsidP="00644687">
      <w:pPr>
        <w:pStyle w:val="Default"/>
        <w:ind w:left="1440" w:hanging="1440"/>
        <w:jc w:val="both"/>
      </w:pPr>
    </w:p>
    <w:p w14:paraId="263D7F80" w14:textId="77777777" w:rsidR="00D328A5" w:rsidRPr="008C76AE" w:rsidRDefault="00D328A5" w:rsidP="00D73B1E">
      <w:pPr>
        <w:pStyle w:val="Default"/>
        <w:jc w:val="both"/>
      </w:pPr>
    </w:p>
    <w:p w14:paraId="20512400" w14:textId="77777777" w:rsidR="00D328A5" w:rsidRPr="006D50A4" w:rsidRDefault="00D328A5" w:rsidP="00D73B1E">
      <w:pPr>
        <w:pStyle w:val="Default"/>
        <w:numPr>
          <w:ilvl w:val="0"/>
          <w:numId w:val="2"/>
        </w:numPr>
        <w:ind w:left="1440" w:hanging="1440"/>
        <w:jc w:val="both"/>
        <w:rPr>
          <w:b/>
          <w:bCs/>
        </w:rPr>
      </w:pPr>
      <w:r w:rsidRPr="006D50A4">
        <w:rPr>
          <w:b/>
          <w:bCs/>
        </w:rPr>
        <w:t>What is the appropriate authorized return on equity (ROE) to use in establishing FCG’s projected test year revenue requirement?</w:t>
      </w:r>
    </w:p>
    <w:p w14:paraId="63DEC6F3" w14:textId="77777777" w:rsidR="00D328A5" w:rsidRDefault="00D328A5" w:rsidP="00D73B1E">
      <w:pPr>
        <w:pStyle w:val="Default"/>
        <w:ind w:left="1440" w:hanging="1440"/>
        <w:jc w:val="both"/>
      </w:pPr>
    </w:p>
    <w:p w14:paraId="748345E5"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 xml:space="preserve">The Commission should authorize 10.75% as the return on common equity.  Granting FCG’s requested return on equity will appropriately take into account FCG’s unique risk profile and the Company’s commitment to a strong financial position. </w:t>
      </w:r>
      <w:r w:rsidR="001E7161">
        <w:rPr>
          <w:rFonts w:eastAsia="Calibri"/>
          <w:color w:val="000000"/>
        </w:rPr>
        <w:t xml:space="preserve"> </w:t>
      </w:r>
      <w:r w:rsidR="001E7161" w:rsidRPr="00471540">
        <w:rPr>
          <w:rFonts w:eastAsia="Calibri"/>
          <w:color w:val="000000"/>
        </w:rPr>
        <w:t xml:space="preserve">The requested rate also addresses the risk of the Company’s proposed multi-year stay-out. </w:t>
      </w:r>
      <w:r w:rsidR="001E7161">
        <w:rPr>
          <w:rFonts w:eastAsia="Calibri"/>
          <w:color w:val="000000"/>
        </w:rPr>
        <w:t xml:space="preserve"> </w:t>
      </w:r>
      <w:r w:rsidR="001E7161" w:rsidRPr="00471540">
        <w:rPr>
          <w:rFonts w:eastAsia="Calibri"/>
          <w:color w:val="000000"/>
        </w:rPr>
        <w:t xml:space="preserve">Granting FCG’s requested return on common equity is critical to maintaining FCG’s financial strength and flexibility and will help FCG attract capital necessary to serve its customers on reasonable terms.  (Nelson, </w:t>
      </w:r>
      <w:r w:rsidR="001E7161">
        <w:rPr>
          <w:rFonts w:eastAsia="Calibri"/>
          <w:color w:val="000000"/>
        </w:rPr>
        <w:t>Campbell</w:t>
      </w:r>
      <w:r w:rsidR="001E7161" w:rsidRPr="00471540">
        <w:rPr>
          <w:rFonts w:eastAsia="Calibri"/>
          <w:color w:val="000000"/>
        </w:rPr>
        <w:t>)</w:t>
      </w:r>
    </w:p>
    <w:p w14:paraId="6B1D586D" w14:textId="77777777" w:rsidR="00644687" w:rsidRPr="00070C96" w:rsidRDefault="00644687" w:rsidP="00644687">
      <w:pPr>
        <w:ind w:left="1440" w:hanging="1440"/>
        <w:jc w:val="both"/>
        <w:rPr>
          <w:bCs/>
        </w:rPr>
      </w:pPr>
    </w:p>
    <w:p w14:paraId="5FD63FB6" w14:textId="77777777" w:rsidR="00644687" w:rsidRPr="00070C96" w:rsidRDefault="00644687" w:rsidP="00644687">
      <w:pPr>
        <w:ind w:left="1440" w:hanging="1440"/>
        <w:jc w:val="both"/>
        <w:rPr>
          <w:bCs/>
        </w:rPr>
      </w:pPr>
      <w:r>
        <w:rPr>
          <w:b/>
          <w:bCs/>
        </w:rPr>
        <w:t>OPC:</w:t>
      </w:r>
      <w:r>
        <w:rPr>
          <w:b/>
          <w:bCs/>
        </w:rPr>
        <w:tab/>
      </w:r>
      <w:r w:rsidR="006D50A4">
        <w:t>OPC Witness Garrett’s testimony and exhibits address the appropriate</w:t>
      </w:r>
      <w:r w:rsidR="006D50A4" w:rsidRPr="009E3B59">
        <w:rPr>
          <w:bCs/>
        </w:rPr>
        <w:t xml:space="preserve"> </w:t>
      </w:r>
      <w:r w:rsidR="006D50A4">
        <w:rPr>
          <w:bCs/>
        </w:rPr>
        <w:t>authorized ROE of 9.25%</w:t>
      </w:r>
      <w:r w:rsidR="006D50A4" w:rsidRPr="00C46D32">
        <w:rPr>
          <w:bCs/>
        </w:rPr>
        <w:t xml:space="preserve"> to include</w:t>
      </w:r>
      <w:r w:rsidR="006D50A4">
        <w:rPr>
          <w:bCs/>
        </w:rPr>
        <w:t xml:space="preserve"> </w:t>
      </w:r>
      <w:r w:rsidR="006D50A4" w:rsidRPr="00C46D32">
        <w:rPr>
          <w:bCs/>
        </w:rPr>
        <w:t>in the projected test year capital structure</w:t>
      </w:r>
      <w:r w:rsidR="006D50A4">
        <w:rPr>
          <w:bCs/>
        </w:rPr>
        <w:t xml:space="preserve"> shown on Exhibit HWS-2, Schedule D, page 1 of 2. (Garrett)</w:t>
      </w:r>
    </w:p>
    <w:p w14:paraId="39571B89" w14:textId="77777777" w:rsidR="00644687" w:rsidRPr="00070C96" w:rsidRDefault="00644687" w:rsidP="00644687">
      <w:pPr>
        <w:ind w:left="1440" w:hanging="1440"/>
        <w:jc w:val="both"/>
        <w:rPr>
          <w:bCs/>
        </w:rPr>
      </w:pPr>
    </w:p>
    <w:p w14:paraId="5DC81841" w14:textId="77777777" w:rsidR="00644687" w:rsidRPr="00070C96" w:rsidRDefault="00644687" w:rsidP="00644687">
      <w:pPr>
        <w:ind w:left="1440" w:hanging="1440"/>
        <w:jc w:val="both"/>
        <w:rPr>
          <w:bCs/>
        </w:rPr>
      </w:pPr>
      <w:r>
        <w:rPr>
          <w:b/>
          <w:bCs/>
        </w:rPr>
        <w:t>FEA:</w:t>
      </w:r>
      <w:r>
        <w:rPr>
          <w:b/>
          <w:bCs/>
        </w:rPr>
        <w:tab/>
      </w:r>
      <w:r w:rsidR="002D7403" w:rsidRPr="00102C52">
        <w:t>Christopher Walters will testify that the appropriate return on common equity</w:t>
      </w:r>
      <w:r w:rsidR="002D7403">
        <w:t xml:space="preserve"> t</w:t>
      </w:r>
      <w:r w:rsidR="002D7403" w:rsidRPr="00102C52">
        <w:t>o</w:t>
      </w:r>
      <w:r w:rsidR="002D7403">
        <w:t xml:space="preserve"> </w:t>
      </w:r>
      <w:r w:rsidR="002D7403" w:rsidRPr="00102C52">
        <w:t>use in establishing FCG’s test year revenue requirement is in the range of 9.00% to 9.80% with a midpoint of 9.40%.</w:t>
      </w:r>
    </w:p>
    <w:p w14:paraId="60576C5F" w14:textId="77777777" w:rsidR="00644687" w:rsidRPr="00070C96" w:rsidRDefault="00644687" w:rsidP="00644687">
      <w:pPr>
        <w:ind w:left="1440" w:hanging="1440"/>
        <w:jc w:val="both"/>
        <w:rPr>
          <w:bCs/>
        </w:rPr>
      </w:pPr>
    </w:p>
    <w:p w14:paraId="14E574E5"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41C23CC0" w14:textId="77777777" w:rsidR="00644687" w:rsidRPr="00070C96" w:rsidRDefault="00644687" w:rsidP="00644687">
      <w:pPr>
        <w:ind w:left="1440" w:hanging="1440"/>
        <w:jc w:val="both"/>
        <w:rPr>
          <w:bCs/>
        </w:rPr>
      </w:pPr>
    </w:p>
    <w:p w14:paraId="53A15722"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4B929548" w14:textId="73EEE624" w:rsidR="00D328A5" w:rsidRDefault="00D328A5" w:rsidP="00D73B1E">
      <w:pPr>
        <w:pStyle w:val="Default"/>
        <w:ind w:left="1440" w:hanging="1440"/>
        <w:jc w:val="both"/>
      </w:pPr>
    </w:p>
    <w:p w14:paraId="2EFFFBE6" w14:textId="77777777" w:rsidR="00112E7F" w:rsidRPr="008C76AE" w:rsidRDefault="00112E7F" w:rsidP="00D73B1E">
      <w:pPr>
        <w:pStyle w:val="Default"/>
        <w:ind w:left="1440" w:hanging="1440"/>
        <w:jc w:val="both"/>
      </w:pPr>
    </w:p>
    <w:p w14:paraId="5175C632" w14:textId="77777777" w:rsidR="00D328A5" w:rsidRPr="006D50A4" w:rsidRDefault="00D328A5" w:rsidP="00D73B1E">
      <w:pPr>
        <w:pStyle w:val="Default"/>
        <w:numPr>
          <w:ilvl w:val="0"/>
          <w:numId w:val="2"/>
        </w:numPr>
        <w:ind w:left="1440" w:hanging="1440"/>
        <w:jc w:val="both"/>
        <w:rPr>
          <w:b/>
        </w:rPr>
      </w:pPr>
      <w:r w:rsidRPr="006D50A4">
        <w:rPr>
          <w:b/>
          <w:bCs/>
        </w:rPr>
        <w:t xml:space="preserve">Has FCG made the appropriate adjustments to remove all non-utility investments from the common equity balance? </w:t>
      </w:r>
    </w:p>
    <w:p w14:paraId="2E413A3E" w14:textId="77777777" w:rsidR="00D328A5" w:rsidRDefault="00D328A5" w:rsidP="00D73B1E">
      <w:pPr>
        <w:pStyle w:val="Default"/>
        <w:ind w:left="1440" w:hanging="1440"/>
        <w:jc w:val="both"/>
      </w:pPr>
    </w:p>
    <w:p w14:paraId="17641A58" w14:textId="77777777" w:rsidR="00644687" w:rsidRPr="00070C96" w:rsidRDefault="00644687" w:rsidP="00644687">
      <w:pPr>
        <w:ind w:left="1440" w:hanging="1440"/>
        <w:jc w:val="both"/>
        <w:rPr>
          <w:bCs/>
        </w:rPr>
      </w:pPr>
      <w:r>
        <w:rPr>
          <w:b/>
          <w:bCs/>
        </w:rPr>
        <w:t>FCG:</w:t>
      </w:r>
      <w:r>
        <w:rPr>
          <w:b/>
          <w:bCs/>
        </w:rPr>
        <w:tab/>
      </w:r>
      <w:r w:rsidR="001E7161">
        <w:t>FCG does not have any non-utility investments and therefore, adjustments were not required</w:t>
      </w:r>
      <w:r w:rsidR="001E7161" w:rsidRPr="353D23FA">
        <w:rPr>
          <w:rFonts w:eastAsia="Calibri"/>
          <w:color w:val="000000" w:themeColor="text1"/>
        </w:rPr>
        <w:t>.  (Fuentes)</w:t>
      </w:r>
    </w:p>
    <w:p w14:paraId="76534FD2" w14:textId="77777777" w:rsidR="00644687" w:rsidRPr="00070C96" w:rsidRDefault="00644687" w:rsidP="00644687">
      <w:pPr>
        <w:ind w:left="1440" w:hanging="1440"/>
        <w:jc w:val="both"/>
        <w:rPr>
          <w:bCs/>
        </w:rPr>
      </w:pPr>
      <w:r>
        <w:rPr>
          <w:b/>
          <w:bCs/>
        </w:rPr>
        <w:t>OPC:</w:t>
      </w:r>
      <w:r>
        <w:rPr>
          <w:b/>
          <w:bCs/>
        </w:rPr>
        <w:tab/>
      </w:r>
      <w:r w:rsidR="006D50A4">
        <w:t>No position.</w:t>
      </w:r>
    </w:p>
    <w:p w14:paraId="752A31C8" w14:textId="77777777" w:rsidR="00644687" w:rsidRPr="00070C96" w:rsidRDefault="00644687" w:rsidP="00644687">
      <w:pPr>
        <w:ind w:left="1440" w:hanging="1440"/>
        <w:jc w:val="both"/>
        <w:rPr>
          <w:bCs/>
        </w:rPr>
      </w:pPr>
    </w:p>
    <w:p w14:paraId="6EC4C7A8" w14:textId="77777777" w:rsidR="009D1863" w:rsidRDefault="00644687" w:rsidP="00644687">
      <w:pPr>
        <w:ind w:left="1440" w:hanging="1440"/>
        <w:jc w:val="both"/>
      </w:pPr>
      <w:r>
        <w:rPr>
          <w:b/>
          <w:bCs/>
        </w:rPr>
        <w:t>FEA:</w:t>
      </w:r>
      <w:r>
        <w:rPr>
          <w:b/>
          <w:bCs/>
        </w:rPr>
        <w:tab/>
      </w:r>
      <w:r w:rsidR="009D1863">
        <w:t>No position.</w:t>
      </w:r>
    </w:p>
    <w:p w14:paraId="0E2C5791" w14:textId="77777777" w:rsidR="009D1863" w:rsidRDefault="009D1863" w:rsidP="00644687">
      <w:pPr>
        <w:ind w:left="1440" w:hanging="1440"/>
        <w:jc w:val="both"/>
      </w:pPr>
    </w:p>
    <w:p w14:paraId="56281FEE"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5C5DC786" w14:textId="77777777" w:rsidR="00644687" w:rsidRPr="00070C96" w:rsidRDefault="00644687" w:rsidP="00644687">
      <w:pPr>
        <w:ind w:left="1440" w:hanging="1440"/>
        <w:jc w:val="both"/>
        <w:rPr>
          <w:bCs/>
        </w:rPr>
      </w:pPr>
    </w:p>
    <w:p w14:paraId="14BC4642"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5E01F01" w14:textId="77777777" w:rsidR="00644687" w:rsidRDefault="00644687" w:rsidP="00644687">
      <w:pPr>
        <w:pStyle w:val="Default"/>
        <w:ind w:left="1440" w:hanging="1440"/>
        <w:jc w:val="both"/>
      </w:pPr>
    </w:p>
    <w:p w14:paraId="521238B6" w14:textId="77777777" w:rsidR="00D328A5" w:rsidRPr="008C76AE" w:rsidRDefault="00D328A5" w:rsidP="00D73B1E">
      <w:pPr>
        <w:pStyle w:val="Default"/>
        <w:ind w:left="1440" w:hanging="1440"/>
        <w:jc w:val="both"/>
      </w:pPr>
    </w:p>
    <w:p w14:paraId="201685AC" w14:textId="77777777" w:rsidR="00D328A5" w:rsidRPr="006D50A4" w:rsidRDefault="00D328A5" w:rsidP="00D73B1E">
      <w:pPr>
        <w:pStyle w:val="Default"/>
        <w:numPr>
          <w:ilvl w:val="0"/>
          <w:numId w:val="2"/>
        </w:numPr>
        <w:ind w:left="1440" w:hanging="1440"/>
        <w:jc w:val="both"/>
        <w:rPr>
          <w:b/>
        </w:rPr>
      </w:pPr>
      <w:r w:rsidRPr="006D50A4">
        <w:rPr>
          <w:b/>
          <w:bCs/>
        </w:rPr>
        <w:t xml:space="preserve">What is the appropriate weighted average cost of capital to use in establishing FCG’s projected test year revenue requirement? </w:t>
      </w:r>
    </w:p>
    <w:p w14:paraId="1B12CC03" w14:textId="77777777" w:rsidR="00D328A5" w:rsidRDefault="00D328A5" w:rsidP="00D73B1E">
      <w:pPr>
        <w:pStyle w:val="Default"/>
        <w:jc w:val="both"/>
      </w:pPr>
    </w:p>
    <w:p w14:paraId="3B294F3B"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The associated components, amounts</w:t>
      </w:r>
      <w:r w:rsidR="001E7161">
        <w:rPr>
          <w:rFonts w:eastAsia="Calibri"/>
          <w:color w:val="000000"/>
        </w:rPr>
        <w:t>,</w:t>
      </w:r>
      <w:r w:rsidR="001E7161" w:rsidRPr="00471540">
        <w:rPr>
          <w:rFonts w:eastAsia="Calibri"/>
          <w:color w:val="000000"/>
        </w:rPr>
        <w:t xml:space="preserve"> and cost rates with RSAM are reflected </w:t>
      </w:r>
      <w:r w:rsidR="001E7161">
        <w:rPr>
          <w:rFonts w:eastAsia="Calibri"/>
          <w:color w:val="000000"/>
        </w:rPr>
        <w:t>on Exhibit LF-11</w:t>
      </w:r>
      <w:r w:rsidR="001E7161" w:rsidRPr="00471540">
        <w:rPr>
          <w:rFonts w:eastAsia="Calibri"/>
          <w:color w:val="000000"/>
        </w:rPr>
        <w:t xml:space="preserve"> for the 2023 projected test year. </w:t>
      </w:r>
      <w:r w:rsidR="001E7161">
        <w:rPr>
          <w:rFonts w:eastAsia="Calibri"/>
          <w:color w:val="000000"/>
        </w:rPr>
        <w:t xml:space="preserve"> </w:t>
      </w:r>
      <w:r w:rsidR="001E7161" w:rsidRPr="00471540">
        <w:rPr>
          <w:rFonts w:eastAsia="Calibri"/>
          <w:color w:val="000000"/>
        </w:rPr>
        <w:t xml:space="preserve">Based on those amounts, the appropriate after-tax weighted average cost of capital for the 2023 projected test year is </w:t>
      </w:r>
      <w:r w:rsidR="001E7161">
        <w:rPr>
          <w:rFonts w:eastAsia="Calibri"/>
          <w:color w:val="000000"/>
        </w:rPr>
        <w:t>7</w:t>
      </w:r>
      <w:r w:rsidR="001E7161" w:rsidRPr="00471540">
        <w:rPr>
          <w:rFonts w:eastAsia="Calibri"/>
          <w:color w:val="000000"/>
        </w:rPr>
        <w:t>.</w:t>
      </w:r>
      <w:r w:rsidR="001E7161">
        <w:rPr>
          <w:rFonts w:eastAsia="Calibri"/>
          <w:color w:val="000000"/>
        </w:rPr>
        <w:t>09</w:t>
      </w:r>
      <w:r w:rsidR="001E7161" w:rsidRPr="00471540">
        <w:rPr>
          <w:rFonts w:eastAsia="Calibri"/>
          <w:color w:val="000000"/>
        </w:rPr>
        <w:t xml:space="preserve">%. </w:t>
      </w:r>
      <w:r w:rsidR="001E7161">
        <w:rPr>
          <w:rFonts w:eastAsia="Calibri"/>
          <w:color w:val="000000"/>
        </w:rPr>
        <w:t xml:space="preserve"> </w:t>
      </w:r>
      <w:r w:rsidR="001E7161" w:rsidRPr="00471540">
        <w:rPr>
          <w:rFonts w:eastAsia="Calibri"/>
          <w:color w:val="000000"/>
        </w:rPr>
        <w:t xml:space="preserve">If the Commission does not adopt the RSAM as part </w:t>
      </w:r>
      <w:r w:rsidR="001E7161">
        <w:rPr>
          <w:rFonts w:eastAsia="Calibri"/>
          <w:color w:val="000000"/>
        </w:rPr>
        <w:br/>
      </w:r>
      <w:r w:rsidR="001E7161" w:rsidRPr="00471540">
        <w:rPr>
          <w:rFonts w:eastAsia="Calibri"/>
          <w:color w:val="000000"/>
        </w:rPr>
        <w:t xml:space="preserve">of FCG’s four-year rate proposal, the appropriate after-tax weighted average cost of capital without RSAM for the 2023 projected test year is </w:t>
      </w:r>
      <w:r w:rsidR="001E7161">
        <w:rPr>
          <w:rFonts w:eastAsia="Calibri"/>
          <w:color w:val="000000"/>
        </w:rPr>
        <w:t>also 7</w:t>
      </w:r>
      <w:r w:rsidR="001E7161" w:rsidRPr="00471540">
        <w:rPr>
          <w:rFonts w:eastAsia="Calibri"/>
          <w:color w:val="000000"/>
        </w:rPr>
        <w:t>.</w:t>
      </w:r>
      <w:r w:rsidR="001E7161">
        <w:rPr>
          <w:rFonts w:eastAsia="Calibri"/>
          <w:color w:val="000000"/>
        </w:rPr>
        <w:t>09</w:t>
      </w:r>
      <w:r w:rsidR="001E7161" w:rsidRPr="00471540">
        <w:rPr>
          <w:rFonts w:eastAsia="Calibri"/>
          <w:color w:val="000000"/>
        </w:rPr>
        <w:t>%</w:t>
      </w:r>
      <w:r w:rsidR="001E7161">
        <w:rPr>
          <w:rFonts w:eastAsia="Calibri"/>
          <w:color w:val="000000"/>
        </w:rPr>
        <w:t xml:space="preserve"> as reflected on Exhibit LF-12</w:t>
      </w:r>
      <w:r w:rsidR="001E7161" w:rsidRPr="00471540">
        <w:rPr>
          <w:rFonts w:eastAsia="Calibri"/>
          <w:color w:val="000000"/>
        </w:rPr>
        <w:t>.  (</w:t>
      </w:r>
      <w:r w:rsidR="001E7161">
        <w:rPr>
          <w:rFonts w:eastAsia="Calibri"/>
          <w:color w:val="000000"/>
        </w:rPr>
        <w:t>Fuentes</w:t>
      </w:r>
      <w:r w:rsidR="001E7161" w:rsidRPr="00471540">
        <w:rPr>
          <w:rFonts w:eastAsia="Calibri"/>
          <w:color w:val="000000"/>
        </w:rPr>
        <w:t>)</w:t>
      </w:r>
    </w:p>
    <w:p w14:paraId="3AD1507E" w14:textId="77777777" w:rsidR="00644687" w:rsidRPr="00070C96" w:rsidRDefault="00644687" w:rsidP="00644687">
      <w:pPr>
        <w:ind w:left="1440" w:hanging="1440"/>
        <w:jc w:val="both"/>
        <w:rPr>
          <w:bCs/>
        </w:rPr>
      </w:pPr>
    </w:p>
    <w:p w14:paraId="0B09C53F" w14:textId="77777777" w:rsidR="00644687" w:rsidRPr="00070C96" w:rsidRDefault="00644687" w:rsidP="00644687">
      <w:pPr>
        <w:ind w:left="1440" w:hanging="1440"/>
        <w:jc w:val="both"/>
        <w:rPr>
          <w:bCs/>
        </w:rPr>
      </w:pPr>
      <w:r>
        <w:rPr>
          <w:b/>
          <w:bCs/>
        </w:rPr>
        <w:t>OPC:</w:t>
      </w:r>
      <w:r>
        <w:rPr>
          <w:b/>
          <w:bCs/>
        </w:rPr>
        <w:tab/>
      </w:r>
      <w:r w:rsidR="006D50A4">
        <w:t>OPC Witnesses Garrett and Schultz testimony and exhibits show the appropriate</w:t>
      </w:r>
      <w:r w:rsidR="006D50A4" w:rsidRPr="009E3B59">
        <w:rPr>
          <w:bCs/>
        </w:rPr>
        <w:t xml:space="preserve"> </w:t>
      </w:r>
      <w:r w:rsidR="006D50A4">
        <w:rPr>
          <w:bCs/>
        </w:rPr>
        <w:t>weighted average cost of capital of 5.75% to use in establishing the projected test year revenue requirement. (Schultz; Garrett)</w:t>
      </w:r>
    </w:p>
    <w:p w14:paraId="10E0C2B4" w14:textId="77777777" w:rsidR="00644687" w:rsidRPr="00070C96" w:rsidRDefault="00644687" w:rsidP="00644687">
      <w:pPr>
        <w:ind w:left="1440" w:hanging="1440"/>
        <w:jc w:val="both"/>
        <w:rPr>
          <w:bCs/>
        </w:rPr>
      </w:pPr>
    </w:p>
    <w:p w14:paraId="199A2B71" w14:textId="77777777" w:rsidR="00644687" w:rsidRPr="00070C96" w:rsidRDefault="00644687" w:rsidP="00644687">
      <w:pPr>
        <w:ind w:left="1440" w:hanging="1440"/>
        <w:jc w:val="both"/>
        <w:rPr>
          <w:bCs/>
        </w:rPr>
      </w:pPr>
      <w:r>
        <w:rPr>
          <w:b/>
          <w:bCs/>
        </w:rPr>
        <w:t>FEA:</w:t>
      </w:r>
      <w:r>
        <w:rPr>
          <w:b/>
          <w:bCs/>
        </w:rPr>
        <w:tab/>
      </w:r>
      <w:r w:rsidR="002D7403" w:rsidRPr="00102C52">
        <w:t>FEA did not specify an appropriate weighted average cost of capital to use in establishing FCG’s projected test year revenue requirement.  However, FEA does not waive its right to make argument on this issue once all facts are complete.  Notwithstanding the above, adopting the cost of capital parameters proposed by Christopher Walters, including a return on common equity of 9.40% and a common equity ratio of 50.0%, would produce a weighted average cost of capital of approximately 5.95%.</w:t>
      </w:r>
    </w:p>
    <w:p w14:paraId="4A813C6E" w14:textId="77777777" w:rsidR="00644687" w:rsidRPr="00070C96" w:rsidRDefault="00644687" w:rsidP="00644687">
      <w:pPr>
        <w:ind w:left="1440" w:hanging="1440"/>
        <w:jc w:val="both"/>
        <w:rPr>
          <w:bCs/>
        </w:rPr>
      </w:pPr>
    </w:p>
    <w:p w14:paraId="5AF83282"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7EB68A4D" w14:textId="77777777" w:rsidR="00644687" w:rsidRPr="00070C96" w:rsidRDefault="00644687" w:rsidP="00644687">
      <w:pPr>
        <w:ind w:left="1440" w:hanging="1440"/>
        <w:jc w:val="both"/>
        <w:rPr>
          <w:bCs/>
        </w:rPr>
      </w:pPr>
    </w:p>
    <w:p w14:paraId="3BE4AD73"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0E0D814" w14:textId="0DB38ED6" w:rsidR="00AA0E34" w:rsidRDefault="00AA0E34" w:rsidP="00112E7F">
      <w:pPr>
        <w:pStyle w:val="Default"/>
      </w:pPr>
    </w:p>
    <w:p w14:paraId="3C7B7093" w14:textId="77777777" w:rsidR="00A63ABC" w:rsidRDefault="00A63ABC" w:rsidP="00112E7F">
      <w:pPr>
        <w:pStyle w:val="Default"/>
        <w:rPr>
          <w:b/>
          <w:bCs/>
          <w:u w:val="single"/>
        </w:rPr>
      </w:pPr>
    </w:p>
    <w:p w14:paraId="1E28D246" w14:textId="77777777" w:rsidR="00D328A5" w:rsidRPr="00877329" w:rsidRDefault="00D328A5" w:rsidP="00D328A5">
      <w:pPr>
        <w:pStyle w:val="Default"/>
        <w:jc w:val="center"/>
        <w:rPr>
          <w:b/>
          <w:bCs/>
          <w:u w:val="single"/>
        </w:rPr>
      </w:pPr>
      <w:r w:rsidRPr="00877329">
        <w:rPr>
          <w:b/>
          <w:bCs/>
          <w:u w:val="single"/>
        </w:rPr>
        <w:t>NET OPERATING INCOME</w:t>
      </w:r>
    </w:p>
    <w:p w14:paraId="1F178D57" w14:textId="77777777" w:rsidR="00D328A5" w:rsidRPr="008C76AE" w:rsidRDefault="00D328A5" w:rsidP="00D328A5">
      <w:pPr>
        <w:pStyle w:val="Default"/>
        <w:jc w:val="center"/>
      </w:pPr>
    </w:p>
    <w:p w14:paraId="65960823" w14:textId="77777777" w:rsidR="00D328A5" w:rsidRPr="006D50A4" w:rsidRDefault="00D328A5" w:rsidP="00D73B1E">
      <w:pPr>
        <w:pStyle w:val="Default"/>
        <w:numPr>
          <w:ilvl w:val="0"/>
          <w:numId w:val="2"/>
        </w:numPr>
        <w:ind w:left="1440" w:hanging="1440"/>
        <w:jc w:val="both"/>
        <w:rPr>
          <w:b/>
        </w:rPr>
      </w:pPr>
      <w:r w:rsidRPr="006D50A4">
        <w:rPr>
          <w:b/>
          <w:bCs/>
        </w:rPr>
        <w:t>Has FCG properly removed Purchased Gas Adjustment and Natural Gas Conservation Cost Recovery Clause revenues, expenses, and taxes-other-than-income from the projected test year?</w:t>
      </w:r>
    </w:p>
    <w:p w14:paraId="47C31622" w14:textId="77777777" w:rsidR="00D328A5" w:rsidRDefault="00D328A5" w:rsidP="00D73B1E">
      <w:pPr>
        <w:pStyle w:val="Default"/>
        <w:jc w:val="both"/>
      </w:pPr>
    </w:p>
    <w:p w14:paraId="2234F404"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bCs/>
          <w:color w:val="000000"/>
        </w:rPr>
        <w:t>Yes.</w:t>
      </w:r>
      <w:r w:rsidR="001E7161">
        <w:rPr>
          <w:rFonts w:eastAsia="Calibri"/>
          <w:bCs/>
          <w:color w:val="000000"/>
        </w:rPr>
        <w:t xml:space="preserve"> </w:t>
      </w:r>
      <w:r w:rsidR="001E7161" w:rsidRPr="00471540">
        <w:rPr>
          <w:rFonts w:eastAsia="Calibri"/>
          <w:bCs/>
          <w:color w:val="000000"/>
        </w:rPr>
        <w:t xml:space="preserve"> </w:t>
      </w:r>
      <w:r w:rsidR="001E7161">
        <w:rPr>
          <w:rFonts w:eastAsia="Calibri"/>
          <w:bCs/>
          <w:color w:val="000000"/>
        </w:rPr>
        <w:t>FCG has</w:t>
      </w:r>
      <w:r w:rsidR="001E7161" w:rsidRPr="00041B9B">
        <w:t xml:space="preserve"> </w:t>
      </w:r>
      <w:r w:rsidR="001E7161" w:rsidRPr="00041B9B">
        <w:rPr>
          <w:rFonts w:eastAsia="Calibri"/>
          <w:bCs/>
          <w:color w:val="000000"/>
        </w:rPr>
        <w:t>properly removed Purchased Gas Adjustment and Natural Gas Conservation Cost Recovery Clause revenues, expenses, and taxes-other-than-income from the projected test year</w:t>
      </w:r>
      <w:r w:rsidR="001E7161">
        <w:rPr>
          <w:rFonts w:eastAsia="Calibri"/>
          <w:bCs/>
          <w:color w:val="000000"/>
        </w:rPr>
        <w:t>.  (Fuentes)</w:t>
      </w:r>
    </w:p>
    <w:p w14:paraId="6481F2E0" w14:textId="77777777" w:rsidR="00644687" w:rsidRPr="00070C96" w:rsidRDefault="00644687" w:rsidP="00644687">
      <w:pPr>
        <w:ind w:left="1440" w:hanging="1440"/>
        <w:jc w:val="both"/>
        <w:rPr>
          <w:bCs/>
        </w:rPr>
      </w:pPr>
    </w:p>
    <w:p w14:paraId="684F68C5" w14:textId="77777777" w:rsidR="00644687" w:rsidRPr="00070C96" w:rsidRDefault="00644687" w:rsidP="00644687">
      <w:pPr>
        <w:ind w:left="1440" w:hanging="1440"/>
        <w:jc w:val="both"/>
        <w:rPr>
          <w:bCs/>
        </w:rPr>
      </w:pPr>
      <w:r>
        <w:rPr>
          <w:b/>
          <w:bCs/>
        </w:rPr>
        <w:t>OPC:</w:t>
      </w:r>
      <w:r>
        <w:rPr>
          <w:b/>
          <w:bCs/>
        </w:rPr>
        <w:tab/>
      </w:r>
      <w:r w:rsidR="006D50A4">
        <w:t>No position.</w:t>
      </w:r>
    </w:p>
    <w:p w14:paraId="49732EE6" w14:textId="77777777" w:rsidR="00644687" w:rsidRPr="00070C96" w:rsidRDefault="00644687" w:rsidP="00644687">
      <w:pPr>
        <w:ind w:left="1440" w:hanging="1440"/>
        <w:jc w:val="both"/>
        <w:rPr>
          <w:bCs/>
        </w:rPr>
      </w:pPr>
    </w:p>
    <w:p w14:paraId="62DB0585" w14:textId="77777777" w:rsidR="00644687" w:rsidRDefault="00644687" w:rsidP="00644687">
      <w:pPr>
        <w:ind w:left="1440" w:hanging="1440"/>
        <w:jc w:val="both"/>
      </w:pPr>
      <w:r>
        <w:rPr>
          <w:b/>
          <w:bCs/>
        </w:rPr>
        <w:t>FEA:</w:t>
      </w:r>
      <w:r>
        <w:rPr>
          <w:b/>
          <w:bCs/>
        </w:rPr>
        <w:tab/>
      </w:r>
      <w:r w:rsidR="009D1863">
        <w:t>No position.</w:t>
      </w:r>
    </w:p>
    <w:p w14:paraId="076FA29A" w14:textId="77777777" w:rsidR="00037057" w:rsidRPr="00070C96" w:rsidRDefault="00037057" w:rsidP="00644687">
      <w:pPr>
        <w:ind w:left="1440" w:hanging="1440"/>
        <w:jc w:val="both"/>
        <w:rPr>
          <w:bCs/>
        </w:rPr>
      </w:pPr>
    </w:p>
    <w:p w14:paraId="60BD94E8"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4067380" w14:textId="77777777" w:rsidR="00644687" w:rsidRPr="00070C96" w:rsidRDefault="00644687" w:rsidP="00644687">
      <w:pPr>
        <w:ind w:left="1440" w:hanging="1440"/>
        <w:jc w:val="both"/>
        <w:rPr>
          <w:bCs/>
        </w:rPr>
      </w:pPr>
    </w:p>
    <w:p w14:paraId="6689F2EE"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553970D9" w14:textId="77777777" w:rsidR="00644687" w:rsidRDefault="00644687" w:rsidP="00644687">
      <w:pPr>
        <w:pStyle w:val="Default"/>
        <w:ind w:left="1440" w:hanging="1440"/>
        <w:jc w:val="both"/>
      </w:pPr>
    </w:p>
    <w:p w14:paraId="17AB0D40" w14:textId="77777777" w:rsidR="00D328A5" w:rsidRPr="00EF4718" w:rsidRDefault="00D328A5" w:rsidP="00D73B1E">
      <w:pPr>
        <w:pStyle w:val="Default"/>
        <w:jc w:val="both"/>
      </w:pPr>
    </w:p>
    <w:p w14:paraId="1828109E" w14:textId="77777777" w:rsidR="00D328A5" w:rsidRPr="006D50A4" w:rsidRDefault="00D328A5" w:rsidP="00D73B1E">
      <w:pPr>
        <w:pStyle w:val="Default"/>
        <w:numPr>
          <w:ilvl w:val="0"/>
          <w:numId w:val="2"/>
        </w:numPr>
        <w:ind w:left="1440" w:hanging="1440"/>
        <w:jc w:val="both"/>
        <w:rPr>
          <w:b/>
        </w:rPr>
      </w:pPr>
      <w:r w:rsidRPr="006D50A4">
        <w:rPr>
          <w:b/>
          <w:bCs/>
        </w:rPr>
        <w:t>Has FCG made the appropriate adjustment to Net Operating Income to remove amounts associated with the transfer of SAFE investments as of December 31, 2022 from clause recovery to base rates?</w:t>
      </w:r>
      <w:r w:rsidRPr="006D50A4">
        <w:rPr>
          <w:b/>
        </w:rPr>
        <w:t xml:space="preserve"> </w:t>
      </w:r>
    </w:p>
    <w:p w14:paraId="541231FF" w14:textId="77777777" w:rsidR="00D328A5" w:rsidRDefault="00D328A5" w:rsidP="00D73B1E">
      <w:pPr>
        <w:pStyle w:val="Default"/>
        <w:jc w:val="both"/>
      </w:pPr>
    </w:p>
    <w:p w14:paraId="5914F11B" w14:textId="77777777" w:rsidR="00644687" w:rsidRPr="00070C96" w:rsidRDefault="00644687" w:rsidP="00644687">
      <w:pPr>
        <w:ind w:left="1440" w:hanging="1440"/>
        <w:jc w:val="both"/>
        <w:rPr>
          <w:bCs/>
        </w:rPr>
      </w:pPr>
      <w:r>
        <w:rPr>
          <w:b/>
          <w:bCs/>
        </w:rPr>
        <w:t>FCG:</w:t>
      </w:r>
      <w:r>
        <w:rPr>
          <w:b/>
          <w:bCs/>
        </w:rPr>
        <w:tab/>
      </w:r>
      <w:r w:rsidR="001E7161">
        <w:rPr>
          <w:rFonts w:eastAsia="Calibri"/>
          <w:color w:val="000000"/>
        </w:rPr>
        <w:t xml:space="preserve">Yes.  Amounts associated with the SAFE investments are not removed from Net Operating Income.  Rather, pursuant to Order No. PSC-15-0390-TRF-GU, </w:t>
      </w:r>
      <w:r w:rsidR="001E7161" w:rsidRPr="00A73B72">
        <w:rPr>
          <w:rFonts w:eastAsia="Calibri"/>
          <w:color w:val="000000"/>
        </w:rPr>
        <w:t xml:space="preserve">FCG </w:t>
      </w:r>
      <w:r w:rsidR="001E7161">
        <w:rPr>
          <w:rFonts w:eastAsia="Calibri"/>
          <w:color w:val="000000"/>
        </w:rPr>
        <w:t xml:space="preserve">has </w:t>
      </w:r>
      <w:r w:rsidR="001E7161" w:rsidRPr="00A73B72">
        <w:rPr>
          <w:rFonts w:eastAsia="Calibri"/>
          <w:color w:val="000000"/>
        </w:rPr>
        <w:t>made the appropriate adjustment</w:t>
      </w:r>
      <w:r w:rsidR="001E7161">
        <w:rPr>
          <w:rFonts w:eastAsia="Calibri"/>
          <w:color w:val="000000"/>
        </w:rPr>
        <w:t>s</w:t>
      </w:r>
      <w:r w:rsidR="001E7161" w:rsidRPr="00A73B72">
        <w:rPr>
          <w:rFonts w:eastAsia="Calibri"/>
          <w:color w:val="000000"/>
        </w:rPr>
        <w:t xml:space="preserve"> to Net Operating Income to </w:t>
      </w:r>
      <w:r w:rsidR="001E7161">
        <w:rPr>
          <w:rFonts w:eastAsia="Calibri"/>
          <w:color w:val="000000"/>
        </w:rPr>
        <w:t>reflect</w:t>
      </w:r>
      <w:r w:rsidR="001E7161" w:rsidRPr="00A73B72">
        <w:rPr>
          <w:rFonts w:eastAsia="Calibri"/>
          <w:color w:val="000000"/>
        </w:rPr>
        <w:t xml:space="preserve"> the transfer of SAFE investments as of December 31, 2022</w:t>
      </w:r>
      <w:r w:rsidR="001E7161">
        <w:rPr>
          <w:rFonts w:eastAsia="Calibri"/>
          <w:color w:val="000000"/>
        </w:rPr>
        <w:t>,</w:t>
      </w:r>
      <w:r w:rsidR="001E7161" w:rsidRPr="00A73B72">
        <w:rPr>
          <w:rFonts w:eastAsia="Calibri"/>
          <w:color w:val="000000"/>
        </w:rPr>
        <w:t xml:space="preserve"> from clause recovery to base rates</w:t>
      </w:r>
      <w:r w:rsidR="001E7161">
        <w:rPr>
          <w:rFonts w:eastAsia="Calibri"/>
          <w:color w:val="000000"/>
        </w:rPr>
        <w:t>.  (Fuentes)</w:t>
      </w:r>
    </w:p>
    <w:p w14:paraId="1372811D" w14:textId="77777777" w:rsidR="00644687" w:rsidRPr="00070C96" w:rsidRDefault="00644687" w:rsidP="00644687">
      <w:pPr>
        <w:ind w:left="1440" w:hanging="1440"/>
        <w:jc w:val="both"/>
        <w:rPr>
          <w:bCs/>
        </w:rPr>
      </w:pPr>
    </w:p>
    <w:p w14:paraId="2ACFE305" w14:textId="77777777" w:rsidR="00644687" w:rsidRPr="00070C96" w:rsidRDefault="00644687" w:rsidP="00644687">
      <w:pPr>
        <w:ind w:left="1440" w:hanging="1440"/>
        <w:jc w:val="both"/>
        <w:rPr>
          <w:bCs/>
        </w:rPr>
      </w:pPr>
      <w:r>
        <w:rPr>
          <w:b/>
          <w:bCs/>
        </w:rPr>
        <w:t>OPC:</w:t>
      </w:r>
      <w:r>
        <w:rPr>
          <w:b/>
          <w:bCs/>
        </w:rPr>
        <w:tab/>
      </w:r>
      <w:r w:rsidR="006D50A4">
        <w:t>No position.</w:t>
      </w:r>
    </w:p>
    <w:p w14:paraId="0444F41D" w14:textId="77777777" w:rsidR="00644687" w:rsidRPr="00070C96" w:rsidRDefault="00644687" w:rsidP="00644687">
      <w:pPr>
        <w:ind w:left="1440" w:hanging="1440"/>
        <w:jc w:val="both"/>
        <w:rPr>
          <w:bCs/>
        </w:rPr>
      </w:pPr>
    </w:p>
    <w:p w14:paraId="64559FF9" w14:textId="77777777" w:rsidR="00644687" w:rsidRPr="00070C96" w:rsidRDefault="00644687" w:rsidP="00644687">
      <w:pPr>
        <w:ind w:left="1440" w:hanging="1440"/>
        <w:jc w:val="both"/>
        <w:rPr>
          <w:bCs/>
        </w:rPr>
      </w:pPr>
      <w:r>
        <w:rPr>
          <w:b/>
          <w:bCs/>
        </w:rPr>
        <w:t>FEA:</w:t>
      </w:r>
      <w:r>
        <w:rPr>
          <w:b/>
          <w:bCs/>
        </w:rPr>
        <w:tab/>
      </w:r>
      <w:r w:rsidR="009D1863">
        <w:t>No position.</w:t>
      </w:r>
    </w:p>
    <w:p w14:paraId="43E71070" w14:textId="77777777" w:rsidR="00644687" w:rsidRPr="00070C96" w:rsidRDefault="00644687" w:rsidP="00644687">
      <w:pPr>
        <w:ind w:left="1440" w:hanging="1440"/>
        <w:jc w:val="both"/>
        <w:rPr>
          <w:bCs/>
        </w:rPr>
      </w:pPr>
    </w:p>
    <w:p w14:paraId="126E71A1"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3209F845" w14:textId="77777777" w:rsidR="00644687" w:rsidRPr="00070C96" w:rsidRDefault="00644687" w:rsidP="00644687">
      <w:pPr>
        <w:ind w:left="1440" w:hanging="1440"/>
        <w:jc w:val="both"/>
        <w:rPr>
          <w:bCs/>
        </w:rPr>
      </w:pPr>
    </w:p>
    <w:p w14:paraId="43862D2F"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D802DCF" w14:textId="77777777" w:rsidR="00644687" w:rsidRDefault="00644687" w:rsidP="00644687">
      <w:pPr>
        <w:pStyle w:val="Default"/>
        <w:ind w:left="1440" w:hanging="1440"/>
        <w:jc w:val="both"/>
      </w:pPr>
    </w:p>
    <w:p w14:paraId="43ADFD1C" w14:textId="77777777" w:rsidR="00D328A5" w:rsidRPr="006D50A4" w:rsidRDefault="00D328A5" w:rsidP="00D73B1E">
      <w:pPr>
        <w:pStyle w:val="Default"/>
        <w:numPr>
          <w:ilvl w:val="0"/>
          <w:numId w:val="2"/>
        </w:numPr>
        <w:ind w:left="1440" w:hanging="1440"/>
        <w:jc w:val="both"/>
        <w:rPr>
          <w:b/>
        </w:rPr>
      </w:pPr>
      <w:r w:rsidRPr="006D50A4">
        <w:rPr>
          <w:b/>
        </w:rPr>
        <w:t>Should FCG’s proposal to transfer outside service costs incurred for clause dockets from base rates to each of the respective cost recovery clause dockets be approved and, if so, has FCG made the appropriate adjustments to remove all such outside service costs incurred for clause dockets from the projected test year operating revenues and operating expenses?</w:t>
      </w:r>
    </w:p>
    <w:p w14:paraId="04D3E594" w14:textId="77777777" w:rsidR="00D328A5" w:rsidRDefault="00D328A5" w:rsidP="00D73B1E">
      <w:pPr>
        <w:pStyle w:val="Default"/>
        <w:ind w:left="1440" w:hanging="1440"/>
        <w:jc w:val="both"/>
      </w:pPr>
    </w:p>
    <w:p w14:paraId="501B2067" w14:textId="77777777" w:rsidR="00644687" w:rsidRPr="00070C96" w:rsidRDefault="00644687" w:rsidP="00644687">
      <w:pPr>
        <w:ind w:left="1440" w:hanging="1440"/>
        <w:jc w:val="both"/>
        <w:rPr>
          <w:bCs/>
        </w:rPr>
      </w:pPr>
      <w:r>
        <w:rPr>
          <w:b/>
          <w:bCs/>
        </w:rPr>
        <w:t>FCG:</w:t>
      </w:r>
      <w:r>
        <w:rPr>
          <w:b/>
          <w:bCs/>
        </w:rPr>
        <w:tab/>
      </w:r>
      <w:r w:rsidR="001E7161">
        <w:rPr>
          <w:rFonts w:eastAsia="Calibri"/>
          <w:color w:val="000000"/>
        </w:rPr>
        <w:t xml:space="preserve">Yes.  </w:t>
      </w:r>
      <w:r w:rsidR="001E7161" w:rsidRPr="00F14206">
        <w:rPr>
          <w:rFonts w:eastAsia="Calibri"/>
          <w:color w:val="000000"/>
        </w:rPr>
        <w:t xml:space="preserve">FCG’s proposal to transfer outside service costs incurred for clause dockets from base rates to each of the respective cost recovery clause dockets </w:t>
      </w:r>
      <w:r w:rsidR="001E7161">
        <w:rPr>
          <w:rFonts w:eastAsia="Calibri"/>
          <w:color w:val="000000"/>
        </w:rPr>
        <w:t>is consistent with the principle of cost-causation and will better ensure that FCG’s customers only pay the actual costs incurred, subject to true-up, for the outside services necessary to support the clauses.  FCG has made the</w:t>
      </w:r>
      <w:r w:rsidR="001E7161" w:rsidRPr="002359FC">
        <w:rPr>
          <w:rFonts w:eastAsia="Calibri"/>
          <w:color w:val="000000"/>
        </w:rPr>
        <w:t xml:space="preserve"> appropriate adjustments to remove all such outside service costs incurred for clause dockets from the projected test year operating revenues and operating expenses</w:t>
      </w:r>
      <w:r w:rsidR="001E7161">
        <w:rPr>
          <w:rFonts w:eastAsia="Calibri"/>
          <w:color w:val="000000"/>
        </w:rPr>
        <w:t>.  (Fuentes)</w:t>
      </w:r>
    </w:p>
    <w:p w14:paraId="3BB6EDC1" w14:textId="77777777" w:rsidR="00644687" w:rsidRPr="00070C96" w:rsidRDefault="00644687" w:rsidP="00644687">
      <w:pPr>
        <w:ind w:left="1440" w:hanging="1440"/>
        <w:jc w:val="both"/>
        <w:rPr>
          <w:bCs/>
        </w:rPr>
      </w:pPr>
    </w:p>
    <w:p w14:paraId="73CBD2E3" w14:textId="77777777" w:rsidR="00644687" w:rsidRPr="00070C96" w:rsidRDefault="00644687" w:rsidP="00644687">
      <w:pPr>
        <w:ind w:left="1440" w:hanging="1440"/>
        <w:jc w:val="both"/>
        <w:rPr>
          <w:bCs/>
        </w:rPr>
      </w:pPr>
      <w:r>
        <w:rPr>
          <w:b/>
          <w:bCs/>
        </w:rPr>
        <w:t>OPC:</w:t>
      </w:r>
      <w:r>
        <w:rPr>
          <w:b/>
          <w:bCs/>
        </w:rPr>
        <w:tab/>
      </w:r>
      <w:r w:rsidR="006D50A4">
        <w:t>No position.</w:t>
      </w:r>
    </w:p>
    <w:p w14:paraId="6D663D22" w14:textId="77777777" w:rsidR="00644687" w:rsidRPr="00070C96" w:rsidRDefault="00644687" w:rsidP="00644687">
      <w:pPr>
        <w:ind w:left="1440" w:hanging="1440"/>
        <w:jc w:val="both"/>
        <w:rPr>
          <w:bCs/>
        </w:rPr>
      </w:pPr>
    </w:p>
    <w:p w14:paraId="06442622" w14:textId="77777777" w:rsidR="00644687" w:rsidRPr="00070C96" w:rsidRDefault="00644687" w:rsidP="00644687">
      <w:pPr>
        <w:ind w:left="1440" w:hanging="1440"/>
        <w:jc w:val="both"/>
        <w:rPr>
          <w:bCs/>
        </w:rPr>
      </w:pPr>
      <w:r>
        <w:rPr>
          <w:b/>
          <w:bCs/>
        </w:rPr>
        <w:t>FEA:</w:t>
      </w:r>
      <w:r>
        <w:rPr>
          <w:b/>
          <w:bCs/>
        </w:rPr>
        <w:tab/>
      </w:r>
      <w:r w:rsidR="009D1863">
        <w:t>No position.</w:t>
      </w:r>
    </w:p>
    <w:p w14:paraId="7F77A5AA" w14:textId="77777777" w:rsidR="00644687" w:rsidRPr="00070C96" w:rsidRDefault="00644687" w:rsidP="00644687">
      <w:pPr>
        <w:ind w:left="1440" w:hanging="1440"/>
        <w:jc w:val="both"/>
        <w:rPr>
          <w:bCs/>
        </w:rPr>
      </w:pPr>
    </w:p>
    <w:p w14:paraId="2C1B5741"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2FEF330E" w14:textId="77777777" w:rsidR="00644687" w:rsidRPr="00070C96" w:rsidRDefault="00644687" w:rsidP="00644687">
      <w:pPr>
        <w:ind w:left="1440" w:hanging="1440"/>
        <w:jc w:val="both"/>
        <w:rPr>
          <w:bCs/>
        </w:rPr>
      </w:pPr>
    </w:p>
    <w:p w14:paraId="06865CC8"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BA21D13" w14:textId="77777777" w:rsidR="00644687" w:rsidRDefault="00644687" w:rsidP="00644687">
      <w:pPr>
        <w:pStyle w:val="Default"/>
        <w:ind w:left="1440" w:hanging="1440"/>
        <w:jc w:val="both"/>
      </w:pPr>
    </w:p>
    <w:p w14:paraId="4542597D" w14:textId="77777777" w:rsidR="00D328A5" w:rsidRPr="008C76AE" w:rsidRDefault="00D328A5" w:rsidP="00D73B1E">
      <w:pPr>
        <w:pStyle w:val="Default"/>
        <w:ind w:left="1440" w:hanging="1440"/>
        <w:jc w:val="both"/>
      </w:pPr>
    </w:p>
    <w:p w14:paraId="1D6FE65B" w14:textId="77777777" w:rsidR="00D328A5" w:rsidRPr="006D50A4" w:rsidRDefault="00D328A5" w:rsidP="00D73B1E">
      <w:pPr>
        <w:pStyle w:val="Default"/>
        <w:numPr>
          <w:ilvl w:val="0"/>
          <w:numId w:val="2"/>
        </w:numPr>
        <w:ind w:left="1440" w:hanging="1440"/>
        <w:jc w:val="both"/>
        <w:rPr>
          <w:b/>
        </w:rPr>
      </w:pPr>
      <w:r w:rsidRPr="006D50A4">
        <w:rPr>
          <w:b/>
          <w:bCs/>
        </w:rPr>
        <w:t xml:space="preserve">What is the appropriate amount of miscellaneous revenues? </w:t>
      </w:r>
    </w:p>
    <w:p w14:paraId="68E4F1A5" w14:textId="77777777" w:rsidR="00D328A5" w:rsidRDefault="00D328A5" w:rsidP="00D73B1E">
      <w:pPr>
        <w:pStyle w:val="Default"/>
        <w:ind w:left="1440" w:hanging="1440"/>
        <w:jc w:val="both"/>
      </w:pPr>
    </w:p>
    <w:p w14:paraId="321736CF" w14:textId="77777777" w:rsidR="00644687" w:rsidRPr="00070C96" w:rsidRDefault="00644687" w:rsidP="00644687">
      <w:pPr>
        <w:ind w:left="1440" w:hanging="1440"/>
        <w:jc w:val="both"/>
        <w:rPr>
          <w:bCs/>
        </w:rPr>
      </w:pPr>
      <w:r>
        <w:rPr>
          <w:b/>
          <w:bCs/>
        </w:rPr>
        <w:t>FCG:</w:t>
      </w:r>
      <w:r>
        <w:rPr>
          <w:b/>
          <w:bCs/>
        </w:rPr>
        <w:tab/>
      </w:r>
      <w:r w:rsidR="001E7161" w:rsidRPr="000254CA">
        <w:rPr>
          <w:rFonts w:eastAsia="Calibri"/>
          <w:color w:val="000000"/>
        </w:rPr>
        <w:t xml:space="preserve">As reflected </w:t>
      </w:r>
      <w:r w:rsidR="001E7161">
        <w:rPr>
          <w:rFonts w:eastAsia="Calibri"/>
          <w:color w:val="000000"/>
        </w:rPr>
        <w:t>on page 8 of</w:t>
      </w:r>
      <w:r w:rsidR="001E7161" w:rsidRPr="000254CA">
        <w:rPr>
          <w:rFonts w:eastAsia="Calibri"/>
          <w:color w:val="000000"/>
        </w:rPr>
        <w:t xml:space="preserve"> MFR G-</w:t>
      </w:r>
      <w:r w:rsidR="001E7161">
        <w:rPr>
          <w:rFonts w:eastAsia="Calibri"/>
          <w:color w:val="000000"/>
        </w:rPr>
        <w:t>2 (with RSAM) (4 of 4)</w:t>
      </w:r>
      <w:r w:rsidR="001E7161" w:rsidRPr="000254CA" w:rsidDel="00DA119F">
        <w:rPr>
          <w:rFonts w:eastAsia="Calibri"/>
          <w:color w:val="000000"/>
        </w:rPr>
        <w:t xml:space="preserve"> </w:t>
      </w:r>
      <w:r w:rsidR="001E7161">
        <w:rPr>
          <w:rFonts w:eastAsia="Calibri"/>
          <w:color w:val="000000"/>
        </w:rPr>
        <w:t>and adjusted by ($16,071) per Exhibit LF-11</w:t>
      </w:r>
      <w:r w:rsidR="001E7161" w:rsidRPr="000254CA">
        <w:rPr>
          <w:rFonts w:eastAsia="Calibri"/>
          <w:color w:val="000000"/>
        </w:rPr>
        <w:t xml:space="preserve">, the appropriate amount </w:t>
      </w:r>
      <w:r w:rsidR="001E7161">
        <w:rPr>
          <w:rFonts w:eastAsia="Calibri"/>
          <w:color w:val="000000"/>
        </w:rPr>
        <w:t>of miscellaneous revenues is</w:t>
      </w:r>
      <w:r w:rsidR="001E7161" w:rsidRPr="000254CA">
        <w:rPr>
          <w:rFonts w:eastAsia="Calibri"/>
          <w:color w:val="000000"/>
        </w:rPr>
        <w:t xml:space="preserve"> </w:t>
      </w:r>
      <w:r w:rsidR="001E7161" w:rsidRPr="00E654AC">
        <w:rPr>
          <w:rFonts w:eastAsia="Calibri"/>
          <w:color w:val="000000"/>
        </w:rPr>
        <w:t>$1,896,516</w:t>
      </w:r>
      <w:r w:rsidR="001E7161" w:rsidRPr="000254CA">
        <w:rPr>
          <w:rFonts w:eastAsia="Calibri"/>
          <w:color w:val="000000"/>
        </w:rPr>
        <w:t xml:space="preserve">. </w:t>
      </w:r>
      <w:r w:rsidR="001E7161">
        <w:rPr>
          <w:rFonts w:eastAsia="Calibri"/>
          <w:color w:val="000000"/>
        </w:rPr>
        <w:t xml:space="preserve"> </w:t>
      </w:r>
      <w:r w:rsidR="001E7161" w:rsidRPr="000254CA">
        <w:rPr>
          <w:rFonts w:eastAsia="Calibri"/>
          <w:color w:val="000000"/>
        </w:rPr>
        <w:t xml:space="preserve">If the Commission does not adopt the RSAM as part of FCG’s four-year rate proposal, the appropriate amount </w:t>
      </w:r>
      <w:r w:rsidR="001E7161">
        <w:rPr>
          <w:rFonts w:eastAsia="Calibri"/>
          <w:color w:val="000000"/>
        </w:rPr>
        <w:t xml:space="preserve">of miscellaneous revenues is </w:t>
      </w:r>
      <w:r w:rsidR="001E7161" w:rsidRPr="005E5280">
        <w:rPr>
          <w:rFonts w:eastAsia="Calibri"/>
          <w:color w:val="000000"/>
        </w:rPr>
        <w:t>$1,896,516</w:t>
      </w:r>
      <w:r w:rsidR="001E7161" w:rsidRPr="001F0611">
        <w:rPr>
          <w:rFonts w:eastAsia="Calibri"/>
          <w:color w:val="000000"/>
        </w:rPr>
        <w:t xml:space="preserve"> </w:t>
      </w:r>
      <w:r w:rsidR="001E7161">
        <w:rPr>
          <w:rFonts w:eastAsia="Calibri"/>
          <w:color w:val="000000"/>
        </w:rPr>
        <w:t xml:space="preserve">as reflected on page 8 of </w:t>
      </w:r>
      <w:r w:rsidR="001E7161" w:rsidRPr="000254CA">
        <w:rPr>
          <w:rFonts w:eastAsia="Calibri"/>
          <w:color w:val="000000"/>
        </w:rPr>
        <w:t>MFR G-</w:t>
      </w:r>
      <w:r w:rsidR="001E7161">
        <w:rPr>
          <w:rFonts w:eastAsia="Calibri"/>
          <w:color w:val="000000"/>
        </w:rPr>
        <w:t>2 (4 of 4) and adjusted per Exhibit LF-12</w:t>
      </w:r>
      <w:r w:rsidR="001E7161" w:rsidRPr="000254CA">
        <w:rPr>
          <w:rFonts w:eastAsia="Calibri"/>
          <w:color w:val="000000"/>
        </w:rPr>
        <w:t>.  (Campbell, Fuentes, DuBose)</w:t>
      </w:r>
    </w:p>
    <w:p w14:paraId="3F9E844E" w14:textId="77777777" w:rsidR="00644687" w:rsidRPr="00070C96" w:rsidRDefault="00644687" w:rsidP="00644687">
      <w:pPr>
        <w:ind w:left="1440" w:hanging="1440"/>
        <w:jc w:val="both"/>
        <w:rPr>
          <w:bCs/>
        </w:rPr>
      </w:pPr>
    </w:p>
    <w:p w14:paraId="3F468DC3" w14:textId="77777777" w:rsidR="00644687" w:rsidRPr="00070C96" w:rsidRDefault="00644687" w:rsidP="00644687">
      <w:pPr>
        <w:ind w:left="1440" w:hanging="1440"/>
        <w:jc w:val="both"/>
        <w:rPr>
          <w:bCs/>
        </w:rPr>
      </w:pPr>
      <w:r>
        <w:rPr>
          <w:b/>
          <w:bCs/>
        </w:rPr>
        <w:t>OPC:</w:t>
      </w:r>
      <w:r>
        <w:rPr>
          <w:b/>
          <w:bCs/>
        </w:rPr>
        <w:tab/>
      </w:r>
      <w:r w:rsidR="00F955BF">
        <w:t>No position.</w:t>
      </w:r>
    </w:p>
    <w:p w14:paraId="10B93B1F" w14:textId="77777777" w:rsidR="00644687" w:rsidRPr="00070C96" w:rsidRDefault="00644687" w:rsidP="00644687">
      <w:pPr>
        <w:ind w:left="1440" w:hanging="1440"/>
        <w:jc w:val="both"/>
        <w:rPr>
          <w:bCs/>
        </w:rPr>
      </w:pPr>
    </w:p>
    <w:p w14:paraId="2D1DE077" w14:textId="77777777" w:rsidR="00644687" w:rsidRPr="00070C96" w:rsidRDefault="00644687" w:rsidP="00644687">
      <w:pPr>
        <w:ind w:left="1440" w:hanging="1440"/>
        <w:jc w:val="both"/>
        <w:rPr>
          <w:bCs/>
        </w:rPr>
      </w:pPr>
      <w:r>
        <w:rPr>
          <w:b/>
          <w:bCs/>
        </w:rPr>
        <w:t>FEA:</w:t>
      </w:r>
      <w:r>
        <w:rPr>
          <w:b/>
          <w:bCs/>
        </w:rPr>
        <w:tab/>
      </w:r>
      <w:r w:rsidR="009D1863">
        <w:t>No position.</w:t>
      </w:r>
    </w:p>
    <w:p w14:paraId="6E3904A7" w14:textId="77777777" w:rsidR="00644687" w:rsidRPr="00070C96" w:rsidRDefault="00644687" w:rsidP="00644687">
      <w:pPr>
        <w:ind w:left="1440" w:hanging="1440"/>
        <w:jc w:val="both"/>
        <w:rPr>
          <w:bCs/>
        </w:rPr>
      </w:pPr>
    </w:p>
    <w:p w14:paraId="1C746931"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38F42D48" w14:textId="77777777" w:rsidR="00644687" w:rsidRPr="00070C96" w:rsidRDefault="00644687" w:rsidP="00644687">
      <w:pPr>
        <w:ind w:left="1440" w:hanging="1440"/>
        <w:jc w:val="both"/>
        <w:rPr>
          <w:bCs/>
        </w:rPr>
      </w:pPr>
    </w:p>
    <w:p w14:paraId="0A79EAA4"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22B53FF" w14:textId="77777777" w:rsidR="00644687" w:rsidRDefault="00644687" w:rsidP="00644687">
      <w:pPr>
        <w:pStyle w:val="Default"/>
        <w:ind w:left="1440" w:hanging="1440"/>
        <w:jc w:val="both"/>
      </w:pPr>
    </w:p>
    <w:p w14:paraId="53421CE0" w14:textId="77777777" w:rsidR="00D328A5" w:rsidRPr="008C76AE" w:rsidRDefault="00D328A5" w:rsidP="00D73B1E">
      <w:pPr>
        <w:pStyle w:val="Default"/>
        <w:ind w:left="1440" w:hanging="1440"/>
        <w:jc w:val="both"/>
      </w:pPr>
    </w:p>
    <w:p w14:paraId="2A5AA2E8" w14:textId="77777777" w:rsidR="00D328A5" w:rsidRPr="006D50A4" w:rsidRDefault="00D328A5" w:rsidP="00D73B1E">
      <w:pPr>
        <w:pStyle w:val="Default"/>
        <w:numPr>
          <w:ilvl w:val="0"/>
          <w:numId w:val="2"/>
        </w:numPr>
        <w:ind w:left="1440" w:hanging="1440"/>
        <w:jc w:val="both"/>
        <w:rPr>
          <w:b/>
          <w:bCs/>
        </w:rPr>
      </w:pPr>
      <w:r w:rsidRPr="006D50A4">
        <w:rPr>
          <w:b/>
          <w:bCs/>
        </w:rPr>
        <w:t>Is FCG’s projected Total Operating Revenues for the projected test year appropriate? (Fallout Issue)</w:t>
      </w:r>
    </w:p>
    <w:p w14:paraId="72286D7A" w14:textId="77777777" w:rsidR="00D328A5" w:rsidRDefault="00D328A5" w:rsidP="00D73B1E">
      <w:pPr>
        <w:pStyle w:val="Default"/>
        <w:ind w:left="1440" w:hanging="1440"/>
        <w:jc w:val="both"/>
      </w:pPr>
    </w:p>
    <w:p w14:paraId="13FCE14D" w14:textId="77777777" w:rsidR="00644687" w:rsidRPr="00070C96" w:rsidRDefault="00644687" w:rsidP="00644687">
      <w:pPr>
        <w:ind w:left="1440" w:hanging="1440"/>
        <w:jc w:val="both"/>
        <w:rPr>
          <w:bCs/>
        </w:rPr>
      </w:pPr>
      <w:r>
        <w:rPr>
          <w:b/>
          <w:bCs/>
        </w:rPr>
        <w:t>FCG:</w:t>
      </w:r>
      <w:r>
        <w:rPr>
          <w:b/>
          <w:bCs/>
        </w:rPr>
        <w:tab/>
      </w:r>
      <w:r w:rsidR="001E7161" w:rsidRPr="00471540">
        <w:rPr>
          <w:rFonts w:eastAsia="Calibri"/>
          <w:color w:val="000000"/>
        </w:rPr>
        <w:t>Yes.  As reflected on Exhibit LF-</w:t>
      </w:r>
      <w:r w:rsidR="001E7161">
        <w:rPr>
          <w:rFonts w:eastAsia="Calibri"/>
          <w:color w:val="000000"/>
        </w:rPr>
        <w:t>11</w:t>
      </w:r>
      <w:r w:rsidR="001E7161" w:rsidRPr="00471540">
        <w:rPr>
          <w:rFonts w:eastAsia="Calibri"/>
          <w:color w:val="000000"/>
        </w:rPr>
        <w:t>, the appropriate amount of Total Operating Revenues is $</w:t>
      </w:r>
      <w:r w:rsidR="001E7161" w:rsidRPr="00F4091A">
        <w:rPr>
          <w:rFonts w:eastAsia="Calibri"/>
          <w:color w:val="000000"/>
        </w:rPr>
        <w:t>64,7</w:t>
      </w:r>
      <w:r w:rsidR="001E7161">
        <w:rPr>
          <w:rFonts w:eastAsia="Calibri"/>
          <w:color w:val="000000"/>
        </w:rPr>
        <w:t>24</w:t>
      </w:r>
      <w:r w:rsidR="001E7161" w:rsidRPr="00F4091A">
        <w:rPr>
          <w:rFonts w:eastAsia="Calibri"/>
          <w:color w:val="000000"/>
        </w:rPr>
        <w:t>,</w:t>
      </w:r>
      <w:r w:rsidR="001E7161">
        <w:rPr>
          <w:rFonts w:eastAsia="Calibri"/>
          <w:color w:val="000000"/>
        </w:rPr>
        <w:t>868</w:t>
      </w:r>
      <w:r w:rsidR="001E7161" w:rsidRPr="00471540">
        <w:rPr>
          <w:rFonts w:eastAsia="Calibri"/>
          <w:color w:val="000000"/>
        </w:rPr>
        <w:t xml:space="preserve"> (adjusted) for the 2023 projected test year. </w:t>
      </w:r>
      <w:r w:rsidR="001E7161">
        <w:rPr>
          <w:rFonts w:eastAsia="Calibri"/>
          <w:color w:val="000000"/>
        </w:rPr>
        <w:t xml:space="preserve"> </w:t>
      </w:r>
      <w:r w:rsidR="001E7161" w:rsidRPr="00471540">
        <w:rPr>
          <w:rFonts w:eastAsia="Calibri"/>
          <w:color w:val="000000"/>
        </w:rPr>
        <w:t xml:space="preserve">If the Commission does not adopt the RSAM as part of FCG’s four-year rate proposal, the appropriate amount of Total Operating Revenues without RSAM for the 2023 projected test year is </w:t>
      </w:r>
      <w:r w:rsidR="001E7161">
        <w:rPr>
          <w:rFonts w:eastAsia="Calibri"/>
          <w:color w:val="000000"/>
        </w:rPr>
        <w:t>also $</w:t>
      </w:r>
      <w:r w:rsidR="001E7161" w:rsidRPr="00F4091A">
        <w:rPr>
          <w:rFonts w:eastAsia="Calibri"/>
          <w:color w:val="000000"/>
        </w:rPr>
        <w:t>64,7</w:t>
      </w:r>
      <w:r w:rsidR="001E7161">
        <w:rPr>
          <w:rFonts w:eastAsia="Calibri"/>
          <w:color w:val="000000"/>
        </w:rPr>
        <w:t>24</w:t>
      </w:r>
      <w:r w:rsidR="001E7161" w:rsidRPr="00F4091A">
        <w:rPr>
          <w:rFonts w:eastAsia="Calibri"/>
          <w:color w:val="000000"/>
        </w:rPr>
        <w:t>,</w:t>
      </w:r>
      <w:r w:rsidR="001E7161">
        <w:rPr>
          <w:rFonts w:eastAsia="Calibri"/>
          <w:color w:val="000000"/>
        </w:rPr>
        <w:t>868</w:t>
      </w:r>
      <w:r w:rsidR="001E7161" w:rsidRPr="00471540">
        <w:rPr>
          <w:rFonts w:eastAsia="Calibri"/>
          <w:color w:val="000000"/>
        </w:rPr>
        <w:t xml:space="preserve"> (adjusted)</w:t>
      </w:r>
      <w:r w:rsidR="001E7161">
        <w:rPr>
          <w:rFonts w:eastAsia="Calibri"/>
          <w:color w:val="000000"/>
        </w:rPr>
        <w:t xml:space="preserve"> as reflected on Exhibit LF-12.</w:t>
      </w:r>
      <w:r w:rsidR="001E7161" w:rsidRPr="00471540">
        <w:rPr>
          <w:rFonts w:eastAsia="Calibri"/>
          <w:color w:val="000000"/>
        </w:rPr>
        <w:t xml:space="preserve"> </w:t>
      </w:r>
      <w:r w:rsidR="001E7161">
        <w:rPr>
          <w:rFonts w:eastAsia="Calibri"/>
          <w:color w:val="000000"/>
        </w:rPr>
        <w:t xml:space="preserve"> </w:t>
      </w:r>
      <w:r w:rsidR="001E7161" w:rsidRPr="00471540">
        <w:rPr>
          <w:rFonts w:eastAsia="Calibri"/>
          <w:color w:val="000000"/>
        </w:rPr>
        <w:t>(Fuentes)</w:t>
      </w:r>
    </w:p>
    <w:p w14:paraId="675C03BD" w14:textId="77777777" w:rsidR="00644687" w:rsidRPr="00070C96" w:rsidRDefault="00644687" w:rsidP="00644687">
      <w:pPr>
        <w:ind w:left="1440" w:hanging="1440"/>
        <w:jc w:val="both"/>
        <w:rPr>
          <w:bCs/>
        </w:rPr>
      </w:pPr>
    </w:p>
    <w:p w14:paraId="50084F6A" w14:textId="77777777" w:rsidR="00644687" w:rsidRPr="00070C96" w:rsidRDefault="00644687" w:rsidP="00644687">
      <w:pPr>
        <w:ind w:left="1440" w:hanging="1440"/>
        <w:jc w:val="both"/>
        <w:rPr>
          <w:bCs/>
        </w:rPr>
      </w:pPr>
      <w:r>
        <w:rPr>
          <w:b/>
          <w:bCs/>
        </w:rPr>
        <w:t>OPC:</w:t>
      </w:r>
      <w:r>
        <w:rPr>
          <w:b/>
          <w:bCs/>
        </w:rPr>
        <w:tab/>
      </w:r>
      <w:r w:rsidR="006D50A4">
        <w:t>No.</w:t>
      </w:r>
    </w:p>
    <w:p w14:paraId="69DB629B" w14:textId="77777777" w:rsidR="00644687" w:rsidRPr="00070C96" w:rsidRDefault="00644687" w:rsidP="00644687">
      <w:pPr>
        <w:ind w:left="1440" w:hanging="1440"/>
        <w:jc w:val="both"/>
        <w:rPr>
          <w:bCs/>
        </w:rPr>
      </w:pPr>
    </w:p>
    <w:p w14:paraId="2062D0FE" w14:textId="77777777" w:rsidR="00644687" w:rsidRPr="00070C96" w:rsidRDefault="00644687" w:rsidP="00644687">
      <w:pPr>
        <w:ind w:left="1440" w:hanging="1440"/>
        <w:jc w:val="both"/>
        <w:rPr>
          <w:bCs/>
        </w:rPr>
      </w:pPr>
      <w:r>
        <w:rPr>
          <w:b/>
          <w:bCs/>
        </w:rPr>
        <w:t>FEA:</w:t>
      </w:r>
      <w:r>
        <w:rPr>
          <w:b/>
          <w:bCs/>
        </w:rPr>
        <w:tab/>
      </w:r>
      <w:r w:rsidR="009D1863">
        <w:t>No position.</w:t>
      </w:r>
    </w:p>
    <w:p w14:paraId="09F85D58" w14:textId="77777777" w:rsidR="00644687" w:rsidRPr="00070C96" w:rsidRDefault="00644687" w:rsidP="00644687">
      <w:pPr>
        <w:ind w:left="1440" w:hanging="1440"/>
        <w:jc w:val="both"/>
        <w:rPr>
          <w:bCs/>
        </w:rPr>
      </w:pPr>
    </w:p>
    <w:p w14:paraId="1821ADDF"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5F1800A1" w14:textId="77777777" w:rsidR="00644687" w:rsidRPr="00070C96" w:rsidRDefault="00644687" w:rsidP="00644687">
      <w:pPr>
        <w:ind w:left="1440" w:hanging="1440"/>
        <w:jc w:val="both"/>
        <w:rPr>
          <w:bCs/>
        </w:rPr>
      </w:pPr>
    </w:p>
    <w:p w14:paraId="36DCF84E"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562E9DAE" w14:textId="77777777" w:rsidR="00644687" w:rsidRDefault="00644687" w:rsidP="00644687">
      <w:pPr>
        <w:pStyle w:val="Default"/>
        <w:ind w:left="1440" w:hanging="1440"/>
        <w:jc w:val="both"/>
      </w:pPr>
    </w:p>
    <w:p w14:paraId="5563F1C7" w14:textId="77777777" w:rsidR="00D328A5" w:rsidRPr="008C76AE" w:rsidRDefault="00D328A5" w:rsidP="00D73B1E">
      <w:pPr>
        <w:pStyle w:val="Default"/>
        <w:ind w:left="1440" w:hanging="1440"/>
        <w:jc w:val="both"/>
      </w:pPr>
    </w:p>
    <w:p w14:paraId="763F49C3" w14:textId="77777777" w:rsidR="00D328A5" w:rsidRPr="006D50A4" w:rsidRDefault="00D328A5" w:rsidP="00D73B1E">
      <w:pPr>
        <w:pStyle w:val="Default"/>
        <w:numPr>
          <w:ilvl w:val="0"/>
          <w:numId w:val="2"/>
        </w:numPr>
        <w:ind w:left="1440" w:hanging="1440"/>
        <w:jc w:val="both"/>
        <w:rPr>
          <w:b/>
        </w:rPr>
      </w:pPr>
      <w:r w:rsidRPr="006D50A4">
        <w:rPr>
          <w:b/>
          <w:bCs/>
        </w:rPr>
        <w:t xml:space="preserve">Has FCG made the appropriate adjustments to remove all non-utility activities from operation expenses, including depreciation and amortization expense? </w:t>
      </w:r>
    </w:p>
    <w:p w14:paraId="74FDC24F" w14:textId="77777777" w:rsidR="00D328A5" w:rsidRDefault="00D328A5" w:rsidP="00D73B1E">
      <w:pPr>
        <w:pStyle w:val="Default"/>
        <w:jc w:val="both"/>
      </w:pPr>
    </w:p>
    <w:p w14:paraId="4614564C" w14:textId="77777777" w:rsidR="00644687" w:rsidRPr="00070C96" w:rsidRDefault="00644687" w:rsidP="00644687">
      <w:pPr>
        <w:ind w:left="1440" w:hanging="1440"/>
        <w:jc w:val="both"/>
        <w:rPr>
          <w:bCs/>
        </w:rPr>
      </w:pPr>
      <w:r>
        <w:rPr>
          <w:b/>
          <w:bCs/>
        </w:rPr>
        <w:t>FCG:</w:t>
      </w:r>
      <w:r>
        <w:rPr>
          <w:b/>
          <w:bCs/>
        </w:rPr>
        <w:tab/>
      </w:r>
      <w:r w:rsidR="001E7161">
        <w:t>FCG does not have any non-utility investments and therefore, adjustments were not required</w:t>
      </w:r>
      <w:r w:rsidR="001E7161" w:rsidRPr="00471540">
        <w:rPr>
          <w:rFonts w:eastAsia="Calibri"/>
          <w:color w:val="000000"/>
        </w:rPr>
        <w:t xml:space="preserve">. </w:t>
      </w:r>
      <w:r w:rsidR="001E7161">
        <w:rPr>
          <w:rFonts w:eastAsia="Calibri"/>
          <w:color w:val="000000"/>
        </w:rPr>
        <w:t xml:space="preserve"> </w:t>
      </w:r>
      <w:r w:rsidR="001E7161" w:rsidRPr="00471540">
        <w:rPr>
          <w:rFonts w:eastAsia="Calibri"/>
          <w:color w:val="000000"/>
        </w:rPr>
        <w:t>(Fuentes)</w:t>
      </w:r>
    </w:p>
    <w:p w14:paraId="153F765B" w14:textId="77777777" w:rsidR="00644687" w:rsidRPr="00070C96" w:rsidRDefault="00644687" w:rsidP="00644687">
      <w:pPr>
        <w:ind w:left="1440" w:hanging="1440"/>
        <w:jc w:val="both"/>
        <w:rPr>
          <w:bCs/>
        </w:rPr>
      </w:pPr>
    </w:p>
    <w:p w14:paraId="3EAC453E" w14:textId="77777777" w:rsidR="00644687" w:rsidRPr="00070C96" w:rsidRDefault="00644687" w:rsidP="00644687">
      <w:pPr>
        <w:ind w:left="1440" w:hanging="1440"/>
        <w:jc w:val="both"/>
        <w:rPr>
          <w:bCs/>
        </w:rPr>
      </w:pPr>
      <w:r>
        <w:rPr>
          <w:b/>
          <w:bCs/>
        </w:rPr>
        <w:t>OPC:</w:t>
      </w:r>
      <w:r>
        <w:rPr>
          <w:b/>
          <w:bCs/>
        </w:rPr>
        <w:tab/>
      </w:r>
      <w:r w:rsidR="006D50A4">
        <w:t>No position.</w:t>
      </w:r>
    </w:p>
    <w:p w14:paraId="71E94099" w14:textId="77777777" w:rsidR="00644687" w:rsidRPr="00070C96" w:rsidRDefault="00644687" w:rsidP="00644687">
      <w:pPr>
        <w:ind w:left="1440" w:hanging="1440"/>
        <w:jc w:val="both"/>
        <w:rPr>
          <w:bCs/>
        </w:rPr>
      </w:pPr>
    </w:p>
    <w:p w14:paraId="1C602F10" w14:textId="77777777" w:rsidR="00644687" w:rsidRPr="00070C96" w:rsidRDefault="00644687" w:rsidP="00644687">
      <w:pPr>
        <w:ind w:left="1440" w:hanging="1440"/>
        <w:jc w:val="both"/>
        <w:rPr>
          <w:bCs/>
        </w:rPr>
      </w:pPr>
      <w:r>
        <w:rPr>
          <w:b/>
          <w:bCs/>
        </w:rPr>
        <w:t>FEA:</w:t>
      </w:r>
      <w:r>
        <w:rPr>
          <w:b/>
          <w:bCs/>
        </w:rPr>
        <w:tab/>
      </w:r>
      <w:r w:rsidR="009D1863">
        <w:t>No position.</w:t>
      </w:r>
    </w:p>
    <w:p w14:paraId="30FA277E" w14:textId="77777777" w:rsidR="00644687" w:rsidRPr="00070C96" w:rsidRDefault="00644687" w:rsidP="00644687">
      <w:pPr>
        <w:ind w:left="1440" w:hanging="1440"/>
        <w:jc w:val="both"/>
        <w:rPr>
          <w:bCs/>
        </w:rPr>
      </w:pPr>
    </w:p>
    <w:p w14:paraId="07C9ECD6"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88F7BF9" w14:textId="77777777" w:rsidR="00644687" w:rsidRPr="00070C96" w:rsidRDefault="00644687" w:rsidP="00644687">
      <w:pPr>
        <w:ind w:left="1440" w:hanging="1440"/>
        <w:jc w:val="both"/>
        <w:rPr>
          <w:bCs/>
        </w:rPr>
      </w:pPr>
    </w:p>
    <w:p w14:paraId="6393DC11"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3A6E657F" w14:textId="77777777" w:rsidR="00644687" w:rsidRDefault="00644687" w:rsidP="00644687">
      <w:pPr>
        <w:pStyle w:val="Default"/>
        <w:ind w:left="1440" w:hanging="1440"/>
        <w:jc w:val="both"/>
      </w:pPr>
    </w:p>
    <w:p w14:paraId="38389380" w14:textId="77777777" w:rsidR="00D328A5" w:rsidRPr="008C76AE" w:rsidRDefault="00D328A5" w:rsidP="00D73B1E">
      <w:pPr>
        <w:pStyle w:val="Default"/>
        <w:jc w:val="both"/>
      </w:pPr>
    </w:p>
    <w:p w14:paraId="6D7F7196" w14:textId="77777777" w:rsidR="00D328A5" w:rsidRPr="006D50A4" w:rsidRDefault="00D328A5" w:rsidP="00D73B1E">
      <w:pPr>
        <w:pStyle w:val="Default"/>
        <w:numPr>
          <w:ilvl w:val="0"/>
          <w:numId w:val="2"/>
        </w:numPr>
        <w:ind w:left="1440" w:hanging="1440"/>
        <w:jc w:val="both"/>
        <w:rPr>
          <w:b/>
        </w:rPr>
      </w:pPr>
      <w:r w:rsidRPr="006D50A4">
        <w:rPr>
          <w:b/>
        </w:rPr>
        <w:t xml:space="preserve">What is the appropriate amount of salaries and benefits to include in the projected test year? </w:t>
      </w:r>
    </w:p>
    <w:p w14:paraId="4D356A66" w14:textId="77777777" w:rsidR="00D328A5" w:rsidRDefault="00D328A5" w:rsidP="00D73B1E">
      <w:pPr>
        <w:pStyle w:val="Default"/>
        <w:ind w:left="1440" w:hanging="1440"/>
        <w:jc w:val="both"/>
      </w:pPr>
    </w:p>
    <w:p w14:paraId="153F9BE8" w14:textId="77777777" w:rsidR="00644687" w:rsidRPr="00070C96" w:rsidRDefault="00644687" w:rsidP="00644687">
      <w:pPr>
        <w:ind w:left="1440" w:hanging="1440"/>
        <w:jc w:val="both"/>
        <w:rPr>
          <w:bCs/>
        </w:rPr>
      </w:pPr>
      <w:r>
        <w:rPr>
          <w:b/>
          <w:bCs/>
        </w:rPr>
        <w:t>FCG:</w:t>
      </w:r>
      <w:r>
        <w:rPr>
          <w:b/>
          <w:bCs/>
        </w:rPr>
        <w:tab/>
      </w:r>
      <w:r w:rsidR="001E7161" w:rsidRPr="3A287D77">
        <w:rPr>
          <w:rFonts w:eastAsia="Calibri"/>
          <w:color w:val="000000" w:themeColor="text1"/>
        </w:rPr>
        <w:t>As adjusted on Exhibit LF-11 (with RSAM) and LF-12 (without RSAM), the appropriate amount of salaries and benefits, including incentive compensation amounts allocated from FPL, to include in the Test Year is $</w:t>
      </w:r>
      <w:r w:rsidR="001E7161">
        <w:rPr>
          <w:rFonts w:eastAsia="Calibri"/>
          <w:color w:val="000000" w:themeColor="text1"/>
        </w:rPr>
        <w:t>14,803,183</w:t>
      </w:r>
      <w:r w:rsidR="001E7161" w:rsidRPr="3A287D77">
        <w:rPr>
          <w:rFonts w:eastAsia="Calibri"/>
          <w:color w:val="000000" w:themeColor="text1"/>
        </w:rPr>
        <w:t xml:space="preserve">.  One hundred percent of the 2023 Test Year level of Salaries and Employee Benefits expense is appropriate, and reflects that portions of executive and non-executive incentive compensation allocated from FPL have been excluded consistent </w:t>
      </w:r>
      <w:r w:rsidR="001E7161">
        <w:rPr>
          <w:rFonts w:eastAsia="Calibri"/>
          <w:color w:val="000000" w:themeColor="text1"/>
        </w:rPr>
        <w:t>with</w:t>
      </w:r>
      <w:r w:rsidR="001E7161" w:rsidRPr="3A287D77">
        <w:rPr>
          <w:rFonts w:eastAsia="Calibri"/>
          <w:color w:val="000000" w:themeColor="text1"/>
        </w:rPr>
        <w:t xml:space="preserve"> Order No. PSC-2010-0153-FOF-EI. </w:t>
      </w:r>
      <w:r w:rsidR="001E7161">
        <w:rPr>
          <w:rFonts w:eastAsia="Calibri"/>
          <w:color w:val="000000" w:themeColor="text1"/>
        </w:rPr>
        <w:t xml:space="preserve"> </w:t>
      </w:r>
      <w:r w:rsidR="001E7161" w:rsidRPr="3A287D77">
        <w:rPr>
          <w:rFonts w:eastAsia="Calibri"/>
          <w:color w:val="000000" w:themeColor="text1"/>
        </w:rPr>
        <w:t>The reasonableness of salary and benefit expense is demonstrated in a number of ways, including comparison of</w:t>
      </w:r>
      <w:r w:rsidR="001E7161">
        <w:rPr>
          <w:rFonts w:eastAsia="Calibri"/>
          <w:color w:val="000000" w:themeColor="text1"/>
        </w:rPr>
        <w:t xml:space="preserve"> </w:t>
      </w:r>
      <w:r w:rsidR="001E7161" w:rsidRPr="3A287D77">
        <w:rPr>
          <w:rFonts w:eastAsia="Calibri"/>
          <w:color w:val="000000" w:themeColor="text1"/>
        </w:rPr>
        <w:t>FCG’s salaries, annual pay increase program, and non-executive variable incentive pay to the relevant comparative market</w:t>
      </w:r>
      <w:r w:rsidR="001E7161">
        <w:rPr>
          <w:rFonts w:eastAsia="Calibri"/>
          <w:color w:val="000000" w:themeColor="text1"/>
        </w:rPr>
        <w:t>.</w:t>
      </w:r>
      <w:r w:rsidR="001E7161" w:rsidRPr="3A287D77">
        <w:rPr>
          <w:rFonts w:eastAsia="Calibri"/>
          <w:color w:val="000000" w:themeColor="text1"/>
        </w:rPr>
        <w:t xml:space="preserve"> </w:t>
      </w:r>
      <w:r w:rsidR="001E7161">
        <w:rPr>
          <w:rFonts w:eastAsia="Calibri"/>
          <w:color w:val="000000" w:themeColor="text1"/>
        </w:rPr>
        <w:t xml:space="preserve"> </w:t>
      </w:r>
      <w:r w:rsidR="001E7161" w:rsidRPr="3A287D77">
        <w:rPr>
          <w:rFonts w:eastAsia="Calibri"/>
          <w:color w:val="000000" w:themeColor="text1"/>
        </w:rPr>
        <w:t>(Howard, Slattery)</w:t>
      </w:r>
    </w:p>
    <w:p w14:paraId="506372CB" w14:textId="77777777" w:rsidR="00644687" w:rsidRPr="00070C96" w:rsidRDefault="00644687" w:rsidP="00644687">
      <w:pPr>
        <w:ind w:left="1440" w:hanging="1440"/>
        <w:jc w:val="both"/>
        <w:rPr>
          <w:bCs/>
        </w:rPr>
      </w:pPr>
      <w:r>
        <w:rPr>
          <w:b/>
          <w:bCs/>
        </w:rPr>
        <w:t>OPC:</w:t>
      </w:r>
      <w:r>
        <w:rPr>
          <w:b/>
          <w:bCs/>
        </w:rPr>
        <w:tab/>
      </w:r>
      <w:r w:rsidR="006D50A4">
        <w:t>Base payroll should be reduced by $793,501. Excessive incentive compensation should be reduced by $524,119. Incentive compensation should be reduced by $398,746. Long term incentive compensation should be reduced by $163,461. Benefits should be reduced to match actual employee complement in the amount of $49,533. Payroll taxes should be reduced by $122,767 as reflected in Issue 52. Affiliate payroll related expenses should be reduced by the amount of $405,440, and affiliate SERP expense should be reduced by $29,576. (Schultz)</w:t>
      </w:r>
    </w:p>
    <w:p w14:paraId="1237C3BE" w14:textId="77777777" w:rsidR="00644687" w:rsidRPr="00070C96" w:rsidRDefault="00644687" w:rsidP="00644687">
      <w:pPr>
        <w:ind w:left="1440" w:hanging="1440"/>
        <w:jc w:val="both"/>
        <w:rPr>
          <w:bCs/>
        </w:rPr>
      </w:pPr>
    </w:p>
    <w:p w14:paraId="005D1C61" w14:textId="77777777" w:rsidR="00644687" w:rsidRPr="00070C96" w:rsidRDefault="00644687" w:rsidP="00644687">
      <w:pPr>
        <w:ind w:left="1440" w:hanging="1440"/>
        <w:jc w:val="both"/>
        <w:rPr>
          <w:bCs/>
        </w:rPr>
      </w:pPr>
      <w:r>
        <w:rPr>
          <w:b/>
          <w:bCs/>
        </w:rPr>
        <w:t>FEA:</w:t>
      </w:r>
      <w:r>
        <w:rPr>
          <w:b/>
          <w:bCs/>
        </w:rPr>
        <w:tab/>
      </w:r>
      <w:r w:rsidR="009D1863">
        <w:t>No position.</w:t>
      </w:r>
    </w:p>
    <w:p w14:paraId="0F166C3D" w14:textId="77777777" w:rsidR="00644687" w:rsidRPr="00070C96" w:rsidRDefault="00644687" w:rsidP="00644687">
      <w:pPr>
        <w:ind w:left="1440" w:hanging="1440"/>
        <w:jc w:val="both"/>
        <w:rPr>
          <w:bCs/>
        </w:rPr>
      </w:pPr>
    </w:p>
    <w:p w14:paraId="6A432013"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2C325ECA" w14:textId="77777777" w:rsidR="00644687" w:rsidRPr="00070C96" w:rsidRDefault="00644687" w:rsidP="00644687">
      <w:pPr>
        <w:ind w:left="1440" w:hanging="1440"/>
        <w:jc w:val="both"/>
        <w:rPr>
          <w:bCs/>
        </w:rPr>
      </w:pPr>
    </w:p>
    <w:p w14:paraId="236B27ED"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0E77FF2" w14:textId="77777777" w:rsidR="00644687" w:rsidRDefault="00644687" w:rsidP="00644687">
      <w:pPr>
        <w:pStyle w:val="Default"/>
        <w:ind w:left="1440" w:hanging="1440"/>
        <w:jc w:val="both"/>
      </w:pPr>
    </w:p>
    <w:p w14:paraId="2C244061" w14:textId="77777777" w:rsidR="00D328A5" w:rsidRPr="008C76AE" w:rsidRDefault="00D328A5" w:rsidP="00D73B1E">
      <w:pPr>
        <w:pStyle w:val="Default"/>
        <w:ind w:left="1440" w:hanging="1440"/>
        <w:jc w:val="both"/>
      </w:pPr>
    </w:p>
    <w:p w14:paraId="05C69E70" w14:textId="77777777" w:rsidR="000C3237" w:rsidRDefault="000C3237" w:rsidP="00D73B1E">
      <w:pPr>
        <w:pStyle w:val="Default"/>
        <w:numPr>
          <w:ilvl w:val="0"/>
          <w:numId w:val="2"/>
        </w:numPr>
        <w:ind w:left="1440" w:hanging="1440"/>
        <w:jc w:val="both"/>
        <w:rPr>
          <w:b/>
          <w:bCs/>
        </w:rPr>
      </w:pPr>
      <w:r>
        <w:rPr>
          <w:b/>
          <w:bCs/>
        </w:rPr>
        <w:t xml:space="preserve">What is the appropriate amount of the affiliate expense to be included in the projected test year? </w:t>
      </w:r>
    </w:p>
    <w:p w14:paraId="2FB8CFF5" w14:textId="77777777" w:rsidR="000C3237" w:rsidRDefault="000C3237" w:rsidP="000C3237">
      <w:pPr>
        <w:pStyle w:val="Default"/>
        <w:jc w:val="both"/>
        <w:rPr>
          <w:b/>
          <w:bCs/>
        </w:rPr>
      </w:pPr>
    </w:p>
    <w:p w14:paraId="600EB65B" w14:textId="77777777" w:rsidR="000C3237" w:rsidRPr="00070C96" w:rsidRDefault="000C3237" w:rsidP="000C3237">
      <w:pPr>
        <w:ind w:left="1440" w:hanging="1440"/>
        <w:jc w:val="both"/>
        <w:rPr>
          <w:bCs/>
        </w:rPr>
      </w:pPr>
      <w:r>
        <w:rPr>
          <w:b/>
          <w:bCs/>
        </w:rPr>
        <w:t>FCG:</w:t>
      </w:r>
      <w:r>
        <w:rPr>
          <w:b/>
          <w:bCs/>
        </w:rPr>
        <w:tab/>
      </w:r>
      <w:r w:rsidR="00895480" w:rsidRPr="00617B90">
        <w:rPr>
          <w:bCs/>
        </w:rPr>
        <w:t>As adjusted in Exhibit LF-11, the appropriate amount of affiliate expense to</w:t>
      </w:r>
      <w:r w:rsidR="00895480">
        <w:rPr>
          <w:bCs/>
        </w:rPr>
        <w:t xml:space="preserve"> </w:t>
      </w:r>
      <w:r w:rsidR="00895480" w:rsidRPr="00617B90">
        <w:rPr>
          <w:bCs/>
        </w:rPr>
        <w:t>be included in the 2023 Test Year is $2.5 million. This amount is included in the total amount of operation and maintenance expenses in the calculation of revenue requirements and does not reflect any affiliate costs related to rate case expenses or costs that were transferred from base to clause.</w:t>
      </w:r>
    </w:p>
    <w:p w14:paraId="2F769E6C" w14:textId="77777777" w:rsidR="000C3237" w:rsidRPr="00070C96" w:rsidRDefault="000C3237" w:rsidP="000C3237">
      <w:pPr>
        <w:ind w:left="1440" w:hanging="1440"/>
        <w:jc w:val="both"/>
        <w:rPr>
          <w:bCs/>
        </w:rPr>
      </w:pPr>
    </w:p>
    <w:p w14:paraId="74A85525" w14:textId="77777777" w:rsidR="000C3237" w:rsidRDefault="000C3237" w:rsidP="000C3237">
      <w:pPr>
        <w:ind w:left="1440" w:hanging="1440"/>
        <w:jc w:val="both"/>
        <w:rPr>
          <w:bCs/>
        </w:rPr>
      </w:pPr>
      <w:r>
        <w:rPr>
          <w:b/>
          <w:bCs/>
        </w:rPr>
        <w:t>OPC:</w:t>
      </w:r>
      <w:r>
        <w:rPr>
          <w:b/>
          <w:bCs/>
        </w:rPr>
        <w:tab/>
      </w:r>
      <w:r w:rsidRPr="003D3D17">
        <w:rPr>
          <w:bCs/>
        </w:rPr>
        <w:t>Yes, AMI O&amp;M expense should be removed from the projected test year since the Commission should not grant FCG’s request to burden customers with the cost of this experimental program. OPC Witness Schultz addresses this in his testimony and exhibits including, but not limited to, Schedule C-7. (Schultz)</w:t>
      </w:r>
    </w:p>
    <w:p w14:paraId="78D76A51" w14:textId="77777777" w:rsidR="000C3237" w:rsidRPr="003D3D17" w:rsidRDefault="000C3237" w:rsidP="000C3237">
      <w:pPr>
        <w:ind w:left="1440" w:hanging="1440"/>
        <w:jc w:val="both"/>
        <w:rPr>
          <w:b/>
          <w:bCs/>
        </w:rPr>
      </w:pPr>
    </w:p>
    <w:p w14:paraId="7B16AB9E" w14:textId="77777777" w:rsidR="000C3237" w:rsidRDefault="000C3237" w:rsidP="000C3237">
      <w:pPr>
        <w:autoSpaceDE w:val="0"/>
        <w:autoSpaceDN w:val="0"/>
        <w:adjustRightInd w:val="0"/>
        <w:ind w:left="1440" w:hanging="1440"/>
        <w:jc w:val="both"/>
      </w:pPr>
      <w:r>
        <w:rPr>
          <w:b/>
          <w:bCs/>
        </w:rPr>
        <w:t>FEA:</w:t>
      </w:r>
      <w:r>
        <w:rPr>
          <w:b/>
          <w:bCs/>
        </w:rPr>
        <w:tab/>
      </w:r>
      <w:r>
        <w:t>No position.</w:t>
      </w:r>
    </w:p>
    <w:p w14:paraId="2FC2D8E4" w14:textId="77777777" w:rsidR="000C3237" w:rsidRDefault="000C3237" w:rsidP="000C3237">
      <w:pPr>
        <w:autoSpaceDE w:val="0"/>
        <w:autoSpaceDN w:val="0"/>
        <w:adjustRightInd w:val="0"/>
        <w:ind w:left="1440" w:hanging="1440"/>
        <w:jc w:val="both"/>
      </w:pPr>
    </w:p>
    <w:p w14:paraId="61076C7B" w14:textId="77777777" w:rsidR="000C3237" w:rsidRPr="00070C96" w:rsidRDefault="000C3237" w:rsidP="000C3237">
      <w:pPr>
        <w:autoSpaceDE w:val="0"/>
        <w:autoSpaceDN w:val="0"/>
        <w:adjustRightInd w:val="0"/>
        <w:ind w:left="1440" w:hanging="1440"/>
        <w:jc w:val="both"/>
        <w:rPr>
          <w:bCs/>
        </w:rPr>
      </w:pPr>
      <w:r>
        <w:rPr>
          <w:b/>
          <w:bCs/>
        </w:rPr>
        <w:t>FIPUG:</w:t>
      </w:r>
      <w:r>
        <w:rPr>
          <w:b/>
          <w:bCs/>
        </w:rPr>
        <w:tab/>
      </w:r>
      <w:r>
        <w:rPr>
          <w:bCs/>
        </w:rPr>
        <w:t>No position.</w:t>
      </w:r>
    </w:p>
    <w:p w14:paraId="74D999B9" w14:textId="77777777" w:rsidR="000C3237" w:rsidRPr="00070C96" w:rsidRDefault="000C3237" w:rsidP="000C3237">
      <w:pPr>
        <w:ind w:left="1440" w:hanging="1440"/>
        <w:jc w:val="both"/>
        <w:rPr>
          <w:bCs/>
        </w:rPr>
      </w:pPr>
    </w:p>
    <w:p w14:paraId="5AEB55C0" w14:textId="77777777" w:rsidR="000C3237" w:rsidRDefault="000C3237" w:rsidP="000C3237">
      <w:pPr>
        <w:pStyle w:val="Default"/>
        <w:ind w:left="1440" w:hanging="1440"/>
        <w:jc w:val="both"/>
      </w:pPr>
      <w:r w:rsidRPr="005D4B47">
        <w:rPr>
          <w:b/>
          <w:bCs/>
        </w:rPr>
        <w:t>STAFF</w:t>
      </w:r>
      <w:r w:rsidRPr="00701945">
        <w:rPr>
          <w:b/>
          <w:bCs/>
        </w:rPr>
        <w:t>:</w:t>
      </w:r>
      <w:r>
        <w:rPr>
          <w:b/>
          <w:bCs/>
        </w:rPr>
        <w:tab/>
      </w:r>
      <w:r>
        <w:t>No position.</w:t>
      </w:r>
    </w:p>
    <w:p w14:paraId="11459738" w14:textId="77777777" w:rsidR="000C3237" w:rsidRDefault="000C3237" w:rsidP="000C3237">
      <w:pPr>
        <w:pStyle w:val="Default"/>
        <w:jc w:val="both"/>
        <w:rPr>
          <w:b/>
          <w:bCs/>
        </w:rPr>
      </w:pPr>
    </w:p>
    <w:p w14:paraId="35C70B79" w14:textId="77777777" w:rsidR="000C3237" w:rsidRDefault="000C3237" w:rsidP="000C3237">
      <w:pPr>
        <w:pStyle w:val="Default"/>
        <w:jc w:val="both"/>
        <w:rPr>
          <w:b/>
          <w:bCs/>
        </w:rPr>
      </w:pPr>
    </w:p>
    <w:p w14:paraId="300FE96A" w14:textId="77777777" w:rsidR="00D328A5" w:rsidRPr="00FE4D45" w:rsidRDefault="00D328A5" w:rsidP="00D73B1E">
      <w:pPr>
        <w:pStyle w:val="Default"/>
        <w:numPr>
          <w:ilvl w:val="0"/>
          <w:numId w:val="2"/>
        </w:numPr>
        <w:ind w:left="1440" w:hanging="1440"/>
        <w:jc w:val="both"/>
        <w:rPr>
          <w:b/>
          <w:bCs/>
        </w:rPr>
      </w:pPr>
      <w:r w:rsidRPr="00FE4D45">
        <w:rPr>
          <w:b/>
          <w:bCs/>
        </w:rPr>
        <w:t xml:space="preserve">What is the appropriate amount of pensions and post-retirement benefits expense to include in the projected test year? </w:t>
      </w:r>
    </w:p>
    <w:p w14:paraId="6D7A53C8"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08ED1C6A" w14:textId="77777777" w:rsidR="00644687" w:rsidRPr="00070C96" w:rsidRDefault="00644687" w:rsidP="00644687">
      <w:pPr>
        <w:ind w:left="1440" w:hanging="1440"/>
        <w:jc w:val="both"/>
        <w:rPr>
          <w:bCs/>
        </w:rPr>
      </w:pPr>
      <w:r>
        <w:rPr>
          <w:b/>
          <w:bCs/>
        </w:rPr>
        <w:t>FCG:</w:t>
      </w:r>
      <w:r>
        <w:rPr>
          <w:b/>
          <w:bCs/>
        </w:rPr>
        <w:tab/>
      </w:r>
      <w:r w:rsidR="001E7161" w:rsidRPr="3A287D77">
        <w:rPr>
          <w:rFonts w:eastAsia="Calibri"/>
          <w:color w:val="000000" w:themeColor="text1"/>
        </w:rPr>
        <w:t>The appropriate amount of Other Post Employment Benefit expense for the 2023 Test Year is $</w:t>
      </w:r>
      <w:r w:rsidR="001E7161">
        <w:rPr>
          <w:rFonts w:eastAsia="Calibri"/>
          <w:color w:val="000000" w:themeColor="text1"/>
        </w:rPr>
        <w:t>29,845</w:t>
      </w:r>
      <w:r w:rsidR="001E7161" w:rsidRPr="3A287D77">
        <w:rPr>
          <w:rFonts w:eastAsia="Calibri"/>
          <w:color w:val="000000" w:themeColor="text1"/>
        </w:rPr>
        <w:t xml:space="preserve"> (adjusted).  The appropriate amount of Pension income for the 2023 Test Year is $1,357,212 (adjusted).  (Fuentes, Slattery</w:t>
      </w:r>
      <w:r w:rsidR="001E7161">
        <w:rPr>
          <w:rFonts w:eastAsia="Calibri"/>
          <w:color w:val="000000" w:themeColor="text1"/>
        </w:rPr>
        <w:t>, Campbell</w:t>
      </w:r>
      <w:r w:rsidR="001E7161" w:rsidRPr="3A287D77">
        <w:rPr>
          <w:rFonts w:eastAsia="Calibri"/>
          <w:color w:val="000000" w:themeColor="text1"/>
        </w:rPr>
        <w:t>)</w:t>
      </w:r>
    </w:p>
    <w:p w14:paraId="0B67D29F" w14:textId="77777777" w:rsidR="00644687" w:rsidRPr="00070C96" w:rsidRDefault="00644687" w:rsidP="00644687">
      <w:pPr>
        <w:ind w:left="1440" w:hanging="1440"/>
        <w:jc w:val="both"/>
        <w:rPr>
          <w:bCs/>
        </w:rPr>
      </w:pPr>
    </w:p>
    <w:p w14:paraId="2907D583" w14:textId="77777777" w:rsidR="00644687" w:rsidRPr="00070C96" w:rsidRDefault="00644687" w:rsidP="00644687">
      <w:pPr>
        <w:ind w:left="1440" w:hanging="1440"/>
        <w:jc w:val="both"/>
        <w:rPr>
          <w:bCs/>
        </w:rPr>
      </w:pPr>
      <w:r>
        <w:rPr>
          <w:b/>
          <w:bCs/>
        </w:rPr>
        <w:t>OPC:</w:t>
      </w:r>
      <w:r>
        <w:rPr>
          <w:b/>
          <w:bCs/>
        </w:rPr>
        <w:tab/>
      </w:r>
      <w:r w:rsidR="00FE4D45">
        <w:t>Affiliate SERP costs in the amount of $29,576 should be removed as shown in Issue 39. (Schultz)</w:t>
      </w:r>
    </w:p>
    <w:p w14:paraId="2DA2728A" w14:textId="77777777" w:rsidR="00644687" w:rsidRPr="00070C96" w:rsidRDefault="00644687" w:rsidP="00644687">
      <w:pPr>
        <w:ind w:left="1440" w:hanging="1440"/>
        <w:jc w:val="both"/>
        <w:rPr>
          <w:bCs/>
        </w:rPr>
      </w:pPr>
      <w:r>
        <w:rPr>
          <w:b/>
          <w:bCs/>
        </w:rPr>
        <w:t>FEA:</w:t>
      </w:r>
      <w:r>
        <w:rPr>
          <w:b/>
          <w:bCs/>
        </w:rPr>
        <w:tab/>
      </w:r>
      <w:r w:rsidR="009D1863">
        <w:t>No position.</w:t>
      </w:r>
    </w:p>
    <w:p w14:paraId="4C10D559" w14:textId="77777777" w:rsidR="00644687" w:rsidRPr="00070C96" w:rsidRDefault="00644687" w:rsidP="00644687">
      <w:pPr>
        <w:ind w:left="1440" w:hanging="1440"/>
        <w:jc w:val="both"/>
        <w:rPr>
          <w:bCs/>
        </w:rPr>
      </w:pPr>
    </w:p>
    <w:p w14:paraId="3CD5A088"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A7C5C24" w14:textId="77777777" w:rsidR="00644687" w:rsidRPr="00070C96" w:rsidRDefault="00644687" w:rsidP="00644687">
      <w:pPr>
        <w:ind w:left="1440" w:hanging="1440"/>
        <w:jc w:val="both"/>
        <w:rPr>
          <w:bCs/>
        </w:rPr>
      </w:pPr>
    </w:p>
    <w:p w14:paraId="3FE7D002" w14:textId="77777777" w:rsidR="00461AFB" w:rsidRDefault="00644687" w:rsidP="00D85565">
      <w:pPr>
        <w:pStyle w:val="Default"/>
        <w:ind w:left="1440" w:hanging="1440"/>
        <w:jc w:val="both"/>
      </w:pPr>
      <w:r w:rsidRPr="005D4B47">
        <w:rPr>
          <w:b/>
          <w:bCs/>
        </w:rPr>
        <w:t>STAFF</w:t>
      </w:r>
      <w:r w:rsidRPr="00701945">
        <w:rPr>
          <w:b/>
          <w:bCs/>
        </w:rPr>
        <w:t>:</w:t>
      </w:r>
      <w:r>
        <w:rPr>
          <w:b/>
          <w:bCs/>
        </w:rPr>
        <w:tab/>
      </w:r>
      <w:r w:rsidR="00F53BE5">
        <w:t>No position.</w:t>
      </w:r>
    </w:p>
    <w:p w14:paraId="3B23AB07" w14:textId="77777777" w:rsidR="00AA0E34" w:rsidRDefault="00AA0E34" w:rsidP="00F955BF">
      <w:pPr>
        <w:pStyle w:val="Default"/>
        <w:ind w:left="1440" w:hanging="1440"/>
        <w:jc w:val="both"/>
      </w:pPr>
    </w:p>
    <w:p w14:paraId="6264FE43" w14:textId="77777777" w:rsidR="00461AFB" w:rsidRPr="00D328A5" w:rsidRDefault="00461AFB" w:rsidP="00F955BF">
      <w:pPr>
        <w:pStyle w:val="Default"/>
        <w:ind w:left="1440" w:hanging="1440"/>
        <w:jc w:val="both"/>
      </w:pPr>
    </w:p>
    <w:p w14:paraId="577B3E8F" w14:textId="77777777" w:rsidR="00D328A5" w:rsidRPr="00FE4D45" w:rsidRDefault="00D328A5" w:rsidP="00D73B1E">
      <w:pPr>
        <w:pStyle w:val="Default"/>
        <w:numPr>
          <w:ilvl w:val="0"/>
          <w:numId w:val="2"/>
        </w:numPr>
        <w:ind w:left="1440" w:hanging="1440"/>
        <w:jc w:val="both"/>
        <w:rPr>
          <w:b/>
          <w:bCs/>
        </w:rPr>
      </w:pPr>
      <w:r w:rsidRPr="00FE4D45">
        <w:rPr>
          <w:b/>
        </w:rPr>
        <w:t>Is the injuries and damages expense in the test year reasonable?</w:t>
      </w:r>
    </w:p>
    <w:p w14:paraId="2E1BD535"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7CCF233F" w14:textId="77777777" w:rsidR="00644687" w:rsidRPr="00070C96" w:rsidRDefault="00644687" w:rsidP="00644687">
      <w:pPr>
        <w:ind w:left="1440" w:hanging="1440"/>
        <w:jc w:val="both"/>
        <w:rPr>
          <w:bCs/>
        </w:rPr>
      </w:pPr>
      <w:r>
        <w:rPr>
          <w:b/>
          <w:bCs/>
        </w:rPr>
        <w:t>FCG:</w:t>
      </w:r>
      <w:r>
        <w:rPr>
          <w:b/>
          <w:bCs/>
        </w:rPr>
        <w:tab/>
      </w:r>
      <w:r w:rsidR="001E7161">
        <w:rPr>
          <w:rFonts w:eastAsia="Calibri"/>
          <w:color w:val="000000"/>
        </w:rPr>
        <w:t>Yes.  As reflected on page 4 of MFR E-6</w:t>
      </w:r>
      <w:r w:rsidR="001E7161" w:rsidDel="00830A7F">
        <w:rPr>
          <w:rFonts w:eastAsia="Calibri"/>
          <w:color w:val="000000"/>
        </w:rPr>
        <w:t xml:space="preserve">, </w:t>
      </w:r>
      <w:r w:rsidR="001E7161">
        <w:rPr>
          <w:rFonts w:eastAsia="Calibri"/>
          <w:color w:val="000000"/>
        </w:rPr>
        <w:t>the reasonable Test Year expense for Account 925 (Injuries &amp; Damages) is $515,304.  The record evidence demonstrates FCG’s commitment to safety and minimizing its OSHA-recordable incidents.  The record evidence also demonstrates that the increase in the expense for Account 925 (Injuries and Damages) is largely attributable to an increase in the cost of insurance premiums across the business.  (Howard)</w:t>
      </w:r>
    </w:p>
    <w:p w14:paraId="318835A7" w14:textId="77777777" w:rsidR="00644687" w:rsidRPr="00070C96" w:rsidRDefault="00644687" w:rsidP="00644687">
      <w:pPr>
        <w:ind w:left="1440" w:hanging="1440"/>
        <w:jc w:val="both"/>
        <w:rPr>
          <w:bCs/>
        </w:rPr>
      </w:pPr>
    </w:p>
    <w:p w14:paraId="517F149E" w14:textId="77777777" w:rsidR="00644687" w:rsidRPr="00070C96" w:rsidRDefault="00644687" w:rsidP="00644687">
      <w:pPr>
        <w:ind w:left="1440" w:hanging="1440"/>
        <w:jc w:val="both"/>
        <w:rPr>
          <w:bCs/>
        </w:rPr>
      </w:pPr>
      <w:r>
        <w:rPr>
          <w:b/>
          <w:bCs/>
        </w:rPr>
        <w:t>OPC:</w:t>
      </w:r>
      <w:r>
        <w:rPr>
          <w:b/>
          <w:bCs/>
        </w:rPr>
        <w:tab/>
      </w:r>
      <w:r w:rsidR="00FE4D45">
        <w:t>No. OPC Witness Schultz addresses this issue in his testimony and exhibits including but not limited to, Schedule C-5. The Commission should adjust the injuries and damages expense by $212,790. (Schultz)</w:t>
      </w:r>
    </w:p>
    <w:p w14:paraId="1346E025" w14:textId="77777777" w:rsidR="00644687" w:rsidRPr="00070C96" w:rsidRDefault="00644687" w:rsidP="00644687">
      <w:pPr>
        <w:ind w:left="1440" w:hanging="1440"/>
        <w:jc w:val="both"/>
        <w:rPr>
          <w:bCs/>
        </w:rPr>
      </w:pPr>
    </w:p>
    <w:p w14:paraId="2111B0C1" w14:textId="77777777" w:rsidR="00644687" w:rsidRPr="00070C96" w:rsidRDefault="00644687" w:rsidP="00644687">
      <w:pPr>
        <w:ind w:left="1440" w:hanging="1440"/>
        <w:jc w:val="both"/>
        <w:rPr>
          <w:bCs/>
        </w:rPr>
      </w:pPr>
      <w:r>
        <w:rPr>
          <w:b/>
          <w:bCs/>
        </w:rPr>
        <w:t>FEA:</w:t>
      </w:r>
      <w:r>
        <w:rPr>
          <w:b/>
          <w:bCs/>
        </w:rPr>
        <w:tab/>
      </w:r>
      <w:r w:rsidR="009D1863">
        <w:t>No position.</w:t>
      </w:r>
    </w:p>
    <w:p w14:paraId="3EB69044" w14:textId="77777777" w:rsidR="00644687" w:rsidRPr="00070C96" w:rsidRDefault="00644687" w:rsidP="00644687">
      <w:pPr>
        <w:ind w:left="1440" w:hanging="1440"/>
        <w:jc w:val="both"/>
        <w:rPr>
          <w:bCs/>
        </w:rPr>
      </w:pPr>
    </w:p>
    <w:p w14:paraId="7CC9445C"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50507E73" w14:textId="77777777" w:rsidR="00644687" w:rsidRPr="00070C96" w:rsidRDefault="00644687" w:rsidP="00644687">
      <w:pPr>
        <w:ind w:left="1440" w:hanging="1440"/>
        <w:jc w:val="both"/>
        <w:rPr>
          <w:bCs/>
        </w:rPr>
      </w:pPr>
    </w:p>
    <w:p w14:paraId="3B0FD386"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9329C09" w14:textId="77777777" w:rsidR="00644687" w:rsidRDefault="00644687" w:rsidP="00644687">
      <w:pPr>
        <w:pStyle w:val="Default"/>
        <w:ind w:left="1440" w:hanging="1440"/>
        <w:jc w:val="both"/>
      </w:pPr>
    </w:p>
    <w:p w14:paraId="5598F5BC" w14:textId="77777777" w:rsidR="00D328A5" w:rsidRPr="00D328A5" w:rsidRDefault="00D328A5" w:rsidP="00D73B1E">
      <w:pPr>
        <w:pStyle w:val="ListParagraph"/>
        <w:spacing w:after="0"/>
        <w:ind w:left="0"/>
        <w:jc w:val="both"/>
        <w:rPr>
          <w:rFonts w:ascii="Times New Roman" w:hAnsi="Times New Roman" w:cs="Times New Roman"/>
          <w:color w:val="000000"/>
          <w:sz w:val="24"/>
          <w:szCs w:val="24"/>
        </w:rPr>
      </w:pPr>
    </w:p>
    <w:p w14:paraId="68181FC9" w14:textId="77777777" w:rsidR="00D328A5" w:rsidRPr="00272484" w:rsidRDefault="00D328A5" w:rsidP="00D73B1E">
      <w:pPr>
        <w:pStyle w:val="Default"/>
        <w:numPr>
          <w:ilvl w:val="0"/>
          <w:numId w:val="2"/>
        </w:numPr>
        <w:ind w:left="1440" w:hanging="1440"/>
        <w:jc w:val="both"/>
        <w:rPr>
          <w:b/>
          <w:bCs/>
        </w:rPr>
      </w:pPr>
      <w:r w:rsidRPr="00272484">
        <w:rPr>
          <w:b/>
        </w:rPr>
        <w:t>Is the insurance expense in the test year reasonable and/or appropriate?</w:t>
      </w:r>
    </w:p>
    <w:p w14:paraId="008850D8"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08921463" w14:textId="77777777" w:rsidR="00644687" w:rsidRPr="00070C96" w:rsidRDefault="00644687" w:rsidP="00644687">
      <w:pPr>
        <w:ind w:left="1440" w:hanging="1440"/>
        <w:jc w:val="both"/>
        <w:rPr>
          <w:bCs/>
        </w:rPr>
      </w:pPr>
      <w:r>
        <w:rPr>
          <w:b/>
          <w:bCs/>
        </w:rPr>
        <w:t>FCG:</w:t>
      </w:r>
      <w:r>
        <w:rPr>
          <w:b/>
          <w:bCs/>
        </w:rPr>
        <w:tab/>
      </w:r>
      <w:r w:rsidR="001E7161">
        <w:rPr>
          <w:rFonts w:eastAsia="Calibri"/>
          <w:color w:val="000000"/>
        </w:rPr>
        <w:t>Yes.  See FCG’s response to Issue No. 41 above.  Also, as reflected on page 4 of MFR E-6</w:t>
      </w:r>
      <w:r w:rsidR="001E7161" w:rsidDel="00004573">
        <w:rPr>
          <w:rFonts w:eastAsia="Calibri"/>
          <w:color w:val="000000"/>
        </w:rPr>
        <w:t xml:space="preserve">, </w:t>
      </w:r>
      <w:r w:rsidR="001E7161">
        <w:rPr>
          <w:rFonts w:eastAsia="Calibri"/>
          <w:color w:val="000000"/>
        </w:rPr>
        <w:t>the reasonable Test Year expense for Account 924 (Property Insurance) is $503,407.  (Howard)</w:t>
      </w:r>
    </w:p>
    <w:p w14:paraId="6724C9FE" w14:textId="77777777" w:rsidR="00644687" w:rsidRPr="00070C96" w:rsidRDefault="00644687" w:rsidP="00644687">
      <w:pPr>
        <w:ind w:left="1440" w:hanging="1440"/>
        <w:jc w:val="both"/>
        <w:rPr>
          <w:bCs/>
        </w:rPr>
      </w:pPr>
    </w:p>
    <w:p w14:paraId="09660B2D" w14:textId="77777777" w:rsidR="00644687" w:rsidRPr="00070C96" w:rsidRDefault="00644687" w:rsidP="00644687">
      <w:pPr>
        <w:ind w:left="1440" w:hanging="1440"/>
        <w:jc w:val="both"/>
        <w:rPr>
          <w:bCs/>
        </w:rPr>
      </w:pPr>
      <w:r>
        <w:rPr>
          <w:b/>
          <w:bCs/>
        </w:rPr>
        <w:t>OPC:</w:t>
      </w:r>
      <w:r>
        <w:rPr>
          <w:b/>
          <w:bCs/>
        </w:rPr>
        <w:tab/>
      </w:r>
      <w:r w:rsidR="00272484">
        <w:t>No. OPC Witness Schultz addresses this issue in his testimony and exhibits including but not limited to, Schedule C-6. The Commission should adjust the Directors &amp; Officers Liability (DOL) insurance amount by $9,431 (Schultz)</w:t>
      </w:r>
    </w:p>
    <w:p w14:paraId="2AC77CBD" w14:textId="77777777" w:rsidR="00644687" w:rsidRPr="00070C96" w:rsidRDefault="00644687" w:rsidP="00644687">
      <w:pPr>
        <w:ind w:left="1440" w:hanging="1440"/>
        <w:jc w:val="both"/>
        <w:rPr>
          <w:bCs/>
        </w:rPr>
      </w:pPr>
    </w:p>
    <w:p w14:paraId="42092BC3" w14:textId="77777777" w:rsidR="00644687" w:rsidRPr="00070C96" w:rsidRDefault="00644687" w:rsidP="00644687">
      <w:pPr>
        <w:ind w:left="1440" w:hanging="1440"/>
        <w:jc w:val="both"/>
        <w:rPr>
          <w:bCs/>
        </w:rPr>
      </w:pPr>
      <w:r>
        <w:rPr>
          <w:b/>
          <w:bCs/>
        </w:rPr>
        <w:t>FEA:</w:t>
      </w:r>
      <w:r>
        <w:rPr>
          <w:b/>
          <w:bCs/>
        </w:rPr>
        <w:tab/>
      </w:r>
      <w:r w:rsidR="009D1863">
        <w:t>No position.</w:t>
      </w:r>
    </w:p>
    <w:p w14:paraId="74E0AE28" w14:textId="77777777" w:rsidR="00644687" w:rsidRPr="00070C96" w:rsidRDefault="00644687" w:rsidP="00644687">
      <w:pPr>
        <w:ind w:left="1440" w:hanging="1440"/>
        <w:jc w:val="both"/>
        <w:rPr>
          <w:bCs/>
        </w:rPr>
      </w:pPr>
    </w:p>
    <w:p w14:paraId="6A8617F5"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355213B5" w14:textId="77777777" w:rsidR="00644687" w:rsidRPr="00070C96" w:rsidRDefault="00644687" w:rsidP="00644687">
      <w:pPr>
        <w:ind w:left="1440" w:hanging="1440"/>
        <w:jc w:val="both"/>
        <w:rPr>
          <w:bCs/>
        </w:rPr>
      </w:pPr>
    </w:p>
    <w:p w14:paraId="28CACA57" w14:textId="77777777"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6C13F4E" w14:textId="77777777" w:rsidR="00644687" w:rsidRDefault="00644687" w:rsidP="00461AFB">
      <w:pPr>
        <w:pStyle w:val="Default"/>
        <w:jc w:val="both"/>
      </w:pPr>
    </w:p>
    <w:p w14:paraId="09596E9D" w14:textId="617167BF" w:rsidR="00E90AFF" w:rsidRPr="00D328A5" w:rsidRDefault="00E90AFF" w:rsidP="00D73B1E">
      <w:pPr>
        <w:pStyle w:val="ListParagraph"/>
        <w:spacing w:after="0"/>
        <w:ind w:left="0"/>
        <w:jc w:val="both"/>
        <w:rPr>
          <w:rFonts w:ascii="Times New Roman" w:hAnsi="Times New Roman" w:cs="Times New Roman"/>
          <w:color w:val="000000"/>
          <w:sz w:val="24"/>
          <w:szCs w:val="24"/>
        </w:rPr>
      </w:pPr>
    </w:p>
    <w:p w14:paraId="0B59525A" w14:textId="60BA121E" w:rsidR="00D328A5" w:rsidRPr="00272484" w:rsidRDefault="00D328A5" w:rsidP="00D73B1E">
      <w:pPr>
        <w:pStyle w:val="Default"/>
        <w:numPr>
          <w:ilvl w:val="0"/>
          <w:numId w:val="2"/>
        </w:numPr>
        <w:ind w:left="1440" w:hanging="1440"/>
        <w:jc w:val="both"/>
        <w:rPr>
          <w:b/>
          <w:bCs/>
        </w:rPr>
      </w:pPr>
      <w:r w:rsidRPr="00272484">
        <w:rPr>
          <w:b/>
        </w:rPr>
        <w:t>Is the level of projected contractor cost reasonable, appropriate and/or</w:t>
      </w:r>
      <w:r w:rsidR="004024FD">
        <w:rPr>
          <w:b/>
        </w:rPr>
        <w:t xml:space="preserve"> </w:t>
      </w:r>
      <w:r w:rsidRPr="00272484">
        <w:rPr>
          <w:b/>
        </w:rPr>
        <w:t>justified?</w:t>
      </w:r>
    </w:p>
    <w:p w14:paraId="7CB8F632" w14:textId="77777777" w:rsidR="00D328A5" w:rsidRDefault="00D328A5" w:rsidP="00D73B1E">
      <w:pPr>
        <w:pStyle w:val="Default"/>
        <w:jc w:val="both"/>
      </w:pPr>
    </w:p>
    <w:p w14:paraId="5EC9E282" w14:textId="77777777" w:rsidR="00644687" w:rsidRPr="00070C96" w:rsidRDefault="00644687" w:rsidP="00644687">
      <w:pPr>
        <w:ind w:left="1440" w:hanging="1440"/>
        <w:jc w:val="both"/>
        <w:rPr>
          <w:bCs/>
        </w:rPr>
      </w:pPr>
      <w:r>
        <w:rPr>
          <w:b/>
          <w:bCs/>
        </w:rPr>
        <w:t>FCG:</w:t>
      </w:r>
      <w:r>
        <w:rPr>
          <w:b/>
          <w:bCs/>
        </w:rPr>
        <w:tab/>
      </w:r>
      <w:r w:rsidR="001E7161">
        <w:rPr>
          <w:rFonts w:eastAsia="Calibri"/>
          <w:color w:val="000000"/>
        </w:rPr>
        <w:t xml:space="preserve">Yes. </w:t>
      </w:r>
      <w:r w:rsidR="001E7161" w:rsidRPr="0072274D">
        <w:rPr>
          <w:rFonts w:eastAsia="Calibri"/>
          <w:color w:val="000000"/>
        </w:rPr>
        <w:t xml:space="preserve">FCG does not separately identify or track contractor costs on its books and records, or in its forecast. </w:t>
      </w:r>
      <w:r w:rsidR="001E7161">
        <w:rPr>
          <w:rFonts w:eastAsia="Calibri"/>
          <w:color w:val="000000"/>
        </w:rPr>
        <w:t xml:space="preserve"> </w:t>
      </w:r>
      <w:r w:rsidR="001E7161" w:rsidRPr="0072274D">
        <w:rPr>
          <w:rFonts w:eastAsia="Calibri"/>
          <w:color w:val="000000"/>
        </w:rPr>
        <w:t>However, FCG does track outside services</w:t>
      </w:r>
      <w:r w:rsidR="001E7161">
        <w:rPr>
          <w:rFonts w:eastAsia="Calibri"/>
          <w:color w:val="000000"/>
        </w:rPr>
        <w:t>,</w:t>
      </w:r>
      <w:r w:rsidR="001E7161" w:rsidRPr="0072274D">
        <w:rPr>
          <w:rFonts w:eastAsia="Calibri"/>
          <w:color w:val="000000"/>
        </w:rPr>
        <w:t xml:space="preserve"> which includes contractor costs.</w:t>
      </w:r>
      <w:r w:rsidR="001E7161">
        <w:rPr>
          <w:rFonts w:eastAsia="Calibri"/>
          <w:color w:val="000000"/>
        </w:rPr>
        <w:t xml:space="preserve">  As reflected on page 4 of MFR E-6</w:t>
      </w:r>
      <w:r w:rsidR="001E7161" w:rsidDel="00B61D1A">
        <w:rPr>
          <w:rFonts w:eastAsia="Calibri"/>
          <w:color w:val="000000"/>
        </w:rPr>
        <w:t xml:space="preserve">, </w:t>
      </w:r>
      <w:r w:rsidR="001E7161">
        <w:rPr>
          <w:rFonts w:eastAsia="Calibri"/>
          <w:color w:val="000000"/>
        </w:rPr>
        <w:t>the reasonable, appropriate, and justified Test Year expense for Account 923 (Outside Services Employed) is $3,993,307 (adjusted).  (Howard)</w:t>
      </w:r>
    </w:p>
    <w:p w14:paraId="0203894B" w14:textId="77777777" w:rsidR="00644687" w:rsidRPr="00070C96" w:rsidRDefault="00644687" w:rsidP="00644687">
      <w:pPr>
        <w:ind w:left="1440" w:hanging="1440"/>
        <w:jc w:val="both"/>
        <w:rPr>
          <w:bCs/>
        </w:rPr>
      </w:pPr>
    </w:p>
    <w:p w14:paraId="5CB6C395" w14:textId="77777777" w:rsidR="00644687" w:rsidRPr="00070C96" w:rsidRDefault="00644687" w:rsidP="00644687">
      <w:pPr>
        <w:ind w:left="1440" w:hanging="1440"/>
        <w:jc w:val="both"/>
        <w:rPr>
          <w:bCs/>
        </w:rPr>
      </w:pPr>
      <w:r>
        <w:rPr>
          <w:b/>
          <w:bCs/>
        </w:rPr>
        <w:t>OPC:</w:t>
      </w:r>
      <w:r>
        <w:rPr>
          <w:b/>
          <w:bCs/>
        </w:rPr>
        <w:tab/>
      </w:r>
      <w:r w:rsidR="00272484">
        <w:t>No position.</w:t>
      </w:r>
    </w:p>
    <w:p w14:paraId="6A7A13F4" w14:textId="77777777" w:rsidR="00644687" w:rsidRPr="00070C96" w:rsidRDefault="00644687" w:rsidP="00644687">
      <w:pPr>
        <w:ind w:left="1440" w:hanging="1440"/>
        <w:jc w:val="both"/>
        <w:rPr>
          <w:bCs/>
        </w:rPr>
      </w:pPr>
    </w:p>
    <w:p w14:paraId="685C6CE7" w14:textId="77777777" w:rsidR="00644687" w:rsidRPr="00070C96" w:rsidRDefault="00644687" w:rsidP="00644687">
      <w:pPr>
        <w:ind w:left="1440" w:hanging="1440"/>
        <w:jc w:val="both"/>
        <w:rPr>
          <w:bCs/>
        </w:rPr>
      </w:pPr>
      <w:r>
        <w:rPr>
          <w:b/>
          <w:bCs/>
        </w:rPr>
        <w:t>FEA:</w:t>
      </w:r>
      <w:r>
        <w:rPr>
          <w:b/>
          <w:bCs/>
        </w:rPr>
        <w:tab/>
      </w:r>
      <w:r w:rsidR="009D1863">
        <w:t>No position.</w:t>
      </w:r>
    </w:p>
    <w:p w14:paraId="3CCABE06" w14:textId="77777777" w:rsidR="00644687" w:rsidRPr="00070C96" w:rsidRDefault="00644687" w:rsidP="00644687">
      <w:pPr>
        <w:ind w:left="1440" w:hanging="1440"/>
        <w:jc w:val="both"/>
        <w:rPr>
          <w:bCs/>
        </w:rPr>
      </w:pPr>
    </w:p>
    <w:p w14:paraId="48E8B96E"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231E9538" w14:textId="77777777" w:rsidR="00644687" w:rsidRPr="00070C96" w:rsidRDefault="00644687" w:rsidP="00644687">
      <w:pPr>
        <w:ind w:left="1440" w:hanging="1440"/>
        <w:jc w:val="both"/>
        <w:rPr>
          <w:bCs/>
        </w:rPr>
      </w:pPr>
    </w:p>
    <w:p w14:paraId="674F3A2B"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5775FA2" w14:textId="77777777" w:rsidR="00644687" w:rsidRDefault="00644687" w:rsidP="00644687">
      <w:pPr>
        <w:pStyle w:val="Default"/>
        <w:ind w:left="1440" w:hanging="1440"/>
        <w:jc w:val="both"/>
      </w:pPr>
    </w:p>
    <w:p w14:paraId="2F9CA5CA" w14:textId="77777777" w:rsidR="00D328A5" w:rsidRDefault="00D328A5" w:rsidP="00D73B1E">
      <w:pPr>
        <w:pStyle w:val="Default"/>
        <w:jc w:val="both"/>
      </w:pPr>
    </w:p>
    <w:p w14:paraId="27910B5A" w14:textId="77777777" w:rsidR="00D328A5" w:rsidRPr="00272484" w:rsidRDefault="00D328A5" w:rsidP="00D73B1E">
      <w:pPr>
        <w:pStyle w:val="Default"/>
        <w:numPr>
          <w:ilvl w:val="0"/>
          <w:numId w:val="2"/>
        </w:numPr>
        <w:ind w:left="1440" w:hanging="1440"/>
        <w:jc w:val="both"/>
        <w:rPr>
          <w:b/>
        </w:rPr>
      </w:pPr>
      <w:r w:rsidRPr="00272484">
        <w:rPr>
          <w:b/>
        </w:rPr>
        <w:t>Should the projected test year O&amp;M expenses be adjusted to reflect changes to the non-labor trend factors for inflation and customer growth?</w:t>
      </w:r>
    </w:p>
    <w:p w14:paraId="026D54CA" w14:textId="77777777" w:rsidR="00D328A5" w:rsidRPr="00272484" w:rsidRDefault="00D328A5" w:rsidP="00D73B1E">
      <w:pPr>
        <w:pStyle w:val="Default"/>
        <w:ind w:left="1440" w:hanging="1440"/>
        <w:jc w:val="both"/>
        <w:rPr>
          <w:b/>
        </w:rPr>
      </w:pPr>
    </w:p>
    <w:p w14:paraId="375A7BBC" w14:textId="77777777" w:rsidR="00644687" w:rsidRPr="00070C96" w:rsidRDefault="00644687" w:rsidP="00644687">
      <w:pPr>
        <w:ind w:left="1440" w:hanging="1440"/>
        <w:jc w:val="both"/>
        <w:rPr>
          <w:bCs/>
        </w:rPr>
      </w:pPr>
      <w:r>
        <w:rPr>
          <w:b/>
          <w:bCs/>
        </w:rPr>
        <w:t>FCG:</w:t>
      </w:r>
      <w:r>
        <w:rPr>
          <w:b/>
          <w:bCs/>
        </w:rPr>
        <w:tab/>
      </w:r>
      <w:r w:rsidR="00283B94" w:rsidRPr="000238A7">
        <w:rPr>
          <w:rFonts w:eastAsia="Calibri"/>
          <w:color w:val="000000"/>
        </w:rPr>
        <w:t>No, the factors were based on the best estimates at the time and any changes</w:t>
      </w:r>
      <w:r w:rsidR="00283B94">
        <w:rPr>
          <w:rFonts w:eastAsia="Calibri"/>
          <w:color w:val="000000"/>
        </w:rPr>
        <w:t xml:space="preserve"> </w:t>
      </w:r>
      <w:r w:rsidR="00283B94" w:rsidRPr="000238A7">
        <w:rPr>
          <w:rFonts w:eastAsia="Calibri"/>
          <w:color w:val="000000"/>
        </w:rPr>
        <w:t xml:space="preserve">would still be estimates. </w:t>
      </w:r>
      <w:r w:rsidR="00283B94">
        <w:rPr>
          <w:rFonts w:eastAsia="Calibri"/>
          <w:color w:val="000000"/>
        </w:rPr>
        <w:t xml:space="preserve"> </w:t>
      </w:r>
      <w:r w:rsidR="00283B94" w:rsidRPr="000238A7">
        <w:rPr>
          <w:rFonts w:eastAsia="Calibri"/>
          <w:color w:val="000000"/>
        </w:rPr>
        <w:t>However, current inflation estimates are higher than filed</w:t>
      </w:r>
      <w:r w:rsidR="00283B94">
        <w:rPr>
          <w:rFonts w:eastAsia="Calibri"/>
          <w:color w:val="000000"/>
        </w:rPr>
        <w:t xml:space="preserve"> </w:t>
      </w:r>
      <w:r w:rsidR="00283B94" w:rsidRPr="000238A7">
        <w:rPr>
          <w:rFonts w:eastAsia="Calibri"/>
          <w:color w:val="000000"/>
        </w:rPr>
        <w:t>estimates.</w:t>
      </w:r>
      <w:r w:rsidR="00283B94">
        <w:rPr>
          <w:rFonts w:eastAsia="Calibri"/>
          <w:color w:val="000000"/>
        </w:rPr>
        <w:t xml:space="preserve">  (Howard, Campbell)</w:t>
      </w:r>
    </w:p>
    <w:p w14:paraId="2549B78A" w14:textId="77777777" w:rsidR="00644687" w:rsidRPr="00070C96" w:rsidRDefault="00644687" w:rsidP="00644687">
      <w:pPr>
        <w:ind w:left="1440" w:hanging="1440"/>
        <w:jc w:val="both"/>
        <w:rPr>
          <w:bCs/>
        </w:rPr>
      </w:pPr>
    </w:p>
    <w:p w14:paraId="1812E441" w14:textId="77777777" w:rsidR="00644687" w:rsidRPr="00070C96" w:rsidRDefault="00644687" w:rsidP="00644687">
      <w:pPr>
        <w:ind w:left="1440" w:hanging="1440"/>
        <w:jc w:val="both"/>
        <w:rPr>
          <w:bCs/>
        </w:rPr>
      </w:pPr>
      <w:r>
        <w:rPr>
          <w:b/>
          <w:bCs/>
        </w:rPr>
        <w:t>OPC:</w:t>
      </w:r>
      <w:r>
        <w:rPr>
          <w:b/>
          <w:bCs/>
        </w:rPr>
        <w:tab/>
      </w:r>
      <w:r w:rsidR="00283B94" w:rsidRPr="008D1F98">
        <w:t>No position.</w:t>
      </w:r>
    </w:p>
    <w:p w14:paraId="27CB5127" w14:textId="77777777" w:rsidR="00644687" w:rsidRPr="00070C96" w:rsidRDefault="00644687" w:rsidP="00644687">
      <w:pPr>
        <w:ind w:left="1440" w:hanging="1440"/>
        <w:jc w:val="both"/>
        <w:rPr>
          <w:bCs/>
        </w:rPr>
      </w:pPr>
    </w:p>
    <w:p w14:paraId="3DF52035" w14:textId="77777777" w:rsidR="00644687" w:rsidRPr="00070C96" w:rsidRDefault="00644687" w:rsidP="00644687">
      <w:pPr>
        <w:ind w:left="1440" w:hanging="1440"/>
        <w:jc w:val="both"/>
        <w:rPr>
          <w:bCs/>
        </w:rPr>
      </w:pPr>
      <w:r>
        <w:rPr>
          <w:b/>
          <w:bCs/>
        </w:rPr>
        <w:t>FEA:</w:t>
      </w:r>
      <w:r>
        <w:rPr>
          <w:b/>
          <w:bCs/>
        </w:rPr>
        <w:tab/>
      </w:r>
      <w:r w:rsidR="009D1863">
        <w:t>No position.</w:t>
      </w:r>
    </w:p>
    <w:p w14:paraId="7FE15F53" w14:textId="77777777" w:rsidR="00644687" w:rsidRPr="00070C96" w:rsidRDefault="00644687" w:rsidP="00644687">
      <w:pPr>
        <w:ind w:left="1440" w:hanging="1440"/>
        <w:jc w:val="both"/>
        <w:rPr>
          <w:bCs/>
        </w:rPr>
      </w:pPr>
    </w:p>
    <w:p w14:paraId="0412FDB3"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79B69F5" w14:textId="77777777" w:rsidR="00644687" w:rsidRPr="00070C96" w:rsidRDefault="00644687" w:rsidP="00644687">
      <w:pPr>
        <w:ind w:left="1440" w:hanging="1440"/>
        <w:jc w:val="both"/>
        <w:rPr>
          <w:bCs/>
        </w:rPr>
      </w:pPr>
    </w:p>
    <w:p w14:paraId="503CC31B"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4615BA40" w14:textId="77777777" w:rsidR="00644687" w:rsidRDefault="00644687" w:rsidP="00644687">
      <w:pPr>
        <w:pStyle w:val="Default"/>
        <w:ind w:left="1440" w:hanging="1440"/>
        <w:jc w:val="both"/>
      </w:pPr>
    </w:p>
    <w:p w14:paraId="4A97021D" w14:textId="77777777" w:rsidR="00D328A5" w:rsidRPr="008C76AE" w:rsidRDefault="00D328A5" w:rsidP="00D73B1E">
      <w:pPr>
        <w:pStyle w:val="Default"/>
        <w:ind w:left="1440" w:hanging="1440"/>
        <w:jc w:val="both"/>
      </w:pPr>
    </w:p>
    <w:p w14:paraId="1E38FCB6" w14:textId="77777777" w:rsidR="00D328A5" w:rsidRPr="00272484" w:rsidRDefault="00D328A5" w:rsidP="00D73B1E">
      <w:pPr>
        <w:pStyle w:val="Default"/>
        <w:numPr>
          <w:ilvl w:val="0"/>
          <w:numId w:val="2"/>
        </w:numPr>
        <w:ind w:left="1440" w:hanging="1440"/>
        <w:jc w:val="both"/>
        <w:rPr>
          <w:b/>
        </w:rPr>
      </w:pPr>
      <w:r w:rsidRPr="00272484">
        <w:rPr>
          <w:b/>
          <w:bCs/>
        </w:rPr>
        <w:t xml:space="preserve">Should FCG’s proposal to continue the Storm Damage Reserve provision included in the 2018 Settlement Agreement be approved and, if so, what is the appropriate annual storm damage accrual and target reserve amount? </w:t>
      </w:r>
    </w:p>
    <w:p w14:paraId="0B43945B" w14:textId="77777777" w:rsidR="00D328A5" w:rsidRPr="00272484" w:rsidRDefault="00D328A5" w:rsidP="00D73B1E">
      <w:pPr>
        <w:pStyle w:val="Default"/>
        <w:ind w:left="1440" w:hanging="1440"/>
        <w:jc w:val="both"/>
        <w:rPr>
          <w:b/>
        </w:rPr>
      </w:pPr>
    </w:p>
    <w:p w14:paraId="3A9F306A" w14:textId="77777777" w:rsidR="00644687" w:rsidRPr="00070C96" w:rsidRDefault="00644687" w:rsidP="00644687">
      <w:pPr>
        <w:ind w:left="1440" w:hanging="1440"/>
        <w:jc w:val="both"/>
        <w:rPr>
          <w:bCs/>
        </w:rPr>
      </w:pPr>
      <w:r>
        <w:rPr>
          <w:b/>
          <w:bCs/>
        </w:rPr>
        <w:t>FCG:</w:t>
      </w:r>
      <w:r>
        <w:rPr>
          <w:b/>
          <w:bCs/>
        </w:rPr>
        <w:tab/>
      </w:r>
      <w:r w:rsidR="002F0301" w:rsidRPr="00471540">
        <w:rPr>
          <w:rFonts w:eastAsia="Calibri"/>
          <w:color w:val="000000"/>
        </w:rPr>
        <w:t xml:space="preserve">Yes.  The Commission </w:t>
      </w:r>
      <w:r w:rsidR="002F0301">
        <w:rPr>
          <w:rFonts w:eastAsia="Calibri"/>
          <w:color w:val="000000"/>
        </w:rPr>
        <w:t>sh</w:t>
      </w:r>
      <w:r w:rsidR="002F0301" w:rsidRPr="00471540">
        <w:rPr>
          <w:rFonts w:eastAsia="Calibri"/>
          <w:color w:val="000000"/>
        </w:rPr>
        <w:t>ould allow FCG to continue the Storm Damage Reserve provision included in the 2018 Settlement Agreement.  A storm reserve is a prudent approach to addressing potential storm costs and is a mechanism commonly employed by Florida utilities.  The appropriate annual storm damage accrual and target reserve amount are $</w:t>
      </w:r>
      <w:r w:rsidR="002F0301" w:rsidRPr="00DA24F2">
        <w:rPr>
          <w:rFonts w:eastAsia="Calibri"/>
          <w:color w:val="000000"/>
        </w:rPr>
        <w:t>57,500</w:t>
      </w:r>
      <w:r w:rsidR="002F0301" w:rsidRPr="00471540">
        <w:rPr>
          <w:rFonts w:eastAsia="Calibri"/>
          <w:color w:val="000000"/>
        </w:rPr>
        <w:t xml:space="preserve"> and $</w:t>
      </w:r>
      <w:r w:rsidR="002F0301" w:rsidRPr="00001A3F">
        <w:rPr>
          <w:rFonts w:eastAsia="Calibri"/>
          <w:color w:val="000000"/>
        </w:rPr>
        <w:t>800,000</w:t>
      </w:r>
      <w:r w:rsidR="002F0301" w:rsidRPr="00471540">
        <w:rPr>
          <w:rFonts w:eastAsia="Calibri"/>
          <w:color w:val="000000"/>
        </w:rPr>
        <w:t>, respectively</w:t>
      </w:r>
      <w:r w:rsidR="002F0301">
        <w:rPr>
          <w:rFonts w:eastAsia="Calibri"/>
          <w:color w:val="000000"/>
        </w:rPr>
        <w:t>, which is supported by FCG’s Storm Damage Self-Insurance Reserve Study filed with the Commission on January 15, 2022, as required by Rule 25-7.0143, F.A.C</w:t>
      </w:r>
      <w:r w:rsidR="002F0301" w:rsidRPr="00471540">
        <w:rPr>
          <w:rFonts w:eastAsia="Calibri"/>
          <w:color w:val="000000"/>
        </w:rPr>
        <w:t>.  (Campbell</w:t>
      </w:r>
      <w:r w:rsidR="002F0301">
        <w:rPr>
          <w:rFonts w:eastAsia="Calibri"/>
          <w:color w:val="000000"/>
        </w:rPr>
        <w:t>, Howard</w:t>
      </w:r>
      <w:r w:rsidR="002F0301" w:rsidRPr="00471540">
        <w:rPr>
          <w:rFonts w:eastAsia="Calibri"/>
          <w:color w:val="000000"/>
        </w:rPr>
        <w:t>)</w:t>
      </w:r>
    </w:p>
    <w:p w14:paraId="081125AF" w14:textId="77777777" w:rsidR="00644687" w:rsidRPr="00070C96" w:rsidRDefault="00644687" w:rsidP="00644687">
      <w:pPr>
        <w:ind w:left="1440" w:hanging="1440"/>
        <w:jc w:val="both"/>
        <w:rPr>
          <w:bCs/>
        </w:rPr>
      </w:pPr>
    </w:p>
    <w:p w14:paraId="14DF4F84" w14:textId="77777777" w:rsidR="00644687" w:rsidRPr="00070C96" w:rsidRDefault="00644687" w:rsidP="00644687">
      <w:pPr>
        <w:ind w:left="1440" w:hanging="1440"/>
        <w:jc w:val="both"/>
        <w:rPr>
          <w:bCs/>
        </w:rPr>
      </w:pPr>
      <w:r>
        <w:rPr>
          <w:b/>
          <w:bCs/>
        </w:rPr>
        <w:t>OPC:</w:t>
      </w:r>
      <w:r>
        <w:rPr>
          <w:b/>
          <w:bCs/>
        </w:rPr>
        <w:tab/>
      </w:r>
      <w:r w:rsidR="00272484">
        <w:t>No. The Storm Reserve Accrual in the amount of $57,500 should be discontinued and removed. (Schultz)</w:t>
      </w:r>
    </w:p>
    <w:p w14:paraId="55FA437C" w14:textId="77777777" w:rsidR="00644687" w:rsidRPr="00070C96" w:rsidRDefault="00644687" w:rsidP="00644687">
      <w:pPr>
        <w:ind w:left="1440" w:hanging="1440"/>
        <w:jc w:val="both"/>
        <w:rPr>
          <w:bCs/>
        </w:rPr>
      </w:pPr>
    </w:p>
    <w:p w14:paraId="7CFBBF4A" w14:textId="77777777" w:rsidR="00644687" w:rsidRPr="00070C96" w:rsidRDefault="00644687" w:rsidP="00644687">
      <w:pPr>
        <w:ind w:left="1440" w:hanging="1440"/>
        <w:jc w:val="both"/>
        <w:rPr>
          <w:bCs/>
        </w:rPr>
      </w:pPr>
      <w:r>
        <w:rPr>
          <w:b/>
          <w:bCs/>
        </w:rPr>
        <w:t>FEA:</w:t>
      </w:r>
      <w:r>
        <w:rPr>
          <w:b/>
          <w:bCs/>
        </w:rPr>
        <w:tab/>
      </w:r>
      <w:r w:rsidR="009D1863">
        <w:t>No position.</w:t>
      </w:r>
    </w:p>
    <w:p w14:paraId="60E67284"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03C41CE1" w14:textId="77777777" w:rsidR="00644687" w:rsidRPr="00070C96" w:rsidRDefault="00644687" w:rsidP="00644687">
      <w:pPr>
        <w:ind w:left="1440" w:hanging="1440"/>
        <w:jc w:val="both"/>
        <w:rPr>
          <w:bCs/>
        </w:rPr>
      </w:pPr>
    </w:p>
    <w:p w14:paraId="15949EEF"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1A1FD56" w14:textId="77777777" w:rsidR="00644687" w:rsidRDefault="00644687" w:rsidP="00644687">
      <w:pPr>
        <w:pStyle w:val="Default"/>
        <w:ind w:left="1440" w:hanging="1440"/>
        <w:jc w:val="both"/>
      </w:pPr>
    </w:p>
    <w:p w14:paraId="3E807CCC" w14:textId="77777777" w:rsidR="00D328A5" w:rsidRPr="008C76AE" w:rsidRDefault="00D328A5" w:rsidP="00D73B1E">
      <w:pPr>
        <w:pStyle w:val="Default"/>
        <w:ind w:left="1440" w:hanging="1440"/>
        <w:jc w:val="both"/>
      </w:pPr>
    </w:p>
    <w:p w14:paraId="62406C8F" w14:textId="77777777" w:rsidR="00D328A5" w:rsidRPr="000C4D06" w:rsidRDefault="00D328A5" w:rsidP="00D73B1E">
      <w:pPr>
        <w:pStyle w:val="Default"/>
        <w:numPr>
          <w:ilvl w:val="0"/>
          <w:numId w:val="2"/>
        </w:numPr>
        <w:ind w:left="1440" w:hanging="1440"/>
        <w:jc w:val="both"/>
        <w:rPr>
          <w:b/>
        </w:rPr>
      </w:pPr>
      <w:r w:rsidRPr="000C4D06">
        <w:rPr>
          <w:b/>
          <w:bCs/>
        </w:rPr>
        <w:t xml:space="preserve">Is a Parent Debt Adjustment pursuant to Rule 25-14.004, Florida Administrative Code, appropriate, and if so, what is the appropriate amount? </w:t>
      </w:r>
    </w:p>
    <w:p w14:paraId="5C919612" w14:textId="77777777" w:rsidR="00D328A5" w:rsidRDefault="00D328A5" w:rsidP="00D73B1E">
      <w:pPr>
        <w:pStyle w:val="Default"/>
        <w:ind w:left="1440" w:hanging="1440"/>
        <w:jc w:val="both"/>
      </w:pPr>
    </w:p>
    <w:p w14:paraId="58370E7F" w14:textId="77777777" w:rsidR="00644687" w:rsidRPr="00070C96" w:rsidRDefault="00644687" w:rsidP="00644687">
      <w:pPr>
        <w:ind w:left="1440" w:hanging="1440"/>
        <w:jc w:val="both"/>
        <w:rPr>
          <w:bCs/>
        </w:rPr>
      </w:pPr>
      <w:r>
        <w:rPr>
          <w:b/>
          <w:bCs/>
        </w:rPr>
        <w:t>FCG:</w:t>
      </w:r>
      <w:r>
        <w:rPr>
          <w:b/>
          <w:bCs/>
        </w:rPr>
        <w:tab/>
      </w:r>
      <w:r w:rsidR="002F0301">
        <w:rPr>
          <w:rFonts w:eastAsia="Calibri"/>
          <w:color w:val="000000"/>
        </w:rPr>
        <w:t xml:space="preserve">No.  </w:t>
      </w:r>
      <w:r w:rsidR="002F0301" w:rsidRPr="001F2CA9">
        <w:rPr>
          <w:rFonts w:eastAsia="Calibri"/>
          <w:bCs/>
          <w:color w:val="000000"/>
        </w:rPr>
        <w:t>Rule 25-14.004,</w:t>
      </w:r>
      <w:r w:rsidR="002F0301" w:rsidRPr="00A71E19">
        <w:rPr>
          <w:rFonts w:eastAsia="Calibri"/>
        </w:rPr>
        <w:t xml:space="preserve"> </w:t>
      </w:r>
      <w:r w:rsidR="002F0301" w:rsidRPr="001F2CA9">
        <w:rPr>
          <w:rFonts w:eastAsia="Calibri"/>
          <w:bCs/>
          <w:color w:val="000000"/>
        </w:rPr>
        <w:t>F.A.C., is based on the premise that debt at the parent level supports a</w:t>
      </w:r>
      <w:r w:rsidR="002F0301">
        <w:rPr>
          <w:rFonts w:eastAsia="Calibri"/>
          <w:bCs/>
          <w:color w:val="000000"/>
        </w:rPr>
        <w:t xml:space="preserve"> </w:t>
      </w:r>
      <w:r w:rsidR="002F0301" w:rsidRPr="001F2CA9">
        <w:rPr>
          <w:rFonts w:eastAsia="Calibri"/>
          <w:bCs/>
          <w:color w:val="000000"/>
        </w:rPr>
        <w:t>portion of the parent’s equity investment in the subsidiary, which is not the case for</w:t>
      </w:r>
      <w:r w:rsidR="002F0301">
        <w:rPr>
          <w:rFonts w:eastAsia="Calibri"/>
          <w:bCs/>
          <w:color w:val="000000"/>
        </w:rPr>
        <w:t xml:space="preserve"> </w:t>
      </w:r>
      <w:r w:rsidR="002F0301" w:rsidRPr="001F2CA9">
        <w:rPr>
          <w:rFonts w:eastAsia="Calibri"/>
          <w:bCs/>
          <w:color w:val="000000"/>
        </w:rPr>
        <w:t>FCG.</w:t>
      </w:r>
      <w:r w:rsidR="002F0301">
        <w:rPr>
          <w:rFonts w:eastAsia="Calibri"/>
          <w:bCs/>
          <w:color w:val="000000"/>
        </w:rPr>
        <w:t xml:space="preserve">  Upon the July 29, 2018 acquisition by FPL, there was no significant change in FCG’s total per book capital structure value as inherited from Southern Company Gas and the initial investment and resulting goodwill to acquire FCG is maintained at FPL as non-utility investment.  Further, FCG receives all of its debt and equity from FPL pursuant to Commission-approved Financing Applications.  FCG has proposed a 2023 Test Year financing capital structure equal to the capital structure of FCG’s parent company, FPL, which consists of 59.6% common equity and 40.4% debt over investor sources.  As such, no additional interest expense tax benefit exists at the parent level and, therefore, no parent debt adjustment is required or appropriate.  (Campbell)</w:t>
      </w:r>
    </w:p>
    <w:p w14:paraId="533415CC" w14:textId="77777777" w:rsidR="00644687" w:rsidRPr="00070C96" w:rsidRDefault="00644687" w:rsidP="00644687">
      <w:pPr>
        <w:ind w:left="1440" w:hanging="1440"/>
        <w:jc w:val="both"/>
        <w:rPr>
          <w:bCs/>
        </w:rPr>
      </w:pPr>
    </w:p>
    <w:p w14:paraId="10351006" w14:textId="77777777" w:rsidR="00644687" w:rsidRPr="00070C96" w:rsidRDefault="00644687" w:rsidP="00644687">
      <w:pPr>
        <w:ind w:left="1440" w:hanging="1440"/>
        <w:jc w:val="both"/>
        <w:rPr>
          <w:bCs/>
        </w:rPr>
      </w:pPr>
      <w:r>
        <w:rPr>
          <w:b/>
          <w:bCs/>
        </w:rPr>
        <w:t>OPC:</w:t>
      </w:r>
      <w:r>
        <w:rPr>
          <w:b/>
          <w:bCs/>
        </w:rPr>
        <w:tab/>
      </w:r>
      <w:r w:rsidR="000C4D06">
        <w:t>Yes, a Parent Debt Adjustment is appropriate in this case. OPC Witness Schultz addresses this issue in his testimony and exhibits including, but not limited to, Schedules C and C-12. The Commission should approve a Parent Debt Adjustment of $382,452. (Schultz)</w:t>
      </w:r>
    </w:p>
    <w:p w14:paraId="5EB472A5" w14:textId="77777777" w:rsidR="00644687" w:rsidRPr="00070C96" w:rsidRDefault="00644687" w:rsidP="00644687">
      <w:pPr>
        <w:ind w:left="1440" w:hanging="1440"/>
        <w:jc w:val="both"/>
        <w:rPr>
          <w:bCs/>
        </w:rPr>
      </w:pPr>
    </w:p>
    <w:p w14:paraId="4B9F142F" w14:textId="77777777" w:rsidR="00644687" w:rsidRPr="00070C96" w:rsidRDefault="00644687" w:rsidP="00644687">
      <w:pPr>
        <w:ind w:left="1440" w:hanging="1440"/>
        <w:jc w:val="both"/>
        <w:rPr>
          <w:bCs/>
        </w:rPr>
      </w:pPr>
      <w:r>
        <w:rPr>
          <w:b/>
          <w:bCs/>
        </w:rPr>
        <w:t>FEA:</w:t>
      </w:r>
      <w:r>
        <w:rPr>
          <w:b/>
          <w:bCs/>
        </w:rPr>
        <w:tab/>
      </w:r>
      <w:r w:rsidR="009D1863">
        <w:t>No position.</w:t>
      </w:r>
    </w:p>
    <w:p w14:paraId="30D62CA9" w14:textId="77777777" w:rsidR="00644687" w:rsidRPr="00070C96" w:rsidRDefault="00644687" w:rsidP="00644687">
      <w:pPr>
        <w:ind w:left="1440" w:hanging="1440"/>
        <w:jc w:val="both"/>
        <w:rPr>
          <w:bCs/>
        </w:rPr>
      </w:pPr>
    </w:p>
    <w:p w14:paraId="237C2437"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C861D22" w14:textId="77777777" w:rsidR="00644687" w:rsidRPr="00070C96" w:rsidRDefault="00644687" w:rsidP="00644687">
      <w:pPr>
        <w:ind w:left="1440" w:hanging="1440"/>
        <w:jc w:val="both"/>
        <w:rPr>
          <w:bCs/>
        </w:rPr>
      </w:pPr>
    </w:p>
    <w:p w14:paraId="7018824E" w14:textId="77777777" w:rsidR="00D328A5" w:rsidRDefault="00644687" w:rsidP="00F955BF">
      <w:pPr>
        <w:pStyle w:val="Default"/>
        <w:ind w:left="1440" w:hanging="1440"/>
        <w:jc w:val="both"/>
      </w:pPr>
      <w:r w:rsidRPr="005D4B47">
        <w:rPr>
          <w:b/>
          <w:bCs/>
        </w:rPr>
        <w:t>STAFF</w:t>
      </w:r>
      <w:r w:rsidRPr="00701945">
        <w:rPr>
          <w:b/>
          <w:bCs/>
        </w:rPr>
        <w:t>:</w:t>
      </w:r>
      <w:r>
        <w:rPr>
          <w:b/>
          <w:bCs/>
        </w:rPr>
        <w:tab/>
      </w:r>
      <w:r w:rsidR="00F53BE5">
        <w:t>No position.</w:t>
      </w:r>
    </w:p>
    <w:p w14:paraId="774BEC55" w14:textId="5602D0CA" w:rsidR="00B87153" w:rsidRDefault="00B87153" w:rsidP="00D73B1E">
      <w:pPr>
        <w:pStyle w:val="Default"/>
        <w:ind w:left="1440" w:hanging="1440"/>
        <w:jc w:val="both"/>
      </w:pPr>
    </w:p>
    <w:p w14:paraId="4510C181" w14:textId="44C0F16D" w:rsidR="00A63ABC" w:rsidRDefault="00A63ABC" w:rsidP="00D73B1E">
      <w:pPr>
        <w:pStyle w:val="Default"/>
        <w:ind w:left="1440" w:hanging="1440"/>
        <w:jc w:val="both"/>
      </w:pPr>
    </w:p>
    <w:p w14:paraId="38FAB77E" w14:textId="7476B778" w:rsidR="005C6EBD" w:rsidRDefault="005C6EBD" w:rsidP="00D73B1E">
      <w:pPr>
        <w:pStyle w:val="Default"/>
        <w:ind w:left="1440" w:hanging="1440"/>
        <w:jc w:val="both"/>
      </w:pPr>
    </w:p>
    <w:p w14:paraId="09696DCF" w14:textId="08FB9187" w:rsidR="005C6EBD" w:rsidRDefault="005C6EBD" w:rsidP="00D73B1E">
      <w:pPr>
        <w:pStyle w:val="Default"/>
        <w:ind w:left="1440" w:hanging="1440"/>
        <w:jc w:val="both"/>
      </w:pPr>
    </w:p>
    <w:p w14:paraId="360A8FE8" w14:textId="1346E76B" w:rsidR="005C6EBD" w:rsidRDefault="005C6EBD" w:rsidP="00D73B1E">
      <w:pPr>
        <w:pStyle w:val="Default"/>
        <w:ind w:left="1440" w:hanging="1440"/>
        <w:jc w:val="both"/>
      </w:pPr>
    </w:p>
    <w:p w14:paraId="122A628D" w14:textId="77777777" w:rsidR="00D328A5" w:rsidRPr="000C4D06" w:rsidRDefault="00D328A5" w:rsidP="00D73B1E">
      <w:pPr>
        <w:pStyle w:val="Default"/>
        <w:numPr>
          <w:ilvl w:val="0"/>
          <w:numId w:val="2"/>
        </w:numPr>
        <w:ind w:left="1440" w:hanging="1440"/>
        <w:jc w:val="both"/>
        <w:rPr>
          <w:b/>
          <w:bCs/>
        </w:rPr>
      </w:pPr>
      <w:r w:rsidRPr="000C4D06">
        <w:rPr>
          <w:b/>
          <w:bCs/>
        </w:rPr>
        <w:t>What is the appropriate annual amount and amortization period for Rate Case Expense?</w:t>
      </w:r>
    </w:p>
    <w:p w14:paraId="27933A50" w14:textId="77777777" w:rsidR="00644687" w:rsidRPr="00070C96" w:rsidRDefault="00644687" w:rsidP="00644687">
      <w:pPr>
        <w:ind w:left="1440" w:hanging="1440"/>
        <w:jc w:val="both"/>
        <w:rPr>
          <w:bCs/>
        </w:rPr>
      </w:pPr>
      <w:r>
        <w:rPr>
          <w:b/>
          <w:bCs/>
        </w:rPr>
        <w:t>FCG:</w:t>
      </w:r>
      <w:r>
        <w:rPr>
          <w:b/>
          <w:bCs/>
        </w:rPr>
        <w:tab/>
      </w:r>
      <w:r w:rsidR="002F0301">
        <w:rPr>
          <w:rFonts w:eastAsia="Calibri"/>
          <w:color w:val="000000"/>
        </w:rPr>
        <w:t>As shown in Exhibit LF-7, t</w:t>
      </w:r>
      <w:r w:rsidR="002F0301" w:rsidRPr="00471540">
        <w:rPr>
          <w:rFonts w:eastAsia="Calibri"/>
          <w:color w:val="000000"/>
        </w:rPr>
        <w:t xml:space="preserve">he appropriate </w:t>
      </w:r>
      <w:r w:rsidR="002F0301">
        <w:rPr>
          <w:rFonts w:eastAsia="Calibri"/>
          <w:color w:val="000000"/>
        </w:rPr>
        <w:t xml:space="preserve">annual </w:t>
      </w:r>
      <w:r w:rsidR="002F0301" w:rsidRPr="00471540">
        <w:rPr>
          <w:rFonts w:eastAsia="Calibri"/>
          <w:color w:val="000000"/>
        </w:rPr>
        <w:t>amount of FCG’s rate case expense is $</w:t>
      </w:r>
      <w:r w:rsidR="002F0301">
        <w:rPr>
          <w:rFonts w:eastAsia="Calibri"/>
          <w:color w:val="000000"/>
        </w:rPr>
        <w:t>470,209.</w:t>
      </w:r>
      <w:r w:rsidR="002F0301" w:rsidRPr="00471540">
        <w:rPr>
          <w:rFonts w:eastAsia="Calibri"/>
          <w:color w:val="000000"/>
        </w:rPr>
        <w:t xml:space="preserve">  </w:t>
      </w:r>
      <w:r w:rsidR="002F0301">
        <w:rPr>
          <w:rFonts w:eastAsia="Calibri"/>
          <w:color w:val="000000"/>
        </w:rPr>
        <w:t>T</w:t>
      </w:r>
      <w:r w:rsidR="002F0301" w:rsidRPr="00471540">
        <w:rPr>
          <w:rFonts w:eastAsia="Calibri"/>
          <w:color w:val="000000"/>
        </w:rPr>
        <w:t>he</w:t>
      </w:r>
      <w:r w:rsidR="002F0301">
        <w:rPr>
          <w:rFonts w:eastAsia="Calibri"/>
          <w:color w:val="000000"/>
        </w:rPr>
        <w:t xml:space="preserve"> </w:t>
      </w:r>
      <w:r w:rsidR="002F0301" w:rsidRPr="00471540">
        <w:rPr>
          <w:rFonts w:eastAsia="Calibri"/>
          <w:color w:val="000000"/>
        </w:rPr>
        <w:t xml:space="preserve">appropriate amortization period is four years. </w:t>
      </w:r>
      <w:r w:rsidR="002F0301">
        <w:rPr>
          <w:rFonts w:eastAsia="Calibri"/>
          <w:color w:val="000000"/>
        </w:rPr>
        <w:t xml:space="preserve"> </w:t>
      </w:r>
      <w:r w:rsidR="002F0301" w:rsidRPr="00471540">
        <w:rPr>
          <w:rFonts w:eastAsia="Calibri"/>
          <w:color w:val="000000"/>
        </w:rPr>
        <w:t>(Fuentes)</w:t>
      </w:r>
    </w:p>
    <w:p w14:paraId="5630DC2A" w14:textId="77777777" w:rsidR="00644687" w:rsidRPr="00070C96" w:rsidRDefault="00644687" w:rsidP="00644687">
      <w:pPr>
        <w:ind w:left="1440" w:hanging="1440"/>
        <w:jc w:val="both"/>
        <w:rPr>
          <w:bCs/>
        </w:rPr>
      </w:pPr>
    </w:p>
    <w:p w14:paraId="2B7B0D94" w14:textId="77777777" w:rsidR="00644687" w:rsidRPr="00070C96" w:rsidRDefault="00644687" w:rsidP="00644687">
      <w:pPr>
        <w:ind w:left="1440" w:hanging="1440"/>
        <w:jc w:val="both"/>
        <w:rPr>
          <w:bCs/>
        </w:rPr>
      </w:pPr>
      <w:r>
        <w:rPr>
          <w:b/>
          <w:bCs/>
        </w:rPr>
        <w:t>OPC:</w:t>
      </w:r>
      <w:r>
        <w:rPr>
          <w:b/>
          <w:bCs/>
        </w:rPr>
        <w:tab/>
      </w:r>
      <w:r w:rsidR="000C4D06">
        <w:t>OPC Witness Schultz addresses this issue in his testimony and exhibits including, but not limited to, Schedule C-8. Rate case expense should be amortized over four years. The appropriate annual amount of rate case expense should be reduced by $142,785. (Schultz)</w:t>
      </w:r>
    </w:p>
    <w:p w14:paraId="2AC4A3D5" w14:textId="77777777" w:rsidR="00644687" w:rsidRPr="00070C96" w:rsidRDefault="00644687" w:rsidP="00644687">
      <w:pPr>
        <w:ind w:left="1440" w:hanging="1440"/>
        <w:jc w:val="both"/>
        <w:rPr>
          <w:bCs/>
        </w:rPr>
      </w:pPr>
    </w:p>
    <w:p w14:paraId="54CDFDA4" w14:textId="77777777" w:rsidR="00644687" w:rsidRPr="00070C96" w:rsidRDefault="00644687" w:rsidP="00644687">
      <w:pPr>
        <w:ind w:left="1440" w:hanging="1440"/>
        <w:jc w:val="both"/>
        <w:rPr>
          <w:bCs/>
        </w:rPr>
      </w:pPr>
      <w:r>
        <w:rPr>
          <w:b/>
          <w:bCs/>
        </w:rPr>
        <w:t>FEA:</w:t>
      </w:r>
      <w:r>
        <w:rPr>
          <w:b/>
          <w:bCs/>
        </w:rPr>
        <w:tab/>
      </w:r>
      <w:r w:rsidR="00FD65FE" w:rsidRPr="00102C52">
        <w:t>Brian Collins will testify that the appropriate amount for rate case expense should be the amount approved in the prior rate case adjusted for inflation, or approximately $1.427 million.  This would lower FCG’s amortization expense by $141,000 and lower the deferred rate case expenses in rate base in 2023 by approximately $494,000.</w:t>
      </w:r>
    </w:p>
    <w:p w14:paraId="7D885F8E" w14:textId="77777777" w:rsidR="00644687" w:rsidRPr="00070C96" w:rsidRDefault="00644687" w:rsidP="00644687">
      <w:pPr>
        <w:ind w:left="1440" w:hanging="1440"/>
        <w:jc w:val="both"/>
        <w:rPr>
          <w:bCs/>
        </w:rPr>
      </w:pPr>
    </w:p>
    <w:p w14:paraId="73C6C8C3"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2C10DC8C" w14:textId="77777777" w:rsidR="00644687" w:rsidRPr="00070C96" w:rsidRDefault="00644687" w:rsidP="00644687">
      <w:pPr>
        <w:ind w:left="1440" w:hanging="1440"/>
        <w:jc w:val="both"/>
        <w:rPr>
          <w:bCs/>
        </w:rPr>
      </w:pPr>
    </w:p>
    <w:p w14:paraId="1DE9BC81"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2AF16BF1" w14:textId="77777777" w:rsidR="00644687" w:rsidRDefault="00644687" w:rsidP="00644687">
      <w:pPr>
        <w:pStyle w:val="Default"/>
        <w:ind w:left="1440" w:hanging="1440"/>
        <w:jc w:val="both"/>
      </w:pPr>
    </w:p>
    <w:p w14:paraId="0AC6D68B" w14:textId="77777777" w:rsidR="00D328A5" w:rsidRPr="00D328A5" w:rsidRDefault="00D328A5" w:rsidP="00D73B1E">
      <w:pPr>
        <w:pStyle w:val="Default"/>
        <w:jc w:val="both"/>
        <w:rPr>
          <w:bCs/>
        </w:rPr>
      </w:pPr>
    </w:p>
    <w:p w14:paraId="09214BBF" w14:textId="77777777" w:rsidR="00D328A5" w:rsidRPr="000C4D06" w:rsidRDefault="00D328A5" w:rsidP="00D73B1E">
      <w:pPr>
        <w:pStyle w:val="Default"/>
        <w:numPr>
          <w:ilvl w:val="0"/>
          <w:numId w:val="2"/>
        </w:numPr>
        <w:ind w:left="1440" w:hanging="1440"/>
        <w:jc w:val="both"/>
        <w:rPr>
          <w:b/>
        </w:rPr>
      </w:pPr>
      <w:r w:rsidRPr="000C4D06">
        <w:rPr>
          <w:b/>
          <w:bCs/>
        </w:rPr>
        <w:t xml:space="preserve">Should an adjustment be made to Uncollectible Accounts and for Bad Debt in the Revenue Expansion Factor? </w:t>
      </w:r>
    </w:p>
    <w:p w14:paraId="5D63892B" w14:textId="77777777" w:rsidR="00D328A5" w:rsidRDefault="00D328A5" w:rsidP="00D73B1E">
      <w:pPr>
        <w:pStyle w:val="Default"/>
        <w:ind w:left="1440" w:hanging="1440"/>
        <w:jc w:val="both"/>
      </w:pPr>
    </w:p>
    <w:p w14:paraId="4E922BF5" w14:textId="77777777" w:rsidR="00644687" w:rsidRPr="00070C96" w:rsidRDefault="00644687" w:rsidP="00644687">
      <w:pPr>
        <w:ind w:left="1440" w:hanging="1440"/>
        <w:jc w:val="both"/>
        <w:rPr>
          <w:bCs/>
        </w:rPr>
      </w:pPr>
      <w:r>
        <w:rPr>
          <w:b/>
          <w:bCs/>
        </w:rPr>
        <w:t>FCG:</w:t>
      </w:r>
      <w:r>
        <w:rPr>
          <w:b/>
          <w:bCs/>
        </w:rPr>
        <w:tab/>
      </w:r>
      <w:r w:rsidR="002F0301" w:rsidRPr="353D23FA">
        <w:rPr>
          <w:rFonts w:eastAsia="Calibri"/>
          <w:color w:val="000000" w:themeColor="text1"/>
        </w:rPr>
        <w:t>No.  The Company appropriately used a three-year average net bad debt write-off to revenues ratio in computing its proposed bad debt rate in the revenue expansion factor.  (</w:t>
      </w:r>
      <w:r w:rsidR="002F0301">
        <w:rPr>
          <w:rFonts w:eastAsia="Calibri"/>
          <w:color w:val="000000" w:themeColor="text1"/>
        </w:rPr>
        <w:t>Campbell</w:t>
      </w:r>
      <w:r w:rsidR="002F0301" w:rsidRPr="353D23FA">
        <w:rPr>
          <w:rFonts w:eastAsia="Calibri"/>
          <w:color w:val="000000" w:themeColor="text1"/>
        </w:rPr>
        <w:t>)</w:t>
      </w:r>
    </w:p>
    <w:p w14:paraId="58AD4113" w14:textId="77777777" w:rsidR="00644687" w:rsidRPr="00070C96" w:rsidRDefault="00644687" w:rsidP="00644687">
      <w:pPr>
        <w:ind w:left="1440" w:hanging="1440"/>
        <w:jc w:val="both"/>
        <w:rPr>
          <w:bCs/>
        </w:rPr>
      </w:pPr>
    </w:p>
    <w:p w14:paraId="09A66566" w14:textId="77777777" w:rsidR="00644687" w:rsidRPr="00070C96" w:rsidRDefault="00644687" w:rsidP="00644687">
      <w:pPr>
        <w:ind w:left="1440" w:hanging="1440"/>
        <w:jc w:val="both"/>
        <w:rPr>
          <w:bCs/>
        </w:rPr>
      </w:pPr>
      <w:r>
        <w:rPr>
          <w:b/>
          <w:bCs/>
        </w:rPr>
        <w:t>OPC:</w:t>
      </w:r>
      <w:r>
        <w:rPr>
          <w:b/>
          <w:bCs/>
        </w:rPr>
        <w:tab/>
      </w:r>
      <w:r w:rsidR="000C4D06">
        <w:t>No Position.</w:t>
      </w:r>
    </w:p>
    <w:p w14:paraId="4F8CB852" w14:textId="77777777" w:rsidR="00644687" w:rsidRPr="00070C96" w:rsidRDefault="00644687" w:rsidP="00644687">
      <w:pPr>
        <w:ind w:left="1440" w:hanging="1440"/>
        <w:jc w:val="both"/>
        <w:rPr>
          <w:bCs/>
        </w:rPr>
      </w:pPr>
    </w:p>
    <w:p w14:paraId="6487F974" w14:textId="77777777" w:rsidR="00644687" w:rsidRPr="00070C96" w:rsidRDefault="00644687" w:rsidP="00644687">
      <w:pPr>
        <w:ind w:left="1440" w:hanging="1440"/>
        <w:jc w:val="both"/>
        <w:rPr>
          <w:bCs/>
        </w:rPr>
      </w:pPr>
      <w:r>
        <w:rPr>
          <w:b/>
          <w:bCs/>
        </w:rPr>
        <w:t>FEA:</w:t>
      </w:r>
      <w:r>
        <w:rPr>
          <w:b/>
          <w:bCs/>
        </w:rPr>
        <w:tab/>
      </w:r>
      <w:r w:rsidR="009D1863">
        <w:t>No position.</w:t>
      </w:r>
    </w:p>
    <w:p w14:paraId="4F79C4E9" w14:textId="77777777" w:rsidR="00644687" w:rsidRPr="00070C96" w:rsidRDefault="00644687" w:rsidP="00644687">
      <w:pPr>
        <w:ind w:left="1440" w:hanging="1440"/>
        <w:jc w:val="both"/>
        <w:rPr>
          <w:bCs/>
        </w:rPr>
      </w:pPr>
    </w:p>
    <w:p w14:paraId="0D83FC75"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1B78D7DE" w14:textId="77777777" w:rsidR="00644687" w:rsidRPr="00070C96" w:rsidRDefault="00644687" w:rsidP="00644687">
      <w:pPr>
        <w:ind w:left="1440" w:hanging="1440"/>
        <w:jc w:val="both"/>
        <w:rPr>
          <w:bCs/>
        </w:rPr>
      </w:pPr>
    </w:p>
    <w:p w14:paraId="05FE1E71" w14:textId="77777777" w:rsidR="00644687" w:rsidRDefault="00644687" w:rsidP="00F955BF">
      <w:pPr>
        <w:pStyle w:val="Default"/>
        <w:ind w:left="1440" w:hanging="1440"/>
        <w:jc w:val="both"/>
      </w:pPr>
      <w:r w:rsidRPr="005D4B47">
        <w:rPr>
          <w:b/>
          <w:bCs/>
        </w:rPr>
        <w:t>STAFF</w:t>
      </w:r>
      <w:r w:rsidRPr="00701945">
        <w:rPr>
          <w:b/>
          <w:bCs/>
        </w:rPr>
        <w:t>:</w:t>
      </w:r>
      <w:r>
        <w:rPr>
          <w:b/>
          <w:bCs/>
        </w:rPr>
        <w:tab/>
      </w:r>
      <w:r w:rsidR="00F53BE5">
        <w:t>No position.</w:t>
      </w:r>
    </w:p>
    <w:p w14:paraId="00E290C6" w14:textId="77777777" w:rsidR="006E6F3A" w:rsidRDefault="006E6F3A" w:rsidP="00F955BF">
      <w:pPr>
        <w:pStyle w:val="Default"/>
        <w:ind w:left="1440" w:hanging="1440"/>
        <w:jc w:val="both"/>
      </w:pPr>
    </w:p>
    <w:p w14:paraId="0ED8A67E" w14:textId="77777777" w:rsidR="00D328A5" w:rsidRPr="008C76AE" w:rsidRDefault="00D328A5" w:rsidP="00D73B1E">
      <w:pPr>
        <w:pStyle w:val="Default"/>
        <w:ind w:left="1440" w:hanging="1440"/>
        <w:jc w:val="both"/>
      </w:pPr>
    </w:p>
    <w:p w14:paraId="2877E9D9" w14:textId="77777777" w:rsidR="00D328A5" w:rsidRPr="000C4D06" w:rsidRDefault="00D328A5" w:rsidP="00D73B1E">
      <w:pPr>
        <w:pStyle w:val="Default"/>
        <w:numPr>
          <w:ilvl w:val="0"/>
          <w:numId w:val="2"/>
        </w:numPr>
        <w:ind w:left="1440" w:hanging="1440"/>
        <w:jc w:val="both"/>
        <w:rPr>
          <w:b/>
        </w:rPr>
      </w:pPr>
      <w:r w:rsidRPr="000C4D06">
        <w:rPr>
          <w:b/>
          <w:bCs/>
        </w:rPr>
        <w:t xml:space="preserve">What is the appropriate amount of projected test year O&amp;M expenses? (Fallout Issue) </w:t>
      </w:r>
    </w:p>
    <w:p w14:paraId="1B52E00C" w14:textId="77777777" w:rsidR="00D328A5" w:rsidRDefault="00D328A5" w:rsidP="00D73B1E">
      <w:pPr>
        <w:pStyle w:val="Default"/>
        <w:ind w:left="1440" w:hanging="1440"/>
        <w:jc w:val="both"/>
      </w:pPr>
    </w:p>
    <w:p w14:paraId="5569DCA6" w14:textId="77777777" w:rsidR="00644687" w:rsidRPr="00070C96" w:rsidRDefault="00644687" w:rsidP="00644687">
      <w:pPr>
        <w:ind w:left="1440" w:hanging="1440"/>
        <w:jc w:val="both"/>
        <w:rPr>
          <w:bCs/>
        </w:rPr>
      </w:pPr>
      <w:r>
        <w:rPr>
          <w:b/>
          <w:bCs/>
        </w:rPr>
        <w:t>FCG:</w:t>
      </w:r>
      <w:r>
        <w:rPr>
          <w:b/>
          <w:bCs/>
        </w:rPr>
        <w:tab/>
      </w:r>
      <w:r w:rsidR="002F0301" w:rsidRPr="00471540">
        <w:rPr>
          <w:rFonts w:eastAsia="Calibri"/>
          <w:color w:val="000000"/>
        </w:rPr>
        <w:t xml:space="preserve">As reflected </w:t>
      </w:r>
      <w:r w:rsidR="002F0301">
        <w:rPr>
          <w:rFonts w:eastAsia="Calibri"/>
          <w:color w:val="000000"/>
        </w:rPr>
        <w:t>in Exhibit LF-11</w:t>
      </w:r>
      <w:r w:rsidR="002F0301" w:rsidRPr="00471540">
        <w:rPr>
          <w:rFonts w:eastAsia="Calibri"/>
          <w:color w:val="000000"/>
        </w:rPr>
        <w:t>, the appropriate amount of O&amp;M Expense is $</w:t>
      </w:r>
      <w:r w:rsidR="002F0301" w:rsidRPr="003111B6" w:rsidDel="00163CC3">
        <w:rPr>
          <w:rFonts w:eastAsia="Calibri"/>
          <w:color w:val="000000"/>
        </w:rPr>
        <w:t>25,</w:t>
      </w:r>
      <w:r w:rsidR="002F0301">
        <w:rPr>
          <w:rFonts w:eastAsia="Calibri"/>
          <w:color w:val="000000"/>
        </w:rPr>
        <w:t>445,071</w:t>
      </w:r>
      <w:r w:rsidR="002F0301" w:rsidRPr="00471540">
        <w:rPr>
          <w:rFonts w:eastAsia="Calibri"/>
          <w:color w:val="000000"/>
        </w:rPr>
        <w:t xml:space="preserve"> (adjusted) for the 2023 projected</w:t>
      </w:r>
      <w:r w:rsidR="002F0301">
        <w:rPr>
          <w:rFonts w:eastAsia="Calibri"/>
          <w:color w:val="000000"/>
        </w:rPr>
        <w:t xml:space="preserve"> </w:t>
      </w:r>
      <w:r w:rsidR="002F0301" w:rsidRPr="00471540">
        <w:rPr>
          <w:rFonts w:eastAsia="Calibri"/>
          <w:color w:val="000000"/>
        </w:rPr>
        <w:t>test year.</w:t>
      </w:r>
      <w:r w:rsidR="002F0301">
        <w:rPr>
          <w:rFonts w:eastAsia="Calibri"/>
          <w:color w:val="000000"/>
        </w:rPr>
        <w:t xml:space="preserve">  </w:t>
      </w:r>
      <w:r w:rsidR="002F0301" w:rsidRPr="00436883">
        <w:rPr>
          <w:rFonts w:eastAsia="Calibri"/>
          <w:color w:val="000000"/>
        </w:rPr>
        <w:t xml:space="preserve">If the Commission does not adopt the RSAM as part of FCG’s four-year rate proposal, the appropriate </w:t>
      </w:r>
      <w:r w:rsidR="002F0301">
        <w:rPr>
          <w:rFonts w:eastAsia="Calibri"/>
          <w:color w:val="000000"/>
        </w:rPr>
        <w:t>amount of O&amp;M Expense</w:t>
      </w:r>
      <w:r w:rsidR="002F0301" w:rsidRPr="00436883">
        <w:rPr>
          <w:rFonts w:eastAsia="Calibri"/>
          <w:color w:val="000000"/>
        </w:rPr>
        <w:t xml:space="preserve"> </w:t>
      </w:r>
      <w:r w:rsidR="002F0301">
        <w:rPr>
          <w:rFonts w:eastAsia="Calibri"/>
          <w:color w:val="000000"/>
        </w:rPr>
        <w:t xml:space="preserve">for </w:t>
      </w:r>
      <w:r w:rsidR="002F0301" w:rsidRPr="00436883">
        <w:rPr>
          <w:rFonts w:eastAsia="Calibri"/>
          <w:color w:val="000000"/>
        </w:rPr>
        <w:t xml:space="preserve">the 2023 projected test year is also </w:t>
      </w:r>
      <w:r w:rsidR="002F0301" w:rsidRPr="00471540">
        <w:rPr>
          <w:rFonts w:eastAsia="Calibri"/>
          <w:color w:val="000000"/>
        </w:rPr>
        <w:t>$</w:t>
      </w:r>
      <w:r w:rsidR="002F0301">
        <w:rPr>
          <w:rFonts w:eastAsia="Calibri"/>
          <w:color w:val="000000"/>
        </w:rPr>
        <w:t>25,445,071</w:t>
      </w:r>
      <w:r w:rsidR="002F0301" w:rsidRPr="00436883">
        <w:rPr>
          <w:rFonts w:eastAsia="Calibri"/>
          <w:color w:val="000000"/>
        </w:rPr>
        <w:t xml:space="preserve"> </w:t>
      </w:r>
      <w:r w:rsidR="002F0301">
        <w:rPr>
          <w:rFonts w:eastAsia="Calibri"/>
          <w:color w:val="000000"/>
        </w:rPr>
        <w:t xml:space="preserve">(adjusted) </w:t>
      </w:r>
      <w:r w:rsidR="002F0301" w:rsidRPr="00436883">
        <w:rPr>
          <w:rFonts w:eastAsia="Calibri"/>
          <w:color w:val="000000"/>
        </w:rPr>
        <w:t xml:space="preserve">as reflected on </w:t>
      </w:r>
      <w:r w:rsidR="002F0301">
        <w:rPr>
          <w:rFonts w:eastAsia="Calibri"/>
          <w:color w:val="000000"/>
        </w:rPr>
        <w:t>Exhibit LF</w:t>
      </w:r>
      <w:r w:rsidR="002F0301" w:rsidRPr="00436883">
        <w:rPr>
          <w:rFonts w:eastAsia="Calibri"/>
          <w:color w:val="000000"/>
        </w:rPr>
        <w:t>-12</w:t>
      </w:r>
      <w:r w:rsidR="002F0301">
        <w:rPr>
          <w:rFonts w:eastAsia="Calibri"/>
          <w:color w:val="000000"/>
        </w:rPr>
        <w:t xml:space="preserve">. </w:t>
      </w:r>
      <w:r w:rsidR="002F0301" w:rsidRPr="00436883">
        <w:rPr>
          <w:rFonts w:eastAsia="Calibri"/>
          <w:color w:val="000000"/>
        </w:rPr>
        <w:t xml:space="preserve"> </w:t>
      </w:r>
      <w:r w:rsidR="002F0301">
        <w:rPr>
          <w:rFonts w:eastAsia="Calibri"/>
          <w:color w:val="000000"/>
        </w:rPr>
        <w:t>(Howard, Campbell)</w:t>
      </w:r>
    </w:p>
    <w:p w14:paraId="5942BBE9" w14:textId="77777777" w:rsidR="00644687" w:rsidRPr="00070C96" w:rsidRDefault="00644687" w:rsidP="00644687">
      <w:pPr>
        <w:ind w:left="1440" w:hanging="1440"/>
        <w:jc w:val="both"/>
        <w:rPr>
          <w:bCs/>
        </w:rPr>
      </w:pPr>
    </w:p>
    <w:p w14:paraId="702FB581" w14:textId="77777777" w:rsidR="00644687" w:rsidRPr="00070C96" w:rsidRDefault="00644687" w:rsidP="00644687">
      <w:pPr>
        <w:ind w:left="1440" w:hanging="1440"/>
        <w:jc w:val="both"/>
        <w:rPr>
          <w:bCs/>
        </w:rPr>
      </w:pPr>
      <w:r>
        <w:rPr>
          <w:b/>
          <w:bCs/>
        </w:rPr>
        <w:t>OPC:</w:t>
      </w:r>
      <w:r>
        <w:rPr>
          <w:b/>
          <w:bCs/>
        </w:rPr>
        <w:tab/>
      </w:r>
      <w:r w:rsidR="000C4D06">
        <w:t>OPC Witness Schultz addresses this issue in his testimony and exhibits including, but not limited to, Schedule C. The total amount of O&amp;M expense, including removal of AMI O&amp;M in the amount of $20,000, should be reduced to no more than $23,174,085. AMI O&amp;M expense should be removed from the projected test year since the Commission should not grant FCG’s request to burden customers with the cost of this experimental program. OPC Witness Schultz addresses this in his testimony and exhibits including, but not limited to, Schedule C-7. (Schultz)</w:t>
      </w:r>
    </w:p>
    <w:p w14:paraId="71530A39" w14:textId="77777777" w:rsidR="00644687" w:rsidRPr="00070C96" w:rsidRDefault="00644687" w:rsidP="00644687">
      <w:pPr>
        <w:ind w:left="1440" w:hanging="1440"/>
        <w:jc w:val="both"/>
        <w:rPr>
          <w:bCs/>
        </w:rPr>
      </w:pPr>
    </w:p>
    <w:p w14:paraId="19BC305C" w14:textId="77777777" w:rsidR="00644687" w:rsidRPr="00070C96" w:rsidRDefault="00644687" w:rsidP="00644687">
      <w:pPr>
        <w:ind w:left="1440" w:hanging="1440"/>
        <w:jc w:val="both"/>
        <w:rPr>
          <w:bCs/>
        </w:rPr>
      </w:pPr>
      <w:r>
        <w:rPr>
          <w:b/>
          <w:bCs/>
        </w:rPr>
        <w:t>FEA:</w:t>
      </w:r>
      <w:r>
        <w:rPr>
          <w:b/>
          <w:bCs/>
        </w:rPr>
        <w:tab/>
      </w:r>
      <w:r w:rsidR="009D1863">
        <w:t>No position.</w:t>
      </w:r>
    </w:p>
    <w:p w14:paraId="6397F271" w14:textId="77777777" w:rsidR="00644687" w:rsidRPr="00070C96" w:rsidRDefault="00644687" w:rsidP="00644687">
      <w:pPr>
        <w:ind w:left="1440" w:hanging="1440"/>
        <w:jc w:val="both"/>
        <w:rPr>
          <w:bCs/>
        </w:rPr>
      </w:pPr>
    </w:p>
    <w:p w14:paraId="573CBBA8"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4FF7F75E" w14:textId="77777777" w:rsidR="00644687" w:rsidRPr="00070C96" w:rsidRDefault="00644687" w:rsidP="00644687">
      <w:pPr>
        <w:ind w:left="1440" w:hanging="1440"/>
        <w:jc w:val="both"/>
        <w:rPr>
          <w:bCs/>
        </w:rPr>
      </w:pPr>
    </w:p>
    <w:p w14:paraId="76D9BB18"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9EB81C8" w14:textId="77777777" w:rsidR="00644687" w:rsidRDefault="00644687" w:rsidP="00644687">
      <w:pPr>
        <w:pStyle w:val="Default"/>
        <w:ind w:left="1440" w:hanging="1440"/>
        <w:jc w:val="both"/>
      </w:pPr>
    </w:p>
    <w:p w14:paraId="7ADE8515" w14:textId="77777777" w:rsidR="00D328A5" w:rsidRPr="008C76AE" w:rsidRDefault="00D328A5" w:rsidP="00D73B1E">
      <w:pPr>
        <w:pStyle w:val="Default"/>
        <w:ind w:left="1440" w:hanging="1440"/>
        <w:jc w:val="both"/>
      </w:pPr>
    </w:p>
    <w:p w14:paraId="45A47602" w14:textId="77777777" w:rsidR="00D328A5" w:rsidRPr="000C4D06" w:rsidRDefault="00D328A5" w:rsidP="00D73B1E">
      <w:pPr>
        <w:pStyle w:val="Default"/>
        <w:numPr>
          <w:ilvl w:val="0"/>
          <w:numId w:val="2"/>
        </w:numPr>
        <w:ind w:left="1440" w:hanging="1440"/>
        <w:jc w:val="both"/>
        <w:rPr>
          <w:b/>
          <w:bCs/>
        </w:rPr>
      </w:pPr>
      <w:r w:rsidRPr="000C4D06">
        <w:rPr>
          <w:b/>
          <w:bCs/>
        </w:rPr>
        <w:t>Should any adjustments be made to the amounts included in the projected test year for amortization expense associated with the acquisition adjustment?</w:t>
      </w:r>
    </w:p>
    <w:p w14:paraId="514FFC79" w14:textId="77777777" w:rsidR="00D328A5" w:rsidRDefault="00D328A5" w:rsidP="00D73B1E">
      <w:pPr>
        <w:pStyle w:val="Default"/>
        <w:ind w:left="1440" w:hanging="1440"/>
        <w:jc w:val="both"/>
      </w:pPr>
    </w:p>
    <w:p w14:paraId="04958E52" w14:textId="77777777" w:rsidR="00644687" w:rsidRPr="00070C96" w:rsidRDefault="00644687" w:rsidP="00644687">
      <w:pPr>
        <w:ind w:left="1440" w:hanging="1440"/>
        <w:jc w:val="both"/>
        <w:rPr>
          <w:bCs/>
        </w:rPr>
      </w:pPr>
      <w:r>
        <w:rPr>
          <w:b/>
          <w:bCs/>
        </w:rPr>
        <w:t>FCG:</w:t>
      </w:r>
      <w:r>
        <w:rPr>
          <w:b/>
          <w:bCs/>
        </w:rPr>
        <w:tab/>
      </w:r>
      <w:r w:rsidR="002F0301">
        <w:rPr>
          <w:rFonts w:eastAsia="Calibri"/>
          <w:bCs/>
          <w:color w:val="000000"/>
        </w:rPr>
        <w:t>No.  T</w:t>
      </w:r>
      <w:r w:rsidR="002F0301" w:rsidRPr="00276021">
        <w:rPr>
          <w:rFonts w:eastAsia="Calibri"/>
          <w:bCs/>
          <w:color w:val="000000"/>
        </w:rPr>
        <w:t>he permanence of the AGLR acquisition adjustment has already</w:t>
      </w:r>
      <w:r w:rsidR="002F0301">
        <w:rPr>
          <w:rFonts w:eastAsia="Calibri"/>
          <w:bCs/>
          <w:color w:val="000000"/>
        </w:rPr>
        <w:t xml:space="preserve"> </w:t>
      </w:r>
      <w:r w:rsidR="002F0301" w:rsidRPr="00276021">
        <w:rPr>
          <w:rFonts w:eastAsia="Calibri"/>
          <w:bCs/>
          <w:color w:val="000000"/>
        </w:rPr>
        <w:t>been addressed and resolved in FCG’s most recent rate case in Docket No. 20170179-GU.  In addition, the inclusion of the AGLR acquisition adjustment and related</w:t>
      </w:r>
      <w:r w:rsidR="002F0301">
        <w:rPr>
          <w:rFonts w:eastAsia="Calibri"/>
          <w:bCs/>
          <w:color w:val="000000"/>
        </w:rPr>
        <w:t xml:space="preserve"> </w:t>
      </w:r>
      <w:r w:rsidR="002F0301" w:rsidRPr="00276021">
        <w:rPr>
          <w:rFonts w:eastAsia="Calibri"/>
          <w:bCs/>
          <w:color w:val="000000"/>
        </w:rPr>
        <w:t xml:space="preserve">amortization in base rates is consistent with the treatment for any other </w:t>
      </w:r>
      <w:r w:rsidR="002F0301">
        <w:rPr>
          <w:rFonts w:eastAsia="Calibri"/>
          <w:bCs/>
          <w:color w:val="000000"/>
        </w:rPr>
        <w:t xml:space="preserve">asset in rate base, including </w:t>
      </w:r>
      <w:r w:rsidR="002F0301" w:rsidRPr="00276021">
        <w:rPr>
          <w:rFonts w:eastAsia="Calibri"/>
          <w:bCs/>
          <w:color w:val="000000"/>
        </w:rPr>
        <w:t>regulatory asset</w:t>
      </w:r>
      <w:r w:rsidR="002F0301">
        <w:rPr>
          <w:rFonts w:eastAsia="Calibri"/>
          <w:bCs/>
          <w:color w:val="000000"/>
        </w:rPr>
        <w:t xml:space="preserve">s, </w:t>
      </w:r>
      <w:r w:rsidR="002F0301" w:rsidRPr="00276021">
        <w:rPr>
          <w:rFonts w:eastAsia="Calibri"/>
          <w:bCs/>
          <w:color w:val="000000"/>
        </w:rPr>
        <w:t>that FCG had on their books and records when it became a wholly-owned</w:t>
      </w:r>
      <w:r w:rsidR="002F0301">
        <w:rPr>
          <w:rFonts w:eastAsia="Calibri"/>
          <w:bCs/>
          <w:color w:val="000000"/>
        </w:rPr>
        <w:t xml:space="preserve"> </w:t>
      </w:r>
      <w:r w:rsidR="002F0301" w:rsidRPr="00276021">
        <w:rPr>
          <w:rFonts w:eastAsia="Calibri"/>
          <w:bCs/>
          <w:color w:val="000000"/>
        </w:rPr>
        <w:t xml:space="preserve">subsidiary of FPL. </w:t>
      </w:r>
      <w:r w:rsidR="002F0301">
        <w:rPr>
          <w:rFonts w:eastAsia="Calibri"/>
          <w:bCs/>
          <w:color w:val="000000"/>
        </w:rPr>
        <w:t xml:space="preserve"> </w:t>
      </w:r>
      <w:r w:rsidR="002F0301" w:rsidRPr="00276021">
        <w:rPr>
          <w:rFonts w:eastAsia="Calibri"/>
          <w:bCs/>
          <w:color w:val="000000"/>
        </w:rPr>
        <w:t>Therefore, there is no need to make adjustments to remove the</w:t>
      </w:r>
      <w:r w:rsidR="002F0301">
        <w:rPr>
          <w:rFonts w:eastAsia="Calibri"/>
          <w:bCs/>
          <w:color w:val="000000"/>
        </w:rPr>
        <w:t xml:space="preserve"> </w:t>
      </w:r>
      <w:r w:rsidR="002F0301" w:rsidRPr="00276021">
        <w:rPr>
          <w:rFonts w:eastAsia="Calibri"/>
          <w:bCs/>
          <w:color w:val="000000"/>
        </w:rPr>
        <w:t>AGLR acquisition adjustment and associated amortization from FCG’s 2023 Test</w:t>
      </w:r>
      <w:r w:rsidR="002F0301">
        <w:rPr>
          <w:rFonts w:eastAsia="Calibri"/>
          <w:bCs/>
          <w:color w:val="000000"/>
        </w:rPr>
        <w:t xml:space="preserve"> </w:t>
      </w:r>
      <w:r w:rsidR="002F0301" w:rsidRPr="00276021">
        <w:rPr>
          <w:rFonts w:eastAsia="Calibri"/>
          <w:bCs/>
          <w:color w:val="000000"/>
        </w:rPr>
        <w:t>Year.</w:t>
      </w:r>
      <w:r w:rsidR="002F0301">
        <w:rPr>
          <w:rFonts w:eastAsia="Calibri"/>
          <w:bCs/>
          <w:color w:val="000000"/>
        </w:rPr>
        <w:t xml:space="preserve">  </w:t>
      </w:r>
      <w:r w:rsidR="002F0301" w:rsidRPr="00064514">
        <w:rPr>
          <w:rFonts w:eastAsia="Calibri"/>
          <w:bCs/>
          <w:color w:val="000000"/>
        </w:rPr>
        <w:t>FCG included the $21.7 million AGLR acquisition adjustment and related</w:t>
      </w:r>
      <w:r w:rsidR="002F0301">
        <w:rPr>
          <w:rFonts w:eastAsia="Calibri"/>
          <w:bCs/>
          <w:color w:val="000000"/>
        </w:rPr>
        <w:t xml:space="preserve"> </w:t>
      </w:r>
      <w:r w:rsidR="002F0301" w:rsidRPr="00064514">
        <w:rPr>
          <w:rFonts w:eastAsia="Calibri"/>
          <w:bCs/>
          <w:color w:val="000000"/>
        </w:rPr>
        <w:t>accumulated amortization of $13.5 million in rate base, and $0.7 million of</w:t>
      </w:r>
      <w:r w:rsidR="002F0301">
        <w:rPr>
          <w:rFonts w:eastAsia="Calibri"/>
          <w:bCs/>
          <w:color w:val="000000"/>
        </w:rPr>
        <w:t xml:space="preserve"> </w:t>
      </w:r>
      <w:r w:rsidR="002F0301" w:rsidRPr="00064514">
        <w:rPr>
          <w:rFonts w:eastAsia="Calibri"/>
          <w:bCs/>
          <w:color w:val="000000"/>
        </w:rPr>
        <w:t xml:space="preserve">amortization expense in net operating income in the 2023 Test Year. </w:t>
      </w:r>
      <w:r w:rsidR="002F0301">
        <w:rPr>
          <w:rFonts w:eastAsia="Calibri"/>
          <w:bCs/>
          <w:color w:val="000000"/>
        </w:rPr>
        <w:t xml:space="preserve"> </w:t>
      </w:r>
      <w:r w:rsidR="002F0301" w:rsidRPr="00064514">
        <w:rPr>
          <w:rFonts w:eastAsia="Calibri"/>
          <w:bCs/>
          <w:color w:val="000000"/>
        </w:rPr>
        <w:t>This treatment is</w:t>
      </w:r>
      <w:r w:rsidR="002F0301">
        <w:rPr>
          <w:rFonts w:eastAsia="Calibri"/>
          <w:bCs/>
          <w:color w:val="000000"/>
        </w:rPr>
        <w:t xml:space="preserve"> </w:t>
      </w:r>
      <w:r w:rsidR="002F0301" w:rsidRPr="00064514">
        <w:rPr>
          <w:rFonts w:eastAsia="Calibri"/>
          <w:bCs/>
          <w:color w:val="000000"/>
        </w:rPr>
        <w:t>consistent with the 2018 Settlement Agreement.</w:t>
      </w:r>
      <w:r w:rsidR="002F0301">
        <w:rPr>
          <w:rFonts w:eastAsia="Calibri"/>
          <w:bCs/>
          <w:color w:val="000000"/>
        </w:rPr>
        <w:t xml:space="preserve">  (Fuentes)</w:t>
      </w:r>
    </w:p>
    <w:p w14:paraId="78818387" w14:textId="77777777" w:rsidR="00644687" w:rsidRPr="00070C96" w:rsidRDefault="00644687" w:rsidP="00644687">
      <w:pPr>
        <w:ind w:left="1440" w:hanging="1440"/>
        <w:jc w:val="both"/>
        <w:rPr>
          <w:bCs/>
        </w:rPr>
      </w:pPr>
    </w:p>
    <w:p w14:paraId="1B9FC489" w14:textId="77777777" w:rsidR="00644687" w:rsidRPr="00070C96" w:rsidRDefault="00644687" w:rsidP="00644687">
      <w:pPr>
        <w:ind w:left="1440" w:hanging="1440"/>
        <w:jc w:val="both"/>
        <w:rPr>
          <w:bCs/>
        </w:rPr>
      </w:pPr>
      <w:r>
        <w:rPr>
          <w:b/>
          <w:bCs/>
        </w:rPr>
        <w:t>OPC:</w:t>
      </w:r>
      <w:r>
        <w:rPr>
          <w:b/>
          <w:bCs/>
        </w:rPr>
        <w:tab/>
      </w:r>
      <w:r w:rsidR="000C4D06">
        <w:t>Yes, amortization expense associated with the acquisition adjustment in the amount of $721,894 should be removed. (Schultz)</w:t>
      </w:r>
    </w:p>
    <w:p w14:paraId="5B438439" w14:textId="77777777" w:rsidR="00644687" w:rsidRPr="00070C96" w:rsidRDefault="00644687" w:rsidP="00644687">
      <w:pPr>
        <w:ind w:left="1440" w:hanging="1440"/>
        <w:jc w:val="both"/>
        <w:rPr>
          <w:bCs/>
        </w:rPr>
      </w:pPr>
    </w:p>
    <w:p w14:paraId="48347159" w14:textId="77777777" w:rsidR="00644687" w:rsidRPr="00070C96" w:rsidRDefault="00644687" w:rsidP="00644687">
      <w:pPr>
        <w:ind w:left="1440" w:hanging="1440"/>
        <w:jc w:val="both"/>
        <w:rPr>
          <w:bCs/>
        </w:rPr>
      </w:pPr>
      <w:r>
        <w:rPr>
          <w:b/>
          <w:bCs/>
        </w:rPr>
        <w:t>FEA:</w:t>
      </w:r>
      <w:r>
        <w:rPr>
          <w:b/>
          <w:bCs/>
        </w:rPr>
        <w:tab/>
      </w:r>
      <w:r w:rsidR="009D1863">
        <w:t>No position.</w:t>
      </w:r>
    </w:p>
    <w:p w14:paraId="1EED39BA" w14:textId="77777777" w:rsidR="00644687" w:rsidRPr="00070C96" w:rsidRDefault="00644687" w:rsidP="00644687">
      <w:pPr>
        <w:ind w:left="1440" w:hanging="1440"/>
        <w:jc w:val="both"/>
        <w:rPr>
          <w:bCs/>
        </w:rPr>
      </w:pPr>
    </w:p>
    <w:p w14:paraId="0DCC589C"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73700973" w14:textId="77777777" w:rsidR="00644687" w:rsidRPr="00070C96" w:rsidRDefault="00644687" w:rsidP="00644687">
      <w:pPr>
        <w:ind w:left="1440" w:hanging="1440"/>
        <w:jc w:val="both"/>
        <w:rPr>
          <w:bCs/>
        </w:rPr>
      </w:pPr>
    </w:p>
    <w:p w14:paraId="2C276422"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7E3940CB" w14:textId="77777777" w:rsidR="00644687" w:rsidRDefault="00644687" w:rsidP="00644687">
      <w:pPr>
        <w:pStyle w:val="Default"/>
        <w:ind w:left="1440" w:hanging="1440"/>
        <w:jc w:val="both"/>
      </w:pPr>
    </w:p>
    <w:p w14:paraId="7577A0C8" w14:textId="77777777" w:rsidR="00D328A5" w:rsidRPr="00C46D32" w:rsidRDefault="00D328A5" w:rsidP="00D73B1E">
      <w:pPr>
        <w:pStyle w:val="Default"/>
        <w:ind w:left="1440" w:hanging="1440"/>
        <w:jc w:val="both"/>
      </w:pPr>
    </w:p>
    <w:p w14:paraId="09600E5F" w14:textId="77777777" w:rsidR="00D328A5" w:rsidRPr="000C4D06" w:rsidRDefault="00D328A5" w:rsidP="00D73B1E">
      <w:pPr>
        <w:pStyle w:val="Default"/>
        <w:numPr>
          <w:ilvl w:val="0"/>
          <w:numId w:val="2"/>
        </w:numPr>
        <w:ind w:left="1440" w:hanging="1440"/>
        <w:jc w:val="both"/>
        <w:rPr>
          <w:b/>
          <w:bCs/>
        </w:rPr>
      </w:pPr>
      <w:r w:rsidRPr="000C4D06">
        <w:rPr>
          <w:b/>
          <w:bCs/>
        </w:rPr>
        <w:t>What is the appropriate amount of Depreciation and Amortization Expense for the projected test year?</w:t>
      </w:r>
    </w:p>
    <w:p w14:paraId="451413C6" w14:textId="77777777" w:rsidR="00D328A5" w:rsidRDefault="00D328A5" w:rsidP="00D73B1E">
      <w:pPr>
        <w:pStyle w:val="Default"/>
        <w:ind w:left="1440" w:hanging="1440"/>
        <w:jc w:val="both"/>
      </w:pPr>
    </w:p>
    <w:p w14:paraId="2E4774CA" w14:textId="77777777" w:rsidR="00644687" w:rsidRPr="00070C96" w:rsidRDefault="00644687" w:rsidP="00644687">
      <w:pPr>
        <w:ind w:left="1440" w:hanging="1440"/>
        <w:jc w:val="both"/>
        <w:rPr>
          <w:bCs/>
        </w:rPr>
      </w:pPr>
      <w:r>
        <w:rPr>
          <w:b/>
          <w:bCs/>
        </w:rPr>
        <w:t>FCG:</w:t>
      </w:r>
      <w:r>
        <w:rPr>
          <w:b/>
          <w:bCs/>
        </w:rPr>
        <w:tab/>
      </w:r>
      <w:r w:rsidR="002F0301" w:rsidRPr="00471540">
        <w:rPr>
          <w:rFonts w:eastAsia="Calibri"/>
          <w:bCs/>
          <w:color w:val="000000"/>
        </w:rPr>
        <w:t xml:space="preserve">As reflected </w:t>
      </w:r>
      <w:r w:rsidR="002F0301">
        <w:rPr>
          <w:rFonts w:eastAsia="Calibri"/>
          <w:bCs/>
          <w:color w:val="000000"/>
        </w:rPr>
        <w:t>on MFR A-4 (with RSAM)</w:t>
      </w:r>
      <w:r w:rsidR="002F0301" w:rsidDel="007E2E45">
        <w:rPr>
          <w:rFonts w:eastAsia="Calibri"/>
          <w:bCs/>
          <w:color w:val="000000"/>
        </w:rPr>
        <w:t xml:space="preserve">, </w:t>
      </w:r>
      <w:r w:rsidR="002F0301" w:rsidRPr="00471540">
        <w:rPr>
          <w:rFonts w:eastAsia="Calibri"/>
          <w:bCs/>
          <w:color w:val="000000"/>
        </w:rPr>
        <w:t xml:space="preserve">the appropriate amount of Depreciation and Amortization expense with RSAM is </w:t>
      </w:r>
      <w:r w:rsidR="002F0301" w:rsidRPr="008B246C">
        <w:rPr>
          <w:rFonts w:eastAsia="Calibri"/>
          <w:color w:val="000000"/>
        </w:rPr>
        <w:t>$</w:t>
      </w:r>
      <w:r w:rsidR="002F0301" w:rsidRPr="009267C9">
        <w:rPr>
          <w:rFonts w:eastAsia="Calibri"/>
          <w:color w:val="000000"/>
        </w:rPr>
        <w:t>17,316,572</w:t>
      </w:r>
      <w:r w:rsidR="002F0301" w:rsidRPr="00471540">
        <w:rPr>
          <w:rFonts w:eastAsia="Calibri"/>
          <w:bCs/>
          <w:color w:val="000000"/>
        </w:rPr>
        <w:t xml:space="preserve"> (adjusted) for the 2023 </w:t>
      </w:r>
      <w:r w:rsidR="002F0301">
        <w:rPr>
          <w:rFonts w:eastAsia="Calibri"/>
          <w:bCs/>
          <w:color w:val="000000"/>
        </w:rPr>
        <w:t>T</w:t>
      </w:r>
      <w:r w:rsidR="002F0301" w:rsidRPr="00471540">
        <w:rPr>
          <w:rFonts w:eastAsia="Calibri"/>
          <w:bCs/>
          <w:color w:val="000000"/>
        </w:rPr>
        <w:t xml:space="preserve">est </w:t>
      </w:r>
      <w:r w:rsidR="002F0301">
        <w:rPr>
          <w:rFonts w:eastAsia="Calibri"/>
          <w:bCs/>
          <w:color w:val="000000"/>
        </w:rPr>
        <w:t>Y</w:t>
      </w:r>
      <w:r w:rsidR="002F0301" w:rsidRPr="00471540">
        <w:rPr>
          <w:rFonts w:eastAsia="Calibri"/>
          <w:bCs/>
          <w:color w:val="000000"/>
        </w:rPr>
        <w:t>ear.  If the Commission does not adopt the RSAM as part of FCG’s four-year rate proposal, the appropriate amount of Depreciation and Amortization expense without RSAM is $</w:t>
      </w:r>
      <w:r w:rsidR="002F0301" w:rsidRPr="00AF2BD4">
        <w:rPr>
          <w:rFonts w:eastAsia="Calibri"/>
          <w:color w:val="000000"/>
        </w:rPr>
        <w:t>20,501,181</w:t>
      </w:r>
      <w:r w:rsidR="002F0301" w:rsidRPr="00471540">
        <w:rPr>
          <w:rFonts w:eastAsia="Calibri"/>
          <w:bCs/>
          <w:color w:val="000000"/>
        </w:rPr>
        <w:t xml:space="preserve"> (adjusted) for the 2023 </w:t>
      </w:r>
      <w:r w:rsidR="002F0301">
        <w:rPr>
          <w:rFonts w:eastAsia="Calibri"/>
          <w:bCs/>
          <w:color w:val="000000"/>
        </w:rPr>
        <w:t>T</w:t>
      </w:r>
      <w:r w:rsidR="002F0301" w:rsidRPr="00471540">
        <w:rPr>
          <w:rFonts w:eastAsia="Calibri"/>
          <w:bCs/>
          <w:color w:val="000000"/>
        </w:rPr>
        <w:t xml:space="preserve">est </w:t>
      </w:r>
      <w:r w:rsidR="002F0301">
        <w:rPr>
          <w:rFonts w:eastAsia="Calibri"/>
          <w:bCs/>
          <w:color w:val="000000"/>
        </w:rPr>
        <w:t>t</w:t>
      </w:r>
      <w:r w:rsidR="002F0301" w:rsidRPr="00471540">
        <w:rPr>
          <w:rFonts w:eastAsia="Calibri"/>
          <w:bCs/>
          <w:color w:val="000000"/>
        </w:rPr>
        <w:t>ear</w:t>
      </w:r>
      <w:r w:rsidR="002F0301" w:rsidRPr="007E2E45">
        <w:rPr>
          <w:rFonts w:eastAsia="Calibri"/>
          <w:bCs/>
          <w:color w:val="000000"/>
        </w:rPr>
        <w:t xml:space="preserve"> </w:t>
      </w:r>
      <w:r w:rsidR="002F0301" w:rsidRPr="00471540">
        <w:rPr>
          <w:rFonts w:eastAsia="Calibri"/>
          <w:bCs/>
          <w:color w:val="000000"/>
        </w:rPr>
        <w:t xml:space="preserve">as reflected </w:t>
      </w:r>
      <w:r w:rsidR="002F0301">
        <w:rPr>
          <w:rFonts w:eastAsia="Calibri"/>
          <w:bCs/>
          <w:color w:val="000000"/>
        </w:rPr>
        <w:t xml:space="preserve">on </w:t>
      </w:r>
      <w:r w:rsidR="002F0301" w:rsidRPr="009267C9">
        <w:rPr>
          <w:rFonts w:eastAsia="Calibri"/>
          <w:bCs/>
          <w:color w:val="000000"/>
        </w:rPr>
        <w:t xml:space="preserve">MFR </w:t>
      </w:r>
      <w:r w:rsidR="002F0301">
        <w:rPr>
          <w:rFonts w:eastAsia="Calibri"/>
          <w:bCs/>
          <w:color w:val="000000"/>
        </w:rPr>
        <w:t>A</w:t>
      </w:r>
      <w:r w:rsidR="002F0301" w:rsidRPr="009267C9">
        <w:rPr>
          <w:rFonts w:eastAsia="Calibri"/>
          <w:bCs/>
          <w:color w:val="000000"/>
        </w:rPr>
        <w:t>-</w:t>
      </w:r>
      <w:r w:rsidR="002F0301">
        <w:rPr>
          <w:rFonts w:eastAsia="Calibri"/>
          <w:bCs/>
          <w:color w:val="000000"/>
        </w:rPr>
        <w:t>4</w:t>
      </w:r>
      <w:r w:rsidR="002F0301" w:rsidRPr="00471540">
        <w:rPr>
          <w:rFonts w:eastAsia="Calibri"/>
          <w:bCs/>
          <w:color w:val="000000"/>
        </w:rPr>
        <w:t>.  (</w:t>
      </w:r>
      <w:r w:rsidR="002F0301">
        <w:rPr>
          <w:rFonts w:eastAsia="Calibri"/>
          <w:bCs/>
          <w:color w:val="000000"/>
        </w:rPr>
        <w:t>Fuentes</w:t>
      </w:r>
      <w:r w:rsidR="002F0301" w:rsidRPr="00471540">
        <w:rPr>
          <w:rFonts w:eastAsia="Calibri"/>
          <w:bCs/>
          <w:color w:val="000000"/>
        </w:rPr>
        <w:t>)</w:t>
      </w:r>
    </w:p>
    <w:p w14:paraId="06582567" w14:textId="77777777" w:rsidR="00644687" w:rsidRPr="00070C96" w:rsidRDefault="00644687" w:rsidP="00644687">
      <w:pPr>
        <w:ind w:left="1440" w:hanging="1440"/>
        <w:jc w:val="both"/>
        <w:rPr>
          <w:bCs/>
        </w:rPr>
      </w:pPr>
    </w:p>
    <w:p w14:paraId="7E9FA6D9" w14:textId="77777777" w:rsidR="00644687" w:rsidRPr="00070C96" w:rsidRDefault="00644687" w:rsidP="00644687">
      <w:pPr>
        <w:ind w:left="1440" w:hanging="1440"/>
        <w:jc w:val="both"/>
        <w:rPr>
          <w:bCs/>
        </w:rPr>
      </w:pPr>
      <w:r>
        <w:rPr>
          <w:b/>
          <w:bCs/>
        </w:rPr>
        <w:t>OPC:</w:t>
      </w:r>
      <w:r>
        <w:rPr>
          <w:b/>
          <w:bCs/>
        </w:rPr>
        <w:tab/>
      </w:r>
      <w:r w:rsidR="000C4D06">
        <w:t>The total amount of Depreciation and Amortization Expense should be reduced to no more than $18,189,244, after making the adjustments identified in lines 18-22 of Exhibit HWS-2, Schedule C, page 2 of 2. (Schultz; Garrett)</w:t>
      </w:r>
    </w:p>
    <w:p w14:paraId="4DD0C925" w14:textId="77777777" w:rsidR="00644687" w:rsidRPr="00070C96" w:rsidRDefault="00644687" w:rsidP="00644687">
      <w:pPr>
        <w:ind w:left="1440" w:hanging="1440"/>
        <w:jc w:val="both"/>
        <w:rPr>
          <w:bCs/>
        </w:rPr>
      </w:pPr>
    </w:p>
    <w:p w14:paraId="5DC16316" w14:textId="77777777" w:rsidR="00644687" w:rsidRPr="00070C96" w:rsidRDefault="00644687" w:rsidP="00644687">
      <w:pPr>
        <w:ind w:left="1440" w:hanging="1440"/>
        <w:jc w:val="both"/>
        <w:rPr>
          <w:bCs/>
        </w:rPr>
      </w:pPr>
      <w:r>
        <w:rPr>
          <w:b/>
          <w:bCs/>
        </w:rPr>
        <w:t>FEA:</w:t>
      </w:r>
      <w:r>
        <w:rPr>
          <w:b/>
          <w:bCs/>
        </w:rPr>
        <w:tab/>
      </w:r>
      <w:r w:rsidR="009D1863">
        <w:t>No position.</w:t>
      </w:r>
    </w:p>
    <w:p w14:paraId="5F032A3E" w14:textId="77777777" w:rsidR="00644687" w:rsidRPr="00070C96" w:rsidRDefault="00644687" w:rsidP="00644687">
      <w:pPr>
        <w:ind w:left="1440" w:hanging="1440"/>
        <w:jc w:val="both"/>
        <w:rPr>
          <w:bCs/>
        </w:rPr>
      </w:pPr>
    </w:p>
    <w:p w14:paraId="177871E7"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02B67B8B" w14:textId="77777777" w:rsidR="00644687" w:rsidRPr="00070C96" w:rsidRDefault="00644687" w:rsidP="00644687">
      <w:pPr>
        <w:ind w:left="1440" w:hanging="1440"/>
        <w:jc w:val="both"/>
        <w:rPr>
          <w:bCs/>
        </w:rPr>
      </w:pPr>
    </w:p>
    <w:p w14:paraId="2DAE480F"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20F22A6" w14:textId="77777777" w:rsidR="00644687" w:rsidRDefault="00644687" w:rsidP="00644687">
      <w:pPr>
        <w:pStyle w:val="Default"/>
        <w:ind w:left="1440" w:hanging="1440"/>
        <w:jc w:val="both"/>
      </w:pPr>
    </w:p>
    <w:p w14:paraId="69B0F173" w14:textId="77777777" w:rsidR="00D328A5" w:rsidRPr="008C76AE" w:rsidRDefault="00D328A5" w:rsidP="00D73B1E">
      <w:pPr>
        <w:pStyle w:val="Default"/>
        <w:ind w:left="1440" w:hanging="1440"/>
        <w:jc w:val="both"/>
      </w:pPr>
    </w:p>
    <w:p w14:paraId="442BBCFE" w14:textId="77777777" w:rsidR="00D328A5" w:rsidRPr="000C4D06" w:rsidRDefault="00D328A5" w:rsidP="00D73B1E">
      <w:pPr>
        <w:pStyle w:val="Default"/>
        <w:numPr>
          <w:ilvl w:val="0"/>
          <w:numId w:val="2"/>
        </w:numPr>
        <w:ind w:left="1440" w:hanging="1440"/>
        <w:jc w:val="both"/>
        <w:rPr>
          <w:b/>
        </w:rPr>
      </w:pPr>
      <w:r w:rsidRPr="000C4D06">
        <w:rPr>
          <w:b/>
          <w:bCs/>
        </w:rPr>
        <w:t xml:space="preserve">What is the appropriate amount of projected test year Taxes Other than Income? </w:t>
      </w:r>
    </w:p>
    <w:p w14:paraId="5CFE2B8C" w14:textId="77777777" w:rsidR="00D328A5" w:rsidRDefault="00D328A5" w:rsidP="00D73B1E">
      <w:pPr>
        <w:pStyle w:val="Default"/>
        <w:ind w:left="1440" w:hanging="1440"/>
        <w:jc w:val="both"/>
      </w:pPr>
    </w:p>
    <w:p w14:paraId="1DD97A72" w14:textId="77777777" w:rsidR="00644687" w:rsidRPr="00070C96" w:rsidRDefault="00644687" w:rsidP="00644687">
      <w:pPr>
        <w:ind w:left="1440" w:hanging="1440"/>
        <w:jc w:val="both"/>
        <w:rPr>
          <w:bCs/>
        </w:rPr>
      </w:pPr>
      <w:r>
        <w:rPr>
          <w:b/>
          <w:bCs/>
        </w:rPr>
        <w:t>FCG:</w:t>
      </w:r>
      <w:r>
        <w:rPr>
          <w:b/>
          <w:bCs/>
        </w:rPr>
        <w:tab/>
      </w:r>
      <w:r w:rsidR="002F0301" w:rsidRPr="00471540">
        <w:rPr>
          <w:rFonts w:eastAsia="Calibri"/>
          <w:color w:val="000000"/>
        </w:rPr>
        <w:t xml:space="preserve">As reflected </w:t>
      </w:r>
      <w:r w:rsidR="002F0301">
        <w:rPr>
          <w:rFonts w:eastAsia="Calibri"/>
          <w:color w:val="000000"/>
        </w:rPr>
        <w:t>on MFR A-4 (with RSAM)</w:t>
      </w:r>
      <w:r w:rsidR="002F0301" w:rsidDel="000E6555">
        <w:rPr>
          <w:rFonts w:eastAsia="Calibri"/>
          <w:color w:val="000000"/>
        </w:rPr>
        <w:t xml:space="preserve">, </w:t>
      </w:r>
      <w:r w:rsidR="002F0301" w:rsidRPr="00471540">
        <w:rPr>
          <w:rFonts w:eastAsia="Calibri"/>
          <w:color w:val="000000"/>
        </w:rPr>
        <w:t>the appropriate amount of Taxes Other Than Income Taxes is $</w:t>
      </w:r>
      <w:r w:rsidR="002F0301" w:rsidRPr="008D41FE">
        <w:rPr>
          <w:rFonts w:eastAsia="Calibri"/>
          <w:color w:val="000000"/>
        </w:rPr>
        <w:t>6,386,610</w:t>
      </w:r>
      <w:r w:rsidR="002F0301" w:rsidRPr="00471540">
        <w:rPr>
          <w:rFonts w:eastAsia="Calibri"/>
          <w:color w:val="000000"/>
        </w:rPr>
        <w:t xml:space="preserve"> (adjusted) for the 2023 projected test year.</w:t>
      </w:r>
      <w:r w:rsidR="002F0301">
        <w:rPr>
          <w:rFonts w:eastAsia="Calibri"/>
          <w:color w:val="000000"/>
        </w:rPr>
        <w:t xml:space="preserve">  </w:t>
      </w:r>
      <w:r w:rsidR="002F0301" w:rsidRPr="00436883">
        <w:rPr>
          <w:rFonts w:eastAsia="Calibri"/>
          <w:color w:val="000000"/>
        </w:rPr>
        <w:t xml:space="preserve">If the Commission does not adopt the RSAM as part of FCG’s four-year rate proposal, the appropriate </w:t>
      </w:r>
      <w:r w:rsidR="002F0301">
        <w:rPr>
          <w:rFonts w:eastAsia="Calibri"/>
          <w:color w:val="000000"/>
        </w:rPr>
        <w:t xml:space="preserve">amount of Taxes Other Than Income Taxes is </w:t>
      </w:r>
      <w:r w:rsidR="002F0301" w:rsidRPr="00436883">
        <w:rPr>
          <w:rFonts w:eastAsia="Calibri"/>
          <w:color w:val="000000"/>
        </w:rPr>
        <w:t xml:space="preserve">also </w:t>
      </w:r>
      <w:r w:rsidR="002F0301" w:rsidRPr="00471540">
        <w:rPr>
          <w:rFonts w:eastAsia="Calibri"/>
          <w:color w:val="000000"/>
        </w:rPr>
        <w:t>$</w:t>
      </w:r>
      <w:r w:rsidR="002F0301">
        <w:rPr>
          <w:rFonts w:eastAsia="Calibri"/>
          <w:color w:val="000000"/>
        </w:rPr>
        <w:t>6,386,610</w:t>
      </w:r>
      <w:r w:rsidR="002F0301" w:rsidRPr="00436883">
        <w:rPr>
          <w:rFonts w:eastAsia="Calibri"/>
          <w:color w:val="000000"/>
        </w:rPr>
        <w:t xml:space="preserve"> </w:t>
      </w:r>
      <w:r w:rsidR="002F0301">
        <w:rPr>
          <w:rFonts w:eastAsia="Calibri"/>
          <w:color w:val="000000"/>
        </w:rPr>
        <w:t xml:space="preserve">(adjusted) </w:t>
      </w:r>
      <w:r w:rsidR="002F0301" w:rsidRPr="00436883">
        <w:rPr>
          <w:rFonts w:eastAsia="Calibri"/>
          <w:color w:val="000000"/>
        </w:rPr>
        <w:t xml:space="preserve">as reflected on </w:t>
      </w:r>
      <w:r w:rsidR="002F0301">
        <w:rPr>
          <w:rFonts w:eastAsia="Calibri"/>
          <w:color w:val="000000"/>
        </w:rPr>
        <w:t>Exhibit LF</w:t>
      </w:r>
      <w:r w:rsidR="002F0301" w:rsidRPr="00436883">
        <w:rPr>
          <w:rFonts w:eastAsia="Calibri"/>
          <w:color w:val="000000"/>
        </w:rPr>
        <w:t>-12</w:t>
      </w:r>
      <w:r w:rsidR="002F0301">
        <w:rPr>
          <w:rFonts w:eastAsia="Calibri"/>
          <w:color w:val="000000"/>
        </w:rPr>
        <w:t xml:space="preserve">. </w:t>
      </w:r>
      <w:r w:rsidR="002F0301" w:rsidRPr="00436883">
        <w:rPr>
          <w:rFonts w:eastAsia="Calibri"/>
          <w:color w:val="000000"/>
        </w:rPr>
        <w:t xml:space="preserve"> </w:t>
      </w:r>
      <w:r w:rsidR="002F0301">
        <w:rPr>
          <w:rFonts w:eastAsia="Calibri"/>
          <w:color w:val="000000"/>
        </w:rPr>
        <w:t>(Campbell, Fuentes)</w:t>
      </w:r>
    </w:p>
    <w:p w14:paraId="3B3B200F" w14:textId="77777777" w:rsidR="00644687" w:rsidRPr="00070C96" w:rsidRDefault="00644687" w:rsidP="00644687">
      <w:pPr>
        <w:ind w:left="1440" w:hanging="1440"/>
        <w:jc w:val="both"/>
        <w:rPr>
          <w:bCs/>
        </w:rPr>
      </w:pPr>
    </w:p>
    <w:p w14:paraId="6649C593" w14:textId="77777777" w:rsidR="00644687" w:rsidRPr="00070C96" w:rsidRDefault="00644687" w:rsidP="00644687">
      <w:pPr>
        <w:ind w:left="1440" w:hanging="1440"/>
        <w:jc w:val="both"/>
        <w:rPr>
          <w:bCs/>
        </w:rPr>
      </w:pPr>
      <w:r>
        <w:rPr>
          <w:b/>
          <w:bCs/>
        </w:rPr>
        <w:t>OPC:</w:t>
      </w:r>
      <w:r>
        <w:rPr>
          <w:b/>
          <w:bCs/>
        </w:rPr>
        <w:tab/>
      </w:r>
      <w:r w:rsidR="000C4D06">
        <w:t>OPC Witness Schultz addresses this issue in his testimony and exhibits including, but not limited to, Schedule C. The total amount of Taxes Other than Income should be reduced to no more than $6,263,843, after the payroll tax adjustment of $122,767. See also Issue 39. (Schultz)</w:t>
      </w:r>
    </w:p>
    <w:p w14:paraId="372D8859" w14:textId="77777777" w:rsidR="00644687" w:rsidRPr="00070C96" w:rsidRDefault="00644687" w:rsidP="00644687">
      <w:pPr>
        <w:ind w:left="1440" w:hanging="1440"/>
        <w:jc w:val="both"/>
        <w:rPr>
          <w:bCs/>
        </w:rPr>
      </w:pPr>
    </w:p>
    <w:p w14:paraId="68D4800B" w14:textId="77777777" w:rsidR="00644687" w:rsidRPr="00070C96" w:rsidRDefault="00644687" w:rsidP="00644687">
      <w:pPr>
        <w:ind w:left="1440" w:hanging="1440"/>
        <w:jc w:val="both"/>
        <w:rPr>
          <w:bCs/>
        </w:rPr>
      </w:pPr>
      <w:r>
        <w:rPr>
          <w:b/>
          <w:bCs/>
        </w:rPr>
        <w:t>FEA:</w:t>
      </w:r>
      <w:r>
        <w:rPr>
          <w:b/>
          <w:bCs/>
        </w:rPr>
        <w:tab/>
      </w:r>
      <w:r w:rsidR="009D1863">
        <w:t>No position.</w:t>
      </w:r>
    </w:p>
    <w:p w14:paraId="3B410B4D" w14:textId="77777777" w:rsidR="00644687" w:rsidRPr="00070C96" w:rsidRDefault="00644687" w:rsidP="00644687">
      <w:pPr>
        <w:ind w:left="1440" w:hanging="1440"/>
        <w:jc w:val="both"/>
        <w:rPr>
          <w:bCs/>
        </w:rPr>
      </w:pPr>
    </w:p>
    <w:p w14:paraId="495B52A0"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4F7DB32B" w14:textId="77777777" w:rsidR="00644687" w:rsidRPr="00070C96" w:rsidRDefault="00644687" w:rsidP="00644687">
      <w:pPr>
        <w:ind w:left="1440" w:hanging="1440"/>
        <w:jc w:val="both"/>
        <w:rPr>
          <w:bCs/>
        </w:rPr>
      </w:pPr>
    </w:p>
    <w:p w14:paraId="244F59CE"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334FDDE" w14:textId="4C963250" w:rsidR="00644687" w:rsidRDefault="00644687" w:rsidP="00644687">
      <w:pPr>
        <w:pStyle w:val="Default"/>
        <w:ind w:left="1440" w:hanging="1440"/>
        <w:jc w:val="both"/>
      </w:pPr>
    </w:p>
    <w:p w14:paraId="39150E17" w14:textId="2CC80B05" w:rsidR="005C6EBD" w:rsidRDefault="005C6EBD" w:rsidP="00644687">
      <w:pPr>
        <w:pStyle w:val="Default"/>
        <w:ind w:left="1440" w:hanging="1440"/>
        <w:jc w:val="both"/>
      </w:pPr>
    </w:p>
    <w:p w14:paraId="115B7DE9" w14:textId="77777777" w:rsidR="005C6EBD" w:rsidRDefault="005C6EBD" w:rsidP="00644687">
      <w:pPr>
        <w:pStyle w:val="Default"/>
        <w:ind w:left="1440" w:hanging="1440"/>
        <w:jc w:val="both"/>
      </w:pPr>
    </w:p>
    <w:p w14:paraId="72FBF2CE" w14:textId="06A7C3D0" w:rsidR="00D328A5" w:rsidRDefault="00D328A5" w:rsidP="00D73B1E">
      <w:pPr>
        <w:pStyle w:val="Default"/>
        <w:ind w:left="1440" w:hanging="1440"/>
        <w:jc w:val="both"/>
      </w:pPr>
    </w:p>
    <w:p w14:paraId="469EBBC7" w14:textId="77777777" w:rsidR="00D328A5" w:rsidRPr="000C4D06" w:rsidRDefault="00D328A5" w:rsidP="00D73B1E">
      <w:pPr>
        <w:pStyle w:val="Default"/>
        <w:numPr>
          <w:ilvl w:val="0"/>
          <w:numId w:val="2"/>
        </w:numPr>
        <w:ind w:left="1440" w:hanging="1440"/>
        <w:jc w:val="both"/>
        <w:rPr>
          <w:b/>
        </w:rPr>
      </w:pPr>
      <w:r w:rsidRPr="000C4D06">
        <w:rPr>
          <w:b/>
          <w:bCs/>
        </w:rPr>
        <w:t>What is the appropriate amount of projected test year Income Tax Expense? (Fallout Issue)</w:t>
      </w:r>
    </w:p>
    <w:p w14:paraId="52968D58" w14:textId="77777777" w:rsidR="00D328A5" w:rsidRDefault="00D328A5" w:rsidP="00D73B1E">
      <w:pPr>
        <w:pStyle w:val="Default"/>
        <w:ind w:left="1440" w:hanging="1440"/>
        <w:jc w:val="both"/>
      </w:pPr>
    </w:p>
    <w:p w14:paraId="74B950D1" w14:textId="77777777" w:rsidR="00644687" w:rsidRPr="00070C96" w:rsidRDefault="00644687" w:rsidP="00644687">
      <w:pPr>
        <w:ind w:left="1440" w:hanging="1440"/>
        <w:jc w:val="both"/>
        <w:rPr>
          <w:bCs/>
        </w:rPr>
      </w:pPr>
      <w:r>
        <w:rPr>
          <w:b/>
          <w:bCs/>
        </w:rPr>
        <w:t>FCG:</w:t>
      </w:r>
      <w:r>
        <w:rPr>
          <w:b/>
          <w:bCs/>
        </w:rPr>
        <w:tab/>
      </w:r>
      <w:r w:rsidR="002F0301" w:rsidRPr="00471540">
        <w:rPr>
          <w:rFonts w:eastAsia="Calibri"/>
          <w:color w:val="000000"/>
        </w:rPr>
        <w:t>As reflected on Exhibit LF-</w:t>
      </w:r>
      <w:r w:rsidR="002F0301">
        <w:rPr>
          <w:rFonts w:eastAsia="Calibri"/>
          <w:color w:val="000000"/>
        </w:rPr>
        <w:t>11</w:t>
      </w:r>
      <w:r w:rsidR="002F0301" w:rsidRPr="00471540">
        <w:rPr>
          <w:rFonts w:eastAsia="Calibri"/>
          <w:color w:val="000000"/>
        </w:rPr>
        <w:t>, the appropriate amount of Income Taxes Expense with RSAM is $</w:t>
      </w:r>
      <w:r w:rsidR="002F0301" w:rsidRPr="001B280E" w:rsidDel="00074FC0">
        <w:rPr>
          <w:rFonts w:eastAsia="Calibri"/>
          <w:color w:val="000000"/>
        </w:rPr>
        <w:t>1,</w:t>
      </w:r>
      <w:r w:rsidR="002F0301">
        <w:rPr>
          <w:rFonts w:eastAsia="Calibri"/>
          <w:color w:val="000000"/>
        </w:rPr>
        <w:t>804,203</w:t>
      </w:r>
      <w:r w:rsidR="002F0301" w:rsidRPr="00471540">
        <w:rPr>
          <w:rFonts w:eastAsia="Calibri"/>
          <w:color w:val="000000"/>
        </w:rPr>
        <w:t xml:space="preserve"> (adjusted) for the 2023 </w:t>
      </w:r>
      <w:r w:rsidR="002F0301">
        <w:rPr>
          <w:rFonts w:eastAsia="Calibri"/>
          <w:color w:val="000000"/>
        </w:rPr>
        <w:t>T</w:t>
      </w:r>
      <w:r w:rsidR="002F0301" w:rsidRPr="00471540">
        <w:rPr>
          <w:rFonts w:eastAsia="Calibri"/>
          <w:color w:val="000000"/>
        </w:rPr>
        <w:t xml:space="preserve">est </w:t>
      </w:r>
      <w:r w:rsidR="002F0301">
        <w:rPr>
          <w:rFonts w:eastAsia="Calibri"/>
          <w:color w:val="000000"/>
        </w:rPr>
        <w:t>Y</w:t>
      </w:r>
      <w:r w:rsidR="002F0301" w:rsidRPr="00471540">
        <w:rPr>
          <w:rFonts w:eastAsia="Calibri"/>
          <w:color w:val="000000"/>
        </w:rPr>
        <w:t xml:space="preserve">ear. </w:t>
      </w:r>
      <w:r w:rsidR="002F0301">
        <w:rPr>
          <w:rFonts w:eastAsia="Calibri"/>
          <w:color w:val="000000"/>
        </w:rPr>
        <w:t xml:space="preserve"> </w:t>
      </w:r>
      <w:r w:rsidR="002F0301" w:rsidRPr="00471540">
        <w:rPr>
          <w:rFonts w:eastAsia="Calibri"/>
          <w:color w:val="000000"/>
        </w:rPr>
        <w:t>If the Commission does not adopt the RSAM as part of FCG’s four-year rate proposal, the appropriate amount of Income Taxes Expense without RSAM is $</w:t>
      </w:r>
      <w:r w:rsidR="002F0301">
        <w:rPr>
          <w:rFonts w:eastAsia="Calibri"/>
          <w:color w:val="000000"/>
        </w:rPr>
        <w:t>964,255</w:t>
      </w:r>
      <w:r w:rsidR="002F0301" w:rsidRPr="00471540">
        <w:rPr>
          <w:rFonts w:eastAsia="Calibri"/>
          <w:color w:val="000000"/>
        </w:rPr>
        <w:t xml:space="preserve"> (adjusted) for the 2023 </w:t>
      </w:r>
      <w:r w:rsidR="002F0301">
        <w:rPr>
          <w:rFonts w:eastAsia="Calibri"/>
          <w:color w:val="000000"/>
        </w:rPr>
        <w:t>T</w:t>
      </w:r>
      <w:r w:rsidR="002F0301" w:rsidRPr="00471540">
        <w:rPr>
          <w:rFonts w:eastAsia="Calibri"/>
          <w:color w:val="000000"/>
        </w:rPr>
        <w:t xml:space="preserve">est </w:t>
      </w:r>
      <w:r w:rsidR="002F0301">
        <w:rPr>
          <w:rFonts w:eastAsia="Calibri"/>
          <w:color w:val="000000"/>
        </w:rPr>
        <w:t>Y</w:t>
      </w:r>
      <w:r w:rsidR="002F0301" w:rsidRPr="00471540">
        <w:rPr>
          <w:rFonts w:eastAsia="Calibri"/>
          <w:color w:val="000000"/>
        </w:rPr>
        <w:t>ear</w:t>
      </w:r>
      <w:r w:rsidR="002F0301">
        <w:rPr>
          <w:rFonts w:eastAsia="Calibri"/>
          <w:color w:val="000000"/>
        </w:rPr>
        <w:t xml:space="preserve"> as reflected on Exhibit LF-12</w:t>
      </w:r>
      <w:r w:rsidR="002F0301" w:rsidRPr="00471540">
        <w:rPr>
          <w:rFonts w:eastAsia="Calibri"/>
          <w:color w:val="000000"/>
        </w:rPr>
        <w:t>.  (Fuentes)</w:t>
      </w:r>
    </w:p>
    <w:p w14:paraId="045E58B1" w14:textId="77777777" w:rsidR="00644687" w:rsidRPr="00070C96" w:rsidRDefault="00644687" w:rsidP="00644687">
      <w:pPr>
        <w:ind w:left="1440" w:hanging="1440"/>
        <w:jc w:val="both"/>
        <w:rPr>
          <w:bCs/>
        </w:rPr>
      </w:pPr>
    </w:p>
    <w:p w14:paraId="327D2E08" w14:textId="77777777" w:rsidR="00644687" w:rsidRPr="00070C96" w:rsidRDefault="00644687" w:rsidP="00644687">
      <w:pPr>
        <w:ind w:left="1440" w:hanging="1440"/>
        <w:jc w:val="both"/>
        <w:rPr>
          <w:bCs/>
        </w:rPr>
      </w:pPr>
      <w:r>
        <w:rPr>
          <w:b/>
          <w:bCs/>
        </w:rPr>
        <w:t>OPC:</w:t>
      </w:r>
      <w:r>
        <w:rPr>
          <w:b/>
          <w:bCs/>
        </w:rPr>
        <w:tab/>
      </w:r>
      <w:r w:rsidR="000C4D06">
        <w:t>OPC Witness Schultz addresses this issue in his testimony and exhibits including, but not limited to, Schedule C. The appropriate amount of income tax expense is no more than $241,372. (Schultz)</w:t>
      </w:r>
    </w:p>
    <w:p w14:paraId="075BB76F" w14:textId="77777777" w:rsidR="00644687" w:rsidRPr="00070C96" w:rsidRDefault="00644687" w:rsidP="00644687">
      <w:pPr>
        <w:ind w:left="1440" w:hanging="1440"/>
        <w:jc w:val="both"/>
        <w:rPr>
          <w:bCs/>
        </w:rPr>
      </w:pPr>
    </w:p>
    <w:p w14:paraId="6498DE96" w14:textId="77777777" w:rsidR="00644687" w:rsidRPr="00070C96" w:rsidRDefault="00644687" w:rsidP="00644687">
      <w:pPr>
        <w:ind w:left="1440" w:hanging="1440"/>
        <w:jc w:val="both"/>
        <w:rPr>
          <w:bCs/>
        </w:rPr>
      </w:pPr>
      <w:r>
        <w:rPr>
          <w:b/>
          <w:bCs/>
        </w:rPr>
        <w:t>FEA:</w:t>
      </w:r>
      <w:r>
        <w:rPr>
          <w:b/>
          <w:bCs/>
        </w:rPr>
        <w:tab/>
      </w:r>
      <w:r w:rsidR="009D1863">
        <w:t>No position.</w:t>
      </w:r>
    </w:p>
    <w:p w14:paraId="57A00259" w14:textId="77777777" w:rsidR="00644687" w:rsidRPr="00070C96" w:rsidRDefault="00644687" w:rsidP="00644687">
      <w:pPr>
        <w:ind w:left="1440" w:hanging="1440"/>
        <w:jc w:val="both"/>
        <w:rPr>
          <w:bCs/>
        </w:rPr>
      </w:pPr>
    </w:p>
    <w:p w14:paraId="3086F2B7"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441A1CEA" w14:textId="77777777" w:rsidR="00644687" w:rsidRPr="00070C96" w:rsidRDefault="00644687" w:rsidP="00644687">
      <w:pPr>
        <w:ind w:left="1440" w:hanging="1440"/>
        <w:jc w:val="both"/>
        <w:rPr>
          <w:bCs/>
        </w:rPr>
      </w:pPr>
    </w:p>
    <w:p w14:paraId="38D40CF5"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3A01E593" w14:textId="77777777" w:rsidR="00644687" w:rsidRDefault="00644687" w:rsidP="00644687">
      <w:pPr>
        <w:pStyle w:val="Default"/>
        <w:ind w:left="1440" w:hanging="1440"/>
        <w:jc w:val="both"/>
      </w:pPr>
    </w:p>
    <w:p w14:paraId="75D118AF" w14:textId="77777777" w:rsidR="00D328A5" w:rsidRPr="008C76AE" w:rsidRDefault="00D328A5" w:rsidP="00D73B1E">
      <w:pPr>
        <w:pStyle w:val="Default"/>
        <w:ind w:left="1440" w:hanging="1440"/>
        <w:jc w:val="both"/>
      </w:pPr>
    </w:p>
    <w:p w14:paraId="71ACDB12" w14:textId="77777777" w:rsidR="00D328A5" w:rsidRPr="000C4D06" w:rsidRDefault="00D328A5" w:rsidP="00D73B1E">
      <w:pPr>
        <w:pStyle w:val="Default"/>
        <w:numPr>
          <w:ilvl w:val="0"/>
          <w:numId w:val="2"/>
        </w:numPr>
        <w:ind w:left="1440" w:hanging="1440"/>
        <w:jc w:val="both"/>
        <w:rPr>
          <w:b/>
          <w:bCs/>
        </w:rPr>
      </w:pPr>
      <w:r w:rsidRPr="000C4D06">
        <w:rPr>
          <w:b/>
          <w:bCs/>
        </w:rPr>
        <w:t>What is the appropriate amount of Total Operating Expenses for the projected test year? (Fallout Issue)</w:t>
      </w:r>
    </w:p>
    <w:p w14:paraId="0F5D3827" w14:textId="77777777" w:rsidR="00D328A5" w:rsidRDefault="00D328A5" w:rsidP="00D73B1E">
      <w:pPr>
        <w:pStyle w:val="Default"/>
        <w:ind w:left="1440" w:hanging="1440"/>
        <w:jc w:val="both"/>
      </w:pPr>
    </w:p>
    <w:p w14:paraId="063FF854" w14:textId="77777777" w:rsidR="00644687" w:rsidRPr="00070C96" w:rsidRDefault="00644687" w:rsidP="00644687">
      <w:pPr>
        <w:ind w:left="1440" w:hanging="1440"/>
        <w:jc w:val="both"/>
        <w:rPr>
          <w:bCs/>
        </w:rPr>
      </w:pPr>
      <w:r>
        <w:rPr>
          <w:b/>
          <w:bCs/>
        </w:rPr>
        <w:t>FCG:</w:t>
      </w:r>
      <w:r>
        <w:rPr>
          <w:b/>
          <w:bCs/>
        </w:rPr>
        <w:tab/>
      </w:r>
      <w:r w:rsidR="002F0301" w:rsidRPr="00471540">
        <w:rPr>
          <w:rFonts w:eastAsia="Calibri"/>
          <w:color w:val="000000"/>
        </w:rPr>
        <w:t>As reflected on Exhibit LF-</w:t>
      </w:r>
      <w:r w:rsidR="002F0301">
        <w:rPr>
          <w:rFonts w:eastAsia="Calibri"/>
          <w:color w:val="000000"/>
        </w:rPr>
        <w:t>11</w:t>
      </w:r>
      <w:r w:rsidR="002F0301" w:rsidRPr="00471540">
        <w:rPr>
          <w:rFonts w:eastAsia="Calibri"/>
          <w:color w:val="000000"/>
        </w:rPr>
        <w:t>, the appropriate amount of Total Operating Expenses with RSAM is $</w:t>
      </w:r>
      <w:r w:rsidR="002F0301">
        <w:rPr>
          <w:rFonts w:eastAsia="Calibri"/>
          <w:color w:val="000000"/>
        </w:rPr>
        <w:t>50,952,456</w:t>
      </w:r>
      <w:r w:rsidR="002F0301" w:rsidRPr="00471540">
        <w:rPr>
          <w:rFonts w:eastAsia="Calibri"/>
          <w:color w:val="000000"/>
        </w:rPr>
        <w:t xml:space="preserve"> (adjusted) for the 2023 projected test year. </w:t>
      </w:r>
      <w:r w:rsidR="002F0301">
        <w:rPr>
          <w:rFonts w:eastAsia="Calibri"/>
          <w:color w:val="000000"/>
        </w:rPr>
        <w:t xml:space="preserve"> </w:t>
      </w:r>
      <w:r w:rsidR="002F0301" w:rsidRPr="00471540">
        <w:rPr>
          <w:rFonts w:eastAsia="Calibri"/>
          <w:color w:val="000000"/>
        </w:rPr>
        <w:t>If the Commission does not adopt the RSAM as part of FCG’s four-year rate proposal, the appropriate amount of Total Operating Expenses without RSAM is $</w:t>
      </w:r>
      <w:r w:rsidR="002F0301" w:rsidRPr="001143F5" w:rsidDel="0035043D">
        <w:rPr>
          <w:rFonts w:eastAsia="Calibri"/>
          <w:color w:val="000000"/>
        </w:rPr>
        <w:t>53,</w:t>
      </w:r>
      <w:r w:rsidR="002F0301">
        <w:rPr>
          <w:rFonts w:eastAsia="Calibri"/>
          <w:color w:val="000000"/>
        </w:rPr>
        <w:t>297,118</w:t>
      </w:r>
      <w:r w:rsidR="002F0301" w:rsidRPr="00471540">
        <w:rPr>
          <w:rFonts w:eastAsia="Calibri"/>
          <w:color w:val="000000"/>
        </w:rPr>
        <w:t xml:space="preserve"> (adjusted) for the 2023 </w:t>
      </w:r>
      <w:r w:rsidR="002F0301">
        <w:rPr>
          <w:rFonts w:eastAsia="Calibri"/>
          <w:color w:val="000000"/>
        </w:rPr>
        <w:t>T</w:t>
      </w:r>
      <w:r w:rsidR="002F0301" w:rsidRPr="00471540">
        <w:rPr>
          <w:rFonts w:eastAsia="Calibri"/>
          <w:color w:val="000000"/>
        </w:rPr>
        <w:t xml:space="preserve">est </w:t>
      </w:r>
      <w:r w:rsidR="002F0301">
        <w:rPr>
          <w:rFonts w:eastAsia="Calibri"/>
          <w:color w:val="000000"/>
        </w:rPr>
        <w:t>Y</w:t>
      </w:r>
      <w:r w:rsidR="002F0301" w:rsidRPr="00471540">
        <w:rPr>
          <w:rFonts w:eastAsia="Calibri"/>
          <w:color w:val="000000"/>
        </w:rPr>
        <w:t>ear</w:t>
      </w:r>
      <w:r w:rsidR="002F0301">
        <w:rPr>
          <w:rFonts w:eastAsia="Calibri"/>
          <w:color w:val="000000"/>
        </w:rPr>
        <w:t xml:space="preserve"> as reflected on Exhibit LF-12</w:t>
      </w:r>
      <w:r w:rsidR="002F0301" w:rsidRPr="00471540">
        <w:rPr>
          <w:rFonts w:eastAsia="Calibri"/>
          <w:color w:val="000000"/>
        </w:rPr>
        <w:t xml:space="preserve">. </w:t>
      </w:r>
      <w:r w:rsidR="002F0301">
        <w:rPr>
          <w:rFonts w:eastAsia="Calibri"/>
          <w:color w:val="000000"/>
        </w:rPr>
        <w:t xml:space="preserve"> </w:t>
      </w:r>
      <w:r w:rsidR="002F0301" w:rsidRPr="00471540">
        <w:rPr>
          <w:rFonts w:eastAsia="Calibri"/>
          <w:color w:val="000000"/>
        </w:rPr>
        <w:t>(</w:t>
      </w:r>
      <w:r w:rsidR="002F0301">
        <w:rPr>
          <w:rFonts w:eastAsia="Calibri"/>
          <w:color w:val="000000"/>
        </w:rPr>
        <w:t xml:space="preserve">Campbell, </w:t>
      </w:r>
      <w:r w:rsidR="002F0301" w:rsidRPr="00471540">
        <w:rPr>
          <w:rFonts w:eastAsia="Calibri"/>
          <w:color w:val="000000"/>
        </w:rPr>
        <w:t>Fuentes)</w:t>
      </w:r>
    </w:p>
    <w:p w14:paraId="5F265EEB" w14:textId="77777777" w:rsidR="00644687" w:rsidRPr="00070C96" w:rsidRDefault="00644687" w:rsidP="00644687">
      <w:pPr>
        <w:ind w:left="1440" w:hanging="1440"/>
        <w:jc w:val="both"/>
        <w:rPr>
          <w:bCs/>
        </w:rPr>
      </w:pPr>
    </w:p>
    <w:p w14:paraId="5E14443F" w14:textId="77777777" w:rsidR="00644687" w:rsidRPr="00070C96" w:rsidRDefault="00644687" w:rsidP="00644687">
      <w:pPr>
        <w:ind w:left="1440" w:hanging="1440"/>
        <w:jc w:val="both"/>
        <w:rPr>
          <w:bCs/>
        </w:rPr>
      </w:pPr>
      <w:r>
        <w:rPr>
          <w:b/>
          <w:bCs/>
        </w:rPr>
        <w:t>OPC:</w:t>
      </w:r>
      <w:r>
        <w:rPr>
          <w:b/>
          <w:bCs/>
        </w:rPr>
        <w:tab/>
      </w:r>
      <w:r w:rsidR="000C4D06">
        <w:t>OPC Witness Schultz addresses this issue in his testimony and exhibits including, but not limited to, Schedule C. The Total amount of Operating Expenses should be reduced to no more than $49,398,824. (Schultz)</w:t>
      </w:r>
    </w:p>
    <w:p w14:paraId="4A8B0DC9" w14:textId="77777777" w:rsidR="00644687" w:rsidRPr="00070C96" w:rsidRDefault="00644687" w:rsidP="00644687">
      <w:pPr>
        <w:ind w:left="1440" w:hanging="1440"/>
        <w:jc w:val="both"/>
        <w:rPr>
          <w:bCs/>
        </w:rPr>
      </w:pPr>
    </w:p>
    <w:p w14:paraId="539CBD3F" w14:textId="77777777" w:rsidR="00644687" w:rsidRPr="00070C96" w:rsidRDefault="00644687" w:rsidP="00644687">
      <w:pPr>
        <w:ind w:left="1440" w:hanging="1440"/>
        <w:jc w:val="both"/>
        <w:rPr>
          <w:bCs/>
        </w:rPr>
      </w:pPr>
      <w:r>
        <w:rPr>
          <w:b/>
          <w:bCs/>
        </w:rPr>
        <w:t>FEA:</w:t>
      </w:r>
      <w:r>
        <w:rPr>
          <w:b/>
          <w:bCs/>
        </w:rPr>
        <w:tab/>
      </w:r>
      <w:r w:rsidR="009D1863">
        <w:t>No position.</w:t>
      </w:r>
    </w:p>
    <w:p w14:paraId="3F1502F0" w14:textId="77777777" w:rsidR="00644687" w:rsidRPr="00070C96" w:rsidRDefault="00644687" w:rsidP="00644687">
      <w:pPr>
        <w:ind w:left="1440" w:hanging="1440"/>
        <w:jc w:val="both"/>
        <w:rPr>
          <w:bCs/>
        </w:rPr>
      </w:pPr>
    </w:p>
    <w:p w14:paraId="241E7DFE"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40D433B8" w14:textId="77777777" w:rsidR="00644687" w:rsidRPr="00070C96" w:rsidRDefault="00644687" w:rsidP="00644687">
      <w:pPr>
        <w:ind w:left="1440" w:hanging="1440"/>
        <w:jc w:val="both"/>
        <w:rPr>
          <w:bCs/>
        </w:rPr>
      </w:pPr>
    </w:p>
    <w:p w14:paraId="27D0E765" w14:textId="0D39FE4E"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4DDA000" w14:textId="33D5167E" w:rsidR="00DD5843" w:rsidRDefault="00DD5843" w:rsidP="00644687">
      <w:pPr>
        <w:pStyle w:val="Default"/>
        <w:ind w:left="1440" w:hanging="1440"/>
        <w:jc w:val="both"/>
      </w:pPr>
    </w:p>
    <w:p w14:paraId="10CCA8D5" w14:textId="77777777" w:rsidR="00DD5843" w:rsidRPr="00070C96" w:rsidRDefault="00DD5843" w:rsidP="00644687">
      <w:pPr>
        <w:pStyle w:val="Default"/>
        <w:ind w:left="1440" w:hanging="1440"/>
        <w:jc w:val="both"/>
      </w:pPr>
    </w:p>
    <w:p w14:paraId="4BFC54C4" w14:textId="77777777" w:rsidR="00D328A5" w:rsidRPr="000C4D06" w:rsidRDefault="00D328A5" w:rsidP="00D73B1E">
      <w:pPr>
        <w:pStyle w:val="Default"/>
        <w:numPr>
          <w:ilvl w:val="0"/>
          <w:numId w:val="2"/>
        </w:numPr>
        <w:ind w:left="1440" w:hanging="1440"/>
        <w:jc w:val="both"/>
        <w:rPr>
          <w:b/>
        </w:rPr>
      </w:pPr>
      <w:r w:rsidRPr="000C4D06">
        <w:rPr>
          <w:b/>
          <w:bCs/>
        </w:rPr>
        <w:t xml:space="preserve">What is the appropriate amount of Net Operating Income for the projected test year? (Fallout Issue) </w:t>
      </w:r>
    </w:p>
    <w:p w14:paraId="2A4CB10E" w14:textId="77777777" w:rsidR="00D328A5" w:rsidRDefault="00D328A5" w:rsidP="00D73B1E">
      <w:pPr>
        <w:pStyle w:val="Default"/>
        <w:jc w:val="both"/>
      </w:pPr>
    </w:p>
    <w:p w14:paraId="5B31355C" w14:textId="77777777" w:rsidR="00644687" w:rsidRPr="00070C96" w:rsidRDefault="00644687" w:rsidP="00644687">
      <w:pPr>
        <w:ind w:left="1440" w:hanging="1440"/>
        <w:jc w:val="both"/>
        <w:rPr>
          <w:bCs/>
        </w:rPr>
      </w:pPr>
      <w:r>
        <w:rPr>
          <w:b/>
          <w:bCs/>
        </w:rPr>
        <w:t>FCG:</w:t>
      </w:r>
      <w:r>
        <w:rPr>
          <w:b/>
          <w:bCs/>
        </w:rPr>
        <w:tab/>
      </w:r>
      <w:r w:rsidR="002F0301" w:rsidRPr="00471540">
        <w:rPr>
          <w:rFonts w:eastAsia="Calibri"/>
          <w:color w:val="000000"/>
        </w:rPr>
        <w:t>As reflected on Exhibit LF-</w:t>
      </w:r>
      <w:r w:rsidR="002F0301">
        <w:rPr>
          <w:rFonts w:eastAsia="Calibri"/>
          <w:color w:val="000000"/>
        </w:rPr>
        <w:t>11</w:t>
      </w:r>
      <w:r w:rsidR="002F0301" w:rsidRPr="00471540">
        <w:rPr>
          <w:rFonts w:eastAsia="Calibri"/>
          <w:color w:val="000000"/>
        </w:rPr>
        <w:t>, the appropriate amount of Net Operating Income with RSAM is $</w:t>
      </w:r>
      <w:r w:rsidR="002F0301" w:rsidRPr="00B614D0" w:rsidDel="00BD748F">
        <w:rPr>
          <w:rFonts w:eastAsia="Calibri"/>
          <w:color w:val="000000"/>
        </w:rPr>
        <w:t>13,</w:t>
      </w:r>
      <w:r w:rsidR="002F0301">
        <w:rPr>
          <w:rFonts w:eastAsia="Calibri"/>
          <w:color w:val="000000"/>
        </w:rPr>
        <w:t>772,412</w:t>
      </w:r>
      <w:r w:rsidR="002F0301" w:rsidRPr="00471540">
        <w:rPr>
          <w:rFonts w:eastAsia="Calibri"/>
          <w:color w:val="000000"/>
        </w:rPr>
        <w:t xml:space="preserve"> (adjusted) for the 2023 </w:t>
      </w:r>
      <w:r w:rsidR="002F0301">
        <w:rPr>
          <w:rFonts w:eastAsia="Calibri"/>
          <w:color w:val="000000"/>
        </w:rPr>
        <w:t>T</w:t>
      </w:r>
      <w:r w:rsidR="002F0301" w:rsidRPr="00471540">
        <w:rPr>
          <w:rFonts w:eastAsia="Calibri"/>
          <w:color w:val="000000"/>
        </w:rPr>
        <w:t xml:space="preserve">est </w:t>
      </w:r>
      <w:r w:rsidR="002F0301">
        <w:rPr>
          <w:rFonts w:eastAsia="Calibri"/>
          <w:color w:val="000000"/>
        </w:rPr>
        <w:t>Y</w:t>
      </w:r>
      <w:r w:rsidR="002F0301" w:rsidRPr="00471540">
        <w:rPr>
          <w:rFonts w:eastAsia="Calibri"/>
          <w:color w:val="000000"/>
        </w:rPr>
        <w:t xml:space="preserve">ear. </w:t>
      </w:r>
      <w:r w:rsidR="002F0301" w:rsidRPr="00471540" w:rsidDel="00BD748F">
        <w:rPr>
          <w:rFonts w:eastAsia="Calibri"/>
          <w:color w:val="000000"/>
        </w:rPr>
        <w:t xml:space="preserve"> </w:t>
      </w:r>
      <w:r w:rsidR="002F0301" w:rsidRPr="00471540">
        <w:rPr>
          <w:rFonts w:eastAsia="Calibri"/>
          <w:color w:val="000000"/>
        </w:rPr>
        <w:t>If the Commission does not adopt the RSAM as part of FCG’s four-year rate proposal</w:t>
      </w:r>
      <w:r w:rsidR="002F0301" w:rsidRPr="00471540" w:rsidDel="00BD748F">
        <w:rPr>
          <w:rFonts w:eastAsia="Calibri"/>
          <w:color w:val="000000"/>
        </w:rPr>
        <w:t xml:space="preserve">, </w:t>
      </w:r>
      <w:r w:rsidR="002F0301" w:rsidRPr="00471540">
        <w:rPr>
          <w:rFonts w:eastAsia="Calibri"/>
          <w:color w:val="000000"/>
        </w:rPr>
        <w:t>the appropriate amount of Net Operating Income without RSAM is $</w:t>
      </w:r>
      <w:r w:rsidR="002F0301" w:rsidRPr="00D90A24" w:rsidDel="0065455F">
        <w:rPr>
          <w:rFonts w:eastAsia="Calibri"/>
          <w:color w:val="000000"/>
        </w:rPr>
        <w:t>11,</w:t>
      </w:r>
      <w:r w:rsidR="002F0301">
        <w:rPr>
          <w:rFonts w:eastAsia="Calibri"/>
          <w:color w:val="000000"/>
        </w:rPr>
        <w:t>427,750</w:t>
      </w:r>
      <w:r w:rsidR="002F0301" w:rsidRPr="00471540">
        <w:rPr>
          <w:rFonts w:eastAsia="Calibri"/>
          <w:color w:val="000000"/>
        </w:rPr>
        <w:t xml:space="preserve"> (adjusted) for the 2023 </w:t>
      </w:r>
      <w:r w:rsidR="002F0301">
        <w:rPr>
          <w:rFonts w:eastAsia="Calibri"/>
          <w:color w:val="000000"/>
        </w:rPr>
        <w:t>T</w:t>
      </w:r>
      <w:r w:rsidR="002F0301" w:rsidRPr="00471540">
        <w:rPr>
          <w:rFonts w:eastAsia="Calibri"/>
          <w:color w:val="000000"/>
        </w:rPr>
        <w:t xml:space="preserve">est </w:t>
      </w:r>
      <w:r w:rsidR="002F0301">
        <w:rPr>
          <w:rFonts w:eastAsia="Calibri"/>
          <w:color w:val="000000"/>
        </w:rPr>
        <w:t>Y</w:t>
      </w:r>
      <w:r w:rsidR="002F0301" w:rsidRPr="00471540">
        <w:rPr>
          <w:rFonts w:eastAsia="Calibri"/>
          <w:color w:val="000000"/>
        </w:rPr>
        <w:t>ear.  (</w:t>
      </w:r>
      <w:r w:rsidR="002F0301">
        <w:rPr>
          <w:rFonts w:eastAsia="Calibri"/>
          <w:color w:val="000000"/>
        </w:rPr>
        <w:t xml:space="preserve">Campbell, </w:t>
      </w:r>
      <w:r w:rsidR="002F0301" w:rsidRPr="00471540">
        <w:rPr>
          <w:rFonts w:eastAsia="Calibri"/>
          <w:color w:val="000000"/>
        </w:rPr>
        <w:t>Fuentes)</w:t>
      </w:r>
    </w:p>
    <w:p w14:paraId="09D8EB02" w14:textId="77777777" w:rsidR="00644687" w:rsidRPr="00070C96" w:rsidRDefault="00644687" w:rsidP="00644687">
      <w:pPr>
        <w:ind w:left="1440" w:hanging="1440"/>
        <w:jc w:val="both"/>
        <w:rPr>
          <w:bCs/>
        </w:rPr>
      </w:pPr>
    </w:p>
    <w:p w14:paraId="61BC645F" w14:textId="77777777" w:rsidR="00644687" w:rsidRPr="00070C96" w:rsidRDefault="00644687" w:rsidP="00644687">
      <w:pPr>
        <w:ind w:left="1440" w:hanging="1440"/>
        <w:jc w:val="both"/>
        <w:rPr>
          <w:bCs/>
        </w:rPr>
      </w:pPr>
      <w:r>
        <w:rPr>
          <w:b/>
          <w:bCs/>
        </w:rPr>
        <w:t>OPC:</w:t>
      </w:r>
      <w:r>
        <w:rPr>
          <w:b/>
          <w:bCs/>
        </w:rPr>
        <w:tab/>
      </w:r>
      <w:r w:rsidR="000C4D06">
        <w:t>OPC Witness Schultz addresses this issue in his testimony and exhibits including, but not limited to, Schedule C. The total amount of Net Operating Income should be increased to at least $15,342,115. (Schultz)</w:t>
      </w:r>
    </w:p>
    <w:p w14:paraId="136376A4" w14:textId="77777777" w:rsidR="00644687" w:rsidRPr="00070C96" w:rsidRDefault="00644687" w:rsidP="00644687">
      <w:pPr>
        <w:ind w:left="1440" w:hanging="1440"/>
        <w:jc w:val="both"/>
        <w:rPr>
          <w:bCs/>
        </w:rPr>
      </w:pPr>
    </w:p>
    <w:p w14:paraId="69CB3B28" w14:textId="77777777" w:rsidR="00644687" w:rsidRPr="00070C96" w:rsidRDefault="00644687" w:rsidP="00644687">
      <w:pPr>
        <w:ind w:left="1440" w:hanging="1440"/>
        <w:jc w:val="both"/>
        <w:rPr>
          <w:bCs/>
        </w:rPr>
      </w:pPr>
      <w:r>
        <w:rPr>
          <w:b/>
          <w:bCs/>
        </w:rPr>
        <w:t>FEA:</w:t>
      </w:r>
      <w:r>
        <w:rPr>
          <w:b/>
          <w:bCs/>
        </w:rPr>
        <w:tab/>
      </w:r>
      <w:r w:rsidR="009D1863">
        <w:t>No position.</w:t>
      </w:r>
    </w:p>
    <w:p w14:paraId="34A9559C" w14:textId="77777777" w:rsidR="00644687" w:rsidRPr="00070C96" w:rsidRDefault="00644687" w:rsidP="00644687">
      <w:pPr>
        <w:ind w:left="1440" w:hanging="1440"/>
        <w:jc w:val="both"/>
        <w:rPr>
          <w:bCs/>
        </w:rPr>
      </w:pPr>
    </w:p>
    <w:p w14:paraId="5F46009C"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1B9250B1" w14:textId="77777777" w:rsidR="00644687" w:rsidRPr="00070C96" w:rsidRDefault="00644687" w:rsidP="00644687">
      <w:pPr>
        <w:ind w:left="1440" w:hanging="1440"/>
        <w:jc w:val="both"/>
        <w:rPr>
          <w:bCs/>
        </w:rPr>
      </w:pPr>
    </w:p>
    <w:p w14:paraId="572E5EFB" w14:textId="77777777" w:rsidR="00644687" w:rsidRDefault="00644687" w:rsidP="00461AFB">
      <w:pPr>
        <w:pStyle w:val="Default"/>
        <w:ind w:left="1440" w:hanging="1440"/>
        <w:jc w:val="both"/>
      </w:pPr>
      <w:r w:rsidRPr="005D4B47">
        <w:rPr>
          <w:b/>
          <w:bCs/>
        </w:rPr>
        <w:t>STAFF</w:t>
      </w:r>
      <w:r w:rsidRPr="00701945">
        <w:rPr>
          <w:b/>
          <w:bCs/>
        </w:rPr>
        <w:t>:</w:t>
      </w:r>
      <w:r>
        <w:rPr>
          <w:b/>
          <w:bCs/>
        </w:rPr>
        <w:tab/>
      </w:r>
      <w:r w:rsidR="00F53BE5">
        <w:t>No position.</w:t>
      </w:r>
    </w:p>
    <w:p w14:paraId="28FEA45E" w14:textId="77777777" w:rsidR="00B87153" w:rsidRDefault="00B87153" w:rsidP="009D1863">
      <w:pPr>
        <w:pStyle w:val="Default"/>
        <w:rPr>
          <w:b/>
          <w:bCs/>
          <w:u w:val="single"/>
        </w:rPr>
      </w:pPr>
    </w:p>
    <w:p w14:paraId="4BF4742D" w14:textId="77777777" w:rsidR="00B87153" w:rsidRPr="00877329" w:rsidRDefault="00B87153" w:rsidP="00A63ABC">
      <w:pPr>
        <w:pStyle w:val="Default"/>
        <w:rPr>
          <w:b/>
          <w:bCs/>
          <w:u w:val="single"/>
        </w:rPr>
      </w:pPr>
    </w:p>
    <w:p w14:paraId="7C19CDDE" w14:textId="77777777" w:rsidR="00D328A5" w:rsidRPr="00877329" w:rsidRDefault="00D328A5" w:rsidP="00D328A5">
      <w:pPr>
        <w:pStyle w:val="Default"/>
        <w:jc w:val="center"/>
        <w:rPr>
          <w:b/>
          <w:bCs/>
          <w:u w:val="single"/>
        </w:rPr>
      </w:pPr>
      <w:r w:rsidRPr="00877329">
        <w:rPr>
          <w:b/>
          <w:bCs/>
          <w:u w:val="single"/>
        </w:rPr>
        <w:t>REVENUE REQUIREMENTS</w:t>
      </w:r>
    </w:p>
    <w:p w14:paraId="04FBB098" w14:textId="77777777" w:rsidR="00D328A5" w:rsidRPr="008C76AE" w:rsidRDefault="00D328A5" w:rsidP="00D328A5">
      <w:pPr>
        <w:pStyle w:val="Default"/>
        <w:jc w:val="center"/>
      </w:pPr>
    </w:p>
    <w:p w14:paraId="46B25CE8" w14:textId="77777777" w:rsidR="00D328A5" w:rsidRPr="000C4D06" w:rsidRDefault="00D328A5" w:rsidP="00D73B1E">
      <w:pPr>
        <w:pStyle w:val="Default"/>
        <w:numPr>
          <w:ilvl w:val="0"/>
          <w:numId w:val="2"/>
        </w:numPr>
        <w:ind w:left="1440" w:hanging="1440"/>
        <w:jc w:val="both"/>
        <w:rPr>
          <w:b/>
        </w:rPr>
      </w:pPr>
      <w:r w:rsidRPr="000C4D06">
        <w:rPr>
          <w:b/>
          <w:bCs/>
        </w:rPr>
        <w:t>What are the appropriate revenue expansion factor and the appropriate net operating income multiplier, including the appropriate elements and rates for FCG</w:t>
      </w:r>
      <w:r w:rsidRPr="000C4D06">
        <w:rPr>
          <w:b/>
        </w:rPr>
        <w:t xml:space="preserve">? </w:t>
      </w:r>
    </w:p>
    <w:p w14:paraId="43A31822" w14:textId="77777777" w:rsidR="00D328A5" w:rsidRDefault="00D328A5" w:rsidP="00D73B1E">
      <w:pPr>
        <w:pStyle w:val="Default"/>
        <w:ind w:left="1440" w:hanging="1440"/>
        <w:jc w:val="both"/>
      </w:pPr>
    </w:p>
    <w:p w14:paraId="62E1A0BF" w14:textId="77777777" w:rsidR="00644687" w:rsidRPr="00070C96" w:rsidRDefault="00644687" w:rsidP="00644687">
      <w:pPr>
        <w:ind w:left="1440" w:hanging="1440"/>
        <w:jc w:val="both"/>
        <w:rPr>
          <w:bCs/>
        </w:rPr>
      </w:pPr>
      <w:r>
        <w:rPr>
          <w:b/>
          <w:bCs/>
        </w:rPr>
        <w:t>FCG:</w:t>
      </w:r>
      <w:r>
        <w:rPr>
          <w:b/>
          <w:bCs/>
        </w:rPr>
        <w:tab/>
      </w:r>
      <w:r w:rsidR="002F0301" w:rsidRPr="00471540">
        <w:rPr>
          <w:rFonts w:eastAsia="Calibri"/>
          <w:color w:val="000000"/>
        </w:rPr>
        <w:t xml:space="preserve">As reflected </w:t>
      </w:r>
      <w:r w:rsidR="002F0301">
        <w:rPr>
          <w:rFonts w:eastAsia="Calibri"/>
          <w:color w:val="000000"/>
        </w:rPr>
        <w:t>in MFR G-4</w:t>
      </w:r>
      <w:r w:rsidR="002F0301" w:rsidRPr="00471540">
        <w:rPr>
          <w:rFonts w:eastAsia="Calibri"/>
          <w:color w:val="000000"/>
        </w:rPr>
        <w:t xml:space="preserve">, the revenue expansion factor and net operating income multiplier for the 2023 projected test year is </w:t>
      </w:r>
      <w:r w:rsidR="002F0301">
        <w:rPr>
          <w:rFonts w:eastAsia="Calibri"/>
          <w:color w:val="000000"/>
        </w:rPr>
        <w:t>73.9255</w:t>
      </w:r>
      <w:r w:rsidR="002F0301" w:rsidRPr="00471540">
        <w:rPr>
          <w:rFonts w:eastAsia="Calibri"/>
          <w:color w:val="000000"/>
        </w:rPr>
        <w:t xml:space="preserve"> and </w:t>
      </w:r>
      <w:r w:rsidR="002F0301">
        <w:rPr>
          <w:rFonts w:eastAsia="Calibri"/>
          <w:color w:val="000000"/>
        </w:rPr>
        <w:t>1</w:t>
      </w:r>
      <w:r w:rsidR="002F0301" w:rsidRPr="00471540">
        <w:rPr>
          <w:rFonts w:eastAsia="Calibri"/>
          <w:color w:val="000000"/>
        </w:rPr>
        <w:t>.</w:t>
      </w:r>
      <w:r w:rsidR="002F0301">
        <w:rPr>
          <w:rFonts w:eastAsia="Calibri"/>
          <w:color w:val="000000"/>
        </w:rPr>
        <w:t>3527</w:t>
      </w:r>
      <w:r w:rsidR="002F0301" w:rsidRPr="00471540">
        <w:rPr>
          <w:rFonts w:eastAsia="Calibri"/>
          <w:color w:val="000000"/>
        </w:rPr>
        <w:t>, respectively.  (Fuentes)</w:t>
      </w:r>
    </w:p>
    <w:p w14:paraId="04E0BBC6" w14:textId="77777777" w:rsidR="00644687" w:rsidRPr="00070C96" w:rsidRDefault="00644687" w:rsidP="00644687">
      <w:pPr>
        <w:ind w:left="1440" w:hanging="1440"/>
        <w:jc w:val="both"/>
        <w:rPr>
          <w:bCs/>
        </w:rPr>
      </w:pPr>
    </w:p>
    <w:p w14:paraId="3C903C20" w14:textId="77777777" w:rsidR="00644687" w:rsidRPr="00070C96" w:rsidRDefault="00644687" w:rsidP="00644687">
      <w:pPr>
        <w:ind w:left="1440" w:hanging="1440"/>
        <w:jc w:val="both"/>
        <w:rPr>
          <w:bCs/>
        </w:rPr>
      </w:pPr>
      <w:r>
        <w:rPr>
          <w:b/>
          <w:bCs/>
        </w:rPr>
        <w:t>OPC:</w:t>
      </w:r>
      <w:r>
        <w:rPr>
          <w:b/>
          <w:bCs/>
        </w:rPr>
        <w:tab/>
      </w:r>
      <w:r w:rsidR="000C4D06">
        <w:t>No position.</w:t>
      </w:r>
    </w:p>
    <w:p w14:paraId="045F5D03" w14:textId="77777777" w:rsidR="00644687" w:rsidRPr="00070C96" w:rsidRDefault="00644687" w:rsidP="00644687">
      <w:pPr>
        <w:ind w:left="1440" w:hanging="1440"/>
        <w:jc w:val="both"/>
        <w:rPr>
          <w:bCs/>
        </w:rPr>
      </w:pPr>
    </w:p>
    <w:p w14:paraId="597FF735" w14:textId="77777777" w:rsidR="00644687" w:rsidRPr="00070C96" w:rsidRDefault="00644687" w:rsidP="00644687">
      <w:pPr>
        <w:ind w:left="1440" w:hanging="1440"/>
        <w:jc w:val="both"/>
        <w:rPr>
          <w:bCs/>
        </w:rPr>
      </w:pPr>
      <w:r>
        <w:rPr>
          <w:b/>
          <w:bCs/>
        </w:rPr>
        <w:t>FEA:</w:t>
      </w:r>
      <w:r>
        <w:rPr>
          <w:b/>
          <w:bCs/>
        </w:rPr>
        <w:tab/>
      </w:r>
      <w:r w:rsidR="009D1863">
        <w:t>No position.</w:t>
      </w:r>
    </w:p>
    <w:p w14:paraId="1D3B9229" w14:textId="77777777" w:rsidR="00644687" w:rsidRPr="00070C96" w:rsidRDefault="00644687" w:rsidP="00644687">
      <w:pPr>
        <w:ind w:left="1440" w:hanging="1440"/>
        <w:jc w:val="both"/>
        <w:rPr>
          <w:bCs/>
        </w:rPr>
      </w:pPr>
    </w:p>
    <w:p w14:paraId="1162E393"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19C1261E" w14:textId="77777777" w:rsidR="00644687" w:rsidRPr="00070C96" w:rsidRDefault="00644687" w:rsidP="00644687">
      <w:pPr>
        <w:ind w:left="1440" w:hanging="1440"/>
        <w:jc w:val="both"/>
        <w:rPr>
          <w:bCs/>
        </w:rPr>
      </w:pPr>
    </w:p>
    <w:p w14:paraId="21E00AB7"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2B07E2B4" w14:textId="77777777" w:rsidR="00644687" w:rsidRDefault="00644687" w:rsidP="00644687">
      <w:pPr>
        <w:pStyle w:val="Default"/>
        <w:ind w:left="1440" w:hanging="1440"/>
        <w:jc w:val="both"/>
      </w:pPr>
    </w:p>
    <w:p w14:paraId="6890CD28" w14:textId="77777777" w:rsidR="00D328A5" w:rsidRPr="008C76AE" w:rsidRDefault="00D328A5" w:rsidP="00D73B1E">
      <w:pPr>
        <w:pStyle w:val="Default"/>
        <w:ind w:left="1440" w:hanging="1440"/>
        <w:jc w:val="both"/>
      </w:pPr>
    </w:p>
    <w:p w14:paraId="161B7976" w14:textId="77777777" w:rsidR="00D328A5" w:rsidRPr="000C4D06" w:rsidRDefault="00D328A5" w:rsidP="00D73B1E">
      <w:pPr>
        <w:pStyle w:val="Default"/>
        <w:numPr>
          <w:ilvl w:val="0"/>
          <w:numId w:val="2"/>
        </w:numPr>
        <w:ind w:left="1440" w:hanging="1440"/>
        <w:jc w:val="both"/>
        <w:rPr>
          <w:b/>
          <w:bCs/>
        </w:rPr>
      </w:pPr>
      <w:r w:rsidRPr="000C4D06">
        <w:rPr>
          <w:b/>
          <w:bCs/>
        </w:rPr>
        <w:t xml:space="preserve">What is the appropriate annual operating revenue increase for the projected test year? (Fallout Issue) </w:t>
      </w:r>
    </w:p>
    <w:p w14:paraId="370F55FF" w14:textId="77777777" w:rsidR="00D328A5" w:rsidRPr="008C76AE" w:rsidRDefault="00D328A5" w:rsidP="00D73B1E">
      <w:pPr>
        <w:pStyle w:val="Default"/>
        <w:jc w:val="both"/>
      </w:pPr>
    </w:p>
    <w:p w14:paraId="6262DEF7" w14:textId="77777777" w:rsidR="00644687" w:rsidRPr="00070C96" w:rsidRDefault="00644687" w:rsidP="00644687">
      <w:pPr>
        <w:ind w:left="1440" w:hanging="1440"/>
        <w:jc w:val="both"/>
        <w:rPr>
          <w:bCs/>
        </w:rPr>
      </w:pPr>
      <w:r>
        <w:rPr>
          <w:b/>
          <w:bCs/>
        </w:rPr>
        <w:t>FCG:</w:t>
      </w:r>
      <w:r>
        <w:rPr>
          <w:b/>
          <w:bCs/>
        </w:rPr>
        <w:tab/>
      </w:r>
      <w:r w:rsidR="00BC74BE">
        <w:rPr>
          <w:rFonts w:eastAsia="Calibri"/>
          <w:color w:val="000000"/>
        </w:rPr>
        <w:t>As reflected in Exhibit LF-11, t</w:t>
      </w:r>
      <w:r w:rsidR="00BC74BE" w:rsidRPr="00471540">
        <w:rPr>
          <w:rFonts w:eastAsia="Calibri"/>
          <w:bCs/>
          <w:color w:val="000000"/>
        </w:rPr>
        <w:t>he appropriate annual operating revenue increase with RSAM is $</w:t>
      </w:r>
      <w:r w:rsidR="00BC74BE">
        <w:rPr>
          <w:rFonts w:eastAsia="Calibri"/>
          <w:bCs/>
          <w:color w:val="000000"/>
        </w:rPr>
        <w:t>28.3 million</w:t>
      </w:r>
      <w:r w:rsidR="00BC74BE" w:rsidRPr="00471540">
        <w:rPr>
          <w:rFonts w:eastAsia="Calibri"/>
          <w:bCs/>
          <w:color w:val="000000"/>
        </w:rPr>
        <w:t xml:space="preserve"> for the 2023 </w:t>
      </w:r>
      <w:r w:rsidR="00BC74BE">
        <w:rPr>
          <w:rFonts w:eastAsia="Calibri"/>
          <w:bCs/>
          <w:color w:val="000000"/>
        </w:rPr>
        <w:t>T</w:t>
      </w:r>
      <w:r w:rsidR="00BC74BE" w:rsidRPr="00471540">
        <w:rPr>
          <w:rFonts w:eastAsia="Calibri"/>
          <w:bCs/>
          <w:color w:val="000000"/>
        </w:rPr>
        <w:t xml:space="preserve">est </w:t>
      </w:r>
      <w:r w:rsidR="00BC74BE">
        <w:rPr>
          <w:rFonts w:eastAsia="Calibri"/>
          <w:bCs/>
          <w:color w:val="000000"/>
        </w:rPr>
        <w:t>Y</w:t>
      </w:r>
      <w:r w:rsidR="00BC74BE" w:rsidRPr="00471540">
        <w:rPr>
          <w:rFonts w:eastAsia="Calibri"/>
          <w:bCs/>
          <w:color w:val="000000"/>
        </w:rPr>
        <w:t>ear</w:t>
      </w:r>
      <w:r w:rsidR="00BC74BE">
        <w:rPr>
          <w:rFonts w:eastAsia="Calibri"/>
          <w:bCs/>
          <w:color w:val="000000"/>
        </w:rPr>
        <w:t>, which includes an incremental increase of $18.8 million, the previously approved increase of $3.8 million for the LNG Facility, and $5.7 million to transfer the SAFE investments from clause to base</w:t>
      </w:r>
      <w:r w:rsidR="00BC74BE" w:rsidRPr="00471540">
        <w:rPr>
          <w:rFonts w:eastAsia="Calibri"/>
          <w:bCs/>
          <w:color w:val="000000"/>
        </w:rPr>
        <w:t xml:space="preserve">.  </w:t>
      </w:r>
      <w:r w:rsidR="00BC74BE">
        <w:rPr>
          <w:rFonts w:eastAsia="Calibri"/>
          <w:bCs/>
          <w:color w:val="000000"/>
        </w:rPr>
        <w:t>As reflected in LF-12, i</w:t>
      </w:r>
      <w:r w:rsidR="00BC74BE" w:rsidRPr="00471540">
        <w:rPr>
          <w:rFonts w:eastAsia="Calibri"/>
          <w:bCs/>
          <w:color w:val="000000"/>
        </w:rPr>
        <w:t>f the Commission does not adopt the RSAM as part of FCG’s four-year rate proposal, the appropriate annual operating revenue increase without RSAM is $</w:t>
      </w:r>
      <w:r w:rsidR="00BC74BE">
        <w:rPr>
          <w:rFonts w:eastAsia="Calibri"/>
          <w:color w:val="000000"/>
        </w:rPr>
        <w:t>31.3 million</w:t>
      </w:r>
      <w:r w:rsidR="00BC74BE" w:rsidRPr="00471540">
        <w:rPr>
          <w:rFonts w:eastAsia="Calibri"/>
          <w:bCs/>
          <w:color w:val="000000"/>
        </w:rPr>
        <w:t xml:space="preserve"> for the 2023 </w:t>
      </w:r>
      <w:r w:rsidR="00BC74BE">
        <w:rPr>
          <w:rFonts w:eastAsia="Calibri"/>
          <w:bCs/>
          <w:color w:val="000000"/>
        </w:rPr>
        <w:t>T</w:t>
      </w:r>
      <w:r w:rsidR="00BC74BE" w:rsidRPr="00471540">
        <w:rPr>
          <w:rFonts w:eastAsia="Calibri"/>
          <w:bCs/>
          <w:color w:val="000000"/>
        </w:rPr>
        <w:t xml:space="preserve">est </w:t>
      </w:r>
      <w:r w:rsidR="00BC74BE">
        <w:rPr>
          <w:rFonts w:eastAsia="Calibri"/>
          <w:bCs/>
          <w:color w:val="000000"/>
        </w:rPr>
        <w:t>Y</w:t>
      </w:r>
      <w:r w:rsidR="00BC74BE" w:rsidRPr="00471540">
        <w:rPr>
          <w:rFonts w:eastAsia="Calibri"/>
          <w:bCs/>
          <w:color w:val="000000"/>
        </w:rPr>
        <w:t>ear</w:t>
      </w:r>
      <w:r w:rsidR="00BC74BE">
        <w:rPr>
          <w:rFonts w:eastAsia="Calibri"/>
          <w:bCs/>
          <w:color w:val="000000"/>
        </w:rPr>
        <w:t>, which includes an incremental increase of $21.5 million, the previously approved increase of $3.8 million for the LNG Facility, and $6.0 million to transfer the SAFE investments from clause to base</w:t>
      </w:r>
      <w:r w:rsidR="00BC74BE" w:rsidRPr="00471540">
        <w:rPr>
          <w:rFonts w:eastAsia="Calibri"/>
          <w:bCs/>
          <w:color w:val="000000"/>
        </w:rPr>
        <w:t>.  (Fuentes)</w:t>
      </w:r>
    </w:p>
    <w:p w14:paraId="0610A6F1" w14:textId="77777777" w:rsidR="00644687" w:rsidRPr="00070C96" w:rsidRDefault="00644687" w:rsidP="00644687">
      <w:pPr>
        <w:ind w:left="1440" w:hanging="1440"/>
        <w:jc w:val="both"/>
        <w:rPr>
          <w:bCs/>
        </w:rPr>
      </w:pPr>
    </w:p>
    <w:p w14:paraId="47E10CAB" w14:textId="77777777" w:rsidR="00644687" w:rsidRPr="00070C96" w:rsidRDefault="00644687" w:rsidP="00644687">
      <w:pPr>
        <w:ind w:left="1440" w:hanging="1440"/>
        <w:jc w:val="both"/>
        <w:rPr>
          <w:bCs/>
        </w:rPr>
      </w:pPr>
      <w:r>
        <w:rPr>
          <w:b/>
          <w:bCs/>
        </w:rPr>
        <w:t>OPC:</w:t>
      </w:r>
      <w:r>
        <w:rPr>
          <w:b/>
          <w:bCs/>
        </w:rPr>
        <w:tab/>
      </w:r>
      <w:r w:rsidR="000C4D06">
        <w:t>The Commission should authorize a base rate revenue increase of no more than $4,805,981.  (Schultz)</w:t>
      </w:r>
    </w:p>
    <w:p w14:paraId="1FAFE0E7" w14:textId="77777777" w:rsidR="00644687" w:rsidRPr="00070C96" w:rsidRDefault="00644687" w:rsidP="00644687">
      <w:pPr>
        <w:ind w:left="1440" w:hanging="1440"/>
        <w:jc w:val="both"/>
        <w:rPr>
          <w:bCs/>
        </w:rPr>
      </w:pPr>
    </w:p>
    <w:p w14:paraId="3953BD28" w14:textId="77777777" w:rsidR="009D1863" w:rsidRDefault="00644687" w:rsidP="00644687">
      <w:pPr>
        <w:ind w:left="1440" w:hanging="1440"/>
        <w:jc w:val="both"/>
      </w:pPr>
      <w:r>
        <w:rPr>
          <w:b/>
          <w:bCs/>
        </w:rPr>
        <w:t>FEA:</w:t>
      </w:r>
      <w:r>
        <w:rPr>
          <w:b/>
          <w:bCs/>
        </w:rPr>
        <w:tab/>
      </w:r>
      <w:r w:rsidR="009D1863">
        <w:t>No position.</w:t>
      </w:r>
    </w:p>
    <w:p w14:paraId="5C8C8D0F" w14:textId="77777777" w:rsidR="009D1863" w:rsidRDefault="009D1863" w:rsidP="00644687">
      <w:pPr>
        <w:ind w:left="1440" w:hanging="1440"/>
        <w:jc w:val="both"/>
      </w:pPr>
    </w:p>
    <w:p w14:paraId="170C5703"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4F72CA68" w14:textId="77777777" w:rsidR="00644687" w:rsidRPr="00070C96" w:rsidRDefault="00644687" w:rsidP="00644687">
      <w:pPr>
        <w:ind w:left="1440" w:hanging="1440"/>
        <w:jc w:val="both"/>
        <w:rPr>
          <w:bCs/>
        </w:rPr>
      </w:pPr>
    </w:p>
    <w:p w14:paraId="01CBDA17" w14:textId="77777777"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47A63D3" w14:textId="77777777" w:rsidR="009D1863" w:rsidRDefault="009D1863" w:rsidP="00644687">
      <w:pPr>
        <w:pStyle w:val="Default"/>
        <w:ind w:left="1440" w:hanging="1440"/>
        <w:jc w:val="both"/>
      </w:pPr>
    </w:p>
    <w:p w14:paraId="6654435C" w14:textId="77777777" w:rsidR="00AF4A20" w:rsidRDefault="00AF4A20" w:rsidP="00644687">
      <w:pPr>
        <w:pStyle w:val="Default"/>
        <w:ind w:left="1440" w:hanging="1440"/>
        <w:jc w:val="both"/>
      </w:pPr>
    </w:p>
    <w:p w14:paraId="49A9099D" w14:textId="77777777" w:rsidR="00D328A5" w:rsidRPr="00877329" w:rsidRDefault="00D328A5" w:rsidP="00D328A5">
      <w:pPr>
        <w:pStyle w:val="Default"/>
        <w:jc w:val="center"/>
        <w:rPr>
          <w:b/>
          <w:bCs/>
          <w:u w:val="single"/>
        </w:rPr>
      </w:pPr>
      <w:r w:rsidRPr="00877329">
        <w:rPr>
          <w:b/>
          <w:bCs/>
          <w:u w:val="single"/>
        </w:rPr>
        <w:t>COST OF SERVICE AND RATE DESIGN</w:t>
      </w:r>
    </w:p>
    <w:p w14:paraId="74E2977C" w14:textId="77777777" w:rsidR="00D328A5" w:rsidRPr="008C76AE" w:rsidRDefault="00D328A5" w:rsidP="00D328A5">
      <w:pPr>
        <w:pStyle w:val="Default"/>
        <w:jc w:val="center"/>
      </w:pPr>
    </w:p>
    <w:p w14:paraId="33DA6CE1" w14:textId="77777777" w:rsidR="00D328A5" w:rsidRPr="000C4D06" w:rsidRDefault="00D328A5" w:rsidP="00D73B1E">
      <w:pPr>
        <w:pStyle w:val="Default"/>
        <w:numPr>
          <w:ilvl w:val="0"/>
          <w:numId w:val="2"/>
        </w:numPr>
        <w:ind w:left="1440" w:hanging="1440"/>
        <w:jc w:val="both"/>
        <w:rPr>
          <w:b/>
          <w:bCs/>
        </w:rPr>
      </w:pPr>
      <w:r w:rsidRPr="000C4D06">
        <w:rPr>
          <w:b/>
          <w:bCs/>
        </w:rPr>
        <w:t>Is FCG’s proposed cost of service study appropriate and, if so, should it be approved for all regulatory purposes until base rates are reset in FCG’s next general base rate proceeding?</w:t>
      </w:r>
    </w:p>
    <w:p w14:paraId="5D8FBEE4" w14:textId="77777777" w:rsidR="00D328A5" w:rsidRDefault="00D328A5" w:rsidP="00D73B1E">
      <w:pPr>
        <w:pStyle w:val="Default"/>
        <w:ind w:left="1440" w:hanging="1440"/>
        <w:jc w:val="both"/>
        <w:rPr>
          <w:bCs/>
        </w:rPr>
      </w:pPr>
    </w:p>
    <w:p w14:paraId="6E9B11C8"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color w:val="000000"/>
        </w:rPr>
        <w:t xml:space="preserve">Yes, FCG’s cost of service study is appropriate and consistent with the methodologies utilized by the Company in prior rate cases. </w:t>
      </w:r>
      <w:r w:rsidR="00BC74BE">
        <w:rPr>
          <w:rFonts w:eastAsia="Calibri"/>
          <w:color w:val="000000"/>
        </w:rPr>
        <w:t xml:space="preserve"> </w:t>
      </w:r>
      <w:r w:rsidR="00BC74BE" w:rsidRPr="00471540">
        <w:rPr>
          <w:rFonts w:eastAsia="Calibri"/>
          <w:color w:val="000000"/>
        </w:rPr>
        <w:t>The Company’s study also follows the presentation format contained in the H Schedules of the prescribed MFR forms.  (DuBose)</w:t>
      </w:r>
    </w:p>
    <w:p w14:paraId="4E062782" w14:textId="77777777" w:rsidR="00644687" w:rsidRPr="00070C96" w:rsidRDefault="00644687" w:rsidP="00644687">
      <w:pPr>
        <w:ind w:left="1440" w:hanging="1440"/>
        <w:jc w:val="both"/>
        <w:rPr>
          <w:bCs/>
        </w:rPr>
      </w:pPr>
    </w:p>
    <w:p w14:paraId="5D2677D2" w14:textId="77777777" w:rsidR="00644687" w:rsidRPr="00070C96" w:rsidRDefault="00644687" w:rsidP="00644687">
      <w:pPr>
        <w:ind w:left="1440" w:hanging="1440"/>
        <w:jc w:val="both"/>
        <w:rPr>
          <w:bCs/>
        </w:rPr>
      </w:pPr>
      <w:r>
        <w:rPr>
          <w:b/>
          <w:bCs/>
        </w:rPr>
        <w:t>OPC:</w:t>
      </w:r>
      <w:r>
        <w:rPr>
          <w:b/>
          <w:bCs/>
        </w:rPr>
        <w:tab/>
      </w:r>
      <w:r w:rsidR="000C4D06">
        <w:t>No position.</w:t>
      </w:r>
    </w:p>
    <w:p w14:paraId="27CFAC13" w14:textId="77777777" w:rsidR="00644687" w:rsidRPr="00070C96" w:rsidRDefault="00644687" w:rsidP="00644687">
      <w:pPr>
        <w:ind w:left="1440" w:hanging="1440"/>
        <w:jc w:val="both"/>
        <w:rPr>
          <w:bCs/>
        </w:rPr>
      </w:pPr>
    </w:p>
    <w:p w14:paraId="6509273F" w14:textId="77777777" w:rsidR="00644687" w:rsidRPr="00070C96" w:rsidRDefault="00644687" w:rsidP="00644687">
      <w:pPr>
        <w:ind w:left="1440" w:hanging="1440"/>
        <w:jc w:val="both"/>
        <w:rPr>
          <w:bCs/>
        </w:rPr>
      </w:pPr>
      <w:r>
        <w:rPr>
          <w:b/>
          <w:bCs/>
        </w:rPr>
        <w:t>FEA:</w:t>
      </w:r>
      <w:r>
        <w:rPr>
          <w:b/>
          <w:bCs/>
        </w:rPr>
        <w:tab/>
      </w:r>
      <w:r w:rsidR="005172B7" w:rsidRPr="00102C52">
        <w:t>Brian Collins will testify that FCG’s class cost of service study (“CCOS’) is not appropriate.  Furthermore, the CCOS does not accurately reflect class cost causation because it uses the P&amp;A method to allocate the cost of mains to customer classes and also fails to classify and allocate any distribution mains cost on a customer basis.</w:t>
      </w:r>
    </w:p>
    <w:p w14:paraId="2B338DA1" w14:textId="77777777" w:rsidR="00644687" w:rsidRPr="00070C96" w:rsidRDefault="00644687" w:rsidP="00644687">
      <w:pPr>
        <w:ind w:left="1440" w:hanging="1440"/>
        <w:jc w:val="both"/>
        <w:rPr>
          <w:bCs/>
        </w:rPr>
      </w:pPr>
    </w:p>
    <w:p w14:paraId="73CD28FC" w14:textId="77777777" w:rsidR="00644687" w:rsidRPr="00070C96" w:rsidRDefault="00644687" w:rsidP="00644687">
      <w:pPr>
        <w:ind w:left="1440" w:hanging="1440"/>
        <w:jc w:val="both"/>
        <w:rPr>
          <w:bCs/>
        </w:rPr>
      </w:pPr>
      <w:r>
        <w:rPr>
          <w:b/>
          <w:bCs/>
        </w:rPr>
        <w:t>FIPUG:</w:t>
      </w:r>
      <w:r>
        <w:rPr>
          <w:b/>
          <w:bCs/>
        </w:rPr>
        <w:tab/>
      </w:r>
      <w:r w:rsidR="007D3C6D">
        <w:rPr>
          <w:bCs/>
          <w:color w:val="000000"/>
        </w:rPr>
        <w:t>Adopt position of FEA</w:t>
      </w:r>
      <w:r w:rsidR="00037057" w:rsidRPr="003D62FB">
        <w:rPr>
          <w:bCs/>
          <w:color w:val="000000"/>
        </w:rPr>
        <w:t>.</w:t>
      </w:r>
    </w:p>
    <w:p w14:paraId="20AA4109" w14:textId="77777777" w:rsidR="00644687" w:rsidRPr="00070C96" w:rsidRDefault="00644687" w:rsidP="00644687">
      <w:pPr>
        <w:ind w:left="1440" w:hanging="1440"/>
        <w:jc w:val="both"/>
        <w:rPr>
          <w:bCs/>
        </w:rPr>
      </w:pPr>
    </w:p>
    <w:p w14:paraId="3E8DC8EA"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061A042" w14:textId="77777777" w:rsidR="00644687" w:rsidRDefault="00644687" w:rsidP="00644687">
      <w:pPr>
        <w:pStyle w:val="Default"/>
        <w:ind w:left="1440" w:hanging="1440"/>
        <w:jc w:val="both"/>
      </w:pPr>
    </w:p>
    <w:p w14:paraId="1C4DE95B" w14:textId="5867462F" w:rsidR="00D328A5" w:rsidRDefault="00D328A5" w:rsidP="00D73B1E">
      <w:pPr>
        <w:pStyle w:val="Default"/>
        <w:ind w:left="1440" w:hanging="1440"/>
        <w:jc w:val="both"/>
        <w:rPr>
          <w:bCs/>
        </w:rPr>
      </w:pPr>
    </w:p>
    <w:p w14:paraId="73FE18AE" w14:textId="77777777" w:rsidR="00D328A5" w:rsidRPr="000C4D06" w:rsidRDefault="00D328A5" w:rsidP="00D73B1E">
      <w:pPr>
        <w:pStyle w:val="Default"/>
        <w:numPr>
          <w:ilvl w:val="0"/>
          <w:numId w:val="2"/>
        </w:numPr>
        <w:ind w:left="1440" w:hanging="1440"/>
        <w:jc w:val="both"/>
        <w:rPr>
          <w:b/>
          <w:bCs/>
        </w:rPr>
      </w:pPr>
      <w:r w:rsidRPr="000C4D06">
        <w:rPr>
          <w:b/>
          <w:bCs/>
        </w:rPr>
        <w:t>If the Commission grants a revenue increase to FCG, how should the increase be allocated to the rate classes?</w:t>
      </w:r>
    </w:p>
    <w:p w14:paraId="7605B621" w14:textId="77777777" w:rsidR="00D328A5" w:rsidRDefault="00D328A5" w:rsidP="00D73B1E">
      <w:pPr>
        <w:pStyle w:val="Default"/>
        <w:ind w:left="1440" w:hanging="1440"/>
        <w:jc w:val="both"/>
        <w:rPr>
          <w:bCs/>
        </w:rPr>
      </w:pPr>
    </w:p>
    <w:p w14:paraId="542917FB"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color w:val="000000"/>
        </w:rPr>
        <w:t xml:space="preserve">The increase should be allocated as shown in </w:t>
      </w:r>
      <w:r w:rsidR="00BC74BE">
        <w:rPr>
          <w:rFonts w:eastAsia="Calibri"/>
          <w:color w:val="000000"/>
        </w:rPr>
        <w:t>Exhibit TBD-3</w:t>
      </w:r>
      <w:r w:rsidR="00BC74BE" w:rsidRPr="00471540">
        <w:rPr>
          <w:rFonts w:eastAsia="Calibri"/>
          <w:color w:val="000000"/>
        </w:rPr>
        <w:t xml:space="preserve">. </w:t>
      </w:r>
      <w:r w:rsidR="00BC74BE">
        <w:rPr>
          <w:rFonts w:eastAsia="Calibri"/>
          <w:color w:val="000000"/>
        </w:rPr>
        <w:t xml:space="preserve"> </w:t>
      </w:r>
      <w:r w:rsidR="00BC74BE" w:rsidRPr="00471540">
        <w:rPr>
          <w:rFonts w:eastAsia="Calibri"/>
          <w:color w:val="000000"/>
        </w:rPr>
        <w:t xml:space="preserve">FCG </w:t>
      </w:r>
      <w:r w:rsidR="00BC74BE" w:rsidRPr="00FA14F1">
        <w:rPr>
          <w:rFonts w:eastAsia="Calibri"/>
          <w:color w:val="000000"/>
        </w:rPr>
        <w:t>has set the proposed revenues by rate class to improve parity among the rate classes to the greatest extent possible, while following the Commission</w:t>
      </w:r>
      <w:r w:rsidR="00BC74BE">
        <w:rPr>
          <w:rFonts w:eastAsia="Calibri"/>
          <w:color w:val="000000"/>
        </w:rPr>
        <w:t xml:space="preserve"> </w:t>
      </w:r>
      <w:r w:rsidR="00BC74BE" w:rsidRPr="00FA14F1">
        <w:rPr>
          <w:rFonts w:eastAsia="Calibri"/>
          <w:color w:val="000000"/>
        </w:rPr>
        <w:t>practice of gradualism and considering the competitive nature of the natural gas industry.</w:t>
      </w:r>
      <w:r w:rsidR="00BC74BE" w:rsidRPr="00471540">
        <w:rPr>
          <w:rFonts w:eastAsia="Calibri"/>
          <w:color w:val="000000"/>
        </w:rPr>
        <w:t xml:space="preserve">  (DuBose)</w:t>
      </w:r>
    </w:p>
    <w:p w14:paraId="4789EC19" w14:textId="77777777" w:rsidR="00644687" w:rsidRPr="00070C96" w:rsidRDefault="00644687" w:rsidP="00644687">
      <w:pPr>
        <w:ind w:left="1440" w:hanging="1440"/>
        <w:jc w:val="both"/>
        <w:rPr>
          <w:bCs/>
        </w:rPr>
      </w:pPr>
    </w:p>
    <w:p w14:paraId="113354D9" w14:textId="77777777" w:rsidR="00644687" w:rsidRPr="00070C96" w:rsidRDefault="00644687" w:rsidP="00644687">
      <w:pPr>
        <w:ind w:left="1440" w:hanging="1440"/>
        <w:jc w:val="both"/>
        <w:rPr>
          <w:bCs/>
        </w:rPr>
      </w:pPr>
      <w:r>
        <w:rPr>
          <w:b/>
          <w:bCs/>
        </w:rPr>
        <w:t>OPC:</w:t>
      </w:r>
      <w:r>
        <w:rPr>
          <w:b/>
          <w:bCs/>
        </w:rPr>
        <w:tab/>
      </w:r>
      <w:r w:rsidR="000C4D06">
        <w:t>No position.</w:t>
      </w:r>
    </w:p>
    <w:p w14:paraId="794AD388" w14:textId="77777777" w:rsidR="00644687" w:rsidRPr="00070C96" w:rsidRDefault="00644687" w:rsidP="00644687">
      <w:pPr>
        <w:ind w:left="1440" w:hanging="1440"/>
        <w:jc w:val="both"/>
        <w:rPr>
          <w:bCs/>
        </w:rPr>
      </w:pPr>
    </w:p>
    <w:p w14:paraId="46A20C48" w14:textId="77777777" w:rsidR="00644687" w:rsidRPr="00070C96" w:rsidRDefault="00644687" w:rsidP="00644687">
      <w:pPr>
        <w:ind w:left="1440" w:hanging="1440"/>
        <w:jc w:val="both"/>
        <w:rPr>
          <w:bCs/>
        </w:rPr>
      </w:pPr>
      <w:r>
        <w:rPr>
          <w:b/>
          <w:bCs/>
        </w:rPr>
        <w:t>FEA:</w:t>
      </w:r>
      <w:r>
        <w:rPr>
          <w:b/>
          <w:bCs/>
        </w:rPr>
        <w:tab/>
      </w:r>
      <w:r w:rsidR="005172B7" w:rsidRPr="00102C52">
        <w:t>Brian Collins will testify that as depicted in Exhibit BCC-1 that FCG’s</w:t>
      </w:r>
      <w:r w:rsidR="005172B7">
        <w:t xml:space="preserve"> </w:t>
      </w:r>
      <w:r w:rsidR="005172B7" w:rsidRPr="00102C52">
        <w:t>class</w:t>
      </w:r>
      <w:r w:rsidR="005172B7">
        <w:t xml:space="preserve"> </w:t>
      </w:r>
      <w:r w:rsidR="005172B7" w:rsidRPr="00102C52">
        <w:t>revenue allocation be distributed to classes using the results of his CCOS study,</w:t>
      </w:r>
      <w:r w:rsidR="005172B7">
        <w:t xml:space="preserve"> </w:t>
      </w:r>
      <w:r w:rsidR="005172B7" w:rsidRPr="00102C52">
        <w:t>with no class receiving an increase greater than 1.5 times the system average</w:t>
      </w:r>
      <w:r w:rsidR="005172B7">
        <w:t xml:space="preserve"> </w:t>
      </w:r>
      <w:r w:rsidR="005172B7" w:rsidRPr="00102C52">
        <w:t>increase, and with no class receiving a rate decrease.</w:t>
      </w:r>
    </w:p>
    <w:p w14:paraId="51BDF402" w14:textId="77777777" w:rsidR="00644687" w:rsidRPr="00070C96" w:rsidRDefault="00644687" w:rsidP="00644687">
      <w:pPr>
        <w:ind w:left="1440" w:hanging="1440"/>
        <w:jc w:val="both"/>
        <w:rPr>
          <w:bCs/>
        </w:rPr>
      </w:pPr>
    </w:p>
    <w:p w14:paraId="7F46BFFF"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 xml:space="preserve">Adopt position of </w:t>
      </w:r>
      <w:r w:rsidR="007D3C6D">
        <w:rPr>
          <w:bCs/>
          <w:color w:val="000000"/>
        </w:rPr>
        <w:t>FEA</w:t>
      </w:r>
      <w:r w:rsidR="00037057" w:rsidRPr="003D62FB">
        <w:rPr>
          <w:bCs/>
          <w:color w:val="000000"/>
        </w:rPr>
        <w:t>.</w:t>
      </w:r>
    </w:p>
    <w:p w14:paraId="5840A095" w14:textId="77777777" w:rsidR="00644687" w:rsidRPr="00070C96" w:rsidRDefault="00644687" w:rsidP="00644687">
      <w:pPr>
        <w:ind w:left="1440" w:hanging="1440"/>
        <w:jc w:val="both"/>
        <w:rPr>
          <w:bCs/>
        </w:rPr>
      </w:pPr>
    </w:p>
    <w:p w14:paraId="425D5337"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14E2BB7" w14:textId="77777777" w:rsidR="00D328A5" w:rsidRDefault="00D328A5" w:rsidP="00D85565">
      <w:pPr>
        <w:pStyle w:val="Default"/>
        <w:jc w:val="both"/>
        <w:rPr>
          <w:bCs/>
        </w:rPr>
      </w:pPr>
    </w:p>
    <w:p w14:paraId="7EEFD0EF" w14:textId="77777777" w:rsidR="00AA0E34" w:rsidRPr="00815002" w:rsidRDefault="00AA0E34" w:rsidP="00D73B1E">
      <w:pPr>
        <w:pStyle w:val="Default"/>
        <w:ind w:left="1440" w:hanging="1440"/>
        <w:jc w:val="both"/>
        <w:rPr>
          <w:bCs/>
        </w:rPr>
      </w:pPr>
    </w:p>
    <w:p w14:paraId="512F6FA3" w14:textId="77777777" w:rsidR="00D328A5" w:rsidRPr="000C4D06" w:rsidRDefault="00D328A5" w:rsidP="00D73B1E">
      <w:pPr>
        <w:pStyle w:val="Default"/>
        <w:numPr>
          <w:ilvl w:val="0"/>
          <w:numId w:val="2"/>
        </w:numPr>
        <w:ind w:left="1440" w:hanging="1440"/>
        <w:jc w:val="both"/>
        <w:rPr>
          <w:b/>
          <w:bCs/>
        </w:rPr>
      </w:pPr>
      <w:r w:rsidRPr="000C4D06">
        <w:rPr>
          <w:b/>
          <w:bCs/>
        </w:rPr>
        <w:t>Are FCG’s proposed Customer Charges appropriate?</w:t>
      </w:r>
    </w:p>
    <w:p w14:paraId="23DAA226" w14:textId="77777777" w:rsidR="00D328A5" w:rsidRDefault="00D328A5" w:rsidP="00D73B1E">
      <w:pPr>
        <w:pStyle w:val="Default"/>
        <w:ind w:left="1440" w:hanging="1440"/>
        <w:jc w:val="both"/>
        <w:rPr>
          <w:bCs/>
        </w:rPr>
      </w:pPr>
    </w:p>
    <w:p w14:paraId="158B4ECB"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bCs/>
          <w:color w:val="000000"/>
        </w:rPr>
        <w:t>Yes.  The appropriate customer charges are those shown in 2023 Test Year MFR</w:t>
      </w:r>
      <w:r w:rsidR="00BC74BE">
        <w:rPr>
          <w:rFonts w:eastAsia="Calibri"/>
          <w:bCs/>
          <w:color w:val="000000"/>
        </w:rPr>
        <w:t>s E-2 and</w:t>
      </w:r>
      <w:r w:rsidR="00BC74BE" w:rsidRPr="00471540">
        <w:rPr>
          <w:rFonts w:eastAsia="Calibri"/>
          <w:bCs/>
          <w:color w:val="000000"/>
        </w:rPr>
        <w:t xml:space="preserve"> </w:t>
      </w:r>
      <w:r w:rsidR="00BC74BE">
        <w:rPr>
          <w:rFonts w:eastAsia="Calibri"/>
          <w:bCs/>
          <w:color w:val="000000"/>
        </w:rPr>
        <w:t>H</w:t>
      </w:r>
      <w:r w:rsidR="00BC74BE" w:rsidRPr="00471540">
        <w:rPr>
          <w:rFonts w:eastAsia="Calibri"/>
          <w:bCs/>
          <w:color w:val="000000"/>
        </w:rPr>
        <w:t>-</w:t>
      </w:r>
      <w:r w:rsidR="00BC74BE">
        <w:rPr>
          <w:rFonts w:eastAsia="Calibri"/>
          <w:bCs/>
          <w:color w:val="000000"/>
        </w:rPr>
        <w:t>1 (1 of 2)</w:t>
      </w:r>
      <w:r w:rsidR="00BC74BE" w:rsidRPr="00471540">
        <w:rPr>
          <w:rFonts w:eastAsia="Calibri"/>
          <w:bCs/>
          <w:color w:val="000000"/>
        </w:rPr>
        <w:t xml:space="preserve">. </w:t>
      </w:r>
      <w:r w:rsidR="00BC74BE">
        <w:rPr>
          <w:rFonts w:eastAsia="Calibri"/>
          <w:bCs/>
          <w:color w:val="000000"/>
        </w:rPr>
        <w:t xml:space="preserve"> </w:t>
      </w:r>
      <w:r w:rsidR="00BC74BE" w:rsidRPr="00471540">
        <w:rPr>
          <w:rFonts w:eastAsia="Calibri"/>
          <w:bCs/>
          <w:color w:val="000000"/>
        </w:rPr>
        <w:t>(DuBose)</w:t>
      </w:r>
    </w:p>
    <w:p w14:paraId="1C5A840F" w14:textId="77777777" w:rsidR="00644687" w:rsidRPr="00070C96" w:rsidRDefault="00644687" w:rsidP="00644687">
      <w:pPr>
        <w:ind w:left="1440" w:hanging="1440"/>
        <w:jc w:val="both"/>
        <w:rPr>
          <w:bCs/>
        </w:rPr>
      </w:pPr>
    </w:p>
    <w:p w14:paraId="578903C5" w14:textId="77777777" w:rsidR="00644687" w:rsidRPr="00070C96" w:rsidRDefault="00644687" w:rsidP="00644687">
      <w:pPr>
        <w:ind w:left="1440" w:hanging="1440"/>
        <w:jc w:val="both"/>
        <w:rPr>
          <w:bCs/>
        </w:rPr>
      </w:pPr>
      <w:r>
        <w:rPr>
          <w:b/>
          <w:bCs/>
        </w:rPr>
        <w:t>OPC:</w:t>
      </w:r>
      <w:r>
        <w:rPr>
          <w:b/>
          <w:bCs/>
        </w:rPr>
        <w:tab/>
      </w:r>
      <w:r w:rsidR="000C4D06">
        <w:t>No Position.</w:t>
      </w:r>
    </w:p>
    <w:p w14:paraId="3E6291FB" w14:textId="77777777" w:rsidR="00644687" w:rsidRPr="00070C96" w:rsidRDefault="00644687" w:rsidP="00644687">
      <w:pPr>
        <w:ind w:left="1440" w:hanging="1440"/>
        <w:jc w:val="both"/>
        <w:rPr>
          <w:bCs/>
        </w:rPr>
      </w:pPr>
    </w:p>
    <w:p w14:paraId="668715DC" w14:textId="77777777" w:rsidR="00644687" w:rsidRPr="00070C96" w:rsidRDefault="00644687" w:rsidP="00644687">
      <w:pPr>
        <w:ind w:left="1440" w:hanging="1440"/>
        <w:jc w:val="both"/>
        <w:rPr>
          <w:bCs/>
        </w:rPr>
      </w:pPr>
      <w:r>
        <w:rPr>
          <w:b/>
          <w:bCs/>
        </w:rPr>
        <w:t>FEA:</w:t>
      </w:r>
      <w:r>
        <w:rPr>
          <w:b/>
          <w:bCs/>
        </w:rPr>
        <w:tab/>
      </w:r>
      <w:r w:rsidR="009D1863">
        <w:t>No position.</w:t>
      </w:r>
    </w:p>
    <w:p w14:paraId="675E844B" w14:textId="77777777" w:rsidR="00644687" w:rsidRPr="00070C96" w:rsidRDefault="00644687" w:rsidP="00644687">
      <w:pPr>
        <w:ind w:left="1440" w:hanging="1440"/>
        <w:jc w:val="both"/>
        <w:rPr>
          <w:bCs/>
        </w:rPr>
      </w:pPr>
    </w:p>
    <w:p w14:paraId="30061640" w14:textId="77777777" w:rsidR="00644687" w:rsidRPr="00070C96" w:rsidRDefault="00644687" w:rsidP="00644687">
      <w:pPr>
        <w:ind w:left="1440" w:hanging="1440"/>
        <w:jc w:val="both"/>
        <w:rPr>
          <w:bCs/>
        </w:rPr>
      </w:pPr>
      <w:r>
        <w:rPr>
          <w:b/>
          <w:bCs/>
        </w:rPr>
        <w:t>FIPUG:</w:t>
      </w:r>
      <w:r>
        <w:rPr>
          <w:b/>
          <w:bCs/>
        </w:rPr>
        <w:tab/>
      </w:r>
      <w:r w:rsidR="007D3C6D">
        <w:rPr>
          <w:bCs/>
          <w:color w:val="000000"/>
        </w:rPr>
        <w:t>No.</w:t>
      </w:r>
    </w:p>
    <w:p w14:paraId="74906964" w14:textId="77777777" w:rsidR="00644687" w:rsidRPr="00070C96" w:rsidRDefault="00644687" w:rsidP="00644687">
      <w:pPr>
        <w:ind w:left="1440" w:hanging="1440"/>
        <w:jc w:val="both"/>
        <w:rPr>
          <w:bCs/>
        </w:rPr>
      </w:pPr>
    </w:p>
    <w:p w14:paraId="632820DB"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5815165" w14:textId="77777777" w:rsidR="00644687" w:rsidRDefault="00644687" w:rsidP="00644687">
      <w:pPr>
        <w:pStyle w:val="Default"/>
        <w:ind w:left="1440" w:hanging="1440"/>
        <w:jc w:val="both"/>
      </w:pPr>
    </w:p>
    <w:p w14:paraId="1D1C4F62" w14:textId="77777777" w:rsidR="00D328A5" w:rsidRPr="00815002" w:rsidRDefault="00D328A5" w:rsidP="00D73B1E">
      <w:pPr>
        <w:pStyle w:val="Default"/>
        <w:ind w:left="1440" w:hanging="1440"/>
        <w:jc w:val="both"/>
        <w:rPr>
          <w:bCs/>
        </w:rPr>
      </w:pPr>
    </w:p>
    <w:p w14:paraId="621E2536" w14:textId="77777777" w:rsidR="00D328A5" w:rsidRPr="000C4D06" w:rsidRDefault="00D328A5" w:rsidP="00D73B1E">
      <w:pPr>
        <w:pStyle w:val="Default"/>
        <w:numPr>
          <w:ilvl w:val="0"/>
          <w:numId w:val="2"/>
        </w:numPr>
        <w:ind w:left="1440" w:hanging="1440"/>
        <w:jc w:val="both"/>
        <w:rPr>
          <w:b/>
          <w:bCs/>
        </w:rPr>
      </w:pPr>
      <w:r w:rsidRPr="000C4D06">
        <w:rPr>
          <w:b/>
          <w:bCs/>
        </w:rPr>
        <w:t>Are FCG’s proposed per therm Distribution Charges appropriate?</w:t>
      </w:r>
    </w:p>
    <w:p w14:paraId="398674D0" w14:textId="77777777" w:rsidR="00D328A5" w:rsidRDefault="00D328A5" w:rsidP="00D73B1E">
      <w:pPr>
        <w:pStyle w:val="Default"/>
        <w:ind w:left="1440" w:hanging="1440"/>
        <w:jc w:val="both"/>
        <w:rPr>
          <w:bCs/>
        </w:rPr>
      </w:pPr>
    </w:p>
    <w:p w14:paraId="763C347D"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bCs/>
          <w:color w:val="000000"/>
        </w:rPr>
        <w:t>Yes.  The appropriate per therm Distribution Charges are those shown in 2023 Test Year MFR</w:t>
      </w:r>
      <w:r w:rsidR="00BC74BE">
        <w:rPr>
          <w:rFonts w:eastAsia="Calibri"/>
          <w:bCs/>
          <w:color w:val="000000"/>
        </w:rPr>
        <w:t>s E-2 and</w:t>
      </w:r>
      <w:r w:rsidR="00BC74BE" w:rsidRPr="00471540">
        <w:rPr>
          <w:rFonts w:eastAsia="Calibri"/>
          <w:bCs/>
          <w:color w:val="000000"/>
        </w:rPr>
        <w:t xml:space="preserve"> </w:t>
      </w:r>
      <w:r w:rsidR="00BC74BE">
        <w:rPr>
          <w:rFonts w:eastAsia="Calibri"/>
          <w:bCs/>
          <w:color w:val="000000"/>
        </w:rPr>
        <w:t>H</w:t>
      </w:r>
      <w:r w:rsidR="00BC74BE" w:rsidRPr="00471540">
        <w:rPr>
          <w:rFonts w:eastAsia="Calibri"/>
          <w:bCs/>
          <w:color w:val="000000"/>
        </w:rPr>
        <w:t>-</w:t>
      </w:r>
      <w:r w:rsidR="00BC74BE">
        <w:rPr>
          <w:rFonts w:eastAsia="Calibri"/>
          <w:bCs/>
          <w:color w:val="000000"/>
        </w:rPr>
        <w:t>1 (1 of 2)</w:t>
      </w:r>
      <w:r w:rsidR="00BC74BE" w:rsidRPr="00471540">
        <w:rPr>
          <w:rFonts w:eastAsia="Calibri"/>
          <w:bCs/>
          <w:color w:val="000000"/>
        </w:rPr>
        <w:t xml:space="preserve">. </w:t>
      </w:r>
      <w:r w:rsidR="00BC74BE">
        <w:rPr>
          <w:rFonts w:eastAsia="Calibri"/>
          <w:bCs/>
          <w:color w:val="000000"/>
        </w:rPr>
        <w:t xml:space="preserve"> </w:t>
      </w:r>
      <w:r w:rsidR="00BC74BE" w:rsidRPr="00471540">
        <w:rPr>
          <w:rFonts w:eastAsia="Calibri"/>
          <w:bCs/>
          <w:color w:val="000000"/>
        </w:rPr>
        <w:t>(DuBose)</w:t>
      </w:r>
    </w:p>
    <w:p w14:paraId="7EB692F2" w14:textId="77777777" w:rsidR="00644687" w:rsidRPr="00070C96" w:rsidRDefault="00644687" w:rsidP="00644687">
      <w:pPr>
        <w:ind w:left="1440" w:hanging="1440"/>
        <w:jc w:val="both"/>
        <w:rPr>
          <w:bCs/>
        </w:rPr>
      </w:pPr>
    </w:p>
    <w:p w14:paraId="3D3051B7" w14:textId="77777777" w:rsidR="00644687" w:rsidRPr="00070C96" w:rsidRDefault="00644687" w:rsidP="00644687">
      <w:pPr>
        <w:ind w:left="1440" w:hanging="1440"/>
        <w:jc w:val="both"/>
        <w:rPr>
          <w:bCs/>
        </w:rPr>
      </w:pPr>
      <w:r>
        <w:rPr>
          <w:b/>
          <w:bCs/>
        </w:rPr>
        <w:t>OPC:</w:t>
      </w:r>
      <w:r>
        <w:rPr>
          <w:b/>
          <w:bCs/>
        </w:rPr>
        <w:tab/>
      </w:r>
      <w:r w:rsidR="000C4D06">
        <w:t>No Position.</w:t>
      </w:r>
    </w:p>
    <w:p w14:paraId="01BBA071" w14:textId="77777777" w:rsidR="00644687" w:rsidRPr="00070C96" w:rsidRDefault="00644687" w:rsidP="00644687">
      <w:pPr>
        <w:ind w:left="1440" w:hanging="1440"/>
        <w:jc w:val="both"/>
        <w:rPr>
          <w:bCs/>
        </w:rPr>
      </w:pPr>
    </w:p>
    <w:p w14:paraId="1606C30E" w14:textId="77777777" w:rsidR="00644687" w:rsidRPr="00070C96" w:rsidRDefault="00644687" w:rsidP="00644687">
      <w:pPr>
        <w:ind w:left="1440" w:hanging="1440"/>
        <w:jc w:val="both"/>
        <w:rPr>
          <w:bCs/>
        </w:rPr>
      </w:pPr>
      <w:r>
        <w:rPr>
          <w:b/>
          <w:bCs/>
        </w:rPr>
        <w:t>FEA:</w:t>
      </w:r>
      <w:r>
        <w:rPr>
          <w:b/>
          <w:bCs/>
        </w:rPr>
        <w:tab/>
      </w:r>
      <w:r w:rsidR="009D1863">
        <w:t>No position.</w:t>
      </w:r>
    </w:p>
    <w:p w14:paraId="1C75A5D0" w14:textId="77777777" w:rsidR="00644687" w:rsidRPr="00070C96" w:rsidRDefault="00644687" w:rsidP="00644687">
      <w:pPr>
        <w:ind w:left="1440" w:hanging="1440"/>
        <w:jc w:val="both"/>
        <w:rPr>
          <w:bCs/>
        </w:rPr>
      </w:pPr>
    </w:p>
    <w:p w14:paraId="6866F01B" w14:textId="77777777" w:rsidR="00644687" w:rsidRPr="00070C96" w:rsidRDefault="00644687" w:rsidP="00644687">
      <w:pPr>
        <w:ind w:left="1440" w:hanging="1440"/>
        <w:jc w:val="both"/>
        <w:rPr>
          <w:bCs/>
        </w:rPr>
      </w:pPr>
      <w:r>
        <w:rPr>
          <w:b/>
          <w:bCs/>
        </w:rPr>
        <w:t>FIPUG:</w:t>
      </w:r>
      <w:r>
        <w:rPr>
          <w:b/>
          <w:bCs/>
        </w:rPr>
        <w:tab/>
      </w:r>
      <w:r w:rsidR="007D3C6D">
        <w:rPr>
          <w:bCs/>
          <w:color w:val="000000"/>
        </w:rPr>
        <w:t>No</w:t>
      </w:r>
      <w:r w:rsidR="00037057" w:rsidRPr="003D62FB">
        <w:rPr>
          <w:bCs/>
          <w:color w:val="000000"/>
        </w:rPr>
        <w:t>.</w:t>
      </w:r>
    </w:p>
    <w:p w14:paraId="501629F4" w14:textId="77777777" w:rsidR="00644687" w:rsidRPr="00070C96" w:rsidRDefault="00644687" w:rsidP="00644687">
      <w:pPr>
        <w:ind w:left="1440" w:hanging="1440"/>
        <w:jc w:val="both"/>
        <w:rPr>
          <w:bCs/>
        </w:rPr>
      </w:pPr>
    </w:p>
    <w:p w14:paraId="7D544FED"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268B3295" w14:textId="77777777" w:rsidR="00644687" w:rsidRDefault="00644687" w:rsidP="00644687">
      <w:pPr>
        <w:pStyle w:val="Default"/>
        <w:ind w:left="1440" w:hanging="1440"/>
        <w:jc w:val="both"/>
      </w:pPr>
    </w:p>
    <w:p w14:paraId="45203ECB" w14:textId="7FD1AC73" w:rsidR="00D328A5" w:rsidRDefault="00D328A5" w:rsidP="00D73B1E">
      <w:pPr>
        <w:pStyle w:val="Default"/>
        <w:ind w:left="1440" w:hanging="1440"/>
        <w:jc w:val="both"/>
        <w:rPr>
          <w:bCs/>
        </w:rPr>
      </w:pPr>
    </w:p>
    <w:p w14:paraId="29D1ADDE" w14:textId="3D9B8F38" w:rsidR="005C6EBD" w:rsidRDefault="005C6EBD" w:rsidP="00D73B1E">
      <w:pPr>
        <w:pStyle w:val="Default"/>
        <w:ind w:left="1440" w:hanging="1440"/>
        <w:jc w:val="both"/>
        <w:rPr>
          <w:bCs/>
        </w:rPr>
      </w:pPr>
    </w:p>
    <w:p w14:paraId="13D22ABE" w14:textId="77777777" w:rsidR="005C6EBD" w:rsidRPr="00815002" w:rsidRDefault="005C6EBD" w:rsidP="00D73B1E">
      <w:pPr>
        <w:pStyle w:val="Default"/>
        <w:ind w:left="1440" w:hanging="1440"/>
        <w:jc w:val="both"/>
        <w:rPr>
          <w:bCs/>
        </w:rPr>
      </w:pPr>
    </w:p>
    <w:p w14:paraId="0115C239" w14:textId="77777777" w:rsidR="00D328A5" w:rsidRPr="000C4D06" w:rsidRDefault="00D328A5" w:rsidP="00D73B1E">
      <w:pPr>
        <w:pStyle w:val="Default"/>
        <w:numPr>
          <w:ilvl w:val="0"/>
          <w:numId w:val="2"/>
        </w:numPr>
        <w:ind w:left="1440" w:hanging="1440"/>
        <w:jc w:val="both"/>
        <w:rPr>
          <w:b/>
          <w:bCs/>
        </w:rPr>
      </w:pPr>
      <w:r w:rsidRPr="000C4D06">
        <w:rPr>
          <w:b/>
          <w:bCs/>
        </w:rPr>
        <w:t>Are FCG’s proposed Demand Charges appropriate?</w:t>
      </w:r>
    </w:p>
    <w:p w14:paraId="3AC8BB55" w14:textId="77777777" w:rsidR="00D328A5" w:rsidRDefault="00D328A5" w:rsidP="00D73B1E">
      <w:pPr>
        <w:pStyle w:val="Default"/>
        <w:ind w:left="1440" w:hanging="1440"/>
        <w:jc w:val="both"/>
        <w:rPr>
          <w:bCs/>
        </w:rPr>
      </w:pPr>
    </w:p>
    <w:p w14:paraId="41C76F51"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bCs/>
          <w:color w:val="000000"/>
        </w:rPr>
        <w:t>Yes.</w:t>
      </w:r>
      <w:r w:rsidR="00BC74BE">
        <w:rPr>
          <w:rFonts w:eastAsia="Calibri"/>
          <w:bCs/>
          <w:color w:val="000000"/>
        </w:rPr>
        <w:t xml:space="preserve"> </w:t>
      </w:r>
      <w:r w:rsidR="00BC74BE" w:rsidRPr="00471540">
        <w:rPr>
          <w:rFonts w:eastAsia="Calibri"/>
          <w:bCs/>
          <w:color w:val="000000"/>
        </w:rPr>
        <w:t xml:space="preserve"> The appropriate Demand Charges are those shown in 2023 Test Year MFR</w:t>
      </w:r>
      <w:r w:rsidR="00BC74BE">
        <w:rPr>
          <w:rFonts w:eastAsia="Calibri"/>
          <w:bCs/>
          <w:color w:val="000000"/>
        </w:rPr>
        <w:t>s E-2 and</w:t>
      </w:r>
      <w:r w:rsidR="00BC74BE" w:rsidRPr="00471540">
        <w:rPr>
          <w:rFonts w:eastAsia="Calibri"/>
          <w:bCs/>
          <w:color w:val="000000"/>
        </w:rPr>
        <w:t xml:space="preserve"> </w:t>
      </w:r>
      <w:r w:rsidR="00BC74BE">
        <w:rPr>
          <w:rFonts w:eastAsia="Calibri"/>
          <w:bCs/>
          <w:color w:val="000000"/>
        </w:rPr>
        <w:t>H</w:t>
      </w:r>
      <w:r w:rsidR="00BC74BE" w:rsidRPr="00471540">
        <w:rPr>
          <w:rFonts w:eastAsia="Calibri"/>
          <w:bCs/>
          <w:color w:val="000000"/>
        </w:rPr>
        <w:t>-</w:t>
      </w:r>
      <w:r w:rsidR="00BC74BE">
        <w:rPr>
          <w:rFonts w:eastAsia="Calibri"/>
          <w:bCs/>
          <w:color w:val="000000"/>
        </w:rPr>
        <w:t>1 (1 of 2)</w:t>
      </w:r>
      <w:r w:rsidR="00BC74BE" w:rsidRPr="00471540">
        <w:rPr>
          <w:rFonts w:eastAsia="Calibri"/>
          <w:bCs/>
          <w:color w:val="000000"/>
        </w:rPr>
        <w:t>.  (DuBose)</w:t>
      </w:r>
    </w:p>
    <w:p w14:paraId="1B0647A7" w14:textId="77777777" w:rsidR="00644687" w:rsidRPr="00070C96" w:rsidRDefault="00644687" w:rsidP="00644687">
      <w:pPr>
        <w:ind w:left="1440" w:hanging="1440"/>
        <w:jc w:val="both"/>
        <w:rPr>
          <w:bCs/>
        </w:rPr>
      </w:pPr>
    </w:p>
    <w:p w14:paraId="5AF7813F" w14:textId="77777777" w:rsidR="00644687" w:rsidRPr="00070C96" w:rsidRDefault="00644687" w:rsidP="00644687">
      <w:pPr>
        <w:ind w:left="1440" w:hanging="1440"/>
        <w:jc w:val="both"/>
        <w:rPr>
          <w:bCs/>
        </w:rPr>
      </w:pPr>
      <w:r>
        <w:rPr>
          <w:b/>
          <w:bCs/>
        </w:rPr>
        <w:t>OPC:</w:t>
      </w:r>
      <w:r>
        <w:rPr>
          <w:b/>
          <w:bCs/>
        </w:rPr>
        <w:tab/>
      </w:r>
      <w:r w:rsidR="000C4D06">
        <w:t>No Position.</w:t>
      </w:r>
    </w:p>
    <w:p w14:paraId="642634D6" w14:textId="77777777" w:rsidR="00644687" w:rsidRPr="00070C96" w:rsidRDefault="00644687" w:rsidP="00644687">
      <w:pPr>
        <w:ind w:left="1440" w:hanging="1440"/>
        <w:jc w:val="both"/>
        <w:rPr>
          <w:bCs/>
        </w:rPr>
      </w:pPr>
    </w:p>
    <w:p w14:paraId="28C5E59D" w14:textId="77777777" w:rsidR="00644687" w:rsidRPr="00070C96" w:rsidRDefault="00644687" w:rsidP="00644687">
      <w:pPr>
        <w:ind w:left="1440" w:hanging="1440"/>
        <w:jc w:val="both"/>
        <w:rPr>
          <w:bCs/>
        </w:rPr>
      </w:pPr>
      <w:r>
        <w:rPr>
          <w:b/>
          <w:bCs/>
        </w:rPr>
        <w:t>FEA:</w:t>
      </w:r>
      <w:r>
        <w:rPr>
          <w:b/>
          <w:bCs/>
        </w:rPr>
        <w:tab/>
      </w:r>
      <w:r w:rsidR="009D1863">
        <w:t>No position.</w:t>
      </w:r>
    </w:p>
    <w:p w14:paraId="4B0672C7" w14:textId="77777777" w:rsidR="00644687" w:rsidRPr="00070C96" w:rsidRDefault="00644687" w:rsidP="00644687">
      <w:pPr>
        <w:ind w:left="1440" w:hanging="1440"/>
        <w:jc w:val="both"/>
        <w:rPr>
          <w:bCs/>
        </w:rPr>
      </w:pPr>
    </w:p>
    <w:p w14:paraId="516E25B7" w14:textId="77777777" w:rsidR="00644687" w:rsidRPr="00070C96" w:rsidRDefault="00644687" w:rsidP="00644687">
      <w:pPr>
        <w:ind w:left="1440" w:hanging="1440"/>
        <w:jc w:val="both"/>
        <w:rPr>
          <w:bCs/>
        </w:rPr>
      </w:pPr>
      <w:r>
        <w:rPr>
          <w:b/>
          <w:bCs/>
        </w:rPr>
        <w:t>FIPUG:</w:t>
      </w:r>
      <w:r>
        <w:rPr>
          <w:b/>
          <w:bCs/>
        </w:rPr>
        <w:tab/>
      </w:r>
      <w:r w:rsidR="007D3C6D">
        <w:rPr>
          <w:bCs/>
          <w:color w:val="000000"/>
        </w:rPr>
        <w:t>No.</w:t>
      </w:r>
    </w:p>
    <w:p w14:paraId="09A9CD21" w14:textId="77777777" w:rsidR="00644687" w:rsidRPr="00070C96" w:rsidRDefault="00644687" w:rsidP="00644687">
      <w:pPr>
        <w:ind w:left="1440" w:hanging="1440"/>
        <w:jc w:val="both"/>
        <w:rPr>
          <w:bCs/>
        </w:rPr>
      </w:pPr>
    </w:p>
    <w:p w14:paraId="522F10D4" w14:textId="58F76A57"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26B77A20" w14:textId="77777777" w:rsidR="00E90AFF" w:rsidRPr="00070C96" w:rsidRDefault="00E90AFF" w:rsidP="00644687">
      <w:pPr>
        <w:pStyle w:val="Default"/>
        <w:ind w:left="1440" w:hanging="1440"/>
        <w:jc w:val="both"/>
      </w:pPr>
    </w:p>
    <w:p w14:paraId="72A56470" w14:textId="77777777" w:rsidR="00AA0E34" w:rsidRPr="00815002" w:rsidRDefault="00AA0E34" w:rsidP="00D73B1E">
      <w:pPr>
        <w:pStyle w:val="Default"/>
        <w:ind w:left="1440" w:hanging="1440"/>
        <w:jc w:val="both"/>
        <w:rPr>
          <w:bCs/>
        </w:rPr>
      </w:pPr>
    </w:p>
    <w:p w14:paraId="4E0B0B35" w14:textId="77777777" w:rsidR="00D328A5" w:rsidRPr="000C4D06" w:rsidRDefault="00D328A5" w:rsidP="00D73B1E">
      <w:pPr>
        <w:pStyle w:val="Default"/>
        <w:numPr>
          <w:ilvl w:val="0"/>
          <w:numId w:val="2"/>
        </w:numPr>
        <w:ind w:left="1440" w:hanging="1440"/>
        <w:jc w:val="both"/>
        <w:rPr>
          <w:b/>
          <w:bCs/>
        </w:rPr>
      </w:pPr>
      <w:r w:rsidRPr="000C4D06">
        <w:rPr>
          <w:b/>
          <w:bCs/>
        </w:rPr>
        <w:t>Are FCG’s proposed connect and reconnection charges appropriate?</w:t>
      </w:r>
    </w:p>
    <w:p w14:paraId="18B9C719" w14:textId="77777777" w:rsidR="00D328A5" w:rsidRPr="000C4D06" w:rsidRDefault="00D328A5" w:rsidP="00D73B1E">
      <w:pPr>
        <w:pStyle w:val="Default"/>
        <w:ind w:left="1440" w:hanging="1440"/>
        <w:jc w:val="both"/>
        <w:rPr>
          <w:b/>
          <w:bCs/>
        </w:rPr>
      </w:pPr>
    </w:p>
    <w:p w14:paraId="2A17D191"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bCs/>
          <w:color w:val="000000"/>
        </w:rPr>
        <w:t xml:space="preserve">Yes.  The appropriate service, connect, and reconnection charges are those shown in 2023 Test Year MFR </w:t>
      </w:r>
      <w:r w:rsidR="00BC74BE">
        <w:rPr>
          <w:rFonts w:eastAsia="Calibri"/>
          <w:bCs/>
          <w:color w:val="000000"/>
        </w:rPr>
        <w:t>H</w:t>
      </w:r>
      <w:r w:rsidR="00BC74BE" w:rsidRPr="00471540">
        <w:rPr>
          <w:rFonts w:eastAsia="Calibri"/>
          <w:bCs/>
          <w:color w:val="000000"/>
        </w:rPr>
        <w:t>-</w:t>
      </w:r>
      <w:r w:rsidR="00BC74BE">
        <w:rPr>
          <w:rFonts w:eastAsia="Calibri"/>
          <w:bCs/>
          <w:color w:val="000000"/>
        </w:rPr>
        <w:t>1 (2 of 2)</w:t>
      </w:r>
      <w:r w:rsidR="00BC74BE" w:rsidRPr="00471540">
        <w:rPr>
          <w:rFonts w:eastAsia="Calibri"/>
          <w:bCs/>
          <w:color w:val="000000"/>
        </w:rPr>
        <w:t xml:space="preserve">. </w:t>
      </w:r>
      <w:r w:rsidR="00BC74BE">
        <w:rPr>
          <w:rFonts w:eastAsia="Calibri"/>
          <w:bCs/>
          <w:color w:val="000000"/>
        </w:rPr>
        <w:t xml:space="preserve"> </w:t>
      </w:r>
      <w:r w:rsidR="00BC74BE" w:rsidRPr="00471540">
        <w:rPr>
          <w:rFonts w:eastAsia="Calibri"/>
          <w:bCs/>
          <w:color w:val="000000"/>
        </w:rPr>
        <w:t>(DuBose)</w:t>
      </w:r>
    </w:p>
    <w:p w14:paraId="6ECF6617" w14:textId="77777777" w:rsidR="00644687" w:rsidRPr="00070C96" w:rsidRDefault="00644687" w:rsidP="00644687">
      <w:pPr>
        <w:ind w:left="1440" w:hanging="1440"/>
        <w:jc w:val="both"/>
        <w:rPr>
          <w:bCs/>
        </w:rPr>
      </w:pPr>
    </w:p>
    <w:p w14:paraId="258C65F6" w14:textId="77777777" w:rsidR="00644687" w:rsidRPr="00070C96" w:rsidRDefault="00644687" w:rsidP="00644687">
      <w:pPr>
        <w:ind w:left="1440" w:hanging="1440"/>
        <w:jc w:val="both"/>
        <w:rPr>
          <w:bCs/>
        </w:rPr>
      </w:pPr>
      <w:r>
        <w:rPr>
          <w:b/>
          <w:bCs/>
        </w:rPr>
        <w:t>OPC:</w:t>
      </w:r>
      <w:r>
        <w:rPr>
          <w:b/>
          <w:bCs/>
        </w:rPr>
        <w:tab/>
      </w:r>
      <w:r w:rsidR="000C4D06">
        <w:t>No Position.</w:t>
      </w:r>
    </w:p>
    <w:p w14:paraId="16304D89" w14:textId="77777777" w:rsidR="00644687" w:rsidRPr="00070C96" w:rsidRDefault="00644687" w:rsidP="00644687">
      <w:pPr>
        <w:ind w:left="1440" w:hanging="1440"/>
        <w:jc w:val="both"/>
        <w:rPr>
          <w:bCs/>
        </w:rPr>
      </w:pPr>
    </w:p>
    <w:p w14:paraId="561B38F7" w14:textId="77777777" w:rsidR="00644687" w:rsidRPr="00070C96" w:rsidRDefault="00644687" w:rsidP="00644687">
      <w:pPr>
        <w:ind w:left="1440" w:hanging="1440"/>
        <w:jc w:val="both"/>
        <w:rPr>
          <w:bCs/>
        </w:rPr>
      </w:pPr>
      <w:r>
        <w:rPr>
          <w:b/>
          <w:bCs/>
        </w:rPr>
        <w:t>FEA:</w:t>
      </w:r>
      <w:r>
        <w:rPr>
          <w:b/>
          <w:bCs/>
        </w:rPr>
        <w:tab/>
      </w:r>
      <w:r w:rsidR="009D1863">
        <w:t>No position.</w:t>
      </w:r>
    </w:p>
    <w:p w14:paraId="6D653E69" w14:textId="77777777" w:rsidR="00644687" w:rsidRPr="00070C96" w:rsidRDefault="00644687" w:rsidP="00644687">
      <w:pPr>
        <w:ind w:left="1440" w:hanging="1440"/>
        <w:jc w:val="both"/>
        <w:rPr>
          <w:bCs/>
        </w:rPr>
      </w:pPr>
    </w:p>
    <w:p w14:paraId="60182473" w14:textId="77777777" w:rsidR="00644687" w:rsidRPr="00070C96" w:rsidRDefault="00644687" w:rsidP="00644687">
      <w:pPr>
        <w:ind w:left="1440" w:hanging="1440"/>
        <w:jc w:val="both"/>
        <w:rPr>
          <w:bCs/>
        </w:rPr>
      </w:pPr>
      <w:r>
        <w:rPr>
          <w:b/>
          <w:bCs/>
        </w:rPr>
        <w:t>FIPUG:</w:t>
      </w:r>
      <w:r>
        <w:rPr>
          <w:b/>
          <w:bCs/>
        </w:rPr>
        <w:tab/>
      </w:r>
      <w:r w:rsidR="007D3C6D">
        <w:rPr>
          <w:bCs/>
          <w:color w:val="000000"/>
        </w:rPr>
        <w:t>No</w:t>
      </w:r>
      <w:r w:rsidR="00037057" w:rsidRPr="003D62FB">
        <w:rPr>
          <w:bCs/>
          <w:color w:val="000000"/>
        </w:rPr>
        <w:t>.</w:t>
      </w:r>
    </w:p>
    <w:p w14:paraId="193B359C" w14:textId="77777777" w:rsidR="00644687" w:rsidRPr="00070C96" w:rsidRDefault="00644687" w:rsidP="00644687">
      <w:pPr>
        <w:ind w:left="1440" w:hanging="1440"/>
        <w:jc w:val="both"/>
        <w:rPr>
          <w:bCs/>
        </w:rPr>
      </w:pPr>
    </w:p>
    <w:p w14:paraId="0F844F62"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1E60E6F" w14:textId="77777777" w:rsidR="00644687" w:rsidRDefault="00644687" w:rsidP="00644687">
      <w:pPr>
        <w:pStyle w:val="Default"/>
        <w:ind w:left="1440" w:hanging="1440"/>
        <w:jc w:val="both"/>
      </w:pPr>
    </w:p>
    <w:p w14:paraId="51C49C21" w14:textId="77777777" w:rsidR="00D328A5" w:rsidRPr="00815002" w:rsidRDefault="00D328A5" w:rsidP="00D73B1E">
      <w:pPr>
        <w:pStyle w:val="Default"/>
        <w:ind w:left="1440" w:hanging="1440"/>
        <w:jc w:val="both"/>
        <w:rPr>
          <w:bCs/>
        </w:rPr>
      </w:pPr>
    </w:p>
    <w:p w14:paraId="7EA675BA" w14:textId="77777777" w:rsidR="00D328A5" w:rsidRPr="000C4D06" w:rsidRDefault="00D328A5" w:rsidP="00D73B1E">
      <w:pPr>
        <w:pStyle w:val="Default"/>
        <w:numPr>
          <w:ilvl w:val="0"/>
          <w:numId w:val="2"/>
        </w:numPr>
        <w:ind w:left="1440" w:hanging="1440"/>
        <w:jc w:val="both"/>
        <w:rPr>
          <w:b/>
          <w:bCs/>
        </w:rPr>
      </w:pPr>
      <w:r w:rsidRPr="000C4D06">
        <w:rPr>
          <w:b/>
          <w:bCs/>
        </w:rPr>
        <w:t>Is FCG’s proposed per transportation customer charge applicable to Third Party Suppliers appropriate?</w:t>
      </w:r>
    </w:p>
    <w:p w14:paraId="52FF554F" w14:textId="77777777" w:rsidR="00D328A5" w:rsidRDefault="00D328A5" w:rsidP="00D73B1E">
      <w:pPr>
        <w:pStyle w:val="Default"/>
        <w:ind w:left="1440" w:hanging="1440"/>
        <w:jc w:val="both"/>
        <w:rPr>
          <w:bCs/>
        </w:rPr>
      </w:pPr>
    </w:p>
    <w:p w14:paraId="2878918A"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bCs/>
          <w:color w:val="000000"/>
        </w:rPr>
        <w:t>Yes.  The appropriate per transportation customer charge applicable to Third Party Suppliers is shown in 2023 Test Year MFR</w:t>
      </w:r>
      <w:r w:rsidR="00BC74BE">
        <w:rPr>
          <w:rFonts w:eastAsia="Calibri"/>
          <w:bCs/>
          <w:color w:val="000000"/>
        </w:rPr>
        <w:t>s</w:t>
      </w:r>
      <w:r w:rsidR="00BC74BE" w:rsidRPr="00471540">
        <w:rPr>
          <w:rFonts w:eastAsia="Calibri"/>
          <w:bCs/>
          <w:color w:val="000000"/>
        </w:rPr>
        <w:t xml:space="preserve"> </w:t>
      </w:r>
      <w:r w:rsidR="00BC74BE">
        <w:rPr>
          <w:rFonts w:eastAsia="Calibri"/>
          <w:bCs/>
          <w:color w:val="000000"/>
        </w:rPr>
        <w:t>E</w:t>
      </w:r>
      <w:r w:rsidR="00BC74BE" w:rsidRPr="00471540">
        <w:rPr>
          <w:rFonts w:eastAsia="Calibri"/>
          <w:bCs/>
          <w:color w:val="000000"/>
        </w:rPr>
        <w:t>-</w:t>
      </w:r>
      <w:r w:rsidR="00BC74BE">
        <w:rPr>
          <w:rFonts w:eastAsia="Calibri"/>
          <w:bCs/>
          <w:color w:val="000000"/>
        </w:rPr>
        <w:t>2 and H-1 (1 of 2)</w:t>
      </w:r>
      <w:r w:rsidR="00BC74BE" w:rsidRPr="00471540">
        <w:rPr>
          <w:rFonts w:eastAsia="Calibri"/>
          <w:bCs/>
          <w:color w:val="000000"/>
        </w:rPr>
        <w:t xml:space="preserve">. </w:t>
      </w:r>
      <w:r w:rsidR="00BC74BE">
        <w:rPr>
          <w:rFonts w:eastAsia="Calibri"/>
          <w:bCs/>
          <w:color w:val="000000"/>
        </w:rPr>
        <w:t xml:space="preserve"> </w:t>
      </w:r>
      <w:r w:rsidR="00BC74BE" w:rsidRPr="00471540">
        <w:rPr>
          <w:rFonts w:eastAsia="Calibri"/>
          <w:bCs/>
          <w:color w:val="000000"/>
        </w:rPr>
        <w:t>(DuBose)</w:t>
      </w:r>
    </w:p>
    <w:p w14:paraId="34742CCE" w14:textId="77777777" w:rsidR="00644687" w:rsidRPr="00070C96" w:rsidRDefault="00644687" w:rsidP="00644687">
      <w:pPr>
        <w:ind w:left="1440" w:hanging="1440"/>
        <w:jc w:val="both"/>
        <w:rPr>
          <w:bCs/>
        </w:rPr>
      </w:pPr>
    </w:p>
    <w:p w14:paraId="67E7B439" w14:textId="77777777" w:rsidR="00644687" w:rsidRPr="00070C96" w:rsidRDefault="00644687" w:rsidP="00644687">
      <w:pPr>
        <w:ind w:left="1440" w:hanging="1440"/>
        <w:jc w:val="both"/>
        <w:rPr>
          <w:bCs/>
        </w:rPr>
      </w:pPr>
      <w:r>
        <w:rPr>
          <w:b/>
          <w:bCs/>
        </w:rPr>
        <w:t>OPC:</w:t>
      </w:r>
      <w:r>
        <w:rPr>
          <w:b/>
          <w:bCs/>
        </w:rPr>
        <w:tab/>
      </w:r>
      <w:r w:rsidR="000C4D06">
        <w:t>No Position.</w:t>
      </w:r>
    </w:p>
    <w:p w14:paraId="3EF9E34C" w14:textId="77777777" w:rsidR="00644687" w:rsidRPr="00070C96" w:rsidRDefault="00644687" w:rsidP="00644687">
      <w:pPr>
        <w:ind w:left="1440" w:hanging="1440"/>
        <w:jc w:val="both"/>
        <w:rPr>
          <w:bCs/>
        </w:rPr>
      </w:pPr>
    </w:p>
    <w:p w14:paraId="1391A65D" w14:textId="77777777" w:rsidR="00644687" w:rsidRPr="00070C96" w:rsidRDefault="00644687" w:rsidP="00644687">
      <w:pPr>
        <w:ind w:left="1440" w:hanging="1440"/>
        <w:jc w:val="both"/>
        <w:rPr>
          <w:bCs/>
        </w:rPr>
      </w:pPr>
      <w:r>
        <w:rPr>
          <w:b/>
          <w:bCs/>
        </w:rPr>
        <w:t>FEA:</w:t>
      </w:r>
      <w:r>
        <w:rPr>
          <w:b/>
          <w:bCs/>
        </w:rPr>
        <w:tab/>
      </w:r>
      <w:r w:rsidR="009D1863">
        <w:t>No position.</w:t>
      </w:r>
    </w:p>
    <w:p w14:paraId="55A809C3" w14:textId="77777777" w:rsidR="00644687" w:rsidRPr="00070C96" w:rsidRDefault="00644687" w:rsidP="00644687">
      <w:pPr>
        <w:ind w:left="1440" w:hanging="1440"/>
        <w:jc w:val="both"/>
        <w:rPr>
          <w:bCs/>
        </w:rPr>
      </w:pPr>
    </w:p>
    <w:p w14:paraId="2A8B5EB9" w14:textId="77777777" w:rsidR="00644687" w:rsidRPr="00070C96" w:rsidRDefault="00644687" w:rsidP="00644687">
      <w:pPr>
        <w:ind w:left="1440" w:hanging="1440"/>
        <w:jc w:val="both"/>
        <w:rPr>
          <w:bCs/>
        </w:rPr>
      </w:pPr>
      <w:r>
        <w:rPr>
          <w:b/>
          <w:bCs/>
        </w:rPr>
        <w:t>FIPUG:</w:t>
      </w:r>
      <w:r>
        <w:rPr>
          <w:b/>
          <w:bCs/>
        </w:rPr>
        <w:tab/>
      </w:r>
      <w:r w:rsidR="007D3C6D">
        <w:rPr>
          <w:bCs/>
          <w:color w:val="000000"/>
        </w:rPr>
        <w:t>No</w:t>
      </w:r>
      <w:r w:rsidR="00037057" w:rsidRPr="003D62FB">
        <w:rPr>
          <w:bCs/>
          <w:color w:val="000000"/>
        </w:rPr>
        <w:t>.</w:t>
      </w:r>
    </w:p>
    <w:p w14:paraId="3FBDB3BA" w14:textId="77777777" w:rsidR="00644687" w:rsidRPr="00070C96" w:rsidRDefault="00644687" w:rsidP="00644687">
      <w:pPr>
        <w:ind w:left="1440" w:hanging="1440"/>
        <w:jc w:val="both"/>
        <w:rPr>
          <w:bCs/>
        </w:rPr>
      </w:pPr>
    </w:p>
    <w:p w14:paraId="6BA4BC36" w14:textId="34A0DC7E"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A37A07F" w14:textId="0B59F945" w:rsidR="00DD5843" w:rsidRDefault="00DD5843" w:rsidP="00644687">
      <w:pPr>
        <w:pStyle w:val="Default"/>
        <w:ind w:left="1440" w:hanging="1440"/>
        <w:jc w:val="both"/>
      </w:pPr>
    </w:p>
    <w:p w14:paraId="15BC8D8F" w14:textId="77777777" w:rsidR="00DD5843" w:rsidRPr="00070C96" w:rsidRDefault="00DD5843" w:rsidP="00644687">
      <w:pPr>
        <w:pStyle w:val="Default"/>
        <w:ind w:left="1440" w:hanging="1440"/>
        <w:jc w:val="both"/>
      </w:pPr>
    </w:p>
    <w:p w14:paraId="70963A09" w14:textId="77777777" w:rsidR="00D328A5" w:rsidRPr="000C4D06" w:rsidRDefault="00D328A5" w:rsidP="00D73B1E">
      <w:pPr>
        <w:pStyle w:val="Default"/>
        <w:numPr>
          <w:ilvl w:val="0"/>
          <w:numId w:val="2"/>
        </w:numPr>
        <w:ind w:left="1440" w:hanging="1440"/>
        <w:jc w:val="both"/>
        <w:rPr>
          <w:b/>
        </w:rPr>
      </w:pPr>
      <w:r w:rsidRPr="000C4D06">
        <w:rPr>
          <w:b/>
        </w:rPr>
        <w:t>What is the appropriate effective date for FCG’s revised rates and charges?</w:t>
      </w:r>
    </w:p>
    <w:p w14:paraId="4E3D5AB0"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22CCEFAD"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color w:val="000000"/>
        </w:rPr>
        <w:t>The appropriate effective date for FCG’s revised rates and charges is February 1, 2023.</w:t>
      </w:r>
      <w:r w:rsidR="00BC74BE">
        <w:rPr>
          <w:rFonts w:eastAsia="Calibri"/>
          <w:color w:val="000000"/>
        </w:rPr>
        <w:t xml:space="preserve">  </w:t>
      </w:r>
      <w:r w:rsidR="00BC74BE" w:rsidRPr="00471540">
        <w:rPr>
          <w:rFonts w:eastAsia="Calibri"/>
          <w:bCs/>
          <w:color w:val="000000"/>
        </w:rPr>
        <w:t>(DuBose)</w:t>
      </w:r>
    </w:p>
    <w:p w14:paraId="2B137C3E" w14:textId="77777777" w:rsidR="00644687" w:rsidRPr="00070C96" w:rsidRDefault="00644687" w:rsidP="00644687">
      <w:pPr>
        <w:ind w:left="1440" w:hanging="1440"/>
        <w:jc w:val="both"/>
        <w:rPr>
          <w:bCs/>
        </w:rPr>
      </w:pPr>
    </w:p>
    <w:p w14:paraId="25921970" w14:textId="77777777" w:rsidR="00644687" w:rsidRPr="00070C96" w:rsidRDefault="00644687" w:rsidP="00644687">
      <w:pPr>
        <w:ind w:left="1440" w:hanging="1440"/>
        <w:jc w:val="both"/>
        <w:rPr>
          <w:bCs/>
        </w:rPr>
      </w:pPr>
      <w:r>
        <w:rPr>
          <w:b/>
          <w:bCs/>
        </w:rPr>
        <w:t>OPC:</w:t>
      </w:r>
      <w:r>
        <w:rPr>
          <w:b/>
          <w:bCs/>
        </w:rPr>
        <w:tab/>
      </w:r>
      <w:r w:rsidR="000C4D06">
        <w:t>The effective date of FPUC’s revised rates and charges should allow for time for implementation promptly after the Commission’s final order in this matter.</w:t>
      </w:r>
    </w:p>
    <w:p w14:paraId="70E69907" w14:textId="77777777" w:rsidR="00644687" w:rsidRPr="00070C96" w:rsidRDefault="00644687" w:rsidP="00644687">
      <w:pPr>
        <w:ind w:left="1440" w:hanging="1440"/>
        <w:jc w:val="both"/>
        <w:rPr>
          <w:bCs/>
        </w:rPr>
      </w:pPr>
    </w:p>
    <w:p w14:paraId="59899C59" w14:textId="77777777" w:rsidR="00644687" w:rsidRPr="00070C96" w:rsidRDefault="00644687" w:rsidP="00644687">
      <w:pPr>
        <w:ind w:left="1440" w:hanging="1440"/>
        <w:jc w:val="both"/>
        <w:rPr>
          <w:bCs/>
        </w:rPr>
      </w:pPr>
      <w:r>
        <w:rPr>
          <w:b/>
          <w:bCs/>
        </w:rPr>
        <w:t>FEA:</w:t>
      </w:r>
      <w:r>
        <w:rPr>
          <w:b/>
          <w:bCs/>
        </w:rPr>
        <w:tab/>
      </w:r>
      <w:r w:rsidR="009D1863">
        <w:t>No position.</w:t>
      </w:r>
    </w:p>
    <w:p w14:paraId="0F3FF773" w14:textId="77777777" w:rsidR="00644687" w:rsidRPr="00070C96" w:rsidRDefault="00644687" w:rsidP="00644687">
      <w:pPr>
        <w:ind w:left="1440" w:hanging="1440"/>
        <w:jc w:val="both"/>
        <w:rPr>
          <w:bCs/>
        </w:rPr>
      </w:pPr>
    </w:p>
    <w:p w14:paraId="2404A695"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177779F" w14:textId="77777777" w:rsidR="00644687" w:rsidRPr="00070C96" w:rsidRDefault="00644687" w:rsidP="00644687">
      <w:pPr>
        <w:ind w:left="1440" w:hanging="1440"/>
        <w:jc w:val="both"/>
        <w:rPr>
          <w:bCs/>
        </w:rPr>
      </w:pPr>
    </w:p>
    <w:p w14:paraId="3F34F244"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D3EFCEF" w14:textId="77777777" w:rsidR="00644687" w:rsidRDefault="00644687" w:rsidP="00644687">
      <w:pPr>
        <w:pStyle w:val="Default"/>
        <w:ind w:left="1440" w:hanging="1440"/>
        <w:jc w:val="both"/>
      </w:pPr>
    </w:p>
    <w:p w14:paraId="247A3BAF" w14:textId="77777777" w:rsidR="00D328A5" w:rsidRPr="00D328A5" w:rsidRDefault="00D328A5" w:rsidP="00D73B1E">
      <w:pPr>
        <w:pStyle w:val="ListParagraph"/>
        <w:spacing w:after="0"/>
        <w:ind w:left="0"/>
        <w:jc w:val="both"/>
        <w:rPr>
          <w:rFonts w:ascii="Times New Roman" w:hAnsi="Times New Roman" w:cs="Times New Roman"/>
          <w:color w:val="000000"/>
          <w:sz w:val="24"/>
          <w:szCs w:val="24"/>
        </w:rPr>
      </w:pPr>
    </w:p>
    <w:p w14:paraId="005080EB" w14:textId="77777777" w:rsidR="00D328A5" w:rsidRPr="000C4D06" w:rsidRDefault="00D328A5" w:rsidP="00D73B1E">
      <w:pPr>
        <w:pStyle w:val="Default"/>
        <w:numPr>
          <w:ilvl w:val="0"/>
          <w:numId w:val="2"/>
        </w:numPr>
        <w:ind w:left="1440" w:hanging="1440"/>
        <w:jc w:val="both"/>
        <w:rPr>
          <w:b/>
        </w:rPr>
      </w:pPr>
      <w:r w:rsidRPr="000C4D06">
        <w:rPr>
          <w:b/>
        </w:rPr>
        <w:t>Should the Commission give staff administrative authority to approve tariffs reflecting Commission approved rates and charges?</w:t>
      </w:r>
    </w:p>
    <w:p w14:paraId="2B6E70C5" w14:textId="77777777" w:rsidR="00D328A5" w:rsidRPr="00D328A5" w:rsidRDefault="00D328A5" w:rsidP="00D73B1E">
      <w:pPr>
        <w:pStyle w:val="Default"/>
        <w:jc w:val="both"/>
        <w:rPr>
          <w:bCs/>
        </w:rPr>
      </w:pPr>
    </w:p>
    <w:p w14:paraId="46E8EE4A"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color w:val="000000"/>
        </w:rPr>
        <w:t xml:space="preserve">Yes.  The Commission should approve tariffs reflecting the Commission’s approved rates and charges effective February 1, 2023. </w:t>
      </w:r>
      <w:r w:rsidR="00BC74BE">
        <w:rPr>
          <w:rFonts w:eastAsia="Calibri"/>
          <w:color w:val="000000"/>
        </w:rPr>
        <w:t xml:space="preserve"> </w:t>
      </w:r>
      <w:r w:rsidR="00BC74BE" w:rsidRPr="00471540">
        <w:rPr>
          <w:rFonts w:eastAsia="Calibri"/>
          <w:color w:val="000000"/>
        </w:rPr>
        <w:t>The Commission should direct staff to verify that the revised tariffs are consistent with the Commission’s decision.</w:t>
      </w:r>
      <w:r w:rsidR="00BC74BE">
        <w:rPr>
          <w:rFonts w:eastAsia="Calibri"/>
          <w:color w:val="000000"/>
        </w:rPr>
        <w:t xml:space="preserve">  </w:t>
      </w:r>
      <w:r w:rsidR="00BC74BE" w:rsidRPr="00471540">
        <w:rPr>
          <w:rFonts w:eastAsia="Calibri"/>
          <w:bCs/>
          <w:color w:val="000000"/>
        </w:rPr>
        <w:t>(DuBose)</w:t>
      </w:r>
    </w:p>
    <w:p w14:paraId="710A6200" w14:textId="77777777" w:rsidR="00644687" w:rsidRPr="00070C96" w:rsidRDefault="00644687" w:rsidP="00644687">
      <w:pPr>
        <w:ind w:left="1440" w:hanging="1440"/>
        <w:jc w:val="both"/>
        <w:rPr>
          <w:bCs/>
        </w:rPr>
      </w:pPr>
    </w:p>
    <w:p w14:paraId="365E8107" w14:textId="77777777" w:rsidR="00644687" w:rsidRPr="00070C96" w:rsidRDefault="00644687" w:rsidP="00644687">
      <w:pPr>
        <w:ind w:left="1440" w:hanging="1440"/>
        <w:jc w:val="both"/>
        <w:rPr>
          <w:bCs/>
        </w:rPr>
      </w:pPr>
      <w:r>
        <w:rPr>
          <w:b/>
          <w:bCs/>
        </w:rPr>
        <w:t>OPC:</w:t>
      </w:r>
      <w:r>
        <w:rPr>
          <w:b/>
          <w:bCs/>
        </w:rPr>
        <w:tab/>
      </w:r>
      <w:r w:rsidR="000C4D06" w:rsidRPr="00866F8C">
        <w:rPr>
          <w:bCs/>
        </w:rPr>
        <w:t>No Position.</w:t>
      </w:r>
    </w:p>
    <w:p w14:paraId="6288BA17" w14:textId="77777777" w:rsidR="00644687" w:rsidRPr="00070C96" w:rsidRDefault="00644687" w:rsidP="00644687">
      <w:pPr>
        <w:ind w:left="1440" w:hanging="1440"/>
        <w:jc w:val="both"/>
        <w:rPr>
          <w:bCs/>
        </w:rPr>
      </w:pPr>
    </w:p>
    <w:p w14:paraId="3257E850" w14:textId="77777777" w:rsidR="00644687" w:rsidRPr="00070C96" w:rsidRDefault="00644687" w:rsidP="00644687">
      <w:pPr>
        <w:ind w:left="1440" w:hanging="1440"/>
        <w:jc w:val="both"/>
        <w:rPr>
          <w:bCs/>
        </w:rPr>
      </w:pPr>
      <w:r>
        <w:rPr>
          <w:b/>
          <w:bCs/>
        </w:rPr>
        <w:t>FEA:</w:t>
      </w:r>
      <w:r>
        <w:rPr>
          <w:b/>
          <w:bCs/>
        </w:rPr>
        <w:tab/>
      </w:r>
      <w:r w:rsidR="009D1863">
        <w:t>No position.</w:t>
      </w:r>
    </w:p>
    <w:p w14:paraId="71780460" w14:textId="77777777" w:rsidR="00644687" w:rsidRPr="00070C96" w:rsidRDefault="00644687" w:rsidP="00644687">
      <w:pPr>
        <w:ind w:left="1440" w:hanging="1440"/>
        <w:jc w:val="both"/>
        <w:rPr>
          <w:bCs/>
        </w:rPr>
      </w:pPr>
    </w:p>
    <w:p w14:paraId="244CC360"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2FEFEDF4" w14:textId="77777777" w:rsidR="00644687" w:rsidRPr="00070C96" w:rsidRDefault="00644687" w:rsidP="00644687">
      <w:pPr>
        <w:ind w:left="1440" w:hanging="1440"/>
        <w:jc w:val="both"/>
        <w:rPr>
          <w:bCs/>
        </w:rPr>
      </w:pPr>
    </w:p>
    <w:p w14:paraId="22886656"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65CAA9A9" w14:textId="57BD02E4" w:rsidR="00644687" w:rsidRDefault="00644687" w:rsidP="00644687">
      <w:pPr>
        <w:pStyle w:val="Default"/>
        <w:ind w:left="1440" w:hanging="1440"/>
        <w:jc w:val="both"/>
      </w:pPr>
    </w:p>
    <w:p w14:paraId="0924DB85" w14:textId="77777777" w:rsidR="00A63ABC" w:rsidRDefault="00A63ABC" w:rsidP="00644687">
      <w:pPr>
        <w:pStyle w:val="Default"/>
        <w:ind w:left="1440" w:hanging="1440"/>
        <w:jc w:val="both"/>
      </w:pPr>
    </w:p>
    <w:p w14:paraId="48FB0620" w14:textId="77777777" w:rsidR="00D328A5" w:rsidRPr="00877329" w:rsidRDefault="00D328A5" w:rsidP="00D328A5">
      <w:pPr>
        <w:pStyle w:val="Default"/>
        <w:jc w:val="center"/>
        <w:rPr>
          <w:b/>
          <w:bCs/>
          <w:u w:val="single"/>
        </w:rPr>
      </w:pPr>
      <w:r w:rsidRPr="00877329">
        <w:rPr>
          <w:b/>
          <w:bCs/>
          <w:u w:val="single"/>
        </w:rPr>
        <w:t>OTHER ISSUES</w:t>
      </w:r>
    </w:p>
    <w:p w14:paraId="6126E093" w14:textId="77777777" w:rsidR="00D328A5" w:rsidRPr="008C76AE" w:rsidRDefault="00D328A5" w:rsidP="00D328A5">
      <w:pPr>
        <w:pStyle w:val="Default"/>
        <w:jc w:val="center"/>
      </w:pPr>
    </w:p>
    <w:p w14:paraId="2B825746" w14:textId="77777777" w:rsidR="00D328A5" w:rsidRPr="000C4D06" w:rsidRDefault="00D328A5" w:rsidP="00D73B1E">
      <w:pPr>
        <w:pStyle w:val="Default"/>
        <w:numPr>
          <w:ilvl w:val="0"/>
          <w:numId w:val="2"/>
        </w:numPr>
        <w:ind w:left="1440" w:hanging="1440"/>
        <w:jc w:val="both"/>
        <w:rPr>
          <w:b/>
        </w:rPr>
      </w:pPr>
      <w:r w:rsidRPr="000C4D06">
        <w:rPr>
          <w:b/>
        </w:rPr>
        <w:t>Should the Commission approve FCG’s requested Reserve Surplus Amortization Mechanism (RSAM)?</w:t>
      </w:r>
    </w:p>
    <w:p w14:paraId="425AD32C" w14:textId="77777777" w:rsidR="00D328A5" w:rsidRDefault="00D328A5" w:rsidP="00D73B1E">
      <w:pPr>
        <w:pStyle w:val="Default"/>
        <w:jc w:val="both"/>
      </w:pPr>
    </w:p>
    <w:p w14:paraId="31642869" w14:textId="77777777" w:rsidR="00644687" w:rsidRPr="00070C96" w:rsidRDefault="00644687" w:rsidP="00644687">
      <w:pPr>
        <w:ind w:left="1440" w:hanging="1440"/>
        <w:jc w:val="both"/>
        <w:rPr>
          <w:bCs/>
        </w:rPr>
      </w:pPr>
      <w:r>
        <w:rPr>
          <w:b/>
          <w:bCs/>
        </w:rPr>
        <w:t>FCG:</w:t>
      </w:r>
      <w:r>
        <w:rPr>
          <w:b/>
          <w:bCs/>
        </w:rPr>
        <w:tab/>
      </w:r>
      <w:r w:rsidR="00BC74BE" w:rsidRPr="00471540">
        <w:rPr>
          <w:rFonts w:eastAsia="Calibri"/>
          <w:color w:val="000000"/>
        </w:rPr>
        <w:t xml:space="preserve">Yes.  The RSAM </w:t>
      </w:r>
      <w:r w:rsidR="00BC74BE">
        <w:rPr>
          <w:rFonts w:eastAsia="Calibri"/>
          <w:color w:val="000000"/>
        </w:rPr>
        <w:t>is a critical and essential component of FCG’s proposed four-year rate plan</w:t>
      </w:r>
      <w:r w:rsidR="00BC74BE" w:rsidRPr="00471540">
        <w:rPr>
          <w:rFonts w:eastAsia="Calibri"/>
          <w:color w:val="000000"/>
        </w:rPr>
        <w:t xml:space="preserve"> and should be approved as set forth in Exhibit </w:t>
      </w:r>
      <w:r w:rsidR="00BC74BE">
        <w:rPr>
          <w:rFonts w:eastAsia="Calibri"/>
          <w:color w:val="000000"/>
        </w:rPr>
        <w:t>MC</w:t>
      </w:r>
      <w:r w:rsidR="00BC74BE" w:rsidRPr="00471540">
        <w:rPr>
          <w:rFonts w:eastAsia="Calibri"/>
          <w:color w:val="000000"/>
        </w:rPr>
        <w:t>-</w:t>
      </w:r>
      <w:r w:rsidR="00BC74BE">
        <w:rPr>
          <w:rFonts w:eastAsia="Calibri"/>
          <w:color w:val="000000"/>
        </w:rPr>
        <w:t>6</w:t>
      </w:r>
      <w:r w:rsidR="00BC74BE" w:rsidRPr="00471540">
        <w:rPr>
          <w:rFonts w:eastAsia="Calibri"/>
          <w:color w:val="000000"/>
        </w:rPr>
        <w:t xml:space="preserve">. </w:t>
      </w:r>
      <w:r w:rsidR="00BC74BE">
        <w:rPr>
          <w:rFonts w:eastAsia="Calibri"/>
          <w:color w:val="000000"/>
        </w:rPr>
        <w:t xml:space="preserve"> </w:t>
      </w:r>
      <w:r w:rsidR="00BC74BE" w:rsidRPr="000D315F">
        <w:rPr>
          <w:rFonts w:eastAsia="Calibri"/>
          <w:color w:val="000000"/>
        </w:rPr>
        <w:t>The Company is proposing a Reserve Amount of $25 million to be available</w:t>
      </w:r>
      <w:r w:rsidR="00BC74BE">
        <w:rPr>
          <w:rFonts w:eastAsia="Calibri"/>
          <w:color w:val="000000"/>
        </w:rPr>
        <w:t xml:space="preserve"> </w:t>
      </w:r>
      <w:r w:rsidR="00BC74BE" w:rsidRPr="000D315F">
        <w:rPr>
          <w:rFonts w:eastAsia="Calibri"/>
          <w:color w:val="000000"/>
        </w:rPr>
        <w:t>for use in the RSAM for the 2023-2026 period, which will</w:t>
      </w:r>
      <w:r w:rsidR="00BC74BE">
        <w:rPr>
          <w:rFonts w:eastAsia="Calibri"/>
          <w:color w:val="000000"/>
        </w:rPr>
        <w:t xml:space="preserve"> </w:t>
      </w:r>
      <w:r w:rsidR="00BC74BE" w:rsidRPr="000D315F">
        <w:rPr>
          <w:rFonts w:eastAsia="Calibri"/>
          <w:color w:val="000000"/>
        </w:rPr>
        <w:t>enable FCG to avoid another base rate increase until at least the end of 2026</w:t>
      </w:r>
      <w:r w:rsidR="00BC74BE">
        <w:rPr>
          <w:rFonts w:eastAsia="Calibri"/>
          <w:color w:val="000000"/>
        </w:rPr>
        <w:t xml:space="preserve"> </w:t>
      </w:r>
      <w:r w:rsidR="00BC74BE" w:rsidRPr="000D315F">
        <w:rPr>
          <w:rFonts w:eastAsia="Calibri"/>
          <w:color w:val="000000"/>
        </w:rPr>
        <w:t>while continuing to earn a reasonable rate of return.</w:t>
      </w:r>
      <w:r w:rsidR="00BC74BE">
        <w:rPr>
          <w:rFonts w:eastAsia="Calibri"/>
          <w:color w:val="000000"/>
        </w:rPr>
        <w:t xml:space="preserve">  </w:t>
      </w:r>
      <w:r w:rsidR="00BC74BE">
        <w:t>FCG’s proposed RSAM follows the same framework that has previously been approved by the Commission.  FCG will use the RSAM to respond to changes in its underlying revenues and expenses in order to maintain an FPSC Adjusted ROE within the Company’s authorized range.  FCG projects that it will be necessary to use the entirety of the Reserve Amount to earn at FCG’s midpoint ROE for 2024, 2025, and 2026 as illustrated in Exhibit MC-7.  The record evidence in this case will demonstrate that if FCG’s proposed four-year rate plan with the RSAM is not approved, FCG would need to file an additional base rate case in 2024 and the overall, net cumulative increase in cash that would be paid by customers over the period 2023-2026 would be approximately $27.0 million more than as compared to FCG’s proposed four-year rate plan</w:t>
      </w:r>
      <w:r w:rsidR="00BC74BE">
        <w:rPr>
          <w:rFonts w:eastAsia="Calibri"/>
        </w:rPr>
        <w:t>.</w:t>
      </w:r>
      <w:r w:rsidR="00BC74BE" w:rsidRPr="00830DB8">
        <w:rPr>
          <w:rFonts w:eastAsia="Calibri"/>
          <w:color w:val="000000"/>
        </w:rPr>
        <w:t xml:space="preserve"> </w:t>
      </w:r>
      <w:r w:rsidR="00BC74BE">
        <w:rPr>
          <w:rFonts w:eastAsia="Calibri"/>
          <w:color w:val="000000"/>
        </w:rPr>
        <w:t xml:space="preserve"> </w:t>
      </w:r>
      <w:r w:rsidR="00BC74BE" w:rsidRPr="00471540">
        <w:rPr>
          <w:rFonts w:eastAsia="Calibri"/>
          <w:color w:val="000000"/>
        </w:rPr>
        <w:t>(Campbell, Fuentes)</w:t>
      </w:r>
    </w:p>
    <w:p w14:paraId="6A6F0D6C" w14:textId="77777777" w:rsidR="00644687" w:rsidRPr="00070C96" w:rsidRDefault="00644687" w:rsidP="00644687">
      <w:pPr>
        <w:ind w:left="1440" w:hanging="1440"/>
        <w:jc w:val="both"/>
        <w:rPr>
          <w:bCs/>
        </w:rPr>
      </w:pPr>
    </w:p>
    <w:p w14:paraId="4162DACD" w14:textId="77777777" w:rsidR="00644687" w:rsidRPr="00070C96" w:rsidRDefault="00644687" w:rsidP="00644687">
      <w:pPr>
        <w:ind w:left="1440" w:hanging="1440"/>
        <w:jc w:val="both"/>
        <w:rPr>
          <w:bCs/>
        </w:rPr>
      </w:pPr>
      <w:r>
        <w:rPr>
          <w:b/>
          <w:bCs/>
        </w:rPr>
        <w:t>OPC:</w:t>
      </w:r>
      <w:r>
        <w:rPr>
          <w:b/>
          <w:bCs/>
        </w:rPr>
        <w:tab/>
      </w:r>
      <w:r w:rsidR="000C4D06">
        <w:t xml:space="preserve">FCG’s requested rate increase is built around the RSAM. Absent the agreement of the parties, the Commission lacks the authority to approve the request as filed. The Commission cannot and should not approve the RSAM. OPC Witness Schultz extensively demonstrates in his testimony why the Commission should deny this request. In addition, the Commission may not </w:t>
      </w:r>
      <w:r w:rsidR="000C4D06" w:rsidRPr="00121692">
        <w:t>establish depreciation rates in a general rate case for the express purpose of creating a depreciation imbalance (surplus)</w:t>
      </w:r>
      <w:r w:rsidR="000C4D06">
        <w:t xml:space="preserve"> </w:t>
      </w:r>
      <w:r w:rsidR="000C4D06" w:rsidRPr="00121692">
        <w:t>based on parameters which are not factually based on a depreciation study</w:t>
      </w:r>
      <w:r w:rsidR="000C4D06">
        <w:t>. Such a practice would be a departure from generally accepted accounting principles. It would also eliminate any incentive for FCG to generate efficiencies, and it would be grossly unfair to FCG’s current and future customers. (Schultz; legal issue)</w:t>
      </w:r>
    </w:p>
    <w:p w14:paraId="0870B9E6" w14:textId="77777777" w:rsidR="00644687" w:rsidRPr="00070C96" w:rsidRDefault="00644687" w:rsidP="00644687">
      <w:pPr>
        <w:ind w:left="1440" w:hanging="1440"/>
        <w:jc w:val="both"/>
        <w:rPr>
          <w:bCs/>
        </w:rPr>
      </w:pPr>
    </w:p>
    <w:p w14:paraId="679874B5" w14:textId="77777777" w:rsidR="00644687" w:rsidRPr="00070C96" w:rsidRDefault="00644687" w:rsidP="00644687">
      <w:pPr>
        <w:ind w:left="1440" w:hanging="1440"/>
        <w:jc w:val="both"/>
        <w:rPr>
          <w:bCs/>
        </w:rPr>
      </w:pPr>
      <w:r>
        <w:rPr>
          <w:b/>
          <w:bCs/>
        </w:rPr>
        <w:t>FEA:</w:t>
      </w:r>
      <w:r>
        <w:rPr>
          <w:b/>
          <w:bCs/>
        </w:rPr>
        <w:tab/>
      </w:r>
      <w:r w:rsidR="006C5C10" w:rsidRPr="00102C52">
        <w:t>Brian Collins will testify that FCG’s proposed RSAM should be denied</w:t>
      </w:r>
      <w:r w:rsidR="006C5C10">
        <w:t xml:space="preserve"> </w:t>
      </w:r>
      <w:r w:rsidR="006C5C10" w:rsidRPr="00102C52">
        <w:t>because it does not incent FCG to manage its costs efficiently to the benefit of</w:t>
      </w:r>
      <w:r w:rsidR="006C5C10">
        <w:t xml:space="preserve"> </w:t>
      </w:r>
      <w:r w:rsidR="006C5C10" w:rsidRPr="00102C52">
        <w:t>its customers if it is automatically guaranteed its approved rate of return.</w:t>
      </w:r>
      <w:r w:rsidR="006C5C10">
        <w:t xml:space="preserve">  </w:t>
      </w:r>
      <w:r w:rsidR="006C5C10" w:rsidRPr="00102C52">
        <w:t>Furthermore, the proposed RSAM shifts revenue recovery risk to FCG’s</w:t>
      </w:r>
      <w:r w:rsidR="006C5C10">
        <w:t xml:space="preserve"> </w:t>
      </w:r>
      <w:r w:rsidR="006C5C10" w:rsidRPr="00102C52">
        <w:t>customers.</w:t>
      </w:r>
    </w:p>
    <w:p w14:paraId="5EC240E2" w14:textId="77777777" w:rsidR="00644687" w:rsidRPr="00070C96" w:rsidRDefault="00644687" w:rsidP="00644687">
      <w:pPr>
        <w:ind w:left="1440" w:hanging="1440"/>
        <w:jc w:val="both"/>
        <w:rPr>
          <w:bCs/>
        </w:rPr>
      </w:pPr>
    </w:p>
    <w:p w14:paraId="5D4004FA"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7C0BD3B7" w14:textId="77777777" w:rsidR="00644687" w:rsidRPr="00070C96" w:rsidRDefault="00644687" w:rsidP="00644687">
      <w:pPr>
        <w:ind w:left="1440" w:hanging="1440"/>
        <w:jc w:val="both"/>
        <w:rPr>
          <w:bCs/>
        </w:rPr>
      </w:pPr>
    </w:p>
    <w:p w14:paraId="6CC61F12"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07A2DEAB" w14:textId="77777777" w:rsidR="00644687" w:rsidRDefault="00644687" w:rsidP="00644687">
      <w:pPr>
        <w:pStyle w:val="Default"/>
        <w:ind w:left="1440" w:hanging="1440"/>
        <w:jc w:val="both"/>
      </w:pPr>
    </w:p>
    <w:p w14:paraId="0E44F39B" w14:textId="77777777" w:rsidR="00D328A5" w:rsidRDefault="00D328A5" w:rsidP="00D73B1E">
      <w:pPr>
        <w:pStyle w:val="Default"/>
        <w:jc w:val="both"/>
      </w:pPr>
    </w:p>
    <w:p w14:paraId="06423E9B" w14:textId="77777777" w:rsidR="00D328A5" w:rsidRPr="000C4D06" w:rsidRDefault="00D328A5" w:rsidP="00D73B1E">
      <w:pPr>
        <w:pStyle w:val="Default"/>
        <w:numPr>
          <w:ilvl w:val="0"/>
          <w:numId w:val="2"/>
        </w:numPr>
        <w:ind w:left="1440" w:hanging="1440"/>
        <w:jc w:val="both"/>
        <w:rPr>
          <w:b/>
        </w:rPr>
      </w:pPr>
      <w:r w:rsidRPr="000C4D06">
        <w:rPr>
          <w:b/>
        </w:rPr>
        <w:t>Should the Commission approve FCG’s proposal for addressing a change in tax law, if any, that occurs during or after the pendency of this proceeding?</w:t>
      </w:r>
    </w:p>
    <w:p w14:paraId="366863C0"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5DC7935E" w14:textId="77777777" w:rsidR="00644687" w:rsidRPr="00070C96" w:rsidRDefault="00644687" w:rsidP="00644687">
      <w:pPr>
        <w:ind w:left="1440" w:hanging="1440"/>
        <w:jc w:val="both"/>
        <w:rPr>
          <w:bCs/>
        </w:rPr>
      </w:pPr>
      <w:r>
        <w:rPr>
          <w:b/>
          <w:bCs/>
        </w:rPr>
        <w:t>FCG:</w:t>
      </w:r>
      <w:r>
        <w:rPr>
          <w:b/>
          <w:bCs/>
        </w:rPr>
        <w:tab/>
      </w:r>
      <w:r w:rsidR="006423DF" w:rsidRPr="00471540">
        <w:rPr>
          <w:rFonts w:eastAsia="Calibri"/>
          <w:color w:val="000000"/>
        </w:rPr>
        <w:t>Yes.  FCG</w:t>
      </w:r>
      <w:r w:rsidR="006423DF">
        <w:rPr>
          <w:rFonts w:eastAsia="Calibri"/>
          <w:color w:val="000000"/>
        </w:rPr>
        <w:t xml:space="preserve">’s </w:t>
      </w:r>
      <w:r w:rsidR="006423DF" w:rsidRPr="00471540">
        <w:rPr>
          <w:rFonts w:eastAsia="Calibri"/>
          <w:color w:val="000000"/>
        </w:rPr>
        <w:t>propose</w:t>
      </w:r>
      <w:r w:rsidR="006423DF">
        <w:rPr>
          <w:rFonts w:eastAsia="Calibri"/>
          <w:color w:val="000000"/>
        </w:rPr>
        <w:t>d</w:t>
      </w:r>
      <w:r w:rsidR="006423DF" w:rsidRPr="00471540">
        <w:rPr>
          <w:rFonts w:eastAsia="Calibri"/>
          <w:color w:val="000000"/>
        </w:rPr>
        <w:t xml:space="preserve"> mechanism will allow FCG to adjust base rates in the event tax laws change during or after the conclusion of this proceeding. </w:t>
      </w:r>
      <w:r w:rsidR="006423DF">
        <w:rPr>
          <w:rFonts w:eastAsia="Calibri"/>
          <w:color w:val="000000"/>
        </w:rPr>
        <w:t xml:space="preserve"> </w:t>
      </w:r>
      <w:r w:rsidR="006423DF" w:rsidRPr="00471540">
        <w:rPr>
          <w:rFonts w:eastAsia="Calibri"/>
          <w:color w:val="000000"/>
        </w:rPr>
        <w:t>Following enactment</w:t>
      </w:r>
      <w:r w:rsidR="006423DF">
        <w:rPr>
          <w:rFonts w:eastAsia="Calibri"/>
          <w:color w:val="000000"/>
        </w:rPr>
        <w:t xml:space="preserve"> of a change in tax law</w:t>
      </w:r>
      <w:r w:rsidR="006423DF" w:rsidRPr="00471540">
        <w:rPr>
          <w:rFonts w:eastAsia="Calibri"/>
          <w:color w:val="000000"/>
        </w:rPr>
        <w:t xml:space="preserve">, FCG would calculate the impact of the change by comparing revenue requirements with and without the change, and submit the calculation of the rate adjustment needed to ensure FCG is not subject to tax expenses that are not reflected in the MFRs submitted with its base rate request. </w:t>
      </w:r>
      <w:r w:rsidR="006423DF">
        <w:rPr>
          <w:rFonts w:eastAsia="Calibri"/>
          <w:color w:val="000000"/>
        </w:rPr>
        <w:t xml:space="preserve"> </w:t>
      </w:r>
      <w:r w:rsidR="006423DF" w:rsidRPr="00471540">
        <w:rPr>
          <w:rFonts w:eastAsia="Calibri"/>
          <w:color w:val="000000"/>
        </w:rPr>
        <w:t>(Campbell)</w:t>
      </w:r>
    </w:p>
    <w:p w14:paraId="4C6D5616" w14:textId="77777777" w:rsidR="00644687" w:rsidRPr="00070C96" w:rsidRDefault="00644687" w:rsidP="00644687">
      <w:pPr>
        <w:ind w:left="1440" w:hanging="1440"/>
        <w:jc w:val="both"/>
        <w:rPr>
          <w:bCs/>
        </w:rPr>
      </w:pPr>
    </w:p>
    <w:p w14:paraId="198C7B23" w14:textId="77777777" w:rsidR="00644687" w:rsidRPr="00070C96" w:rsidRDefault="00644687" w:rsidP="00644687">
      <w:pPr>
        <w:ind w:left="1440" w:hanging="1440"/>
        <w:jc w:val="both"/>
        <w:rPr>
          <w:bCs/>
        </w:rPr>
      </w:pPr>
      <w:r>
        <w:rPr>
          <w:b/>
          <w:bCs/>
        </w:rPr>
        <w:t>OPC:</w:t>
      </w:r>
      <w:r>
        <w:rPr>
          <w:b/>
          <w:bCs/>
        </w:rPr>
        <w:tab/>
      </w:r>
      <w:r w:rsidR="000C4D06" w:rsidRPr="00866F8C">
        <w:t xml:space="preserve">No. </w:t>
      </w:r>
      <w:r w:rsidR="000C4D06">
        <w:t>T</w:t>
      </w:r>
      <w:r w:rsidR="000C4D06" w:rsidRPr="00866F8C">
        <w:t>his issue should be stricken from the case based on Commission precedent.</w:t>
      </w:r>
    </w:p>
    <w:p w14:paraId="3D5CABD5" w14:textId="77777777" w:rsidR="00644687" w:rsidRPr="00070C96" w:rsidRDefault="00644687" w:rsidP="00644687">
      <w:pPr>
        <w:ind w:left="1440" w:hanging="1440"/>
        <w:jc w:val="both"/>
        <w:rPr>
          <w:bCs/>
        </w:rPr>
      </w:pPr>
    </w:p>
    <w:p w14:paraId="2738D41C" w14:textId="77777777" w:rsidR="009D1863" w:rsidRDefault="00644687" w:rsidP="00644687">
      <w:pPr>
        <w:ind w:left="1440" w:hanging="1440"/>
        <w:jc w:val="both"/>
      </w:pPr>
      <w:r>
        <w:rPr>
          <w:b/>
          <w:bCs/>
        </w:rPr>
        <w:t>FEA:</w:t>
      </w:r>
      <w:r>
        <w:rPr>
          <w:b/>
          <w:bCs/>
        </w:rPr>
        <w:tab/>
      </w:r>
      <w:r w:rsidR="009D1863">
        <w:t>No position.</w:t>
      </w:r>
    </w:p>
    <w:p w14:paraId="62A22659"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01A6151A" w14:textId="77777777" w:rsidR="00644687" w:rsidRPr="00070C96" w:rsidRDefault="00644687" w:rsidP="00644687">
      <w:pPr>
        <w:ind w:left="1440" w:hanging="1440"/>
        <w:jc w:val="both"/>
        <w:rPr>
          <w:bCs/>
        </w:rPr>
      </w:pPr>
    </w:p>
    <w:p w14:paraId="5B844815"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7CCE2BF6" w14:textId="77777777" w:rsidR="00644687" w:rsidRDefault="00644687" w:rsidP="00644687">
      <w:pPr>
        <w:pStyle w:val="Default"/>
        <w:ind w:left="1440" w:hanging="1440"/>
        <w:jc w:val="both"/>
      </w:pPr>
    </w:p>
    <w:p w14:paraId="0C797BF9" w14:textId="77777777" w:rsidR="00D328A5" w:rsidRPr="00D328A5" w:rsidRDefault="00D328A5" w:rsidP="00D73B1E">
      <w:pPr>
        <w:pStyle w:val="ListParagraph"/>
        <w:spacing w:after="0"/>
        <w:ind w:left="0"/>
        <w:jc w:val="both"/>
        <w:rPr>
          <w:rFonts w:ascii="Times New Roman" w:hAnsi="Times New Roman" w:cs="Times New Roman"/>
          <w:color w:val="000000"/>
          <w:sz w:val="24"/>
          <w:szCs w:val="24"/>
        </w:rPr>
      </w:pPr>
    </w:p>
    <w:p w14:paraId="2B95BFD2" w14:textId="77777777" w:rsidR="00D328A5" w:rsidRPr="00C3393C" w:rsidRDefault="00D328A5" w:rsidP="00D73B1E">
      <w:pPr>
        <w:pStyle w:val="Default"/>
        <w:numPr>
          <w:ilvl w:val="0"/>
          <w:numId w:val="2"/>
        </w:numPr>
        <w:ind w:left="1440" w:hanging="1440"/>
        <w:jc w:val="both"/>
        <w:rPr>
          <w:b/>
        </w:rPr>
      </w:pPr>
      <w:r w:rsidRPr="00C3393C">
        <w:rPr>
          <w:b/>
        </w:rPr>
        <w:t>Should the Commission approve FCG’s proposal to continue the SAFE program to include additional mains and services to be relocated from rear property easements to the street front? If so, what adjustments, if any, should be made?</w:t>
      </w:r>
    </w:p>
    <w:p w14:paraId="2AECB641"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5618A2B8" w14:textId="77777777" w:rsidR="00644687" w:rsidRPr="00070C96" w:rsidRDefault="00644687" w:rsidP="00644687">
      <w:pPr>
        <w:ind w:left="1440" w:hanging="1440"/>
        <w:jc w:val="both"/>
        <w:rPr>
          <w:bCs/>
        </w:rPr>
      </w:pPr>
      <w:r>
        <w:rPr>
          <w:b/>
          <w:bCs/>
        </w:rPr>
        <w:t>FCG:</w:t>
      </w:r>
      <w:r>
        <w:rPr>
          <w:b/>
          <w:bCs/>
        </w:rPr>
        <w:tab/>
      </w:r>
      <w:r w:rsidR="006423DF" w:rsidRPr="00471540">
        <w:rPr>
          <w:rFonts w:eastAsia="Calibri"/>
          <w:color w:val="000000"/>
        </w:rPr>
        <w:t>Yes</w:t>
      </w:r>
      <w:r w:rsidR="006423DF">
        <w:rPr>
          <w:rFonts w:eastAsia="Calibri"/>
          <w:color w:val="000000"/>
        </w:rPr>
        <w:t>.  The Commission should approve the continuation and expansion of the SAFE program to include additional mains and services</w:t>
      </w:r>
      <w:r w:rsidR="006423DF" w:rsidRPr="00471540">
        <w:rPr>
          <w:rFonts w:eastAsia="Calibri"/>
          <w:color w:val="000000"/>
        </w:rPr>
        <w:t xml:space="preserve">. </w:t>
      </w:r>
      <w:r w:rsidR="006423DF">
        <w:rPr>
          <w:rFonts w:eastAsia="Calibri"/>
          <w:color w:val="000000"/>
        </w:rPr>
        <w:t xml:space="preserve"> </w:t>
      </w:r>
      <w:r w:rsidR="006423DF" w:rsidRPr="005C54DB">
        <w:rPr>
          <w:rFonts w:eastAsia="Calibri"/>
          <w:color w:val="000000"/>
        </w:rPr>
        <w:t>The current SAFE program is set to expire in 2025 based on an original</w:t>
      </w:r>
      <w:r w:rsidR="006423DF">
        <w:rPr>
          <w:rFonts w:eastAsia="Calibri"/>
          <w:color w:val="000000"/>
        </w:rPr>
        <w:t xml:space="preserve"> </w:t>
      </w:r>
      <w:r w:rsidR="006423DF" w:rsidRPr="005C54DB">
        <w:rPr>
          <w:rFonts w:eastAsia="Calibri"/>
          <w:color w:val="000000"/>
        </w:rPr>
        <w:t>estimate of 254.3 miles of mains and services to be relocated from rear property</w:t>
      </w:r>
      <w:r w:rsidR="006423DF">
        <w:rPr>
          <w:rFonts w:eastAsia="Calibri"/>
          <w:color w:val="000000"/>
        </w:rPr>
        <w:t xml:space="preserve"> </w:t>
      </w:r>
      <w:r w:rsidR="006423DF" w:rsidRPr="005C54DB">
        <w:rPr>
          <w:rFonts w:eastAsia="Calibri"/>
          <w:color w:val="000000"/>
        </w:rPr>
        <w:t>easements to the street front over the ten-year program. FCG has subsequently</w:t>
      </w:r>
      <w:r w:rsidR="006423DF">
        <w:rPr>
          <w:rFonts w:eastAsia="Calibri"/>
          <w:color w:val="000000"/>
        </w:rPr>
        <w:t xml:space="preserve"> </w:t>
      </w:r>
      <w:r w:rsidR="006423DF" w:rsidRPr="005C54DB">
        <w:rPr>
          <w:rFonts w:eastAsia="Calibri"/>
          <w:color w:val="000000"/>
        </w:rPr>
        <w:t xml:space="preserve">identified approximately 150 miles of </w:t>
      </w:r>
      <w:r w:rsidR="006423DF">
        <w:rPr>
          <w:rFonts w:eastAsia="Calibri"/>
          <w:color w:val="000000"/>
        </w:rPr>
        <w:t xml:space="preserve">additional </w:t>
      </w:r>
      <w:r w:rsidR="006423DF" w:rsidRPr="005C54DB">
        <w:rPr>
          <w:rFonts w:eastAsia="Calibri"/>
          <w:color w:val="000000"/>
        </w:rPr>
        <w:t>mains and services that are</w:t>
      </w:r>
      <w:r w:rsidR="006423DF">
        <w:rPr>
          <w:rFonts w:eastAsia="Calibri"/>
          <w:color w:val="000000"/>
        </w:rPr>
        <w:t xml:space="preserve"> </w:t>
      </w:r>
      <w:r w:rsidR="006423DF" w:rsidRPr="005C54DB">
        <w:rPr>
          <w:rFonts w:eastAsia="Calibri"/>
          <w:color w:val="000000"/>
        </w:rPr>
        <w:t>located in rear property easements and eligible for replacement under</w:t>
      </w:r>
      <w:r w:rsidR="006423DF">
        <w:rPr>
          <w:rFonts w:eastAsia="Calibri"/>
          <w:color w:val="000000"/>
        </w:rPr>
        <w:t xml:space="preserve"> </w:t>
      </w:r>
      <w:r w:rsidR="006423DF" w:rsidRPr="005C54DB">
        <w:rPr>
          <w:rFonts w:eastAsia="Calibri"/>
          <w:color w:val="000000"/>
        </w:rPr>
        <w:t xml:space="preserve">the SAFE program. </w:t>
      </w:r>
      <w:r w:rsidR="006423DF">
        <w:rPr>
          <w:rFonts w:eastAsia="Calibri"/>
          <w:color w:val="000000"/>
        </w:rPr>
        <w:t xml:space="preserve"> </w:t>
      </w:r>
      <w:r w:rsidR="006423DF" w:rsidRPr="005C54DB">
        <w:rPr>
          <w:rFonts w:eastAsia="Calibri"/>
          <w:color w:val="000000"/>
        </w:rPr>
        <w:t>As the Commission has previously found, mains and</w:t>
      </w:r>
      <w:r w:rsidR="006423DF">
        <w:rPr>
          <w:rFonts w:eastAsia="Calibri"/>
          <w:color w:val="000000"/>
        </w:rPr>
        <w:t xml:space="preserve"> </w:t>
      </w:r>
      <w:r w:rsidR="006423DF" w:rsidRPr="005C54DB">
        <w:rPr>
          <w:rFonts w:eastAsia="Calibri"/>
          <w:color w:val="000000"/>
        </w:rPr>
        <w:t>services located in rear property easements present operational and safety</w:t>
      </w:r>
      <w:r w:rsidR="006423DF">
        <w:rPr>
          <w:rFonts w:eastAsia="Calibri"/>
          <w:color w:val="000000"/>
        </w:rPr>
        <w:t xml:space="preserve"> </w:t>
      </w:r>
      <w:r w:rsidR="006423DF" w:rsidRPr="005C54DB">
        <w:rPr>
          <w:rFonts w:eastAsia="Calibri"/>
          <w:color w:val="000000"/>
        </w:rPr>
        <w:t>concerns, including the age of the facilities, limitations on the Company’s</w:t>
      </w:r>
      <w:r w:rsidR="006423DF">
        <w:rPr>
          <w:rFonts w:eastAsia="Calibri"/>
          <w:color w:val="000000"/>
        </w:rPr>
        <w:t xml:space="preserve"> </w:t>
      </w:r>
      <w:r w:rsidR="006423DF" w:rsidRPr="005C54DB">
        <w:rPr>
          <w:rFonts w:eastAsia="Calibri"/>
          <w:color w:val="000000"/>
        </w:rPr>
        <w:t>access to the facilities due to vegetation overgrowth, landscaping and</w:t>
      </w:r>
      <w:r w:rsidR="006423DF">
        <w:rPr>
          <w:rFonts w:eastAsia="Calibri"/>
          <w:color w:val="000000"/>
        </w:rPr>
        <w:t xml:space="preserve"> </w:t>
      </w:r>
      <w:r w:rsidR="006423DF" w:rsidRPr="005C54DB">
        <w:rPr>
          <w:rFonts w:eastAsia="Calibri"/>
          <w:color w:val="000000"/>
        </w:rPr>
        <w:t>construction in the easements, and potential gas theft or diversion and damages</w:t>
      </w:r>
      <w:r w:rsidR="006423DF">
        <w:rPr>
          <w:rFonts w:eastAsia="Calibri"/>
          <w:color w:val="000000"/>
        </w:rPr>
        <w:t xml:space="preserve"> </w:t>
      </w:r>
      <w:r w:rsidR="006423DF" w:rsidRPr="005C54DB">
        <w:rPr>
          <w:rFonts w:eastAsia="Calibri"/>
          <w:color w:val="000000"/>
        </w:rPr>
        <w:t xml:space="preserve">to the facilities. </w:t>
      </w:r>
      <w:r w:rsidR="006423DF">
        <w:rPr>
          <w:rFonts w:eastAsia="Calibri"/>
          <w:color w:val="000000"/>
        </w:rPr>
        <w:t xml:space="preserve"> Therefore, continuation of </w:t>
      </w:r>
      <w:r w:rsidR="006423DF" w:rsidRPr="005C54DB">
        <w:rPr>
          <w:rFonts w:eastAsia="Calibri"/>
          <w:color w:val="000000"/>
        </w:rPr>
        <w:t xml:space="preserve">the SAFE program beyond its 2025 expiration date and </w:t>
      </w:r>
      <w:r w:rsidR="006423DF">
        <w:rPr>
          <w:rFonts w:eastAsia="Calibri"/>
          <w:color w:val="000000"/>
        </w:rPr>
        <w:t>inclusion of</w:t>
      </w:r>
      <w:r w:rsidR="006423DF" w:rsidRPr="005C54DB">
        <w:rPr>
          <w:rFonts w:eastAsia="Calibri"/>
          <w:color w:val="000000"/>
        </w:rPr>
        <w:t xml:space="preserve"> an additional approximately 150 miles of mains and services </w:t>
      </w:r>
      <w:r w:rsidR="006423DF">
        <w:rPr>
          <w:rFonts w:eastAsia="Calibri"/>
          <w:color w:val="000000"/>
        </w:rPr>
        <w:t>is reasonable.  If approved in this proceeding, FCG will propose a new investment/construction schedule and term for the SAFE program in its next applicable annual SAFE filing.  (Howard)</w:t>
      </w:r>
    </w:p>
    <w:p w14:paraId="0A275526" w14:textId="77777777" w:rsidR="00644687" w:rsidRPr="00070C96" w:rsidRDefault="00644687" w:rsidP="00644687">
      <w:pPr>
        <w:ind w:left="1440" w:hanging="1440"/>
        <w:jc w:val="both"/>
        <w:rPr>
          <w:bCs/>
        </w:rPr>
      </w:pPr>
    </w:p>
    <w:p w14:paraId="21FA404A" w14:textId="77777777" w:rsidR="00644687" w:rsidRPr="00070C96" w:rsidRDefault="00644687" w:rsidP="00644687">
      <w:pPr>
        <w:ind w:left="1440" w:hanging="1440"/>
        <w:jc w:val="both"/>
        <w:rPr>
          <w:bCs/>
        </w:rPr>
      </w:pPr>
      <w:r>
        <w:rPr>
          <w:b/>
          <w:bCs/>
        </w:rPr>
        <w:t>OPC:</w:t>
      </w:r>
      <w:r>
        <w:rPr>
          <w:b/>
          <w:bCs/>
        </w:rPr>
        <w:tab/>
      </w:r>
      <w:r w:rsidR="00C3393C" w:rsidRPr="00866F8C">
        <w:t>No position.</w:t>
      </w:r>
    </w:p>
    <w:p w14:paraId="1881142D" w14:textId="77777777" w:rsidR="00644687" w:rsidRPr="00070C96" w:rsidRDefault="00644687" w:rsidP="00644687">
      <w:pPr>
        <w:ind w:left="1440" w:hanging="1440"/>
        <w:jc w:val="both"/>
        <w:rPr>
          <w:bCs/>
        </w:rPr>
      </w:pPr>
    </w:p>
    <w:p w14:paraId="2AEFCC27" w14:textId="77777777" w:rsidR="00644687" w:rsidRPr="00070C96" w:rsidRDefault="00644687" w:rsidP="00644687">
      <w:pPr>
        <w:ind w:left="1440" w:hanging="1440"/>
        <w:jc w:val="both"/>
        <w:rPr>
          <w:bCs/>
        </w:rPr>
      </w:pPr>
      <w:r>
        <w:rPr>
          <w:b/>
          <w:bCs/>
        </w:rPr>
        <w:t>FEA:</w:t>
      </w:r>
      <w:r>
        <w:rPr>
          <w:b/>
          <w:bCs/>
        </w:rPr>
        <w:tab/>
      </w:r>
      <w:r w:rsidR="009D1863">
        <w:t>No position.</w:t>
      </w:r>
    </w:p>
    <w:p w14:paraId="4C77CAC9" w14:textId="77777777" w:rsidR="00644687" w:rsidRPr="00070C96" w:rsidRDefault="00644687" w:rsidP="00644687">
      <w:pPr>
        <w:ind w:left="1440" w:hanging="1440"/>
        <w:jc w:val="both"/>
        <w:rPr>
          <w:bCs/>
        </w:rPr>
      </w:pPr>
    </w:p>
    <w:p w14:paraId="2AAB59F6"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0AA6FD26" w14:textId="77777777" w:rsidR="00644687" w:rsidRPr="00070C96" w:rsidRDefault="00644687" w:rsidP="00644687">
      <w:pPr>
        <w:ind w:left="1440" w:hanging="1440"/>
        <w:jc w:val="both"/>
        <w:rPr>
          <w:bCs/>
        </w:rPr>
      </w:pPr>
    </w:p>
    <w:p w14:paraId="434A58EC"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16421F77" w14:textId="77777777" w:rsidR="00644687" w:rsidRDefault="00644687" w:rsidP="00644687">
      <w:pPr>
        <w:pStyle w:val="Default"/>
        <w:ind w:left="1440" w:hanging="1440"/>
        <w:jc w:val="both"/>
      </w:pPr>
    </w:p>
    <w:p w14:paraId="01BDE7E2" w14:textId="77777777" w:rsidR="00644687" w:rsidRPr="00D328A5" w:rsidRDefault="00644687" w:rsidP="00D73B1E">
      <w:pPr>
        <w:pStyle w:val="ListParagraph"/>
        <w:spacing w:after="0"/>
        <w:ind w:left="0"/>
        <w:jc w:val="both"/>
        <w:rPr>
          <w:rFonts w:ascii="Times New Roman" w:hAnsi="Times New Roman" w:cs="Times New Roman"/>
          <w:color w:val="000000"/>
          <w:sz w:val="24"/>
          <w:szCs w:val="24"/>
        </w:rPr>
      </w:pPr>
    </w:p>
    <w:p w14:paraId="6D757FCC" w14:textId="77777777" w:rsidR="00D328A5" w:rsidRPr="006423DF" w:rsidRDefault="00D328A5" w:rsidP="00D73B1E">
      <w:pPr>
        <w:pStyle w:val="Default"/>
        <w:numPr>
          <w:ilvl w:val="0"/>
          <w:numId w:val="2"/>
        </w:numPr>
        <w:ind w:left="1440" w:hanging="1440"/>
        <w:jc w:val="both"/>
        <w:rPr>
          <w:b/>
        </w:rPr>
      </w:pPr>
      <w:r w:rsidRPr="006423DF">
        <w:rPr>
          <w:b/>
        </w:rPr>
        <w:t>Should the Commission approve FCG’s proposal to expand the SAFE program to include replacement of “orange pipe”? If so, what adjustments, if any, should be made?</w:t>
      </w:r>
    </w:p>
    <w:p w14:paraId="4FB4A5E1" w14:textId="77777777" w:rsidR="00D328A5" w:rsidRDefault="00D328A5" w:rsidP="00D73B1E">
      <w:pPr>
        <w:pStyle w:val="ListParagraph"/>
        <w:spacing w:after="0"/>
        <w:ind w:left="0"/>
        <w:jc w:val="both"/>
        <w:rPr>
          <w:rFonts w:ascii="Times New Roman" w:hAnsi="Times New Roman" w:cs="Times New Roman"/>
          <w:color w:val="000000"/>
          <w:sz w:val="24"/>
          <w:szCs w:val="24"/>
        </w:rPr>
      </w:pPr>
    </w:p>
    <w:p w14:paraId="604C8160" w14:textId="77777777" w:rsidR="00644687" w:rsidRPr="00070C96" w:rsidRDefault="00644687" w:rsidP="00644687">
      <w:pPr>
        <w:ind w:left="1440" w:hanging="1440"/>
        <w:jc w:val="both"/>
        <w:rPr>
          <w:bCs/>
        </w:rPr>
      </w:pPr>
      <w:r>
        <w:rPr>
          <w:b/>
          <w:bCs/>
        </w:rPr>
        <w:t>FCG:</w:t>
      </w:r>
      <w:r>
        <w:rPr>
          <w:b/>
          <w:bCs/>
        </w:rPr>
        <w:tab/>
      </w:r>
      <w:r w:rsidR="006423DF" w:rsidRPr="00471540">
        <w:rPr>
          <w:rFonts w:eastAsia="Calibri"/>
          <w:color w:val="000000"/>
        </w:rPr>
        <w:t xml:space="preserve">Yes.  </w:t>
      </w:r>
      <w:r w:rsidR="006423DF" w:rsidRPr="00BE62DA">
        <w:rPr>
          <w:rFonts w:eastAsia="Calibri"/>
          <w:color w:val="000000"/>
        </w:rPr>
        <w:t>Orange pipe is a specific plastic material</w:t>
      </w:r>
      <w:r w:rsidR="006423DF">
        <w:rPr>
          <w:rFonts w:eastAsia="Calibri"/>
          <w:color w:val="000000"/>
        </w:rPr>
        <w:t xml:space="preserve"> </w:t>
      </w:r>
      <w:r w:rsidR="006423DF" w:rsidRPr="00BE62DA">
        <w:rPr>
          <w:rFonts w:eastAsia="Calibri"/>
          <w:color w:val="000000"/>
        </w:rPr>
        <w:t xml:space="preserve">that was used in the 1970s and 1980s that has been studied by the </w:t>
      </w:r>
      <w:r w:rsidR="006423DF">
        <w:rPr>
          <w:rFonts w:eastAsia="Calibri"/>
          <w:color w:val="000000"/>
        </w:rPr>
        <w:t>United States Department of Transportation Pipeline and Hazardous Materials Safety Administration (“</w:t>
      </w:r>
      <w:r w:rsidR="006423DF" w:rsidRPr="00EA5276">
        <w:t>PHMSA</w:t>
      </w:r>
      <w:r w:rsidR="006423DF">
        <w:t>”)</w:t>
      </w:r>
      <w:r w:rsidR="006423DF" w:rsidRPr="00DE55FA">
        <w:rPr>
          <w:rFonts w:eastAsia="Calibri"/>
          <w:color w:val="000000"/>
        </w:rPr>
        <w:t xml:space="preserve"> </w:t>
      </w:r>
      <w:r w:rsidR="006423DF" w:rsidRPr="00BE62DA">
        <w:rPr>
          <w:rFonts w:eastAsia="Calibri"/>
          <w:color w:val="000000"/>
        </w:rPr>
        <w:t>and</w:t>
      </w:r>
      <w:r w:rsidR="006423DF">
        <w:rPr>
          <w:rFonts w:eastAsia="Calibri"/>
          <w:color w:val="000000"/>
        </w:rPr>
        <w:t xml:space="preserve"> </w:t>
      </w:r>
      <w:r w:rsidR="006423DF" w:rsidRPr="00BE62DA">
        <w:rPr>
          <w:rFonts w:eastAsia="Calibri"/>
          <w:color w:val="000000"/>
        </w:rPr>
        <w:t>shown through industry research to exhibit premature failure in the form of</w:t>
      </w:r>
      <w:r w:rsidR="006423DF">
        <w:rPr>
          <w:rFonts w:eastAsia="Calibri"/>
          <w:color w:val="000000"/>
        </w:rPr>
        <w:t xml:space="preserve"> </w:t>
      </w:r>
      <w:r w:rsidR="006423DF" w:rsidRPr="00BE62DA">
        <w:rPr>
          <w:rFonts w:eastAsia="Calibri"/>
          <w:color w:val="000000"/>
        </w:rPr>
        <w:t>cracking.</w:t>
      </w:r>
      <w:r w:rsidR="006423DF">
        <w:rPr>
          <w:rFonts w:eastAsia="Calibri"/>
          <w:color w:val="000000"/>
        </w:rPr>
        <w:t xml:space="preserve">  </w:t>
      </w:r>
      <w:r w:rsidR="006423DF" w:rsidRPr="00BE62DA">
        <w:rPr>
          <w:rFonts w:eastAsia="Calibri"/>
          <w:color w:val="000000"/>
        </w:rPr>
        <w:t>The potentially compromised nature of the piping makes responding</w:t>
      </w:r>
      <w:r w:rsidR="006423DF">
        <w:rPr>
          <w:rFonts w:eastAsia="Calibri"/>
          <w:color w:val="000000"/>
        </w:rPr>
        <w:t xml:space="preserve"> </w:t>
      </w:r>
      <w:r w:rsidR="006423DF" w:rsidRPr="00BE62DA">
        <w:rPr>
          <w:rFonts w:eastAsia="Calibri"/>
          <w:color w:val="000000"/>
        </w:rPr>
        <w:t>to leaks more hazardous since responders cannot safely squeeze the pipe</w:t>
      </w:r>
      <w:r w:rsidR="006423DF">
        <w:rPr>
          <w:rFonts w:eastAsia="Calibri"/>
          <w:color w:val="000000"/>
        </w:rPr>
        <w:t xml:space="preserve"> </w:t>
      </w:r>
      <w:r w:rsidR="006423DF" w:rsidRPr="00BE62DA">
        <w:rPr>
          <w:rFonts w:eastAsia="Calibri"/>
          <w:color w:val="000000"/>
        </w:rPr>
        <w:t xml:space="preserve">without it cracking. </w:t>
      </w:r>
      <w:r w:rsidR="006423DF">
        <w:rPr>
          <w:rFonts w:eastAsia="Calibri"/>
          <w:color w:val="000000"/>
        </w:rPr>
        <w:t xml:space="preserve"> </w:t>
      </w:r>
      <w:r w:rsidR="006423DF" w:rsidRPr="00A7267C">
        <w:rPr>
          <w:rFonts w:eastAsia="Calibri"/>
          <w:color w:val="000000"/>
        </w:rPr>
        <w:t>In order to address this safety risk in a timely manner, FCG is seeking approval</w:t>
      </w:r>
      <w:r w:rsidR="006423DF">
        <w:rPr>
          <w:rFonts w:eastAsia="Calibri"/>
          <w:color w:val="000000"/>
        </w:rPr>
        <w:t xml:space="preserve"> </w:t>
      </w:r>
      <w:r w:rsidR="006423DF" w:rsidRPr="00A7267C">
        <w:rPr>
          <w:rFonts w:eastAsia="Calibri"/>
          <w:color w:val="000000"/>
        </w:rPr>
        <w:t>to expand the SAFE program cost recovery mechanism to include the capital</w:t>
      </w:r>
      <w:r w:rsidR="006423DF">
        <w:rPr>
          <w:rFonts w:eastAsia="Calibri"/>
          <w:color w:val="000000"/>
        </w:rPr>
        <w:t xml:space="preserve"> </w:t>
      </w:r>
      <w:r w:rsidR="006423DF" w:rsidRPr="00A7267C">
        <w:rPr>
          <w:rFonts w:eastAsia="Calibri"/>
          <w:color w:val="000000"/>
        </w:rPr>
        <w:t>investments necessary for the expedited replacement of approximately 160</w:t>
      </w:r>
      <w:r w:rsidR="006423DF">
        <w:rPr>
          <w:rFonts w:eastAsia="Calibri"/>
          <w:color w:val="000000"/>
        </w:rPr>
        <w:t xml:space="preserve"> </w:t>
      </w:r>
      <w:r w:rsidR="006423DF" w:rsidRPr="00A7267C">
        <w:rPr>
          <w:rFonts w:eastAsia="Calibri"/>
          <w:color w:val="000000"/>
        </w:rPr>
        <w:t>miles of orange pipe installed before 1990</w:t>
      </w:r>
      <w:r w:rsidR="006423DF">
        <w:rPr>
          <w:rFonts w:eastAsia="Calibri"/>
          <w:color w:val="000000"/>
        </w:rPr>
        <w:t>.  If approved in this proceeding, FCG will propose a new investment/construction schedule and term for the SAFE program in its next applicable annual SAFE filing.  (Howard)</w:t>
      </w:r>
    </w:p>
    <w:p w14:paraId="720C3B81" w14:textId="77777777" w:rsidR="00644687" w:rsidRPr="00070C96" w:rsidRDefault="00644687" w:rsidP="00644687">
      <w:pPr>
        <w:ind w:left="1440" w:hanging="1440"/>
        <w:jc w:val="both"/>
        <w:rPr>
          <w:bCs/>
        </w:rPr>
      </w:pPr>
    </w:p>
    <w:p w14:paraId="5A53B8D3" w14:textId="77777777" w:rsidR="00644687" w:rsidRPr="00070C96" w:rsidRDefault="00644687" w:rsidP="00644687">
      <w:pPr>
        <w:ind w:left="1440" w:hanging="1440"/>
        <w:jc w:val="both"/>
        <w:rPr>
          <w:bCs/>
        </w:rPr>
      </w:pPr>
      <w:r>
        <w:rPr>
          <w:b/>
          <w:bCs/>
        </w:rPr>
        <w:t>OPC:</w:t>
      </w:r>
      <w:r>
        <w:rPr>
          <w:b/>
          <w:bCs/>
        </w:rPr>
        <w:tab/>
      </w:r>
      <w:r w:rsidR="00C3393C" w:rsidRPr="00866F8C">
        <w:t>No position.</w:t>
      </w:r>
    </w:p>
    <w:p w14:paraId="58E66552" w14:textId="77777777" w:rsidR="00644687" w:rsidRPr="00070C96" w:rsidRDefault="00644687" w:rsidP="00644687">
      <w:pPr>
        <w:ind w:left="1440" w:hanging="1440"/>
        <w:jc w:val="both"/>
        <w:rPr>
          <w:bCs/>
        </w:rPr>
      </w:pPr>
    </w:p>
    <w:p w14:paraId="19C9DF7F" w14:textId="77777777" w:rsidR="00644687" w:rsidRPr="00070C96" w:rsidRDefault="00644687" w:rsidP="00644687">
      <w:pPr>
        <w:ind w:left="1440" w:hanging="1440"/>
        <w:jc w:val="both"/>
        <w:rPr>
          <w:bCs/>
        </w:rPr>
      </w:pPr>
      <w:r>
        <w:rPr>
          <w:b/>
          <w:bCs/>
        </w:rPr>
        <w:t>FEA:</w:t>
      </w:r>
      <w:r>
        <w:rPr>
          <w:b/>
          <w:bCs/>
        </w:rPr>
        <w:tab/>
      </w:r>
      <w:r w:rsidR="009D1863">
        <w:t>No position.</w:t>
      </w:r>
    </w:p>
    <w:p w14:paraId="708FC368" w14:textId="77777777" w:rsidR="00644687" w:rsidRPr="00070C96" w:rsidRDefault="00644687" w:rsidP="00644687">
      <w:pPr>
        <w:ind w:left="1440" w:hanging="1440"/>
        <w:jc w:val="both"/>
        <w:rPr>
          <w:bCs/>
        </w:rPr>
      </w:pPr>
    </w:p>
    <w:p w14:paraId="5648566E" w14:textId="77777777" w:rsidR="00644687" w:rsidRDefault="00644687" w:rsidP="00644687">
      <w:pPr>
        <w:ind w:left="1440" w:hanging="1440"/>
        <w:jc w:val="both"/>
        <w:rPr>
          <w:bCs/>
          <w:color w:val="000000"/>
        </w:rPr>
      </w:pPr>
      <w:r>
        <w:rPr>
          <w:b/>
          <w:bCs/>
        </w:rPr>
        <w:t>FIPUG:</w:t>
      </w:r>
      <w:r>
        <w:rPr>
          <w:b/>
          <w:bCs/>
        </w:rPr>
        <w:tab/>
      </w:r>
      <w:r w:rsidR="00037057" w:rsidRPr="003D62FB">
        <w:rPr>
          <w:bCs/>
          <w:color w:val="000000"/>
        </w:rPr>
        <w:t>Adopt position of OPC.</w:t>
      </w:r>
    </w:p>
    <w:p w14:paraId="3028984C" w14:textId="77777777" w:rsidR="001817C3" w:rsidRPr="00070C96" w:rsidRDefault="001817C3" w:rsidP="00644687">
      <w:pPr>
        <w:ind w:left="1440" w:hanging="1440"/>
        <w:jc w:val="both"/>
        <w:rPr>
          <w:bCs/>
        </w:rPr>
      </w:pPr>
    </w:p>
    <w:p w14:paraId="20676963" w14:textId="77777777" w:rsidR="00644687" w:rsidRPr="00070C96"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3A42C345" w14:textId="77777777" w:rsidR="00644687" w:rsidRDefault="00644687" w:rsidP="00644687">
      <w:pPr>
        <w:pStyle w:val="Default"/>
        <w:ind w:left="1440" w:hanging="1440"/>
        <w:jc w:val="both"/>
      </w:pPr>
    </w:p>
    <w:p w14:paraId="2E4A12C5" w14:textId="77777777" w:rsidR="00644687" w:rsidRPr="00D328A5" w:rsidRDefault="00644687" w:rsidP="00D73B1E">
      <w:pPr>
        <w:pStyle w:val="ListParagraph"/>
        <w:spacing w:after="0"/>
        <w:ind w:left="0"/>
        <w:jc w:val="both"/>
        <w:rPr>
          <w:rFonts w:ascii="Times New Roman" w:hAnsi="Times New Roman" w:cs="Times New Roman"/>
          <w:color w:val="000000"/>
          <w:sz w:val="24"/>
          <w:szCs w:val="24"/>
        </w:rPr>
      </w:pPr>
    </w:p>
    <w:p w14:paraId="6ABEEE33" w14:textId="77777777" w:rsidR="00D328A5" w:rsidRPr="006423DF" w:rsidRDefault="00D328A5" w:rsidP="00D73B1E">
      <w:pPr>
        <w:pStyle w:val="Default"/>
        <w:numPr>
          <w:ilvl w:val="0"/>
          <w:numId w:val="2"/>
        </w:numPr>
        <w:ind w:left="1440" w:hanging="1440"/>
        <w:jc w:val="both"/>
        <w:rPr>
          <w:b/>
        </w:rPr>
      </w:pPr>
      <w:r w:rsidRPr="006423DF">
        <w:rPr>
          <w:b/>
        </w:rPr>
        <w:t>Should the Commission approve FCG’s requested four-year rate plan?</w:t>
      </w:r>
    </w:p>
    <w:p w14:paraId="39C5042D" w14:textId="77777777" w:rsidR="00D328A5" w:rsidRDefault="00D328A5" w:rsidP="00D73B1E">
      <w:pPr>
        <w:pStyle w:val="Default"/>
        <w:ind w:left="1440" w:hanging="1440"/>
        <w:jc w:val="both"/>
        <w:rPr>
          <w:bCs/>
        </w:rPr>
      </w:pPr>
    </w:p>
    <w:p w14:paraId="563E1088" w14:textId="77777777" w:rsidR="00644687" w:rsidRPr="00070C96" w:rsidRDefault="00644687" w:rsidP="00644687">
      <w:pPr>
        <w:ind w:left="1440" w:hanging="1440"/>
        <w:jc w:val="both"/>
        <w:rPr>
          <w:bCs/>
        </w:rPr>
      </w:pPr>
      <w:r>
        <w:rPr>
          <w:b/>
          <w:bCs/>
        </w:rPr>
        <w:t>FCG:</w:t>
      </w:r>
      <w:r>
        <w:rPr>
          <w:b/>
          <w:bCs/>
        </w:rPr>
        <w:tab/>
      </w:r>
      <w:r w:rsidR="006423DF" w:rsidRPr="00471540">
        <w:rPr>
          <w:rFonts w:eastAsia="Calibri"/>
          <w:color w:val="000000"/>
        </w:rPr>
        <w:t xml:space="preserve">Yes.  Utilities in the state have operated under multi-year rate plans over the past two decades, including FCG’s most recent 4-year rate plan that was approved in 2018. </w:t>
      </w:r>
      <w:r w:rsidR="006423DF">
        <w:rPr>
          <w:rFonts w:eastAsia="Calibri"/>
          <w:color w:val="000000"/>
        </w:rPr>
        <w:t xml:space="preserve"> </w:t>
      </w:r>
      <w:r w:rsidR="006423DF" w:rsidRPr="00471540">
        <w:rPr>
          <w:rFonts w:eastAsia="Calibri"/>
          <w:color w:val="000000"/>
        </w:rPr>
        <w:t>Multi-year plans offer rate certainty and stability for customers and</w:t>
      </w:r>
      <w:r w:rsidR="006423DF">
        <w:rPr>
          <w:rFonts w:eastAsia="Calibri"/>
          <w:color w:val="000000"/>
        </w:rPr>
        <w:t>,</w:t>
      </w:r>
      <w:r w:rsidR="006423DF" w:rsidRPr="00471540">
        <w:rPr>
          <w:rFonts w:eastAsia="Calibri"/>
          <w:color w:val="000000"/>
        </w:rPr>
        <w:t xml:space="preserve"> importantly</w:t>
      </w:r>
      <w:r w:rsidR="006423DF">
        <w:rPr>
          <w:rFonts w:eastAsia="Calibri"/>
          <w:color w:val="000000"/>
        </w:rPr>
        <w:t>,</w:t>
      </w:r>
      <w:r w:rsidR="006423DF" w:rsidRPr="00471540">
        <w:rPr>
          <w:rFonts w:eastAsia="Calibri"/>
          <w:color w:val="000000"/>
        </w:rPr>
        <w:t xml:space="preserve"> allow the Company the opportunity to continue to improve the value delivered to customers during a period of regulatory stability. </w:t>
      </w:r>
      <w:r w:rsidR="006423DF">
        <w:rPr>
          <w:rFonts w:eastAsia="Calibri"/>
          <w:color w:val="000000"/>
        </w:rPr>
        <w:t xml:space="preserve"> FCG’s proposed four-year rate plan provides tremendous value and savings to customers while avoiding the need for any additional base rate increase through at least the end of 2026.  </w:t>
      </w:r>
      <w:r w:rsidR="006423DF">
        <w:t xml:space="preserve">The record evidence in this case will demonstrate that if FCG’s proposed four-year rate plan with the RSAM is not approved, FCG would need to file an additional base rate case in 2024 and the overall, net cumulative increase in cash that would be paid by customers over the period 2023-2026 would be approximately $27.0 million more than as compared to FCG’s proposed four-year rate plan.  </w:t>
      </w:r>
      <w:r w:rsidR="006423DF" w:rsidRPr="00471540">
        <w:rPr>
          <w:rFonts w:eastAsia="Calibri"/>
          <w:color w:val="000000"/>
        </w:rPr>
        <w:t>(</w:t>
      </w:r>
      <w:r w:rsidR="006423DF">
        <w:rPr>
          <w:rFonts w:eastAsia="Calibri"/>
          <w:color w:val="000000"/>
        </w:rPr>
        <w:t>Howard, Campbell</w:t>
      </w:r>
      <w:r w:rsidR="006423DF" w:rsidRPr="00471540">
        <w:rPr>
          <w:rFonts w:eastAsia="Calibri"/>
          <w:color w:val="000000"/>
        </w:rPr>
        <w:t>)</w:t>
      </w:r>
    </w:p>
    <w:p w14:paraId="260D179C" w14:textId="77777777" w:rsidR="00644687" w:rsidRPr="00070C96" w:rsidRDefault="00644687" w:rsidP="00644687">
      <w:pPr>
        <w:ind w:left="1440" w:hanging="1440"/>
        <w:jc w:val="both"/>
        <w:rPr>
          <w:bCs/>
        </w:rPr>
      </w:pPr>
    </w:p>
    <w:p w14:paraId="5F4F8C38" w14:textId="77777777" w:rsidR="00644687" w:rsidRPr="00070C96" w:rsidRDefault="00644687" w:rsidP="00644687">
      <w:pPr>
        <w:ind w:left="1440" w:hanging="1440"/>
        <w:jc w:val="both"/>
        <w:rPr>
          <w:bCs/>
        </w:rPr>
      </w:pPr>
      <w:r>
        <w:rPr>
          <w:b/>
          <w:bCs/>
        </w:rPr>
        <w:t>OPC:</w:t>
      </w:r>
      <w:r>
        <w:rPr>
          <w:b/>
          <w:bCs/>
        </w:rPr>
        <w:tab/>
      </w:r>
      <w:r w:rsidR="00C3393C">
        <w:t>No. The so-called four-year rate plan cannot be lawfully implemented because the Commission lacks the authority to deny the company rate-relief if it demonstrates that it is earning outside of its established range. This type of plan is an illusion and is cannot be defined. FCG’s commitment is unenforceable against the current owners and any future owners of the company. Regarding portions of FCG’s requested rate increase, including FCG’s request to maintain the acquisition adjustment, the Commission does not have the authority, absent an agreement of the parties, to approve the request as filed. (Schultz; legal issue)</w:t>
      </w:r>
    </w:p>
    <w:p w14:paraId="09C3244D" w14:textId="77777777" w:rsidR="00644687" w:rsidRPr="00070C96" w:rsidRDefault="00644687" w:rsidP="00644687">
      <w:pPr>
        <w:ind w:left="1440" w:hanging="1440"/>
        <w:jc w:val="both"/>
        <w:rPr>
          <w:bCs/>
        </w:rPr>
      </w:pPr>
    </w:p>
    <w:p w14:paraId="1E545D4A" w14:textId="77777777" w:rsidR="00644687" w:rsidRPr="00070C96" w:rsidRDefault="00644687" w:rsidP="00644687">
      <w:pPr>
        <w:ind w:left="1440" w:hanging="1440"/>
        <w:jc w:val="both"/>
        <w:rPr>
          <w:bCs/>
        </w:rPr>
      </w:pPr>
      <w:r>
        <w:rPr>
          <w:b/>
          <w:bCs/>
        </w:rPr>
        <w:t>FEA:</w:t>
      </w:r>
      <w:r>
        <w:rPr>
          <w:b/>
          <w:bCs/>
        </w:rPr>
        <w:tab/>
      </w:r>
      <w:r w:rsidR="009D1863">
        <w:t>No position.</w:t>
      </w:r>
    </w:p>
    <w:p w14:paraId="258BA605" w14:textId="77777777" w:rsidR="00644687" w:rsidRPr="00070C96" w:rsidRDefault="00644687" w:rsidP="00644687">
      <w:pPr>
        <w:ind w:left="1440" w:hanging="1440"/>
        <w:jc w:val="both"/>
        <w:rPr>
          <w:bCs/>
        </w:rPr>
      </w:pPr>
    </w:p>
    <w:p w14:paraId="796CC1E3"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5C572AE2" w14:textId="77777777" w:rsidR="00644687" w:rsidRPr="00070C96" w:rsidRDefault="00644687" w:rsidP="00644687">
      <w:pPr>
        <w:ind w:left="1440" w:hanging="1440"/>
        <w:jc w:val="both"/>
        <w:rPr>
          <w:bCs/>
        </w:rPr>
      </w:pPr>
    </w:p>
    <w:p w14:paraId="1714FF0A" w14:textId="67475D71"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37D8AEF6" w14:textId="7E24B5A7" w:rsidR="004024FD" w:rsidRDefault="004024FD" w:rsidP="00644687">
      <w:pPr>
        <w:pStyle w:val="Default"/>
        <w:ind w:left="1440" w:hanging="1440"/>
        <w:jc w:val="both"/>
      </w:pPr>
    </w:p>
    <w:p w14:paraId="6159C22D" w14:textId="77777777" w:rsidR="00476A39" w:rsidRPr="00070C96" w:rsidRDefault="00476A39" w:rsidP="00644687">
      <w:pPr>
        <w:pStyle w:val="Default"/>
        <w:ind w:left="1440" w:hanging="1440"/>
        <w:jc w:val="both"/>
      </w:pPr>
    </w:p>
    <w:p w14:paraId="5AC2B318" w14:textId="77777777" w:rsidR="00D328A5" w:rsidRPr="006423DF" w:rsidRDefault="00D328A5" w:rsidP="00D73B1E">
      <w:pPr>
        <w:pStyle w:val="Default"/>
        <w:numPr>
          <w:ilvl w:val="0"/>
          <w:numId w:val="2"/>
        </w:numPr>
        <w:ind w:left="1440" w:hanging="1440"/>
        <w:jc w:val="both"/>
        <w:rPr>
          <w:b/>
        </w:rPr>
      </w:pPr>
      <w:r w:rsidRPr="006423DF">
        <w:rPr>
          <w:b/>
          <w:bCs/>
        </w:rPr>
        <w:t xml:space="preserve">Should FCG be required to file, within 90 days after the date of the final order in this docket, a description of all entries or adjustments to its annual report, rate of return reports, and books and records which will be required as a result of the Commission’s findings in this rate case? </w:t>
      </w:r>
    </w:p>
    <w:p w14:paraId="7A5D888A" w14:textId="77777777" w:rsidR="00D328A5" w:rsidRDefault="00D328A5" w:rsidP="00D73B1E">
      <w:pPr>
        <w:ind w:left="1440" w:hanging="1440"/>
        <w:jc w:val="both"/>
        <w:rPr>
          <w:bCs/>
          <w:color w:val="000000"/>
        </w:rPr>
      </w:pPr>
    </w:p>
    <w:p w14:paraId="714C1AC1" w14:textId="77777777" w:rsidR="00644687" w:rsidRPr="00070C96" w:rsidRDefault="00644687" w:rsidP="00644687">
      <w:pPr>
        <w:ind w:left="1440" w:hanging="1440"/>
        <w:jc w:val="both"/>
        <w:rPr>
          <w:bCs/>
        </w:rPr>
      </w:pPr>
      <w:r>
        <w:rPr>
          <w:b/>
          <w:bCs/>
        </w:rPr>
        <w:t>FCG:</w:t>
      </w:r>
      <w:r>
        <w:rPr>
          <w:b/>
          <w:bCs/>
        </w:rPr>
        <w:tab/>
      </w:r>
      <w:r w:rsidR="006423DF" w:rsidRPr="00471540">
        <w:rPr>
          <w:rFonts w:eastAsia="Calibri"/>
          <w:color w:val="000000"/>
        </w:rPr>
        <w:t>F</w:t>
      </w:r>
      <w:r w:rsidR="006423DF">
        <w:rPr>
          <w:rFonts w:eastAsia="Calibri"/>
          <w:color w:val="000000"/>
        </w:rPr>
        <w:t>CG</w:t>
      </w:r>
      <w:r w:rsidR="006423DF" w:rsidRPr="00471540">
        <w:rPr>
          <w:rFonts w:eastAsia="Calibri"/>
          <w:color w:val="000000"/>
        </w:rPr>
        <w:t xml:space="preserve"> has no objection to making such a filing.  (Fuentes)</w:t>
      </w:r>
    </w:p>
    <w:p w14:paraId="0FAB4B70" w14:textId="77777777" w:rsidR="00644687" w:rsidRPr="00070C96" w:rsidRDefault="00644687" w:rsidP="00644687">
      <w:pPr>
        <w:ind w:left="1440" w:hanging="1440"/>
        <w:jc w:val="both"/>
        <w:rPr>
          <w:bCs/>
        </w:rPr>
      </w:pPr>
    </w:p>
    <w:p w14:paraId="3979BBC3" w14:textId="77777777" w:rsidR="00644687" w:rsidRPr="00070C96" w:rsidRDefault="00644687" w:rsidP="00644687">
      <w:pPr>
        <w:ind w:left="1440" w:hanging="1440"/>
        <w:jc w:val="both"/>
        <w:rPr>
          <w:bCs/>
        </w:rPr>
      </w:pPr>
      <w:r>
        <w:rPr>
          <w:b/>
          <w:bCs/>
        </w:rPr>
        <w:t>OPC:</w:t>
      </w:r>
      <w:r>
        <w:rPr>
          <w:b/>
          <w:bCs/>
        </w:rPr>
        <w:tab/>
      </w:r>
      <w:r w:rsidR="00C3393C">
        <w:t>Yes, the Commission should require FCG to file, within 90 days after the date of the final order in this docket, a description of all entries or adjustments to its annual report, rate of return reports, and books and records which will be required as a result of the Commission’s findings in this rate case.</w:t>
      </w:r>
    </w:p>
    <w:p w14:paraId="0E250AE6" w14:textId="77777777" w:rsidR="00644687" w:rsidRPr="00070C96" w:rsidRDefault="00644687" w:rsidP="00644687">
      <w:pPr>
        <w:ind w:left="1440" w:hanging="1440"/>
        <w:jc w:val="both"/>
        <w:rPr>
          <w:bCs/>
        </w:rPr>
      </w:pPr>
    </w:p>
    <w:p w14:paraId="3E1FD1FA" w14:textId="77777777" w:rsidR="00644687" w:rsidRPr="00070C96" w:rsidRDefault="00644687" w:rsidP="00644687">
      <w:pPr>
        <w:ind w:left="1440" w:hanging="1440"/>
        <w:jc w:val="both"/>
        <w:rPr>
          <w:bCs/>
        </w:rPr>
      </w:pPr>
      <w:r>
        <w:rPr>
          <w:b/>
          <w:bCs/>
        </w:rPr>
        <w:t>FEA:</w:t>
      </w:r>
      <w:r>
        <w:rPr>
          <w:b/>
          <w:bCs/>
        </w:rPr>
        <w:tab/>
      </w:r>
      <w:r w:rsidR="009D1863">
        <w:t>No position.</w:t>
      </w:r>
    </w:p>
    <w:p w14:paraId="65C7350A" w14:textId="77777777" w:rsidR="00644687" w:rsidRPr="00070C96" w:rsidRDefault="00644687" w:rsidP="00644687">
      <w:pPr>
        <w:ind w:left="1440" w:hanging="1440"/>
        <w:jc w:val="both"/>
        <w:rPr>
          <w:bCs/>
        </w:rPr>
      </w:pPr>
    </w:p>
    <w:p w14:paraId="264ABCF1"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1C3F2A24" w14:textId="77777777" w:rsidR="00644687" w:rsidRPr="00070C96" w:rsidRDefault="00644687" w:rsidP="00644687">
      <w:pPr>
        <w:ind w:left="1440" w:hanging="1440"/>
        <w:jc w:val="both"/>
        <w:rPr>
          <w:bCs/>
        </w:rPr>
      </w:pPr>
    </w:p>
    <w:p w14:paraId="3E407095" w14:textId="77777777" w:rsidR="00644687" w:rsidRDefault="00644687" w:rsidP="00644687">
      <w:pPr>
        <w:pStyle w:val="Default"/>
        <w:ind w:left="1440" w:hanging="1440"/>
        <w:jc w:val="both"/>
      </w:pPr>
      <w:r w:rsidRPr="005D4B47">
        <w:rPr>
          <w:b/>
          <w:bCs/>
        </w:rPr>
        <w:t>STAFF</w:t>
      </w:r>
      <w:r w:rsidRPr="00701945">
        <w:rPr>
          <w:b/>
          <w:bCs/>
        </w:rPr>
        <w:t>:</w:t>
      </w:r>
      <w:r>
        <w:rPr>
          <w:b/>
          <w:bCs/>
        </w:rPr>
        <w:tab/>
      </w:r>
      <w:r w:rsidR="00F53BE5">
        <w:t>No position.</w:t>
      </w:r>
    </w:p>
    <w:p w14:paraId="492BE53C" w14:textId="77777777" w:rsidR="00A059B7" w:rsidRDefault="00A059B7" w:rsidP="00644687">
      <w:pPr>
        <w:pStyle w:val="Default"/>
        <w:ind w:left="1440" w:hanging="1440"/>
        <w:jc w:val="both"/>
      </w:pPr>
    </w:p>
    <w:p w14:paraId="34061839" w14:textId="77777777" w:rsidR="00A059B7" w:rsidRDefault="00A059B7" w:rsidP="00644687">
      <w:pPr>
        <w:pStyle w:val="Default"/>
        <w:ind w:left="1440" w:hanging="1440"/>
        <w:jc w:val="both"/>
      </w:pPr>
    </w:p>
    <w:p w14:paraId="68DC0BFC" w14:textId="77777777" w:rsidR="00D328A5" w:rsidRPr="00725965" w:rsidRDefault="00A059B7" w:rsidP="00725965">
      <w:pPr>
        <w:pStyle w:val="Default"/>
        <w:ind w:left="1440" w:hanging="1440"/>
        <w:jc w:val="both"/>
        <w:rPr>
          <w:b/>
        </w:rPr>
      </w:pPr>
      <w:r w:rsidRPr="00872F1C">
        <w:rPr>
          <w:b/>
          <w:u w:val="single"/>
        </w:rPr>
        <w:t xml:space="preserve">ISSUE </w:t>
      </w:r>
      <w:r w:rsidR="0020631D">
        <w:rPr>
          <w:b/>
          <w:u w:val="single"/>
        </w:rPr>
        <w:t>73</w:t>
      </w:r>
      <w:r w:rsidRPr="00872F1C">
        <w:rPr>
          <w:b/>
          <w:u w:val="single"/>
        </w:rPr>
        <w:t>:</w:t>
      </w:r>
      <w:r w:rsidRPr="00872F1C">
        <w:rPr>
          <w:b/>
        </w:rPr>
        <w:t xml:space="preserve"> </w:t>
      </w:r>
      <w:r w:rsidR="006953CC" w:rsidRPr="006953CC">
        <w:tab/>
      </w:r>
      <w:r w:rsidR="006953CC" w:rsidRPr="00725965">
        <w:rPr>
          <w:b/>
        </w:rPr>
        <w:t>Should this docket be closed?</w:t>
      </w:r>
    </w:p>
    <w:p w14:paraId="5CC4B51C" w14:textId="77777777" w:rsidR="006953CC" w:rsidRDefault="006953CC" w:rsidP="00644687">
      <w:pPr>
        <w:ind w:left="1440" w:hanging="1440"/>
        <w:jc w:val="both"/>
        <w:rPr>
          <w:b/>
          <w:bCs/>
        </w:rPr>
      </w:pPr>
    </w:p>
    <w:p w14:paraId="0164E8F7" w14:textId="77777777" w:rsidR="00644687" w:rsidRPr="00070C96" w:rsidRDefault="00644687" w:rsidP="00644687">
      <w:pPr>
        <w:ind w:left="1440" w:hanging="1440"/>
        <w:jc w:val="both"/>
        <w:rPr>
          <w:bCs/>
        </w:rPr>
      </w:pPr>
      <w:r>
        <w:rPr>
          <w:b/>
          <w:bCs/>
        </w:rPr>
        <w:t>FCG:</w:t>
      </w:r>
      <w:r>
        <w:rPr>
          <w:b/>
          <w:bCs/>
        </w:rPr>
        <w:tab/>
      </w:r>
      <w:r w:rsidR="006423DF" w:rsidRPr="00471540">
        <w:rPr>
          <w:rFonts w:eastAsia="Calibri"/>
          <w:bCs/>
        </w:rPr>
        <w:t>Yes</w:t>
      </w:r>
      <w:r w:rsidR="006423DF">
        <w:rPr>
          <w:rFonts w:eastAsia="Calibri"/>
          <w:bCs/>
        </w:rPr>
        <w:t>.</w:t>
      </w:r>
    </w:p>
    <w:p w14:paraId="1749ED87" w14:textId="77777777" w:rsidR="00644687" w:rsidRPr="00070C96" w:rsidRDefault="00644687" w:rsidP="00644687">
      <w:pPr>
        <w:ind w:left="1440" w:hanging="1440"/>
        <w:jc w:val="both"/>
        <w:rPr>
          <w:bCs/>
        </w:rPr>
      </w:pPr>
    </w:p>
    <w:p w14:paraId="0A2A0474" w14:textId="77777777" w:rsidR="00644687" w:rsidRPr="00070C96" w:rsidRDefault="00644687" w:rsidP="00644687">
      <w:pPr>
        <w:ind w:left="1440" w:hanging="1440"/>
        <w:jc w:val="both"/>
        <w:rPr>
          <w:bCs/>
        </w:rPr>
      </w:pPr>
      <w:r>
        <w:rPr>
          <w:b/>
          <w:bCs/>
        </w:rPr>
        <w:t>OPC:</w:t>
      </w:r>
      <w:r>
        <w:rPr>
          <w:b/>
          <w:bCs/>
        </w:rPr>
        <w:tab/>
      </w:r>
      <w:r w:rsidR="00F955BF">
        <w:t>No position.</w:t>
      </w:r>
    </w:p>
    <w:p w14:paraId="08F97BCC" w14:textId="77777777" w:rsidR="00644687" w:rsidRPr="00070C96" w:rsidRDefault="00644687" w:rsidP="00644687">
      <w:pPr>
        <w:ind w:left="1440" w:hanging="1440"/>
        <w:jc w:val="both"/>
        <w:rPr>
          <w:bCs/>
        </w:rPr>
      </w:pPr>
    </w:p>
    <w:p w14:paraId="660EEBEE" w14:textId="77777777" w:rsidR="00644687" w:rsidRPr="00070C96" w:rsidRDefault="00644687" w:rsidP="00644687">
      <w:pPr>
        <w:ind w:left="1440" w:hanging="1440"/>
        <w:jc w:val="both"/>
        <w:rPr>
          <w:bCs/>
        </w:rPr>
      </w:pPr>
      <w:r>
        <w:rPr>
          <w:b/>
          <w:bCs/>
        </w:rPr>
        <w:t>FEA:</w:t>
      </w:r>
      <w:r>
        <w:rPr>
          <w:b/>
          <w:bCs/>
        </w:rPr>
        <w:tab/>
      </w:r>
      <w:r w:rsidR="009D1863">
        <w:t>No position.</w:t>
      </w:r>
    </w:p>
    <w:p w14:paraId="657DEF19" w14:textId="77777777" w:rsidR="00644687" w:rsidRPr="00070C96" w:rsidRDefault="00644687" w:rsidP="00644687">
      <w:pPr>
        <w:ind w:left="1440" w:hanging="1440"/>
        <w:jc w:val="both"/>
        <w:rPr>
          <w:bCs/>
        </w:rPr>
      </w:pPr>
    </w:p>
    <w:p w14:paraId="2B4A8E51" w14:textId="77777777" w:rsidR="00644687" w:rsidRPr="00070C96" w:rsidRDefault="00644687" w:rsidP="00644687">
      <w:pPr>
        <w:ind w:left="1440" w:hanging="1440"/>
        <w:jc w:val="both"/>
        <w:rPr>
          <w:bCs/>
        </w:rPr>
      </w:pPr>
      <w:r>
        <w:rPr>
          <w:b/>
          <w:bCs/>
        </w:rPr>
        <w:t>FIPUG:</w:t>
      </w:r>
      <w:r>
        <w:rPr>
          <w:b/>
          <w:bCs/>
        </w:rPr>
        <w:tab/>
      </w:r>
      <w:r w:rsidR="00037057" w:rsidRPr="003D62FB">
        <w:rPr>
          <w:bCs/>
          <w:color w:val="000000"/>
        </w:rPr>
        <w:t>Adopt position of OPC.</w:t>
      </w:r>
    </w:p>
    <w:p w14:paraId="6642730B" w14:textId="77777777" w:rsidR="00644687" w:rsidRPr="00070C96" w:rsidRDefault="00644687" w:rsidP="00644687">
      <w:pPr>
        <w:ind w:left="1440" w:hanging="1440"/>
        <w:jc w:val="both"/>
        <w:rPr>
          <w:bCs/>
        </w:rPr>
      </w:pPr>
    </w:p>
    <w:p w14:paraId="1E4460FD" w14:textId="77777777" w:rsidR="00D352CE" w:rsidRDefault="00644687" w:rsidP="00461AFB">
      <w:pPr>
        <w:pStyle w:val="Default"/>
        <w:ind w:left="1440" w:hanging="1440"/>
        <w:jc w:val="both"/>
      </w:pPr>
      <w:r w:rsidRPr="005D4B47">
        <w:rPr>
          <w:b/>
          <w:bCs/>
        </w:rPr>
        <w:t>STAFF</w:t>
      </w:r>
      <w:r w:rsidRPr="00701945">
        <w:rPr>
          <w:b/>
          <w:bCs/>
        </w:rPr>
        <w:t>:</w:t>
      </w:r>
      <w:r>
        <w:rPr>
          <w:b/>
          <w:bCs/>
        </w:rPr>
        <w:tab/>
      </w:r>
      <w:r w:rsidR="00F53BE5">
        <w:t>No position.</w:t>
      </w:r>
    </w:p>
    <w:p w14:paraId="40498448" w14:textId="18A71EBE" w:rsidR="00461AFB" w:rsidRDefault="00461AFB" w:rsidP="008A6E64">
      <w:pPr>
        <w:pStyle w:val="Default"/>
        <w:jc w:val="both"/>
      </w:pPr>
    </w:p>
    <w:p w14:paraId="5E5314D2" w14:textId="105F0265" w:rsidR="005C6EBD" w:rsidRDefault="005C6EBD" w:rsidP="008A6E64">
      <w:pPr>
        <w:pStyle w:val="Default"/>
        <w:jc w:val="both"/>
      </w:pPr>
    </w:p>
    <w:p w14:paraId="27EBA48D" w14:textId="792E6AE8" w:rsidR="005C6EBD" w:rsidRDefault="005C6EBD" w:rsidP="008A6E64">
      <w:pPr>
        <w:pStyle w:val="Default"/>
        <w:jc w:val="both"/>
      </w:pPr>
    </w:p>
    <w:p w14:paraId="04C830AF" w14:textId="68B0888D" w:rsidR="005C6EBD" w:rsidRDefault="005C6EBD" w:rsidP="008A6E64">
      <w:pPr>
        <w:pStyle w:val="Default"/>
        <w:jc w:val="both"/>
      </w:pPr>
    </w:p>
    <w:p w14:paraId="577382C1" w14:textId="308F51BD" w:rsidR="005C6EBD" w:rsidRDefault="005C6EBD" w:rsidP="008A6E64">
      <w:pPr>
        <w:pStyle w:val="Default"/>
        <w:jc w:val="both"/>
      </w:pPr>
    </w:p>
    <w:p w14:paraId="053F9A67" w14:textId="778D16C6" w:rsidR="005C6EBD" w:rsidRDefault="005C6EBD" w:rsidP="008A6E64">
      <w:pPr>
        <w:pStyle w:val="Default"/>
        <w:jc w:val="both"/>
      </w:pPr>
    </w:p>
    <w:p w14:paraId="7AAF8FAE" w14:textId="62D0FB8C" w:rsidR="005C6EBD" w:rsidRDefault="005C6EBD" w:rsidP="008A6E64">
      <w:pPr>
        <w:pStyle w:val="Default"/>
        <w:jc w:val="both"/>
      </w:pPr>
    </w:p>
    <w:p w14:paraId="064F1529" w14:textId="0D9102F5" w:rsidR="005C6EBD" w:rsidRDefault="005C6EBD" w:rsidP="008A6E64">
      <w:pPr>
        <w:pStyle w:val="Default"/>
        <w:jc w:val="both"/>
      </w:pPr>
    </w:p>
    <w:p w14:paraId="0F2B386A" w14:textId="77777777" w:rsidR="005C6EBD" w:rsidRDefault="005C6EBD" w:rsidP="008A6E64">
      <w:pPr>
        <w:pStyle w:val="Default"/>
        <w:jc w:val="both"/>
      </w:pPr>
    </w:p>
    <w:p w14:paraId="7158232E" w14:textId="77777777" w:rsidR="004024FD" w:rsidRDefault="004024FD" w:rsidP="00747BAF">
      <w:pPr>
        <w:pStyle w:val="Default"/>
        <w:ind w:left="1440" w:hanging="1440"/>
        <w:jc w:val="both"/>
      </w:pPr>
    </w:p>
    <w:p w14:paraId="2E45248C" w14:textId="77777777" w:rsidR="00E50AC7" w:rsidRPr="00747BAF" w:rsidRDefault="00E50AC7" w:rsidP="00747BAF">
      <w:pPr>
        <w:pStyle w:val="Default"/>
        <w:ind w:left="1440" w:hanging="1440"/>
        <w:jc w:val="both"/>
      </w:pPr>
      <w:r w:rsidRPr="00A32DC5">
        <w:rPr>
          <w:b/>
        </w:rPr>
        <w:t>IX.</w:t>
      </w:r>
      <w:r w:rsidRPr="00A32DC5">
        <w:rPr>
          <w:b/>
        </w:rPr>
        <w:tab/>
      </w:r>
      <w:r w:rsidRPr="00A32DC5">
        <w:rPr>
          <w:b/>
          <w:u w:val="single"/>
        </w:rPr>
        <w:t>EXHIBIT LIST</w:t>
      </w:r>
    </w:p>
    <w:p w14:paraId="2D97D931" w14:textId="77777777" w:rsidR="00E50AC7" w:rsidRPr="00701945" w:rsidRDefault="00E50AC7" w:rsidP="00E50AC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E50AC7" w:rsidRPr="00701945" w14:paraId="33DBBD16" w14:textId="77777777" w:rsidTr="006F034C">
        <w:trPr>
          <w:cantSplit/>
          <w:trHeight w:val="373"/>
          <w:tblHeader/>
        </w:trPr>
        <w:tc>
          <w:tcPr>
            <w:tcW w:w="3198" w:type="dxa"/>
            <w:tcBorders>
              <w:top w:val="nil"/>
              <w:left w:val="nil"/>
              <w:bottom w:val="nil"/>
              <w:right w:val="nil"/>
            </w:tcBorders>
          </w:tcPr>
          <w:p w14:paraId="3573E778" w14:textId="77777777" w:rsidR="00E50AC7" w:rsidRPr="00701945" w:rsidRDefault="00E50AC7" w:rsidP="006F034C">
            <w:pPr>
              <w:jc w:val="both"/>
            </w:pPr>
            <w:r w:rsidRPr="00701945">
              <w:rPr>
                <w:u w:val="single"/>
              </w:rPr>
              <w:t>Witness</w:t>
            </w:r>
          </w:p>
        </w:tc>
        <w:tc>
          <w:tcPr>
            <w:tcW w:w="1680" w:type="dxa"/>
            <w:tcBorders>
              <w:top w:val="nil"/>
              <w:left w:val="nil"/>
              <w:bottom w:val="nil"/>
              <w:right w:val="nil"/>
            </w:tcBorders>
          </w:tcPr>
          <w:p w14:paraId="3A83C90D" w14:textId="77777777" w:rsidR="00E50AC7" w:rsidRPr="00701945" w:rsidRDefault="00E50AC7" w:rsidP="00895CB4">
            <w:pPr>
              <w:jc w:val="center"/>
            </w:pPr>
            <w:r w:rsidRPr="00701945">
              <w:rPr>
                <w:u w:val="single"/>
              </w:rPr>
              <w:t>Proffered By</w:t>
            </w:r>
          </w:p>
        </w:tc>
        <w:tc>
          <w:tcPr>
            <w:tcW w:w="1482" w:type="dxa"/>
            <w:tcBorders>
              <w:top w:val="nil"/>
              <w:left w:val="nil"/>
              <w:bottom w:val="nil"/>
              <w:right w:val="nil"/>
            </w:tcBorders>
          </w:tcPr>
          <w:p w14:paraId="6CC4C51F" w14:textId="77777777" w:rsidR="00E50AC7" w:rsidRPr="004515FB" w:rsidRDefault="00E50AC7" w:rsidP="00895CB4">
            <w:pPr>
              <w:jc w:val="center"/>
            </w:pPr>
          </w:p>
        </w:tc>
        <w:tc>
          <w:tcPr>
            <w:tcW w:w="3205" w:type="dxa"/>
            <w:tcBorders>
              <w:top w:val="nil"/>
              <w:left w:val="nil"/>
              <w:bottom w:val="nil"/>
              <w:right w:val="nil"/>
            </w:tcBorders>
          </w:tcPr>
          <w:p w14:paraId="53CB2874" w14:textId="77777777" w:rsidR="00E50AC7" w:rsidRPr="00701945" w:rsidRDefault="00E50AC7" w:rsidP="006F034C">
            <w:pPr>
              <w:jc w:val="both"/>
            </w:pPr>
            <w:r w:rsidRPr="00701945">
              <w:rPr>
                <w:u w:val="single"/>
              </w:rPr>
              <w:t>Description</w:t>
            </w:r>
          </w:p>
        </w:tc>
      </w:tr>
      <w:tr w:rsidR="00E50AC7" w:rsidRPr="00701945" w14:paraId="2E96ACFC" w14:textId="77777777" w:rsidTr="006F034C">
        <w:trPr>
          <w:cantSplit/>
          <w:trHeight w:val="353"/>
        </w:trPr>
        <w:tc>
          <w:tcPr>
            <w:tcW w:w="3198" w:type="dxa"/>
            <w:tcBorders>
              <w:top w:val="nil"/>
              <w:left w:val="nil"/>
              <w:bottom w:val="nil"/>
              <w:right w:val="nil"/>
            </w:tcBorders>
          </w:tcPr>
          <w:p w14:paraId="0FF1D1C2" w14:textId="77777777" w:rsidR="00E50AC7" w:rsidRPr="00701945" w:rsidRDefault="00E50AC7" w:rsidP="006F034C">
            <w:pPr>
              <w:jc w:val="both"/>
            </w:pPr>
            <w:r w:rsidRPr="00701945">
              <w:tab/>
            </w:r>
            <w:r w:rsidRPr="00701945">
              <w:rPr>
                <w:u w:val="single"/>
              </w:rPr>
              <w:t>Direct</w:t>
            </w:r>
          </w:p>
        </w:tc>
        <w:tc>
          <w:tcPr>
            <w:tcW w:w="1680" w:type="dxa"/>
            <w:tcBorders>
              <w:top w:val="nil"/>
              <w:left w:val="nil"/>
              <w:bottom w:val="nil"/>
              <w:right w:val="nil"/>
            </w:tcBorders>
          </w:tcPr>
          <w:p w14:paraId="4B08AE02" w14:textId="77777777" w:rsidR="00E50AC7" w:rsidRPr="00701945" w:rsidRDefault="00E50AC7" w:rsidP="00895CB4">
            <w:pPr>
              <w:jc w:val="center"/>
            </w:pPr>
          </w:p>
        </w:tc>
        <w:tc>
          <w:tcPr>
            <w:tcW w:w="1482" w:type="dxa"/>
            <w:tcBorders>
              <w:top w:val="nil"/>
              <w:left w:val="nil"/>
              <w:bottom w:val="nil"/>
              <w:right w:val="nil"/>
            </w:tcBorders>
          </w:tcPr>
          <w:p w14:paraId="270854DA" w14:textId="77777777" w:rsidR="00E50AC7" w:rsidRPr="004515FB" w:rsidRDefault="00E50AC7" w:rsidP="00895CB4">
            <w:pPr>
              <w:jc w:val="center"/>
            </w:pPr>
          </w:p>
        </w:tc>
        <w:tc>
          <w:tcPr>
            <w:tcW w:w="3205" w:type="dxa"/>
            <w:tcBorders>
              <w:top w:val="nil"/>
              <w:left w:val="nil"/>
              <w:bottom w:val="nil"/>
              <w:right w:val="nil"/>
            </w:tcBorders>
          </w:tcPr>
          <w:p w14:paraId="05ABE5AC" w14:textId="77777777" w:rsidR="00E50AC7" w:rsidRPr="00701945" w:rsidRDefault="00E50AC7" w:rsidP="006F034C"/>
        </w:tc>
      </w:tr>
      <w:tr w:rsidR="00B46D75" w:rsidRPr="00701945" w14:paraId="7061F138" w14:textId="77777777" w:rsidTr="006F034C">
        <w:trPr>
          <w:cantSplit/>
          <w:trHeight w:val="726"/>
        </w:trPr>
        <w:tc>
          <w:tcPr>
            <w:tcW w:w="3198" w:type="dxa"/>
            <w:tcBorders>
              <w:top w:val="nil"/>
              <w:left w:val="nil"/>
              <w:bottom w:val="nil"/>
              <w:right w:val="nil"/>
            </w:tcBorders>
          </w:tcPr>
          <w:p w14:paraId="65770D8C" w14:textId="77777777" w:rsidR="00B46D75" w:rsidRPr="00701945" w:rsidRDefault="00B46D75" w:rsidP="00B46D75">
            <w:pPr>
              <w:jc w:val="both"/>
            </w:pPr>
            <w:r>
              <w:t>Kurt S. Howard</w:t>
            </w:r>
          </w:p>
        </w:tc>
        <w:tc>
          <w:tcPr>
            <w:tcW w:w="1680" w:type="dxa"/>
            <w:tcBorders>
              <w:top w:val="nil"/>
              <w:left w:val="nil"/>
              <w:bottom w:val="nil"/>
              <w:right w:val="nil"/>
            </w:tcBorders>
          </w:tcPr>
          <w:p w14:paraId="234F9112" w14:textId="77777777" w:rsidR="00B46D75" w:rsidRDefault="00B46D75" w:rsidP="00895CB4">
            <w:pPr>
              <w:pStyle w:val="NormalWeb"/>
              <w:keepNext/>
              <w:jc w:val="center"/>
            </w:pPr>
            <w:r>
              <w:t>FCG</w:t>
            </w:r>
          </w:p>
        </w:tc>
        <w:tc>
          <w:tcPr>
            <w:tcW w:w="1482" w:type="dxa"/>
            <w:tcBorders>
              <w:top w:val="nil"/>
              <w:left w:val="nil"/>
              <w:bottom w:val="nil"/>
              <w:right w:val="nil"/>
            </w:tcBorders>
          </w:tcPr>
          <w:p w14:paraId="3E7D37E1" w14:textId="77777777" w:rsidR="00B46D75" w:rsidRDefault="00B46D75" w:rsidP="00895CB4">
            <w:pPr>
              <w:pStyle w:val="NormalWeb"/>
              <w:keepNext/>
              <w:jc w:val="center"/>
            </w:pPr>
            <w:r>
              <w:t>KSH-1</w:t>
            </w:r>
          </w:p>
        </w:tc>
        <w:tc>
          <w:tcPr>
            <w:tcW w:w="3205" w:type="dxa"/>
            <w:tcBorders>
              <w:top w:val="nil"/>
              <w:left w:val="nil"/>
              <w:bottom w:val="nil"/>
              <w:right w:val="nil"/>
            </w:tcBorders>
          </w:tcPr>
          <w:p w14:paraId="64D5927F" w14:textId="77777777" w:rsidR="00B46D75" w:rsidRDefault="00B46D75" w:rsidP="00B46D75">
            <w:pPr>
              <w:pStyle w:val="NormalWeb"/>
              <w:keepNext/>
            </w:pPr>
            <w:r>
              <w:t>List of MFRs Sponsored or Co-Sponsored by Kurt S. Howard</w:t>
            </w:r>
          </w:p>
        </w:tc>
      </w:tr>
      <w:tr w:rsidR="00B46D75" w:rsidRPr="00701945" w14:paraId="697A98A9" w14:textId="77777777" w:rsidTr="006F034C">
        <w:trPr>
          <w:cantSplit/>
          <w:trHeight w:val="353"/>
        </w:trPr>
        <w:tc>
          <w:tcPr>
            <w:tcW w:w="3198" w:type="dxa"/>
            <w:tcBorders>
              <w:top w:val="nil"/>
              <w:left w:val="nil"/>
              <w:bottom w:val="nil"/>
              <w:right w:val="nil"/>
            </w:tcBorders>
          </w:tcPr>
          <w:p w14:paraId="786FDE70" w14:textId="77777777" w:rsidR="00B46D75" w:rsidRPr="00701945" w:rsidRDefault="00B46D75" w:rsidP="00B46D75">
            <w:pPr>
              <w:jc w:val="both"/>
            </w:pPr>
            <w:r>
              <w:t>Mark Campbell</w:t>
            </w:r>
          </w:p>
        </w:tc>
        <w:tc>
          <w:tcPr>
            <w:tcW w:w="1680" w:type="dxa"/>
            <w:tcBorders>
              <w:top w:val="nil"/>
              <w:left w:val="nil"/>
              <w:bottom w:val="nil"/>
              <w:right w:val="nil"/>
            </w:tcBorders>
          </w:tcPr>
          <w:p w14:paraId="76B55A82" w14:textId="77777777" w:rsidR="00B46D75" w:rsidRDefault="00B46D75" w:rsidP="00895CB4">
            <w:pPr>
              <w:pStyle w:val="NormalWeb"/>
              <w:keepNext/>
              <w:jc w:val="center"/>
            </w:pPr>
            <w:r w:rsidRPr="00CD5F2B">
              <w:t>FCG</w:t>
            </w:r>
          </w:p>
        </w:tc>
        <w:tc>
          <w:tcPr>
            <w:tcW w:w="1482" w:type="dxa"/>
            <w:tcBorders>
              <w:top w:val="nil"/>
              <w:left w:val="nil"/>
              <w:bottom w:val="nil"/>
              <w:right w:val="nil"/>
            </w:tcBorders>
          </w:tcPr>
          <w:p w14:paraId="265E15C1" w14:textId="77777777" w:rsidR="00B46D75" w:rsidRDefault="00B46D75" w:rsidP="00895CB4">
            <w:pPr>
              <w:pStyle w:val="NormalWeb"/>
              <w:keepNext/>
              <w:jc w:val="center"/>
            </w:pPr>
            <w:r>
              <w:t>MC-1</w:t>
            </w:r>
          </w:p>
        </w:tc>
        <w:tc>
          <w:tcPr>
            <w:tcW w:w="3205" w:type="dxa"/>
            <w:tcBorders>
              <w:top w:val="nil"/>
              <w:left w:val="nil"/>
              <w:bottom w:val="nil"/>
              <w:right w:val="nil"/>
            </w:tcBorders>
          </w:tcPr>
          <w:p w14:paraId="02754F94" w14:textId="77777777" w:rsidR="00B46D75" w:rsidRDefault="00B46D75" w:rsidP="00B46D75">
            <w:pPr>
              <w:pStyle w:val="NormalWeb"/>
              <w:keepNext/>
            </w:pPr>
            <w:r>
              <w:t>List of MFRs Sponsored or Co-Sponsored by Mark Campbell</w:t>
            </w:r>
          </w:p>
        </w:tc>
      </w:tr>
      <w:tr w:rsidR="00B46D75" w:rsidRPr="00701945" w14:paraId="2CEE5422" w14:textId="77777777" w:rsidTr="006F034C">
        <w:trPr>
          <w:cantSplit/>
          <w:trHeight w:val="373"/>
        </w:trPr>
        <w:tc>
          <w:tcPr>
            <w:tcW w:w="3198" w:type="dxa"/>
            <w:tcBorders>
              <w:top w:val="nil"/>
              <w:left w:val="nil"/>
              <w:bottom w:val="nil"/>
              <w:right w:val="nil"/>
            </w:tcBorders>
          </w:tcPr>
          <w:p w14:paraId="1F3F7892" w14:textId="77777777" w:rsidR="00B46D75" w:rsidRPr="00701945" w:rsidRDefault="005F742D" w:rsidP="00B46D75">
            <w:pPr>
              <w:jc w:val="both"/>
            </w:pPr>
            <w:r>
              <w:t>Mark Campbell</w:t>
            </w:r>
          </w:p>
        </w:tc>
        <w:tc>
          <w:tcPr>
            <w:tcW w:w="1680" w:type="dxa"/>
            <w:tcBorders>
              <w:top w:val="nil"/>
              <w:left w:val="nil"/>
              <w:bottom w:val="nil"/>
              <w:right w:val="nil"/>
            </w:tcBorders>
          </w:tcPr>
          <w:p w14:paraId="6101361B" w14:textId="77777777" w:rsidR="00B46D75" w:rsidRDefault="00B46D75" w:rsidP="00895CB4">
            <w:pPr>
              <w:pStyle w:val="NormalWeb"/>
              <w:keepNext/>
              <w:jc w:val="center"/>
            </w:pPr>
            <w:r w:rsidRPr="00CD5F2B">
              <w:t>FCG</w:t>
            </w:r>
          </w:p>
        </w:tc>
        <w:tc>
          <w:tcPr>
            <w:tcW w:w="1482" w:type="dxa"/>
            <w:tcBorders>
              <w:top w:val="nil"/>
              <w:left w:val="nil"/>
              <w:bottom w:val="nil"/>
              <w:right w:val="nil"/>
            </w:tcBorders>
          </w:tcPr>
          <w:p w14:paraId="06858513" w14:textId="77777777" w:rsidR="00B46D75" w:rsidRDefault="00B46D75" w:rsidP="00895CB4">
            <w:pPr>
              <w:pStyle w:val="NormalWeb"/>
              <w:keepNext/>
              <w:jc w:val="center"/>
            </w:pPr>
            <w:r w:rsidRPr="00C46F06">
              <w:t>MC-</w:t>
            </w:r>
            <w:r>
              <w:t>2</w:t>
            </w:r>
          </w:p>
        </w:tc>
        <w:tc>
          <w:tcPr>
            <w:tcW w:w="3205" w:type="dxa"/>
            <w:tcBorders>
              <w:top w:val="nil"/>
              <w:left w:val="nil"/>
              <w:bottom w:val="nil"/>
              <w:right w:val="nil"/>
            </w:tcBorders>
          </w:tcPr>
          <w:p w14:paraId="4B4EE685" w14:textId="77777777" w:rsidR="00B46D75" w:rsidRDefault="00B46D75" w:rsidP="00B46D75">
            <w:pPr>
              <w:pStyle w:val="NormalWeb"/>
              <w:keepNext/>
            </w:pPr>
            <w:r>
              <w:t>Planning and Budgeting Process Guidelines</w:t>
            </w:r>
          </w:p>
        </w:tc>
      </w:tr>
      <w:tr w:rsidR="00B46D75" w:rsidRPr="00701945" w14:paraId="11AE151B" w14:textId="77777777" w:rsidTr="006F034C">
        <w:trPr>
          <w:cantSplit/>
          <w:trHeight w:val="353"/>
        </w:trPr>
        <w:tc>
          <w:tcPr>
            <w:tcW w:w="3198" w:type="dxa"/>
            <w:tcBorders>
              <w:top w:val="nil"/>
              <w:left w:val="nil"/>
              <w:bottom w:val="nil"/>
              <w:right w:val="nil"/>
            </w:tcBorders>
          </w:tcPr>
          <w:p w14:paraId="4E1E71B2" w14:textId="77777777" w:rsidR="00B46D75" w:rsidRPr="00701945" w:rsidRDefault="005F742D" w:rsidP="00B46D75">
            <w:pPr>
              <w:jc w:val="both"/>
            </w:pPr>
            <w:r>
              <w:t>Mark Campbell</w:t>
            </w:r>
          </w:p>
        </w:tc>
        <w:tc>
          <w:tcPr>
            <w:tcW w:w="1680" w:type="dxa"/>
            <w:tcBorders>
              <w:top w:val="nil"/>
              <w:left w:val="nil"/>
              <w:bottom w:val="nil"/>
              <w:right w:val="nil"/>
            </w:tcBorders>
          </w:tcPr>
          <w:p w14:paraId="00FC8F3D" w14:textId="77777777" w:rsidR="00B46D75" w:rsidRDefault="00B46D75" w:rsidP="00895CB4">
            <w:pPr>
              <w:pStyle w:val="NormalWeb"/>
              <w:keepNext/>
              <w:jc w:val="center"/>
            </w:pPr>
            <w:r w:rsidRPr="00CD5F2B">
              <w:t>FCG</w:t>
            </w:r>
          </w:p>
        </w:tc>
        <w:tc>
          <w:tcPr>
            <w:tcW w:w="1482" w:type="dxa"/>
            <w:tcBorders>
              <w:top w:val="nil"/>
              <w:left w:val="nil"/>
              <w:bottom w:val="nil"/>
              <w:right w:val="nil"/>
            </w:tcBorders>
          </w:tcPr>
          <w:p w14:paraId="740FB4E7" w14:textId="77777777" w:rsidR="00B46D75" w:rsidRDefault="00B46D75" w:rsidP="00895CB4">
            <w:pPr>
              <w:pStyle w:val="NormalWeb"/>
              <w:keepNext/>
              <w:jc w:val="center"/>
            </w:pPr>
            <w:r w:rsidRPr="00C46F06">
              <w:t>MC-</w:t>
            </w:r>
            <w:r>
              <w:t>3</w:t>
            </w:r>
          </w:p>
        </w:tc>
        <w:tc>
          <w:tcPr>
            <w:tcW w:w="3205" w:type="dxa"/>
            <w:tcBorders>
              <w:top w:val="nil"/>
              <w:left w:val="nil"/>
              <w:bottom w:val="nil"/>
              <w:right w:val="nil"/>
            </w:tcBorders>
          </w:tcPr>
          <w:p w14:paraId="199C0665" w14:textId="77777777" w:rsidR="00B46D75" w:rsidRDefault="00B46D75" w:rsidP="00B46D75">
            <w:pPr>
              <w:pStyle w:val="NormalWeb"/>
              <w:keepNext/>
            </w:pPr>
            <w:r>
              <w:t>Florida City Gas Forecasting Process Overview</w:t>
            </w:r>
          </w:p>
        </w:tc>
      </w:tr>
      <w:tr w:rsidR="00B46D75" w:rsidRPr="00701945" w14:paraId="310C357D" w14:textId="77777777" w:rsidTr="006F034C">
        <w:trPr>
          <w:cantSplit/>
          <w:trHeight w:val="353"/>
        </w:trPr>
        <w:tc>
          <w:tcPr>
            <w:tcW w:w="3198" w:type="dxa"/>
            <w:tcBorders>
              <w:top w:val="nil"/>
              <w:left w:val="nil"/>
              <w:bottom w:val="nil"/>
              <w:right w:val="nil"/>
            </w:tcBorders>
          </w:tcPr>
          <w:p w14:paraId="5E6C5A10" w14:textId="77777777" w:rsidR="00B46D75" w:rsidRPr="00701945" w:rsidRDefault="005F742D" w:rsidP="00B46D75">
            <w:pPr>
              <w:jc w:val="both"/>
            </w:pPr>
            <w:r>
              <w:t>Mark Campbell</w:t>
            </w:r>
          </w:p>
        </w:tc>
        <w:tc>
          <w:tcPr>
            <w:tcW w:w="1680" w:type="dxa"/>
            <w:tcBorders>
              <w:top w:val="nil"/>
              <w:left w:val="nil"/>
              <w:bottom w:val="nil"/>
              <w:right w:val="nil"/>
            </w:tcBorders>
          </w:tcPr>
          <w:p w14:paraId="7DC80CEC" w14:textId="77777777" w:rsidR="00B46D75" w:rsidRDefault="00B46D75" w:rsidP="00895CB4">
            <w:pPr>
              <w:pStyle w:val="NormalWeb"/>
              <w:jc w:val="center"/>
            </w:pPr>
            <w:r w:rsidRPr="00CD5F2B">
              <w:t>FCG</w:t>
            </w:r>
          </w:p>
        </w:tc>
        <w:tc>
          <w:tcPr>
            <w:tcW w:w="1482" w:type="dxa"/>
            <w:tcBorders>
              <w:top w:val="nil"/>
              <w:left w:val="nil"/>
              <w:bottom w:val="nil"/>
              <w:right w:val="nil"/>
            </w:tcBorders>
          </w:tcPr>
          <w:p w14:paraId="7EA4B643" w14:textId="77777777" w:rsidR="00B46D75" w:rsidRDefault="00B46D75" w:rsidP="00895CB4">
            <w:pPr>
              <w:pStyle w:val="NormalWeb"/>
              <w:jc w:val="center"/>
            </w:pPr>
            <w:r w:rsidRPr="00C46F06">
              <w:t>MC-</w:t>
            </w:r>
            <w:r>
              <w:t>4</w:t>
            </w:r>
          </w:p>
        </w:tc>
        <w:tc>
          <w:tcPr>
            <w:tcW w:w="3205" w:type="dxa"/>
            <w:tcBorders>
              <w:top w:val="nil"/>
              <w:left w:val="nil"/>
              <w:bottom w:val="nil"/>
              <w:right w:val="nil"/>
            </w:tcBorders>
          </w:tcPr>
          <w:p w14:paraId="0FF12459" w14:textId="77777777" w:rsidR="00B46D75" w:rsidRDefault="00B46D75" w:rsidP="00B46D75">
            <w:pPr>
              <w:pStyle w:val="NormalWeb"/>
            </w:pPr>
            <w:r>
              <w:t>Major Forecast Assumptions</w:t>
            </w:r>
          </w:p>
        </w:tc>
      </w:tr>
      <w:tr w:rsidR="00B46D75" w:rsidRPr="00701945" w14:paraId="5B642813" w14:textId="77777777" w:rsidTr="006F034C">
        <w:trPr>
          <w:cantSplit/>
          <w:trHeight w:val="373"/>
        </w:trPr>
        <w:tc>
          <w:tcPr>
            <w:tcW w:w="3198" w:type="dxa"/>
            <w:tcBorders>
              <w:top w:val="nil"/>
              <w:left w:val="nil"/>
              <w:bottom w:val="nil"/>
              <w:right w:val="nil"/>
            </w:tcBorders>
          </w:tcPr>
          <w:p w14:paraId="3C6CB701" w14:textId="77777777" w:rsidR="00B46D75" w:rsidRPr="00701945" w:rsidRDefault="005F742D" w:rsidP="00B46D75">
            <w:pPr>
              <w:jc w:val="both"/>
            </w:pPr>
            <w:r>
              <w:t>Mark Campbell</w:t>
            </w:r>
          </w:p>
        </w:tc>
        <w:tc>
          <w:tcPr>
            <w:tcW w:w="1680" w:type="dxa"/>
            <w:tcBorders>
              <w:top w:val="nil"/>
              <w:left w:val="nil"/>
              <w:bottom w:val="nil"/>
              <w:right w:val="nil"/>
            </w:tcBorders>
          </w:tcPr>
          <w:p w14:paraId="31B57CDA" w14:textId="77777777" w:rsidR="00B46D75" w:rsidRDefault="00B46D75" w:rsidP="00895CB4">
            <w:pPr>
              <w:pStyle w:val="NormalWeb"/>
              <w:jc w:val="center"/>
            </w:pPr>
            <w:r w:rsidRPr="00CD5F2B">
              <w:t>FCG</w:t>
            </w:r>
          </w:p>
        </w:tc>
        <w:tc>
          <w:tcPr>
            <w:tcW w:w="1482" w:type="dxa"/>
            <w:tcBorders>
              <w:top w:val="nil"/>
              <w:left w:val="nil"/>
              <w:bottom w:val="nil"/>
              <w:right w:val="nil"/>
            </w:tcBorders>
          </w:tcPr>
          <w:p w14:paraId="1A8388B8" w14:textId="77777777" w:rsidR="00B46D75" w:rsidRDefault="00B46D75" w:rsidP="00895CB4">
            <w:pPr>
              <w:pStyle w:val="NormalWeb"/>
              <w:jc w:val="center"/>
            </w:pPr>
            <w:r w:rsidRPr="00C46F06">
              <w:t>MC-</w:t>
            </w:r>
            <w:r>
              <w:t>5</w:t>
            </w:r>
          </w:p>
        </w:tc>
        <w:tc>
          <w:tcPr>
            <w:tcW w:w="3205" w:type="dxa"/>
            <w:tcBorders>
              <w:top w:val="nil"/>
              <w:left w:val="nil"/>
              <w:bottom w:val="nil"/>
              <w:right w:val="nil"/>
            </w:tcBorders>
          </w:tcPr>
          <w:p w14:paraId="4320C64C" w14:textId="77777777" w:rsidR="00B46D75" w:rsidRDefault="00B46D75" w:rsidP="00B46D75">
            <w:pPr>
              <w:pStyle w:val="NormalWeb"/>
            </w:pPr>
            <w:r>
              <w:t>Drivers of the Increase in Revenue Requirements</w:t>
            </w:r>
          </w:p>
        </w:tc>
      </w:tr>
      <w:tr w:rsidR="00B46D75" w:rsidRPr="00701945" w14:paraId="1001FAFE" w14:textId="77777777" w:rsidTr="006F034C">
        <w:trPr>
          <w:cantSplit/>
          <w:trHeight w:val="353"/>
        </w:trPr>
        <w:tc>
          <w:tcPr>
            <w:tcW w:w="3198" w:type="dxa"/>
            <w:tcBorders>
              <w:top w:val="nil"/>
              <w:left w:val="nil"/>
              <w:bottom w:val="nil"/>
              <w:right w:val="nil"/>
            </w:tcBorders>
          </w:tcPr>
          <w:p w14:paraId="2C625245" w14:textId="77777777" w:rsidR="00B46D75" w:rsidRDefault="00B46D75" w:rsidP="00B46D75">
            <w:pPr>
              <w:pStyle w:val="NormalWeb"/>
              <w:spacing w:before="0" w:beforeAutospacing="0" w:after="0" w:afterAutospacing="0"/>
            </w:pPr>
            <w:r w:rsidRPr="00E11E95">
              <w:t>Mark Campbell</w:t>
            </w:r>
            <w:r>
              <w:t>;</w:t>
            </w:r>
          </w:p>
          <w:p w14:paraId="52FAF416" w14:textId="77777777" w:rsidR="00B46D75" w:rsidRDefault="00B46D75" w:rsidP="00B46D75">
            <w:pPr>
              <w:pStyle w:val="NormalWeb"/>
              <w:spacing w:before="0" w:beforeAutospacing="0" w:after="0" w:afterAutospacing="0"/>
            </w:pPr>
            <w:r>
              <w:t>Liz Fuentes</w:t>
            </w:r>
          </w:p>
        </w:tc>
        <w:tc>
          <w:tcPr>
            <w:tcW w:w="1680" w:type="dxa"/>
            <w:tcBorders>
              <w:top w:val="nil"/>
              <w:left w:val="nil"/>
              <w:bottom w:val="nil"/>
              <w:right w:val="nil"/>
            </w:tcBorders>
          </w:tcPr>
          <w:p w14:paraId="0072D3BA" w14:textId="77777777" w:rsidR="00B46D75" w:rsidRDefault="00B46D75" w:rsidP="00895CB4">
            <w:pPr>
              <w:pStyle w:val="NormalWeb"/>
              <w:jc w:val="center"/>
            </w:pPr>
            <w:r w:rsidRPr="00CD5F2B">
              <w:t>FCG</w:t>
            </w:r>
          </w:p>
        </w:tc>
        <w:tc>
          <w:tcPr>
            <w:tcW w:w="1482" w:type="dxa"/>
            <w:tcBorders>
              <w:top w:val="nil"/>
              <w:left w:val="nil"/>
              <w:bottom w:val="nil"/>
              <w:right w:val="nil"/>
            </w:tcBorders>
          </w:tcPr>
          <w:p w14:paraId="503130FB" w14:textId="77777777" w:rsidR="00B46D75" w:rsidRDefault="00B46D75" w:rsidP="00895CB4">
            <w:pPr>
              <w:pStyle w:val="NormalWeb"/>
              <w:jc w:val="center"/>
            </w:pPr>
            <w:r w:rsidRPr="00C46F06">
              <w:t>MC-</w:t>
            </w:r>
            <w:r>
              <w:t>6</w:t>
            </w:r>
          </w:p>
        </w:tc>
        <w:tc>
          <w:tcPr>
            <w:tcW w:w="3205" w:type="dxa"/>
            <w:tcBorders>
              <w:top w:val="nil"/>
              <w:left w:val="nil"/>
              <w:bottom w:val="nil"/>
              <w:right w:val="nil"/>
            </w:tcBorders>
          </w:tcPr>
          <w:p w14:paraId="0A30DFAF" w14:textId="77777777" w:rsidR="00B46D75" w:rsidRDefault="00B46D75" w:rsidP="00B46D75">
            <w:pPr>
              <w:pStyle w:val="NormalWeb"/>
            </w:pPr>
            <w:r>
              <w:t>Reserve Surplus Amortization Mechanism</w:t>
            </w:r>
          </w:p>
        </w:tc>
      </w:tr>
      <w:tr w:rsidR="00B46D75" w:rsidRPr="00701945" w14:paraId="5B98E562" w14:textId="77777777" w:rsidTr="006F034C">
        <w:trPr>
          <w:cantSplit/>
          <w:trHeight w:val="353"/>
        </w:trPr>
        <w:tc>
          <w:tcPr>
            <w:tcW w:w="3198" w:type="dxa"/>
            <w:tcBorders>
              <w:top w:val="nil"/>
              <w:left w:val="nil"/>
              <w:bottom w:val="nil"/>
              <w:right w:val="nil"/>
            </w:tcBorders>
          </w:tcPr>
          <w:p w14:paraId="3706A184" w14:textId="77777777" w:rsidR="00B46D75" w:rsidRDefault="00B46D75" w:rsidP="00B46D75">
            <w:pPr>
              <w:pStyle w:val="NormalWeb"/>
            </w:pPr>
            <w:r>
              <w:t>Liz Fuentes</w:t>
            </w:r>
          </w:p>
        </w:tc>
        <w:tc>
          <w:tcPr>
            <w:tcW w:w="1680" w:type="dxa"/>
            <w:tcBorders>
              <w:top w:val="nil"/>
              <w:left w:val="nil"/>
              <w:bottom w:val="nil"/>
              <w:right w:val="nil"/>
            </w:tcBorders>
          </w:tcPr>
          <w:p w14:paraId="146F041F" w14:textId="77777777" w:rsidR="00B46D75" w:rsidRDefault="00B46D75" w:rsidP="00895CB4">
            <w:pPr>
              <w:pStyle w:val="NormalWeb"/>
              <w:jc w:val="center"/>
            </w:pPr>
            <w:r w:rsidRPr="0086716F">
              <w:t>FCG</w:t>
            </w:r>
          </w:p>
        </w:tc>
        <w:tc>
          <w:tcPr>
            <w:tcW w:w="1482" w:type="dxa"/>
            <w:tcBorders>
              <w:top w:val="nil"/>
              <w:left w:val="nil"/>
              <w:bottom w:val="nil"/>
              <w:right w:val="nil"/>
            </w:tcBorders>
          </w:tcPr>
          <w:p w14:paraId="01FDD176" w14:textId="77777777" w:rsidR="00B46D75" w:rsidRDefault="00B46D75" w:rsidP="00895CB4">
            <w:pPr>
              <w:pStyle w:val="NormalWeb"/>
              <w:jc w:val="center"/>
            </w:pPr>
            <w:r>
              <w:t>LF-1</w:t>
            </w:r>
          </w:p>
        </w:tc>
        <w:tc>
          <w:tcPr>
            <w:tcW w:w="3205" w:type="dxa"/>
            <w:tcBorders>
              <w:top w:val="nil"/>
              <w:left w:val="nil"/>
              <w:bottom w:val="nil"/>
              <w:right w:val="nil"/>
            </w:tcBorders>
          </w:tcPr>
          <w:p w14:paraId="01595830" w14:textId="77777777" w:rsidR="00B46D75" w:rsidRDefault="00B46D75" w:rsidP="00B46D75">
            <w:pPr>
              <w:pStyle w:val="NormalWeb"/>
            </w:pPr>
            <w:r>
              <w:t>List of MFRs Sponsored or Co-Sponsored by Liz Fuentes</w:t>
            </w:r>
          </w:p>
        </w:tc>
      </w:tr>
      <w:tr w:rsidR="00B46D75" w:rsidRPr="00701945" w14:paraId="0389D4D4" w14:textId="77777777" w:rsidTr="006F034C">
        <w:trPr>
          <w:cantSplit/>
          <w:trHeight w:val="353"/>
        </w:trPr>
        <w:tc>
          <w:tcPr>
            <w:tcW w:w="3198" w:type="dxa"/>
            <w:tcBorders>
              <w:top w:val="nil"/>
              <w:left w:val="nil"/>
              <w:bottom w:val="nil"/>
              <w:right w:val="nil"/>
            </w:tcBorders>
          </w:tcPr>
          <w:p w14:paraId="13A4B711" w14:textId="77777777" w:rsidR="00B46D75" w:rsidRDefault="00B46D75" w:rsidP="00B46D75">
            <w:pPr>
              <w:pStyle w:val="NormalWeb"/>
            </w:pPr>
            <w:r w:rsidRPr="00061F4C">
              <w:t>Liz Fuentes</w:t>
            </w:r>
          </w:p>
        </w:tc>
        <w:tc>
          <w:tcPr>
            <w:tcW w:w="1680" w:type="dxa"/>
            <w:tcBorders>
              <w:top w:val="nil"/>
              <w:left w:val="nil"/>
              <w:bottom w:val="nil"/>
              <w:right w:val="nil"/>
            </w:tcBorders>
          </w:tcPr>
          <w:p w14:paraId="310FBF13" w14:textId="77777777" w:rsidR="00B46D75" w:rsidRDefault="00B46D75" w:rsidP="00895CB4">
            <w:pPr>
              <w:pStyle w:val="NormalWeb"/>
              <w:jc w:val="center"/>
            </w:pPr>
            <w:r w:rsidRPr="0086716F">
              <w:t>FCG</w:t>
            </w:r>
          </w:p>
        </w:tc>
        <w:tc>
          <w:tcPr>
            <w:tcW w:w="1482" w:type="dxa"/>
            <w:tcBorders>
              <w:top w:val="nil"/>
              <w:left w:val="nil"/>
              <w:bottom w:val="nil"/>
              <w:right w:val="nil"/>
            </w:tcBorders>
          </w:tcPr>
          <w:p w14:paraId="442202B6" w14:textId="77777777" w:rsidR="00B46D75" w:rsidRDefault="00B46D75" w:rsidP="00895CB4">
            <w:pPr>
              <w:pStyle w:val="NormalWeb"/>
              <w:jc w:val="center"/>
            </w:pPr>
            <w:r w:rsidRPr="007A4A57">
              <w:t>LF-</w:t>
            </w:r>
            <w:r>
              <w:t>2</w:t>
            </w:r>
          </w:p>
        </w:tc>
        <w:tc>
          <w:tcPr>
            <w:tcW w:w="3205" w:type="dxa"/>
            <w:tcBorders>
              <w:top w:val="nil"/>
              <w:left w:val="nil"/>
              <w:bottom w:val="nil"/>
              <w:right w:val="nil"/>
            </w:tcBorders>
          </w:tcPr>
          <w:p w14:paraId="67CECC8B" w14:textId="77777777" w:rsidR="00B46D75" w:rsidRDefault="00B46D75" w:rsidP="00B46D75">
            <w:pPr>
              <w:pStyle w:val="NormalWeb"/>
            </w:pPr>
            <w:r>
              <w:t>MFR G-5 for the 2023 Test Year</w:t>
            </w:r>
          </w:p>
        </w:tc>
      </w:tr>
      <w:tr w:rsidR="00B46D75" w:rsidRPr="00701945" w14:paraId="48E40586" w14:textId="77777777" w:rsidTr="006F034C">
        <w:trPr>
          <w:cantSplit/>
          <w:trHeight w:val="353"/>
        </w:trPr>
        <w:tc>
          <w:tcPr>
            <w:tcW w:w="3198" w:type="dxa"/>
            <w:tcBorders>
              <w:top w:val="nil"/>
              <w:left w:val="nil"/>
              <w:bottom w:val="nil"/>
              <w:right w:val="nil"/>
            </w:tcBorders>
          </w:tcPr>
          <w:p w14:paraId="59B684CF" w14:textId="77777777" w:rsidR="00B46D75" w:rsidRDefault="00B46D75" w:rsidP="00B46D75">
            <w:pPr>
              <w:pStyle w:val="NormalWeb"/>
            </w:pPr>
            <w:r w:rsidRPr="00061F4C">
              <w:t>Liz Fuentes</w:t>
            </w:r>
          </w:p>
        </w:tc>
        <w:tc>
          <w:tcPr>
            <w:tcW w:w="1680" w:type="dxa"/>
            <w:tcBorders>
              <w:top w:val="nil"/>
              <w:left w:val="nil"/>
              <w:bottom w:val="nil"/>
              <w:right w:val="nil"/>
            </w:tcBorders>
          </w:tcPr>
          <w:p w14:paraId="4A11D117" w14:textId="77777777" w:rsidR="00B46D75" w:rsidRDefault="00B46D75" w:rsidP="00895CB4">
            <w:pPr>
              <w:pStyle w:val="NormalWeb"/>
              <w:jc w:val="center"/>
            </w:pPr>
            <w:r w:rsidRPr="0086716F">
              <w:t>FCG</w:t>
            </w:r>
          </w:p>
        </w:tc>
        <w:tc>
          <w:tcPr>
            <w:tcW w:w="1482" w:type="dxa"/>
            <w:tcBorders>
              <w:top w:val="nil"/>
              <w:left w:val="nil"/>
              <w:bottom w:val="nil"/>
              <w:right w:val="nil"/>
            </w:tcBorders>
          </w:tcPr>
          <w:p w14:paraId="288F3BAB" w14:textId="77777777" w:rsidR="00B46D75" w:rsidRDefault="00B46D75" w:rsidP="00895CB4">
            <w:pPr>
              <w:pStyle w:val="NormalWeb"/>
              <w:jc w:val="center"/>
            </w:pPr>
            <w:r w:rsidRPr="007A4A57">
              <w:t>LF-</w:t>
            </w:r>
            <w:r>
              <w:t>3</w:t>
            </w:r>
          </w:p>
        </w:tc>
        <w:tc>
          <w:tcPr>
            <w:tcW w:w="3205" w:type="dxa"/>
            <w:tcBorders>
              <w:top w:val="nil"/>
              <w:left w:val="nil"/>
              <w:bottom w:val="nil"/>
              <w:right w:val="nil"/>
            </w:tcBorders>
          </w:tcPr>
          <w:p w14:paraId="19F0E092" w14:textId="77777777" w:rsidR="00B46D75" w:rsidRDefault="00B46D75" w:rsidP="00B46D75">
            <w:pPr>
              <w:pStyle w:val="NormalWeb"/>
            </w:pPr>
            <w:r>
              <w:t>2023 SAFE Revenue Requirements Transferred to Base Rates</w:t>
            </w:r>
          </w:p>
        </w:tc>
      </w:tr>
      <w:tr w:rsidR="00B46D75" w:rsidRPr="00701945" w14:paraId="285B971F" w14:textId="77777777" w:rsidTr="006F034C">
        <w:trPr>
          <w:cantSplit/>
          <w:trHeight w:val="353"/>
        </w:trPr>
        <w:tc>
          <w:tcPr>
            <w:tcW w:w="3198" w:type="dxa"/>
            <w:tcBorders>
              <w:top w:val="nil"/>
              <w:left w:val="nil"/>
              <w:bottom w:val="nil"/>
              <w:right w:val="nil"/>
            </w:tcBorders>
          </w:tcPr>
          <w:p w14:paraId="6EB4C044" w14:textId="77777777" w:rsidR="00B46D75" w:rsidRDefault="00B46D75" w:rsidP="00B46D75">
            <w:pPr>
              <w:pStyle w:val="NormalWeb"/>
            </w:pPr>
            <w:r w:rsidRPr="00061F4C">
              <w:t>Liz Fuentes</w:t>
            </w:r>
          </w:p>
        </w:tc>
        <w:tc>
          <w:tcPr>
            <w:tcW w:w="1680" w:type="dxa"/>
            <w:tcBorders>
              <w:top w:val="nil"/>
              <w:left w:val="nil"/>
              <w:bottom w:val="nil"/>
              <w:right w:val="nil"/>
            </w:tcBorders>
          </w:tcPr>
          <w:p w14:paraId="2740E1B2" w14:textId="77777777" w:rsidR="00B46D75" w:rsidRDefault="00B46D75" w:rsidP="00895CB4">
            <w:pPr>
              <w:pStyle w:val="NormalWeb"/>
              <w:jc w:val="center"/>
            </w:pPr>
            <w:r w:rsidRPr="0086716F">
              <w:t>FCG</w:t>
            </w:r>
          </w:p>
        </w:tc>
        <w:tc>
          <w:tcPr>
            <w:tcW w:w="1482" w:type="dxa"/>
            <w:tcBorders>
              <w:top w:val="nil"/>
              <w:left w:val="nil"/>
              <w:bottom w:val="nil"/>
              <w:right w:val="nil"/>
            </w:tcBorders>
          </w:tcPr>
          <w:p w14:paraId="7F1F4034" w14:textId="77777777" w:rsidR="00B46D75" w:rsidRDefault="00B46D75" w:rsidP="00895CB4">
            <w:pPr>
              <w:pStyle w:val="NormalWeb"/>
              <w:jc w:val="center"/>
            </w:pPr>
            <w:r w:rsidRPr="007A4A57">
              <w:t>LF-</w:t>
            </w:r>
            <w:r>
              <w:t>4</w:t>
            </w:r>
          </w:p>
        </w:tc>
        <w:tc>
          <w:tcPr>
            <w:tcW w:w="3205" w:type="dxa"/>
            <w:tcBorders>
              <w:top w:val="nil"/>
              <w:left w:val="nil"/>
              <w:bottom w:val="nil"/>
              <w:right w:val="nil"/>
            </w:tcBorders>
          </w:tcPr>
          <w:p w14:paraId="6CEF0339" w14:textId="77777777" w:rsidR="00B46D75" w:rsidRDefault="00B46D75" w:rsidP="00B46D75">
            <w:pPr>
              <w:pStyle w:val="NormalWeb"/>
            </w:pPr>
            <w:r>
              <w:t>2023 ROE Calculation without Rate Relief</w:t>
            </w:r>
          </w:p>
        </w:tc>
      </w:tr>
      <w:tr w:rsidR="00B46D75" w:rsidRPr="00701945" w14:paraId="07940A6D" w14:textId="77777777" w:rsidTr="006F034C">
        <w:trPr>
          <w:cantSplit/>
          <w:trHeight w:val="353"/>
        </w:trPr>
        <w:tc>
          <w:tcPr>
            <w:tcW w:w="3198" w:type="dxa"/>
            <w:tcBorders>
              <w:top w:val="nil"/>
              <w:left w:val="nil"/>
              <w:bottom w:val="nil"/>
              <w:right w:val="nil"/>
            </w:tcBorders>
          </w:tcPr>
          <w:p w14:paraId="5CC14C03" w14:textId="77777777" w:rsidR="00B46D75" w:rsidRPr="00061F4C" w:rsidRDefault="00B46D75" w:rsidP="00B46D75">
            <w:pPr>
              <w:pStyle w:val="NormalWeb"/>
            </w:pPr>
            <w:r w:rsidRPr="00061F4C">
              <w:t>Liz Fuentes</w:t>
            </w:r>
          </w:p>
        </w:tc>
        <w:tc>
          <w:tcPr>
            <w:tcW w:w="1680" w:type="dxa"/>
            <w:tcBorders>
              <w:top w:val="nil"/>
              <w:left w:val="nil"/>
              <w:bottom w:val="nil"/>
              <w:right w:val="nil"/>
            </w:tcBorders>
          </w:tcPr>
          <w:p w14:paraId="7E8E016D" w14:textId="77777777" w:rsidR="00B46D75" w:rsidRPr="0086716F" w:rsidRDefault="00B46D75" w:rsidP="00895CB4">
            <w:pPr>
              <w:pStyle w:val="NormalWeb"/>
              <w:jc w:val="center"/>
            </w:pPr>
            <w:r w:rsidRPr="0086716F">
              <w:t>FCG</w:t>
            </w:r>
          </w:p>
        </w:tc>
        <w:tc>
          <w:tcPr>
            <w:tcW w:w="1482" w:type="dxa"/>
            <w:tcBorders>
              <w:top w:val="nil"/>
              <w:left w:val="nil"/>
              <w:bottom w:val="nil"/>
              <w:right w:val="nil"/>
            </w:tcBorders>
          </w:tcPr>
          <w:p w14:paraId="28D9B9D8" w14:textId="77777777" w:rsidR="00B46D75" w:rsidRPr="007A4A57" w:rsidRDefault="00B46D75" w:rsidP="00895CB4">
            <w:pPr>
              <w:pStyle w:val="NormalWeb"/>
              <w:jc w:val="center"/>
            </w:pPr>
            <w:r w:rsidRPr="007A4A57">
              <w:t>LF-</w:t>
            </w:r>
            <w:r>
              <w:t>5(A)</w:t>
            </w:r>
          </w:p>
        </w:tc>
        <w:tc>
          <w:tcPr>
            <w:tcW w:w="3205" w:type="dxa"/>
            <w:tcBorders>
              <w:top w:val="nil"/>
              <w:left w:val="nil"/>
              <w:bottom w:val="nil"/>
              <w:right w:val="nil"/>
            </w:tcBorders>
          </w:tcPr>
          <w:p w14:paraId="43BB6810" w14:textId="77777777" w:rsidR="00B46D75" w:rsidRDefault="00B46D75" w:rsidP="00B46D75">
            <w:pPr>
              <w:pStyle w:val="NormalWeb"/>
            </w:pPr>
            <w:r>
              <w:t>Impact to Depreciation Expense</w:t>
            </w:r>
            <w:r w:rsidRPr="00572CD8">
              <w:t xml:space="preserve"> </w:t>
            </w:r>
            <w:r>
              <w:t xml:space="preserve">using 2022 Depreciation Study Rates </w:t>
            </w:r>
            <w:r w:rsidRPr="00572CD8">
              <w:t>for Base vs. Clause</w:t>
            </w:r>
            <w:r>
              <w:t xml:space="preserve"> for 2023</w:t>
            </w:r>
          </w:p>
        </w:tc>
      </w:tr>
      <w:tr w:rsidR="007126C6" w:rsidRPr="00701945" w14:paraId="7588A728" w14:textId="77777777" w:rsidTr="006F034C">
        <w:trPr>
          <w:cantSplit/>
          <w:trHeight w:val="373"/>
        </w:trPr>
        <w:tc>
          <w:tcPr>
            <w:tcW w:w="3198" w:type="dxa"/>
            <w:tcBorders>
              <w:top w:val="nil"/>
              <w:left w:val="nil"/>
              <w:bottom w:val="nil"/>
              <w:right w:val="nil"/>
            </w:tcBorders>
          </w:tcPr>
          <w:p w14:paraId="5560BE8E" w14:textId="77777777" w:rsidR="007126C6" w:rsidRDefault="007126C6" w:rsidP="007126C6">
            <w:pPr>
              <w:pStyle w:val="NormalWeb"/>
              <w:spacing w:before="0" w:beforeAutospacing="0" w:after="0" w:afterAutospacing="0"/>
            </w:pPr>
            <w:r w:rsidRPr="00061F4C">
              <w:t>Liz Fuentes</w:t>
            </w:r>
            <w:r>
              <w:t>;</w:t>
            </w:r>
          </w:p>
          <w:p w14:paraId="7B7B27F2" w14:textId="77777777" w:rsidR="007126C6" w:rsidRDefault="007126C6" w:rsidP="007126C6">
            <w:pPr>
              <w:pStyle w:val="NormalWeb"/>
              <w:spacing w:before="0" w:beforeAutospacing="0" w:after="0" w:afterAutospacing="0"/>
            </w:pPr>
            <w:r>
              <w:t>Ned W. Allis</w:t>
            </w:r>
          </w:p>
        </w:tc>
        <w:tc>
          <w:tcPr>
            <w:tcW w:w="1680" w:type="dxa"/>
            <w:tcBorders>
              <w:top w:val="nil"/>
              <w:left w:val="nil"/>
              <w:bottom w:val="nil"/>
              <w:right w:val="nil"/>
            </w:tcBorders>
          </w:tcPr>
          <w:p w14:paraId="3EB8715D" w14:textId="77777777" w:rsidR="007126C6" w:rsidRDefault="007126C6" w:rsidP="00895CB4">
            <w:pPr>
              <w:pStyle w:val="NormalWeb"/>
              <w:jc w:val="center"/>
            </w:pPr>
            <w:r w:rsidRPr="0086716F">
              <w:t>FCG</w:t>
            </w:r>
          </w:p>
        </w:tc>
        <w:tc>
          <w:tcPr>
            <w:tcW w:w="1482" w:type="dxa"/>
            <w:tcBorders>
              <w:top w:val="nil"/>
              <w:left w:val="nil"/>
              <w:bottom w:val="nil"/>
              <w:right w:val="nil"/>
            </w:tcBorders>
          </w:tcPr>
          <w:p w14:paraId="44E1DFC4" w14:textId="77777777" w:rsidR="007126C6" w:rsidRDefault="007126C6" w:rsidP="00895CB4">
            <w:pPr>
              <w:pStyle w:val="NormalWeb"/>
              <w:jc w:val="center"/>
            </w:pPr>
            <w:r w:rsidRPr="007A4A57">
              <w:t>LF-</w:t>
            </w:r>
            <w:r>
              <w:t>5(B)</w:t>
            </w:r>
          </w:p>
        </w:tc>
        <w:tc>
          <w:tcPr>
            <w:tcW w:w="3205" w:type="dxa"/>
            <w:tcBorders>
              <w:top w:val="nil"/>
              <w:left w:val="nil"/>
              <w:bottom w:val="nil"/>
              <w:right w:val="nil"/>
            </w:tcBorders>
          </w:tcPr>
          <w:p w14:paraId="28523A05" w14:textId="77777777" w:rsidR="007126C6" w:rsidRDefault="007126C6" w:rsidP="007126C6">
            <w:pPr>
              <w:pStyle w:val="NormalWeb"/>
            </w:pPr>
            <w:r>
              <w:t>Proposed Depreciation Company Adjustment for Base vs. Clause for 2023 Using the RSAM Adjusted Depreciation Rates</w:t>
            </w:r>
          </w:p>
        </w:tc>
      </w:tr>
      <w:tr w:rsidR="007126C6" w:rsidRPr="00701945" w14:paraId="6DC331A1" w14:textId="77777777" w:rsidTr="006F034C">
        <w:trPr>
          <w:cantSplit/>
          <w:trHeight w:val="373"/>
        </w:trPr>
        <w:tc>
          <w:tcPr>
            <w:tcW w:w="3198" w:type="dxa"/>
            <w:tcBorders>
              <w:top w:val="nil"/>
              <w:left w:val="nil"/>
              <w:bottom w:val="nil"/>
              <w:right w:val="nil"/>
            </w:tcBorders>
          </w:tcPr>
          <w:p w14:paraId="1681A577" w14:textId="77777777" w:rsidR="007126C6" w:rsidRDefault="007126C6" w:rsidP="007126C6">
            <w:pPr>
              <w:pStyle w:val="NormalWeb"/>
            </w:pPr>
            <w:r w:rsidRPr="00061F4C">
              <w:t>Liz Fuentes</w:t>
            </w:r>
          </w:p>
        </w:tc>
        <w:tc>
          <w:tcPr>
            <w:tcW w:w="1680" w:type="dxa"/>
            <w:tcBorders>
              <w:top w:val="nil"/>
              <w:left w:val="nil"/>
              <w:bottom w:val="nil"/>
              <w:right w:val="nil"/>
            </w:tcBorders>
          </w:tcPr>
          <w:p w14:paraId="06B58A7E" w14:textId="77777777" w:rsidR="007126C6" w:rsidRDefault="007126C6" w:rsidP="00895CB4">
            <w:pPr>
              <w:pStyle w:val="NormalWeb"/>
              <w:jc w:val="center"/>
            </w:pPr>
            <w:r w:rsidRPr="0086716F">
              <w:t>FCG</w:t>
            </w:r>
          </w:p>
        </w:tc>
        <w:tc>
          <w:tcPr>
            <w:tcW w:w="1482" w:type="dxa"/>
            <w:tcBorders>
              <w:top w:val="nil"/>
              <w:left w:val="nil"/>
              <w:bottom w:val="nil"/>
              <w:right w:val="nil"/>
            </w:tcBorders>
          </w:tcPr>
          <w:p w14:paraId="7D8EC974" w14:textId="77777777" w:rsidR="007126C6" w:rsidRDefault="007126C6" w:rsidP="00895CB4">
            <w:pPr>
              <w:pStyle w:val="NormalWeb"/>
              <w:jc w:val="center"/>
            </w:pPr>
            <w:r w:rsidRPr="007A4A57">
              <w:t>LF-</w:t>
            </w:r>
            <w:r>
              <w:t>6</w:t>
            </w:r>
          </w:p>
        </w:tc>
        <w:tc>
          <w:tcPr>
            <w:tcW w:w="3205" w:type="dxa"/>
            <w:tcBorders>
              <w:top w:val="nil"/>
              <w:left w:val="nil"/>
              <w:bottom w:val="nil"/>
              <w:right w:val="nil"/>
            </w:tcBorders>
          </w:tcPr>
          <w:p w14:paraId="69D3647E" w14:textId="77777777" w:rsidR="007126C6" w:rsidRDefault="007126C6" w:rsidP="007126C6">
            <w:pPr>
              <w:pStyle w:val="NormalWeb"/>
            </w:pPr>
            <w:r>
              <w:t>ADIT Proration Adjustment to Capital Structure for 2023 Test Year</w:t>
            </w:r>
          </w:p>
        </w:tc>
      </w:tr>
      <w:tr w:rsidR="007126C6" w:rsidRPr="00701945" w14:paraId="07BFC6EC" w14:textId="77777777" w:rsidTr="006F034C">
        <w:trPr>
          <w:cantSplit/>
          <w:trHeight w:val="373"/>
        </w:trPr>
        <w:tc>
          <w:tcPr>
            <w:tcW w:w="3198" w:type="dxa"/>
            <w:tcBorders>
              <w:top w:val="nil"/>
              <w:left w:val="nil"/>
              <w:bottom w:val="nil"/>
              <w:right w:val="nil"/>
            </w:tcBorders>
          </w:tcPr>
          <w:p w14:paraId="7453D0FD" w14:textId="77777777" w:rsidR="007126C6" w:rsidRDefault="007126C6" w:rsidP="007126C6">
            <w:pPr>
              <w:pStyle w:val="NormalWeb"/>
            </w:pPr>
            <w:r>
              <w:t>Tara B. DuBose</w:t>
            </w:r>
          </w:p>
        </w:tc>
        <w:tc>
          <w:tcPr>
            <w:tcW w:w="1680" w:type="dxa"/>
            <w:tcBorders>
              <w:top w:val="nil"/>
              <w:left w:val="nil"/>
              <w:bottom w:val="nil"/>
              <w:right w:val="nil"/>
            </w:tcBorders>
          </w:tcPr>
          <w:p w14:paraId="4E858281" w14:textId="77777777" w:rsidR="007126C6" w:rsidRDefault="007126C6" w:rsidP="00895CB4">
            <w:pPr>
              <w:pStyle w:val="NormalWeb"/>
              <w:jc w:val="center"/>
            </w:pPr>
            <w:r>
              <w:t>FCG</w:t>
            </w:r>
          </w:p>
        </w:tc>
        <w:tc>
          <w:tcPr>
            <w:tcW w:w="1482" w:type="dxa"/>
            <w:tcBorders>
              <w:top w:val="nil"/>
              <w:left w:val="nil"/>
              <w:bottom w:val="nil"/>
              <w:right w:val="nil"/>
            </w:tcBorders>
          </w:tcPr>
          <w:p w14:paraId="72EC6DCB" w14:textId="77777777" w:rsidR="007126C6" w:rsidRDefault="007126C6" w:rsidP="00895CB4">
            <w:pPr>
              <w:pStyle w:val="NormalWeb"/>
              <w:jc w:val="center"/>
            </w:pPr>
            <w:r>
              <w:t>TBD-1</w:t>
            </w:r>
          </w:p>
        </w:tc>
        <w:tc>
          <w:tcPr>
            <w:tcW w:w="3205" w:type="dxa"/>
            <w:tcBorders>
              <w:top w:val="nil"/>
              <w:left w:val="nil"/>
              <w:bottom w:val="nil"/>
              <w:right w:val="nil"/>
            </w:tcBorders>
          </w:tcPr>
          <w:p w14:paraId="733D0A44" w14:textId="77777777" w:rsidR="007126C6" w:rsidRDefault="007126C6" w:rsidP="007126C6">
            <w:pPr>
              <w:pStyle w:val="NormalWeb"/>
            </w:pPr>
            <w:r>
              <w:t>List of MFRs Sponsored or Co-Sponsored by Tara DuBose</w:t>
            </w:r>
          </w:p>
        </w:tc>
      </w:tr>
      <w:tr w:rsidR="007126C6" w:rsidRPr="00701945" w14:paraId="713BA7A9" w14:textId="77777777" w:rsidTr="006F034C">
        <w:trPr>
          <w:cantSplit/>
          <w:trHeight w:val="373"/>
        </w:trPr>
        <w:tc>
          <w:tcPr>
            <w:tcW w:w="3198" w:type="dxa"/>
            <w:tcBorders>
              <w:top w:val="nil"/>
              <w:left w:val="nil"/>
              <w:bottom w:val="nil"/>
              <w:right w:val="nil"/>
            </w:tcBorders>
          </w:tcPr>
          <w:p w14:paraId="633EF4B8" w14:textId="77777777" w:rsidR="007126C6" w:rsidRDefault="007126C6" w:rsidP="007126C6">
            <w:pPr>
              <w:pStyle w:val="NormalWeb"/>
            </w:pPr>
            <w:r w:rsidRPr="00E71DDB">
              <w:t>Tara B. DuBose</w:t>
            </w:r>
          </w:p>
        </w:tc>
        <w:tc>
          <w:tcPr>
            <w:tcW w:w="1680" w:type="dxa"/>
            <w:tcBorders>
              <w:top w:val="nil"/>
              <w:left w:val="nil"/>
              <w:bottom w:val="nil"/>
              <w:right w:val="nil"/>
            </w:tcBorders>
          </w:tcPr>
          <w:p w14:paraId="013F1E66" w14:textId="77777777" w:rsidR="007126C6" w:rsidRDefault="007126C6" w:rsidP="00895CB4">
            <w:pPr>
              <w:pStyle w:val="NormalWeb"/>
              <w:jc w:val="center"/>
            </w:pPr>
            <w:r w:rsidRPr="00ED199E">
              <w:t>FCG</w:t>
            </w:r>
          </w:p>
        </w:tc>
        <w:tc>
          <w:tcPr>
            <w:tcW w:w="1482" w:type="dxa"/>
            <w:tcBorders>
              <w:top w:val="nil"/>
              <w:left w:val="nil"/>
              <w:bottom w:val="nil"/>
              <w:right w:val="nil"/>
            </w:tcBorders>
          </w:tcPr>
          <w:p w14:paraId="6D7DE394" w14:textId="77777777" w:rsidR="007126C6" w:rsidRDefault="007126C6" w:rsidP="00895CB4">
            <w:pPr>
              <w:pStyle w:val="NormalWeb"/>
              <w:jc w:val="center"/>
            </w:pPr>
            <w:r w:rsidRPr="00071B83">
              <w:t>TBD-</w:t>
            </w:r>
            <w:r>
              <w:t>2</w:t>
            </w:r>
          </w:p>
        </w:tc>
        <w:tc>
          <w:tcPr>
            <w:tcW w:w="3205" w:type="dxa"/>
            <w:tcBorders>
              <w:top w:val="nil"/>
              <w:left w:val="nil"/>
              <w:bottom w:val="nil"/>
              <w:right w:val="nil"/>
            </w:tcBorders>
          </w:tcPr>
          <w:p w14:paraId="11908B46" w14:textId="77777777" w:rsidR="007126C6" w:rsidRDefault="007126C6" w:rsidP="007126C6">
            <w:pPr>
              <w:pStyle w:val="NormalWeb"/>
            </w:pPr>
            <w:r>
              <w:t>Forecast of Bills, Therms, Demand Charge Quantities, and Revenues for the 2023 Test Year at Present Rates</w:t>
            </w:r>
          </w:p>
        </w:tc>
      </w:tr>
      <w:tr w:rsidR="007126C6" w:rsidRPr="00701945" w14:paraId="628B6F13" w14:textId="77777777" w:rsidTr="006F034C">
        <w:trPr>
          <w:cantSplit/>
          <w:trHeight w:val="373"/>
        </w:trPr>
        <w:tc>
          <w:tcPr>
            <w:tcW w:w="3198" w:type="dxa"/>
            <w:tcBorders>
              <w:top w:val="nil"/>
              <w:left w:val="nil"/>
              <w:bottom w:val="nil"/>
              <w:right w:val="nil"/>
            </w:tcBorders>
          </w:tcPr>
          <w:p w14:paraId="189BF72F" w14:textId="77777777" w:rsidR="007126C6" w:rsidRDefault="007126C6" w:rsidP="007126C6">
            <w:pPr>
              <w:pStyle w:val="NormalWeb"/>
            </w:pPr>
            <w:r w:rsidRPr="00E71DDB">
              <w:t>Tara B. DuBose</w:t>
            </w:r>
          </w:p>
        </w:tc>
        <w:tc>
          <w:tcPr>
            <w:tcW w:w="1680" w:type="dxa"/>
            <w:tcBorders>
              <w:top w:val="nil"/>
              <w:left w:val="nil"/>
              <w:bottom w:val="nil"/>
              <w:right w:val="nil"/>
            </w:tcBorders>
          </w:tcPr>
          <w:p w14:paraId="3266720F" w14:textId="77777777" w:rsidR="007126C6" w:rsidRDefault="007126C6" w:rsidP="00895CB4">
            <w:pPr>
              <w:pStyle w:val="NormalWeb"/>
              <w:jc w:val="center"/>
            </w:pPr>
            <w:r w:rsidRPr="00ED199E">
              <w:t>FCG</w:t>
            </w:r>
          </w:p>
        </w:tc>
        <w:tc>
          <w:tcPr>
            <w:tcW w:w="1482" w:type="dxa"/>
            <w:tcBorders>
              <w:top w:val="nil"/>
              <w:left w:val="nil"/>
              <w:bottom w:val="nil"/>
              <w:right w:val="nil"/>
            </w:tcBorders>
          </w:tcPr>
          <w:p w14:paraId="1F3274D4" w14:textId="77777777" w:rsidR="007126C6" w:rsidRDefault="007126C6" w:rsidP="00895CB4">
            <w:pPr>
              <w:pStyle w:val="NormalWeb"/>
              <w:jc w:val="center"/>
            </w:pPr>
            <w:r w:rsidRPr="00071B83">
              <w:t>TBD-</w:t>
            </w:r>
            <w:r>
              <w:t>3</w:t>
            </w:r>
          </w:p>
        </w:tc>
        <w:tc>
          <w:tcPr>
            <w:tcW w:w="3205" w:type="dxa"/>
            <w:tcBorders>
              <w:top w:val="nil"/>
              <w:left w:val="nil"/>
              <w:bottom w:val="nil"/>
              <w:right w:val="nil"/>
            </w:tcBorders>
          </w:tcPr>
          <w:p w14:paraId="6DB8B883" w14:textId="77777777" w:rsidR="007126C6" w:rsidRDefault="007126C6" w:rsidP="007126C6">
            <w:pPr>
              <w:pStyle w:val="NormalWeb"/>
            </w:pPr>
            <w:r>
              <w:t>Comparison of Rates of Return and Parity at Present Rates to Equalized Rates and to Proposed Rates</w:t>
            </w:r>
          </w:p>
        </w:tc>
      </w:tr>
      <w:tr w:rsidR="007126C6" w:rsidRPr="00701945" w14:paraId="67C76A51" w14:textId="77777777" w:rsidTr="006F034C">
        <w:trPr>
          <w:cantSplit/>
          <w:trHeight w:val="373"/>
        </w:trPr>
        <w:tc>
          <w:tcPr>
            <w:tcW w:w="3198" w:type="dxa"/>
            <w:tcBorders>
              <w:top w:val="nil"/>
              <w:left w:val="nil"/>
              <w:bottom w:val="nil"/>
              <w:right w:val="nil"/>
            </w:tcBorders>
          </w:tcPr>
          <w:p w14:paraId="1A3124EA" w14:textId="77777777" w:rsidR="007126C6" w:rsidRDefault="007126C6" w:rsidP="007126C6">
            <w:pPr>
              <w:pStyle w:val="NormalWeb"/>
            </w:pPr>
            <w:r w:rsidRPr="00E71DDB">
              <w:t>Tara B. DuBose</w:t>
            </w:r>
          </w:p>
        </w:tc>
        <w:tc>
          <w:tcPr>
            <w:tcW w:w="1680" w:type="dxa"/>
            <w:tcBorders>
              <w:top w:val="nil"/>
              <w:left w:val="nil"/>
              <w:bottom w:val="nil"/>
              <w:right w:val="nil"/>
            </w:tcBorders>
          </w:tcPr>
          <w:p w14:paraId="6A61E5E5" w14:textId="77777777" w:rsidR="007126C6" w:rsidRDefault="007126C6" w:rsidP="00895CB4">
            <w:pPr>
              <w:pStyle w:val="NormalWeb"/>
              <w:jc w:val="center"/>
            </w:pPr>
            <w:r w:rsidRPr="00ED199E">
              <w:t>FCG</w:t>
            </w:r>
          </w:p>
        </w:tc>
        <w:tc>
          <w:tcPr>
            <w:tcW w:w="1482" w:type="dxa"/>
            <w:tcBorders>
              <w:top w:val="nil"/>
              <w:left w:val="nil"/>
              <w:bottom w:val="nil"/>
              <w:right w:val="nil"/>
            </w:tcBorders>
          </w:tcPr>
          <w:p w14:paraId="48BD6792" w14:textId="77777777" w:rsidR="007126C6" w:rsidRDefault="007126C6" w:rsidP="00895CB4">
            <w:pPr>
              <w:pStyle w:val="NormalWeb"/>
              <w:jc w:val="center"/>
            </w:pPr>
            <w:r w:rsidRPr="00071B83">
              <w:t>TBD-</w:t>
            </w:r>
            <w:r>
              <w:t>4</w:t>
            </w:r>
          </w:p>
        </w:tc>
        <w:tc>
          <w:tcPr>
            <w:tcW w:w="3205" w:type="dxa"/>
            <w:tcBorders>
              <w:top w:val="nil"/>
              <w:left w:val="nil"/>
              <w:bottom w:val="nil"/>
              <w:right w:val="nil"/>
            </w:tcBorders>
          </w:tcPr>
          <w:p w14:paraId="253B1CAA" w14:textId="77777777" w:rsidR="007126C6" w:rsidRDefault="007126C6" w:rsidP="007126C6">
            <w:pPr>
              <w:pStyle w:val="NormalWeb"/>
            </w:pPr>
            <w:r>
              <w:t>Parity of Major Customer Classes at Proposed Rates</w:t>
            </w:r>
          </w:p>
        </w:tc>
      </w:tr>
      <w:tr w:rsidR="007126C6" w:rsidRPr="00701945" w14:paraId="344D3839" w14:textId="77777777" w:rsidTr="006F034C">
        <w:trPr>
          <w:cantSplit/>
          <w:trHeight w:val="373"/>
        </w:trPr>
        <w:tc>
          <w:tcPr>
            <w:tcW w:w="3198" w:type="dxa"/>
            <w:tcBorders>
              <w:top w:val="nil"/>
              <w:left w:val="nil"/>
              <w:bottom w:val="nil"/>
              <w:right w:val="nil"/>
            </w:tcBorders>
          </w:tcPr>
          <w:p w14:paraId="684686FB" w14:textId="77777777" w:rsidR="007126C6" w:rsidRDefault="007126C6" w:rsidP="007126C6">
            <w:pPr>
              <w:pStyle w:val="NormalWeb"/>
            </w:pPr>
            <w:r w:rsidRPr="00E71DDB">
              <w:t>Tara B. DuBose</w:t>
            </w:r>
          </w:p>
        </w:tc>
        <w:tc>
          <w:tcPr>
            <w:tcW w:w="1680" w:type="dxa"/>
            <w:tcBorders>
              <w:top w:val="nil"/>
              <w:left w:val="nil"/>
              <w:bottom w:val="nil"/>
              <w:right w:val="nil"/>
            </w:tcBorders>
          </w:tcPr>
          <w:p w14:paraId="74B5380D" w14:textId="77777777" w:rsidR="007126C6" w:rsidRDefault="007126C6" w:rsidP="00895CB4">
            <w:pPr>
              <w:pStyle w:val="NormalWeb"/>
              <w:jc w:val="center"/>
            </w:pPr>
            <w:r w:rsidRPr="00ED199E">
              <w:t>FCG</w:t>
            </w:r>
          </w:p>
        </w:tc>
        <w:tc>
          <w:tcPr>
            <w:tcW w:w="1482" w:type="dxa"/>
            <w:tcBorders>
              <w:top w:val="nil"/>
              <w:left w:val="nil"/>
              <w:bottom w:val="nil"/>
              <w:right w:val="nil"/>
            </w:tcBorders>
          </w:tcPr>
          <w:p w14:paraId="67344800" w14:textId="77777777" w:rsidR="007126C6" w:rsidRDefault="007126C6" w:rsidP="00895CB4">
            <w:pPr>
              <w:pStyle w:val="NormalWeb"/>
              <w:jc w:val="center"/>
            </w:pPr>
            <w:r w:rsidRPr="00071B83">
              <w:t>TBD-</w:t>
            </w:r>
            <w:r>
              <w:t>5</w:t>
            </w:r>
          </w:p>
        </w:tc>
        <w:tc>
          <w:tcPr>
            <w:tcW w:w="3205" w:type="dxa"/>
            <w:tcBorders>
              <w:top w:val="nil"/>
              <w:left w:val="nil"/>
              <w:bottom w:val="nil"/>
              <w:right w:val="nil"/>
            </w:tcBorders>
          </w:tcPr>
          <w:p w14:paraId="5BBB1CD0" w14:textId="77777777" w:rsidR="007126C6" w:rsidRDefault="007126C6" w:rsidP="007126C6">
            <w:pPr>
              <w:pStyle w:val="NormalWeb"/>
            </w:pPr>
            <w:r>
              <w:t>Analysis of Proposed Revenue Requirement Increases</w:t>
            </w:r>
          </w:p>
        </w:tc>
      </w:tr>
      <w:tr w:rsidR="007126C6" w:rsidRPr="00701945" w14:paraId="7078FDB7" w14:textId="77777777" w:rsidTr="006F034C">
        <w:trPr>
          <w:cantSplit/>
          <w:trHeight w:val="373"/>
        </w:trPr>
        <w:tc>
          <w:tcPr>
            <w:tcW w:w="3198" w:type="dxa"/>
            <w:tcBorders>
              <w:top w:val="nil"/>
              <w:left w:val="nil"/>
              <w:bottom w:val="nil"/>
              <w:right w:val="nil"/>
            </w:tcBorders>
          </w:tcPr>
          <w:p w14:paraId="1172A253" w14:textId="77777777" w:rsidR="007126C6" w:rsidRDefault="007126C6" w:rsidP="007126C6">
            <w:pPr>
              <w:pStyle w:val="NormalWeb"/>
            </w:pPr>
            <w:r w:rsidRPr="00E71DDB">
              <w:t>Tara B. DuBose</w:t>
            </w:r>
          </w:p>
        </w:tc>
        <w:tc>
          <w:tcPr>
            <w:tcW w:w="1680" w:type="dxa"/>
            <w:tcBorders>
              <w:top w:val="nil"/>
              <w:left w:val="nil"/>
              <w:bottom w:val="nil"/>
              <w:right w:val="nil"/>
            </w:tcBorders>
          </w:tcPr>
          <w:p w14:paraId="75CA05CB" w14:textId="77777777" w:rsidR="007126C6" w:rsidRDefault="007126C6" w:rsidP="00895CB4">
            <w:pPr>
              <w:pStyle w:val="NormalWeb"/>
              <w:jc w:val="center"/>
            </w:pPr>
            <w:r w:rsidRPr="00ED199E">
              <w:t>FCG</w:t>
            </w:r>
          </w:p>
        </w:tc>
        <w:tc>
          <w:tcPr>
            <w:tcW w:w="1482" w:type="dxa"/>
            <w:tcBorders>
              <w:top w:val="nil"/>
              <w:left w:val="nil"/>
              <w:bottom w:val="nil"/>
              <w:right w:val="nil"/>
            </w:tcBorders>
          </w:tcPr>
          <w:p w14:paraId="624D2D10" w14:textId="77777777" w:rsidR="007126C6" w:rsidRDefault="007126C6" w:rsidP="00895CB4">
            <w:pPr>
              <w:pStyle w:val="NormalWeb"/>
              <w:jc w:val="center"/>
            </w:pPr>
            <w:r w:rsidRPr="00071B83">
              <w:t>TBD-</w:t>
            </w:r>
            <w:r>
              <w:t>6</w:t>
            </w:r>
          </w:p>
        </w:tc>
        <w:tc>
          <w:tcPr>
            <w:tcW w:w="3205" w:type="dxa"/>
            <w:tcBorders>
              <w:top w:val="nil"/>
              <w:left w:val="nil"/>
              <w:bottom w:val="nil"/>
              <w:right w:val="nil"/>
            </w:tcBorders>
          </w:tcPr>
          <w:p w14:paraId="45C6A371" w14:textId="77777777" w:rsidR="007126C6" w:rsidRDefault="007126C6" w:rsidP="007126C6">
            <w:pPr>
              <w:autoSpaceDE w:val="0"/>
              <w:autoSpaceDN w:val="0"/>
              <w:adjustRightInd w:val="0"/>
            </w:pPr>
            <w:r>
              <w:t>FCG Bill Comparisons</w:t>
            </w:r>
          </w:p>
        </w:tc>
      </w:tr>
      <w:tr w:rsidR="00921A15" w:rsidRPr="00701945" w14:paraId="684170E3" w14:textId="77777777" w:rsidTr="006F034C">
        <w:trPr>
          <w:cantSplit/>
          <w:trHeight w:val="373"/>
        </w:trPr>
        <w:tc>
          <w:tcPr>
            <w:tcW w:w="3198" w:type="dxa"/>
            <w:tcBorders>
              <w:top w:val="nil"/>
              <w:left w:val="nil"/>
              <w:bottom w:val="nil"/>
              <w:right w:val="nil"/>
            </w:tcBorders>
          </w:tcPr>
          <w:p w14:paraId="6CAA433F" w14:textId="77777777" w:rsidR="00921A15" w:rsidRDefault="00921A15" w:rsidP="00921A15">
            <w:pPr>
              <w:pStyle w:val="NormalWeb"/>
            </w:pPr>
            <w:r>
              <w:t>Jennifer E. Nelson</w:t>
            </w:r>
          </w:p>
        </w:tc>
        <w:tc>
          <w:tcPr>
            <w:tcW w:w="1680" w:type="dxa"/>
            <w:tcBorders>
              <w:top w:val="nil"/>
              <w:left w:val="nil"/>
              <w:bottom w:val="nil"/>
              <w:right w:val="nil"/>
            </w:tcBorders>
          </w:tcPr>
          <w:p w14:paraId="5AE2CC22"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49BE251E" w14:textId="77777777" w:rsidR="00921A15" w:rsidRDefault="00921A15" w:rsidP="00895CB4">
            <w:pPr>
              <w:pStyle w:val="NormalWeb"/>
              <w:jc w:val="center"/>
            </w:pPr>
            <w:r>
              <w:t>JEN-1</w:t>
            </w:r>
          </w:p>
        </w:tc>
        <w:tc>
          <w:tcPr>
            <w:tcW w:w="3205" w:type="dxa"/>
            <w:tcBorders>
              <w:top w:val="nil"/>
              <w:left w:val="nil"/>
              <w:bottom w:val="nil"/>
              <w:right w:val="nil"/>
            </w:tcBorders>
          </w:tcPr>
          <w:p w14:paraId="1EA2D7E7" w14:textId="77777777" w:rsidR="00921A15" w:rsidRDefault="00921A15" w:rsidP="00921A15">
            <w:pPr>
              <w:pStyle w:val="NormalWeb"/>
            </w:pPr>
            <w:r>
              <w:t>Résumé and Testimony Listing of Jennifer E. Nelson</w:t>
            </w:r>
          </w:p>
        </w:tc>
      </w:tr>
      <w:tr w:rsidR="00921A15" w:rsidRPr="00701945" w14:paraId="372528E5" w14:textId="77777777" w:rsidTr="006F034C">
        <w:trPr>
          <w:cantSplit/>
          <w:trHeight w:val="373"/>
        </w:trPr>
        <w:tc>
          <w:tcPr>
            <w:tcW w:w="3198" w:type="dxa"/>
            <w:tcBorders>
              <w:top w:val="nil"/>
              <w:left w:val="nil"/>
              <w:bottom w:val="nil"/>
              <w:right w:val="nil"/>
            </w:tcBorders>
          </w:tcPr>
          <w:p w14:paraId="3194A89B"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2F150A9E"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55450DBD" w14:textId="77777777" w:rsidR="00921A15" w:rsidRDefault="00921A15" w:rsidP="00895CB4">
            <w:pPr>
              <w:pStyle w:val="NormalWeb"/>
              <w:jc w:val="center"/>
            </w:pPr>
            <w:r w:rsidRPr="00FF75A5">
              <w:t>JEN-</w:t>
            </w:r>
            <w:r>
              <w:t>2</w:t>
            </w:r>
          </w:p>
        </w:tc>
        <w:tc>
          <w:tcPr>
            <w:tcW w:w="3205" w:type="dxa"/>
            <w:tcBorders>
              <w:top w:val="nil"/>
              <w:left w:val="nil"/>
              <w:bottom w:val="nil"/>
              <w:right w:val="nil"/>
            </w:tcBorders>
          </w:tcPr>
          <w:p w14:paraId="552CEA4B" w14:textId="77777777" w:rsidR="00921A15" w:rsidRDefault="00921A15" w:rsidP="00921A15">
            <w:pPr>
              <w:pStyle w:val="NormalWeb"/>
            </w:pPr>
            <w:r>
              <w:t>Constant Growth DCF Analysis</w:t>
            </w:r>
          </w:p>
        </w:tc>
      </w:tr>
      <w:tr w:rsidR="00921A15" w:rsidRPr="00701945" w14:paraId="785D7BA1" w14:textId="77777777" w:rsidTr="006F034C">
        <w:trPr>
          <w:cantSplit/>
          <w:trHeight w:val="373"/>
        </w:trPr>
        <w:tc>
          <w:tcPr>
            <w:tcW w:w="3198" w:type="dxa"/>
            <w:tcBorders>
              <w:top w:val="nil"/>
              <w:left w:val="nil"/>
              <w:bottom w:val="nil"/>
              <w:right w:val="nil"/>
            </w:tcBorders>
          </w:tcPr>
          <w:p w14:paraId="279EB761"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0EEDC415"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528803D0" w14:textId="77777777" w:rsidR="00921A15" w:rsidRDefault="00921A15" w:rsidP="00895CB4">
            <w:pPr>
              <w:pStyle w:val="NormalWeb"/>
              <w:jc w:val="center"/>
            </w:pPr>
            <w:r w:rsidRPr="00FF75A5">
              <w:t>JEN-</w:t>
            </w:r>
            <w:r>
              <w:t>3</w:t>
            </w:r>
          </w:p>
        </w:tc>
        <w:tc>
          <w:tcPr>
            <w:tcW w:w="3205" w:type="dxa"/>
            <w:tcBorders>
              <w:top w:val="nil"/>
              <w:left w:val="nil"/>
              <w:bottom w:val="nil"/>
              <w:right w:val="nil"/>
            </w:tcBorders>
          </w:tcPr>
          <w:p w14:paraId="47072684" w14:textId="77777777" w:rsidR="00921A15" w:rsidRDefault="00921A15" w:rsidP="00921A15">
            <w:pPr>
              <w:pStyle w:val="NormalWeb"/>
            </w:pPr>
            <w:r>
              <w:t>Quarterly Growth DCF Analysis</w:t>
            </w:r>
          </w:p>
        </w:tc>
      </w:tr>
      <w:tr w:rsidR="00921A15" w:rsidRPr="00701945" w14:paraId="200CD328" w14:textId="77777777" w:rsidTr="006F034C">
        <w:trPr>
          <w:cantSplit/>
          <w:trHeight w:val="373"/>
        </w:trPr>
        <w:tc>
          <w:tcPr>
            <w:tcW w:w="3198" w:type="dxa"/>
            <w:tcBorders>
              <w:top w:val="nil"/>
              <w:left w:val="nil"/>
              <w:bottom w:val="nil"/>
              <w:right w:val="nil"/>
            </w:tcBorders>
          </w:tcPr>
          <w:p w14:paraId="355CBBFC"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41A48CFC"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60C1829A" w14:textId="77777777" w:rsidR="00921A15" w:rsidRDefault="00921A15" w:rsidP="00895CB4">
            <w:pPr>
              <w:pStyle w:val="NormalWeb"/>
              <w:jc w:val="center"/>
            </w:pPr>
            <w:r w:rsidRPr="00FF75A5">
              <w:t>JEN-</w:t>
            </w:r>
            <w:r>
              <w:t>4</w:t>
            </w:r>
          </w:p>
        </w:tc>
        <w:tc>
          <w:tcPr>
            <w:tcW w:w="3205" w:type="dxa"/>
            <w:tcBorders>
              <w:top w:val="nil"/>
              <w:left w:val="nil"/>
              <w:bottom w:val="nil"/>
              <w:right w:val="nil"/>
            </w:tcBorders>
          </w:tcPr>
          <w:p w14:paraId="7ABC2CBA" w14:textId="77777777" w:rsidR="00921A15" w:rsidRDefault="00921A15" w:rsidP="00921A15">
            <w:pPr>
              <w:pStyle w:val="NormalWeb"/>
            </w:pPr>
            <w:r>
              <w:t>DCF-based Expected Market Return</w:t>
            </w:r>
          </w:p>
        </w:tc>
      </w:tr>
      <w:tr w:rsidR="00921A15" w:rsidRPr="00701945" w14:paraId="1B4CC512" w14:textId="77777777" w:rsidTr="006F034C">
        <w:trPr>
          <w:cantSplit/>
          <w:trHeight w:val="373"/>
        </w:trPr>
        <w:tc>
          <w:tcPr>
            <w:tcW w:w="3198" w:type="dxa"/>
            <w:tcBorders>
              <w:top w:val="nil"/>
              <w:left w:val="nil"/>
              <w:bottom w:val="nil"/>
              <w:right w:val="nil"/>
            </w:tcBorders>
          </w:tcPr>
          <w:p w14:paraId="270D7B7A"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4B46B7E8"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730A2F25" w14:textId="77777777" w:rsidR="00921A15" w:rsidRDefault="00921A15" w:rsidP="00895CB4">
            <w:pPr>
              <w:pStyle w:val="NormalWeb"/>
              <w:jc w:val="center"/>
            </w:pPr>
            <w:r w:rsidRPr="00FF75A5">
              <w:t>JEN-</w:t>
            </w:r>
            <w:r>
              <w:t>5</w:t>
            </w:r>
          </w:p>
        </w:tc>
        <w:tc>
          <w:tcPr>
            <w:tcW w:w="3205" w:type="dxa"/>
            <w:tcBorders>
              <w:top w:val="nil"/>
              <w:left w:val="nil"/>
              <w:bottom w:val="nil"/>
              <w:right w:val="nil"/>
            </w:tcBorders>
          </w:tcPr>
          <w:p w14:paraId="68BFA5E9" w14:textId="77777777" w:rsidR="00921A15" w:rsidRDefault="00921A15" w:rsidP="00921A15">
            <w:pPr>
              <w:pStyle w:val="NormalWeb"/>
            </w:pPr>
            <w:r>
              <w:t>CAPM and Empirical CAPM Analyses</w:t>
            </w:r>
          </w:p>
        </w:tc>
      </w:tr>
      <w:tr w:rsidR="00921A15" w:rsidRPr="00701945" w14:paraId="104BCF3C" w14:textId="77777777" w:rsidTr="006F034C">
        <w:trPr>
          <w:cantSplit/>
          <w:trHeight w:val="373"/>
        </w:trPr>
        <w:tc>
          <w:tcPr>
            <w:tcW w:w="3198" w:type="dxa"/>
            <w:tcBorders>
              <w:top w:val="nil"/>
              <w:left w:val="nil"/>
              <w:bottom w:val="nil"/>
              <w:right w:val="nil"/>
            </w:tcBorders>
          </w:tcPr>
          <w:p w14:paraId="6B310CD1"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53C5A07E"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5FAAD145" w14:textId="77777777" w:rsidR="00921A15" w:rsidRDefault="00921A15" w:rsidP="00895CB4">
            <w:pPr>
              <w:pStyle w:val="NormalWeb"/>
              <w:jc w:val="center"/>
            </w:pPr>
            <w:r w:rsidRPr="00FF75A5">
              <w:t>JEN-</w:t>
            </w:r>
            <w:r>
              <w:t>6</w:t>
            </w:r>
          </w:p>
        </w:tc>
        <w:tc>
          <w:tcPr>
            <w:tcW w:w="3205" w:type="dxa"/>
            <w:tcBorders>
              <w:top w:val="nil"/>
              <w:left w:val="nil"/>
              <w:bottom w:val="nil"/>
              <w:right w:val="nil"/>
            </w:tcBorders>
          </w:tcPr>
          <w:p w14:paraId="372B398E" w14:textId="77777777" w:rsidR="00921A15" w:rsidRDefault="00921A15" w:rsidP="00921A15">
            <w:pPr>
              <w:pStyle w:val="NormalWeb"/>
            </w:pPr>
            <w:r>
              <w:t>Bond Yield Plus Risk Premium Analysis</w:t>
            </w:r>
          </w:p>
        </w:tc>
      </w:tr>
      <w:tr w:rsidR="00921A15" w:rsidRPr="00701945" w14:paraId="69C66CE6" w14:textId="77777777" w:rsidTr="006F034C">
        <w:trPr>
          <w:cantSplit/>
          <w:trHeight w:val="373"/>
        </w:trPr>
        <w:tc>
          <w:tcPr>
            <w:tcW w:w="3198" w:type="dxa"/>
            <w:tcBorders>
              <w:top w:val="nil"/>
              <w:left w:val="nil"/>
              <w:bottom w:val="nil"/>
              <w:right w:val="nil"/>
            </w:tcBorders>
          </w:tcPr>
          <w:p w14:paraId="4759F1AF"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6099ABF3"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02668044" w14:textId="77777777" w:rsidR="00921A15" w:rsidRDefault="00921A15" w:rsidP="00895CB4">
            <w:pPr>
              <w:pStyle w:val="NormalWeb"/>
              <w:jc w:val="center"/>
            </w:pPr>
            <w:r w:rsidRPr="00FF75A5">
              <w:t>JEN-</w:t>
            </w:r>
            <w:r>
              <w:t>7</w:t>
            </w:r>
          </w:p>
        </w:tc>
        <w:tc>
          <w:tcPr>
            <w:tcW w:w="3205" w:type="dxa"/>
            <w:tcBorders>
              <w:top w:val="nil"/>
              <w:left w:val="nil"/>
              <w:bottom w:val="nil"/>
              <w:right w:val="nil"/>
            </w:tcBorders>
          </w:tcPr>
          <w:p w14:paraId="31537544" w14:textId="77777777" w:rsidR="00921A15" w:rsidRDefault="00921A15" w:rsidP="00921A15">
            <w:pPr>
              <w:pStyle w:val="NormalWeb"/>
            </w:pPr>
            <w:r>
              <w:t>Small Size Premium Analysis</w:t>
            </w:r>
          </w:p>
        </w:tc>
      </w:tr>
      <w:tr w:rsidR="00921A15" w:rsidRPr="00701945" w14:paraId="71E70420" w14:textId="77777777" w:rsidTr="006F034C">
        <w:trPr>
          <w:cantSplit/>
          <w:trHeight w:val="373"/>
        </w:trPr>
        <w:tc>
          <w:tcPr>
            <w:tcW w:w="3198" w:type="dxa"/>
            <w:tcBorders>
              <w:top w:val="nil"/>
              <w:left w:val="nil"/>
              <w:bottom w:val="nil"/>
              <w:right w:val="nil"/>
            </w:tcBorders>
          </w:tcPr>
          <w:p w14:paraId="7C4C9110"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20660707"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052866E5" w14:textId="77777777" w:rsidR="00921A15" w:rsidRDefault="00921A15" w:rsidP="00895CB4">
            <w:pPr>
              <w:pStyle w:val="NormalWeb"/>
              <w:jc w:val="center"/>
            </w:pPr>
            <w:r w:rsidRPr="00FF75A5">
              <w:t>JEN-</w:t>
            </w:r>
            <w:r>
              <w:t>8</w:t>
            </w:r>
          </w:p>
        </w:tc>
        <w:tc>
          <w:tcPr>
            <w:tcW w:w="3205" w:type="dxa"/>
            <w:tcBorders>
              <w:top w:val="nil"/>
              <w:left w:val="nil"/>
              <w:bottom w:val="nil"/>
              <w:right w:val="nil"/>
            </w:tcBorders>
          </w:tcPr>
          <w:p w14:paraId="7A002060" w14:textId="77777777" w:rsidR="00921A15" w:rsidRDefault="00921A15" w:rsidP="00921A15">
            <w:pPr>
              <w:pStyle w:val="NormalWeb"/>
            </w:pPr>
            <w:r>
              <w:t>Proxy Group Regulatory Risk Comparative Assessment</w:t>
            </w:r>
          </w:p>
        </w:tc>
      </w:tr>
      <w:tr w:rsidR="00921A15" w:rsidRPr="00701945" w14:paraId="21994EC9" w14:textId="77777777" w:rsidTr="006F034C">
        <w:trPr>
          <w:cantSplit/>
          <w:trHeight w:val="373"/>
        </w:trPr>
        <w:tc>
          <w:tcPr>
            <w:tcW w:w="3198" w:type="dxa"/>
            <w:tcBorders>
              <w:top w:val="nil"/>
              <w:left w:val="nil"/>
              <w:bottom w:val="nil"/>
              <w:right w:val="nil"/>
            </w:tcBorders>
          </w:tcPr>
          <w:p w14:paraId="46962634"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094465FF"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20099798" w14:textId="77777777" w:rsidR="00921A15" w:rsidRDefault="00921A15" w:rsidP="00895CB4">
            <w:pPr>
              <w:pStyle w:val="NormalWeb"/>
              <w:jc w:val="center"/>
            </w:pPr>
            <w:r w:rsidRPr="00FF75A5">
              <w:t>JEN-</w:t>
            </w:r>
            <w:r>
              <w:t>9</w:t>
            </w:r>
          </w:p>
        </w:tc>
        <w:tc>
          <w:tcPr>
            <w:tcW w:w="3205" w:type="dxa"/>
            <w:tcBorders>
              <w:top w:val="nil"/>
              <w:left w:val="nil"/>
              <w:bottom w:val="nil"/>
              <w:right w:val="nil"/>
            </w:tcBorders>
          </w:tcPr>
          <w:p w14:paraId="2B095F49" w14:textId="77777777" w:rsidR="00921A15" w:rsidRDefault="00921A15" w:rsidP="00921A15">
            <w:pPr>
              <w:pStyle w:val="NormalWeb"/>
            </w:pPr>
            <w:r>
              <w:t>Flotation Costs</w:t>
            </w:r>
          </w:p>
        </w:tc>
      </w:tr>
      <w:tr w:rsidR="00921A15" w:rsidRPr="00701945" w14:paraId="5D371A66" w14:textId="77777777" w:rsidTr="006F034C">
        <w:trPr>
          <w:cantSplit/>
          <w:trHeight w:val="373"/>
        </w:trPr>
        <w:tc>
          <w:tcPr>
            <w:tcW w:w="3198" w:type="dxa"/>
            <w:tcBorders>
              <w:top w:val="nil"/>
              <w:left w:val="nil"/>
              <w:bottom w:val="nil"/>
              <w:right w:val="nil"/>
            </w:tcBorders>
          </w:tcPr>
          <w:p w14:paraId="117031A4" w14:textId="77777777" w:rsidR="00921A15" w:rsidRDefault="00921A15" w:rsidP="00921A15">
            <w:pPr>
              <w:pStyle w:val="NormalWeb"/>
            </w:pPr>
            <w:r w:rsidRPr="00A11C66">
              <w:t>Jennifer E. Nelson</w:t>
            </w:r>
          </w:p>
        </w:tc>
        <w:tc>
          <w:tcPr>
            <w:tcW w:w="1680" w:type="dxa"/>
            <w:tcBorders>
              <w:top w:val="nil"/>
              <w:left w:val="nil"/>
              <w:bottom w:val="nil"/>
              <w:right w:val="nil"/>
            </w:tcBorders>
          </w:tcPr>
          <w:p w14:paraId="182D1209"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14199241" w14:textId="77777777" w:rsidR="00921A15" w:rsidRDefault="00921A15" w:rsidP="00895CB4">
            <w:pPr>
              <w:pStyle w:val="NormalWeb"/>
              <w:jc w:val="center"/>
            </w:pPr>
            <w:r w:rsidRPr="00FF75A5">
              <w:t>JEN-1</w:t>
            </w:r>
            <w:r>
              <w:t>0</w:t>
            </w:r>
          </w:p>
        </w:tc>
        <w:tc>
          <w:tcPr>
            <w:tcW w:w="3205" w:type="dxa"/>
            <w:tcBorders>
              <w:top w:val="nil"/>
              <w:left w:val="nil"/>
              <w:bottom w:val="nil"/>
              <w:right w:val="nil"/>
            </w:tcBorders>
          </w:tcPr>
          <w:p w14:paraId="340C76D2" w14:textId="77777777" w:rsidR="00921A15" w:rsidRDefault="00921A15" w:rsidP="00921A15">
            <w:pPr>
              <w:pStyle w:val="NormalWeb"/>
            </w:pPr>
            <w:r>
              <w:t>Capital Structure Analysis</w:t>
            </w:r>
          </w:p>
        </w:tc>
      </w:tr>
      <w:tr w:rsidR="00921A15" w:rsidRPr="00701945" w14:paraId="4461F4B0" w14:textId="77777777" w:rsidTr="006F034C">
        <w:trPr>
          <w:cantSplit/>
          <w:trHeight w:val="373"/>
        </w:trPr>
        <w:tc>
          <w:tcPr>
            <w:tcW w:w="3198" w:type="dxa"/>
            <w:tcBorders>
              <w:top w:val="nil"/>
              <w:left w:val="nil"/>
              <w:bottom w:val="nil"/>
              <w:right w:val="nil"/>
            </w:tcBorders>
          </w:tcPr>
          <w:p w14:paraId="25FC992B" w14:textId="77777777" w:rsidR="00921A15" w:rsidRDefault="00921A15" w:rsidP="00921A15">
            <w:pPr>
              <w:pStyle w:val="NormalWeb"/>
            </w:pPr>
            <w:r>
              <w:t>Ned W. Allis</w:t>
            </w:r>
          </w:p>
        </w:tc>
        <w:tc>
          <w:tcPr>
            <w:tcW w:w="1680" w:type="dxa"/>
            <w:tcBorders>
              <w:top w:val="nil"/>
              <w:left w:val="nil"/>
              <w:bottom w:val="nil"/>
              <w:right w:val="nil"/>
            </w:tcBorders>
          </w:tcPr>
          <w:p w14:paraId="668CBF7D" w14:textId="77777777" w:rsidR="00921A15" w:rsidRDefault="00921A15" w:rsidP="00895CB4">
            <w:pPr>
              <w:pStyle w:val="NormalWeb"/>
              <w:jc w:val="center"/>
            </w:pPr>
            <w:r w:rsidRPr="00EF231E">
              <w:t>FCG</w:t>
            </w:r>
          </w:p>
        </w:tc>
        <w:tc>
          <w:tcPr>
            <w:tcW w:w="1482" w:type="dxa"/>
            <w:tcBorders>
              <w:top w:val="nil"/>
              <w:left w:val="nil"/>
              <w:bottom w:val="nil"/>
              <w:right w:val="nil"/>
            </w:tcBorders>
          </w:tcPr>
          <w:p w14:paraId="409B1971" w14:textId="77777777" w:rsidR="00921A15" w:rsidRPr="00FF75A5" w:rsidRDefault="00921A15" w:rsidP="00895CB4">
            <w:pPr>
              <w:pStyle w:val="NormalWeb"/>
              <w:jc w:val="center"/>
            </w:pPr>
            <w:r>
              <w:t>NWA-1</w:t>
            </w:r>
          </w:p>
        </w:tc>
        <w:tc>
          <w:tcPr>
            <w:tcW w:w="3205" w:type="dxa"/>
            <w:tcBorders>
              <w:top w:val="nil"/>
              <w:left w:val="nil"/>
              <w:bottom w:val="nil"/>
              <w:right w:val="nil"/>
            </w:tcBorders>
          </w:tcPr>
          <w:p w14:paraId="192BE7A2" w14:textId="77777777" w:rsidR="00921A15" w:rsidRDefault="00921A15" w:rsidP="00921A15">
            <w:pPr>
              <w:pStyle w:val="NormalWeb"/>
            </w:pPr>
            <w:r>
              <w:t>2022 Depreciation Study</w:t>
            </w:r>
          </w:p>
        </w:tc>
      </w:tr>
      <w:tr w:rsidR="00921A15" w:rsidRPr="00701945" w14:paraId="19EF5B60" w14:textId="77777777" w:rsidTr="006F034C">
        <w:trPr>
          <w:cantSplit/>
          <w:trHeight w:val="373"/>
        </w:trPr>
        <w:tc>
          <w:tcPr>
            <w:tcW w:w="3198" w:type="dxa"/>
            <w:tcBorders>
              <w:top w:val="nil"/>
              <w:left w:val="nil"/>
              <w:bottom w:val="nil"/>
              <w:right w:val="nil"/>
            </w:tcBorders>
          </w:tcPr>
          <w:p w14:paraId="7CF4DEAC" w14:textId="77777777" w:rsidR="00921A15" w:rsidRDefault="00921A15" w:rsidP="00921A15">
            <w:pPr>
              <w:pStyle w:val="NormalWeb"/>
            </w:pPr>
            <w:r>
              <w:t>Ned W. Allis</w:t>
            </w:r>
          </w:p>
        </w:tc>
        <w:tc>
          <w:tcPr>
            <w:tcW w:w="1680" w:type="dxa"/>
            <w:tcBorders>
              <w:top w:val="nil"/>
              <w:left w:val="nil"/>
              <w:bottom w:val="nil"/>
              <w:right w:val="nil"/>
            </w:tcBorders>
          </w:tcPr>
          <w:p w14:paraId="590F6B69" w14:textId="77777777" w:rsidR="00921A15" w:rsidRPr="00EF231E" w:rsidRDefault="00921A15" w:rsidP="00895CB4">
            <w:pPr>
              <w:pStyle w:val="NormalWeb"/>
              <w:jc w:val="center"/>
            </w:pPr>
            <w:r w:rsidRPr="00EF231E">
              <w:t>FCG</w:t>
            </w:r>
          </w:p>
        </w:tc>
        <w:tc>
          <w:tcPr>
            <w:tcW w:w="1482" w:type="dxa"/>
            <w:tcBorders>
              <w:top w:val="nil"/>
              <w:left w:val="nil"/>
              <w:bottom w:val="nil"/>
              <w:right w:val="nil"/>
            </w:tcBorders>
          </w:tcPr>
          <w:p w14:paraId="3F988FF5" w14:textId="77777777" w:rsidR="00921A15" w:rsidRDefault="00921A15" w:rsidP="00895CB4">
            <w:pPr>
              <w:pStyle w:val="NormalWeb"/>
              <w:jc w:val="center"/>
            </w:pPr>
            <w:r>
              <w:t>NWA-2</w:t>
            </w:r>
          </w:p>
        </w:tc>
        <w:tc>
          <w:tcPr>
            <w:tcW w:w="3205" w:type="dxa"/>
            <w:tcBorders>
              <w:top w:val="nil"/>
              <w:left w:val="nil"/>
              <w:bottom w:val="nil"/>
              <w:right w:val="nil"/>
            </w:tcBorders>
          </w:tcPr>
          <w:p w14:paraId="5AD78AA9" w14:textId="77777777" w:rsidR="00921A15" w:rsidRDefault="00921A15" w:rsidP="00921A15">
            <w:pPr>
              <w:pStyle w:val="NormalWeb"/>
            </w:pPr>
            <w:r w:rsidRPr="00AD39F9">
              <w:t xml:space="preserve">List of </w:t>
            </w:r>
            <w:r>
              <w:t xml:space="preserve">Cases in which Ned W. Allis has Submitted </w:t>
            </w:r>
            <w:r w:rsidRPr="00AD39F9">
              <w:t>Testimony</w:t>
            </w:r>
          </w:p>
        </w:tc>
      </w:tr>
      <w:tr w:rsidR="00921A15" w:rsidRPr="00701945" w14:paraId="059C7624" w14:textId="77777777" w:rsidTr="006F034C">
        <w:trPr>
          <w:cantSplit/>
          <w:trHeight w:val="373"/>
        </w:trPr>
        <w:tc>
          <w:tcPr>
            <w:tcW w:w="3198" w:type="dxa"/>
            <w:tcBorders>
              <w:top w:val="nil"/>
              <w:left w:val="nil"/>
              <w:bottom w:val="nil"/>
              <w:right w:val="nil"/>
            </w:tcBorders>
          </w:tcPr>
          <w:p w14:paraId="0E912D85" w14:textId="77777777" w:rsidR="00921A15" w:rsidRDefault="00921A15" w:rsidP="00921A15">
            <w:pPr>
              <w:pStyle w:val="NormalWeb"/>
            </w:pPr>
            <w:r>
              <w:t>Ned W. Allis</w:t>
            </w:r>
          </w:p>
        </w:tc>
        <w:tc>
          <w:tcPr>
            <w:tcW w:w="1680" w:type="dxa"/>
            <w:tcBorders>
              <w:top w:val="nil"/>
              <w:left w:val="nil"/>
              <w:bottom w:val="nil"/>
              <w:right w:val="nil"/>
            </w:tcBorders>
          </w:tcPr>
          <w:p w14:paraId="728C1145" w14:textId="77777777" w:rsidR="00921A15" w:rsidRPr="00EF231E" w:rsidRDefault="00921A15" w:rsidP="00895CB4">
            <w:pPr>
              <w:pStyle w:val="NormalWeb"/>
              <w:jc w:val="center"/>
            </w:pPr>
            <w:r w:rsidRPr="00EF231E">
              <w:t>FCG</w:t>
            </w:r>
          </w:p>
        </w:tc>
        <w:tc>
          <w:tcPr>
            <w:tcW w:w="1482" w:type="dxa"/>
            <w:tcBorders>
              <w:top w:val="nil"/>
              <w:left w:val="nil"/>
              <w:bottom w:val="nil"/>
              <w:right w:val="nil"/>
            </w:tcBorders>
          </w:tcPr>
          <w:p w14:paraId="027F68A0" w14:textId="77777777" w:rsidR="00921A15" w:rsidRDefault="00921A15" w:rsidP="00895CB4">
            <w:pPr>
              <w:pStyle w:val="NormalWeb"/>
              <w:jc w:val="center"/>
            </w:pPr>
            <w:r>
              <w:t>NWA-3</w:t>
            </w:r>
          </w:p>
        </w:tc>
        <w:tc>
          <w:tcPr>
            <w:tcW w:w="3205" w:type="dxa"/>
            <w:tcBorders>
              <w:top w:val="nil"/>
              <w:left w:val="nil"/>
              <w:bottom w:val="nil"/>
              <w:right w:val="nil"/>
            </w:tcBorders>
          </w:tcPr>
          <w:p w14:paraId="6CDD6C9B" w14:textId="77777777" w:rsidR="00921A15" w:rsidRDefault="00921A15" w:rsidP="00921A15">
            <w:pPr>
              <w:pStyle w:val="NormalWeb"/>
            </w:pPr>
            <w:r>
              <w:t>Schedules 1A and 1B</w:t>
            </w:r>
          </w:p>
        </w:tc>
      </w:tr>
      <w:tr w:rsidR="00921A15" w:rsidRPr="00701945" w14:paraId="55CBAF66" w14:textId="77777777" w:rsidTr="006F034C">
        <w:trPr>
          <w:cantSplit/>
          <w:trHeight w:val="373"/>
        </w:trPr>
        <w:tc>
          <w:tcPr>
            <w:tcW w:w="3198" w:type="dxa"/>
            <w:tcBorders>
              <w:top w:val="nil"/>
              <w:left w:val="nil"/>
              <w:bottom w:val="nil"/>
              <w:right w:val="nil"/>
            </w:tcBorders>
          </w:tcPr>
          <w:p w14:paraId="5E6D08FC" w14:textId="77777777" w:rsidR="00921A15" w:rsidRDefault="00921A15" w:rsidP="00921A15">
            <w:pPr>
              <w:pStyle w:val="NormalWeb"/>
            </w:pPr>
            <w:r>
              <w:t>Ned W. Allis</w:t>
            </w:r>
          </w:p>
        </w:tc>
        <w:tc>
          <w:tcPr>
            <w:tcW w:w="1680" w:type="dxa"/>
            <w:tcBorders>
              <w:top w:val="nil"/>
              <w:left w:val="nil"/>
              <w:bottom w:val="nil"/>
              <w:right w:val="nil"/>
            </w:tcBorders>
          </w:tcPr>
          <w:p w14:paraId="17FE9772" w14:textId="77777777" w:rsidR="00921A15" w:rsidRPr="00EF231E" w:rsidRDefault="00921A15" w:rsidP="00895CB4">
            <w:pPr>
              <w:pStyle w:val="NormalWeb"/>
              <w:jc w:val="center"/>
            </w:pPr>
            <w:r w:rsidRPr="00EF231E">
              <w:t>FCG</w:t>
            </w:r>
          </w:p>
        </w:tc>
        <w:tc>
          <w:tcPr>
            <w:tcW w:w="1482" w:type="dxa"/>
            <w:tcBorders>
              <w:top w:val="nil"/>
              <w:left w:val="nil"/>
              <w:bottom w:val="nil"/>
              <w:right w:val="nil"/>
            </w:tcBorders>
          </w:tcPr>
          <w:p w14:paraId="1D04B979" w14:textId="77777777" w:rsidR="00921A15" w:rsidRDefault="00921A15" w:rsidP="00895CB4">
            <w:pPr>
              <w:pStyle w:val="NormalWeb"/>
              <w:jc w:val="center"/>
            </w:pPr>
            <w:r>
              <w:t>NWA-4</w:t>
            </w:r>
          </w:p>
        </w:tc>
        <w:tc>
          <w:tcPr>
            <w:tcW w:w="3205" w:type="dxa"/>
            <w:tcBorders>
              <w:top w:val="nil"/>
              <w:left w:val="nil"/>
              <w:bottom w:val="nil"/>
              <w:right w:val="nil"/>
            </w:tcBorders>
          </w:tcPr>
          <w:p w14:paraId="594C0E41" w14:textId="77777777" w:rsidR="00921A15" w:rsidRDefault="00921A15" w:rsidP="00921A15">
            <w:pPr>
              <w:pStyle w:val="NormalWeb"/>
            </w:pPr>
            <w:r>
              <w:t>Summary of Depreciation Based on Current Service Life and Net Salvage Estimates</w:t>
            </w:r>
          </w:p>
        </w:tc>
      </w:tr>
      <w:tr w:rsidR="00921A15" w:rsidRPr="00701945" w14:paraId="14FCDD22" w14:textId="77777777" w:rsidTr="006F034C">
        <w:trPr>
          <w:cantSplit/>
          <w:trHeight w:val="373"/>
        </w:trPr>
        <w:tc>
          <w:tcPr>
            <w:tcW w:w="3198" w:type="dxa"/>
            <w:tcBorders>
              <w:top w:val="nil"/>
              <w:left w:val="nil"/>
              <w:bottom w:val="nil"/>
              <w:right w:val="nil"/>
            </w:tcBorders>
          </w:tcPr>
          <w:p w14:paraId="0214C974" w14:textId="77777777" w:rsidR="00921A15" w:rsidRDefault="00921A15" w:rsidP="00921A15">
            <w:pPr>
              <w:pStyle w:val="NormalWeb"/>
            </w:pPr>
            <w:r>
              <w:t>Ned W. Allis</w:t>
            </w:r>
          </w:p>
        </w:tc>
        <w:tc>
          <w:tcPr>
            <w:tcW w:w="1680" w:type="dxa"/>
            <w:tcBorders>
              <w:top w:val="nil"/>
              <w:left w:val="nil"/>
              <w:bottom w:val="nil"/>
              <w:right w:val="nil"/>
            </w:tcBorders>
          </w:tcPr>
          <w:p w14:paraId="7281221B" w14:textId="77777777" w:rsidR="00921A15" w:rsidRPr="00EF231E" w:rsidRDefault="00921A15" w:rsidP="00895CB4">
            <w:pPr>
              <w:pStyle w:val="NormalWeb"/>
              <w:jc w:val="center"/>
            </w:pPr>
            <w:r w:rsidRPr="00EF231E">
              <w:t>FCG</w:t>
            </w:r>
          </w:p>
        </w:tc>
        <w:tc>
          <w:tcPr>
            <w:tcW w:w="1482" w:type="dxa"/>
            <w:tcBorders>
              <w:top w:val="nil"/>
              <w:left w:val="nil"/>
              <w:bottom w:val="nil"/>
              <w:right w:val="nil"/>
            </w:tcBorders>
          </w:tcPr>
          <w:p w14:paraId="5F066423" w14:textId="77777777" w:rsidR="00921A15" w:rsidRDefault="00921A15" w:rsidP="00895CB4">
            <w:pPr>
              <w:pStyle w:val="NormalWeb"/>
              <w:jc w:val="center"/>
            </w:pPr>
            <w:r>
              <w:t>NWA-5</w:t>
            </w:r>
          </w:p>
        </w:tc>
        <w:tc>
          <w:tcPr>
            <w:tcW w:w="3205" w:type="dxa"/>
            <w:tcBorders>
              <w:top w:val="nil"/>
              <w:left w:val="nil"/>
              <w:bottom w:val="nil"/>
              <w:right w:val="nil"/>
            </w:tcBorders>
          </w:tcPr>
          <w:p w14:paraId="133C8D13" w14:textId="77777777" w:rsidR="00921A15" w:rsidRDefault="00921A15" w:rsidP="00921A15">
            <w:pPr>
              <w:pStyle w:val="NormalWeb"/>
            </w:pPr>
            <w:r>
              <w:t>Summary of Depreciation Based on Proposed Service Life and Current Net Salvage Estimates</w:t>
            </w:r>
          </w:p>
        </w:tc>
      </w:tr>
      <w:tr w:rsidR="001424BD" w:rsidRPr="00701945" w14:paraId="5BE0C525" w14:textId="77777777" w:rsidTr="006F034C">
        <w:trPr>
          <w:cantSplit/>
          <w:trHeight w:val="373"/>
        </w:trPr>
        <w:tc>
          <w:tcPr>
            <w:tcW w:w="3198" w:type="dxa"/>
            <w:tcBorders>
              <w:top w:val="nil"/>
              <w:left w:val="nil"/>
              <w:bottom w:val="nil"/>
              <w:right w:val="nil"/>
            </w:tcBorders>
          </w:tcPr>
          <w:p w14:paraId="43BC22EA" w14:textId="77777777" w:rsidR="001424BD" w:rsidRPr="00D87232" w:rsidRDefault="001424BD" w:rsidP="001424BD">
            <w:pPr>
              <w:tabs>
                <w:tab w:val="left" w:pos="720"/>
              </w:tabs>
              <w:autoSpaceDE w:val="0"/>
              <w:autoSpaceDN w:val="0"/>
              <w:adjustRightInd w:val="0"/>
              <w:rPr>
                <w:bCs/>
              </w:rPr>
            </w:pPr>
            <w:r w:rsidRPr="00D87232">
              <w:rPr>
                <w:bCs/>
              </w:rPr>
              <w:t>Helmuth W. Schultz, III</w:t>
            </w:r>
          </w:p>
        </w:tc>
        <w:tc>
          <w:tcPr>
            <w:tcW w:w="1680" w:type="dxa"/>
            <w:tcBorders>
              <w:top w:val="nil"/>
              <w:left w:val="nil"/>
              <w:bottom w:val="nil"/>
              <w:right w:val="nil"/>
            </w:tcBorders>
          </w:tcPr>
          <w:p w14:paraId="23944260" w14:textId="77777777" w:rsidR="001424BD" w:rsidRPr="00D87232" w:rsidRDefault="001424BD" w:rsidP="00895CB4">
            <w:pPr>
              <w:tabs>
                <w:tab w:val="left" w:pos="720"/>
              </w:tabs>
              <w:autoSpaceDE w:val="0"/>
              <w:autoSpaceDN w:val="0"/>
              <w:adjustRightInd w:val="0"/>
              <w:jc w:val="center"/>
              <w:rPr>
                <w:bCs/>
              </w:rPr>
            </w:pPr>
            <w:r w:rsidRPr="00D87232">
              <w:rPr>
                <w:bCs/>
              </w:rPr>
              <w:t>OPC</w:t>
            </w:r>
          </w:p>
        </w:tc>
        <w:tc>
          <w:tcPr>
            <w:tcW w:w="1482" w:type="dxa"/>
            <w:tcBorders>
              <w:top w:val="nil"/>
              <w:left w:val="nil"/>
              <w:bottom w:val="nil"/>
              <w:right w:val="nil"/>
            </w:tcBorders>
          </w:tcPr>
          <w:p w14:paraId="09C32EC6" w14:textId="77777777" w:rsidR="001424BD" w:rsidRPr="00D87232" w:rsidRDefault="001424BD" w:rsidP="00895CB4">
            <w:pPr>
              <w:tabs>
                <w:tab w:val="left" w:pos="720"/>
              </w:tabs>
              <w:autoSpaceDE w:val="0"/>
              <w:autoSpaceDN w:val="0"/>
              <w:adjustRightInd w:val="0"/>
              <w:jc w:val="center"/>
              <w:rPr>
                <w:bCs/>
              </w:rPr>
            </w:pPr>
            <w:r w:rsidRPr="00D87232">
              <w:t>HWS - 1</w:t>
            </w:r>
          </w:p>
        </w:tc>
        <w:tc>
          <w:tcPr>
            <w:tcW w:w="3205" w:type="dxa"/>
            <w:tcBorders>
              <w:top w:val="nil"/>
              <w:left w:val="nil"/>
              <w:bottom w:val="nil"/>
              <w:right w:val="nil"/>
            </w:tcBorders>
          </w:tcPr>
          <w:p w14:paraId="1FE629DD" w14:textId="77777777" w:rsidR="001424BD" w:rsidRPr="009009F0" w:rsidRDefault="001424BD" w:rsidP="001424BD">
            <w:pPr>
              <w:tabs>
                <w:tab w:val="left" w:pos="720"/>
              </w:tabs>
              <w:autoSpaceDE w:val="0"/>
              <w:autoSpaceDN w:val="0"/>
              <w:adjustRightInd w:val="0"/>
              <w:rPr>
                <w:bCs/>
              </w:rPr>
            </w:pPr>
            <w:r w:rsidRPr="009009F0">
              <w:rPr>
                <w:bCs/>
              </w:rPr>
              <w:t>Resume of Helmuth W. Schultz, III</w:t>
            </w:r>
          </w:p>
        </w:tc>
      </w:tr>
      <w:tr w:rsidR="001424BD" w:rsidRPr="00701945" w14:paraId="7AD889A4" w14:textId="77777777" w:rsidTr="006F034C">
        <w:trPr>
          <w:cantSplit/>
          <w:trHeight w:val="373"/>
        </w:trPr>
        <w:tc>
          <w:tcPr>
            <w:tcW w:w="3198" w:type="dxa"/>
            <w:tcBorders>
              <w:top w:val="nil"/>
              <w:left w:val="nil"/>
              <w:bottom w:val="nil"/>
              <w:right w:val="nil"/>
            </w:tcBorders>
          </w:tcPr>
          <w:p w14:paraId="58F80FAE" w14:textId="77777777" w:rsidR="001424BD" w:rsidRPr="00D87232" w:rsidRDefault="001424BD" w:rsidP="001424BD">
            <w:pPr>
              <w:tabs>
                <w:tab w:val="left" w:pos="720"/>
              </w:tabs>
              <w:autoSpaceDE w:val="0"/>
              <w:autoSpaceDN w:val="0"/>
              <w:adjustRightInd w:val="0"/>
              <w:rPr>
                <w:bCs/>
              </w:rPr>
            </w:pPr>
            <w:r w:rsidRPr="00D87232">
              <w:rPr>
                <w:bCs/>
              </w:rPr>
              <w:t>Helmuth W. Schultz, III</w:t>
            </w:r>
          </w:p>
        </w:tc>
        <w:tc>
          <w:tcPr>
            <w:tcW w:w="1680" w:type="dxa"/>
            <w:tcBorders>
              <w:top w:val="nil"/>
              <w:left w:val="nil"/>
              <w:bottom w:val="nil"/>
              <w:right w:val="nil"/>
            </w:tcBorders>
          </w:tcPr>
          <w:p w14:paraId="3F7E6DFD" w14:textId="77777777" w:rsidR="001424BD" w:rsidRPr="00D87232" w:rsidRDefault="001424BD" w:rsidP="00895CB4">
            <w:pPr>
              <w:tabs>
                <w:tab w:val="left" w:pos="720"/>
              </w:tabs>
              <w:autoSpaceDE w:val="0"/>
              <w:autoSpaceDN w:val="0"/>
              <w:adjustRightInd w:val="0"/>
              <w:jc w:val="center"/>
              <w:rPr>
                <w:bCs/>
              </w:rPr>
            </w:pPr>
            <w:r w:rsidRPr="00D87232">
              <w:rPr>
                <w:bCs/>
              </w:rPr>
              <w:t>OPC</w:t>
            </w:r>
          </w:p>
        </w:tc>
        <w:tc>
          <w:tcPr>
            <w:tcW w:w="1482" w:type="dxa"/>
            <w:tcBorders>
              <w:top w:val="nil"/>
              <w:left w:val="nil"/>
              <w:bottom w:val="nil"/>
              <w:right w:val="nil"/>
            </w:tcBorders>
          </w:tcPr>
          <w:p w14:paraId="704E4C56" w14:textId="77777777" w:rsidR="001424BD" w:rsidRPr="00D87232" w:rsidRDefault="001424BD" w:rsidP="00895CB4">
            <w:pPr>
              <w:tabs>
                <w:tab w:val="left" w:pos="720"/>
              </w:tabs>
              <w:autoSpaceDE w:val="0"/>
              <w:autoSpaceDN w:val="0"/>
              <w:adjustRightInd w:val="0"/>
              <w:jc w:val="center"/>
              <w:rPr>
                <w:bCs/>
              </w:rPr>
            </w:pPr>
            <w:r w:rsidRPr="00D87232">
              <w:t>HWS – 2</w:t>
            </w:r>
          </w:p>
        </w:tc>
        <w:tc>
          <w:tcPr>
            <w:tcW w:w="3205" w:type="dxa"/>
            <w:tcBorders>
              <w:top w:val="nil"/>
              <w:left w:val="nil"/>
              <w:bottom w:val="nil"/>
              <w:right w:val="nil"/>
            </w:tcBorders>
          </w:tcPr>
          <w:p w14:paraId="06D37FBF" w14:textId="77777777" w:rsidR="001424BD" w:rsidRPr="009009F0" w:rsidRDefault="001424BD" w:rsidP="001424BD">
            <w:pPr>
              <w:tabs>
                <w:tab w:val="left" w:pos="720"/>
              </w:tabs>
              <w:autoSpaceDE w:val="0"/>
              <w:autoSpaceDN w:val="0"/>
              <w:adjustRightInd w:val="0"/>
              <w:rPr>
                <w:bCs/>
              </w:rPr>
            </w:pPr>
            <w:r w:rsidRPr="009009F0">
              <w:rPr>
                <w:bCs/>
              </w:rPr>
              <w:t>Schedules</w:t>
            </w:r>
          </w:p>
        </w:tc>
      </w:tr>
      <w:tr w:rsidR="001424BD" w:rsidRPr="00701945" w14:paraId="7792FE4E" w14:textId="77777777" w:rsidTr="006F034C">
        <w:trPr>
          <w:cantSplit/>
          <w:trHeight w:val="373"/>
        </w:trPr>
        <w:tc>
          <w:tcPr>
            <w:tcW w:w="3198" w:type="dxa"/>
            <w:tcBorders>
              <w:top w:val="nil"/>
              <w:left w:val="nil"/>
              <w:bottom w:val="nil"/>
              <w:right w:val="nil"/>
            </w:tcBorders>
          </w:tcPr>
          <w:p w14:paraId="60254ED0" w14:textId="77777777" w:rsidR="001424BD" w:rsidRPr="00D87232" w:rsidRDefault="001424BD" w:rsidP="001424BD">
            <w:pPr>
              <w:tabs>
                <w:tab w:val="left" w:pos="720"/>
              </w:tabs>
              <w:autoSpaceDE w:val="0"/>
              <w:autoSpaceDN w:val="0"/>
              <w:adjustRightInd w:val="0"/>
              <w:rPr>
                <w:bCs/>
              </w:rPr>
            </w:pPr>
            <w:r w:rsidRPr="00D87232">
              <w:rPr>
                <w:bCs/>
              </w:rPr>
              <w:t>Helmuth W. Schultz, III</w:t>
            </w:r>
          </w:p>
        </w:tc>
        <w:tc>
          <w:tcPr>
            <w:tcW w:w="1680" w:type="dxa"/>
            <w:tcBorders>
              <w:top w:val="nil"/>
              <w:left w:val="nil"/>
              <w:bottom w:val="nil"/>
              <w:right w:val="nil"/>
            </w:tcBorders>
          </w:tcPr>
          <w:p w14:paraId="124D73AE" w14:textId="77777777" w:rsidR="001424BD" w:rsidRPr="00D87232" w:rsidRDefault="001424BD" w:rsidP="00895CB4">
            <w:pPr>
              <w:tabs>
                <w:tab w:val="left" w:pos="720"/>
              </w:tabs>
              <w:autoSpaceDE w:val="0"/>
              <w:autoSpaceDN w:val="0"/>
              <w:adjustRightInd w:val="0"/>
              <w:jc w:val="center"/>
              <w:rPr>
                <w:bCs/>
              </w:rPr>
            </w:pPr>
            <w:r w:rsidRPr="00D87232">
              <w:rPr>
                <w:bCs/>
              </w:rPr>
              <w:t>OPC</w:t>
            </w:r>
          </w:p>
        </w:tc>
        <w:tc>
          <w:tcPr>
            <w:tcW w:w="1482" w:type="dxa"/>
            <w:tcBorders>
              <w:top w:val="nil"/>
              <w:left w:val="nil"/>
              <w:bottom w:val="nil"/>
              <w:right w:val="nil"/>
            </w:tcBorders>
          </w:tcPr>
          <w:p w14:paraId="405BA630" w14:textId="77777777" w:rsidR="001424BD" w:rsidRPr="00D87232" w:rsidRDefault="001424BD" w:rsidP="00895CB4">
            <w:pPr>
              <w:tabs>
                <w:tab w:val="left" w:pos="720"/>
              </w:tabs>
              <w:autoSpaceDE w:val="0"/>
              <w:autoSpaceDN w:val="0"/>
              <w:adjustRightInd w:val="0"/>
              <w:jc w:val="center"/>
              <w:rPr>
                <w:bCs/>
              </w:rPr>
            </w:pPr>
            <w:r w:rsidRPr="00D87232">
              <w:rPr>
                <w:bCs/>
              </w:rPr>
              <w:t>HWS – 3</w:t>
            </w:r>
          </w:p>
        </w:tc>
        <w:tc>
          <w:tcPr>
            <w:tcW w:w="3205" w:type="dxa"/>
            <w:tcBorders>
              <w:top w:val="nil"/>
              <w:left w:val="nil"/>
              <w:bottom w:val="nil"/>
              <w:right w:val="nil"/>
            </w:tcBorders>
          </w:tcPr>
          <w:p w14:paraId="17036053" w14:textId="77777777" w:rsidR="001424BD" w:rsidRPr="009009F0" w:rsidRDefault="001424BD" w:rsidP="001424BD">
            <w:pPr>
              <w:tabs>
                <w:tab w:val="left" w:pos="720"/>
              </w:tabs>
              <w:autoSpaceDE w:val="0"/>
              <w:autoSpaceDN w:val="0"/>
              <w:adjustRightInd w:val="0"/>
              <w:rPr>
                <w:bCs/>
              </w:rPr>
            </w:pPr>
            <w:r w:rsidRPr="009009F0">
              <w:t>Composite of RCS Exhibits 4 &amp; 5 from 20220015-EI</w:t>
            </w:r>
          </w:p>
        </w:tc>
      </w:tr>
      <w:tr w:rsidR="001424BD" w:rsidRPr="00701945" w14:paraId="4E7E4EE6" w14:textId="77777777" w:rsidTr="006F034C">
        <w:trPr>
          <w:cantSplit/>
          <w:trHeight w:val="373"/>
        </w:trPr>
        <w:tc>
          <w:tcPr>
            <w:tcW w:w="3198" w:type="dxa"/>
            <w:tcBorders>
              <w:top w:val="nil"/>
              <w:left w:val="nil"/>
              <w:bottom w:val="nil"/>
              <w:right w:val="nil"/>
            </w:tcBorders>
          </w:tcPr>
          <w:p w14:paraId="5D32F257" w14:textId="77777777" w:rsidR="001424BD" w:rsidRPr="00D87232" w:rsidRDefault="001424BD" w:rsidP="001424BD">
            <w:pPr>
              <w:tabs>
                <w:tab w:val="left" w:pos="720"/>
              </w:tabs>
              <w:autoSpaceDE w:val="0"/>
              <w:autoSpaceDN w:val="0"/>
              <w:adjustRightInd w:val="0"/>
              <w:rPr>
                <w:bCs/>
                <w:highlight w:val="yellow"/>
              </w:rPr>
            </w:pPr>
            <w:r w:rsidRPr="00D87232">
              <w:rPr>
                <w:bCs/>
              </w:rPr>
              <w:t>Helmuth W. Schultz, III</w:t>
            </w:r>
          </w:p>
        </w:tc>
        <w:tc>
          <w:tcPr>
            <w:tcW w:w="1680" w:type="dxa"/>
            <w:tcBorders>
              <w:top w:val="nil"/>
              <w:left w:val="nil"/>
              <w:bottom w:val="nil"/>
              <w:right w:val="nil"/>
            </w:tcBorders>
          </w:tcPr>
          <w:p w14:paraId="0687E520" w14:textId="77777777" w:rsidR="001424BD" w:rsidRPr="00D87232" w:rsidRDefault="001424BD" w:rsidP="00895CB4">
            <w:pPr>
              <w:tabs>
                <w:tab w:val="left" w:pos="720"/>
              </w:tabs>
              <w:autoSpaceDE w:val="0"/>
              <w:autoSpaceDN w:val="0"/>
              <w:adjustRightInd w:val="0"/>
              <w:jc w:val="center"/>
              <w:rPr>
                <w:bCs/>
              </w:rPr>
            </w:pPr>
            <w:r w:rsidRPr="00D87232">
              <w:rPr>
                <w:bCs/>
              </w:rPr>
              <w:t>OPC</w:t>
            </w:r>
          </w:p>
        </w:tc>
        <w:tc>
          <w:tcPr>
            <w:tcW w:w="1482" w:type="dxa"/>
            <w:tcBorders>
              <w:top w:val="nil"/>
              <w:left w:val="nil"/>
              <w:bottom w:val="nil"/>
              <w:right w:val="nil"/>
            </w:tcBorders>
          </w:tcPr>
          <w:p w14:paraId="266DB739" w14:textId="77777777" w:rsidR="001424BD" w:rsidRPr="00D87232" w:rsidRDefault="001424BD" w:rsidP="00895CB4">
            <w:pPr>
              <w:tabs>
                <w:tab w:val="left" w:pos="720"/>
              </w:tabs>
              <w:autoSpaceDE w:val="0"/>
              <w:autoSpaceDN w:val="0"/>
              <w:adjustRightInd w:val="0"/>
              <w:jc w:val="center"/>
            </w:pPr>
            <w:r w:rsidRPr="00D87232">
              <w:rPr>
                <w:rFonts w:ascii="TimesNewRomanPSMT" w:hAnsi="TimesNewRomanPSMT" w:cs="TimesNewRomanPSMT"/>
              </w:rPr>
              <w:t>HWS – 4</w:t>
            </w:r>
          </w:p>
        </w:tc>
        <w:tc>
          <w:tcPr>
            <w:tcW w:w="3205" w:type="dxa"/>
            <w:tcBorders>
              <w:top w:val="nil"/>
              <w:left w:val="nil"/>
              <w:bottom w:val="nil"/>
              <w:right w:val="nil"/>
            </w:tcBorders>
          </w:tcPr>
          <w:p w14:paraId="5A1ABAD4" w14:textId="77777777" w:rsidR="001424BD" w:rsidRPr="009009F0" w:rsidRDefault="001424BD" w:rsidP="001424BD">
            <w:pPr>
              <w:tabs>
                <w:tab w:val="left" w:pos="720"/>
              </w:tabs>
              <w:autoSpaceDE w:val="0"/>
              <w:autoSpaceDN w:val="0"/>
              <w:adjustRightInd w:val="0"/>
            </w:pPr>
            <w:r w:rsidRPr="009009F0">
              <w:t>Composite FCG Discovery Responses</w:t>
            </w:r>
          </w:p>
        </w:tc>
      </w:tr>
      <w:tr w:rsidR="001424BD" w:rsidRPr="00701945" w14:paraId="6C18D13B" w14:textId="77777777" w:rsidTr="006F034C">
        <w:trPr>
          <w:cantSplit/>
          <w:trHeight w:val="373"/>
        </w:trPr>
        <w:tc>
          <w:tcPr>
            <w:tcW w:w="3198" w:type="dxa"/>
            <w:tcBorders>
              <w:top w:val="nil"/>
              <w:left w:val="nil"/>
              <w:bottom w:val="nil"/>
              <w:right w:val="nil"/>
            </w:tcBorders>
          </w:tcPr>
          <w:p w14:paraId="5EA5BF5F"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17AB75FB"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27D9E930"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w:t>
            </w:r>
          </w:p>
        </w:tc>
        <w:tc>
          <w:tcPr>
            <w:tcW w:w="3205" w:type="dxa"/>
            <w:tcBorders>
              <w:top w:val="nil"/>
              <w:left w:val="nil"/>
              <w:bottom w:val="nil"/>
              <w:right w:val="nil"/>
            </w:tcBorders>
          </w:tcPr>
          <w:p w14:paraId="6DD3A975" w14:textId="77777777" w:rsidR="001424BD" w:rsidRPr="00990BFC" w:rsidRDefault="001424BD" w:rsidP="001424BD">
            <w:pPr>
              <w:tabs>
                <w:tab w:val="left" w:pos="720"/>
              </w:tabs>
              <w:autoSpaceDE w:val="0"/>
              <w:autoSpaceDN w:val="0"/>
              <w:adjustRightInd w:val="0"/>
            </w:pPr>
            <w:r w:rsidRPr="00990BFC">
              <w:t>Curriculum Vitae of David J. Garrett</w:t>
            </w:r>
          </w:p>
        </w:tc>
      </w:tr>
      <w:tr w:rsidR="001424BD" w:rsidRPr="00701945" w14:paraId="5728C8B2" w14:textId="77777777" w:rsidTr="006F034C">
        <w:trPr>
          <w:cantSplit/>
          <w:trHeight w:val="373"/>
        </w:trPr>
        <w:tc>
          <w:tcPr>
            <w:tcW w:w="3198" w:type="dxa"/>
            <w:tcBorders>
              <w:top w:val="nil"/>
              <w:left w:val="nil"/>
              <w:bottom w:val="nil"/>
              <w:right w:val="nil"/>
            </w:tcBorders>
          </w:tcPr>
          <w:p w14:paraId="0F1FBBA6"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4F6E827B"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5D9084D8"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2</w:t>
            </w:r>
          </w:p>
        </w:tc>
        <w:tc>
          <w:tcPr>
            <w:tcW w:w="3205" w:type="dxa"/>
            <w:tcBorders>
              <w:top w:val="nil"/>
              <w:left w:val="nil"/>
              <w:bottom w:val="nil"/>
              <w:right w:val="nil"/>
            </w:tcBorders>
          </w:tcPr>
          <w:p w14:paraId="0C453C59" w14:textId="77777777" w:rsidR="001424BD" w:rsidRPr="00990BFC" w:rsidRDefault="001424BD" w:rsidP="001424BD">
            <w:pPr>
              <w:tabs>
                <w:tab w:val="left" w:pos="720"/>
              </w:tabs>
              <w:autoSpaceDE w:val="0"/>
              <w:autoSpaceDN w:val="0"/>
              <w:adjustRightInd w:val="0"/>
            </w:pPr>
            <w:r w:rsidRPr="00990BFC">
              <w:t>Proxy Group Summary</w:t>
            </w:r>
          </w:p>
        </w:tc>
      </w:tr>
      <w:tr w:rsidR="001424BD" w:rsidRPr="00701945" w14:paraId="6EF82D03" w14:textId="77777777" w:rsidTr="006F034C">
        <w:trPr>
          <w:cantSplit/>
          <w:trHeight w:val="373"/>
        </w:trPr>
        <w:tc>
          <w:tcPr>
            <w:tcW w:w="3198" w:type="dxa"/>
            <w:tcBorders>
              <w:top w:val="nil"/>
              <w:left w:val="nil"/>
              <w:bottom w:val="nil"/>
              <w:right w:val="nil"/>
            </w:tcBorders>
          </w:tcPr>
          <w:p w14:paraId="52A82E81"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190CDC8A"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1D754D29"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3</w:t>
            </w:r>
          </w:p>
        </w:tc>
        <w:tc>
          <w:tcPr>
            <w:tcW w:w="3205" w:type="dxa"/>
            <w:tcBorders>
              <w:top w:val="nil"/>
              <w:left w:val="nil"/>
              <w:bottom w:val="nil"/>
              <w:right w:val="nil"/>
            </w:tcBorders>
          </w:tcPr>
          <w:p w14:paraId="381DEC1F" w14:textId="77777777" w:rsidR="001424BD" w:rsidRPr="00990BFC" w:rsidRDefault="001424BD" w:rsidP="001424BD">
            <w:pPr>
              <w:tabs>
                <w:tab w:val="left" w:pos="720"/>
              </w:tabs>
              <w:autoSpaceDE w:val="0"/>
              <w:autoSpaceDN w:val="0"/>
              <w:adjustRightInd w:val="0"/>
            </w:pPr>
            <w:r w:rsidRPr="00990BFC">
              <w:t>DCF Stock Prices</w:t>
            </w:r>
          </w:p>
        </w:tc>
      </w:tr>
      <w:tr w:rsidR="001424BD" w:rsidRPr="00701945" w14:paraId="05BD4226" w14:textId="77777777" w:rsidTr="006F034C">
        <w:trPr>
          <w:cantSplit/>
          <w:trHeight w:val="373"/>
        </w:trPr>
        <w:tc>
          <w:tcPr>
            <w:tcW w:w="3198" w:type="dxa"/>
            <w:tcBorders>
              <w:top w:val="nil"/>
              <w:left w:val="nil"/>
              <w:bottom w:val="nil"/>
              <w:right w:val="nil"/>
            </w:tcBorders>
          </w:tcPr>
          <w:p w14:paraId="41E3BE6E"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590D62FE"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719B8CBA"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4</w:t>
            </w:r>
          </w:p>
        </w:tc>
        <w:tc>
          <w:tcPr>
            <w:tcW w:w="3205" w:type="dxa"/>
            <w:tcBorders>
              <w:top w:val="nil"/>
              <w:left w:val="nil"/>
              <w:bottom w:val="nil"/>
              <w:right w:val="nil"/>
            </w:tcBorders>
          </w:tcPr>
          <w:p w14:paraId="7772AF55" w14:textId="77777777" w:rsidR="001424BD" w:rsidRPr="00990BFC" w:rsidRDefault="001424BD" w:rsidP="001424BD">
            <w:pPr>
              <w:tabs>
                <w:tab w:val="left" w:pos="720"/>
              </w:tabs>
              <w:autoSpaceDE w:val="0"/>
              <w:autoSpaceDN w:val="0"/>
              <w:adjustRightInd w:val="0"/>
            </w:pPr>
            <w:r w:rsidRPr="00990BFC">
              <w:t>DCF Dividend Yields</w:t>
            </w:r>
          </w:p>
        </w:tc>
      </w:tr>
      <w:tr w:rsidR="001424BD" w:rsidRPr="00701945" w14:paraId="6408BF37" w14:textId="77777777" w:rsidTr="006F034C">
        <w:trPr>
          <w:cantSplit/>
          <w:trHeight w:val="373"/>
        </w:trPr>
        <w:tc>
          <w:tcPr>
            <w:tcW w:w="3198" w:type="dxa"/>
            <w:tcBorders>
              <w:top w:val="nil"/>
              <w:left w:val="nil"/>
              <w:bottom w:val="nil"/>
              <w:right w:val="nil"/>
            </w:tcBorders>
          </w:tcPr>
          <w:p w14:paraId="489F5F6E"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251CDE92"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5F93582F"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5</w:t>
            </w:r>
          </w:p>
        </w:tc>
        <w:tc>
          <w:tcPr>
            <w:tcW w:w="3205" w:type="dxa"/>
            <w:tcBorders>
              <w:top w:val="nil"/>
              <w:left w:val="nil"/>
              <w:bottom w:val="nil"/>
              <w:right w:val="nil"/>
            </w:tcBorders>
          </w:tcPr>
          <w:p w14:paraId="32AAF86A" w14:textId="77777777" w:rsidR="001424BD" w:rsidRPr="00990BFC" w:rsidRDefault="001424BD" w:rsidP="001424BD">
            <w:pPr>
              <w:tabs>
                <w:tab w:val="left" w:pos="720"/>
              </w:tabs>
              <w:autoSpaceDE w:val="0"/>
              <w:autoSpaceDN w:val="0"/>
              <w:adjustRightInd w:val="0"/>
            </w:pPr>
            <w:r w:rsidRPr="00990BFC">
              <w:t>DCF Terminal Growth Determinants</w:t>
            </w:r>
          </w:p>
        </w:tc>
      </w:tr>
      <w:tr w:rsidR="001424BD" w:rsidRPr="00701945" w14:paraId="225233C9" w14:textId="77777777" w:rsidTr="006F034C">
        <w:trPr>
          <w:cantSplit/>
          <w:trHeight w:val="373"/>
        </w:trPr>
        <w:tc>
          <w:tcPr>
            <w:tcW w:w="3198" w:type="dxa"/>
            <w:tcBorders>
              <w:top w:val="nil"/>
              <w:left w:val="nil"/>
              <w:bottom w:val="nil"/>
              <w:right w:val="nil"/>
            </w:tcBorders>
          </w:tcPr>
          <w:p w14:paraId="3E9C9079"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175F5697"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3F899029"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6</w:t>
            </w:r>
          </w:p>
        </w:tc>
        <w:tc>
          <w:tcPr>
            <w:tcW w:w="3205" w:type="dxa"/>
            <w:tcBorders>
              <w:top w:val="nil"/>
              <w:left w:val="nil"/>
              <w:bottom w:val="nil"/>
              <w:right w:val="nil"/>
            </w:tcBorders>
          </w:tcPr>
          <w:p w14:paraId="1B6C3C4E" w14:textId="77777777" w:rsidR="001424BD" w:rsidRPr="00990BFC" w:rsidRDefault="001424BD" w:rsidP="001424BD">
            <w:pPr>
              <w:tabs>
                <w:tab w:val="left" w:pos="720"/>
              </w:tabs>
              <w:autoSpaceDE w:val="0"/>
              <w:autoSpaceDN w:val="0"/>
              <w:adjustRightInd w:val="0"/>
            </w:pPr>
            <w:r w:rsidRPr="00990BFC">
              <w:t>DCF Final Results</w:t>
            </w:r>
          </w:p>
        </w:tc>
      </w:tr>
      <w:tr w:rsidR="001424BD" w:rsidRPr="00701945" w14:paraId="4B1AD29C" w14:textId="77777777" w:rsidTr="006F034C">
        <w:trPr>
          <w:cantSplit/>
          <w:trHeight w:val="373"/>
        </w:trPr>
        <w:tc>
          <w:tcPr>
            <w:tcW w:w="3198" w:type="dxa"/>
            <w:tcBorders>
              <w:top w:val="nil"/>
              <w:left w:val="nil"/>
              <w:bottom w:val="nil"/>
              <w:right w:val="nil"/>
            </w:tcBorders>
          </w:tcPr>
          <w:p w14:paraId="46996961"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066C9365"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0E5F456A"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7</w:t>
            </w:r>
          </w:p>
        </w:tc>
        <w:tc>
          <w:tcPr>
            <w:tcW w:w="3205" w:type="dxa"/>
            <w:tcBorders>
              <w:top w:val="nil"/>
              <w:left w:val="nil"/>
              <w:bottom w:val="nil"/>
              <w:right w:val="nil"/>
            </w:tcBorders>
          </w:tcPr>
          <w:p w14:paraId="77F69E10" w14:textId="77777777" w:rsidR="001424BD" w:rsidRPr="00990BFC" w:rsidRDefault="001424BD" w:rsidP="001424BD">
            <w:pPr>
              <w:tabs>
                <w:tab w:val="left" w:pos="720"/>
              </w:tabs>
              <w:autoSpaceDE w:val="0"/>
              <w:autoSpaceDN w:val="0"/>
              <w:adjustRightInd w:val="0"/>
            </w:pPr>
            <w:r w:rsidRPr="00990BFC">
              <w:t>CAPM Risk Free Rate</w:t>
            </w:r>
          </w:p>
        </w:tc>
      </w:tr>
      <w:tr w:rsidR="001424BD" w:rsidRPr="00701945" w14:paraId="2B7D9BD8" w14:textId="77777777" w:rsidTr="006F034C">
        <w:trPr>
          <w:cantSplit/>
          <w:trHeight w:val="373"/>
        </w:trPr>
        <w:tc>
          <w:tcPr>
            <w:tcW w:w="3198" w:type="dxa"/>
            <w:tcBorders>
              <w:top w:val="nil"/>
              <w:left w:val="nil"/>
              <w:bottom w:val="nil"/>
              <w:right w:val="nil"/>
            </w:tcBorders>
          </w:tcPr>
          <w:p w14:paraId="5F0E7BD1"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49B0F643"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24E4536A"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8</w:t>
            </w:r>
          </w:p>
        </w:tc>
        <w:tc>
          <w:tcPr>
            <w:tcW w:w="3205" w:type="dxa"/>
            <w:tcBorders>
              <w:top w:val="nil"/>
              <w:left w:val="nil"/>
              <w:bottom w:val="nil"/>
              <w:right w:val="nil"/>
            </w:tcBorders>
          </w:tcPr>
          <w:p w14:paraId="6660D2A3" w14:textId="77777777" w:rsidR="001424BD" w:rsidRPr="00990BFC" w:rsidRDefault="001424BD" w:rsidP="001424BD">
            <w:pPr>
              <w:tabs>
                <w:tab w:val="left" w:pos="720"/>
              </w:tabs>
              <w:autoSpaceDE w:val="0"/>
              <w:autoSpaceDN w:val="0"/>
              <w:adjustRightInd w:val="0"/>
            </w:pPr>
            <w:r w:rsidRPr="00990BFC">
              <w:t>CAPM Betas</w:t>
            </w:r>
          </w:p>
        </w:tc>
      </w:tr>
      <w:tr w:rsidR="001424BD" w:rsidRPr="00701945" w14:paraId="362B297E" w14:textId="77777777" w:rsidTr="006F034C">
        <w:trPr>
          <w:cantSplit/>
          <w:trHeight w:val="373"/>
        </w:trPr>
        <w:tc>
          <w:tcPr>
            <w:tcW w:w="3198" w:type="dxa"/>
            <w:tcBorders>
              <w:top w:val="nil"/>
              <w:left w:val="nil"/>
              <w:bottom w:val="nil"/>
              <w:right w:val="nil"/>
            </w:tcBorders>
          </w:tcPr>
          <w:p w14:paraId="0CD08523"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3690571F"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5A6B1E12"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9</w:t>
            </w:r>
          </w:p>
        </w:tc>
        <w:tc>
          <w:tcPr>
            <w:tcW w:w="3205" w:type="dxa"/>
            <w:tcBorders>
              <w:top w:val="nil"/>
              <w:left w:val="nil"/>
              <w:bottom w:val="nil"/>
              <w:right w:val="nil"/>
            </w:tcBorders>
          </w:tcPr>
          <w:p w14:paraId="5A6D8243" w14:textId="77777777" w:rsidR="001424BD" w:rsidRPr="00990BFC" w:rsidRDefault="001424BD" w:rsidP="001424BD">
            <w:pPr>
              <w:tabs>
                <w:tab w:val="left" w:pos="720"/>
              </w:tabs>
              <w:autoSpaceDE w:val="0"/>
              <w:autoSpaceDN w:val="0"/>
              <w:adjustRightInd w:val="0"/>
            </w:pPr>
            <w:r w:rsidRPr="00990BFC">
              <w:t>CAPM Implied Equity Risk Premium Calculation</w:t>
            </w:r>
          </w:p>
        </w:tc>
      </w:tr>
      <w:tr w:rsidR="001424BD" w:rsidRPr="00701945" w14:paraId="13062477" w14:textId="77777777" w:rsidTr="006F034C">
        <w:trPr>
          <w:cantSplit/>
          <w:trHeight w:val="373"/>
        </w:trPr>
        <w:tc>
          <w:tcPr>
            <w:tcW w:w="3198" w:type="dxa"/>
            <w:tcBorders>
              <w:top w:val="nil"/>
              <w:left w:val="nil"/>
              <w:bottom w:val="nil"/>
              <w:right w:val="nil"/>
            </w:tcBorders>
          </w:tcPr>
          <w:p w14:paraId="30E3A8DB"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28D1AA7C"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0E86111F"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10</w:t>
            </w:r>
          </w:p>
        </w:tc>
        <w:tc>
          <w:tcPr>
            <w:tcW w:w="3205" w:type="dxa"/>
            <w:tcBorders>
              <w:top w:val="nil"/>
              <w:left w:val="nil"/>
              <w:bottom w:val="nil"/>
              <w:right w:val="nil"/>
            </w:tcBorders>
          </w:tcPr>
          <w:p w14:paraId="484B7CF8" w14:textId="77777777" w:rsidR="001424BD" w:rsidRPr="00990BFC" w:rsidRDefault="001424BD" w:rsidP="001424BD">
            <w:pPr>
              <w:tabs>
                <w:tab w:val="left" w:pos="720"/>
              </w:tabs>
              <w:autoSpaceDE w:val="0"/>
              <w:autoSpaceDN w:val="0"/>
              <w:adjustRightInd w:val="0"/>
            </w:pPr>
            <w:r w:rsidRPr="00990BFC">
              <w:t>CAPM Equity Risk Premium Results</w:t>
            </w:r>
          </w:p>
        </w:tc>
      </w:tr>
      <w:tr w:rsidR="001424BD" w:rsidRPr="00701945" w14:paraId="5CD83F85" w14:textId="77777777" w:rsidTr="006F034C">
        <w:trPr>
          <w:cantSplit/>
          <w:trHeight w:val="373"/>
        </w:trPr>
        <w:tc>
          <w:tcPr>
            <w:tcW w:w="3198" w:type="dxa"/>
            <w:tcBorders>
              <w:top w:val="nil"/>
              <w:left w:val="nil"/>
              <w:bottom w:val="nil"/>
              <w:right w:val="nil"/>
            </w:tcBorders>
          </w:tcPr>
          <w:p w14:paraId="6DB1B20F"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5508D891"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4F691AE7"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11</w:t>
            </w:r>
          </w:p>
        </w:tc>
        <w:tc>
          <w:tcPr>
            <w:tcW w:w="3205" w:type="dxa"/>
            <w:tcBorders>
              <w:top w:val="nil"/>
              <w:left w:val="nil"/>
              <w:bottom w:val="nil"/>
              <w:right w:val="nil"/>
            </w:tcBorders>
          </w:tcPr>
          <w:p w14:paraId="0E39DCCC" w14:textId="77777777" w:rsidR="001424BD" w:rsidRPr="00990BFC" w:rsidRDefault="001424BD" w:rsidP="001424BD">
            <w:pPr>
              <w:tabs>
                <w:tab w:val="left" w:pos="720"/>
              </w:tabs>
              <w:autoSpaceDE w:val="0"/>
              <w:autoSpaceDN w:val="0"/>
              <w:adjustRightInd w:val="0"/>
            </w:pPr>
            <w:r w:rsidRPr="00990BFC">
              <w:t>CAPM Final Results</w:t>
            </w:r>
          </w:p>
        </w:tc>
      </w:tr>
      <w:tr w:rsidR="001424BD" w:rsidRPr="00701945" w14:paraId="68730B5C" w14:textId="77777777" w:rsidTr="006F034C">
        <w:trPr>
          <w:cantSplit/>
          <w:trHeight w:val="373"/>
        </w:trPr>
        <w:tc>
          <w:tcPr>
            <w:tcW w:w="3198" w:type="dxa"/>
            <w:tcBorders>
              <w:top w:val="nil"/>
              <w:left w:val="nil"/>
              <w:bottom w:val="nil"/>
              <w:right w:val="nil"/>
            </w:tcBorders>
          </w:tcPr>
          <w:p w14:paraId="6F09C11B"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6442294F"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5937A951"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12</w:t>
            </w:r>
          </w:p>
        </w:tc>
        <w:tc>
          <w:tcPr>
            <w:tcW w:w="3205" w:type="dxa"/>
            <w:tcBorders>
              <w:top w:val="nil"/>
              <w:left w:val="nil"/>
              <w:bottom w:val="nil"/>
              <w:right w:val="nil"/>
            </w:tcBorders>
          </w:tcPr>
          <w:p w14:paraId="47677EAA" w14:textId="77777777" w:rsidR="001424BD" w:rsidRPr="00990BFC" w:rsidRDefault="001424BD" w:rsidP="001424BD">
            <w:pPr>
              <w:tabs>
                <w:tab w:val="left" w:pos="720"/>
              </w:tabs>
              <w:autoSpaceDE w:val="0"/>
              <w:autoSpaceDN w:val="0"/>
              <w:adjustRightInd w:val="0"/>
            </w:pPr>
            <w:r w:rsidRPr="00990BFC">
              <w:t>Cost of Equity Summary</w:t>
            </w:r>
          </w:p>
        </w:tc>
      </w:tr>
      <w:tr w:rsidR="001424BD" w:rsidRPr="00701945" w14:paraId="19CF5B6E" w14:textId="77777777" w:rsidTr="006F034C">
        <w:trPr>
          <w:cantSplit/>
          <w:trHeight w:val="373"/>
        </w:trPr>
        <w:tc>
          <w:tcPr>
            <w:tcW w:w="3198" w:type="dxa"/>
            <w:tcBorders>
              <w:top w:val="nil"/>
              <w:left w:val="nil"/>
              <w:bottom w:val="nil"/>
              <w:right w:val="nil"/>
            </w:tcBorders>
          </w:tcPr>
          <w:p w14:paraId="2087ACD4"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0FFE03C8"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1EE3BD11"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- 13</w:t>
            </w:r>
          </w:p>
        </w:tc>
        <w:tc>
          <w:tcPr>
            <w:tcW w:w="3205" w:type="dxa"/>
            <w:tcBorders>
              <w:top w:val="nil"/>
              <w:left w:val="nil"/>
              <w:bottom w:val="nil"/>
              <w:right w:val="nil"/>
            </w:tcBorders>
          </w:tcPr>
          <w:p w14:paraId="21D8EB80" w14:textId="77777777" w:rsidR="001424BD" w:rsidRPr="00990BFC" w:rsidRDefault="001424BD" w:rsidP="001424BD">
            <w:pPr>
              <w:tabs>
                <w:tab w:val="left" w:pos="720"/>
              </w:tabs>
              <w:autoSpaceDE w:val="0"/>
              <w:autoSpaceDN w:val="0"/>
              <w:adjustRightInd w:val="0"/>
            </w:pPr>
            <w:r w:rsidRPr="00990BFC">
              <w:t>Utility Awarded Returns vs. Market Cost of Equity</w:t>
            </w:r>
          </w:p>
        </w:tc>
      </w:tr>
      <w:tr w:rsidR="001424BD" w:rsidRPr="00701945" w14:paraId="6EE0F66C" w14:textId="77777777" w:rsidTr="006F034C">
        <w:trPr>
          <w:cantSplit/>
          <w:trHeight w:val="373"/>
        </w:trPr>
        <w:tc>
          <w:tcPr>
            <w:tcW w:w="3198" w:type="dxa"/>
            <w:tcBorders>
              <w:top w:val="nil"/>
              <w:left w:val="nil"/>
              <w:bottom w:val="nil"/>
              <w:right w:val="nil"/>
            </w:tcBorders>
          </w:tcPr>
          <w:p w14:paraId="42F33AD7"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08252692"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14456810"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14</w:t>
            </w:r>
          </w:p>
        </w:tc>
        <w:tc>
          <w:tcPr>
            <w:tcW w:w="3205" w:type="dxa"/>
            <w:tcBorders>
              <w:top w:val="nil"/>
              <w:left w:val="nil"/>
              <w:bottom w:val="nil"/>
              <w:right w:val="nil"/>
            </w:tcBorders>
          </w:tcPr>
          <w:p w14:paraId="45B5EA0E" w14:textId="77777777" w:rsidR="001424BD" w:rsidRPr="00990BFC" w:rsidRDefault="001424BD" w:rsidP="001424BD">
            <w:pPr>
              <w:tabs>
                <w:tab w:val="left" w:pos="720"/>
              </w:tabs>
              <w:autoSpaceDE w:val="0"/>
              <w:autoSpaceDN w:val="0"/>
              <w:adjustRightInd w:val="0"/>
            </w:pPr>
            <w:r w:rsidRPr="00990BFC">
              <w:t>Proxy Group Debt Ratios</w:t>
            </w:r>
          </w:p>
        </w:tc>
      </w:tr>
      <w:tr w:rsidR="001424BD" w:rsidRPr="00701945" w14:paraId="0C2E5AC5" w14:textId="77777777" w:rsidTr="006F034C">
        <w:trPr>
          <w:cantSplit/>
          <w:trHeight w:val="373"/>
        </w:trPr>
        <w:tc>
          <w:tcPr>
            <w:tcW w:w="3198" w:type="dxa"/>
            <w:tcBorders>
              <w:top w:val="nil"/>
              <w:left w:val="nil"/>
              <w:bottom w:val="nil"/>
              <w:right w:val="nil"/>
            </w:tcBorders>
          </w:tcPr>
          <w:p w14:paraId="475A772F"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749B19EB"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7D3E3006"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15</w:t>
            </w:r>
          </w:p>
        </w:tc>
        <w:tc>
          <w:tcPr>
            <w:tcW w:w="3205" w:type="dxa"/>
            <w:tcBorders>
              <w:top w:val="nil"/>
              <w:left w:val="nil"/>
              <w:bottom w:val="nil"/>
              <w:right w:val="nil"/>
            </w:tcBorders>
          </w:tcPr>
          <w:p w14:paraId="55C5467F" w14:textId="77777777" w:rsidR="001424BD" w:rsidRPr="00990BFC" w:rsidRDefault="001424BD" w:rsidP="001424BD">
            <w:pPr>
              <w:tabs>
                <w:tab w:val="left" w:pos="720"/>
              </w:tabs>
              <w:autoSpaceDE w:val="0"/>
              <w:autoSpaceDN w:val="0"/>
              <w:adjustRightInd w:val="0"/>
            </w:pPr>
            <w:r w:rsidRPr="00990BFC">
              <w:t>Competitive Industry Debt Ratios</w:t>
            </w:r>
          </w:p>
        </w:tc>
      </w:tr>
      <w:tr w:rsidR="001424BD" w:rsidRPr="00701945" w14:paraId="366939FA" w14:textId="77777777" w:rsidTr="006F034C">
        <w:trPr>
          <w:cantSplit/>
          <w:trHeight w:val="373"/>
        </w:trPr>
        <w:tc>
          <w:tcPr>
            <w:tcW w:w="3198" w:type="dxa"/>
            <w:tcBorders>
              <w:top w:val="nil"/>
              <w:left w:val="nil"/>
              <w:bottom w:val="nil"/>
              <w:right w:val="nil"/>
            </w:tcBorders>
          </w:tcPr>
          <w:p w14:paraId="695CE8DE"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2C5E7A6B"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3F8B38AF"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16</w:t>
            </w:r>
          </w:p>
        </w:tc>
        <w:tc>
          <w:tcPr>
            <w:tcW w:w="3205" w:type="dxa"/>
            <w:tcBorders>
              <w:top w:val="nil"/>
              <w:left w:val="nil"/>
              <w:bottom w:val="nil"/>
              <w:right w:val="nil"/>
            </w:tcBorders>
          </w:tcPr>
          <w:p w14:paraId="5B0A54EF" w14:textId="77777777" w:rsidR="001424BD" w:rsidRPr="00990BFC" w:rsidRDefault="001424BD" w:rsidP="001424BD">
            <w:pPr>
              <w:tabs>
                <w:tab w:val="left" w:pos="720"/>
              </w:tabs>
              <w:autoSpaceDE w:val="0"/>
              <w:autoSpaceDN w:val="0"/>
              <w:adjustRightInd w:val="0"/>
            </w:pPr>
            <w:r w:rsidRPr="00990BFC">
              <w:t>Hamada Model</w:t>
            </w:r>
          </w:p>
        </w:tc>
      </w:tr>
      <w:tr w:rsidR="001424BD" w:rsidRPr="00701945" w14:paraId="10DE776A" w14:textId="77777777" w:rsidTr="006F034C">
        <w:trPr>
          <w:cantSplit/>
          <w:trHeight w:val="373"/>
        </w:trPr>
        <w:tc>
          <w:tcPr>
            <w:tcW w:w="3198" w:type="dxa"/>
            <w:tcBorders>
              <w:top w:val="nil"/>
              <w:left w:val="nil"/>
              <w:bottom w:val="nil"/>
              <w:right w:val="nil"/>
            </w:tcBorders>
          </w:tcPr>
          <w:p w14:paraId="7DE20DE6"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643C27D7"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72D14389"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sidRPr="00990BFC">
              <w:rPr>
                <w:rFonts w:ascii="TimesNewRomanPSMT" w:hAnsi="TimesNewRomanPSMT" w:cs="TimesNewRomanPSMT"/>
              </w:rPr>
              <w:t>DJG – 17</w:t>
            </w:r>
          </w:p>
        </w:tc>
        <w:tc>
          <w:tcPr>
            <w:tcW w:w="3205" w:type="dxa"/>
            <w:tcBorders>
              <w:top w:val="nil"/>
              <w:left w:val="nil"/>
              <w:bottom w:val="nil"/>
              <w:right w:val="nil"/>
            </w:tcBorders>
          </w:tcPr>
          <w:p w14:paraId="6118D634" w14:textId="77777777" w:rsidR="001424BD" w:rsidRPr="00990BFC" w:rsidRDefault="001424BD" w:rsidP="001424BD">
            <w:pPr>
              <w:tabs>
                <w:tab w:val="left" w:pos="720"/>
              </w:tabs>
              <w:autoSpaceDE w:val="0"/>
              <w:autoSpaceDN w:val="0"/>
              <w:adjustRightInd w:val="0"/>
            </w:pPr>
            <w:r w:rsidRPr="00990BFC">
              <w:t>Final Awarded Rate of Return Development</w:t>
            </w:r>
          </w:p>
        </w:tc>
      </w:tr>
      <w:tr w:rsidR="001424BD" w:rsidRPr="00701945" w14:paraId="7018D24D" w14:textId="77777777" w:rsidTr="006F034C">
        <w:trPr>
          <w:cantSplit/>
          <w:trHeight w:val="373"/>
        </w:trPr>
        <w:tc>
          <w:tcPr>
            <w:tcW w:w="3198" w:type="dxa"/>
            <w:tcBorders>
              <w:top w:val="nil"/>
              <w:left w:val="nil"/>
              <w:bottom w:val="nil"/>
              <w:right w:val="nil"/>
            </w:tcBorders>
          </w:tcPr>
          <w:p w14:paraId="4197CDE9"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77C34A85"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1A0EB938"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DJG-18</w:t>
            </w:r>
          </w:p>
        </w:tc>
        <w:tc>
          <w:tcPr>
            <w:tcW w:w="3205" w:type="dxa"/>
            <w:tcBorders>
              <w:top w:val="nil"/>
              <w:left w:val="nil"/>
              <w:bottom w:val="nil"/>
              <w:right w:val="nil"/>
            </w:tcBorders>
          </w:tcPr>
          <w:p w14:paraId="41E45835" w14:textId="77777777" w:rsidR="001424BD" w:rsidRPr="00990BFC" w:rsidRDefault="001424BD" w:rsidP="001424BD">
            <w:pPr>
              <w:tabs>
                <w:tab w:val="left" w:pos="720"/>
              </w:tabs>
              <w:autoSpaceDE w:val="0"/>
              <w:autoSpaceDN w:val="0"/>
              <w:adjustRightInd w:val="0"/>
            </w:pPr>
            <w:r>
              <w:t>Summary Accrual Adjustment</w:t>
            </w:r>
          </w:p>
        </w:tc>
      </w:tr>
      <w:tr w:rsidR="001424BD" w:rsidRPr="00701945" w14:paraId="75B408BA" w14:textId="77777777" w:rsidTr="006F034C">
        <w:trPr>
          <w:cantSplit/>
          <w:trHeight w:val="373"/>
        </w:trPr>
        <w:tc>
          <w:tcPr>
            <w:tcW w:w="3198" w:type="dxa"/>
            <w:tcBorders>
              <w:top w:val="nil"/>
              <w:left w:val="nil"/>
              <w:bottom w:val="nil"/>
              <w:right w:val="nil"/>
            </w:tcBorders>
          </w:tcPr>
          <w:p w14:paraId="0348C724"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1A0C6A9A"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6962441A"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DJG-19</w:t>
            </w:r>
          </w:p>
        </w:tc>
        <w:tc>
          <w:tcPr>
            <w:tcW w:w="3205" w:type="dxa"/>
            <w:tcBorders>
              <w:top w:val="nil"/>
              <w:left w:val="nil"/>
              <w:bottom w:val="nil"/>
              <w:right w:val="nil"/>
            </w:tcBorders>
          </w:tcPr>
          <w:p w14:paraId="79DB8617" w14:textId="77777777" w:rsidR="001424BD" w:rsidRPr="00990BFC" w:rsidRDefault="001424BD" w:rsidP="001424BD">
            <w:pPr>
              <w:tabs>
                <w:tab w:val="left" w:pos="720"/>
              </w:tabs>
              <w:autoSpaceDE w:val="0"/>
              <w:autoSpaceDN w:val="0"/>
              <w:adjustRightInd w:val="0"/>
            </w:pPr>
            <w:r>
              <w:t>Depreciation Parameter Comparison</w:t>
            </w:r>
          </w:p>
        </w:tc>
      </w:tr>
      <w:tr w:rsidR="001424BD" w:rsidRPr="00701945" w14:paraId="281F28B7" w14:textId="77777777" w:rsidTr="006F034C">
        <w:trPr>
          <w:cantSplit/>
          <w:trHeight w:val="373"/>
        </w:trPr>
        <w:tc>
          <w:tcPr>
            <w:tcW w:w="3198" w:type="dxa"/>
            <w:tcBorders>
              <w:top w:val="nil"/>
              <w:left w:val="nil"/>
              <w:bottom w:val="nil"/>
              <w:right w:val="nil"/>
            </w:tcBorders>
          </w:tcPr>
          <w:p w14:paraId="16BFC8D3"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568806DD"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3B7C3FAD"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DJG-20</w:t>
            </w:r>
          </w:p>
        </w:tc>
        <w:tc>
          <w:tcPr>
            <w:tcW w:w="3205" w:type="dxa"/>
            <w:tcBorders>
              <w:top w:val="nil"/>
              <w:left w:val="nil"/>
              <w:bottom w:val="nil"/>
              <w:right w:val="nil"/>
            </w:tcBorders>
          </w:tcPr>
          <w:p w14:paraId="28A39F33" w14:textId="77777777" w:rsidR="001424BD" w:rsidRPr="00990BFC" w:rsidRDefault="001424BD" w:rsidP="001424BD">
            <w:pPr>
              <w:tabs>
                <w:tab w:val="left" w:pos="720"/>
              </w:tabs>
              <w:autoSpaceDE w:val="0"/>
              <w:autoSpaceDN w:val="0"/>
              <w:adjustRightInd w:val="0"/>
            </w:pPr>
            <w:r>
              <w:t>Detailed Rate Comparison</w:t>
            </w:r>
          </w:p>
        </w:tc>
      </w:tr>
      <w:tr w:rsidR="001424BD" w:rsidRPr="00701945" w14:paraId="36C484CF" w14:textId="77777777" w:rsidTr="006F034C">
        <w:trPr>
          <w:cantSplit/>
          <w:trHeight w:val="373"/>
        </w:trPr>
        <w:tc>
          <w:tcPr>
            <w:tcW w:w="3198" w:type="dxa"/>
            <w:tcBorders>
              <w:top w:val="nil"/>
              <w:left w:val="nil"/>
              <w:bottom w:val="nil"/>
              <w:right w:val="nil"/>
            </w:tcBorders>
          </w:tcPr>
          <w:p w14:paraId="4E69CF5E"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4C452FA6"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1541DFBB"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DJG-21</w:t>
            </w:r>
          </w:p>
        </w:tc>
        <w:tc>
          <w:tcPr>
            <w:tcW w:w="3205" w:type="dxa"/>
            <w:tcBorders>
              <w:top w:val="nil"/>
              <w:left w:val="nil"/>
              <w:bottom w:val="nil"/>
              <w:right w:val="nil"/>
            </w:tcBorders>
          </w:tcPr>
          <w:p w14:paraId="1B30B60B" w14:textId="77777777" w:rsidR="001424BD" w:rsidRPr="00990BFC" w:rsidRDefault="001424BD" w:rsidP="001424BD">
            <w:pPr>
              <w:tabs>
                <w:tab w:val="left" w:pos="720"/>
              </w:tabs>
              <w:autoSpaceDE w:val="0"/>
              <w:autoSpaceDN w:val="0"/>
              <w:adjustRightInd w:val="0"/>
            </w:pPr>
            <w:r>
              <w:t>Depreciation Rate Development</w:t>
            </w:r>
          </w:p>
        </w:tc>
      </w:tr>
      <w:tr w:rsidR="001424BD" w:rsidRPr="00701945" w14:paraId="1D53F160" w14:textId="77777777" w:rsidTr="006F034C">
        <w:trPr>
          <w:cantSplit/>
          <w:trHeight w:val="373"/>
        </w:trPr>
        <w:tc>
          <w:tcPr>
            <w:tcW w:w="3198" w:type="dxa"/>
            <w:tcBorders>
              <w:top w:val="nil"/>
              <w:left w:val="nil"/>
              <w:bottom w:val="nil"/>
              <w:right w:val="nil"/>
            </w:tcBorders>
          </w:tcPr>
          <w:p w14:paraId="2C27D79C"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0F87506B"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5524DD0E"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DJG-22</w:t>
            </w:r>
          </w:p>
        </w:tc>
        <w:tc>
          <w:tcPr>
            <w:tcW w:w="3205" w:type="dxa"/>
            <w:tcBorders>
              <w:top w:val="nil"/>
              <w:left w:val="nil"/>
              <w:bottom w:val="nil"/>
              <w:right w:val="nil"/>
            </w:tcBorders>
          </w:tcPr>
          <w:p w14:paraId="0241472B" w14:textId="77777777" w:rsidR="001424BD" w:rsidRPr="00990BFC" w:rsidRDefault="001424BD" w:rsidP="001424BD">
            <w:pPr>
              <w:tabs>
                <w:tab w:val="left" w:pos="720"/>
              </w:tabs>
              <w:autoSpaceDE w:val="0"/>
              <w:autoSpaceDN w:val="0"/>
              <w:adjustRightInd w:val="0"/>
            </w:pPr>
            <w:r>
              <w:t>Accounts 376.10 and 376.20 Curve Fitting</w:t>
            </w:r>
          </w:p>
        </w:tc>
      </w:tr>
      <w:tr w:rsidR="001424BD" w:rsidRPr="00701945" w14:paraId="75B037CE" w14:textId="77777777" w:rsidTr="006F034C">
        <w:trPr>
          <w:cantSplit/>
          <w:trHeight w:val="373"/>
        </w:trPr>
        <w:tc>
          <w:tcPr>
            <w:tcW w:w="3198" w:type="dxa"/>
            <w:tcBorders>
              <w:top w:val="nil"/>
              <w:left w:val="nil"/>
              <w:bottom w:val="nil"/>
              <w:right w:val="nil"/>
            </w:tcBorders>
          </w:tcPr>
          <w:p w14:paraId="385F9E8F"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4752A4A6"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48833FD5"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DJG-23</w:t>
            </w:r>
          </w:p>
        </w:tc>
        <w:tc>
          <w:tcPr>
            <w:tcW w:w="3205" w:type="dxa"/>
            <w:tcBorders>
              <w:top w:val="nil"/>
              <w:left w:val="nil"/>
              <w:bottom w:val="nil"/>
              <w:right w:val="nil"/>
            </w:tcBorders>
          </w:tcPr>
          <w:p w14:paraId="6E34ABD0" w14:textId="77777777" w:rsidR="001424BD" w:rsidRPr="00990BFC" w:rsidRDefault="001424BD" w:rsidP="001424BD">
            <w:pPr>
              <w:tabs>
                <w:tab w:val="left" w:pos="720"/>
              </w:tabs>
              <w:autoSpaceDE w:val="0"/>
              <w:autoSpaceDN w:val="0"/>
              <w:adjustRightInd w:val="0"/>
            </w:pPr>
            <w:r>
              <w:t>Accounts 378.00 and 379.00 Curve Fitting</w:t>
            </w:r>
          </w:p>
        </w:tc>
      </w:tr>
      <w:tr w:rsidR="001424BD" w:rsidRPr="00701945" w14:paraId="612EFC11" w14:textId="77777777" w:rsidTr="006F034C">
        <w:trPr>
          <w:cantSplit/>
          <w:trHeight w:val="373"/>
        </w:trPr>
        <w:tc>
          <w:tcPr>
            <w:tcW w:w="3198" w:type="dxa"/>
            <w:tcBorders>
              <w:top w:val="nil"/>
              <w:left w:val="nil"/>
              <w:bottom w:val="nil"/>
              <w:right w:val="nil"/>
            </w:tcBorders>
          </w:tcPr>
          <w:p w14:paraId="0459D3C0"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051D0E3F"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46B841C8"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DJG-24</w:t>
            </w:r>
          </w:p>
        </w:tc>
        <w:tc>
          <w:tcPr>
            <w:tcW w:w="3205" w:type="dxa"/>
            <w:tcBorders>
              <w:top w:val="nil"/>
              <w:left w:val="nil"/>
              <w:bottom w:val="nil"/>
              <w:right w:val="nil"/>
            </w:tcBorders>
          </w:tcPr>
          <w:p w14:paraId="25C066A8" w14:textId="77777777" w:rsidR="001424BD" w:rsidRPr="00990BFC" w:rsidRDefault="001424BD" w:rsidP="001424BD">
            <w:pPr>
              <w:tabs>
                <w:tab w:val="left" w:pos="720"/>
              </w:tabs>
              <w:autoSpaceDE w:val="0"/>
              <w:autoSpaceDN w:val="0"/>
              <w:adjustRightInd w:val="0"/>
            </w:pPr>
            <w:r>
              <w:t>Accounts 380.10 and 380.20 Curve Fitting</w:t>
            </w:r>
          </w:p>
        </w:tc>
      </w:tr>
      <w:tr w:rsidR="001424BD" w:rsidRPr="00701945" w14:paraId="1B9F896D" w14:textId="77777777" w:rsidTr="006F034C">
        <w:trPr>
          <w:cantSplit/>
          <w:trHeight w:val="373"/>
        </w:trPr>
        <w:tc>
          <w:tcPr>
            <w:tcW w:w="3198" w:type="dxa"/>
            <w:tcBorders>
              <w:top w:val="nil"/>
              <w:left w:val="nil"/>
              <w:bottom w:val="nil"/>
              <w:right w:val="nil"/>
            </w:tcBorders>
          </w:tcPr>
          <w:p w14:paraId="62890B7D"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3E8AA928"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688828D6"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DJG-25</w:t>
            </w:r>
          </w:p>
        </w:tc>
        <w:tc>
          <w:tcPr>
            <w:tcW w:w="3205" w:type="dxa"/>
            <w:tcBorders>
              <w:top w:val="nil"/>
              <w:left w:val="nil"/>
              <w:bottom w:val="nil"/>
              <w:right w:val="nil"/>
            </w:tcBorders>
          </w:tcPr>
          <w:p w14:paraId="4A939A9E" w14:textId="77777777" w:rsidR="001424BD" w:rsidRPr="00990BFC" w:rsidRDefault="001424BD" w:rsidP="001424BD">
            <w:pPr>
              <w:tabs>
                <w:tab w:val="left" w:pos="720"/>
              </w:tabs>
              <w:autoSpaceDE w:val="0"/>
              <w:autoSpaceDN w:val="0"/>
              <w:adjustRightInd w:val="0"/>
            </w:pPr>
            <w:r>
              <w:t>Account 383.00 Curve Fitting</w:t>
            </w:r>
          </w:p>
        </w:tc>
      </w:tr>
      <w:tr w:rsidR="001424BD" w:rsidRPr="00701945" w14:paraId="07C67246" w14:textId="77777777" w:rsidTr="006F034C">
        <w:trPr>
          <w:cantSplit/>
          <w:trHeight w:val="373"/>
        </w:trPr>
        <w:tc>
          <w:tcPr>
            <w:tcW w:w="3198" w:type="dxa"/>
            <w:tcBorders>
              <w:top w:val="nil"/>
              <w:left w:val="nil"/>
              <w:bottom w:val="nil"/>
              <w:right w:val="nil"/>
            </w:tcBorders>
          </w:tcPr>
          <w:p w14:paraId="5267CEE6"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73791F26"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08ACED98"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DJG-26</w:t>
            </w:r>
          </w:p>
        </w:tc>
        <w:tc>
          <w:tcPr>
            <w:tcW w:w="3205" w:type="dxa"/>
            <w:tcBorders>
              <w:top w:val="nil"/>
              <w:left w:val="nil"/>
              <w:bottom w:val="nil"/>
              <w:right w:val="nil"/>
            </w:tcBorders>
          </w:tcPr>
          <w:p w14:paraId="6D238C33" w14:textId="77777777" w:rsidR="001424BD" w:rsidRPr="00990BFC" w:rsidRDefault="001424BD" w:rsidP="001424BD">
            <w:pPr>
              <w:tabs>
                <w:tab w:val="left" w:pos="720"/>
              </w:tabs>
              <w:autoSpaceDE w:val="0"/>
              <w:autoSpaceDN w:val="0"/>
              <w:adjustRightInd w:val="0"/>
            </w:pPr>
            <w:r>
              <w:t>Remaining Life Development</w:t>
            </w:r>
          </w:p>
        </w:tc>
      </w:tr>
      <w:tr w:rsidR="001424BD" w:rsidRPr="00701945" w14:paraId="48EDB3EC" w14:textId="77777777" w:rsidTr="006F034C">
        <w:trPr>
          <w:cantSplit/>
          <w:trHeight w:val="373"/>
        </w:trPr>
        <w:tc>
          <w:tcPr>
            <w:tcW w:w="3198" w:type="dxa"/>
            <w:tcBorders>
              <w:top w:val="nil"/>
              <w:left w:val="nil"/>
              <w:bottom w:val="nil"/>
              <w:right w:val="nil"/>
            </w:tcBorders>
          </w:tcPr>
          <w:p w14:paraId="631A90B7" w14:textId="77777777" w:rsidR="001424BD" w:rsidRPr="00990BFC" w:rsidRDefault="001424BD" w:rsidP="001424BD">
            <w:pPr>
              <w:tabs>
                <w:tab w:val="left" w:pos="720"/>
              </w:tabs>
              <w:autoSpaceDE w:val="0"/>
              <w:autoSpaceDN w:val="0"/>
              <w:adjustRightInd w:val="0"/>
              <w:rPr>
                <w:bCs/>
              </w:rPr>
            </w:pPr>
            <w:r w:rsidRPr="00990BFC">
              <w:rPr>
                <w:bCs/>
              </w:rPr>
              <w:t>David J. Garrett</w:t>
            </w:r>
          </w:p>
        </w:tc>
        <w:tc>
          <w:tcPr>
            <w:tcW w:w="1680" w:type="dxa"/>
            <w:tcBorders>
              <w:top w:val="nil"/>
              <w:left w:val="nil"/>
              <w:bottom w:val="nil"/>
              <w:right w:val="nil"/>
            </w:tcBorders>
          </w:tcPr>
          <w:p w14:paraId="0D2E998B" w14:textId="77777777" w:rsidR="001424BD" w:rsidRPr="00990BFC" w:rsidRDefault="001424BD" w:rsidP="00895CB4">
            <w:pPr>
              <w:tabs>
                <w:tab w:val="left" w:pos="720"/>
              </w:tabs>
              <w:autoSpaceDE w:val="0"/>
              <w:autoSpaceDN w:val="0"/>
              <w:adjustRightInd w:val="0"/>
              <w:jc w:val="center"/>
              <w:rPr>
                <w:bCs/>
              </w:rPr>
            </w:pPr>
            <w:r w:rsidRPr="00990BFC">
              <w:rPr>
                <w:bCs/>
              </w:rPr>
              <w:t>OPC</w:t>
            </w:r>
          </w:p>
        </w:tc>
        <w:tc>
          <w:tcPr>
            <w:tcW w:w="1482" w:type="dxa"/>
            <w:tcBorders>
              <w:top w:val="nil"/>
              <w:left w:val="nil"/>
              <w:bottom w:val="nil"/>
              <w:right w:val="nil"/>
            </w:tcBorders>
          </w:tcPr>
          <w:p w14:paraId="4FC533E6" w14:textId="77777777" w:rsidR="001424BD" w:rsidRPr="00990BFC" w:rsidRDefault="001424BD" w:rsidP="00895CB4">
            <w:pPr>
              <w:tabs>
                <w:tab w:val="left" w:pos="720"/>
              </w:tabs>
              <w:autoSpaceDE w:val="0"/>
              <w:autoSpaceDN w:val="0"/>
              <w:adjustRightInd w:val="0"/>
              <w:jc w:val="center"/>
              <w:rPr>
                <w:rFonts w:ascii="TimesNewRomanPSMT" w:hAnsi="TimesNewRomanPSMT" w:cs="TimesNewRomanPSMT"/>
              </w:rPr>
            </w:pPr>
            <w:r>
              <w:rPr>
                <w:rFonts w:ascii="TimesNewRomanPSMT" w:hAnsi="TimesNewRomanPSMT" w:cs="TimesNewRomanPSMT"/>
              </w:rPr>
              <w:t>DJG-27</w:t>
            </w:r>
          </w:p>
        </w:tc>
        <w:tc>
          <w:tcPr>
            <w:tcW w:w="3205" w:type="dxa"/>
            <w:tcBorders>
              <w:top w:val="nil"/>
              <w:left w:val="nil"/>
              <w:bottom w:val="nil"/>
              <w:right w:val="nil"/>
            </w:tcBorders>
          </w:tcPr>
          <w:p w14:paraId="5B64E68E" w14:textId="77777777" w:rsidR="001424BD" w:rsidRPr="00990BFC" w:rsidRDefault="001424BD" w:rsidP="001424BD">
            <w:pPr>
              <w:tabs>
                <w:tab w:val="left" w:pos="720"/>
              </w:tabs>
              <w:autoSpaceDE w:val="0"/>
              <w:autoSpaceDN w:val="0"/>
              <w:adjustRightInd w:val="0"/>
            </w:pPr>
            <w:r>
              <w:t>Appendices A-E</w:t>
            </w:r>
          </w:p>
        </w:tc>
      </w:tr>
      <w:tr w:rsidR="00895CB4" w:rsidRPr="00701945" w14:paraId="4F491760" w14:textId="77777777" w:rsidTr="006F034C">
        <w:trPr>
          <w:cantSplit/>
          <w:trHeight w:val="373"/>
        </w:trPr>
        <w:tc>
          <w:tcPr>
            <w:tcW w:w="3198" w:type="dxa"/>
            <w:tcBorders>
              <w:top w:val="nil"/>
              <w:left w:val="nil"/>
              <w:bottom w:val="nil"/>
              <w:right w:val="nil"/>
            </w:tcBorders>
          </w:tcPr>
          <w:p w14:paraId="621C3282"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6ECA93E5"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6C989CE5" w14:textId="77777777" w:rsidR="00895CB4" w:rsidRPr="00102C52" w:rsidRDefault="00895CB4" w:rsidP="00895CB4">
            <w:pPr>
              <w:tabs>
                <w:tab w:val="left" w:pos="720"/>
              </w:tabs>
              <w:jc w:val="center"/>
              <w:rPr>
                <w:bCs/>
              </w:rPr>
            </w:pPr>
            <w:r w:rsidRPr="00102C52">
              <w:rPr>
                <w:bCs/>
              </w:rPr>
              <w:t>CCW-1</w:t>
            </w:r>
          </w:p>
        </w:tc>
        <w:tc>
          <w:tcPr>
            <w:tcW w:w="3205" w:type="dxa"/>
            <w:tcBorders>
              <w:top w:val="nil"/>
              <w:left w:val="nil"/>
              <w:bottom w:val="nil"/>
              <w:right w:val="nil"/>
            </w:tcBorders>
          </w:tcPr>
          <w:p w14:paraId="35C7DBD4" w14:textId="77777777" w:rsidR="00895CB4" w:rsidRPr="00102C52" w:rsidRDefault="00895CB4" w:rsidP="00895CB4">
            <w:pPr>
              <w:tabs>
                <w:tab w:val="left" w:pos="720"/>
              </w:tabs>
            </w:pPr>
            <w:r w:rsidRPr="00102C52">
              <w:t>Valuation Metrics</w:t>
            </w:r>
          </w:p>
        </w:tc>
      </w:tr>
      <w:tr w:rsidR="00895CB4" w:rsidRPr="00701945" w14:paraId="6FCBD4D1" w14:textId="77777777" w:rsidTr="006F034C">
        <w:trPr>
          <w:cantSplit/>
          <w:trHeight w:val="373"/>
        </w:trPr>
        <w:tc>
          <w:tcPr>
            <w:tcW w:w="3198" w:type="dxa"/>
            <w:tcBorders>
              <w:top w:val="nil"/>
              <w:left w:val="nil"/>
              <w:bottom w:val="nil"/>
              <w:right w:val="nil"/>
            </w:tcBorders>
          </w:tcPr>
          <w:p w14:paraId="4212A307"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6005259F"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40813C0C" w14:textId="77777777" w:rsidR="00895CB4" w:rsidRPr="00102C52" w:rsidRDefault="00895CB4" w:rsidP="00895CB4">
            <w:pPr>
              <w:tabs>
                <w:tab w:val="left" w:pos="720"/>
              </w:tabs>
              <w:jc w:val="center"/>
              <w:rPr>
                <w:bCs/>
              </w:rPr>
            </w:pPr>
            <w:r w:rsidRPr="00102C52">
              <w:rPr>
                <w:bCs/>
              </w:rPr>
              <w:t>CCW-2</w:t>
            </w:r>
          </w:p>
        </w:tc>
        <w:tc>
          <w:tcPr>
            <w:tcW w:w="3205" w:type="dxa"/>
            <w:tcBorders>
              <w:top w:val="nil"/>
              <w:left w:val="nil"/>
              <w:bottom w:val="nil"/>
              <w:right w:val="nil"/>
            </w:tcBorders>
          </w:tcPr>
          <w:p w14:paraId="38E978CB" w14:textId="77777777" w:rsidR="00895CB4" w:rsidRPr="00102C52" w:rsidRDefault="00895CB4" w:rsidP="00895CB4">
            <w:pPr>
              <w:tabs>
                <w:tab w:val="left" w:pos="720"/>
              </w:tabs>
            </w:pPr>
            <w:r w:rsidRPr="00102C52">
              <w:t>Proxy Group</w:t>
            </w:r>
          </w:p>
        </w:tc>
      </w:tr>
      <w:tr w:rsidR="00895CB4" w:rsidRPr="00701945" w14:paraId="209F46DC" w14:textId="77777777" w:rsidTr="006F034C">
        <w:trPr>
          <w:cantSplit/>
          <w:trHeight w:val="373"/>
        </w:trPr>
        <w:tc>
          <w:tcPr>
            <w:tcW w:w="3198" w:type="dxa"/>
            <w:tcBorders>
              <w:top w:val="nil"/>
              <w:left w:val="nil"/>
              <w:bottom w:val="nil"/>
              <w:right w:val="nil"/>
            </w:tcBorders>
          </w:tcPr>
          <w:p w14:paraId="79B0444B"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7A38E083"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7309F7C0" w14:textId="77777777" w:rsidR="00895CB4" w:rsidRPr="00102C52" w:rsidRDefault="00895CB4" w:rsidP="00895CB4">
            <w:pPr>
              <w:tabs>
                <w:tab w:val="left" w:pos="720"/>
              </w:tabs>
              <w:jc w:val="center"/>
              <w:rPr>
                <w:bCs/>
              </w:rPr>
            </w:pPr>
            <w:r w:rsidRPr="00102C52">
              <w:rPr>
                <w:bCs/>
              </w:rPr>
              <w:t>CCW-3</w:t>
            </w:r>
          </w:p>
        </w:tc>
        <w:tc>
          <w:tcPr>
            <w:tcW w:w="3205" w:type="dxa"/>
            <w:tcBorders>
              <w:top w:val="nil"/>
              <w:left w:val="nil"/>
              <w:bottom w:val="nil"/>
              <w:right w:val="nil"/>
            </w:tcBorders>
          </w:tcPr>
          <w:p w14:paraId="60726BD2" w14:textId="77777777" w:rsidR="00895CB4" w:rsidRPr="00102C52" w:rsidRDefault="00895CB4" w:rsidP="00895CB4">
            <w:pPr>
              <w:tabs>
                <w:tab w:val="left" w:pos="720"/>
              </w:tabs>
            </w:pPr>
            <w:r w:rsidRPr="00102C52">
              <w:t>Consensus Analysts’ Growth Rates</w:t>
            </w:r>
          </w:p>
        </w:tc>
      </w:tr>
      <w:tr w:rsidR="00895CB4" w:rsidRPr="00701945" w14:paraId="4216776C" w14:textId="77777777" w:rsidTr="006F034C">
        <w:trPr>
          <w:cantSplit/>
          <w:trHeight w:val="373"/>
        </w:trPr>
        <w:tc>
          <w:tcPr>
            <w:tcW w:w="3198" w:type="dxa"/>
            <w:tcBorders>
              <w:top w:val="nil"/>
              <w:left w:val="nil"/>
              <w:bottom w:val="nil"/>
              <w:right w:val="nil"/>
            </w:tcBorders>
          </w:tcPr>
          <w:p w14:paraId="196E2B29"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327A7114"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1E50D40D" w14:textId="77777777" w:rsidR="00895CB4" w:rsidRPr="00102C52" w:rsidRDefault="00895CB4" w:rsidP="00895CB4">
            <w:pPr>
              <w:tabs>
                <w:tab w:val="left" w:pos="720"/>
              </w:tabs>
              <w:jc w:val="center"/>
              <w:rPr>
                <w:bCs/>
              </w:rPr>
            </w:pPr>
            <w:r w:rsidRPr="00102C52">
              <w:rPr>
                <w:bCs/>
              </w:rPr>
              <w:t>CCW-4</w:t>
            </w:r>
          </w:p>
        </w:tc>
        <w:tc>
          <w:tcPr>
            <w:tcW w:w="3205" w:type="dxa"/>
            <w:tcBorders>
              <w:top w:val="nil"/>
              <w:left w:val="nil"/>
              <w:bottom w:val="nil"/>
              <w:right w:val="nil"/>
            </w:tcBorders>
          </w:tcPr>
          <w:p w14:paraId="1DE3AAA6" w14:textId="77777777" w:rsidR="00895CB4" w:rsidRPr="00102C52" w:rsidRDefault="00895CB4" w:rsidP="00895CB4">
            <w:pPr>
              <w:tabs>
                <w:tab w:val="left" w:pos="720"/>
              </w:tabs>
            </w:pPr>
            <w:r w:rsidRPr="00102C52">
              <w:t xml:space="preserve">Constant Growth DCF Model </w:t>
            </w:r>
          </w:p>
        </w:tc>
      </w:tr>
      <w:tr w:rsidR="00895CB4" w:rsidRPr="00701945" w14:paraId="60E06C15" w14:textId="77777777" w:rsidTr="006F034C">
        <w:trPr>
          <w:cantSplit/>
          <w:trHeight w:val="373"/>
        </w:trPr>
        <w:tc>
          <w:tcPr>
            <w:tcW w:w="3198" w:type="dxa"/>
            <w:tcBorders>
              <w:top w:val="nil"/>
              <w:left w:val="nil"/>
              <w:bottom w:val="nil"/>
              <w:right w:val="nil"/>
            </w:tcBorders>
          </w:tcPr>
          <w:p w14:paraId="72F05142"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086A47D1"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7051D3B2" w14:textId="77777777" w:rsidR="00895CB4" w:rsidRPr="00102C52" w:rsidRDefault="00895CB4" w:rsidP="00895CB4">
            <w:pPr>
              <w:tabs>
                <w:tab w:val="left" w:pos="720"/>
              </w:tabs>
              <w:jc w:val="center"/>
              <w:rPr>
                <w:bCs/>
              </w:rPr>
            </w:pPr>
            <w:r w:rsidRPr="00102C52">
              <w:rPr>
                <w:bCs/>
              </w:rPr>
              <w:t>CCW-5</w:t>
            </w:r>
          </w:p>
        </w:tc>
        <w:tc>
          <w:tcPr>
            <w:tcW w:w="3205" w:type="dxa"/>
            <w:tcBorders>
              <w:top w:val="nil"/>
              <w:left w:val="nil"/>
              <w:bottom w:val="nil"/>
              <w:right w:val="nil"/>
            </w:tcBorders>
          </w:tcPr>
          <w:p w14:paraId="0E334B67" w14:textId="77777777" w:rsidR="00895CB4" w:rsidRPr="00102C52" w:rsidRDefault="00895CB4" w:rsidP="00895CB4">
            <w:pPr>
              <w:tabs>
                <w:tab w:val="left" w:pos="720"/>
              </w:tabs>
            </w:pPr>
            <w:r w:rsidRPr="00102C52">
              <w:t>Payout Ratios</w:t>
            </w:r>
          </w:p>
        </w:tc>
      </w:tr>
      <w:tr w:rsidR="00895CB4" w:rsidRPr="00701945" w14:paraId="79F44D48" w14:textId="77777777" w:rsidTr="006F034C">
        <w:trPr>
          <w:cantSplit/>
          <w:trHeight w:val="373"/>
        </w:trPr>
        <w:tc>
          <w:tcPr>
            <w:tcW w:w="3198" w:type="dxa"/>
            <w:tcBorders>
              <w:top w:val="nil"/>
              <w:left w:val="nil"/>
              <w:bottom w:val="nil"/>
              <w:right w:val="nil"/>
            </w:tcBorders>
          </w:tcPr>
          <w:p w14:paraId="1C9F4E47"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268ABBCF"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3353A8A6" w14:textId="77777777" w:rsidR="00895CB4" w:rsidRPr="00102C52" w:rsidRDefault="00895CB4" w:rsidP="00895CB4">
            <w:pPr>
              <w:tabs>
                <w:tab w:val="left" w:pos="720"/>
              </w:tabs>
              <w:jc w:val="center"/>
              <w:rPr>
                <w:bCs/>
              </w:rPr>
            </w:pPr>
            <w:r w:rsidRPr="00102C52">
              <w:rPr>
                <w:bCs/>
              </w:rPr>
              <w:t>CCW-6</w:t>
            </w:r>
          </w:p>
        </w:tc>
        <w:tc>
          <w:tcPr>
            <w:tcW w:w="3205" w:type="dxa"/>
            <w:tcBorders>
              <w:top w:val="nil"/>
              <w:left w:val="nil"/>
              <w:bottom w:val="nil"/>
              <w:right w:val="nil"/>
            </w:tcBorders>
          </w:tcPr>
          <w:p w14:paraId="2B79C7D7" w14:textId="77777777" w:rsidR="00895CB4" w:rsidRPr="00102C52" w:rsidRDefault="00895CB4" w:rsidP="00895CB4">
            <w:pPr>
              <w:tabs>
                <w:tab w:val="left" w:pos="720"/>
              </w:tabs>
            </w:pPr>
            <w:r w:rsidRPr="00102C52">
              <w:t>Sustainable Growth Rate</w:t>
            </w:r>
          </w:p>
        </w:tc>
      </w:tr>
      <w:tr w:rsidR="00895CB4" w:rsidRPr="00701945" w14:paraId="3F2369CD" w14:textId="77777777" w:rsidTr="006F034C">
        <w:trPr>
          <w:cantSplit/>
          <w:trHeight w:val="373"/>
        </w:trPr>
        <w:tc>
          <w:tcPr>
            <w:tcW w:w="3198" w:type="dxa"/>
            <w:tcBorders>
              <w:top w:val="nil"/>
              <w:left w:val="nil"/>
              <w:bottom w:val="nil"/>
              <w:right w:val="nil"/>
            </w:tcBorders>
          </w:tcPr>
          <w:p w14:paraId="2C45BC9E"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0A61BDD0"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62BB81D1" w14:textId="77777777" w:rsidR="00895CB4" w:rsidRPr="00102C52" w:rsidRDefault="00895CB4" w:rsidP="00895CB4">
            <w:pPr>
              <w:tabs>
                <w:tab w:val="left" w:pos="720"/>
              </w:tabs>
              <w:jc w:val="center"/>
              <w:rPr>
                <w:bCs/>
              </w:rPr>
            </w:pPr>
            <w:r w:rsidRPr="00102C52">
              <w:rPr>
                <w:bCs/>
              </w:rPr>
              <w:t>CCW-7</w:t>
            </w:r>
          </w:p>
        </w:tc>
        <w:tc>
          <w:tcPr>
            <w:tcW w:w="3205" w:type="dxa"/>
            <w:tcBorders>
              <w:top w:val="nil"/>
              <w:left w:val="nil"/>
              <w:bottom w:val="nil"/>
              <w:right w:val="nil"/>
            </w:tcBorders>
          </w:tcPr>
          <w:p w14:paraId="4E70240A" w14:textId="77777777" w:rsidR="00895CB4" w:rsidRPr="00102C52" w:rsidRDefault="00895CB4" w:rsidP="00895CB4">
            <w:pPr>
              <w:tabs>
                <w:tab w:val="left" w:pos="720"/>
              </w:tabs>
            </w:pPr>
            <w:r w:rsidRPr="00102C52">
              <w:t>Constant Growth DCF Model</w:t>
            </w:r>
          </w:p>
        </w:tc>
      </w:tr>
      <w:tr w:rsidR="00895CB4" w:rsidRPr="00701945" w14:paraId="1B3B3B7B" w14:textId="77777777" w:rsidTr="006F034C">
        <w:trPr>
          <w:cantSplit/>
          <w:trHeight w:val="373"/>
        </w:trPr>
        <w:tc>
          <w:tcPr>
            <w:tcW w:w="3198" w:type="dxa"/>
            <w:tcBorders>
              <w:top w:val="nil"/>
              <w:left w:val="nil"/>
              <w:bottom w:val="nil"/>
              <w:right w:val="nil"/>
            </w:tcBorders>
          </w:tcPr>
          <w:p w14:paraId="4C9EB2F7"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7F44913B"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04848D08" w14:textId="77777777" w:rsidR="00895CB4" w:rsidRPr="00102C52" w:rsidRDefault="00895CB4" w:rsidP="00895CB4">
            <w:pPr>
              <w:tabs>
                <w:tab w:val="left" w:pos="720"/>
              </w:tabs>
              <w:jc w:val="center"/>
              <w:rPr>
                <w:bCs/>
              </w:rPr>
            </w:pPr>
            <w:r w:rsidRPr="00102C52">
              <w:rPr>
                <w:bCs/>
              </w:rPr>
              <w:t>CCW-8</w:t>
            </w:r>
          </w:p>
        </w:tc>
        <w:tc>
          <w:tcPr>
            <w:tcW w:w="3205" w:type="dxa"/>
            <w:tcBorders>
              <w:top w:val="nil"/>
              <w:left w:val="nil"/>
              <w:bottom w:val="nil"/>
              <w:right w:val="nil"/>
            </w:tcBorders>
          </w:tcPr>
          <w:p w14:paraId="6C23247A" w14:textId="77777777" w:rsidR="00895CB4" w:rsidRPr="00102C52" w:rsidRDefault="00895CB4" w:rsidP="00895CB4">
            <w:pPr>
              <w:tabs>
                <w:tab w:val="left" w:pos="720"/>
              </w:tabs>
            </w:pPr>
            <w:r w:rsidRPr="00102C52">
              <w:t>Electricity Sales Are Linked to U.S. Economic Growth</w:t>
            </w:r>
          </w:p>
        </w:tc>
      </w:tr>
      <w:tr w:rsidR="00895CB4" w:rsidRPr="00701945" w14:paraId="696F720E" w14:textId="77777777" w:rsidTr="006F034C">
        <w:trPr>
          <w:cantSplit/>
          <w:trHeight w:val="373"/>
        </w:trPr>
        <w:tc>
          <w:tcPr>
            <w:tcW w:w="3198" w:type="dxa"/>
            <w:tcBorders>
              <w:top w:val="nil"/>
              <w:left w:val="nil"/>
              <w:bottom w:val="nil"/>
              <w:right w:val="nil"/>
            </w:tcBorders>
          </w:tcPr>
          <w:p w14:paraId="4A65AB89"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3972760B"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77276493" w14:textId="77777777" w:rsidR="00895CB4" w:rsidRPr="00102C52" w:rsidRDefault="00895CB4" w:rsidP="00895CB4">
            <w:pPr>
              <w:tabs>
                <w:tab w:val="left" w:pos="720"/>
              </w:tabs>
              <w:jc w:val="center"/>
              <w:rPr>
                <w:bCs/>
              </w:rPr>
            </w:pPr>
            <w:r w:rsidRPr="00102C52">
              <w:rPr>
                <w:bCs/>
              </w:rPr>
              <w:t>CCW-9</w:t>
            </w:r>
          </w:p>
        </w:tc>
        <w:tc>
          <w:tcPr>
            <w:tcW w:w="3205" w:type="dxa"/>
            <w:tcBorders>
              <w:top w:val="nil"/>
              <w:left w:val="nil"/>
              <w:bottom w:val="nil"/>
              <w:right w:val="nil"/>
            </w:tcBorders>
          </w:tcPr>
          <w:p w14:paraId="3D4A60C6" w14:textId="77777777" w:rsidR="00895CB4" w:rsidRPr="00102C52" w:rsidRDefault="00895CB4" w:rsidP="00895CB4">
            <w:pPr>
              <w:tabs>
                <w:tab w:val="left" w:pos="720"/>
              </w:tabs>
            </w:pPr>
            <w:r w:rsidRPr="00102C52">
              <w:t>Multi-Stage Growth DCF Model</w:t>
            </w:r>
          </w:p>
        </w:tc>
      </w:tr>
      <w:tr w:rsidR="00895CB4" w:rsidRPr="00701945" w14:paraId="48E91EEE" w14:textId="77777777" w:rsidTr="006F034C">
        <w:trPr>
          <w:cantSplit/>
          <w:trHeight w:val="373"/>
        </w:trPr>
        <w:tc>
          <w:tcPr>
            <w:tcW w:w="3198" w:type="dxa"/>
            <w:tcBorders>
              <w:top w:val="nil"/>
              <w:left w:val="nil"/>
              <w:bottom w:val="nil"/>
              <w:right w:val="nil"/>
            </w:tcBorders>
          </w:tcPr>
          <w:p w14:paraId="73777307"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4884BB9E"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271E81C7" w14:textId="77777777" w:rsidR="00895CB4" w:rsidRPr="00102C52" w:rsidRDefault="00895CB4" w:rsidP="00895CB4">
            <w:pPr>
              <w:tabs>
                <w:tab w:val="left" w:pos="720"/>
              </w:tabs>
              <w:jc w:val="center"/>
              <w:rPr>
                <w:bCs/>
              </w:rPr>
            </w:pPr>
            <w:r w:rsidRPr="00102C52">
              <w:rPr>
                <w:bCs/>
              </w:rPr>
              <w:t>CCW-10</w:t>
            </w:r>
          </w:p>
        </w:tc>
        <w:tc>
          <w:tcPr>
            <w:tcW w:w="3205" w:type="dxa"/>
            <w:tcBorders>
              <w:top w:val="nil"/>
              <w:left w:val="nil"/>
              <w:bottom w:val="nil"/>
              <w:right w:val="nil"/>
            </w:tcBorders>
          </w:tcPr>
          <w:p w14:paraId="58657FEA" w14:textId="77777777" w:rsidR="00895CB4" w:rsidRPr="00102C52" w:rsidRDefault="00895CB4" w:rsidP="00895CB4">
            <w:pPr>
              <w:tabs>
                <w:tab w:val="left" w:pos="720"/>
              </w:tabs>
            </w:pPr>
            <w:r w:rsidRPr="00102C52">
              <w:t>Common Stock Market/Book Ratio</w:t>
            </w:r>
          </w:p>
        </w:tc>
      </w:tr>
      <w:tr w:rsidR="00895CB4" w:rsidRPr="00701945" w14:paraId="00DAB992" w14:textId="77777777" w:rsidTr="006F034C">
        <w:trPr>
          <w:cantSplit/>
          <w:trHeight w:val="373"/>
        </w:trPr>
        <w:tc>
          <w:tcPr>
            <w:tcW w:w="3198" w:type="dxa"/>
            <w:tcBorders>
              <w:top w:val="nil"/>
              <w:left w:val="nil"/>
              <w:bottom w:val="nil"/>
              <w:right w:val="nil"/>
            </w:tcBorders>
          </w:tcPr>
          <w:p w14:paraId="32547205"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6CA6F052"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5B5E7711" w14:textId="77777777" w:rsidR="00895CB4" w:rsidRPr="00102C52" w:rsidRDefault="00895CB4" w:rsidP="00895CB4">
            <w:pPr>
              <w:tabs>
                <w:tab w:val="left" w:pos="720"/>
              </w:tabs>
              <w:jc w:val="center"/>
              <w:rPr>
                <w:bCs/>
              </w:rPr>
            </w:pPr>
            <w:r w:rsidRPr="00102C52">
              <w:rPr>
                <w:bCs/>
              </w:rPr>
              <w:t>CCW-11</w:t>
            </w:r>
          </w:p>
        </w:tc>
        <w:tc>
          <w:tcPr>
            <w:tcW w:w="3205" w:type="dxa"/>
            <w:tcBorders>
              <w:top w:val="nil"/>
              <w:left w:val="nil"/>
              <w:bottom w:val="nil"/>
              <w:right w:val="nil"/>
            </w:tcBorders>
          </w:tcPr>
          <w:p w14:paraId="520ABBFD" w14:textId="77777777" w:rsidR="00895CB4" w:rsidRPr="00102C52" w:rsidRDefault="00895CB4" w:rsidP="00895CB4">
            <w:pPr>
              <w:tabs>
                <w:tab w:val="left" w:pos="720"/>
              </w:tabs>
            </w:pPr>
            <w:r w:rsidRPr="00102C52">
              <w:t>Equity Risk Premium – Treasury Bond</w:t>
            </w:r>
          </w:p>
        </w:tc>
      </w:tr>
      <w:tr w:rsidR="00895CB4" w:rsidRPr="00701945" w14:paraId="26078284" w14:textId="77777777" w:rsidTr="006F034C">
        <w:trPr>
          <w:cantSplit/>
          <w:trHeight w:val="373"/>
        </w:trPr>
        <w:tc>
          <w:tcPr>
            <w:tcW w:w="3198" w:type="dxa"/>
            <w:tcBorders>
              <w:top w:val="nil"/>
              <w:left w:val="nil"/>
              <w:bottom w:val="nil"/>
              <w:right w:val="nil"/>
            </w:tcBorders>
          </w:tcPr>
          <w:p w14:paraId="620DD5A7"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47CA49AD"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36794744" w14:textId="77777777" w:rsidR="00895CB4" w:rsidRPr="00102C52" w:rsidRDefault="00895CB4" w:rsidP="00895CB4">
            <w:pPr>
              <w:tabs>
                <w:tab w:val="left" w:pos="720"/>
              </w:tabs>
              <w:jc w:val="center"/>
              <w:rPr>
                <w:bCs/>
              </w:rPr>
            </w:pPr>
            <w:r w:rsidRPr="00102C52">
              <w:rPr>
                <w:bCs/>
              </w:rPr>
              <w:t>CCW-12</w:t>
            </w:r>
          </w:p>
        </w:tc>
        <w:tc>
          <w:tcPr>
            <w:tcW w:w="3205" w:type="dxa"/>
            <w:tcBorders>
              <w:top w:val="nil"/>
              <w:left w:val="nil"/>
              <w:bottom w:val="nil"/>
              <w:right w:val="nil"/>
            </w:tcBorders>
          </w:tcPr>
          <w:p w14:paraId="65AFD83D" w14:textId="77777777" w:rsidR="00895CB4" w:rsidRPr="00102C52" w:rsidRDefault="00895CB4" w:rsidP="00895CB4">
            <w:pPr>
              <w:tabs>
                <w:tab w:val="left" w:pos="720"/>
              </w:tabs>
            </w:pPr>
            <w:r w:rsidRPr="00102C52">
              <w:t>Equity Risk Premium – Utility Bond</w:t>
            </w:r>
          </w:p>
        </w:tc>
      </w:tr>
      <w:tr w:rsidR="00895CB4" w:rsidRPr="00701945" w14:paraId="7BA1D860" w14:textId="77777777" w:rsidTr="006F034C">
        <w:trPr>
          <w:cantSplit/>
          <w:trHeight w:val="373"/>
        </w:trPr>
        <w:tc>
          <w:tcPr>
            <w:tcW w:w="3198" w:type="dxa"/>
            <w:tcBorders>
              <w:top w:val="nil"/>
              <w:left w:val="nil"/>
              <w:bottom w:val="nil"/>
              <w:right w:val="nil"/>
            </w:tcBorders>
          </w:tcPr>
          <w:p w14:paraId="0926BA14"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2DBD469E"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514ADB76" w14:textId="77777777" w:rsidR="00895CB4" w:rsidRPr="00102C52" w:rsidRDefault="00895CB4" w:rsidP="00895CB4">
            <w:pPr>
              <w:tabs>
                <w:tab w:val="left" w:pos="720"/>
              </w:tabs>
              <w:jc w:val="center"/>
              <w:rPr>
                <w:bCs/>
              </w:rPr>
            </w:pPr>
            <w:r w:rsidRPr="00102C52">
              <w:rPr>
                <w:bCs/>
              </w:rPr>
              <w:t>CCW-13</w:t>
            </w:r>
          </w:p>
        </w:tc>
        <w:tc>
          <w:tcPr>
            <w:tcW w:w="3205" w:type="dxa"/>
            <w:tcBorders>
              <w:top w:val="nil"/>
              <w:left w:val="nil"/>
              <w:bottom w:val="nil"/>
              <w:right w:val="nil"/>
            </w:tcBorders>
          </w:tcPr>
          <w:p w14:paraId="3FD22352" w14:textId="77777777" w:rsidR="00895CB4" w:rsidRPr="00102C52" w:rsidRDefault="00895CB4" w:rsidP="00895CB4">
            <w:pPr>
              <w:tabs>
                <w:tab w:val="left" w:pos="720"/>
              </w:tabs>
            </w:pPr>
            <w:r w:rsidRPr="00102C52">
              <w:t>Bond Yield Spreads</w:t>
            </w:r>
          </w:p>
        </w:tc>
      </w:tr>
      <w:tr w:rsidR="00895CB4" w:rsidRPr="00701945" w14:paraId="2D33C0DD" w14:textId="77777777" w:rsidTr="006F034C">
        <w:trPr>
          <w:cantSplit/>
          <w:trHeight w:val="373"/>
        </w:trPr>
        <w:tc>
          <w:tcPr>
            <w:tcW w:w="3198" w:type="dxa"/>
            <w:tcBorders>
              <w:top w:val="nil"/>
              <w:left w:val="nil"/>
              <w:bottom w:val="nil"/>
              <w:right w:val="nil"/>
            </w:tcBorders>
          </w:tcPr>
          <w:p w14:paraId="0AF6E80B"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3D30A991"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0EE5E2AA" w14:textId="77777777" w:rsidR="00895CB4" w:rsidRPr="00102C52" w:rsidRDefault="00895CB4" w:rsidP="00895CB4">
            <w:pPr>
              <w:tabs>
                <w:tab w:val="left" w:pos="720"/>
              </w:tabs>
              <w:jc w:val="center"/>
              <w:rPr>
                <w:bCs/>
              </w:rPr>
            </w:pPr>
            <w:r w:rsidRPr="00102C52">
              <w:rPr>
                <w:bCs/>
              </w:rPr>
              <w:t>CCW-14</w:t>
            </w:r>
          </w:p>
        </w:tc>
        <w:tc>
          <w:tcPr>
            <w:tcW w:w="3205" w:type="dxa"/>
            <w:tcBorders>
              <w:top w:val="nil"/>
              <w:left w:val="nil"/>
              <w:bottom w:val="nil"/>
              <w:right w:val="nil"/>
            </w:tcBorders>
          </w:tcPr>
          <w:p w14:paraId="24355612" w14:textId="77777777" w:rsidR="00895CB4" w:rsidRPr="00102C52" w:rsidRDefault="00895CB4" w:rsidP="00895CB4">
            <w:pPr>
              <w:tabs>
                <w:tab w:val="left" w:pos="720"/>
              </w:tabs>
            </w:pPr>
            <w:r w:rsidRPr="00102C52">
              <w:t>Treasury and Utility Bond Yields</w:t>
            </w:r>
          </w:p>
        </w:tc>
      </w:tr>
      <w:tr w:rsidR="00895CB4" w:rsidRPr="00701945" w14:paraId="03205BB1" w14:textId="77777777" w:rsidTr="006F034C">
        <w:trPr>
          <w:cantSplit/>
          <w:trHeight w:val="373"/>
        </w:trPr>
        <w:tc>
          <w:tcPr>
            <w:tcW w:w="3198" w:type="dxa"/>
            <w:tcBorders>
              <w:top w:val="nil"/>
              <w:left w:val="nil"/>
              <w:bottom w:val="nil"/>
              <w:right w:val="nil"/>
            </w:tcBorders>
          </w:tcPr>
          <w:p w14:paraId="357AAD56"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3E5887EC"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65632DBE" w14:textId="77777777" w:rsidR="00895CB4" w:rsidRPr="00102C52" w:rsidRDefault="00895CB4" w:rsidP="00895CB4">
            <w:pPr>
              <w:tabs>
                <w:tab w:val="left" w:pos="720"/>
              </w:tabs>
              <w:jc w:val="center"/>
              <w:rPr>
                <w:bCs/>
              </w:rPr>
            </w:pPr>
            <w:r w:rsidRPr="00102C52">
              <w:rPr>
                <w:bCs/>
              </w:rPr>
              <w:t>CCW-15</w:t>
            </w:r>
          </w:p>
        </w:tc>
        <w:tc>
          <w:tcPr>
            <w:tcW w:w="3205" w:type="dxa"/>
            <w:tcBorders>
              <w:top w:val="nil"/>
              <w:left w:val="nil"/>
              <w:bottom w:val="nil"/>
              <w:right w:val="nil"/>
            </w:tcBorders>
          </w:tcPr>
          <w:p w14:paraId="28DEB707" w14:textId="77777777" w:rsidR="00895CB4" w:rsidRPr="00102C52" w:rsidRDefault="00895CB4" w:rsidP="00895CB4">
            <w:pPr>
              <w:tabs>
                <w:tab w:val="left" w:pos="720"/>
              </w:tabs>
            </w:pPr>
            <w:r w:rsidRPr="00102C52">
              <w:t>Beta Analysis</w:t>
            </w:r>
          </w:p>
        </w:tc>
      </w:tr>
      <w:tr w:rsidR="00895CB4" w:rsidRPr="00701945" w14:paraId="4EC2670C" w14:textId="77777777" w:rsidTr="006F034C">
        <w:trPr>
          <w:cantSplit/>
          <w:trHeight w:val="373"/>
        </w:trPr>
        <w:tc>
          <w:tcPr>
            <w:tcW w:w="3198" w:type="dxa"/>
            <w:tcBorders>
              <w:top w:val="nil"/>
              <w:left w:val="nil"/>
              <w:bottom w:val="nil"/>
              <w:right w:val="nil"/>
            </w:tcBorders>
          </w:tcPr>
          <w:p w14:paraId="0B6A481B" w14:textId="77777777" w:rsidR="00895CB4" w:rsidRPr="00102C52" w:rsidRDefault="00895CB4" w:rsidP="00895CB4">
            <w:pPr>
              <w:tabs>
                <w:tab w:val="left" w:pos="720"/>
              </w:tabs>
              <w:rPr>
                <w:bCs/>
              </w:rPr>
            </w:pPr>
            <w:r w:rsidRPr="00102C52">
              <w:rPr>
                <w:bCs/>
              </w:rPr>
              <w:t>Christopher C. Walters</w:t>
            </w:r>
          </w:p>
        </w:tc>
        <w:tc>
          <w:tcPr>
            <w:tcW w:w="1680" w:type="dxa"/>
            <w:tcBorders>
              <w:top w:val="nil"/>
              <w:left w:val="nil"/>
              <w:bottom w:val="nil"/>
              <w:right w:val="nil"/>
            </w:tcBorders>
          </w:tcPr>
          <w:p w14:paraId="075CED23"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1301FA1A" w14:textId="77777777" w:rsidR="00895CB4" w:rsidRPr="00102C52" w:rsidRDefault="00895CB4" w:rsidP="00895CB4">
            <w:pPr>
              <w:tabs>
                <w:tab w:val="left" w:pos="720"/>
              </w:tabs>
              <w:jc w:val="center"/>
              <w:rPr>
                <w:bCs/>
              </w:rPr>
            </w:pPr>
            <w:r w:rsidRPr="00102C52">
              <w:rPr>
                <w:bCs/>
              </w:rPr>
              <w:t>CCW-16</w:t>
            </w:r>
          </w:p>
        </w:tc>
        <w:tc>
          <w:tcPr>
            <w:tcW w:w="3205" w:type="dxa"/>
            <w:tcBorders>
              <w:top w:val="nil"/>
              <w:left w:val="nil"/>
              <w:bottom w:val="nil"/>
              <w:right w:val="nil"/>
            </w:tcBorders>
          </w:tcPr>
          <w:p w14:paraId="4DE469F9" w14:textId="77777777" w:rsidR="00895CB4" w:rsidRPr="00102C52" w:rsidRDefault="00895CB4" w:rsidP="00895CB4">
            <w:pPr>
              <w:tabs>
                <w:tab w:val="left" w:pos="720"/>
              </w:tabs>
            </w:pPr>
            <w:r w:rsidRPr="00102C52">
              <w:t>CAPM Return</w:t>
            </w:r>
          </w:p>
        </w:tc>
      </w:tr>
      <w:tr w:rsidR="00895CB4" w:rsidRPr="00701945" w14:paraId="51C407B4" w14:textId="77777777" w:rsidTr="006F034C">
        <w:trPr>
          <w:cantSplit/>
          <w:trHeight w:val="373"/>
        </w:trPr>
        <w:tc>
          <w:tcPr>
            <w:tcW w:w="3198" w:type="dxa"/>
            <w:tcBorders>
              <w:top w:val="nil"/>
              <w:left w:val="nil"/>
              <w:bottom w:val="nil"/>
              <w:right w:val="nil"/>
            </w:tcBorders>
          </w:tcPr>
          <w:p w14:paraId="12F81F4A" w14:textId="77777777" w:rsidR="00895CB4" w:rsidRPr="00102C52" w:rsidRDefault="00895CB4" w:rsidP="00895CB4">
            <w:pPr>
              <w:tabs>
                <w:tab w:val="left" w:pos="720"/>
              </w:tabs>
              <w:rPr>
                <w:bCs/>
              </w:rPr>
            </w:pPr>
            <w:r w:rsidRPr="00102C52">
              <w:rPr>
                <w:bCs/>
              </w:rPr>
              <w:t>Brian C. Collins</w:t>
            </w:r>
          </w:p>
        </w:tc>
        <w:tc>
          <w:tcPr>
            <w:tcW w:w="1680" w:type="dxa"/>
            <w:tcBorders>
              <w:top w:val="nil"/>
              <w:left w:val="nil"/>
              <w:bottom w:val="nil"/>
              <w:right w:val="nil"/>
            </w:tcBorders>
          </w:tcPr>
          <w:p w14:paraId="53D50AE3"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2F0F785D" w14:textId="77777777" w:rsidR="00895CB4" w:rsidRPr="00102C52" w:rsidRDefault="00895CB4" w:rsidP="00895CB4">
            <w:pPr>
              <w:tabs>
                <w:tab w:val="left" w:pos="720"/>
              </w:tabs>
              <w:jc w:val="center"/>
              <w:rPr>
                <w:bCs/>
              </w:rPr>
            </w:pPr>
            <w:r w:rsidRPr="00102C52">
              <w:rPr>
                <w:bCs/>
              </w:rPr>
              <w:t>BCC-1</w:t>
            </w:r>
          </w:p>
        </w:tc>
        <w:tc>
          <w:tcPr>
            <w:tcW w:w="3205" w:type="dxa"/>
            <w:tcBorders>
              <w:top w:val="nil"/>
              <w:left w:val="nil"/>
              <w:bottom w:val="nil"/>
              <w:right w:val="nil"/>
            </w:tcBorders>
          </w:tcPr>
          <w:p w14:paraId="7F894FB6" w14:textId="77777777" w:rsidR="00895CB4" w:rsidRPr="00102C52" w:rsidRDefault="00895CB4" w:rsidP="00895CB4">
            <w:pPr>
              <w:tabs>
                <w:tab w:val="left" w:pos="720"/>
              </w:tabs>
              <w:rPr>
                <w:bCs/>
              </w:rPr>
            </w:pPr>
            <w:r w:rsidRPr="00102C52">
              <w:t>Summary of Proposed Class Cost of Service and Revenue Allocation</w:t>
            </w:r>
          </w:p>
        </w:tc>
      </w:tr>
      <w:tr w:rsidR="00895CB4" w:rsidRPr="00701945" w14:paraId="15F10354" w14:textId="77777777" w:rsidTr="006F034C">
        <w:trPr>
          <w:cantSplit/>
          <w:trHeight w:val="373"/>
        </w:trPr>
        <w:tc>
          <w:tcPr>
            <w:tcW w:w="3198" w:type="dxa"/>
            <w:tcBorders>
              <w:top w:val="nil"/>
              <w:left w:val="nil"/>
              <w:bottom w:val="nil"/>
              <w:right w:val="nil"/>
            </w:tcBorders>
          </w:tcPr>
          <w:p w14:paraId="686877B4" w14:textId="77777777" w:rsidR="00895CB4" w:rsidRPr="00102C52" w:rsidRDefault="00895CB4" w:rsidP="00895CB4">
            <w:pPr>
              <w:tabs>
                <w:tab w:val="left" w:pos="720"/>
              </w:tabs>
              <w:rPr>
                <w:bCs/>
              </w:rPr>
            </w:pPr>
            <w:r w:rsidRPr="00102C52">
              <w:rPr>
                <w:bCs/>
              </w:rPr>
              <w:t>Brian C. Collins</w:t>
            </w:r>
          </w:p>
        </w:tc>
        <w:tc>
          <w:tcPr>
            <w:tcW w:w="1680" w:type="dxa"/>
            <w:tcBorders>
              <w:top w:val="nil"/>
              <w:left w:val="nil"/>
              <w:bottom w:val="nil"/>
              <w:right w:val="nil"/>
            </w:tcBorders>
          </w:tcPr>
          <w:p w14:paraId="0AC52323"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47E1BB06" w14:textId="77777777" w:rsidR="00895CB4" w:rsidRPr="00102C52" w:rsidRDefault="00895CB4" w:rsidP="00895CB4">
            <w:pPr>
              <w:tabs>
                <w:tab w:val="left" w:pos="720"/>
              </w:tabs>
              <w:jc w:val="center"/>
              <w:rPr>
                <w:bCs/>
              </w:rPr>
            </w:pPr>
            <w:r w:rsidRPr="00102C52">
              <w:t>BCC-2</w:t>
            </w:r>
          </w:p>
        </w:tc>
        <w:tc>
          <w:tcPr>
            <w:tcW w:w="3205" w:type="dxa"/>
            <w:tcBorders>
              <w:top w:val="nil"/>
              <w:left w:val="nil"/>
              <w:bottom w:val="nil"/>
              <w:right w:val="nil"/>
            </w:tcBorders>
          </w:tcPr>
          <w:p w14:paraId="39D0AFB2" w14:textId="77777777" w:rsidR="00895CB4" w:rsidRPr="00102C52" w:rsidRDefault="00895CB4" w:rsidP="00895CB4">
            <w:pPr>
              <w:tabs>
                <w:tab w:val="left" w:pos="720"/>
              </w:tabs>
              <w:rPr>
                <w:bCs/>
              </w:rPr>
            </w:pPr>
            <w:r w:rsidRPr="00102C52">
              <w:t>FCG’s Response to OPC Interrogatory No. 90</w:t>
            </w:r>
          </w:p>
        </w:tc>
      </w:tr>
      <w:tr w:rsidR="00895CB4" w:rsidRPr="00701945" w14:paraId="1CBBF120" w14:textId="77777777" w:rsidTr="006F034C">
        <w:trPr>
          <w:cantSplit/>
          <w:trHeight w:val="373"/>
        </w:trPr>
        <w:tc>
          <w:tcPr>
            <w:tcW w:w="3198" w:type="dxa"/>
            <w:tcBorders>
              <w:top w:val="nil"/>
              <w:left w:val="nil"/>
              <w:bottom w:val="nil"/>
              <w:right w:val="nil"/>
            </w:tcBorders>
          </w:tcPr>
          <w:p w14:paraId="5A1961D0" w14:textId="77777777" w:rsidR="00895CB4" w:rsidRPr="00102C52" w:rsidRDefault="00895CB4" w:rsidP="00895CB4">
            <w:pPr>
              <w:tabs>
                <w:tab w:val="left" w:pos="720"/>
              </w:tabs>
              <w:rPr>
                <w:bCs/>
              </w:rPr>
            </w:pPr>
            <w:r w:rsidRPr="00102C52">
              <w:rPr>
                <w:bCs/>
              </w:rPr>
              <w:t>Brian C. Collins</w:t>
            </w:r>
          </w:p>
        </w:tc>
        <w:tc>
          <w:tcPr>
            <w:tcW w:w="1680" w:type="dxa"/>
            <w:tcBorders>
              <w:top w:val="nil"/>
              <w:left w:val="nil"/>
              <w:bottom w:val="nil"/>
              <w:right w:val="nil"/>
            </w:tcBorders>
          </w:tcPr>
          <w:p w14:paraId="1ACA6086"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60E5C719" w14:textId="77777777" w:rsidR="00895CB4" w:rsidRPr="00102C52" w:rsidRDefault="00895CB4" w:rsidP="00895CB4">
            <w:pPr>
              <w:tabs>
                <w:tab w:val="left" w:pos="720"/>
              </w:tabs>
              <w:jc w:val="center"/>
              <w:rPr>
                <w:bCs/>
              </w:rPr>
            </w:pPr>
            <w:r w:rsidRPr="00102C52">
              <w:t>BCC-3</w:t>
            </w:r>
          </w:p>
        </w:tc>
        <w:tc>
          <w:tcPr>
            <w:tcW w:w="3205" w:type="dxa"/>
            <w:tcBorders>
              <w:top w:val="nil"/>
              <w:left w:val="nil"/>
              <w:bottom w:val="nil"/>
              <w:right w:val="nil"/>
            </w:tcBorders>
          </w:tcPr>
          <w:p w14:paraId="6A1402CA" w14:textId="77777777" w:rsidR="00895CB4" w:rsidRPr="00102C52" w:rsidRDefault="00895CB4" w:rsidP="00895CB4">
            <w:pPr>
              <w:tabs>
                <w:tab w:val="left" w:pos="720"/>
              </w:tabs>
              <w:rPr>
                <w:bCs/>
              </w:rPr>
            </w:pPr>
            <w:r w:rsidRPr="00102C52">
              <w:t>FCG’s Response to OPC Interrogatory No. 92</w:t>
            </w:r>
          </w:p>
        </w:tc>
      </w:tr>
      <w:tr w:rsidR="00895CB4" w:rsidRPr="00701945" w14:paraId="3FF54A14" w14:textId="77777777" w:rsidTr="006F034C">
        <w:trPr>
          <w:cantSplit/>
          <w:trHeight w:val="373"/>
        </w:trPr>
        <w:tc>
          <w:tcPr>
            <w:tcW w:w="3198" w:type="dxa"/>
            <w:tcBorders>
              <w:top w:val="nil"/>
              <w:left w:val="nil"/>
              <w:bottom w:val="nil"/>
              <w:right w:val="nil"/>
            </w:tcBorders>
          </w:tcPr>
          <w:p w14:paraId="711E281F" w14:textId="77777777" w:rsidR="00895CB4" w:rsidRPr="00102C52" w:rsidRDefault="00895CB4" w:rsidP="00895CB4">
            <w:pPr>
              <w:tabs>
                <w:tab w:val="left" w:pos="720"/>
              </w:tabs>
              <w:rPr>
                <w:bCs/>
              </w:rPr>
            </w:pPr>
            <w:r w:rsidRPr="00102C52">
              <w:rPr>
                <w:bCs/>
              </w:rPr>
              <w:t>Brian C. Collins</w:t>
            </w:r>
          </w:p>
        </w:tc>
        <w:tc>
          <w:tcPr>
            <w:tcW w:w="1680" w:type="dxa"/>
            <w:tcBorders>
              <w:top w:val="nil"/>
              <w:left w:val="nil"/>
              <w:bottom w:val="nil"/>
              <w:right w:val="nil"/>
            </w:tcBorders>
          </w:tcPr>
          <w:p w14:paraId="2CF622C0" w14:textId="77777777" w:rsidR="00895CB4" w:rsidRPr="00102C52" w:rsidRDefault="00895CB4" w:rsidP="00895CB4">
            <w:pPr>
              <w:tabs>
                <w:tab w:val="left" w:pos="720"/>
              </w:tabs>
              <w:ind w:right="266"/>
              <w:jc w:val="center"/>
              <w:rPr>
                <w:bCs/>
              </w:rPr>
            </w:pPr>
            <w:r w:rsidRPr="00102C52">
              <w:rPr>
                <w:bCs/>
              </w:rPr>
              <w:t>FEA</w:t>
            </w:r>
          </w:p>
        </w:tc>
        <w:tc>
          <w:tcPr>
            <w:tcW w:w="1482" w:type="dxa"/>
            <w:tcBorders>
              <w:top w:val="nil"/>
              <w:left w:val="nil"/>
              <w:bottom w:val="nil"/>
              <w:right w:val="nil"/>
            </w:tcBorders>
          </w:tcPr>
          <w:p w14:paraId="799FF265" w14:textId="77777777" w:rsidR="00895CB4" w:rsidRPr="00102C52" w:rsidRDefault="00895CB4" w:rsidP="00895CB4">
            <w:pPr>
              <w:tabs>
                <w:tab w:val="left" w:pos="720"/>
              </w:tabs>
              <w:jc w:val="center"/>
              <w:rPr>
                <w:bCs/>
              </w:rPr>
            </w:pPr>
            <w:r w:rsidRPr="00102C52">
              <w:rPr>
                <w:bCs/>
              </w:rPr>
              <w:t>BCC-4</w:t>
            </w:r>
          </w:p>
        </w:tc>
        <w:tc>
          <w:tcPr>
            <w:tcW w:w="3205" w:type="dxa"/>
            <w:tcBorders>
              <w:top w:val="nil"/>
              <w:left w:val="nil"/>
              <w:bottom w:val="nil"/>
              <w:right w:val="nil"/>
            </w:tcBorders>
          </w:tcPr>
          <w:p w14:paraId="0822F3F2" w14:textId="77777777" w:rsidR="00895CB4" w:rsidRPr="00102C52" w:rsidRDefault="00895CB4" w:rsidP="00895CB4">
            <w:pPr>
              <w:tabs>
                <w:tab w:val="left" w:pos="720"/>
              </w:tabs>
              <w:rPr>
                <w:bCs/>
              </w:rPr>
            </w:pPr>
            <w:r w:rsidRPr="00102C52">
              <w:rPr>
                <w:bCs/>
              </w:rPr>
              <w:t>FCG’s Response to OPC Interrogatory No. 137</w:t>
            </w:r>
          </w:p>
        </w:tc>
      </w:tr>
      <w:tr w:rsidR="00E50AC7" w:rsidRPr="00701945" w14:paraId="1780ECFE" w14:textId="77777777" w:rsidTr="006F034C">
        <w:trPr>
          <w:cantSplit/>
          <w:trHeight w:val="353"/>
        </w:trPr>
        <w:tc>
          <w:tcPr>
            <w:tcW w:w="3198" w:type="dxa"/>
            <w:tcBorders>
              <w:top w:val="nil"/>
              <w:left w:val="nil"/>
              <w:bottom w:val="nil"/>
              <w:right w:val="nil"/>
            </w:tcBorders>
          </w:tcPr>
          <w:p w14:paraId="4027BFD3" w14:textId="77777777" w:rsidR="00E50AC7" w:rsidRPr="00701945" w:rsidRDefault="00FD3FE5" w:rsidP="006F034C">
            <w:pPr>
              <w:jc w:val="both"/>
            </w:pPr>
            <w:r>
              <w:t>Angela L. Calhoun</w:t>
            </w:r>
          </w:p>
        </w:tc>
        <w:tc>
          <w:tcPr>
            <w:tcW w:w="1680" w:type="dxa"/>
            <w:tcBorders>
              <w:top w:val="nil"/>
              <w:left w:val="nil"/>
              <w:bottom w:val="nil"/>
              <w:right w:val="nil"/>
            </w:tcBorders>
          </w:tcPr>
          <w:p w14:paraId="4FF6E455" w14:textId="77777777" w:rsidR="00E50AC7" w:rsidRPr="00701945" w:rsidRDefault="00FD3FE5" w:rsidP="00895CB4">
            <w:pPr>
              <w:jc w:val="center"/>
            </w:pPr>
            <w:r>
              <w:t>STAFF</w:t>
            </w:r>
          </w:p>
        </w:tc>
        <w:tc>
          <w:tcPr>
            <w:tcW w:w="1482" w:type="dxa"/>
            <w:tcBorders>
              <w:top w:val="nil"/>
              <w:left w:val="nil"/>
              <w:bottom w:val="nil"/>
              <w:right w:val="nil"/>
            </w:tcBorders>
          </w:tcPr>
          <w:p w14:paraId="4DA2732F" w14:textId="77777777" w:rsidR="00E50AC7" w:rsidRPr="004515FB" w:rsidRDefault="00FD3FE5" w:rsidP="00895CB4">
            <w:pPr>
              <w:jc w:val="center"/>
            </w:pPr>
            <w:r>
              <w:t>ALC-1</w:t>
            </w:r>
          </w:p>
        </w:tc>
        <w:tc>
          <w:tcPr>
            <w:tcW w:w="3205" w:type="dxa"/>
            <w:tcBorders>
              <w:top w:val="nil"/>
              <w:left w:val="nil"/>
              <w:bottom w:val="nil"/>
              <w:right w:val="nil"/>
            </w:tcBorders>
          </w:tcPr>
          <w:p w14:paraId="6C29B7E6" w14:textId="77777777" w:rsidR="00E50AC7" w:rsidRPr="00701945" w:rsidRDefault="00FD3FE5" w:rsidP="006F034C">
            <w:r>
              <w:t>List of Service Complaints</w:t>
            </w:r>
          </w:p>
        </w:tc>
      </w:tr>
      <w:tr w:rsidR="00FD3FE5" w:rsidRPr="00701945" w14:paraId="5A5EB98C" w14:textId="77777777" w:rsidTr="006F034C">
        <w:trPr>
          <w:cantSplit/>
          <w:trHeight w:val="353"/>
        </w:trPr>
        <w:tc>
          <w:tcPr>
            <w:tcW w:w="3198" w:type="dxa"/>
            <w:tcBorders>
              <w:top w:val="nil"/>
              <w:left w:val="nil"/>
              <w:bottom w:val="nil"/>
              <w:right w:val="nil"/>
            </w:tcBorders>
          </w:tcPr>
          <w:p w14:paraId="48107842" w14:textId="77777777" w:rsidR="00FD3FE5" w:rsidRDefault="00FD3FE5" w:rsidP="006F034C">
            <w:pPr>
              <w:jc w:val="both"/>
            </w:pPr>
            <w:r>
              <w:t>Angela L. Calhoun</w:t>
            </w:r>
          </w:p>
        </w:tc>
        <w:tc>
          <w:tcPr>
            <w:tcW w:w="1680" w:type="dxa"/>
            <w:tcBorders>
              <w:top w:val="nil"/>
              <w:left w:val="nil"/>
              <w:bottom w:val="nil"/>
              <w:right w:val="nil"/>
            </w:tcBorders>
          </w:tcPr>
          <w:p w14:paraId="3AE2475B" w14:textId="77777777" w:rsidR="00FD3FE5" w:rsidRDefault="00FD3FE5" w:rsidP="00895CB4">
            <w:pPr>
              <w:jc w:val="center"/>
            </w:pPr>
            <w:r>
              <w:t>STAFF</w:t>
            </w:r>
          </w:p>
        </w:tc>
        <w:tc>
          <w:tcPr>
            <w:tcW w:w="1482" w:type="dxa"/>
            <w:tcBorders>
              <w:top w:val="nil"/>
              <w:left w:val="nil"/>
              <w:bottom w:val="nil"/>
              <w:right w:val="nil"/>
            </w:tcBorders>
          </w:tcPr>
          <w:p w14:paraId="15D83D8F" w14:textId="77777777" w:rsidR="00FD3FE5" w:rsidRDefault="00FD3FE5" w:rsidP="00895CB4">
            <w:pPr>
              <w:jc w:val="center"/>
            </w:pPr>
            <w:r>
              <w:t>ALC-2</w:t>
            </w:r>
          </w:p>
        </w:tc>
        <w:tc>
          <w:tcPr>
            <w:tcW w:w="3205" w:type="dxa"/>
            <w:tcBorders>
              <w:top w:val="nil"/>
              <w:left w:val="nil"/>
              <w:bottom w:val="nil"/>
              <w:right w:val="nil"/>
            </w:tcBorders>
          </w:tcPr>
          <w:p w14:paraId="23BE6613" w14:textId="77777777" w:rsidR="00FD3FE5" w:rsidRDefault="00FD3FE5" w:rsidP="006F034C">
            <w:r>
              <w:t>List of Billing Complaints</w:t>
            </w:r>
          </w:p>
        </w:tc>
      </w:tr>
      <w:tr w:rsidR="00FD3FE5" w:rsidRPr="00701945" w14:paraId="61E87C2C" w14:textId="77777777" w:rsidTr="006F034C">
        <w:trPr>
          <w:cantSplit/>
          <w:trHeight w:val="353"/>
        </w:trPr>
        <w:tc>
          <w:tcPr>
            <w:tcW w:w="3198" w:type="dxa"/>
            <w:tcBorders>
              <w:top w:val="nil"/>
              <w:left w:val="nil"/>
              <w:bottom w:val="nil"/>
              <w:right w:val="nil"/>
            </w:tcBorders>
          </w:tcPr>
          <w:p w14:paraId="7F01171B" w14:textId="77777777" w:rsidR="00FD3FE5" w:rsidRDefault="00FD3FE5" w:rsidP="006F034C">
            <w:pPr>
              <w:jc w:val="both"/>
            </w:pPr>
            <w:r>
              <w:t>Angela L. Calhoun</w:t>
            </w:r>
          </w:p>
        </w:tc>
        <w:tc>
          <w:tcPr>
            <w:tcW w:w="1680" w:type="dxa"/>
            <w:tcBorders>
              <w:top w:val="nil"/>
              <w:left w:val="nil"/>
              <w:bottom w:val="nil"/>
              <w:right w:val="nil"/>
            </w:tcBorders>
          </w:tcPr>
          <w:p w14:paraId="67E0728C" w14:textId="77777777" w:rsidR="00FD3FE5" w:rsidRDefault="00FD3FE5" w:rsidP="00895CB4">
            <w:pPr>
              <w:jc w:val="center"/>
            </w:pPr>
            <w:r>
              <w:t>STAFF</w:t>
            </w:r>
          </w:p>
        </w:tc>
        <w:tc>
          <w:tcPr>
            <w:tcW w:w="1482" w:type="dxa"/>
            <w:tcBorders>
              <w:top w:val="nil"/>
              <w:left w:val="nil"/>
              <w:bottom w:val="nil"/>
              <w:right w:val="nil"/>
            </w:tcBorders>
          </w:tcPr>
          <w:p w14:paraId="28975BEC" w14:textId="77777777" w:rsidR="00FD3FE5" w:rsidRDefault="00FD3FE5" w:rsidP="00895CB4">
            <w:pPr>
              <w:jc w:val="center"/>
            </w:pPr>
            <w:r>
              <w:t>ALC-3</w:t>
            </w:r>
          </w:p>
        </w:tc>
        <w:tc>
          <w:tcPr>
            <w:tcW w:w="3205" w:type="dxa"/>
            <w:tcBorders>
              <w:top w:val="nil"/>
              <w:left w:val="nil"/>
              <w:bottom w:val="nil"/>
              <w:right w:val="nil"/>
            </w:tcBorders>
          </w:tcPr>
          <w:p w14:paraId="51AE3843" w14:textId="77777777" w:rsidR="00FD3FE5" w:rsidRDefault="00FD3FE5" w:rsidP="006F034C">
            <w:r>
              <w:t>List of Warm Transfer Complaints</w:t>
            </w:r>
          </w:p>
          <w:p w14:paraId="23B13FC7" w14:textId="77777777" w:rsidR="00FD3FE5" w:rsidRDefault="00FD3FE5" w:rsidP="006F034C"/>
        </w:tc>
      </w:tr>
      <w:tr w:rsidR="00E50AC7" w:rsidRPr="00701945" w14:paraId="28D15027" w14:textId="77777777" w:rsidTr="006F034C">
        <w:trPr>
          <w:cantSplit/>
          <w:trHeight w:val="353"/>
        </w:trPr>
        <w:tc>
          <w:tcPr>
            <w:tcW w:w="3198" w:type="dxa"/>
            <w:tcBorders>
              <w:top w:val="nil"/>
              <w:left w:val="nil"/>
              <w:bottom w:val="nil"/>
              <w:right w:val="nil"/>
            </w:tcBorders>
          </w:tcPr>
          <w:p w14:paraId="2EF09DBF" w14:textId="77777777" w:rsidR="00E50AC7" w:rsidRPr="00701945" w:rsidRDefault="00E50AC7" w:rsidP="006F034C">
            <w:pPr>
              <w:jc w:val="both"/>
            </w:pPr>
            <w:r w:rsidRPr="00701945">
              <w:tab/>
            </w:r>
            <w:r w:rsidRPr="00701945">
              <w:rPr>
                <w:u w:val="single"/>
              </w:rPr>
              <w:t>Rebuttal</w:t>
            </w:r>
          </w:p>
        </w:tc>
        <w:tc>
          <w:tcPr>
            <w:tcW w:w="1680" w:type="dxa"/>
            <w:tcBorders>
              <w:top w:val="nil"/>
              <w:left w:val="nil"/>
              <w:bottom w:val="nil"/>
              <w:right w:val="nil"/>
            </w:tcBorders>
          </w:tcPr>
          <w:p w14:paraId="5FE0623B" w14:textId="77777777" w:rsidR="00E50AC7" w:rsidRPr="00701945" w:rsidRDefault="00E50AC7" w:rsidP="00895CB4">
            <w:pPr>
              <w:jc w:val="center"/>
            </w:pPr>
          </w:p>
        </w:tc>
        <w:tc>
          <w:tcPr>
            <w:tcW w:w="1482" w:type="dxa"/>
            <w:tcBorders>
              <w:top w:val="nil"/>
              <w:left w:val="nil"/>
              <w:bottom w:val="nil"/>
              <w:right w:val="nil"/>
            </w:tcBorders>
          </w:tcPr>
          <w:p w14:paraId="3E2553F7" w14:textId="77777777" w:rsidR="00E50AC7" w:rsidRPr="004515FB" w:rsidRDefault="00E50AC7" w:rsidP="00895CB4">
            <w:pPr>
              <w:jc w:val="center"/>
            </w:pPr>
          </w:p>
        </w:tc>
        <w:tc>
          <w:tcPr>
            <w:tcW w:w="3205" w:type="dxa"/>
            <w:tcBorders>
              <w:top w:val="nil"/>
              <w:left w:val="nil"/>
              <w:bottom w:val="nil"/>
              <w:right w:val="nil"/>
            </w:tcBorders>
          </w:tcPr>
          <w:p w14:paraId="3912FF1A" w14:textId="77777777" w:rsidR="00E50AC7" w:rsidRPr="00701945" w:rsidRDefault="00E50AC7" w:rsidP="006F034C"/>
        </w:tc>
      </w:tr>
      <w:tr w:rsidR="00921A15" w:rsidRPr="00701945" w14:paraId="530EFB50" w14:textId="77777777" w:rsidTr="006F034C">
        <w:trPr>
          <w:cantSplit/>
          <w:trHeight w:val="726"/>
        </w:trPr>
        <w:tc>
          <w:tcPr>
            <w:tcW w:w="3198" w:type="dxa"/>
            <w:tcBorders>
              <w:top w:val="nil"/>
              <w:left w:val="nil"/>
              <w:bottom w:val="nil"/>
              <w:right w:val="nil"/>
            </w:tcBorders>
          </w:tcPr>
          <w:p w14:paraId="00FCBB7E" w14:textId="77777777" w:rsidR="00921A15" w:rsidRDefault="00921A15" w:rsidP="00921A15">
            <w:pPr>
              <w:pStyle w:val="NormalWeb"/>
            </w:pPr>
            <w:r>
              <w:t>Kurt S. Howard</w:t>
            </w:r>
          </w:p>
        </w:tc>
        <w:tc>
          <w:tcPr>
            <w:tcW w:w="1680" w:type="dxa"/>
            <w:tcBorders>
              <w:top w:val="nil"/>
              <w:left w:val="nil"/>
              <w:bottom w:val="nil"/>
              <w:right w:val="nil"/>
            </w:tcBorders>
          </w:tcPr>
          <w:p w14:paraId="7AB183A6" w14:textId="77777777" w:rsidR="00921A15" w:rsidRDefault="00921A15" w:rsidP="00895CB4">
            <w:pPr>
              <w:pStyle w:val="NormalWeb"/>
              <w:jc w:val="center"/>
            </w:pPr>
            <w:r>
              <w:t>FCG</w:t>
            </w:r>
          </w:p>
        </w:tc>
        <w:tc>
          <w:tcPr>
            <w:tcW w:w="1482" w:type="dxa"/>
            <w:tcBorders>
              <w:top w:val="nil"/>
              <w:left w:val="nil"/>
              <w:bottom w:val="nil"/>
              <w:right w:val="nil"/>
            </w:tcBorders>
          </w:tcPr>
          <w:p w14:paraId="07145DF6" w14:textId="77777777" w:rsidR="00921A15" w:rsidRDefault="00921A15" w:rsidP="00895CB4">
            <w:pPr>
              <w:pStyle w:val="NormalWeb"/>
              <w:jc w:val="center"/>
            </w:pPr>
            <w:r>
              <w:t>KSH-2</w:t>
            </w:r>
          </w:p>
        </w:tc>
        <w:tc>
          <w:tcPr>
            <w:tcW w:w="3205" w:type="dxa"/>
            <w:tcBorders>
              <w:top w:val="nil"/>
              <w:left w:val="nil"/>
              <w:bottom w:val="nil"/>
              <w:right w:val="nil"/>
            </w:tcBorders>
          </w:tcPr>
          <w:p w14:paraId="33655F8A" w14:textId="77777777" w:rsidR="00921A15" w:rsidRDefault="00921A15" w:rsidP="00921A15">
            <w:pPr>
              <w:pStyle w:val="NormalWeb"/>
            </w:pPr>
            <w:r>
              <w:t>FCG Responses to Staff Interrogatories Concerning LNG Facility Construction Status (Staff Interrogatory Nos. 78 and 79)</w:t>
            </w:r>
          </w:p>
        </w:tc>
      </w:tr>
      <w:tr w:rsidR="00921A15" w:rsidRPr="00701945" w14:paraId="62D29630" w14:textId="77777777" w:rsidTr="006F034C">
        <w:trPr>
          <w:cantSplit/>
          <w:trHeight w:val="373"/>
        </w:trPr>
        <w:tc>
          <w:tcPr>
            <w:tcW w:w="3198" w:type="dxa"/>
            <w:tcBorders>
              <w:top w:val="nil"/>
              <w:left w:val="nil"/>
              <w:bottom w:val="nil"/>
              <w:right w:val="nil"/>
            </w:tcBorders>
          </w:tcPr>
          <w:p w14:paraId="00CBFF2A" w14:textId="77777777" w:rsidR="00921A15" w:rsidRDefault="00921A15" w:rsidP="00921A15">
            <w:pPr>
              <w:pStyle w:val="NormalWeb"/>
            </w:pPr>
            <w:r>
              <w:t>Kurt S. Howard</w:t>
            </w:r>
          </w:p>
        </w:tc>
        <w:tc>
          <w:tcPr>
            <w:tcW w:w="1680" w:type="dxa"/>
            <w:tcBorders>
              <w:top w:val="nil"/>
              <w:left w:val="nil"/>
              <w:bottom w:val="nil"/>
              <w:right w:val="nil"/>
            </w:tcBorders>
          </w:tcPr>
          <w:p w14:paraId="2D088C3B" w14:textId="77777777" w:rsidR="00921A15" w:rsidRDefault="00921A15" w:rsidP="00895CB4">
            <w:pPr>
              <w:pStyle w:val="NormalWeb"/>
              <w:jc w:val="center"/>
            </w:pPr>
            <w:r>
              <w:t>FCG</w:t>
            </w:r>
          </w:p>
        </w:tc>
        <w:tc>
          <w:tcPr>
            <w:tcW w:w="1482" w:type="dxa"/>
            <w:tcBorders>
              <w:top w:val="nil"/>
              <w:left w:val="nil"/>
              <w:bottom w:val="nil"/>
              <w:right w:val="nil"/>
            </w:tcBorders>
          </w:tcPr>
          <w:p w14:paraId="3BF88016" w14:textId="77777777" w:rsidR="00921A15" w:rsidRDefault="00921A15" w:rsidP="00895CB4">
            <w:pPr>
              <w:pStyle w:val="NormalWeb"/>
              <w:jc w:val="center"/>
            </w:pPr>
            <w:r>
              <w:t>KSH-3</w:t>
            </w:r>
          </w:p>
        </w:tc>
        <w:tc>
          <w:tcPr>
            <w:tcW w:w="3205" w:type="dxa"/>
            <w:tcBorders>
              <w:top w:val="nil"/>
              <w:left w:val="nil"/>
              <w:bottom w:val="nil"/>
              <w:right w:val="nil"/>
            </w:tcBorders>
          </w:tcPr>
          <w:p w14:paraId="4756AA5D" w14:textId="77777777" w:rsidR="00921A15" w:rsidRDefault="00921A15" w:rsidP="00921A15">
            <w:pPr>
              <w:pStyle w:val="NormalWeb"/>
            </w:pPr>
            <w:r>
              <w:t>FCG Response to Staff Interrogatory Regarding the AMI Pilot (Staff Interrogatory No. 36)</w:t>
            </w:r>
          </w:p>
        </w:tc>
      </w:tr>
      <w:tr w:rsidR="00921A15" w:rsidRPr="00701945" w14:paraId="5FE391F0" w14:textId="77777777" w:rsidTr="006F034C">
        <w:trPr>
          <w:cantSplit/>
          <w:trHeight w:val="353"/>
        </w:trPr>
        <w:tc>
          <w:tcPr>
            <w:tcW w:w="3198" w:type="dxa"/>
            <w:tcBorders>
              <w:top w:val="nil"/>
              <w:left w:val="nil"/>
              <w:bottom w:val="nil"/>
              <w:right w:val="nil"/>
            </w:tcBorders>
          </w:tcPr>
          <w:p w14:paraId="43D89890" w14:textId="77777777" w:rsidR="00921A15" w:rsidRDefault="00921A15" w:rsidP="00921A15">
            <w:pPr>
              <w:pStyle w:val="NormalWeb"/>
            </w:pPr>
            <w:r>
              <w:t>Kurt S. Howard</w:t>
            </w:r>
          </w:p>
        </w:tc>
        <w:tc>
          <w:tcPr>
            <w:tcW w:w="1680" w:type="dxa"/>
            <w:tcBorders>
              <w:top w:val="nil"/>
              <w:left w:val="nil"/>
              <w:bottom w:val="nil"/>
              <w:right w:val="nil"/>
            </w:tcBorders>
          </w:tcPr>
          <w:p w14:paraId="6761A015" w14:textId="77777777" w:rsidR="00921A15" w:rsidRDefault="00921A15" w:rsidP="00895CB4">
            <w:pPr>
              <w:pStyle w:val="NormalWeb"/>
              <w:jc w:val="center"/>
            </w:pPr>
            <w:r>
              <w:t>FCG</w:t>
            </w:r>
          </w:p>
        </w:tc>
        <w:tc>
          <w:tcPr>
            <w:tcW w:w="1482" w:type="dxa"/>
            <w:tcBorders>
              <w:top w:val="nil"/>
              <w:left w:val="nil"/>
              <w:bottom w:val="nil"/>
              <w:right w:val="nil"/>
            </w:tcBorders>
          </w:tcPr>
          <w:p w14:paraId="27472251" w14:textId="77777777" w:rsidR="00921A15" w:rsidRDefault="00921A15" w:rsidP="00895CB4">
            <w:pPr>
              <w:pStyle w:val="NormalWeb"/>
              <w:jc w:val="center"/>
            </w:pPr>
            <w:r>
              <w:t>KSH-4</w:t>
            </w:r>
          </w:p>
        </w:tc>
        <w:tc>
          <w:tcPr>
            <w:tcW w:w="3205" w:type="dxa"/>
            <w:tcBorders>
              <w:top w:val="nil"/>
              <w:left w:val="nil"/>
              <w:bottom w:val="nil"/>
              <w:right w:val="nil"/>
            </w:tcBorders>
          </w:tcPr>
          <w:p w14:paraId="6EFC4B59" w14:textId="77777777" w:rsidR="00921A15" w:rsidRDefault="00921A15" w:rsidP="00921A15">
            <w:pPr>
              <w:pStyle w:val="NormalWeb"/>
            </w:pPr>
            <w:r>
              <w:t>FCG Response to OPC Interrogatory Regarding Net Plant Additions (OPC Interrogatory No. 151)</w:t>
            </w:r>
          </w:p>
        </w:tc>
      </w:tr>
      <w:tr w:rsidR="00921A15" w:rsidRPr="00701945" w14:paraId="24704CB3" w14:textId="77777777" w:rsidTr="006F034C">
        <w:trPr>
          <w:cantSplit/>
          <w:trHeight w:val="353"/>
        </w:trPr>
        <w:tc>
          <w:tcPr>
            <w:tcW w:w="3198" w:type="dxa"/>
            <w:tcBorders>
              <w:top w:val="nil"/>
              <w:left w:val="nil"/>
              <w:bottom w:val="nil"/>
              <w:right w:val="nil"/>
            </w:tcBorders>
          </w:tcPr>
          <w:p w14:paraId="386280BA" w14:textId="77777777" w:rsidR="00921A15" w:rsidRDefault="00921A15" w:rsidP="00921A15">
            <w:pPr>
              <w:pStyle w:val="NormalWeb"/>
            </w:pPr>
            <w:r>
              <w:t>Kurt S. Howard</w:t>
            </w:r>
          </w:p>
        </w:tc>
        <w:tc>
          <w:tcPr>
            <w:tcW w:w="1680" w:type="dxa"/>
            <w:tcBorders>
              <w:top w:val="nil"/>
              <w:left w:val="nil"/>
              <w:bottom w:val="nil"/>
              <w:right w:val="nil"/>
            </w:tcBorders>
          </w:tcPr>
          <w:p w14:paraId="35F11F8F" w14:textId="77777777" w:rsidR="00921A15" w:rsidRDefault="00921A15" w:rsidP="00895CB4">
            <w:pPr>
              <w:pStyle w:val="NormalWeb"/>
              <w:jc w:val="center"/>
            </w:pPr>
            <w:r>
              <w:t>FCG</w:t>
            </w:r>
          </w:p>
        </w:tc>
        <w:tc>
          <w:tcPr>
            <w:tcW w:w="1482" w:type="dxa"/>
            <w:tcBorders>
              <w:top w:val="nil"/>
              <w:left w:val="nil"/>
              <w:bottom w:val="nil"/>
              <w:right w:val="nil"/>
            </w:tcBorders>
          </w:tcPr>
          <w:p w14:paraId="7E548F6E" w14:textId="77777777" w:rsidR="00921A15" w:rsidRDefault="00921A15" w:rsidP="00895CB4">
            <w:pPr>
              <w:pStyle w:val="NormalWeb"/>
              <w:jc w:val="center"/>
            </w:pPr>
            <w:r>
              <w:t>KSH-5</w:t>
            </w:r>
          </w:p>
        </w:tc>
        <w:tc>
          <w:tcPr>
            <w:tcW w:w="3205" w:type="dxa"/>
            <w:tcBorders>
              <w:top w:val="nil"/>
              <w:left w:val="nil"/>
              <w:bottom w:val="nil"/>
              <w:right w:val="nil"/>
            </w:tcBorders>
          </w:tcPr>
          <w:p w14:paraId="0D0F710A" w14:textId="77777777" w:rsidR="00921A15" w:rsidRDefault="00921A15" w:rsidP="00921A15">
            <w:pPr>
              <w:pStyle w:val="NormalWeb"/>
            </w:pPr>
            <w:r>
              <w:t>FCG Responses to OPC Interrogatories Regarding Headcount and Payroll (OPC Interrogatory Nos. 150 and 170)</w:t>
            </w:r>
          </w:p>
        </w:tc>
      </w:tr>
      <w:tr w:rsidR="00921A15" w:rsidRPr="00701945" w14:paraId="3DF23F82" w14:textId="77777777" w:rsidTr="006F034C">
        <w:trPr>
          <w:cantSplit/>
          <w:trHeight w:val="373"/>
        </w:trPr>
        <w:tc>
          <w:tcPr>
            <w:tcW w:w="3198" w:type="dxa"/>
            <w:tcBorders>
              <w:top w:val="nil"/>
              <w:left w:val="nil"/>
              <w:bottom w:val="nil"/>
              <w:right w:val="nil"/>
            </w:tcBorders>
          </w:tcPr>
          <w:p w14:paraId="033B2E1F" w14:textId="77777777" w:rsidR="00921A15" w:rsidRDefault="00921A15" w:rsidP="00921A15">
            <w:pPr>
              <w:pStyle w:val="NormalWeb"/>
            </w:pPr>
            <w:r>
              <w:t>Mark Campbell</w:t>
            </w:r>
          </w:p>
        </w:tc>
        <w:tc>
          <w:tcPr>
            <w:tcW w:w="1680" w:type="dxa"/>
            <w:tcBorders>
              <w:top w:val="nil"/>
              <w:left w:val="nil"/>
              <w:bottom w:val="nil"/>
              <w:right w:val="nil"/>
            </w:tcBorders>
          </w:tcPr>
          <w:p w14:paraId="10650C7E" w14:textId="77777777" w:rsidR="00921A15" w:rsidRDefault="00921A15" w:rsidP="00895CB4">
            <w:pPr>
              <w:pStyle w:val="NormalWeb"/>
              <w:jc w:val="center"/>
            </w:pPr>
            <w:r>
              <w:t>FCG</w:t>
            </w:r>
          </w:p>
        </w:tc>
        <w:tc>
          <w:tcPr>
            <w:tcW w:w="1482" w:type="dxa"/>
            <w:tcBorders>
              <w:top w:val="nil"/>
              <w:left w:val="nil"/>
              <w:bottom w:val="nil"/>
              <w:right w:val="nil"/>
            </w:tcBorders>
          </w:tcPr>
          <w:p w14:paraId="0F9CFE38" w14:textId="77777777" w:rsidR="00921A15" w:rsidRDefault="00921A15" w:rsidP="00895CB4">
            <w:pPr>
              <w:pStyle w:val="NormalWeb"/>
              <w:jc w:val="center"/>
            </w:pPr>
            <w:r>
              <w:t>MC-7</w:t>
            </w:r>
          </w:p>
        </w:tc>
        <w:tc>
          <w:tcPr>
            <w:tcW w:w="3205" w:type="dxa"/>
            <w:tcBorders>
              <w:top w:val="nil"/>
              <w:left w:val="nil"/>
              <w:bottom w:val="nil"/>
              <w:right w:val="nil"/>
            </w:tcBorders>
          </w:tcPr>
          <w:p w14:paraId="14D1568E" w14:textId="77777777" w:rsidR="00921A15" w:rsidRDefault="00921A15" w:rsidP="00921A15">
            <w:pPr>
              <w:pStyle w:val="NormalWeb"/>
            </w:pPr>
            <w:r w:rsidRPr="00871512">
              <w:t>2024 to 2026 Revenue Requirements</w:t>
            </w:r>
          </w:p>
        </w:tc>
      </w:tr>
      <w:tr w:rsidR="00921A15" w:rsidRPr="00701945" w14:paraId="43BD02C5" w14:textId="77777777" w:rsidTr="006F034C">
        <w:trPr>
          <w:cantSplit/>
          <w:trHeight w:val="353"/>
        </w:trPr>
        <w:tc>
          <w:tcPr>
            <w:tcW w:w="3198" w:type="dxa"/>
            <w:tcBorders>
              <w:top w:val="nil"/>
              <w:left w:val="nil"/>
              <w:bottom w:val="nil"/>
              <w:right w:val="nil"/>
            </w:tcBorders>
          </w:tcPr>
          <w:p w14:paraId="117B215E" w14:textId="77777777" w:rsidR="00921A15" w:rsidRDefault="00921A15" w:rsidP="00921A15">
            <w:pPr>
              <w:pStyle w:val="NormalWeb"/>
            </w:pPr>
            <w:r>
              <w:t>Mark Campbell</w:t>
            </w:r>
          </w:p>
        </w:tc>
        <w:tc>
          <w:tcPr>
            <w:tcW w:w="1680" w:type="dxa"/>
            <w:tcBorders>
              <w:top w:val="nil"/>
              <w:left w:val="nil"/>
              <w:bottom w:val="nil"/>
              <w:right w:val="nil"/>
            </w:tcBorders>
          </w:tcPr>
          <w:p w14:paraId="3BBBBD09" w14:textId="77777777" w:rsidR="00921A15" w:rsidRDefault="00921A15" w:rsidP="00895CB4">
            <w:pPr>
              <w:pStyle w:val="NormalWeb"/>
              <w:jc w:val="center"/>
            </w:pPr>
            <w:r>
              <w:t>FCG</w:t>
            </w:r>
          </w:p>
        </w:tc>
        <w:tc>
          <w:tcPr>
            <w:tcW w:w="1482" w:type="dxa"/>
            <w:tcBorders>
              <w:top w:val="nil"/>
              <w:left w:val="nil"/>
              <w:bottom w:val="nil"/>
              <w:right w:val="nil"/>
            </w:tcBorders>
          </w:tcPr>
          <w:p w14:paraId="2C4FCA5A" w14:textId="77777777" w:rsidR="00921A15" w:rsidRDefault="00921A15" w:rsidP="00895CB4">
            <w:pPr>
              <w:pStyle w:val="NormalWeb"/>
              <w:jc w:val="center"/>
            </w:pPr>
            <w:r>
              <w:t>MC-8</w:t>
            </w:r>
          </w:p>
        </w:tc>
        <w:tc>
          <w:tcPr>
            <w:tcW w:w="3205" w:type="dxa"/>
            <w:tcBorders>
              <w:top w:val="nil"/>
              <w:left w:val="nil"/>
              <w:bottom w:val="nil"/>
              <w:right w:val="nil"/>
            </w:tcBorders>
          </w:tcPr>
          <w:p w14:paraId="0C12AE7F" w14:textId="77777777" w:rsidR="00921A15" w:rsidRDefault="00921A15" w:rsidP="00921A15">
            <w:pPr>
              <w:pStyle w:val="NormalWeb"/>
            </w:pPr>
            <w:r>
              <w:t>Excerpts from the Florida Public Service Commission Staff Supreme Court Brief in Case Nos. SC21-1761 and SC22-12</w:t>
            </w:r>
          </w:p>
        </w:tc>
      </w:tr>
      <w:tr w:rsidR="00921A15" w:rsidRPr="00701945" w14:paraId="2DE9A8CD" w14:textId="77777777" w:rsidTr="006F034C">
        <w:trPr>
          <w:cantSplit/>
          <w:trHeight w:val="373"/>
        </w:trPr>
        <w:tc>
          <w:tcPr>
            <w:tcW w:w="3198" w:type="dxa"/>
            <w:tcBorders>
              <w:top w:val="nil"/>
              <w:left w:val="nil"/>
              <w:bottom w:val="nil"/>
              <w:right w:val="nil"/>
            </w:tcBorders>
          </w:tcPr>
          <w:p w14:paraId="45202817" w14:textId="77777777" w:rsidR="00921A15" w:rsidRDefault="00921A15" w:rsidP="00921A15">
            <w:pPr>
              <w:pStyle w:val="NormalWeb"/>
            </w:pPr>
            <w:r>
              <w:t>Mark Campbell</w:t>
            </w:r>
          </w:p>
        </w:tc>
        <w:tc>
          <w:tcPr>
            <w:tcW w:w="1680" w:type="dxa"/>
            <w:tcBorders>
              <w:top w:val="nil"/>
              <w:left w:val="nil"/>
              <w:bottom w:val="nil"/>
              <w:right w:val="nil"/>
            </w:tcBorders>
          </w:tcPr>
          <w:p w14:paraId="7DAEE31A" w14:textId="77777777" w:rsidR="00921A15" w:rsidRDefault="00921A15" w:rsidP="00895CB4">
            <w:pPr>
              <w:pStyle w:val="NormalWeb"/>
              <w:jc w:val="center"/>
            </w:pPr>
            <w:r>
              <w:t>FCG</w:t>
            </w:r>
          </w:p>
        </w:tc>
        <w:tc>
          <w:tcPr>
            <w:tcW w:w="1482" w:type="dxa"/>
            <w:tcBorders>
              <w:top w:val="nil"/>
              <w:left w:val="nil"/>
              <w:bottom w:val="nil"/>
              <w:right w:val="nil"/>
            </w:tcBorders>
          </w:tcPr>
          <w:p w14:paraId="394B5A1A" w14:textId="77777777" w:rsidR="00921A15" w:rsidRDefault="00921A15" w:rsidP="00895CB4">
            <w:pPr>
              <w:pStyle w:val="NormalWeb"/>
              <w:jc w:val="center"/>
            </w:pPr>
            <w:r>
              <w:t>MC-9</w:t>
            </w:r>
          </w:p>
        </w:tc>
        <w:tc>
          <w:tcPr>
            <w:tcW w:w="3205" w:type="dxa"/>
            <w:tcBorders>
              <w:top w:val="nil"/>
              <w:left w:val="nil"/>
              <w:bottom w:val="nil"/>
              <w:right w:val="nil"/>
            </w:tcBorders>
          </w:tcPr>
          <w:p w14:paraId="1ACC6273" w14:textId="77777777" w:rsidR="00921A15" w:rsidRDefault="00921A15" w:rsidP="00921A15">
            <w:pPr>
              <w:pStyle w:val="NormalWeb"/>
            </w:pPr>
            <w:r>
              <w:t>FCG’s Responses to Staff Request for Production of Documents No. 11 and Interrogatories No. 64, 65, 71, and 73</w:t>
            </w:r>
          </w:p>
        </w:tc>
      </w:tr>
      <w:tr w:rsidR="00921A15" w:rsidRPr="00701945" w14:paraId="17429D93" w14:textId="77777777" w:rsidTr="006F034C">
        <w:trPr>
          <w:cantSplit/>
          <w:trHeight w:val="373"/>
        </w:trPr>
        <w:tc>
          <w:tcPr>
            <w:tcW w:w="3198" w:type="dxa"/>
            <w:tcBorders>
              <w:top w:val="nil"/>
              <w:left w:val="nil"/>
              <w:bottom w:val="nil"/>
              <w:right w:val="nil"/>
            </w:tcBorders>
          </w:tcPr>
          <w:p w14:paraId="77FD7DD6" w14:textId="77777777" w:rsidR="00921A15" w:rsidRDefault="00921A15" w:rsidP="00921A15">
            <w:pPr>
              <w:pStyle w:val="NormalWeb"/>
            </w:pPr>
            <w:r>
              <w:t>Mark Campbell</w:t>
            </w:r>
          </w:p>
        </w:tc>
        <w:tc>
          <w:tcPr>
            <w:tcW w:w="1680" w:type="dxa"/>
            <w:tcBorders>
              <w:top w:val="nil"/>
              <w:left w:val="nil"/>
              <w:bottom w:val="nil"/>
              <w:right w:val="nil"/>
            </w:tcBorders>
          </w:tcPr>
          <w:p w14:paraId="52D171E1" w14:textId="77777777" w:rsidR="00921A15" w:rsidRDefault="00921A15" w:rsidP="00895CB4">
            <w:pPr>
              <w:pStyle w:val="NormalWeb"/>
              <w:jc w:val="center"/>
            </w:pPr>
            <w:r>
              <w:t>FCG</w:t>
            </w:r>
          </w:p>
        </w:tc>
        <w:tc>
          <w:tcPr>
            <w:tcW w:w="1482" w:type="dxa"/>
            <w:tcBorders>
              <w:top w:val="nil"/>
              <w:left w:val="nil"/>
              <w:bottom w:val="nil"/>
              <w:right w:val="nil"/>
            </w:tcBorders>
          </w:tcPr>
          <w:p w14:paraId="480A9762" w14:textId="77777777" w:rsidR="00921A15" w:rsidRDefault="00921A15" w:rsidP="00895CB4">
            <w:pPr>
              <w:pStyle w:val="NormalWeb"/>
              <w:jc w:val="center"/>
            </w:pPr>
            <w:r>
              <w:t>MC-10</w:t>
            </w:r>
          </w:p>
        </w:tc>
        <w:tc>
          <w:tcPr>
            <w:tcW w:w="3205" w:type="dxa"/>
            <w:tcBorders>
              <w:top w:val="nil"/>
              <w:left w:val="nil"/>
              <w:bottom w:val="nil"/>
              <w:right w:val="nil"/>
            </w:tcBorders>
          </w:tcPr>
          <w:p w14:paraId="595E71DA" w14:textId="77777777" w:rsidR="00921A15" w:rsidRDefault="00921A15" w:rsidP="00921A15">
            <w:pPr>
              <w:pStyle w:val="NormalWeb"/>
            </w:pPr>
            <w:r w:rsidRPr="0055062C">
              <w:t>Florida Public Service Commission 2021 Regulatory Plan</w:t>
            </w:r>
          </w:p>
        </w:tc>
      </w:tr>
      <w:tr w:rsidR="00921A15" w:rsidRPr="00701945" w14:paraId="50246CD2" w14:textId="77777777" w:rsidTr="006F034C">
        <w:trPr>
          <w:cantSplit/>
          <w:trHeight w:val="373"/>
        </w:trPr>
        <w:tc>
          <w:tcPr>
            <w:tcW w:w="3198" w:type="dxa"/>
            <w:tcBorders>
              <w:top w:val="nil"/>
              <w:left w:val="nil"/>
              <w:bottom w:val="nil"/>
              <w:right w:val="nil"/>
            </w:tcBorders>
          </w:tcPr>
          <w:p w14:paraId="71A3E106" w14:textId="77777777" w:rsidR="00921A15" w:rsidRDefault="00921A15" w:rsidP="00921A15">
            <w:pPr>
              <w:pStyle w:val="NormalWeb"/>
            </w:pPr>
            <w:r>
              <w:t>Liz Fuentes</w:t>
            </w:r>
          </w:p>
        </w:tc>
        <w:tc>
          <w:tcPr>
            <w:tcW w:w="1680" w:type="dxa"/>
            <w:tcBorders>
              <w:top w:val="nil"/>
              <w:left w:val="nil"/>
              <w:bottom w:val="nil"/>
              <w:right w:val="nil"/>
            </w:tcBorders>
          </w:tcPr>
          <w:p w14:paraId="36FC8E1A" w14:textId="77777777" w:rsidR="00921A15" w:rsidRDefault="00921A15" w:rsidP="00895CB4">
            <w:pPr>
              <w:pStyle w:val="NormalWeb"/>
              <w:jc w:val="center"/>
            </w:pPr>
            <w:r>
              <w:t>FCG</w:t>
            </w:r>
          </w:p>
        </w:tc>
        <w:tc>
          <w:tcPr>
            <w:tcW w:w="1482" w:type="dxa"/>
            <w:tcBorders>
              <w:top w:val="nil"/>
              <w:left w:val="nil"/>
              <w:bottom w:val="nil"/>
              <w:right w:val="nil"/>
            </w:tcBorders>
          </w:tcPr>
          <w:p w14:paraId="11E45D14" w14:textId="77777777" w:rsidR="00921A15" w:rsidRDefault="00921A15" w:rsidP="00895CB4">
            <w:pPr>
              <w:pStyle w:val="NormalWeb"/>
              <w:jc w:val="center"/>
            </w:pPr>
            <w:r>
              <w:t>LF-7</w:t>
            </w:r>
          </w:p>
        </w:tc>
        <w:tc>
          <w:tcPr>
            <w:tcW w:w="3205" w:type="dxa"/>
            <w:tcBorders>
              <w:top w:val="nil"/>
              <w:left w:val="nil"/>
              <w:bottom w:val="nil"/>
              <w:right w:val="nil"/>
            </w:tcBorders>
          </w:tcPr>
          <w:p w14:paraId="00D395BF" w14:textId="77777777" w:rsidR="00921A15" w:rsidRDefault="00921A15" w:rsidP="00921A15">
            <w:pPr>
              <w:pStyle w:val="NormalWeb"/>
            </w:pPr>
            <w:r w:rsidRPr="00824006">
              <w:t>Revised Rate Case Expenses</w:t>
            </w:r>
          </w:p>
        </w:tc>
      </w:tr>
      <w:tr w:rsidR="00921A15" w:rsidRPr="00701945" w14:paraId="1479C24B" w14:textId="77777777" w:rsidTr="006F034C">
        <w:trPr>
          <w:cantSplit/>
          <w:trHeight w:val="373"/>
        </w:trPr>
        <w:tc>
          <w:tcPr>
            <w:tcW w:w="3198" w:type="dxa"/>
            <w:tcBorders>
              <w:top w:val="nil"/>
              <w:left w:val="nil"/>
              <w:bottom w:val="nil"/>
              <w:right w:val="nil"/>
            </w:tcBorders>
          </w:tcPr>
          <w:p w14:paraId="206F831E" w14:textId="77777777" w:rsidR="00921A15" w:rsidRDefault="00921A15" w:rsidP="00921A15">
            <w:pPr>
              <w:pStyle w:val="NormalWeb"/>
            </w:pPr>
            <w:r>
              <w:t>Liz Fuentes</w:t>
            </w:r>
          </w:p>
        </w:tc>
        <w:tc>
          <w:tcPr>
            <w:tcW w:w="1680" w:type="dxa"/>
            <w:tcBorders>
              <w:top w:val="nil"/>
              <w:left w:val="nil"/>
              <w:bottom w:val="nil"/>
              <w:right w:val="nil"/>
            </w:tcBorders>
          </w:tcPr>
          <w:p w14:paraId="7105D822" w14:textId="77777777" w:rsidR="00921A15" w:rsidRDefault="00921A15" w:rsidP="00895CB4">
            <w:pPr>
              <w:pStyle w:val="NormalWeb"/>
              <w:jc w:val="center"/>
            </w:pPr>
            <w:r>
              <w:t>FCG</w:t>
            </w:r>
          </w:p>
        </w:tc>
        <w:tc>
          <w:tcPr>
            <w:tcW w:w="1482" w:type="dxa"/>
            <w:tcBorders>
              <w:top w:val="nil"/>
              <w:left w:val="nil"/>
              <w:bottom w:val="nil"/>
              <w:right w:val="nil"/>
            </w:tcBorders>
          </w:tcPr>
          <w:p w14:paraId="08418013" w14:textId="77777777" w:rsidR="00921A15" w:rsidRDefault="00921A15" w:rsidP="00895CB4">
            <w:pPr>
              <w:pStyle w:val="NormalWeb"/>
              <w:jc w:val="center"/>
            </w:pPr>
            <w:r>
              <w:t>LF-8</w:t>
            </w:r>
          </w:p>
        </w:tc>
        <w:tc>
          <w:tcPr>
            <w:tcW w:w="3205" w:type="dxa"/>
            <w:tcBorders>
              <w:top w:val="nil"/>
              <w:left w:val="nil"/>
              <w:bottom w:val="nil"/>
              <w:right w:val="nil"/>
            </w:tcBorders>
          </w:tcPr>
          <w:p w14:paraId="53DB05C9" w14:textId="77777777" w:rsidR="00921A15" w:rsidRDefault="00921A15" w:rsidP="00921A15">
            <w:pPr>
              <w:pStyle w:val="NormalWeb"/>
            </w:pPr>
            <w:r w:rsidRPr="009209AC">
              <w:t>FCG Responses to OPC Discovery</w:t>
            </w:r>
            <w:r>
              <w:t xml:space="preserve"> in Docket No. 20220069-GU</w:t>
            </w:r>
          </w:p>
        </w:tc>
      </w:tr>
      <w:tr w:rsidR="00921A15" w:rsidRPr="00701945" w14:paraId="3FD6AF21" w14:textId="77777777" w:rsidTr="006F034C">
        <w:trPr>
          <w:cantSplit/>
          <w:trHeight w:val="373"/>
        </w:trPr>
        <w:tc>
          <w:tcPr>
            <w:tcW w:w="3198" w:type="dxa"/>
            <w:tcBorders>
              <w:top w:val="nil"/>
              <w:left w:val="nil"/>
              <w:bottom w:val="nil"/>
              <w:right w:val="nil"/>
            </w:tcBorders>
          </w:tcPr>
          <w:p w14:paraId="1E1F7BA8" w14:textId="77777777" w:rsidR="00921A15" w:rsidRDefault="00921A15" w:rsidP="00921A15">
            <w:pPr>
              <w:pStyle w:val="NormalWeb"/>
            </w:pPr>
            <w:r>
              <w:t>Liz Fuentes</w:t>
            </w:r>
          </w:p>
          <w:p w14:paraId="38D7AFA7" w14:textId="77777777" w:rsidR="00921A15" w:rsidRDefault="00921A15" w:rsidP="00921A15">
            <w:pPr>
              <w:pStyle w:val="NormalWeb"/>
              <w:spacing w:before="0" w:beforeAutospacing="0" w:after="0" w:afterAutospacing="0"/>
            </w:pPr>
          </w:p>
        </w:tc>
        <w:tc>
          <w:tcPr>
            <w:tcW w:w="1680" w:type="dxa"/>
            <w:tcBorders>
              <w:top w:val="nil"/>
              <w:left w:val="nil"/>
              <w:bottom w:val="nil"/>
              <w:right w:val="nil"/>
            </w:tcBorders>
          </w:tcPr>
          <w:p w14:paraId="457A686B" w14:textId="77777777" w:rsidR="00921A15" w:rsidRDefault="00921A15" w:rsidP="00895CB4">
            <w:pPr>
              <w:pStyle w:val="NormalWeb"/>
              <w:jc w:val="center"/>
            </w:pPr>
            <w:r>
              <w:t>FCG</w:t>
            </w:r>
          </w:p>
        </w:tc>
        <w:tc>
          <w:tcPr>
            <w:tcW w:w="1482" w:type="dxa"/>
            <w:tcBorders>
              <w:top w:val="nil"/>
              <w:left w:val="nil"/>
              <w:bottom w:val="nil"/>
              <w:right w:val="nil"/>
            </w:tcBorders>
          </w:tcPr>
          <w:p w14:paraId="0404A70B" w14:textId="77777777" w:rsidR="00921A15" w:rsidRDefault="00921A15" w:rsidP="00895CB4">
            <w:pPr>
              <w:pStyle w:val="NormalWeb"/>
              <w:jc w:val="center"/>
            </w:pPr>
            <w:r>
              <w:t>LF-9</w:t>
            </w:r>
          </w:p>
        </w:tc>
        <w:tc>
          <w:tcPr>
            <w:tcW w:w="3205" w:type="dxa"/>
            <w:tcBorders>
              <w:top w:val="nil"/>
              <w:left w:val="nil"/>
              <w:bottom w:val="nil"/>
              <w:right w:val="nil"/>
            </w:tcBorders>
          </w:tcPr>
          <w:p w14:paraId="41890020" w14:textId="77777777" w:rsidR="00921A15" w:rsidRDefault="00921A15" w:rsidP="00921A15">
            <w:pPr>
              <w:pStyle w:val="NormalWeb"/>
            </w:pPr>
            <w:r>
              <w:t>OPC’s Proposed Adjustments to Rate Base and Net Operating Income in Docket No. 20170179-GU</w:t>
            </w:r>
          </w:p>
        </w:tc>
      </w:tr>
      <w:tr w:rsidR="00921A15" w:rsidRPr="00701945" w14:paraId="71019C3F" w14:textId="77777777" w:rsidTr="006F034C">
        <w:trPr>
          <w:cantSplit/>
          <w:trHeight w:val="373"/>
        </w:trPr>
        <w:tc>
          <w:tcPr>
            <w:tcW w:w="3198" w:type="dxa"/>
            <w:tcBorders>
              <w:top w:val="nil"/>
              <w:left w:val="nil"/>
              <w:bottom w:val="nil"/>
              <w:right w:val="nil"/>
            </w:tcBorders>
          </w:tcPr>
          <w:p w14:paraId="2A096739" w14:textId="77777777" w:rsidR="00921A15" w:rsidRDefault="00921A15" w:rsidP="00921A15">
            <w:pPr>
              <w:pStyle w:val="NormalWeb"/>
              <w:spacing w:before="0" w:beforeAutospacing="0" w:after="0" w:afterAutospacing="0"/>
            </w:pPr>
            <w:r>
              <w:t>Liz Fuentes;</w:t>
            </w:r>
          </w:p>
          <w:p w14:paraId="45C9AE34" w14:textId="77777777" w:rsidR="00921A15" w:rsidRDefault="00921A15" w:rsidP="00921A15">
            <w:pPr>
              <w:pStyle w:val="NormalWeb"/>
              <w:spacing w:before="0" w:beforeAutospacing="0" w:after="0" w:afterAutospacing="0"/>
            </w:pPr>
            <w:r>
              <w:t>Tara B. DuBose;</w:t>
            </w:r>
          </w:p>
          <w:p w14:paraId="652CD914" w14:textId="77777777" w:rsidR="00921A15" w:rsidRDefault="00921A15" w:rsidP="00921A15">
            <w:pPr>
              <w:pStyle w:val="NormalWeb"/>
              <w:spacing w:before="0" w:beforeAutospacing="0" w:after="0" w:afterAutospacing="0"/>
            </w:pPr>
            <w:r>
              <w:t>Kurt S. Howard</w:t>
            </w:r>
          </w:p>
        </w:tc>
        <w:tc>
          <w:tcPr>
            <w:tcW w:w="1680" w:type="dxa"/>
            <w:tcBorders>
              <w:top w:val="nil"/>
              <w:left w:val="nil"/>
              <w:bottom w:val="nil"/>
              <w:right w:val="nil"/>
            </w:tcBorders>
          </w:tcPr>
          <w:p w14:paraId="0490CC74" w14:textId="77777777" w:rsidR="00921A15" w:rsidRDefault="00921A15" w:rsidP="00895CB4">
            <w:pPr>
              <w:pStyle w:val="NormalWeb"/>
              <w:jc w:val="center"/>
            </w:pPr>
            <w:r>
              <w:t>FCG</w:t>
            </w:r>
          </w:p>
        </w:tc>
        <w:tc>
          <w:tcPr>
            <w:tcW w:w="1482" w:type="dxa"/>
            <w:tcBorders>
              <w:top w:val="nil"/>
              <w:left w:val="nil"/>
              <w:bottom w:val="nil"/>
              <w:right w:val="nil"/>
            </w:tcBorders>
          </w:tcPr>
          <w:p w14:paraId="42003F1B" w14:textId="77777777" w:rsidR="00921A15" w:rsidRDefault="00921A15" w:rsidP="00895CB4">
            <w:pPr>
              <w:pStyle w:val="NormalWeb"/>
              <w:jc w:val="center"/>
            </w:pPr>
            <w:r>
              <w:t>LF-10</w:t>
            </w:r>
          </w:p>
        </w:tc>
        <w:tc>
          <w:tcPr>
            <w:tcW w:w="3205" w:type="dxa"/>
            <w:tcBorders>
              <w:top w:val="nil"/>
              <w:left w:val="nil"/>
              <w:bottom w:val="nil"/>
              <w:right w:val="nil"/>
            </w:tcBorders>
          </w:tcPr>
          <w:p w14:paraId="1E81B4CB" w14:textId="77777777" w:rsidR="00921A15" w:rsidRDefault="00921A15" w:rsidP="00921A15">
            <w:pPr>
              <w:pStyle w:val="NormalWeb"/>
            </w:pPr>
            <w:r>
              <w:t>FCG’s Notice of Identified Adjustments filed August 16, 2022</w:t>
            </w:r>
          </w:p>
        </w:tc>
      </w:tr>
      <w:tr w:rsidR="00921A15" w:rsidRPr="00701945" w14:paraId="37499787" w14:textId="77777777" w:rsidTr="006F034C">
        <w:trPr>
          <w:cantSplit/>
          <w:trHeight w:val="373"/>
        </w:trPr>
        <w:tc>
          <w:tcPr>
            <w:tcW w:w="3198" w:type="dxa"/>
            <w:tcBorders>
              <w:top w:val="nil"/>
              <w:left w:val="nil"/>
              <w:bottom w:val="nil"/>
              <w:right w:val="nil"/>
            </w:tcBorders>
          </w:tcPr>
          <w:p w14:paraId="65D4082F" w14:textId="77777777" w:rsidR="00921A15" w:rsidRDefault="00921A15" w:rsidP="00921A15">
            <w:pPr>
              <w:pStyle w:val="NormalWeb"/>
            </w:pPr>
            <w:r>
              <w:t>Liz Fuentes</w:t>
            </w:r>
          </w:p>
        </w:tc>
        <w:tc>
          <w:tcPr>
            <w:tcW w:w="1680" w:type="dxa"/>
            <w:tcBorders>
              <w:top w:val="nil"/>
              <w:left w:val="nil"/>
              <w:bottom w:val="nil"/>
              <w:right w:val="nil"/>
            </w:tcBorders>
          </w:tcPr>
          <w:p w14:paraId="124AD11D" w14:textId="77777777" w:rsidR="00921A15" w:rsidRDefault="00921A15" w:rsidP="00895CB4">
            <w:pPr>
              <w:pStyle w:val="NormalWeb"/>
              <w:jc w:val="center"/>
            </w:pPr>
            <w:r>
              <w:t>FCG</w:t>
            </w:r>
          </w:p>
        </w:tc>
        <w:tc>
          <w:tcPr>
            <w:tcW w:w="1482" w:type="dxa"/>
            <w:tcBorders>
              <w:top w:val="nil"/>
              <w:left w:val="nil"/>
              <w:bottom w:val="nil"/>
              <w:right w:val="nil"/>
            </w:tcBorders>
          </w:tcPr>
          <w:p w14:paraId="5B44F770" w14:textId="77777777" w:rsidR="00921A15" w:rsidRDefault="00921A15" w:rsidP="00895CB4">
            <w:pPr>
              <w:pStyle w:val="NormalWeb"/>
              <w:jc w:val="center"/>
            </w:pPr>
            <w:r>
              <w:t>LF-11</w:t>
            </w:r>
          </w:p>
        </w:tc>
        <w:tc>
          <w:tcPr>
            <w:tcW w:w="3205" w:type="dxa"/>
            <w:tcBorders>
              <w:top w:val="nil"/>
              <w:left w:val="nil"/>
              <w:bottom w:val="nil"/>
              <w:right w:val="nil"/>
            </w:tcBorders>
          </w:tcPr>
          <w:p w14:paraId="7FD55C79" w14:textId="77777777" w:rsidR="00921A15" w:rsidRDefault="00921A15" w:rsidP="00921A15">
            <w:pPr>
              <w:pStyle w:val="NormalWeb"/>
            </w:pPr>
            <w:r w:rsidRPr="00F023B5">
              <w:t>2023 Test Year Recalculated Revenue</w:t>
            </w:r>
            <w:r>
              <w:t xml:space="preserve"> Requirements with RSAM</w:t>
            </w:r>
          </w:p>
        </w:tc>
      </w:tr>
      <w:tr w:rsidR="00921A15" w:rsidRPr="00701945" w14:paraId="73A75844" w14:textId="77777777" w:rsidTr="006F034C">
        <w:trPr>
          <w:cantSplit/>
          <w:trHeight w:val="373"/>
        </w:trPr>
        <w:tc>
          <w:tcPr>
            <w:tcW w:w="3198" w:type="dxa"/>
            <w:tcBorders>
              <w:top w:val="nil"/>
              <w:left w:val="nil"/>
              <w:bottom w:val="nil"/>
              <w:right w:val="nil"/>
            </w:tcBorders>
          </w:tcPr>
          <w:p w14:paraId="1D46DC67" w14:textId="77777777" w:rsidR="00921A15" w:rsidRDefault="00921A15" w:rsidP="00921A15">
            <w:pPr>
              <w:pStyle w:val="NormalWeb"/>
            </w:pPr>
            <w:r>
              <w:t>Liz Fuentes</w:t>
            </w:r>
          </w:p>
        </w:tc>
        <w:tc>
          <w:tcPr>
            <w:tcW w:w="1680" w:type="dxa"/>
            <w:tcBorders>
              <w:top w:val="nil"/>
              <w:left w:val="nil"/>
              <w:bottom w:val="nil"/>
              <w:right w:val="nil"/>
            </w:tcBorders>
          </w:tcPr>
          <w:p w14:paraId="42822466" w14:textId="77777777" w:rsidR="00921A15" w:rsidRDefault="00921A15" w:rsidP="00895CB4">
            <w:pPr>
              <w:pStyle w:val="NormalWeb"/>
              <w:jc w:val="center"/>
            </w:pPr>
            <w:r>
              <w:t>FCG</w:t>
            </w:r>
          </w:p>
        </w:tc>
        <w:tc>
          <w:tcPr>
            <w:tcW w:w="1482" w:type="dxa"/>
            <w:tcBorders>
              <w:top w:val="nil"/>
              <w:left w:val="nil"/>
              <w:bottom w:val="nil"/>
              <w:right w:val="nil"/>
            </w:tcBorders>
          </w:tcPr>
          <w:p w14:paraId="15BB33C0" w14:textId="77777777" w:rsidR="00921A15" w:rsidRDefault="00921A15" w:rsidP="00895CB4">
            <w:pPr>
              <w:pStyle w:val="NormalWeb"/>
              <w:jc w:val="center"/>
            </w:pPr>
            <w:r>
              <w:t>LF-12</w:t>
            </w:r>
          </w:p>
        </w:tc>
        <w:tc>
          <w:tcPr>
            <w:tcW w:w="3205" w:type="dxa"/>
            <w:tcBorders>
              <w:top w:val="nil"/>
              <w:left w:val="nil"/>
              <w:bottom w:val="nil"/>
              <w:right w:val="nil"/>
            </w:tcBorders>
          </w:tcPr>
          <w:p w14:paraId="49BD064B" w14:textId="77777777" w:rsidR="00921A15" w:rsidRDefault="00921A15" w:rsidP="00921A15">
            <w:pPr>
              <w:pStyle w:val="NormalWeb"/>
            </w:pPr>
            <w:r>
              <w:t>2023 Test Year Recalculated Revenue Requirements without RSAM</w:t>
            </w:r>
          </w:p>
        </w:tc>
      </w:tr>
      <w:tr w:rsidR="00921A15" w:rsidRPr="00701945" w14:paraId="2C0904B8" w14:textId="77777777" w:rsidTr="006F034C">
        <w:trPr>
          <w:cantSplit/>
          <w:trHeight w:val="373"/>
        </w:trPr>
        <w:tc>
          <w:tcPr>
            <w:tcW w:w="3198" w:type="dxa"/>
            <w:tcBorders>
              <w:top w:val="nil"/>
              <w:left w:val="nil"/>
              <w:bottom w:val="nil"/>
              <w:right w:val="nil"/>
            </w:tcBorders>
          </w:tcPr>
          <w:p w14:paraId="75F20D8E" w14:textId="77777777" w:rsidR="00921A15" w:rsidRDefault="00921A15" w:rsidP="00921A15">
            <w:pPr>
              <w:pStyle w:val="NormalWeb"/>
            </w:pPr>
            <w:r>
              <w:t>Ned W. Allis</w:t>
            </w:r>
          </w:p>
        </w:tc>
        <w:tc>
          <w:tcPr>
            <w:tcW w:w="1680" w:type="dxa"/>
            <w:tcBorders>
              <w:top w:val="nil"/>
              <w:left w:val="nil"/>
              <w:bottom w:val="nil"/>
              <w:right w:val="nil"/>
            </w:tcBorders>
          </w:tcPr>
          <w:p w14:paraId="61FEED4E" w14:textId="77777777" w:rsidR="00921A15" w:rsidRDefault="00921A15" w:rsidP="00895CB4">
            <w:pPr>
              <w:pStyle w:val="NormalWeb"/>
              <w:jc w:val="center"/>
            </w:pPr>
            <w:r>
              <w:t>FCG</w:t>
            </w:r>
          </w:p>
        </w:tc>
        <w:tc>
          <w:tcPr>
            <w:tcW w:w="1482" w:type="dxa"/>
            <w:tcBorders>
              <w:top w:val="nil"/>
              <w:left w:val="nil"/>
              <w:bottom w:val="nil"/>
              <w:right w:val="nil"/>
            </w:tcBorders>
          </w:tcPr>
          <w:p w14:paraId="0BE2B8C2" w14:textId="77777777" w:rsidR="00921A15" w:rsidRDefault="00921A15" w:rsidP="00895CB4">
            <w:pPr>
              <w:pStyle w:val="NormalWeb"/>
              <w:jc w:val="center"/>
            </w:pPr>
            <w:r>
              <w:t>NWA-6</w:t>
            </w:r>
          </w:p>
        </w:tc>
        <w:tc>
          <w:tcPr>
            <w:tcW w:w="3205" w:type="dxa"/>
            <w:tcBorders>
              <w:top w:val="nil"/>
              <w:left w:val="nil"/>
              <w:bottom w:val="nil"/>
              <w:right w:val="nil"/>
            </w:tcBorders>
          </w:tcPr>
          <w:p w14:paraId="13D6A1C7" w14:textId="77777777" w:rsidR="00921A15" w:rsidRDefault="00921A15" w:rsidP="00921A15">
            <w:pPr>
              <w:pStyle w:val="NormalWeb"/>
            </w:pPr>
            <w:r>
              <w:t>Excerpts from FCG’s 2018 Depreciation Study in Docket No. 20170179-GU</w:t>
            </w:r>
          </w:p>
        </w:tc>
      </w:tr>
      <w:tr w:rsidR="00921A15" w:rsidRPr="00701945" w14:paraId="6F4B66D7" w14:textId="77777777" w:rsidTr="006F034C">
        <w:trPr>
          <w:cantSplit/>
          <w:trHeight w:val="373"/>
        </w:trPr>
        <w:tc>
          <w:tcPr>
            <w:tcW w:w="3198" w:type="dxa"/>
            <w:tcBorders>
              <w:top w:val="nil"/>
              <w:left w:val="nil"/>
              <w:bottom w:val="nil"/>
              <w:right w:val="nil"/>
            </w:tcBorders>
          </w:tcPr>
          <w:p w14:paraId="7106CDE0" w14:textId="77777777" w:rsidR="00921A15" w:rsidRDefault="00921A15" w:rsidP="00921A15">
            <w:pPr>
              <w:pStyle w:val="NormalWeb"/>
            </w:pPr>
            <w:r>
              <w:t>Ned W. Allis</w:t>
            </w:r>
          </w:p>
        </w:tc>
        <w:tc>
          <w:tcPr>
            <w:tcW w:w="1680" w:type="dxa"/>
            <w:tcBorders>
              <w:top w:val="nil"/>
              <w:left w:val="nil"/>
              <w:bottom w:val="nil"/>
              <w:right w:val="nil"/>
            </w:tcBorders>
          </w:tcPr>
          <w:p w14:paraId="2D14EBB5" w14:textId="77777777" w:rsidR="00921A15" w:rsidRDefault="00921A15" w:rsidP="00895CB4">
            <w:pPr>
              <w:pStyle w:val="NormalWeb"/>
              <w:jc w:val="center"/>
            </w:pPr>
            <w:r>
              <w:t>FCG</w:t>
            </w:r>
          </w:p>
        </w:tc>
        <w:tc>
          <w:tcPr>
            <w:tcW w:w="1482" w:type="dxa"/>
            <w:tcBorders>
              <w:top w:val="nil"/>
              <w:left w:val="nil"/>
              <w:bottom w:val="nil"/>
              <w:right w:val="nil"/>
            </w:tcBorders>
          </w:tcPr>
          <w:p w14:paraId="16A356CC" w14:textId="77777777" w:rsidR="00921A15" w:rsidRDefault="00921A15" w:rsidP="00895CB4">
            <w:pPr>
              <w:pStyle w:val="NormalWeb"/>
              <w:jc w:val="center"/>
            </w:pPr>
            <w:r>
              <w:t>NWA-7</w:t>
            </w:r>
          </w:p>
        </w:tc>
        <w:tc>
          <w:tcPr>
            <w:tcW w:w="3205" w:type="dxa"/>
            <w:tcBorders>
              <w:top w:val="nil"/>
              <w:left w:val="nil"/>
              <w:bottom w:val="nil"/>
              <w:right w:val="nil"/>
            </w:tcBorders>
          </w:tcPr>
          <w:p w14:paraId="134593FF" w14:textId="77777777" w:rsidR="00921A15" w:rsidRDefault="00921A15" w:rsidP="00921A15">
            <w:pPr>
              <w:pStyle w:val="NormalWeb"/>
            </w:pPr>
            <w:r>
              <w:t>Excerpts from Mr. Garrett’s testimony provided as Exhibit TURN-18 in California Application A.21-06-021</w:t>
            </w:r>
          </w:p>
        </w:tc>
      </w:tr>
      <w:tr w:rsidR="00921A15" w:rsidRPr="00701945" w14:paraId="383523B9" w14:textId="77777777" w:rsidTr="006F034C">
        <w:trPr>
          <w:cantSplit/>
          <w:trHeight w:val="373"/>
        </w:trPr>
        <w:tc>
          <w:tcPr>
            <w:tcW w:w="3198" w:type="dxa"/>
            <w:tcBorders>
              <w:top w:val="nil"/>
              <w:left w:val="nil"/>
              <w:bottom w:val="nil"/>
              <w:right w:val="nil"/>
            </w:tcBorders>
          </w:tcPr>
          <w:p w14:paraId="3AB531B4" w14:textId="77777777" w:rsidR="00921A15" w:rsidRDefault="00921A15" w:rsidP="00921A15">
            <w:pPr>
              <w:pStyle w:val="NormalWeb"/>
            </w:pPr>
            <w:r>
              <w:t>Tara B. DuBose</w:t>
            </w:r>
          </w:p>
        </w:tc>
        <w:tc>
          <w:tcPr>
            <w:tcW w:w="1680" w:type="dxa"/>
            <w:tcBorders>
              <w:top w:val="nil"/>
              <w:left w:val="nil"/>
              <w:bottom w:val="nil"/>
              <w:right w:val="nil"/>
            </w:tcBorders>
          </w:tcPr>
          <w:p w14:paraId="544099EF" w14:textId="77777777" w:rsidR="00921A15" w:rsidRDefault="00921A15" w:rsidP="00895CB4">
            <w:pPr>
              <w:pStyle w:val="NormalWeb"/>
              <w:jc w:val="center"/>
            </w:pPr>
            <w:r>
              <w:t>FCG</w:t>
            </w:r>
          </w:p>
        </w:tc>
        <w:tc>
          <w:tcPr>
            <w:tcW w:w="1482" w:type="dxa"/>
            <w:tcBorders>
              <w:top w:val="nil"/>
              <w:left w:val="nil"/>
              <w:bottom w:val="nil"/>
              <w:right w:val="nil"/>
            </w:tcBorders>
          </w:tcPr>
          <w:p w14:paraId="4D5E53F8" w14:textId="77777777" w:rsidR="00921A15" w:rsidRDefault="00921A15" w:rsidP="00895CB4">
            <w:pPr>
              <w:pStyle w:val="NormalWeb"/>
              <w:jc w:val="center"/>
            </w:pPr>
            <w:r>
              <w:t>TBD-7</w:t>
            </w:r>
          </w:p>
        </w:tc>
        <w:tc>
          <w:tcPr>
            <w:tcW w:w="3205" w:type="dxa"/>
            <w:tcBorders>
              <w:top w:val="nil"/>
              <w:left w:val="nil"/>
              <w:bottom w:val="nil"/>
              <w:right w:val="nil"/>
            </w:tcBorders>
          </w:tcPr>
          <w:p w14:paraId="36C82B62" w14:textId="77777777" w:rsidR="00921A15" w:rsidRDefault="00921A15" w:rsidP="00921A15">
            <w:pPr>
              <w:pStyle w:val="NormalWeb"/>
            </w:pPr>
            <w:r>
              <w:t>Customers and Usage Comparison by Customer</w:t>
            </w:r>
          </w:p>
        </w:tc>
      </w:tr>
      <w:tr w:rsidR="00921A15" w:rsidRPr="00701945" w14:paraId="4CEBCA62" w14:textId="77777777" w:rsidTr="006F034C">
        <w:trPr>
          <w:cantSplit/>
          <w:trHeight w:val="373"/>
        </w:trPr>
        <w:tc>
          <w:tcPr>
            <w:tcW w:w="3198" w:type="dxa"/>
            <w:tcBorders>
              <w:top w:val="nil"/>
              <w:left w:val="nil"/>
              <w:bottom w:val="nil"/>
              <w:right w:val="nil"/>
            </w:tcBorders>
          </w:tcPr>
          <w:p w14:paraId="69A830DE" w14:textId="77777777" w:rsidR="00921A15" w:rsidRDefault="00921A15" w:rsidP="00921A15">
            <w:pPr>
              <w:pStyle w:val="NormalWeb"/>
            </w:pPr>
            <w:r>
              <w:t>Tara B. DuBose</w:t>
            </w:r>
          </w:p>
        </w:tc>
        <w:tc>
          <w:tcPr>
            <w:tcW w:w="1680" w:type="dxa"/>
            <w:tcBorders>
              <w:top w:val="nil"/>
              <w:left w:val="nil"/>
              <w:bottom w:val="nil"/>
              <w:right w:val="nil"/>
            </w:tcBorders>
          </w:tcPr>
          <w:p w14:paraId="7467AB7B" w14:textId="77777777" w:rsidR="00921A15" w:rsidRDefault="00921A15" w:rsidP="00895CB4">
            <w:pPr>
              <w:pStyle w:val="NormalWeb"/>
              <w:jc w:val="center"/>
            </w:pPr>
            <w:r>
              <w:t>FCG</w:t>
            </w:r>
          </w:p>
        </w:tc>
        <w:tc>
          <w:tcPr>
            <w:tcW w:w="1482" w:type="dxa"/>
            <w:tcBorders>
              <w:top w:val="nil"/>
              <w:left w:val="nil"/>
              <w:bottom w:val="nil"/>
              <w:right w:val="nil"/>
            </w:tcBorders>
          </w:tcPr>
          <w:p w14:paraId="482A9108" w14:textId="77777777" w:rsidR="00921A15" w:rsidRDefault="00921A15" w:rsidP="00895CB4">
            <w:pPr>
              <w:pStyle w:val="NormalWeb"/>
              <w:jc w:val="center"/>
            </w:pPr>
            <w:r>
              <w:t>TBD-8</w:t>
            </w:r>
          </w:p>
        </w:tc>
        <w:tc>
          <w:tcPr>
            <w:tcW w:w="3205" w:type="dxa"/>
            <w:tcBorders>
              <w:top w:val="nil"/>
              <w:left w:val="nil"/>
              <w:bottom w:val="nil"/>
              <w:right w:val="nil"/>
            </w:tcBorders>
          </w:tcPr>
          <w:p w14:paraId="240AC9C8" w14:textId="77777777" w:rsidR="00921A15" w:rsidRDefault="00921A15" w:rsidP="00921A15">
            <w:pPr>
              <w:pStyle w:val="NormalWeb"/>
            </w:pPr>
            <w:r>
              <w:t>Comparison of FEA to FCG Revenue Allocations</w:t>
            </w:r>
          </w:p>
        </w:tc>
      </w:tr>
      <w:tr w:rsidR="00921A15" w:rsidRPr="00701945" w14:paraId="7F5DFCF3" w14:textId="77777777" w:rsidTr="006F034C">
        <w:trPr>
          <w:cantSplit/>
          <w:trHeight w:val="373"/>
        </w:trPr>
        <w:tc>
          <w:tcPr>
            <w:tcW w:w="3198" w:type="dxa"/>
            <w:tcBorders>
              <w:top w:val="nil"/>
              <w:left w:val="nil"/>
              <w:bottom w:val="nil"/>
              <w:right w:val="nil"/>
            </w:tcBorders>
          </w:tcPr>
          <w:p w14:paraId="0CBFEB72" w14:textId="77777777" w:rsidR="00921A15" w:rsidRDefault="00921A15" w:rsidP="00921A15">
            <w:pPr>
              <w:pStyle w:val="NormalWeb"/>
            </w:pPr>
            <w:r>
              <w:t>Tara B. DuBose</w:t>
            </w:r>
          </w:p>
        </w:tc>
        <w:tc>
          <w:tcPr>
            <w:tcW w:w="1680" w:type="dxa"/>
            <w:tcBorders>
              <w:top w:val="nil"/>
              <w:left w:val="nil"/>
              <w:bottom w:val="nil"/>
              <w:right w:val="nil"/>
            </w:tcBorders>
          </w:tcPr>
          <w:p w14:paraId="39B81FB9" w14:textId="77777777" w:rsidR="00921A15" w:rsidRDefault="00921A15" w:rsidP="00895CB4">
            <w:pPr>
              <w:pStyle w:val="NormalWeb"/>
              <w:jc w:val="center"/>
            </w:pPr>
            <w:r>
              <w:t>FCG</w:t>
            </w:r>
          </w:p>
        </w:tc>
        <w:tc>
          <w:tcPr>
            <w:tcW w:w="1482" w:type="dxa"/>
            <w:tcBorders>
              <w:top w:val="nil"/>
              <w:left w:val="nil"/>
              <w:bottom w:val="nil"/>
              <w:right w:val="nil"/>
            </w:tcBorders>
          </w:tcPr>
          <w:p w14:paraId="67A5D598" w14:textId="77777777" w:rsidR="00921A15" w:rsidRDefault="00921A15" w:rsidP="00895CB4">
            <w:pPr>
              <w:pStyle w:val="NormalWeb"/>
              <w:jc w:val="center"/>
            </w:pPr>
            <w:r>
              <w:t>TBD-9</w:t>
            </w:r>
          </w:p>
        </w:tc>
        <w:tc>
          <w:tcPr>
            <w:tcW w:w="3205" w:type="dxa"/>
            <w:tcBorders>
              <w:top w:val="nil"/>
              <w:left w:val="nil"/>
              <w:bottom w:val="nil"/>
              <w:right w:val="nil"/>
            </w:tcBorders>
          </w:tcPr>
          <w:p w14:paraId="60001CCE" w14:textId="77777777" w:rsidR="00921A15" w:rsidRDefault="00921A15" w:rsidP="00921A15">
            <w:pPr>
              <w:pStyle w:val="NormalWeb"/>
            </w:pPr>
            <w:r>
              <w:t>Comparison of FEA to FCG Increase Allocations</w:t>
            </w:r>
          </w:p>
        </w:tc>
      </w:tr>
      <w:tr w:rsidR="00921A15" w:rsidRPr="00701945" w14:paraId="3DD30355" w14:textId="77777777" w:rsidTr="006F034C">
        <w:trPr>
          <w:cantSplit/>
          <w:trHeight w:val="373"/>
        </w:trPr>
        <w:tc>
          <w:tcPr>
            <w:tcW w:w="3198" w:type="dxa"/>
            <w:tcBorders>
              <w:top w:val="nil"/>
              <w:left w:val="nil"/>
              <w:bottom w:val="nil"/>
              <w:right w:val="nil"/>
            </w:tcBorders>
          </w:tcPr>
          <w:p w14:paraId="53BDE89E" w14:textId="77777777" w:rsidR="00921A15" w:rsidRDefault="00921A15" w:rsidP="00921A15">
            <w:pPr>
              <w:pStyle w:val="NormalWeb"/>
            </w:pPr>
            <w:r>
              <w:t>Kathleen Slattery</w:t>
            </w:r>
          </w:p>
        </w:tc>
        <w:tc>
          <w:tcPr>
            <w:tcW w:w="1680" w:type="dxa"/>
            <w:tcBorders>
              <w:top w:val="nil"/>
              <w:left w:val="nil"/>
              <w:bottom w:val="nil"/>
              <w:right w:val="nil"/>
            </w:tcBorders>
          </w:tcPr>
          <w:p w14:paraId="3791D66E" w14:textId="77777777" w:rsidR="00921A15" w:rsidRDefault="00921A15" w:rsidP="00895CB4">
            <w:pPr>
              <w:pStyle w:val="NormalWeb"/>
              <w:jc w:val="center"/>
            </w:pPr>
            <w:r>
              <w:t>FCG</w:t>
            </w:r>
          </w:p>
        </w:tc>
        <w:tc>
          <w:tcPr>
            <w:tcW w:w="1482" w:type="dxa"/>
            <w:tcBorders>
              <w:top w:val="nil"/>
              <w:left w:val="nil"/>
              <w:bottom w:val="nil"/>
              <w:right w:val="nil"/>
            </w:tcBorders>
          </w:tcPr>
          <w:p w14:paraId="70DC1C6A" w14:textId="77777777" w:rsidR="00921A15" w:rsidRDefault="00921A15" w:rsidP="00895CB4">
            <w:pPr>
              <w:pStyle w:val="NormalWeb"/>
              <w:jc w:val="center"/>
            </w:pPr>
            <w:r>
              <w:t>KS-1</w:t>
            </w:r>
          </w:p>
        </w:tc>
        <w:tc>
          <w:tcPr>
            <w:tcW w:w="3205" w:type="dxa"/>
            <w:tcBorders>
              <w:top w:val="nil"/>
              <w:left w:val="nil"/>
              <w:bottom w:val="nil"/>
              <w:right w:val="nil"/>
            </w:tcBorders>
          </w:tcPr>
          <w:p w14:paraId="473B0246" w14:textId="77777777" w:rsidR="00921A15" w:rsidRDefault="00921A15" w:rsidP="00921A15">
            <w:pPr>
              <w:pStyle w:val="NormalWeb"/>
            </w:pPr>
            <w:r w:rsidRPr="003B1DE9">
              <w:t>FCG Cash Incentive Compared to Market</w:t>
            </w:r>
          </w:p>
        </w:tc>
      </w:tr>
      <w:tr w:rsidR="00921A15" w:rsidRPr="00701945" w14:paraId="420B014A" w14:textId="77777777" w:rsidTr="006F034C">
        <w:trPr>
          <w:cantSplit/>
          <w:trHeight w:val="373"/>
        </w:trPr>
        <w:tc>
          <w:tcPr>
            <w:tcW w:w="3198" w:type="dxa"/>
            <w:tcBorders>
              <w:top w:val="nil"/>
              <w:left w:val="nil"/>
              <w:bottom w:val="nil"/>
              <w:right w:val="nil"/>
            </w:tcBorders>
          </w:tcPr>
          <w:p w14:paraId="6333ADCB" w14:textId="77777777" w:rsidR="00921A15" w:rsidRDefault="00921A15" w:rsidP="00921A15">
            <w:pPr>
              <w:pStyle w:val="NormalWeb"/>
            </w:pPr>
            <w:r>
              <w:t>Kathleen Slattery</w:t>
            </w:r>
          </w:p>
        </w:tc>
        <w:tc>
          <w:tcPr>
            <w:tcW w:w="1680" w:type="dxa"/>
            <w:tcBorders>
              <w:top w:val="nil"/>
              <w:left w:val="nil"/>
              <w:bottom w:val="nil"/>
              <w:right w:val="nil"/>
            </w:tcBorders>
          </w:tcPr>
          <w:p w14:paraId="509F1D63" w14:textId="77777777" w:rsidR="00921A15" w:rsidRDefault="00921A15" w:rsidP="00895CB4">
            <w:pPr>
              <w:pStyle w:val="NormalWeb"/>
              <w:jc w:val="center"/>
            </w:pPr>
            <w:r>
              <w:t>FCG</w:t>
            </w:r>
          </w:p>
        </w:tc>
        <w:tc>
          <w:tcPr>
            <w:tcW w:w="1482" w:type="dxa"/>
            <w:tcBorders>
              <w:top w:val="nil"/>
              <w:left w:val="nil"/>
              <w:bottom w:val="nil"/>
              <w:right w:val="nil"/>
            </w:tcBorders>
          </w:tcPr>
          <w:p w14:paraId="0337343D" w14:textId="77777777" w:rsidR="00921A15" w:rsidRDefault="00921A15" w:rsidP="00895CB4">
            <w:pPr>
              <w:pStyle w:val="NormalWeb"/>
              <w:jc w:val="center"/>
            </w:pPr>
            <w:r>
              <w:t>KS-2</w:t>
            </w:r>
          </w:p>
        </w:tc>
        <w:tc>
          <w:tcPr>
            <w:tcW w:w="3205" w:type="dxa"/>
            <w:tcBorders>
              <w:top w:val="nil"/>
              <w:left w:val="nil"/>
              <w:bottom w:val="nil"/>
              <w:right w:val="nil"/>
            </w:tcBorders>
          </w:tcPr>
          <w:p w14:paraId="77DBB065" w14:textId="77777777" w:rsidR="00921A15" w:rsidRDefault="00921A15" w:rsidP="00921A15">
            <w:pPr>
              <w:pStyle w:val="NormalWeb"/>
            </w:pPr>
            <w:r w:rsidRPr="008204B9">
              <w:t>FCG Position to Market - 2022 Base Pay</w:t>
            </w:r>
          </w:p>
        </w:tc>
      </w:tr>
      <w:tr w:rsidR="00921A15" w:rsidRPr="00701945" w14:paraId="23C651A6" w14:textId="77777777" w:rsidTr="006F034C">
        <w:trPr>
          <w:cantSplit/>
          <w:trHeight w:val="373"/>
        </w:trPr>
        <w:tc>
          <w:tcPr>
            <w:tcW w:w="3198" w:type="dxa"/>
            <w:tcBorders>
              <w:top w:val="nil"/>
              <w:left w:val="nil"/>
              <w:bottom w:val="nil"/>
              <w:right w:val="nil"/>
            </w:tcBorders>
          </w:tcPr>
          <w:p w14:paraId="3B3D4255" w14:textId="77777777" w:rsidR="00921A15" w:rsidRDefault="00921A15" w:rsidP="00921A15">
            <w:pPr>
              <w:pStyle w:val="NormalWeb"/>
            </w:pPr>
            <w:r>
              <w:t>Jennifer E. Nelson</w:t>
            </w:r>
          </w:p>
        </w:tc>
        <w:tc>
          <w:tcPr>
            <w:tcW w:w="1680" w:type="dxa"/>
            <w:tcBorders>
              <w:top w:val="nil"/>
              <w:left w:val="nil"/>
              <w:bottom w:val="nil"/>
              <w:right w:val="nil"/>
            </w:tcBorders>
          </w:tcPr>
          <w:p w14:paraId="3826978A" w14:textId="77777777" w:rsidR="00921A15" w:rsidRDefault="00921A15" w:rsidP="00895CB4">
            <w:pPr>
              <w:pStyle w:val="NormalWeb"/>
              <w:jc w:val="center"/>
            </w:pPr>
            <w:r>
              <w:t>FCG</w:t>
            </w:r>
          </w:p>
        </w:tc>
        <w:tc>
          <w:tcPr>
            <w:tcW w:w="1482" w:type="dxa"/>
            <w:tcBorders>
              <w:top w:val="nil"/>
              <w:left w:val="nil"/>
              <w:bottom w:val="nil"/>
              <w:right w:val="nil"/>
            </w:tcBorders>
          </w:tcPr>
          <w:p w14:paraId="3B9048BF" w14:textId="77777777" w:rsidR="00921A15" w:rsidRDefault="00921A15" w:rsidP="00895CB4">
            <w:pPr>
              <w:pStyle w:val="NormalWeb"/>
              <w:jc w:val="center"/>
            </w:pPr>
            <w:r>
              <w:t>JEN-11</w:t>
            </w:r>
          </w:p>
        </w:tc>
        <w:tc>
          <w:tcPr>
            <w:tcW w:w="3205" w:type="dxa"/>
            <w:tcBorders>
              <w:top w:val="nil"/>
              <w:left w:val="nil"/>
              <w:bottom w:val="nil"/>
              <w:right w:val="nil"/>
            </w:tcBorders>
          </w:tcPr>
          <w:p w14:paraId="2943A965" w14:textId="77777777" w:rsidR="00921A15" w:rsidRDefault="00921A15" w:rsidP="00921A15">
            <w:pPr>
              <w:pStyle w:val="NormalWeb"/>
            </w:pPr>
            <w:r w:rsidRPr="005832CB">
              <w:t>Constant Growth DCF Analysis</w:t>
            </w:r>
          </w:p>
        </w:tc>
      </w:tr>
      <w:tr w:rsidR="00921A15" w:rsidRPr="00701945" w14:paraId="0964B7C0" w14:textId="77777777" w:rsidTr="006F034C">
        <w:trPr>
          <w:cantSplit/>
          <w:trHeight w:val="373"/>
        </w:trPr>
        <w:tc>
          <w:tcPr>
            <w:tcW w:w="3198" w:type="dxa"/>
            <w:tcBorders>
              <w:top w:val="nil"/>
              <w:left w:val="nil"/>
              <w:bottom w:val="nil"/>
              <w:right w:val="nil"/>
            </w:tcBorders>
          </w:tcPr>
          <w:p w14:paraId="0A370B80" w14:textId="77777777" w:rsidR="00921A15" w:rsidRDefault="00921A15" w:rsidP="00921A15">
            <w:pPr>
              <w:pStyle w:val="NormalWeb"/>
            </w:pPr>
            <w:r>
              <w:t>Jennifer E. Nelson</w:t>
            </w:r>
          </w:p>
        </w:tc>
        <w:tc>
          <w:tcPr>
            <w:tcW w:w="1680" w:type="dxa"/>
            <w:tcBorders>
              <w:top w:val="nil"/>
              <w:left w:val="nil"/>
              <w:bottom w:val="nil"/>
              <w:right w:val="nil"/>
            </w:tcBorders>
          </w:tcPr>
          <w:p w14:paraId="7CC0D7D5" w14:textId="77777777" w:rsidR="00921A15" w:rsidRDefault="00921A15" w:rsidP="00895CB4">
            <w:pPr>
              <w:pStyle w:val="NormalWeb"/>
              <w:jc w:val="center"/>
            </w:pPr>
            <w:r>
              <w:t>FCG</w:t>
            </w:r>
          </w:p>
        </w:tc>
        <w:tc>
          <w:tcPr>
            <w:tcW w:w="1482" w:type="dxa"/>
            <w:tcBorders>
              <w:top w:val="nil"/>
              <w:left w:val="nil"/>
              <w:bottom w:val="nil"/>
              <w:right w:val="nil"/>
            </w:tcBorders>
          </w:tcPr>
          <w:p w14:paraId="0D24F846" w14:textId="77777777" w:rsidR="00921A15" w:rsidRDefault="00921A15" w:rsidP="00895CB4">
            <w:pPr>
              <w:pStyle w:val="NormalWeb"/>
              <w:jc w:val="center"/>
            </w:pPr>
            <w:r>
              <w:t>JEN-12</w:t>
            </w:r>
          </w:p>
        </w:tc>
        <w:tc>
          <w:tcPr>
            <w:tcW w:w="3205" w:type="dxa"/>
            <w:tcBorders>
              <w:top w:val="nil"/>
              <w:left w:val="nil"/>
              <w:bottom w:val="nil"/>
              <w:right w:val="nil"/>
            </w:tcBorders>
          </w:tcPr>
          <w:p w14:paraId="5E554C80" w14:textId="77777777" w:rsidR="00921A15" w:rsidRDefault="00921A15" w:rsidP="00921A15">
            <w:pPr>
              <w:pStyle w:val="NormalWeb"/>
            </w:pPr>
            <w:r w:rsidRPr="005832CB">
              <w:t>Quarterly Growth DCF Analysis</w:t>
            </w:r>
          </w:p>
        </w:tc>
      </w:tr>
      <w:tr w:rsidR="00921A15" w:rsidRPr="00701945" w14:paraId="01CFAE52" w14:textId="77777777" w:rsidTr="006F034C">
        <w:trPr>
          <w:cantSplit/>
          <w:trHeight w:val="373"/>
        </w:trPr>
        <w:tc>
          <w:tcPr>
            <w:tcW w:w="3198" w:type="dxa"/>
            <w:tcBorders>
              <w:top w:val="nil"/>
              <w:left w:val="nil"/>
              <w:bottom w:val="nil"/>
              <w:right w:val="nil"/>
            </w:tcBorders>
          </w:tcPr>
          <w:p w14:paraId="77E9EDC7" w14:textId="77777777" w:rsidR="00921A15" w:rsidRDefault="00921A15" w:rsidP="00921A15">
            <w:pPr>
              <w:pStyle w:val="NormalWeb"/>
            </w:pPr>
            <w:r>
              <w:t>Jennifer E. Nelson</w:t>
            </w:r>
          </w:p>
        </w:tc>
        <w:tc>
          <w:tcPr>
            <w:tcW w:w="1680" w:type="dxa"/>
            <w:tcBorders>
              <w:top w:val="nil"/>
              <w:left w:val="nil"/>
              <w:bottom w:val="nil"/>
              <w:right w:val="nil"/>
            </w:tcBorders>
          </w:tcPr>
          <w:p w14:paraId="6453F1DD" w14:textId="77777777" w:rsidR="00921A15" w:rsidRDefault="00921A15" w:rsidP="00895CB4">
            <w:pPr>
              <w:pStyle w:val="NormalWeb"/>
              <w:jc w:val="center"/>
            </w:pPr>
            <w:r>
              <w:t>FCG</w:t>
            </w:r>
          </w:p>
        </w:tc>
        <w:tc>
          <w:tcPr>
            <w:tcW w:w="1482" w:type="dxa"/>
            <w:tcBorders>
              <w:top w:val="nil"/>
              <w:left w:val="nil"/>
              <w:bottom w:val="nil"/>
              <w:right w:val="nil"/>
            </w:tcBorders>
          </w:tcPr>
          <w:p w14:paraId="03728DD2" w14:textId="77777777" w:rsidR="00921A15" w:rsidRDefault="00921A15" w:rsidP="00895CB4">
            <w:pPr>
              <w:pStyle w:val="NormalWeb"/>
              <w:jc w:val="center"/>
            </w:pPr>
            <w:r>
              <w:t>JEN-13</w:t>
            </w:r>
          </w:p>
        </w:tc>
        <w:tc>
          <w:tcPr>
            <w:tcW w:w="3205" w:type="dxa"/>
            <w:tcBorders>
              <w:top w:val="nil"/>
              <w:left w:val="nil"/>
              <w:bottom w:val="nil"/>
              <w:right w:val="nil"/>
            </w:tcBorders>
          </w:tcPr>
          <w:p w14:paraId="5CB75F4B" w14:textId="77777777" w:rsidR="00921A15" w:rsidRDefault="00921A15" w:rsidP="00921A15">
            <w:pPr>
              <w:pStyle w:val="NormalWeb"/>
            </w:pPr>
            <w:r w:rsidRPr="005832CB">
              <w:t>DCF-based Expected Market Return</w:t>
            </w:r>
          </w:p>
        </w:tc>
      </w:tr>
      <w:tr w:rsidR="00921A15" w:rsidRPr="00701945" w14:paraId="6AF5508B" w14:textId="77777777" w:rsidTr="006F034C">
        <w:trPr>
          <w:cantSplit/>
          <w:trHeight w:val="373"/>
        </w:trPr>
        <w:tc>
          <w:tcPr>
            <w:tcW w:w="3198" w:type="dxa"/>
            <w:tcBorders>
              <w:top w:val="nil"/>
              <w:left w:val="nil"/>
              <w:bottom w:val="nil"/>
              <w:right w:val="nil"/>
            </w:tcBorders>
          </w:tcPr>
          <w:p w14:paraId="175F2CC0" w14:textId="77777777" w:rsidR="00921A15" w:rsidRDefault="00921A15" w:rsidP="00921A15">
            <w:pPr>
              <w:pStyle w:val="NormalWeb"/>
            </w:pPr>
            <w:r>
              <w:t>Jennifer E. Nelson</w:t>
            </w:r>
          </w:p>
        </w:tc>
        <w:tc>
          <w:tcPr>
            <w:tcW w:w="1680" w:type="dxa"/>
            <w:tcBorders>
              <w:top w:val="nil"/>
              <w:left w:val="nil"/>
              <w:bottom w:val="nil"/>
              <w:right w:val="nil"/>
            </w:tcBorders>
          </w:tcPr>
          <w:p w14:paraId="394474A1" w14:textId="77777777" w:rsidR="00921A15" w:rsidRDefault="00921A15" w:rsidP="00895CB4">
            <w:pPr>
              <w:pStyle w:val="NormalWeb"/>
              <w:jc w:val="center"/>
            </w:pPr>
            <w:r>
              <w:t>FCG</w:t>
            </w:r>
          </w:p>
        </w:tc>
        <w:tc>
          <w:tcPr>
            <w:tcW w:w="1482" w:type="dxa"/>
            <w:tcBorders>
              <w:top w:val="nil"/>
              <w:left w:val="nil"/>
              <w:bottom w:val="nil"/>
              <w:right w:val="nil"/>
            </w:tcBorders>
          </w:tcPr>
          <w:p w14:paraId="123B1BC8" w14:textId="77777777" w:rsidR="00921A15" w:rsidRDefault="00921A15" w:rsidP="00895CB4">
            <w:pPr>
              <w:pStyle w:val="NormalWeb"/>
              <w:jc w:val="center"/>
            </w:pPr>
            <w:r>
              <w:t>JEN-14</w:t>
            </w:r>
          </w:p>
        </w:tc>
        <w:tc>
          <w:tcPr>
            <w:tcW w:w="3205" w:type="dxa"/>
            <w:tcBorders>
              <w:top w:val="nil"/>
              <w:left w:val="nil"/>
              <w:bottom w:val="nil"/>
              <w:right w:val="nil"/>
            </w:tcBorders>
          </w:tcPr>
          <w:p w14:paraId="00A59297" w14:textId="77777777" w:rsidR="00921A15" w:rsidRDefault="00921A15" w:rsidP="00921A15">
            <w:pPr>
              <w:pStyle w:val="NormalWeb"/>
            </w:pPr>
            <w:r w:rsidRPr="006C4633">
              <w:t>CAPM and Empirical CAPM Analyses</w:t>
            </w:r>
          </w:p>
        </w:tc>
      </w:tr>
      <w:tr w:rsidR="00921A15" w:rsidRPr="00701945" w14:paraId="38F8DE36" w14:textId="77777777" w:rsidTr="006F034C">
        <w:trPr>
          <w:cantSplit/>
          <w:trHeight w:val="373"/>
        </w:trPr>
        <w:tc>
          <w:tcPr>
            <w:tcW w:w="3198" w:type="dxa"/>
            <w:tcBorders>
              <w:top w:val="nil"/>
              <w:left w:val="nil"/>
              <w:bottom w:val="nil"/>
              <w:right w:val="nil"/>
            </w:tcBorders>
          </w:tcPr>
          <w:p w14:paraId="601FCC59" w14:textId="77777777" w:rsidR="00921A15" w:rsidRDefault="00921A15" w:rsidP="00921A15">
            <w:pPr>
              <w:pStyle w:val="NormalWeb"/>
            </w:pPr>
            <w:r>
              <w:t>Jennifer E. Nelson</w:t>
            </w:r>
          </w:p>
        </w:tc>
        <w:tc>
          <w:tcPr>
            <w:tcW w:w="1680" w:type="dxa"/>
            <w:tcBorders>
              <w:top w:val="nil"/>
              <w:left w:val="nil"/>
              <w:bottom w:val="nil"/>
              <w:right w:val="nil"/>
            </w:tcBorders>
          </w:tcPr>
          <w:p w14:paraId="3EEF4E45" w14:textId="77777777" w:rsidR="00921A15" w:rsidRDefault="00921A15" w:rsidP="00895CB4">
            <w:pPr>
              <w:pStyle w:val="NormalWeb"/>
              <w:jc w:val="center"/>
            </w:pPr>
            <w:r>
              <w:t>FCG</w:t>
            </w:r>
          </w:p>
        </w:tc>
        <w:tc>
          <w:tcPr>
            <w:tcW w:w="1482" w:type="dxa"/>
            <w:tcBorders>
              <w:top w:val="nil"/>
              <w:left w:val="nil"/>
              <w:bottom w:val="nil"/>
              <w:right w:val="nil"/>
            </w:tcBorders>
          </w:tcPr>
          <w:p w14:paraId="7D9A8208" w14:textId="77777777" w:rsidR="00921A15" w:rsidRDefault="00921A15" w:rsidP="00895CB4">
            <w:pPr>
              <w:pStyle w:val="NormalWeb"/>
              <w:jc w:val="center"/>
            </w:pPr>
            <w:r>
              <w:t>JEN-15</w:t>
            </w:r>
          </w:p>
        </w:tc>
        <w:tc>
          <w:tcPr>
            <w:tcW w:w="3205" w:type="dxa"/>
            <w:tcBorders>
              <w:top w:val="nil"/>
              <w:left w:val="nil"/>
              <w:bottom w:val="nil"/>
              <w:right w:val="nil"/>
            </w:tcBorders>
          </w:tcPr>
          <w:p w14:paraId="2B7B6C5C" w14:textId="77777777" w:rsidR="00921A15" w:rsidRDefault="00921A15" w:rsidP="00921A15">
            <w:pPr>
              <w:pStyle w:val="NormalWeb"/>
            </w:pPr>
            <w:r w:rsidRPr="00FC7F59">
              <w:t>Bond Yield Plus Risk Premium Analysis</w:t>
            </w:r>
          </w:p>
        </w:tc>
      </w:tr>
      <w:tr w:rsidR="00921A15" w:rsidRPr="00701945" w14:paraId="2CAA3158" w14:textId="77777777" w:rsidTr="006F034C">
        <w:trPr>
          <w:cantSplit/>
          <w:trHeight w:val="373"/>
        </w:trPr>
        <w:tc>
          <w:tcPr>
            <w:tcW w:w="3198" w:type="dxa"/>
            <w:tcBorders>
              <w:top w:val="nil"/>
              <w:left w:val="nil"/>
              <w:bottom w:val="nil"/>
              <w:right w:val="nil"/>
            </w:tcBorders>
          </w:tcPr>
          <w:p w14:paraId="3E71A0D3" w14:textId="77777777" w:rsidR="00921A15" w:rsidRDefault="00921A15" w:rsidP="00921A15">
            <w:pPr>
              <w:pStyle w:val="NormalWeb"/>
            </w:pPr>
            <w:r>
              <w:t>Jennifer E. Nelson</w:t>
            </w:r>
          </w:p>
        </w:tc>
        <w:tc>
          <w:tcPr>
            <w:tcW w:w="1680" w:type="dxa"/>
            <w:tcBorders>
              <w:top w:val="nil"/>
              <w:left w:val="nil"/>
              <w:bottom w:val="nil"/>
              <w:right w:val="nil"/>
            </w:tcBorders>
          </w:tcPr>
          <w:p w14:paraId="28338503" w14:textId="77777777" w:rsidR="00921A15" w:rsidRDefault="00921A15" w:rsidP="00895CB4">
            <w:pPr>
              <w:pStyle w:val="NormalWeb"/>
              <w:jc w:val="center"/>
            </w:pPr>
            <w:r>
              <w:t>FCG</w:t>
            </w:r>
          </w:p>
        </w:tc>
        <w:tc>
          <w:tcPr>
            <w:tcW w:w="1482" w:type="dxa"/>
            <w:tcBorders>
              <w:top w:val="nil"/>
              <w:left w:val="nil"/>
              <w:bottom w:val="nil"/>
              <w:right w:val="nil"/>
            </w:tcBorders>
          </w:tcPr>
          <w:p w14:paraId="5B828D12" w14:textId="77777777" w:rsidR="00921A15" w:rsidRDefault="00921A15" w:rsidP="00895CB4">
            <w:pPr>
              <w:pStyle w:val="NormalWeb"/>
              <w:jc w:val="center"/>
            </w:pPr>
            <w:r>
              <w:t>JEN-16</w:t>
            </w:r>
          </w:p>
        </w:tc>
        <w:tc>
          <w:tcPr>
            <w:tcW w:w="3205" w:type="dxa"/>
            <w:tcBorders>
              <w:top w:val="nil"/>
              <w:left w:val="nil"/>
              <w:bottom w:val="nil"/>
              <w:right w:val="nil"/>
            </w:tcBorders>
          </w:tcPr>
          <w:p w14:paraId="3A6AC23B" w14:textId="77777777" w:rsidR="00921A15" w:rsidRDefault="00921A15" w:rsidP="00921A15">
            <w:pPr>
              <w:pStyle w:val="NormalWeb"/>
            </w:pPr>
            <w:r w:rsidRPr="006C4633">
              <w:t>Capital Structure Analysis</w:t>
            </w:r>
          </w:p>
        </w:tc>
      </w:tr>
      <w:tr w:rsidR="00921A15" w:rsidRPr="00701945" w14:paraId="469C983B" w14:textId="77777777" w:rsidTr="006F034C">
        <w:trPr>
          <w:cantSplit/>
          <w:trHeight w:val="373"/>
        </w:trPr>
        <w:tc>
          <w:tcPr>
            <w:tcW w:w="3198" w:type="dxa"/>
            <w:tcBorders>
              <w:top w:val="nil"/>
              <w:left w:val="nil"/>
              <w:bottom w:val="nil"/>
              <w:right w:val="nil"/>
            </w:tcBorders>
          </w:tcPr>
          <w:p w14:paraId="1833C3A1" w14:textId="77777777" w:rsidR="00921A15" w:rsidRDefault="00921A15" w:rsidP="00921A15">
            <w:pPr>
              <w:pStyle w:val="NormalWeb"/>
            </w:pPr>
            <w:r>
              <w:t>Jennifer E. Nelson</w:t>
            </w:r>
          </w:p>
        </w:tc>
        <w:tc>
          <w:tcPr>
            <w:tcW w:w="1680" w:type="dxa"/>
            <w:tcBorders>
              <w:top w:val="nil"/>
              <w:left w:val="nil"/>
              <w:bottom w:val="nil"/>
              <w:right w:val="nil"/>
            </w:tcBorders>
          </w:tcPr>
          <w:p w14:paraId="14E4B5FB" w14:textId="77777777" w:rsidR="00921A15" w:rsidRDefault="00921A15" w:rsidP="00895CB4">
            <w:pPr>
              <w:pStyle w:val="NormalWeb"/>
              <w:jc w:val="center"/>
            </w:pPr>
            <w:r>
              <w:t>FCG</w:t>
            </w:r>
          </w:p>
        </w:tc>
        <w:tc>
          <w:tcPr>
            <w:tcW w:w="1482" w:type="dxa"/>
            <w:tcBorders>
              <w:top w:val="nil"/>
              <w:left w:val="nil"/>
              <w:bottom w:val="nil"/>
              <w:right w:val="nil"/>
            </w:tcBorders>
          </w:tcPr>
          <w:p w14:paraId="25262465" w14:textId="77777777" w:rsidR="00921A15" w:rsidRDefault="00921A15" w:rsidP="00895CB4">
            <w:pPr>
              <w:pStyle w:val="NormalWeb"/>
              <w:jc w:val="center"/>
            </w:pPr>
            <w:r>
              <w:t>JEN-17</w:t>
            </w:r>
          </w:p>
        </w:tc>
        <w:tc>
          <w:tcPr>
            <w:tcW w:w="3205" w:type="dxa"/>
            <w:tcBorders>
              <w:top w:val="nil"/>
              <w:left w:val="nil"/>
              <w:bottom w:val="nil"/>
              <w:right w:val="nil"/>
            </w:tcBorders>
          </w:tcPr>
          <w:p w14:paraId="434EF1BC" w14:textId="77777777" w:rsidR="00921A15" w:rsidRDefault="00921A15" w:rsidP="00921A15">
            <w:pPr>
              <w:pStyle w:val="NormalWeb"/>
            </w:pPr>
            <w:r w:rsidRPr="002845F3">
              <w:t>Recent Authorized ROEs and Equity Ratios</w:t>
            </w:r>
          </w:p>
        </w:tc>
      </w:tr>
      <w:tr w:rsidR="00921A15" w:rsidRPr="00701945" w14:paraId="5A0AE23B" w14:textId="77777777" w:rsidTr="006F034C">
        <w:trPr>
          <w:cantSplit/>
          <w:trHeight w:val="373"/>
        </w:trPr>
        <w:tc>
          <w:tcPr>
            <w:tcW w:w="3198" w:type="dxa"/>
            <w:tcBorders>
              <w:top w:val="nil"/>
              <w:left w:val="nil"/>
              <w:bottom w:val="nil"/>
              <w:right w:val="nil"/>
            </w:tcBorders>
          </w:tcPr>
          <w:p w14:paraId="0088EE99" w14:textId="77777777" w:rsidR="00921A15" w:rsidRDefault="00921A15" w:rsidP="00921A15">
            <w:pPr>
              <w:pStyle w:val="NormalWeb"/>
            </w:pPr>
            <w:r>
              <w:t>Jennifer E. Nelson</w:t>
            </w:r>
          </w:p>
        </w:tc>
        <w:tc>
          <w:tcPr>
            <w:tcW w:w="1680" w:type="dxa"/>
            <w:tcBorders>
              <w:top w:val="nil"/>
              <w:left w:val="nil"/>
              <w:bottom w:val="nil"/>
              <w:right w:val="nil"/>
            </w:tcBorders>
          </w:tcPr>
          <w:p w14:paraId="20360AEC" w14:textId="77777777" w:rsidR="00921A15" w:rsidRDefault="00921A15" w:rsidP="00895CB4">
            <w:pPr>
              <w:pStyle w:val="NormalWeb"/>
              <w:jc w:val="center"/>
            </w:pPr>
            <w:r>
              <w:t>FCG</w:t>
            </w:r>
          </w:p>
        </w:tc>
        <w:tc>
          <w:tcPr>
            <w:tcW w:w="1482" w:type="dxa"/>
            <w:tcBorders>
              <w:top w:val="nil"/>
              <w:left w:val="nil"/>
              <w:bottom w:val="nil"/>
              <w:right w:val="nil"/>
            </w:tcBorders>
          </w:tcPr>
          <w:p w14:paraId="544DC112" w14:textId="77777777" w:rsidR="00921A15" w:rsidRDefault="00921A15" w:rsidP="00895CB4">
            <w:pPr>
              <w:pStyle w:val="NormalWeb"/>
              <w:jc w:val="center"/>
            </w:pPr>
            <w:r>
              <w:t>JEN-18</w:t>
            </w:r>
          </w:p>
        </w:tc>
        <w:tc>
          <w:tcPr>
            <w:tcW w:w="3205" w:type="dxa"/>
            <w:tcBorders>
              <w:top w:val="nil"/>
              <w:left w:val="nil"/>
              <w:bottom w:val="nil"/>
              <w:right w:val="nil"/>
            </w:tcBorders>
          </w:tcPr>
          <w:p w14:paraId="45F4C3DD" w14:textId="77777777" w:rsidR="00921A15" w:rsidRDefault="00921A15" w:rsidP="00921A15">
            <w:pPr>
              <w:pStyle w:val="NormalWeb"/>
            </w:pPr>
            <w:r w:rsidRPr="00435589">
              <w:t>Relationship between Industry Debt Ratios and Beta Coefficients</w:t>
            </w:r>
          </w:p>
        </w:tc>
      </w:tr>
      <w:tr w:rsidR="00921A15" w:rsidRPr="00701945" w14:paraId="2F15DAC6" w14:textId="77777777" w:rsidTr="006F034C">
        <w:trPr>
          <w:cantSplit/>
          <w:trHeight w:val="373"/>
        </w:trPr>
        <w:tc>
          <w:tcPr>
            <w:tcW w:w="3198" w:type="dxa"/>
            <w:tcBorders>
              <w:top w:val="nil"/>
              <w:left w:val="nil"/>
              <w:bottom w:val="nil"/>
              <w:right w:val="nil"/>
            </w:tcBorders>
          </w:tcPr>
          <w:p w14:paraId="6E95CF51" w14:textId="77777777" w:rsidR="00921A15" w:rsidRDefault="00921A15" w:rsidP="00921A15">
            <w:pPr>
              <w:pStyle w:val="NormalWeb"/>
            </w:pPr>
            <w:r>
              <w:t>Jennifer E. Nelson</w:t>
            </w:r>
          </w:p>
        </w:tc>
        <w:tc>
          <w:tcPr>
            <w:tcW w:w="1680" w:type="dxa"/>
            <w:tcBorders>
              <w:top w:val="nil"/>
              <w:left w:val="nil"/>
              <w:bottom w:val="nil"/>
              <w:right w:val="nil"/>
            </w:tcBorders>
          </w:tcPr>
          <w:p w14:paraId="043F471F" w14:textId="77777777" w:rsidR="00921A15" w:rsidRDefault="00921A15" w:rsidP="00895CB4">
            <w:pPr>
              <w:pStyle w:val="NormalWeb"/>
              <w:jc w:val="center"/>
            </w:pPr>
            <w:r>
              <w:t>FCG</w:t>
            </w:r>
          </w:p>
        </w:tc>
        <w:tc>
          <w:tcPr>
            <w:tcW w:w="1482" w:type="dxa"/>
            <w:tcBorders>
              <w:top w:val="nil"/>
              <w:left w:val="nil"/>
              <w:bottom w:val="nil"/>
              <w:right w:val="nil"/>
            </w:tcBorders>
          </w:tcPr>
          <w:p w14:paraId="0A982AEF" w14:textId="77777777" w:rsidR="00921A15" w:rsidRDefault="00921A15" w:rsidP="00895CB4">
            <w:pPr>
              <w:pStyle w:val="NormalWeb"/>
              <w:jc w:val="center"/>
            </w:pPr>
            <w:r>
              <w:t>JEN-19</w:t>
            </w:r>
          </w:p>
        </w:tc>
        <w:tc>
          <w:tcPr>
            <w:tcW w:w="3205" w:type="dxa"/>
            <w:tcBorders>
              <w:top w:val="nil"/>
              <w:left w:val="nil"/>
              <w:bottom w:val="nil"/>
              <w:right w:val="nil"/>
            </w:tcBorders>
          </w:tcPr>
          <w:p w14:paraId="0AB3CEEC" w14:textId="77777777" w:rsidR="00921A15" w:rsidRDefault="00921A15" w:rsidP="00921A15">
            <w:pPr>
              <w:pStyle w:val="NormalWeb"/>
            </w:pPr>
            <w:r w:rsidRPr="00FC7F59">
              <w:t>Gross Domestic Product by Industry</w:t>
            </w:r>
          </w:p>
        </w:tc>
      </w:tr>
      <w:tr w:rsidR="00921A15" w:rsidRPr="00701945" w14:paraId="6319B16B" w14:textId="77777777" w:rsidTr="006F034C">
        <w:trPr>
          <w:cantSplit/>
          <w:trHeight w:val="373"/>
        </w:trPr>
        <w:tc>
          <w:tcPr>
            <w:tcW w:w="3198" w:type="dxa"/>
            <w:tcBorders>
              <w:top w:val="nil"/>
              <w:left w:val="nil"/>
              <w:bottom w:val="nil"/>
              <w:right w:val="nil"/>
            </w:tcBorders>
          </w:tcPr>
          <w:p w14:paraId="7476A9C1" w14:textId="77777777" w:rsidR="00921A15" w:rsidRDefault="00921A15" w:rsidP="00921A15">
            <w:pPr>
              <w:pStyle w:val="NormalWeb"/>
            </w:pPr>
            <w:r>
              <w:t>Jennifer E. Nelson</w:t>
            </w:r>
          </w:p>
        </w:tc>
        <w:tc>
          <w:tcPr>
            <w:tcW w:w="1680" w:type="dxa"/>
            <w:tcBorders>
              <w:top w:val="nil"/>
              <w:left w:val="nil"/>
              <w:bottom w:val="nil"/>
              <w:right w:val="nil"/>
            </w:tcBorders>
          </w:tcPr>
          <w:p w14:paraId="075B4A6D" w14:textId="77777777" w:rsidR="00921A15" w:rsidRDefault="00921A15" w:rsidP="00895CB4">
            <w:pPr>
              <w:pStyle w:val="NormalWeb"/>
              <w:jc w:val="center"/>
            </w:pPr>
            <w:r>
              <w:t>FCG</w:t>
            </w:r>
          </w:p>
        </w:tc>
        <w:tc>
          <w:tcPr>
            <w:tcW w:w="1482" w:type="dxa"/>
            <w:tcBorders>
              <w:top w:val="nil"/>
              <w:left w:val="nil"/>
              <w:bottom w:val="nil"/>
              <w:right w:val="nil"/>
            </w:tcBorders>
          </w:tcPr>
          <w:p w14:paraId="5442EE12" w14:textId="77777777" w:rsidR="00921A15" w:rsidRDefault="00921A15" w:rsidP="00895CB4">
            <w:pPr>
              <w:pStyle w:val="NormalWeb"/>
              <w:jc w:val="center"/>
            </w:pPr>
            <w:r>
              <w:t>JEN-20</w:t>
            </w:r>
          </w:p>
        </w:tc>
        <w:tc>
          <w:tcPr>
            <w:tcW w:w="3205" w:type="dxa"/>
            <w:tcBorders>
              <w:top w:val="nil"/>
              <w:left w:val="nil"/>
              <w:bottom w:val="nil"/>
              <w:right w:val="nil"/>
            </w:tcBorders>
          </w:tcPr>
          <w:p w14:paraId="26B40467" w14:textId="77777777" w:rsidR="00921A15" w:rsidRDefault="00921A15" w:rsidP="00921A15">
            <w:pPr>
              <w:pStyle w:val="NormalWeb"/>
            </w:pPr>
            <w:r w:rsidRPr="00435589">
              <w:t>Frequency of Observed Annual Market Risk Premium</w:t>
            </w:r>
          </w:p>
        </w:tc>
      </w:tr>
      <w:tr w:rsidR="00921A15" w:rsidRPr="00701945" w14:paraId="2731C1EE" w14:textId="77777777" w:rsidTr="006F034C">
        <w:trPr>
          <w:cantSplit/>
          <w:trHeight w:val="373"/>
        </w:trPr>
        <w:tc>
          <w:tcPr>
            <w:tcW w:w="3198" w:type="dxa"/>
            <w:tcBorders>
              <w:top w:val="nil"/>
              <w:left w:val="nil"/>
              <w:bottom w:val="nil"/>
              <w:right w:val="nil"/>
            </w:tcBorders>
          </w:tcPr>
          <w:p w14:paraId="6BB83314" w14:textId="77777777" w:rsidR="00921A15" w:rsidRDefault="00921A15" w:rsidP="00921A15">
            <w:pPr>
              <w:pStyle w:val="NormalWeb"/>
            </w:pPr>
            <w:r>
              <w:t>Jennifer E. Nelson</w:t>
            </w:r>
          </w:p>
        </w:tc>
        <w:tc>
          <w:tcPr>
            <w:tcW w:w="1680" w:type="dxa"/>
            <w:tcBorders>
              <w:top w:val="nil"/>
              <w:left w:val="nil"/>
              <w:bottom w:val="nil"/>
              <w:right w:val="nil"/>
            </w:tcBorders>
          </w:tcPr>
          <w:p w14:paraId="148C84F9" w14:textId="77777777" w:rsidR="00921A15" w:rsidRDefault="00921A15" w:rsidP="00895CB4">
            <w:pPr>
              <w:pStyle w:val="NormalWeb"/>
              <w:jc w:val="center"/>
            </w:pPr>
            <w:r>
              <w:t>FCG</w:t>
            </w:r>
          </w:p>
        </w:tc>
        <w:tc>
          <w:tcPr>
            <w:tcW w:w="1482" w:type="dxa"/>
            <w:tcBorders>
              <w:top w:val="nil"/>
              <w:left w:val="nil"/>
              <w:bottom w:val="nil"/>
              <w:right w:val="nil"/>
            </w:tcBorders>
          </w:tcPr>
          <w:p w14:paraId="6DD5FDED" w14:textId="77777777" w:rsidR="00921A15" w:rsidRDefault="00921A15" w:rsidP="00895CB4">
            <w:pPr>
              <w:pStyle w:val="NormalWeb"/>
              <w:jc w:val="center"/>
            </w:pPr>
            <w:r>
              <w:t>JEN-21</w:t>
            </w:r>
          </w:p>
        </w:tc>
        <w:tc>
          <w:tcPr>
            <w:tcW w:w="3205" w:type="dxa"/>
            <w:tcBorders>
              <w:top w:val="nil"/>
              <w:left w:val="nil"/>
              <w:bottom w:val="nil"/>
              <w:right w:val="nil"/>
            </w:tcBorders>
          </w:tcPr>
          <w:p w14:paraId="457B5326" w14:textId="77777777" w:rsidR="00921A15" w:rsidRDefault="00921A15" w:rsidP="00921A15">
            <w:pPr>
              <w:pStyle w:val="NormalWeb"/>
            </w:pPr>
            <w:r>
              <w:t>Adjustments to OPC Witness Garrett’s Implied Equity Risk Premium Analysis</w:t>
            </w:r>
          </w:p>
        </w:tc>
      </w:tr>
      <w:tr w:rsidR="00921A15" w:rsidRPr="00701945" w14:paraId="2832D4AD" w14:textId="77777777" w:rsidTr="006F034C">
        <w:trPr>
          <w:cantSplit/>
          <w:trHeight w:val="373"/>
        </w:trPr>
        <w:tc>
          <w:tcPr>
            <w:tcW w:w="3198" w:type="dxa"/>
            <w:tcBorders>
              <w:top w:val="nil"/>
              <w:left w:val="nil"/>
              <w:bottom w:val="nil"/>
              <w:right w:val="nil"/>
            </w:tcBorders>
          </w:tcPr>
          <w:p w14:paraId="3AE99B3B" w14:textId="77777777" w:rsidR="00921A15" w:rsidRDefault="00921A15" w:rsidP="00921A15">
            <w:pPr>
              <w:pStyle w:val="NormalWeb"/>
            </w:pPr>
            <w:r>
              <w:t>Jennifer E. Nelson</w:t>
            </w:r>
          </w:p>
        </w:tc>
        <w:tc>
          <w:tcPr>
            <w:tcW w:w="1680" w:type="dxa"/>
            <w:tcBorders>
              <w:top w:val="nil"/>
              <w:left w:val="nil"/>
              <w:bottom w:val="nil"/>
              <w:right w:val="nil"/>
            </w:tcBorders>
          </w:tcPr>
          <w:p w14:paraId="2EF5031F" w14:textId="77777777" w:rsidR="00921A15" w:rsidRDefault="00921A15" w:rsidP="00895CB4">
            <w:pPr>
              <w:pStyle w:val="NormalWeb"/>
              <w:jc w:val="center"/>
            </w:pPr>
            <w:r>
              <w:t>FCG</w:t>
            </w:r>
          </w:p>
        </w:tc>
        <w:tc>
          <w:tcPr>
            <w:tcW w:w="1482" w:type="dxa"/>
            <w:tcBorders>
              <w:top w:val="nil"/>
              <w:left w:val="nil"/>
              <w:bottom w:val="nil"/>
              <w:right w:val="nil"/>
            </w:tcBorders>
          </w:tcPr>
          <w:p w14:paraId="08858A31" w14:textId="77777777" w:rsidR="00921A15" w:rsidRDefault="00921A15" w:rsidP="00895CB4">
            <w:pPr>
              <w:pStyle w:val="NormalWeb"/>
              <w:jc w:val="center"/>
            </w:pPr>
            <w:r>
              <w:t>JEN-22</w:t>
            </w:r>
          </w:p>
        </w:tc>
        <w:tc>
          <w:tcPr>
            <w:tcW w:w="3205" w:type="dxa"/>
            <w:tcBorders>
              <w:top w:val="nil"/>
              <w:left w:val="nil"/>
              <w:bottom w:val="nil"/>
              <w:right w:val="nil"/>
            </w:tcBorders>
          </w:tcPr>
          <w:p w14:paraId="061329AF" w14:textId="77777777" w:rsidR="00921A15" w:rsidRDefault="00921A15" w:rsidP="00921A15">
            <w:pPr>
              <w:pStyle w:val="NormalWeb"/>
            </w:pPr>
            <w:r w:rsidRPr="00435589">
              <w:t>FEA Witness Walters</w:t>
            </w:r>
            <w:r>
              <w:t>’</w:t>
            </w:r>
            <w:r w:rsidRPr="00435589">
              <w:t xml:space="preserve"> Corrected Beta Coefficients</w:t>
            </w:r>
          </w:p>
        </w:tc>
      </w:tr>
      <w:tr w:rsidR="00921A15" w:rsidRPr="00701945" w14:paraId="5E7DFCA2" w14:textId="77777777" w:rsidTr="006F034C">
        <w:trPr>
          <w:cantSplit/>
          <w:trHeight w:val="373"/>
        </w:trPr>
        <w:tc>
          <w:tcPr>
            <w:tcW w:w="3198" w:type="dxa"/>
            <w:tcBorders>
              <w:top w:val="nil"/>
              <w:left w:val="nil"/>
              <w:bottom w:val="nil"/>
              <w:right w:val="nil"/>
            </w:tcBorders>
          </w:tcPr>
          <w:p w14:paraId="4115A9DE" w14:textId="77777777" w:rsidR="00921A15" w:rsidRDefault="00921A15" w:rsidP="00921A15">
            <w:pPr>
              <w:pStyle w:val="NormalWeb"/>
            </w:pPr>
            <w:r>
              <w:t>Jennifer E. Nelson</w:t>
            </w:r>
          </w:p>
        </w:tc>
        <w:tc>
          <w:tcPr>
            <w:tcW w:w="1680" w:type="dxa"/>
            <w:tcBorders>
              <w:top w:val="nil"/>
              <w:left w:val="nil"/>
              <w:bottom w:val="nil"/>
              <w:right w:val="nil"/>
            </w:tcBorders>
          </w:tcPr>
          <w:p w14:paraId="77228C40" w14:textId="77777777" w:rsidR="00921A15" w:rsidRDefault="00921A15" w:rsidP="00895CB4">
            <w:pPr>
              <w:pStyle w:val="NormalWeb"/>
              <w:jc w:val="center"/>
            </w:pPr>
            <w:r>
              <w:t>FCG</w:t>
            </w:r>
          </w:p>
        </w:tc>
        <w:tc>
          <w:tcPr>
            <w:tcW w:w="1482" w:type="dxa"/>
            <w:tcBorders>
              <w:top w:val="nil"/>
              <w:left w:val="nil"/>
              <w:bottom w:val="nil"/>
              <w:right w:val="nil"/>
            </w:tcBorders>
          </w:tcPr>
          <w:p w14:paraId="036B74F4" w14:textId="77777777" w:rsidR="00921A15" w:rsidRDefault="00921A15" w:rsidP="00895CB4">
            <w:pPr>
              <w:pStyle w:val="NormalWeb"/>
              <w:jc w:val="center"/>
            </w:pPr>
            <w:r>
              <w:t>JEN-23</w:t>
            </w:r>
          </w:p>
        </w:tc>
        <w:tc>
          <w:tcPr>
            <w:tcW w:w="3205" w:type="dxa"/>
            <w:tcBorders>
              <w:top w:val="nil"/>
              <w:left w:val="nil"/>
              <w:bottom w:val="nil"/>
              <w:right w:val="nil"/>
            </w:tcBorders>
          </w:tcPr>
          <w:p w14:paraId="4C72784D" w14:textId="77777777" w:rsidR="00921A15" w:rsidRDefault="00921A15" w:rsidP="00921A15">
            <w:pPr>
              <w:pStyle w:val="NormalWeb"/>
            </w:pPr>
            <w:r w:rsidRPr="00435589">
              <w:t>Adjustments to FEA Witness Walters’ CAPM Analysis</w:t>
            </w:r>
          </w:p>
        </w:tc>
      </w:tr>
    </w:tbl>
    <w:p w14:paraId="2251CAD0" w14:textId="77777777" w:rsidR="00C24ECE" w:rsidRDefault="00C24ECE" w:rsidP="00E50AC7">
      <w:pPr>
        <w:jc w:val="both"/>
      </w:pPr>
    </w:p>
    <w:p w14:paraId="36DE5FFC" w14:textId="77777777" w:rsidR="00E50AC7" w:rsidRPr="00701945" w:rsidRDefault="00E50AC7" w:rsidP="00E50AC7">
      <w:pPr>
        <w:jc w:val="both"/>
      </w:pPr>
      <w:r w:rsidRPr="00701945">
        <w:tab/>
        <w:t>Parties and Staff reserve the right to identify additional exhibits for the purpose of cross-examination.</w:t>
      </w:r>
    </w:p>
    <w:p w14:paraId="0C1518E6" w14:textId="77777777" w:rsidR="00E50AC7" w:rsidRDefault="00E50AC7" w:rsidP="00E50AC7">
      <w:pPr>
        <w:jc w:val="both"/>
      </w:pPr>
    </w:p>
    <w:p w14:paraId="2068D492" w14:textId="77777777" w:rsidR="00E50AC7" w:rsidRPr="00701945" w:rsidRDefault="00E50AC7" w:rsidP="00E50AC7">
      <w:pPr>
        <w:jc w:val="both"/>
      </w:pPr>
    </w:p>
    <w:p w14:paraId="70AFB489" w14:textId="77777777" w:rsidR="00465D85" w:rsidRDefault="00E50AC7" w:rsidP="00465D85">
      <w:pPr>
        <w:jc w:val="both"/>
        <w:rPr>
          <w:b/>
        </w:rPr>
      </w:pPr>
      <w:r w:rsidRPr="00A32DC5">
        <w:rPr>
          <w:b/>
        </w:rPr>
        <w:t>X.</w:t>
      </w:r>
      <w:r w:rsidRPr="00A32DC5">
        <w:rPr>
          <w:b/>
        </w:rPr>
        <w:tab/>
      </w:r>
      <w:r w:rsidRPr="00A32DC5">
        <w:rPr>
          <w:b/>
          <w:u w:val="single"/>
        </w:rPr>
        <w:t>PROPOSED STIPULATIONS</w:t>
      </w:r>
    </w:p>
    <w:p w14:paraId="1FADE142" w14:textId="77777777" w:rsidR="00465D85" w:rsidRDefault="00465D85" w:rsidP="00465D85">
      <w:pPr>
        <w:jc w:val="both"/>
      </w:pPr>
    </w:p>
    <w:p w14:paraId="17109609" w14:textId="2C15B9B7" w:rsidR="001817C3" w:rsidRDefault="00465D85" w:rsidP="00E2121F">
      <w:pPr>
        <w:ind w:firstLine="720"/>
        <w:jc w:val="both"/>
      </w:pPr>
      <w:r>
        <w:t xml:space="preserve">There are no proposed stipulations at this time. </w:t>
      </w:r>
    </w:p>
    <w:p w14:paraId="58826EA8" w14:textId="7D30D298" w:rsidR="00112E7F" w:rsidRDefault="00112E7F" w:rsidP="00E2121F">
      <w:pPr>
        <w:ind w:firstLine="720"/>
        <w:jc w:val="both"/>
      </w:pPr>
    </w:p>
    <w:p w14:paraId="550C1DDC" w14:textId="77777777" w:rsidR="00112E7F" w:rsidRDefault="00112E7F" w:rsidP="00E2121F">
      <w:pPr>
        <w:ind w:firstLine="720"/>
        <w:jc w:val="both"/>
        <w:rPr>
          <w:b/>
        </w:rPr>
      </w:pPr>
    </w:p>
    <w:p w14:paraId="72589A8D" w14:textId="77777777" w:rsidR="00E50AC7" w:rsidRPr="00A32DC5" w:rsidRDefault="00E50AC7" w:rsidP="00E50AC7">
      <w:pPr>
        <w:jc w:val="both"/>
        <w:rPr>
          <w:b/>
        </w:rPr>
      </w:pPr>
      <w:r w:rsidRPr="00A32DC5">
        <w:rPr>
          <w:b/>
        </w:rPr>
        <w:t>XI.</w:t>
      </w:r>
      <w:r w:rsidRPr="00A32DC5">
        <w:rPr>
          <w:b/>
        </w:rPr>
        <w:tab/>
      </w:r>
      <w:r w:rsidRPr="00A32DC5">
        <w:rPr>
          <w:b/>
          <w:u w:val="single"/>
        </w:rPr>
        <w:t>PENDING MOTIONS</w:t>
      </w:r>
    </w:p>
    <w:p w14:paraId="4C2E17C5" w14:textId="77777777" w:rsidR="00E50AC7" w:rsidRDefault="00E50AC7" w:rsidP="00E50AC7">
      <w:pPr>
        <w:jc w:val="both"/>
      </w:pPr>
    </w:p>
    <w:p w14:paraId="1F52C6D9" w14:textId="77777777" w:rsidR="00C3393C" w:rsidRDefault="00FD16A9" w:rsidP="00FD16A9">
      <w:pPr>
        <w:pStyle w:val="Default"/>
        <w:ind w:firstLine="720"/>
        <w:jc w:val="both"/>
      </w:pPr>
      <w:r>
        <w:t>None.</w:t>
      </w:r>
    </w:p>
    <w:p w14:paraId="45A323FC" w14:textId="77777777" w:rsidR="00FD16A9" w:rsidRDefault="00FD16A9" w:rsidP="00112E7F">
      <w:pPr>
        <w:pStyle w:val="Default"/>
        <w:ind w:firstLine="720"/>
      </w:pPr>
    </w:p>
    <w:p w14:paraId="1EA85A62" w14:textId="77777777" w:rsidR="00EF1922" w:rsidRDefault="00EF1922" w:rsidP="006423DF">
      <w:pPr>
        <w:pStyle w:val="Default"/>
        <w:ind w:left="1440" w:hanging="1440"/>
        <w:jc w:val="both"/>
      </w:pPr>
    </w:p>
    <w:p w14:paraId="3BA0214B" w14:textId="77777777" w:rsidR="00E50AC7" w:rsidRPr="00A32DC5" w:rsidRDefault="00E50AC7" w:rsidP="00E50AC7">
      <w:pPr>
        <w:jc w:val="both"/>
        <w:rPr>
          <w:b/>
        </w:rPr>
      </w:pPr>
      <w:r w:rsidRPr="00A32DC5">
        <w:rPr>
          <w:b/>
        </w:rPr>
        <w:t>XII.</w:t>
      </w:r>
      <w:r w:rsidRPr="00A32DC5">
        <w:rPr>
          <w:b/>
        </w:rPr>
        <w:tab/>
      </w:r>
      <w:r w:rsidRPr="00A32DC5">
        <w:rPr>
          <w:b/>
          <w:u w:val="single"/>
        </w:rPr>
        <w:t>PENDING CONFIDENTIALITY MATTERS</w:t>
      </w:r>
    </w:p>
    <w:p w14:paraId="0929FCDC" w14:textId="77777777" w:rsidR="00E50AC7" w:rsidRDefault="00E50AC7" w:rsidP="00E50AC7">
      <w:pPr>
        <w:jc w:val="both"/>
      </w:pPr>
    </w:p>
    <w:p w14:paraId="2AD649C2" w14:textId="77777777" w:rsidR="007F43B3" w:rsidRDefault="00465D85" w:rsidP="00A35FED">
      <w:pPr>
        <w:pStyle w:val="Default"/>
        <w:ind w:left="1440" w:hanging="720"/>
        <w:jc w:val="both"/>
      </w:pPr>
      <w:r>
        <w:t xml:space="preserve">There </w:t>
      </w:r>
      <w:r w:rsidR="00EF1922">
        <w:t>are no</w:t>
      </w:r>
      <w:r>
        <w:t xml:space="preserve"> pending confidentiality</w:t>
      </w:r>
      <w:r w:rsidR="00EF1922">
        <w:t xml:space="preserve"> matters</w:t>
      </w:r>
      <w:r w:rsidR="00A35FED">
        <w:t>.</w:t>
      </w:r>
    </w:p>
    <w:p w14:paraId="79D8560A" w14:textId="77777777" w:rsidR="00FD16A9" w:rsidRDefault="00FD16A9" w:rsidP="00A35FED">
      <w:pPr>
        <w:pStyle w:val="Default"/>
        <w:ind w:left="1440" w:hanging="720"/>
        <w:jc w:val="both"/>
      </w:pPr>
    </w:p>
    <w:p w14:paraId="7B69B12B" w14:textId="77777777" w:rsidR="007F43B3" w:rsidRPr="00070C96" w:rsidRDefault="007F43B3" w:rsidP="002E5A22">
      <w:pPr>
        <w:pStyle w:val="Default"/>
        <w:ind w:left="1440" w:hanging="720"/>
        <w:jc w:val="both"/>
      </w:pPr>
    </w:p>
    <w:p w14:paraId="20BEC26C" w14:textId="77777777" w:rsidR="00E50AC7" w:rsidRPr="00A32DC5" w:rsidRDefault="00E50AC7" w:rsidP="00E50AC7">
      <w:pPr>
        <w:jc w:val="both"/>
        <w:rPr>
          <w:b/>
        </w:rPr>
      </w:pPr>
      <w:r w:rsidRPr="00A32DC5">
        <w:rPr>
          <w:b/>
        </w:rPr>
        <w:t>XIII.</w:t>
      </w:r>
      <w:r w:rsidRPr="00A32DC5">
        <w:rPr>
          <w:b/>
        </w:rPr>
        <w:tab/>
      </w:r>
      <w:r w:rsidRPr="00A32DC5">
        <w:rPr>
          <w:b/>
          <w:u w:val="single"/>
        </w:rPr>
        <w:t>POST-HEARING PROCEDURES</w:t>
      </w:r>
    </w:p>
    <w:p w14:paraId="51357031" w14:textId="77777777" w:rsidR="00E50AC7" w:rsidRPr="00701945" w:rsidRDefault="00E50AC7" w:rsidP="00E50AC7">
      <w:pPr>
        <w:jc w:val="both"/>
      </w:pPr>
    </w:p>
    <w:p w14:paraId="0A1DE22B" w14:textId="77777777" w:rsidR="00E50AC7" w:rsidRPr="00701945" w:rsidRDefault="00E50AC7" w:rsidP="00E50AC7">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AA0E34">
        <w:t>100</w:t>
      </w:r>
      <w:r w:rsidRPr="00701945">
        <w:t xml:space="preserve"> words, it must be reduced to no more than </w:t>
      </w:r>
      <w:r w:rsidR="00AA0E34">
        <w:t>100</w:t>
      </w:r>
      <w:r w:rsidRPr="00701945">
        <w:t xml:space="preserve"> words.  If a party fails to file a post-hearing statement, that party shall have waived all issues and may be dismissed from the proceeding.</w:t>
      </w:r>
    </w:p>
    <w:p w14:paraId="377A4158" w14:textId="77777777" w:rsidR="00E50AC7" w:rsidRPr="00701945" w:rsidRDefault="00E50AC7" w:rsidP="00E50AC7">
      <w:pPr>
        <w:jc w:val="both"/>
      </w:pPr>
    </w:p>
    <w:p w14:paraId="6829AFDF" w14:textId="77777777" w:rsidR="006302EA" w:rsidRPr="00701945" w:rsidRDefault="00E50AC7" w:rsidP="006302EA">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AA0E34">
        <w:t>100</w:t>
      </w:r>
      <w:r w:rsidRPr="00701945">
        <w:t xml:space="preserve"> pages and shall be filed </w:t>
      </w:r>
      <w:r w:rsidR="006302EA" w:rsidRPr="00942DA2">
        <w:t>no later than</w:t>
      </w:r>
      <w:r w:rsidR="006302EA" w:rsidRPr="00703AB0">
        <w:rPr>
          <w:color w:val="000000" w:themeColor="text1"/>
        </w:rPr>
        <w:t xml:space="preserve"> </w:t>
      </w:r>
      <w:r w:rsidR="00703AB0" w:rsidRPr="00703AB0">
        <w:rPr>
          <w:color w:val="000000" w:themeColor="text1"/>
        </w:rPr>
        <w:t xml:space="preserve">January 9, </w:t>
      </w:r>
      <w:r w:rsidR="006302EA" w:rsidRPr="00703AB0">
        <w:rPr>
          <w:color w:val="000000" w:themeColor="text1"/>
        </w:rPr>
        <w:t xml:space="preserve">2023. </w:t>
      </w:r>
    </w:p>
    <w:p w14:paraId="224CF53A" w14:textId="77777777" w:rsidR="00E50AC7" w:rsidRDefault="00E50AC7" w:rsidP="00E50AC7">
      <w:pPr>
        <w:jc w:val="both"/>
      </w:pPr>
    </w:p>
    <w:p w14:paraId="7D68652B" w14:textId="77777777" w:rsidR="00E50AC7" w:rsidRDefault="00E50AC7" w:rsidP="00E50AC7">
      <w:pPr>
        <w:jc w:val="both"/>
      </w:pPr>
    </w:p>
    <w:p w14:paraId="28FE1E2E" w14:textId="77777777" w:rsidR="00E50AC7" w:rsidRPr="00A32DC5" w:rsidRDefault="00E50AC7" w:rsidP="00E50AC7">
      <w:pPr>
        <w:jc w:val="both"/>
        <w:rPr>
          <w:b/>
        </w:rPr>
      </w:pPr>
      <w:r w:rsidRPr="00A32DC5">
        <w:rPr>
          <w:b/>
        </w:rPr>
        <w:t>XIV.</w:t>
      </w:r>
      <w:r w:rsidRPr="00A32DC5">
        <w:rPr>
          <w:b/>
        </w:rPr>
        <w:tab/>
      </w:r>
      <w:r w:rsidRPr="00A32DC5">
        <w:rPr>
          <w:b/>
          <w:u w:val="single"/>
        </w:rPr>
        <w:t>RULINGS</w:t>
      </w:r>
    </w:p>
    <w:p w14:paraId="37D8926B" w14:textId="77777777" w:rsidR="00E50AC7" w:rsidRPr="00701945" w:rsidRDefault="00E50AC7" w:rsidP="00E50AC7">
      <w:pPr>
        <w:jc w:val="both"/>
      </w:pPr>
    </w:p>
    <w:p w14:paraId="0A75E632" w14:textId="354F02D3" w:rsidR="00E50AC7" w:rsidRDefault="00E50AC7" w:rsidP="00E50AC7">
      <w:pPr>
        <w:ind w:firstLine="720"/>
        <w:jc w:val="both"/>
        <w:rPr>
          <w:color w:val="FF0000"/>
        </w:rPr>
      </w:pPr>
      <w:r w:rsidRPr="00701945">
        <w:t xml:space="preserve">Opening statements, if any, shall not exceed </w:t>
      </w:r>
      <w:r w:rsidR="006841FD">
        <w:t>10</w:t>
      </w:r>
      <w:r w:rsidRPr="00701945">
        <w:t xml:space="preserve"> minutes per party.</w:t>
      </w:r>
      <w:r>
        <w:t xml:space="preserve"> </w:t>
      </w:r>
    </w:p>
    <w:p w14:paraId="680CBF0A" w14:textId="77777777" w:rsidR="001467A9" w:rsidRDefault="001467A9" w:rsidP="00E50AC7">
      <w:pPr>
        <w:ind w:firstLine="720"/>
        <w:jc w:val="both"/>
        <w:rPr>
          <w:color w:val="FF0000"/>
        </w:rPr>
      </w:pPr>
    </w:p>
    <w:p w14:paraId="4C09C949" w14:textId="368643E2" w:rsidR="00EF1922" w:rsidRDefault="00EF1922" w:rsidP="00EF1922">
      <w:pPr>
        <w:pStyle w:val="Default"/>
        <w:ind w:firstLine="720"/>
        <w:jc w:val="both"/>
      </w:pPr>
      <w:r>
        <w:t>OPC’s motion to allow one of their experts to participate in the hearing via the GoToMeeting platform is granted.</w:t>
      </w:r>
    </w:p>
    <w:p w14:paraId="12CD3C5A" w14:textId="57726054" w:rsidR="00DD0774" w:rsidRDefault="00DD0774" w:rsidP="00E50AC7">
      <w:pPr>
        <w:jc w:val="both"/>
      </w:pPr>
    </w:p>
    <w:p w14:paraId="302BB895" w14:textId="77777777" w:rsidR="00E50AC7" w:rsidRPr="00701945" w:rsidRDefault="00E50AC7" w:rsidP="00E50AC7">
      <w:pPr>
        <w:jc w:val="both"/>
      </w:pPr>
      <w:r w:rsidRPr="00701945">
        <w:tab/>
        <w:t>It is therefore,</w:t>
      </w:r>
    </w:p>
    <w:p w14:paraId="1854FE07" w14:textId="77777777" w:rsidR="00E50AC7" w:rsidRPr="00701945" w:rsidRDefault="00E50AC7" w:rsidP="00E50AC7">
      <w:pPr>
        <w:jc w:val="both"/>
      </w:pPr>
    </w:p>
    <w:p w14:paraId="0FA21A7A" w14:textId="77777777" w:rsidR="00E50AC7" w:rsidRPr="00701945" w:rsidRDefault="00E50AC7" w:rsidP="00E50AC7">
      <w:pPr>
        <w:jc w:val="both"/>
      </w:pPr>
      <w:r w:rsidRPr="00701945">
        <w:tab/>
        <w:t xml:space="preserve">ORDERED by </w:t>
      </w:r>
      <w:r w:rsidR="007B4EE4">
        <w:t>Chairman Andrew Giles Fay</w:t>
      </w:r>
      <w:r w:rsidRPr="00701945">
        <w:t>, as Prehearing Officer, that this Prehearing Order shall govern the conduct of these proceedings as set forth above unless modified by the Commission.</w:t>
      </w:r>
    </w:p>
    <w:p w14:paraId="58DE7C2E" w14:textId="77777777" w:rsidR="00E50AC7" w:rsidRDefault="00E50AC7" w:rsidP="00E50AC7">
      <w:pPr>
        <w:jc w:val="both"/>
      </w:pPr>
    </w:p>
    <w:p w14:paraId="6F8BC90D" w14:textId="531D2833" w:rsidR="007B4EE4" w:rsidRDefault="007B4EE4" w:rsidP="007B4EE4">
      <w:pPr>
        <w:keepNext/>
        <w:keepLines/>
        <w:jc w:val="both"/>
      </w:pPr>
      <w:r w:rsidRPr="007B4EE4">
        <w:tab/>
        <w:t xml:space="preserve">By ORDER of Chairman Andrew Giles Fay, as Presiding Officer, this </w:t>
      </w:r>
      <w:bookmarkStart w:id="6" w:name="replaceDate"/>
      <w:bookmarkEnd w:id="6"/>
      <w:r w:rsidR="00057B19">
        <w:rPr>
          <w:u w:val="single"/>
        </w:rPr>
        <w:t>8th</w:t>
      </w:r>
      <w:r w:rsidR="00057B19">
        <w:t xml:space="preserve"> day of </w:t>
      </w:r>
      <w:r w:rsidR="00057B19">
        <w:rPr>
          <w:u w:val="single"/>
        </w:rPr>
        <w:t>December</w:t>
      </w:r>
      <w:r w:rsidR="00057B19">
        <w:t xml:space="preserve">, </w:t>
      </w:r>
      <w:r w:rsidR="00057B19">
        <w:rPr>
          <w:u w:val="single"/>
        </w:rPr>
        <w:t>2022</w:t>
      </w:r>
      <w:r w:rsidR="00057B19">
        <w:t>.</w:t>
      </w:r>
    </w:p>
    <w:p w14:paraId="209C0FA9" w14:textId="77777777" w:rsidR="00057B19" w:rsidRPr="00057B19" w:rsidRDefault="00057B19" w:rsidP="007B4EE4">
      <w:pPr>
        <w:keepNext/>
        <w:keepLines/>
        <w:jc w:val="both"/>
      </w:pPr>
    </w:p>
    <w:p w14:paraId="60ACE784" w14:textId="77777777" w:rsidR="007B4EE4" w:rsidRPr="007B4EE4" w:rsidRDefault="007B4EE4" w:rsidP="007B4EE4">
      <w:pPr>
        <w:keepNext/>
        <w:keepLines/>
        <w:jc w:val="both"/>
      </w:pPr>
    </w:p>
    <w:p w14:paraId="643A8D17" w14:textId="77777777" w:rsidR="007B4EE4" w:rsidRPr="007B4EE4" w:rsidRDefault="007B4EE4" w:rsidP="007B4EE4">
      <w:pPr>
        <w:keepNext/>
        <w:keepLines/>
        <w:jc w:val="both"/>
      </w:pPr>
    </w:p>
    <w:p w14:paraId="354398E7" w14:textId="77777777" w:rsidR="007B4EE4" w:rsidRPr="007B4EE4" w:rsidRDefault="007B4EE4" w:rsidP="007B4EE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4EE4" w:rsidRPr="007B4EE4" w14:paraId="242A4AE8" w14:textId="77777777" w:rsidTr="007B4EE4">
        <w:tc>
          <w:tcPr>
            <w:tcW w:w="720" w:type="dxa"/>
            <w:shd w:val="clear" w:color="auto" w:fill="auto"/>
          </w:tcPr>
          <w:p w14:paraId="7D4D9ED2" w14:textId="77777777" w:rsidR="007B4EE4" w:rsidRPr="007B4EE4" w:rsidRDefault="007B4EE4" w:rsidP="007B4EE4">
            <w:pPr>
              <w:keepNext/>
              <w:keepLines/>
              <w:jc w:val="both"/>
            </w:pPr>
            <w:bookmarkStart w:id="7" w:name="bkmrkSignature" w:colFirst="0" w:colLast="0"/>
          </w:p>
        </w:tc>
        <w:tc>
          <w:tcPr>
            <w:tcW w:w="4320" w:type="dxa"/>
            <w:tcBorders>
              <w:bottom w:val="single" w:sz="4" w:space="0" w:color="auto"/>
            </w:tcBorders>
            <w:shd w:val="clear" w:color="auto" w:fill="auto"/>
          </w:tcPr>
          <w:p w14:paraId="25D2D461" w14:textId="39809837" w:rsidR="007B4EE4" w:rsidRPr="007B4EE4" w:rsidRDefault="003138A8" w:rsidP="007B4EE4">
            <w:pPr>
              <w:keepNext/>
              <w:keepLines/>
              <w:jc w:val="both"/>
            </w:pPr>
            <w:r>
              <w:t>/s/ Andrew Giles Fay</w:t>
            </w:r>
            <w:bookmarkStart w:id="8" w:name="_GoBack"/>
            <w:bookmarkEnd w:id="8"/>
          </w:p>
        </w:tc>
      </w:tr>
      <w:bookmarkEnd w:id="7"/>
      <w:tr w:rsidR="007B4EE4" w:rsidRPr="007B4EE4" w14:paraId="46AF2F49" w14:textId="77777777" w:rsidTr="007B4EE4">
        <w:tc>
          <w:tcPr>
            <w:tcW w:w="720" w:type="dxa"/>
            <w:shd w:val="clear" w:color="auto" w:fill="auto"/>
          </w:tcPr>
          <w:p w14:paraId="05886C91" w14:textId="77777777" w:rsidR="007B4EE4" w:rsidRPr="007B4EE4" w:rsidRDefault="007B4EE4" w:rsidP="007B4EE4">
            <w:pPr>
              <w:keepNext/>
              <w:keepLines/>
              <w:jc w:val="both"/>
            </w:pPr>
          </w:p>
        </w:tc>
        <w:tc>
          <w:tcPr>
            <w:tcW w:w="4320" w:type="dxa"/>
            <w:tcBorders>
              <w:top w:val="single" w:sz="4" w:space="0" w:color="auto"/>
            </w:tcBorders>
            <w:shd w:val="clear" w:color="auto" w:fill="auto"/>
          </w:tcPr>
          <w:p w14:paraId="5DB9B8B0" w14:textId="77777777" w:rsidR="007B4EE4" w:rsidRPr="007B4EE4" w:rsidRDefault="007B4EE4" w:rsidP="007B4EE4">
            <w:pPr>
              <w:keepNext/>
              <w:keepLines/>
              <w:jc w:val="both"/>
            </w:pPr>
            <w:r w:rsidRPr="007B4EE4">
              <w:t>ANDREW GILES FAY</w:t>
            </w:r>
          </w:p>
          <w:p w14:paraId="38EF12C0" w14:textId="77777777" w:rsidR="007B4EE4" w:rsidRPr="007B4EE4" w:rsidRDefault="007B4EE4" w:rsidP="007B4EE4">
            <w:pPr>
              <w:keepNext/>
              <w:keepLines/>
              <w:jc w:val="both"/>
            </w:pPr>
            <w:r w:rsidRPr="007B4EE4">
              <w:t>Chairman and Presiding Officer</w:t>
            </w:r>
          </w:p>
        </w:tc>
      </w:tr>
    </w:tbl>
    <w:p w14:paraId="49B5CDB3" w14:textId="77777777" w:rsidR="007B4EE4" w:rsidRDefault="007B4EE4" w:rsidP="007B4EE4">
      <w:pPr>
        <w:pStyle w:val="OrderSigInfo"/>
        <w:keepNext/>
        <w:keepLines/>
      </w:pPr>
      <w:r>
        <w:t>Florida Public Service Commission</w:t>
      </w:r>
    </w:p>
    <w:p w14:paraId="5EA11F1F" w14:textId="77777777" w:rsidR="007B4EE4" w:rsidRDefault="007B4EE4" w:rsidP="007B4EE4">
      <w:pPr>
        <w:pStyle w:val="OrderSigInfo"/>
        <w:keepNext/>
        <w:keepLines/>
      </w:pPr>
      <w:r>
        <w:t>2540 Shumard Oak Boulevard</w:t>
      </w:r>
    </w:p>
    <w:p w14:paraId="6633D2F5" w14:textId="77777777" w:rsidR="007B4EE4" w:rsidRDefault="007B4EE4" w:rsidP="007B4EE4">
      <w:pPr>
        <w:pStyle w:val="OrderSigInfo"/>
        <w:keepNext/>
        <w:keepLines/>
      </w:pPr>
      <w:r>
        <w:t>Tallahassee, Florida 32399</w:t>
      </w:r>
    </w:p>
    <w:p w14:paraId="6D30F404" w14:textId="77777777" w:rsidR="007B4EE4" w:rsidRDefault="007B4EE4" w:rsidP="007B4EE4">
      <w:pPr>
        <w:pStyle w:val="OrderSigInfo"/>
        <w:keepNext/>
        <w:keepLines/>
      </w:pPr>
      <w:r>
        <w:t>(850) 413</w:t>
      </w:r>
      <w:r>
        <w:noBreakHyphen/>
        <w:t>6770</w:t>
      </w:r>
    </w:p>
    <w:p w14:paraId="0A0E36B1" w14:textId="77777777" w:rsidR="007B4EE4" w:rsidRDefault="007B4EE4" w:rsidP="007B4EE4">
      <w:pPr>
        <w:pStyle w:val="OrderSigInfo"/>
        <w:keepNext/>
        <w:keepLines/>
      </w:pPr>
      <w:r>
        <w:t>www.floridapsc.com</w:t>
      </w:r>
    </w:p>
    <w:p w14:paraId="5E54D3E1" w14:textId="77777777" w:rsidR="007B4EE4" w:rsidRDefault="007B4EE4" w:rsidP="007B4EE4">
      <w:pPr>
        <w:pStyle w:val="OrderSigInfo"/>
        <w:keepNext/>
        <w:keepLines/>
      </w:pPr>
    </w:p>
    <w:p w14:paraId="775145B0" w14:textId="77777777" w:rsidR="007B4EE4" w:rsidRDefault="007B4EE4" w:rsidP="007B4EE4">
      <w:pPr>
        <w:pStyle w:val="OrderSigInfo"/>
        <w:keepNext/>
        <w:keepLines/>
      </w:pPr>
      <w:r>
        <w:t>Copies furnished:  A copy of this document is provided to the parties of record at the time of issuance and, if applicable, interested persons.</w:t>
      </w:r>
    </w:p>
    <w:p w14:paraId="03EB60CF" w14:textId="77777777" w:rsidR="00A84B3B" w:rsidRPr="00A84B3B" w:rsidRDefault="00A84B3B" w:rsidP="007B4EE4">
      <w:pPr>
        <w:jc w:val="both"/>
      </w:pPr>
    </w:p>
    <w:p w14:paraId="77EDA004" w14:textId="77777777" w:rsidR="00335C41" w:rsidRDefault="00A84B3B" w:rsidP="00FD3FE5">
      <w:pPr>
        <w:jc w:val="both"/>
      </w:pPr>
      <w:r w:rsidRPr="00A84B3B">
        <w:t>WLT</w:t>
      </w:r>
      <w:r w:rsidR="001467A9">
        <w:t>/MJJ</w:t>
      </w:r>
    </w:p>
    <w:p w14:paraId="70057C52" w14:textId="4E5ACB1E" w:rsidR="00A35FED" w:rsidRDefault="00DD0774" w:rsidP="00DD0774">
      <w:r>
        <w:br w:type="page"/>
      </w:r>
    </w:p>
    <w:p w14:paraId="4F70E0F8" w14:textId="77777777" w:rsidR="00A84B3B" w:rsidRDefault="00A84B3B" w:rsidP="00A84B3B">
      <w:pPr>
        <w:pStyle w:val="CenterUnderline"/>
      </w:pPr>
      <w:r>
        <w:t>NOTICE OF FURTHER PROCEEDINGS OR JUDICIAL REVIEW</w:t>
      </w:r>
    </w:p>
    <w:p w14:paraId="38735FE4" w14:textId="77777777" w:rsidR="00A84B3B" w:rsidRDefault="00A84B3B" w:rsidP="00A84B3B">
      <w:pPr>
        <w:pStyle w:val="CenterUnderline"/>
      </w:pPr>
    </w:p>
    <w:p w14:paraId="3D32777C" w14:textId="77777777" w:rsidR="00A84B3B" w:rsidRDefault="00A84B3B" w:rsidP="00A84B3B">
      <w:pPr>
        <w:pStyle w:val="OrderBody"/>
      </w:pPr>
      <w:r>
        <w:tab/>
        <w:t>The Florida Public Service Commission is required by S</w:t>
      </w:r>
      <w:r w:rsidR="001467A9">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41E98BA" w14:textId="77777777" w:rsidR="00A84B3B" w:rsidRDefault="00A84B3B" w:rsidP="00A84B3B">
      <w:pPr>
        <w:pStyle w:val="OrderBody"/>
      </w:pPr>
    </w:p>
    <w:p w14:paraId="34D5F8C1" w14:textId="77777777" w:rsidR="00A84B3B" w:rsidRDefault="00A84B3B" w:rsidP="00A84B3B">
      <w:pPr>
        <w:pStyle w:val="OrderBody"/>
      </w:pPr>
      <w:r>
        <w:tab/>
        <w:t>Mediation may be available on a case-by-case basis.  If mediation is conducted, it does not affect a substantially interested person's right to a hearing.</w:t>
      </w:r>
    </w:p>
    <w:p w14:paraId="0FB4CE25" w14:textId="77777777" w:rsidR="00A84B3B" w:rsidRDefault="00A84B3B" w:rsidP="00A84B3B">
      <w:pPr>
        <w:pStyle w:val="OrderBody"/>
      </w:pPr>
    </w:p>
    <w:p w14:paraId="2655269A" w14:textId="77777777" w:rsidR="00A84B3B" w:rsidRDefault="00A84B3B" w:rsidP="00A84B3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84B3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5657" w14:textId="77777777" w:rsidR="006D0855" w:rsidRDefault="006D0855">
      <w:r>
        <w:separator/>
      </w:r>
    </w:p>
  </w:endnote>
  <w:endnote w:type="continuationSeparator" w:id="0">
    <w:p w14:paraId="14157309" w14:textId="77777777" w:rsidR="006D0855" w:rsidRDefault="006D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F546F" w14:textId="77777777" w:rsidR="006D0855" w:rsidRDefault="006D0855">
    <w:pPr>
      <w:pStyle w:val="Footer"/>
    </w:pPr>
  </w:p>
  <w:p w14:paraId="5E770C00" w14:textId="77777777" w:rsidR="006D0855" w:rsidRDefault="006D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C1248" w14:textId="77777777" w:rsidR="006D0855" w:rsidRDefault="006D0855">
      <w:r>
        <w:separator/>
      </w:r>
    </w:p>
  </w:footnote>
  <w:footnote w:type="continuationSeparator" w:id="0">
    <w:p w14:paraId="7BA50C3E" w14:textId="77777777" w:rsidR="006D0855" w:rsidRDefault="006D0855">
      <w:r>
        <w:continuationSeparator/>
      </w:r>
    </w:p>
  </w:footnote>
  <w:footnote w:id="1">
    <w:p w14:paraId="4A588C75" w14:textId="77777777" w:rsidR="006D0855" w:rsidRDefault="006D0855">
      <w:pPr>
        <w:pStyle w:val="FootnoteText"/>
      </w:pPr>
      <w:r>
        <w:rPr>
          <w:rStyle w:val="FootnoteReference"/>
        </w:rPr>
        <w:footnoteRef/>
      </w:r>
      <w:r>
        <w:t xml:space="preserve"> Order No. PSC-2018-0190-FOF-GU, issued April 20, 2018, in Docket No. 20170179-GU, </w:t>
      </w:r>
      <w:r>
        <w:rPr>
          <w:i/>
          <w:iCs/>
        </w:rPr>
        <w:t>In re: Petition for rate increase by Florida City Gas.</w:t>
      </w:r>
    </w:p>
  </w:footnote>
  <w:footnote w:id="2">
    <w:p w14:paraId="1F22669A" w14:textId="53C31D3F" w:rsidR="006D0855" w:rsidRDefault="006D0855">
      <w:pPr>
        <w:pStyle w:val="FootnoteText"/>
      </w:pPr>
      <w:r>
        <w:rPr>
          <w:rStyle w:val="FootnoteReference"/>
        </w:rPr>
        <w:footnoteRef/>
      </w:r>
      <w:r>
        <w:t xml:space="preserve"> Participating by GoToMeeting.</w:t>
      </w:r>
    </w:p>
  </w:footnote>
  <w:footnote w:id="3">
    <w:p w14:paraId="4211434A" w14:textId="77777777" w:rsidR="006D0855" w:rsidRDefault="006D0855" w:rsidP="00255B7F">
      <w:pPr>
        <w:pStyle w:val="FootnoteText"/>
      </w:pPr>
      <w:r>
        <w:rPr>
          <w:rStyle w:val="FootnoteReference"/>
        </w:rPr>
        <w:footnoteRef/>
      </w:r>
      <w:r>
        <w:t xml:space="preserve"> As recalculated in the rebuttal testimony of FCG witness Fuentes and Exhibit LF-11.</w:t>
      </w:r>
    </w:p>
  </w:footnote>
  <w:footnote w:id="4">
    <w:p w14:paraId="2B4F3F1B" w14:textId="77777777" w:rsidR="006D0855" w:rsidRPr="00895CC1" w:rsidRDefault="006D0855" w:rsidP="00255B7F">
      <w:pPr>
        <w:pStyle w:val="FootnoteText"/>
      </w:pPr>
      <w:r>
        <w:rPr>
          <w:rStyle w:val="FootnoteReference"/>
        </w:rPr>
        <w:footnoteRef/>
      </w:r>
      <w:r>
        <w:t xml:space="preserve"> </w:t>
      </w:r>
      <w:r>
        <w:rPr>
          <w:i/>
          <w:iCs/>
        </w:rPr>
        <w:t>Id.</w:t>
      </w:r>
    </w:p>
  </w:footnote>
  <w:footnote w:id="5">
    <w:p w14:paraId="1A34C4C1" w14:textId="77777777" w:rsidR="006D0855" w:rsidRPr="00895CC1" w:rsidRDefault="006D0855" w:rsidP="00255B7F">
      <w:pPr>
        <w:pStyle w:val="FootnoteText"/>
      </w:pPr>
      <w:r>
        <w:rPr>
          <w:rStyle w:val="FootnoteReference"/>
        </w:rPr>
        <w:footnoteRef/>
      </w:r>
      <w:r>
        <w:t xml:space="preserve"> </w:t>
      </w:r>
      <w:r>
        <w:rPr>
          <w:i/>
          <w:iCs/>
        </w:rPr>
        <w:t>Id</w:t>
      </w:r>
      <w:r>
        <w:t>.</w:t>
      </w:r>
    </w:p>
  </w:footnote>
  <w:footnote w:id="6">
    <w:p w14:paraId="756CE0B3" w14:textId="77777777" w:rsidR="006D0855" w:rsidRPr="009E5224" w:rsidRDefault="006D0855" w:rsidP="00255B7F">
      <w:pPr>
        <w:pStyle w:val="FootnoteText"/>
        <w:spacing w:after="60"/>
        <w:rPr>
          <w:sz w:val="22"/>
          <w:szCs w:val="22"/>
        </w:rPr>
      </w:pPr>
      <w:r w:rsidRPr="009E5224">
        <w:rPr>
          <w:rStyle w:val="FootnoteReference"/>
          <w:sz w:val="22"/>
          <w:szCs w:val="22"/>
        </w:rPr>
        <w:footnoteRef/>
      </w:r>
      <w:r w:rsidRPr="009E5224">
        <w:rPr>
          <w:sz w:val="22"/>
          <w:szCs w:val="22"/>
        </w:rPr>
        <w:t xml:space="preserve"> Order No. PSC-2018-0190-FOF-GU, Docket No. 20170179-GU (the “2018 Settlement”).</w:t>
      </w:r>
    </w:p>
  </w:footnote>
  <w:footnote w:id="7">
    <w:p w14:paraId="6CF522E5" w14:textId="77777777" w:rsidR="006D0855" w:rsidRPr="009E5224" w:rsidRDefault="006D0855" w:rsidP="00255B7F">
      <w:pPr>
        <w:pStyle w:val="FootnoteText"/>
        <w:spacing w:after="60"/>
        <w:rPr>
          <w:sz w:val="22"/>
          <w:szCs w:val="22"/>
        </w:rPr>
      </w:pPr>
      <w:r w:rsidRPr="009E5224">
        <w:rPr>
          <w:rStyle w:val="FootnoteReference"/>
          <w:sz w:val="22"/>
          <w:szCs w:val="22"/>
        </w:rPr>
        <w:footnoteRef/>
      </w:r>
      <w:r w:rsidRPr="009E5224">
        <w:rPr>
          <w:sz w:val="22"/>
          <w:szCs w:val="22"/>
        </w:rPr>
        <w:t xml:space="preserve"> Order No. PSC-15-0390-TRF-GU, Docket No. 150116-GU.</w:t>
      </w:r>
    </w:p>
  </w:footnote>
  <w:footnote w:id="8">
    <w:p w14:paraId="13488C60" w14:textId="77777777" w:rsidR="006D0855" w:rsidRDefault="006D0855" w:rsidP="0055068B">
      <w:pPr>
        <w:pStyle w:val="FootnoteText"/>
      </w:pPr>
      <w:r>
        <w:rPr>
          <w:rStyle w:val="FootnoteReference"/>
        </w:rPr>
        <w:footnoteRef/>
      </w:r>
      <w:r>
        <w:t xml:space="preserve"> As recalculated in the rebuttal testimony of FCG witness Fuentes and Exhibit LF-11.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FD82" w14:textId="33E3710C" w:rsidR="006D0855" w:rsidRDefault="006D0855">
    <w:pPr>
      <w:pStyle w:val="OrderHeader"/>
    </w:pPr>
    <w:r>
      <w:t xml:space="preserve">ORDER NO. </w:t>
    </w:r>
    <w:r w:rsidR="003138A8">
      <w:fldChar w:fldCharType="begin"/>
    </w:r>
    <w:r w:rsidR="003138A8">
      <w:instrText xml:space="preserve"> REF OrderNo0413 </w:instrText>
    </w:r>
    <w:r w:rsidR="003138A8">
      <w:fldChar w:fldCharType="separate"/>
    </w:r>
    <w:r w:rsidR="003138A8">
      <w:t>PSC-2022-0413-PHO-GU</w:t>
    </w:r>
    <w:r w:rsidR="003138A8">
      <w:fldChar w:fldCharType="end"/>
    </w:r>
  </w:p>
  <w:p w14:paraId="678E4DE0" w14:textId="77777777" w:rsidR="006D0855" w:rsidRDefault="006D0855">
    <w:pPr>
      <w:pStyle w:val="OrderHeader"/>
    </w:pPr>
    <w:bookmarkStart w:id="9" w:name="HeaderDocketNo"/>
    <w:bookmarkEnd w:id="9"/>
    <w:r>
      <w:t>DOCKET NO. 20220069-GU</w:t>
    </w:r>
  </w:p>
  <w:p w14:paraId="594E688F" w14:textId="331F9B6F" w:rsidR="006D0855" w:rsidRDefault="006D085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38A8">
      <w:rPr>
        <w:rStyle w:val="PageNumber"/>
        <w:noProof/>
      </w:rPr>
      <w:t>58</w:t>
    </w:r>
    <w:r>
      <w:rPr>
        <w:rStyle w:val="PageNumber"/>
      </w:rPr>
      <w:fldChar w:fldCharType="end"/>
    </w:r>
  </w:p>
  <w:p w14:paraId="300E1C27" w14:textId="77777777" w:rsidR="006D0855" w:rsidRDefault="006D0855">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93EB5"/>
    <w:multiLevelType w:val="hybridMultilevel"/>
    <w:tmpl w:val="E53E2EDE"/>
    <w:lvl w:ilvl="0" w:tplc="90045898">
      <w:start w:val="1"/>
      <w:numFmt w:val="decimal"/>
      <w:lvlText w:val="ISSUE %1:"/>
      <w:lvlJc w:val="left"/>
      <w:pPr>
        <w:ind w:left="360" w:hanging="360"/>
      </w:pPr>
      <w:rPr>
        <w:rFonts w:ascii="Times New Roman" w:hAnsi="Times New Roman" w:hint="default"/>
        <w:b/>
        <w:i w:val="0"/>
        <w:sz w:val="24"/>
        <w:u w:val="single"/>
      </w:rPr>
    </w:lvl>
    <w:lvl w:ilvl="1" w:tplc="20943F28" w:tentative="1">
      <w:start w:val="1"/>
      <w:numFmt w:val="lowerLetter"/>
      <w:lvlText w:val="%2."/>
      <w:lvlJc w:val="left"/>
      <w:pPr>
        <w:ind w:left="1080" w:hanging="360"/>
      </w:pPr>
    </w:lvl>
    <w:lvl w:ilvl="2" w:tplc="73261686" w:tentative="1">
      <w:start w:val="1"/>
      <w:numFmt w:val="lowerRoman"/>
      <w:lvlText w:val="%3."/>
      <w:lvlJc w:val="right"/>
      <w:pPr>
        <w:ind w:left="1800" w:hanging="180"/>
      </w:pPr>
    </w:lvl>
    <w:lvl w:ilvl="3" w:tplc="6D0CEBB6" w:tentative="1">
      <w:start w:val="1"/>
      <w:numFmt w:val="decimal"/>
      <w:lvlText w:val="%4."/>
      <w:lvlJc w:val="left"/>
      <w:pPr>
        <w:ind w:left="2520" w:hanging="360"/>
      </w:pPr>
    </w:lvl>
    <w:lvl w:ilvl="4" w:tplc="26F6FD16" w:tentative="1">
      <w:start w:val="1"/>
      <w:numFmt w:val="lowerLetter"/>
      <w:lvlText w:val="%5."/>
      <w:lvlJc w:val="left"/>
      <w:pPr>
        <w:ind w:left="3240" w:hanging="360"/>
      </w:pPr>
    </w:lvl>
    <w:lvl w:ilvl="5" w:tplc="DBA60080" w:tentative="1">
      <w:start w:val="1"/>
      <w:numFmt w:val="lowerRoman"/>
      <w:lvlText w:val="%6."/>
      <w:lvlJc w:val="right"/>
      <w:pPr>
        <w:ind w:left="3960" w:hanging="180"/>
      </w:pPr>
    </w:lvl>
    <w:lvl w:ilvl="6" w:tplc="79AC40E4" w:tentative="1">
      <w:start w:val="1"/>
      <w:numFmt w:val="decimal"/>
      <w:lvlText w:val="%7."/>
      <w:lvlJc w:val="left"/>
      <w:pPr>
        <w:ind w:left="4680" w:hanging="360"/>
      </w:pPr>
    </w:lvl>
    <w:lvl w:ilvl="7" w:tplc="B96E66BE" w:tentative="1">
      <w:start w:val="1"/>
      <w:numFmt w:val="lowerLetter"/>
      <w:lvlText w:val="%8."/>
      <w:lvlJc w:val="left"/>
      <w:pPr>
        <w:ind w:left="5400" w:hanging="360"/>
      </w:pPr>
    </w:lvl>
    <w:lvl w:ilvl="8" w:tplc="1E8065E6" w:tentative="1">
      <w:start w:val="1"/>
      <w:numFmt w:val="lowerRoman"/>
      <w:lvlText w:val="%9."/>
      <w:lvlJc w:val="right"/>
      <w:pPr>
        <w:ind w:left="612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4FA52F6B"/>
    <w:multiLevelType w:val="hybridMultilevel"/>
    <w:tmpl w:val="79949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6D717B"/>
    <w:multiLevelType w:val="hybridMultilevel"/>
    <w:tmpl w:val="20863D48"/>
    <w:lvl w:ilvl="0" w:tplc="A25402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E50AC7"/>
    <w:rsid w:val="000022B8"/>
    <w:rsid w:val="00003883"/>
    <w:rsid w:val="00011251"/>
    <w:rsid w:val="00016154"/>
    <w:rsid w:val="00023143"/>
    <w:rsid w:val="00023E90"/>
    <w:rsid w:val="00025C2A"/>
    <w:rsid w:val="00025C9D"/>
    <w:rsid w:val="000313E5"/>
    <w:rsid w:val="0003433F"/>
    <w:rsid w:val="00035A8C"/>
    <w:rsid w:val="00036BDD"/>
    <w:rsid w:val="00037057"/>
    <w:rsid w:val="00041FFD"/>
    <w:rsid w:val="00042C99"/>
    <w:rsid w:val="00053AB9"/>
    <w:rsid w:val="00056229"/>
    <w:rsid w:val="00057AF1"/>
    <w:rsid w:val="00057B19"/>
    <w:rsid w:val="00065FC2"/>
    <w:rsid w:val="00067685"/>
    <w:rsid w:val="00067B07"/>
    <w:rsid w:val="00070061"/>
    <w:rsid w:val="00070C96"/>
    <w:rsid w:val="000730D7"/>
    <w:rsid w:val="00076E40"/>
    <w:rsid w:val="00076E6B"/>
    <w:rsid w:val="00081AE4"/>
    <w:rsid w:val="0008247D"/>
    <w:rsid w:val="00082E19"/>
    <w:rsid w:val="0008679E"/>
    <w:rsid w:val="00090AFC"/>
    <w:rsid w:val="00096507"/>
    <w:rsid w:val="000A774F"/>
    <w:rsid w:val="000B783E"/>
    <w:rsid w:val="000B7D81"/>
    <w:rsid w:val="000C1994"/>
    <w:rsid w:val="000C3237"/>
    <w:rsid w:val="000C4D06"/>
    <w:rsid w:val="000C6926"/>
    <w:rsid w:val="000D02B8"/>
    <w:rsid w:val="000D06E8"/>
    <w:rsid w:val="000D52C1"/>
    <w:rsid w:val="000D6E65"/>
    <w:rsid w:val="000D78FB"/>
    <w:rsid w:val="000E050C"/>
    <w:rsid w:val="000E20F0"/>
    <w:rsid w:val="000E2593"/>
    <w:rsid w:val="000E344D"/>
    <w:rsid w:val="000E3F6D"/>
    <w:rsid w:val="000E7C31"/>
    <w:rsid w:val="000F11F1"/>
    <w:rsid w:val="000F359F"/>
    <w:rsid w:val="000F3B2C"/>
    <w:rsid w:val="000F3F6C"/>
    <w:rsid w:val="000F63EB"/>
    <w:rsid w:val="000F648A"/>
    <w:rsid w:val="000F7BE3"/>
    <w:rsid w:val="001021D4"/>
    <w:rsid w:val="00103190"/>
    <w:rsid w:val="00104333"/>
    <w:rsid w:val="001052BA"/>
    <w:rsid w:val="001107B3"/>
    <w:rsid w:val="001114B1"/>
    <w:rsid w:val="00112E7F"/>
    <w:rsid w:val="001139D8"/>
    <w:rsid w:val="00113EA0"/>
    <w:rsid w:val="00116AD3"/>
    <w:rsid w:val="00121957"/>
    <w:rsid w:val="0012387E"/>
    <w:rsid w:val="001259EC"/>
    <w:rsid w:val="00126593"/>
    <w:rsid w:val="00134177"/>
    <w:rsid w:val="00136087"/>
    <w:rsid w:val="001404B6"/>
    <w:rsid w:val="001424BD"/>
    <w:rsid w:val="00142A96"/>
    <w:rsid w:val="001467A9"/>
    <w:rsid w:val="001513DE"/>
    <w:rsid w:val="00154A71"/>
    <w:rsid w:val="00164011"/>
    <w:rsid w:val="001655D4"/>
    <w:rsid w:val="00165803"/>
    <w:rsid w:val="00175EEE"/>
    <w:rsid w:val="001817C3"/>
    <w:rsid w:val="001875A5"/>
    <w:rsid w:val="00187E32"/>
    <w:rsid w:val="00194A97"/>
    <w:rsid w:val="00194E81"/>
    <w:rsid w:val="00195008"/>
    <w:rsid w:val="001A0F5D"/>
    <w:rsid w:val="001A15E7"/>
    <w:rsid w:val="001A33C9"/>
    <w:rsid w:val="001A58F3"/>
    <w:rsid w:val="001B034E"/>
    <w:rsid w:val="001C2847"/>
    <w:rsid w:val="001C3BB5"/>
    <w:rsid w:val="001C3F8C"/>
    <w:rsid w:val="001C6097"/>
    <w:rsid w:val="001C7126"/>
    <w:rsid w:val="001D008A"/>
    <w:rsid w:val="001D1BEE"/>
    <w:rsid w:val="001E0152"/>
    <w:rsid w:val="001E0FF5"/>
    <w:rsid w:val="001E331C"/>
    <w:rsid w:val="001E51E6"/>
    <w:rsid w:val="001E5F8F"/>
    <w:rsid w:val="001E7161"/>
    <w:rsid w:val="001F0095"/>
    <w:rsid w:val="001F36B0"/>
    <w:rsid w:val="001F4CA3"/>
    <w:rsid w:val="001F536A"/>
    <w:rsid w:val="001F59E0"/>
    <w:rsid w:val="001F7B35"/>
    <w:rsid w:val="002002ED"/>
    <w:rsid w:val="00200AD8"/>
    <w:rsid w:val="002044DD"/>
    <w:rsid w:val="0020568D"/>
    <w:rsid w:val="0020631D"/>
    <w:rsid w:val="002170E5"/>
    <w:rsid w:val="00220D57"/>
    <w:rsid w:val="00223B99"/>
    <w:rsid w:val="00226E54"/>
    <w:rsid w:val="0022721A"/>
    <w:rsid w:val="00230BB9"/>
    <w:rsid w:val="00241CEF"/>
    <w:rsid w:val="002451FB"/>
    <w:rsid w:val="0025124E"/>
    <w:rsid w:val="00252B30"/>
    <w:rsid w:val="00255291"/>
    <w:rsid w:val="00255B7F"/>
    <w:rsid w:val="002613E4"/>
    <w:rsid w:val="00262C43"/>
    <w:rsid w:val="0026544B"/>
    <w:rsid w:val="00270F89"/>
    <w:rsid w:val="00272484"/>
    <w:rsid w:val="00276CDC"/>
    <w:rsid w:val="00277655"/>
    <w:rsid w:val="002824B7"/>
    <w:rsid w:val="00282AC4"/>
    <w:rsid w:val="00283B94"/>
    <w:rsid w:val="00293DC9"/>
    <w:rsid w:val="002963BD"/>
    <w:rsid w:val="00297C37"/>
    <w:rsid w:val="002A11AC"/>
    <w:rsid w:val="002A6F30"/>
    <w:rsid w:val="002B3111"/>
    <w:rsid w:val="002C118E"/>
    <w:rsid w:val="002C2096"/>
    <w:rsid w:val="002C3E61"/>
    <w:rsid w:val="002C74CE"/>
    <w:rsid w:val="002C7908"/>
    <w:rsid w:val="002D391B"/>
    <w:rsid w:val="002D4B1F"/>
    <w:rsid w:val="002D7403"/>
    <w:rsid w:val="002D7D15"/>
    <w:rsid w:val="002E1B2E"/>
    <w:rsid w:val="002E27EB"/>
    <w:rsid w:val="002E4186"/>
    <w:rsid w:val="002E4EF4"/>
    <w:rsid w:val="002E5A22"/>
    <w:rsid w:val="002F0145"/>
    <w:rsid w:val="002F0301"/>
    <w:rsid w:val="002F0F1C"/>
    <w:rsid w:val="002F2A9D"/>
    <w:rsid w:val="002F31C2"/>
    <w:rsid w:val="002F7BF6"/>
    <w:rsid w:val="00303FDE"/>
    <w:rsid w:val="003138A8"/>
    <w:rsid w:val="00313C5B"/>
    <w:rsid w:val="003140E8"/>
    <w:rsid w:val="00320E4F"/>
    <w:rsid w:val="003231C7"/>
    <w:rsid w:val="00323839"/>
    <w:rsid w:val="00324296"/>
    <w:rsid w:val="003270C4"/>
    <w:rsid w:val="00330722"/>
    <w:rsid w:val="00331ED0"/>
    <w:rsid w:val="00332B0A"/>
    <w:rsid w:val="00333A41"/>
    <w:rsid w:val="00335C41"/>
    <w:rsid w:val="00340557"/>
    <w:rsid w:val="00341036"/>
    <w:rsid w:val="00345434"/>
    <w:rsid w:val="00351C22"/>
    <w:rsid w:val="00352EBA"/>
    <w:rsid w:val="0035495B"/>
    <w:rsid w:val="00355A93"/>
    <w:rsid w:val="00361522"/>
    <w:rsid w:val="00361E73"/>
    <w:rsid w:val="00367411"/>
    <w:rsid w:val="0037196E"/>
    <w:rsid w:val="003744F5"/>
    <w:rsid w:val="0038191C"/>
    <w:rsid w:val="00381A2C"/>
    <w:rsid w:val="00382C6A"/>
    <w:rsid w:val="003875A9"/>
    <w:rsid w:val="00387BDE"/>
    <w:rsid w:val="00390DD8"/>
    <w:rsid w:val="00394DC6"/>
    <w:rsid w:val="00397C3E"/>
    <w:rsid w:val="003B1A09"/>
    <w:rsid w:val="003B6F02"/>
    <w:rsid w:val="003B7F43"/>
    <w:rsid w:val="003C00BA"/>
    <w:rsid w:val="003C0431"/>
    <w:rsid w:val="003C29BB"/>
    <w:rsid w:val="003D3989"/>
    <w:rsid w:val="003D3D17"/>
    <w:rsid w:val="003D4CCA"/>
    <w:rsid w:val="003D52A6"/>
    <w:rsid w:val="003D6416"/>
    <w:rsid w:val="003E1D48"/>
    <w:rsid w:val="003E711F"/>
    <w:rsid w:val="003F1D2B"/>
    <w:rsid w:val="003F49A6"/>
    <w:rsid w:val="003F518F"/>
    <w:rsid w:val="003F6BA7"/>
    <w:rsid w:val="003F7445"/>
    <w:rsid w:val="004024FD"/>
    <w:rsid w:val="00411DF2"/>
    <w:rsid w:val="00411E8F"/>
    <w:rsid w:val="004247F5"/>
    <w:rsid w:val="0042527B"/>
    <w:rsid w:val="00426653"/>
    <w:rsid w:val="00427EAC"/>
    <w:rsid w:val="004338C4"/>
    <w:rsid w:val="00433ABA"/>
    <w:rsid w:val="00441235"/>
    <w:rsid w:val="004425C2"/>
    <w:rsid w:val="004431B4"/>
    <w:rsid w:val="00446687"/>
    <w:rsid w:val="0045537F"/>
    <w:rsid w:val="00457DC7"/>
    <w:rsid w:val="00461AFB"/>
    <w:rsid w:val="004640B3"/>
    <w:rsid w:val="00465D85"/>
    <w:rsid w:val="00472BCC"/>
    <w:rsid w:val="00476A39"/>
    <w:rsid w:val="00477699"/>
    <w:rsid w:val="00480FF1"/>
    <w:rsid w:val="004A2147"/>
    <w:rsid w:val="004A25CD"/>
    <w:rsid w:val="004A26CC"/>
    <w:rsid w:val="004B2108"/>
    <w:rsid w:val="004B3A2B"/>
    <w:rsid w:val="004B70D3"/>
    <w:rsid w:val="004C30DA"/>
    <w:rsid w:val="004C312D"/>
    <w:rsid w:val="004D2D1B"/>
    <w:rsid w:val="004D5067"/>
    <w:rsid w:val="004D6838"/>
    <w:rsid w:val="004D72BC"/>
    <w:rsid w:val="004E0E3C"/>
    <w:rsid w:val="004E469D"/>
    <w:rsid w:val="004E7F4F"/>
    <w:rsid w:val="004F2DDE"/>
    <w:rsid w:val="004F5A55"/>
    <w:rsid w:val="004F627C"/>
    <w:rsid w:val="004F7826"/>
    <w:rsid w:val="0050097F"/>
    <w:rsid w:val="00514B1F"/>
    <w:rsid w:val="005172B7"/>
    <w:rsid w:val="00523C5C"/>
    <w:rsid w:val="00524884"/>
    <w:rsid w:val="00525E93"/>
    <w:rsid w:val="0052671D"/>
    <w:rsid w:val="005300C0"/>
    <w:rsid w:val="00533EF6"/>
    <w:rsid w:val="00540E6B"/>
    <w:rsid w:val="0054109E"/>
    <w:rsid w:val="0054181C"/>
    <w:rsid w:val="0055068B"/>
    <w:rsid w:val="0055595D"/>
    <w:rsid w:val="00556A10"/>
    <w:rsid w:val="00556DCB"/>
    <w:rsid w:val="00557468"/>
    <w:rsid w:val="00557F50"/>
    <w:rsid w:val="00571D3D"/>
    <w:rsid w:val="00572E46"/>
    <w:rsid w:val="0058264B"/>
    <w:rsid w:val="00586368"/>
    <w:rsid w:val="005868AA"/>
    <w:rsid w:val="00590845"/>
    <w:rsid w:val="005915F4"/>
    <w:rsid w:val="005963C2"/>
    <w:rsid w:val="005A00E5"/>
    <w:rsid w:val="005A0D69"/>
    <w:rsid w:val="005A31F4"/>
    <w:rsid w:val="005A73EA"/>
    <w:rsid w:val="005B45F7"/>
    <w:rsid w:val="005B63EA"/>
    <w:rsid w:val="005C1A88"/>
    <w:rsid w:val="005C5033"/>
    <w:rsid w:val="005C6EBD"/>
    <w:rsid w:val="005D1FC8"/>
    <w:rsid w:val="005D2244"/>
    <w:rsid w:val="005D30B5"/>
    <w:rsid w:val="005D4E1B"/>
    <w:rsid w:val="005E751B"/>
    <w:rsid w:val="005F2751"/>
    <w:rsid w:val="005F3354"/>
    <w:rsid w:val="005F3C68"/>
    <w:rsid w:val="005F4AD6"/>
    <w:rsid w:val="005F742D"/>
    <w:rsid w:val="0060005E"/>
    <w:rsid w:val="0060095B"/>
    <w:rsid w:val="00601266"/>
    <w:rsid w:val="00610221"/>
    <w:rsid w:val="00610E73"/>
    <w:rsid w:val="00615F9B"/>
    <w:rsid w:val="00616308"/>
    <w:rsid w:val="00616DF2"/>
    <w:rsid w:val="00617B90"/>
    <w:rsid w:val="0062385D"/>
    <w:rsid w:val="00625A32"/>
    <w:rsid w:val="006302EA"/>
    <w:rsid w:val="0063168D"/>
    <w:rsid w:val="00631C91"/>
    <w:rsid w:val="00635C79"/>
    <w:rsid w:val="006423DF"/>
    <w:rsid w:val="00644687"/>
    <w:rsid w:val="006455DF"/>
    <w:rsid w:val="00647025"/>
    <w:rsid w:val="0064730A"/>
    <w:rsid w:val="006507DA"/>
    <w:rsid w:val="006531A4"/>
    <w:rsid w:val="00660774"/>
    <w:rsid w:val="0066389A"/>
    <w:rsid w:val="0066495C"/>
    <w:rsid w:val="00665CC7"/>
    <w:rsid w:val="006674E4"/>
    <w:rsid w:val="00672612"/>
    <w:rsid w:val="006776B1"/>
    <w:rsid w:val="00677F18"/>
    <w:rsid w:val="006841FD"/>
    <w:rsid w:val="00687462"/>
    <w:rsid w:val="00693483"/>
    <w:rsid w:val="006952FE"/>
    <w:rsid w:val="006953CC"/>
    <w:rsid w:val="006A0BF3"/>
    <w:rsid w:val="006B0036"/>
    <w:rsid w:val="006B0DA6"/>
    <w:rsid w:val="006B3FA9"/>
    <w:rsid w:val="006C4499"/>
    <w:rsid w:val="006C547E"/>
    <w:rsid w:val="006C5C10"/>
    <w:rsid w:val="006D0855"/>
    <w:rsid w:val="006D2B51"/>
    <w:rsid w:val="006D50A4"/>
    <w:rsid w:val="006D5575"/>
    <w:rsid w:val="006D7191"/>
    <w:rsid w:val="006E21C4"/>
    <w:rsid w:val="006E42BE"/>
    <w:rsid w:val="006E5D4D"/>
    <w:rsid w:val="006E6D16"/>
    <w:rsid w:val="006E6F3A"/>
    <w:rsid w:val="006F034C"/>
    <w:rsid w:val="00703AB0"/>
    <w:rsid w:val="00703F2A"/>
    <w:rsid w:val="00704C5D"/>
    <w:rsid w:val="007072BC"/>
    <w:rsid w:val="007126C6"/>
    <w:rsid w:val="00712E8C"/>
    <w:rsid w:val="00715275"/>
    <w:rsid w:val="00715A2F"/>
    <w:rsid w:val="00721B44"/>
    <w:rsid w:val="007232A2"/>
    <w:rsid w:val="00725965"/>
    <w:rsid w:val="00726366"/>
    <w:rsid w:val="00731AB6"/>
    <w:rsid w:val="00733B6B"/>
    <w:rsid w:val="007369E1"/>
    <w:rsid w:val="00740808"/>
    <w:rsid w:val="007467C4"/>
    <w:rsid w:val="00746B19"/>
    <w:rsid w:val="00747BAF"/>
    <w:rsid w:val="00760C43"/>
    <w:rsid w:val="0076170F"/>
    <w:rsid w:val="0076669C"/>
    <w:rsid w:val="00766E46"/>
    <w:rsid w:val="00772CCB"/>
    <w:rsid w:val="00777727"/>
    <w:rsid w:val="0078166A"/>
    <w:rsid w:val="00782B79"/>
    <w:rsid w:val="00783811"/>
    <w:rsid w:val="0078442E"/>
    <w:rsid w:val="007865E9"/>
    <w:rsid w:val="0079237D"/>
    <w:rsid w:val="00792383"/>
    <w:rsid w:val="00794D5A"/>
    <w:rsid w:val="00794DD9"/>
    <w:rsid w:val="007A060F"/>
    <w:rsid w:val="007A1BF9"/>
    <w:rsid w:val="007B1C5E"/>
    <w:rsid w:val="007B350E"/>
    <w:rsid w:val="007B4EE4"/>
    <w:rsid w:val="007C0FBC"/>
    <w:rsid w:val="007C29C9"/>
    <w:rsid w:val="007C35B8"/>
    <w:rsid w:val="007C36E3"/>
    <w:rsid w:val="007C3ABB"/>
    <w:rsid w:val="007C7134"/>
    <w:rsid w:val="007C7ECF"/>
    <w:rsid w:val="007D3C6D"/>
    <w:rsid w:val="007D3D20"/>
    <w:rsid w:val="007D44F9"/>
    <w:rsid w:val="007D742E"/>
    <w:rsid w:val="007E0CB0"/>
    <w:rsid w:val="007E3AFD"/>
    <w:rsid w:val="007E7446"/>
    <w:rsid w:val="007F1CD8"/>
    <w:rsid w:val="007F43B3"/>
    <w:rsid w:val="00801DAD"/>
    <w:rsid w:val="008029C4"/>
    <w:rsid w:val="00802DE1"/>
    <w:rsid w:val="00803189"/>
    <w:rsid w:val="00804E7A"/>
    <w:rsid w:val="00805FBB"/>
    <w:rsid w:val="00806005"/>
    <w:rsid w:val="00814292"/>
    <w:rsid w:val="008169A4"/>
    <w:rsid w:val="00817175"/>
    <w:rsid w:val="00822A0A"/>
    <w:rsid w:val="0082530F"/>
    <w:rsid w:val="008278FE"/>
    <w:rsid w:val="00832598"/>
    <w:rsid w:val="0083397E"/>
    <w:rsid w:val="0083534B"/>
    <w:rsid w:val="00842035"/>
    <w:rsid w:val="00842602"/>
    <w:rsid w:val="008446CE"/>
    <w:rsid w:val="008449B1"/>
    <w:rsid w:val="008449F0"/>
    <w:rsid w:val="00846F11"/>
    <w:rsid w:val="00847B45"/>
    <w:rsid w:val="00863A66"/>
    <w:rsid w:val="008703D7"/>
    <w:rsid w:val="00872F1C"/>
    <w:rsid w:val="00874429"/>
    <w:rsid w:val="00875D22"/>
    <w:rsid w:val="00883D9A"/>
    <w:rsid w:val="008919EF"/>
    <w:rsid w:val="00892B20"/>
    <w:rsid w:val="008931BC"/>
    <w:rsid w:val="00895480"/>
    <w:rsid w:val="00895CB4"/>
    <w:rsid w:val="0089695B"/>
    <w:rsid w:val="00897740"/>
    <w:rsid w:val="008A12EC"/>
    <w:rsid w:val="008A57BB"/>
    <w:rsid w:val="008A6E64"/>
    <w:rsid w:val="008B14BE"/>
    <w:rsid w:val="008B19A6"/>
    <w:rsid w:val="008B4EFB"/>
    <w:rsid w:val="008B6560"/>
    <w:rsid w:val="008C21C8"/>
    <w:rsid w:val="008C3E45"/>
    <w:rsid w:val="008C6375"/>
    <w:rsid w:val="008C6A5B"/>
    <w:rsid w:val="008D441D"/>
    <w:rsid w:val="008D498D"/>
    <w:rsid w:val="008D6D36"/>
    <w:rsid w:val="008E0693"/>
    <w:rsid w:val="008E26A5"/>
    <w:rsid w:val="008E42D2"/>
    <w:rsid w:val="008E6328"/>
    <w:rsid w:val="008F2286"/>
    <w:rsid w:val="008F578F"/>
    <w:rsid w:val="008F5D04"/>
    <w:rsid w:val="009040EE"/>
    <w:rsid w:val="009057FD"/>
    <w:rsid w:val="00906FBA"/>
    <w:rsid w:val="009163E8"/>
    <w:rsid w:val="00921A15"/>
    <w:rsid w:val="00921BD3"/>
    <w:rsid w:val="009228C7"/>
    <w:rsid w:val="00922A7F"/>
    <w:rsid w:val="00923A5E"/>
    <w:rsid w:val="00924FE7"/>
    <w:rsid w:val="00926E27"/>
    <w:rsid w:val="00931C8C"/>
    <w:rsid w:val="009347C2"/>
    <w:rsid w:val="00943D21"/>
    <w:rsid w:val="0094504B"/>
    <w:rsid w:val="00964A38"/>
    <w:rsid w:val="00966A9D"/>
    <w:rsid w:val="0096742B"/>
    <w:rsid w:val="00967C64"/>
    <w:rsid w:val="009718C5"/>
    <w:rsid w:val="0097275A"/>
    <w:rsid w:val="00976AFF"/>
    <w:rsid w:val="00983162"/>
    <w:rsid w:val="00984F82"/>
    <w:rsid w:val="00986AED"/>
    <w:rsid w:val="009924CF"/>
    <w:rsid w:val="00994100"/>
    <w:rsid w:val="009A04B7"/>
    <w:rsid w:val="009A2627"/>
    <w:rsid w:val="009A6B17"/>
    <w:rsid w:val="009A7A81"/>
    <w:rsid w:val="009B052E"/>
    <w:rsid w:val="009D1863"/>
    <w:rsid w:val="009D4299"/>
    <w:rsid w:val="009D4C29"/>
    <w:rsid w:val="009E58E9"/>
    <w:rsid w:val="009E6803"/>
    <w:rsid w:val="009F6AD2"/>
    <w:rsid w:val="009F7C1B"/>
    <w:rsid w:val="00A00B5B"/>
    <w:rsid w:val="00A00D8D"/>
    <w:rsid w:val="00A01BB6"/>
    <w:rsid w:val="00A059B7"/>
    <w:rsid w:val="00A108A7"/>
    <w:rsid w:val="00A22B28"/>
    <w:rsid w:val="00A3257A"/>
    <w:rsid w:val="00A3351E"/>
    <w:rsid w:val="00A35FED"/>
    <w:rsid w:val="00A4303C"/>
    <w:rsid w:val="00A46CAF"/>
    <w:rsid w:val="00A470FD"/>
    <w:rsid w:val="00A50B5E"/>
    <w:rsid w:val="00A5429F"/>
    <w:rsid w:val="00A545EA"/>
    <w:rsid w:val="00A62DAB"/>
    <w:rsid w:val="00A63ABC"/>
    <w:rsid w:val="00A6757A"/>
    <w:rsid w:val="00A726A6"/>
    <w:rsid w:val="00A74842"/>
    <w:rsid w:val="00A8269A"/>
    <w:rsid w:val="00A84B3B"/>
    <w:rsid w:val="00A86A50"/>
    <w:rsid w:val="00A9178A"/>
    <w:rsid w:val="00A9515B"/>
    <w:rsid w:val="00A97535"/>
    <w:rsid w:val="00AA0E34"/>
    <w:rsid w:val="00AA2BAA"/>
    <w:rsid w:val="00AA6516"/>
    <w:rsid w:val="00AA73F1"/>
    <w:rsid w:val="00AB0302"/>
    <w:rsid w:val="00AB0E1A"/>
    <w:rsid w:val="00AB1A30"/>
    <w:rsid w:val="00AB3C36"/>
    <w:rsid w:val="00AB3D30"/>
    <w:rsid w:val="00AB6131"/>
    <w:rsid w:val="00AB73B3"/>
    <w:rsid w:val="00AC4B09"/>
    <w:rsid w:val="00AC5A01"/>
    <w:rsid w:val="00AD10EB"/>
    <w:rsid w:val="00AD1ED3"/>
    <w:rsid w:val="00AD3717"/>
    <w:rsid w:val="00AD38E8"/>
    <w:rsid w:val="00AF4A20"/>
    <w:rsid w:val="00AF5B5A"/>
    <w:rsid w:val="00B019C1"/>
    <w:rsid w:val="00B02001"/>
    <w:rsid w:val="00B0390A"/>
    <w:rsid w:val="00B03C50"/>
    <w:rsid w:val="00B0777D"/>
    <w:rsid w:val="00B11576"/>
    <w:rsid w:val="00B1195F"/>
    <w:rsid w:val="00B11AFB"/>
    <w:rsid w:val="00B14D10"/>
    <w:rsid w:val="00B209C7"/>
    <w:rsid w:val="00B32031"/>
    <w:rsid w:val="00B3644F"/>
    <w:rsid w:val="00B37982"/>
    <w:rsid w:val="00B4057A"/>
    <w:rsid w:val="00B40894"/>
    <w:rsid w:val="00B41039"/>
    <w:rsid w:val="00B42987"/>
    <w:rsid w:val="00B4323F"/>
    <w:rsid w:val="00B444AE"/>
    <w:rsid w:val="00B45E75"/>
    <w:rsid w:val="00B46D75"/>
    <w:rsid w:val="00B50876"/>
    <w:rsid w:val="00B51074"/>
    <w:rsid w:val="00B54DAA"/>
    <w:rsid w:val="00B552E0"/>
    <w:rsid w:val="00B55AB0"/>
    <w:rsid w:val="00B55EE5"/>
    <w:rsid w:val="00B56320"/>
    <w:rsid w:val="00B61D42"/>
    <w:rsid w:val="00B67A43"/>
    <w:rsid w:val="00B71D1F"/>
    <w:rsid w:val="00B72CFF"/>
    <w:rsid w:val="00B73DE6"/>
    <w:rsid w:val="00B75115"/>
    <w:rsid w:val="00B761CD"/>
    <w:rsid w:val="00B76B66"/>
    <w:rsid w:val="00B86EF0"/>
    <w:rsid w:val="00B87153"/>
    <w:rsid w:val="00B94A81"/>
    <w:rsid w:val="00B96969"/>
    <w:rsid w:val="00B972FA"/>
    <w:rsid w:val="00B97900"/>
    <w:rsid w:val="00BA1229"/>
    <w:rsid w:val="00BA44A8"/>
    <w:rsid w:val="00BA49C5"/>
    <w:rsid w:val="00BA6960"/>
    <w:rsid w:val="00BB0182"/>
    <w:rsid w:val="00BB2F4A"/>
    <w:rsid w:val="00BC74BE"/>
    <w:rsid w:val="00BC786E"/>
    <w:rsid w:val="00BD5C92"/>
    <w:rsid w:val="00BE50E6"/>
    <w:rsid w:val="00BE7A0C"/>
    <w:rsid w:val="00BF2928"/>
    <w:rsid w:val="00BF5D60"/>
    <w:rsid w:val="00BF6691"/>
    <w:rsid w:val="00C028FC"/>
    <w:rsid w:val="00C037F2"/>
    <w:rsid w:val="00C0386D"/>
    <w:rsid w:val="00C065A1"/>
    <w:rsid w:val="00C10ED5"/>
    <w:rsid w:val="00C12574"/>
    <w:rsid w:val="00C150EF"/>
    <w:rsid w:val="00C151A6"/>
    <w:rsid w:val="00C205D0"/>
    <w:rsid w:val="00C24098"/>
    <w:rsid w:val="00C24ECE"/>
    <w:rsid w:val="00C30A4E"/>
    <w:rsid w:val="00C3393C"/>
    <w:rsid w:val="00C411F3"/>
    <w:rsid w:val="00C44105"/>
    <w:rsid w:val="00C47987"/>
    <w:rsid w:val="00C523EC"/>
    <w:rsid w:val="00C53BB0"/>
    <w:rsid w:val="00C55A33"/>
    <w:rsid w:val="00C577BC"/>
    <w:rsid w:val="00C64D49"/>
    <w:rsid w:val="00C66692"/>
    <w:rsid w:val="00C673B5"/>
    <w:rsid w:val="00C7063D"/>
    <w:rsid w:val="00C72339"/>
    <w:rsid w:val="00C830BC"/>
    <w:rsid w:val="00C8524D"/>
    <w:rsid w:val="00C90904"/>
    <w:rsid w:val="00C91123"/>
    <w:rsid w:val="00C940B9"/>
    <w:rsid w:val="00CA71FF"/>
    <w:rsid w:val="00CB2393"/>
    <w:rsid w:val="00CB5276"/>
    <w:rsid w:val="00CB5BFC"/>
    <w:rsid w:val="00CB68D7"/>
    <w:rsid w:val="00CB785B"/>
    <w:rsid w:val="00CC7E68"/>
    <w:rsid w:val="00CD3D74"/>
    <w:rsid w:val="00CD7132"/>
    <w:rsid w:val="00CE0E6F"/>
    <w:rsid w:val="00CE3AB5"/>
    <w:rsid w:val="00CE3B21"/>
    <w:rsid w:val="00CE56FC"/>
    <w:rsid w:val="00CE7842"/>
    <w:rsid w:val="00CE7A4D"/>
    <w:rsid w:val="00CF32D2"/>
    <w:rsid w:val="00CF4CFE"/>
    <w:rsid w:val="00CF54EF"/>
    <w:rsid w:val="00D00E8E"/>
    <w:rsid w:val="00D02E0F"/>
    <w:rsid w:val="00D03EE8"/>
    <w:rsid w:val="00D13535"/>
    <w:rsid w:val="00D15497"/>
    <w:rsid w:val="00D17B79"/>
    <w:rsid w:val="00D205F5"/>
    <w:rsid w:val="00D217E7"/>
    <w:rsid w:val="00D23FEA"/>
    <w:rsid w:val="00D269CA"/>
    <w:rsid w:val="00D30B48"/>
    <w:rsid w:val="00D3168A"/>
    <w:rsid w:val="00D328A5"/>
    <w:rsid w:val="00D32EEC"/>
    <w:rsid w:val="00D350D1"/>
    <w:rsid w:val="00D352CE"/>
    <w:rsid w:val="00D46FAA"/>
    <w:rsid w:val="00D47A40"/>
    <w:rsid w:val="00D51D33"/>
    <w:rsid w:val="00D565B6"/>
    <w:rsid w:val="00D57BB2"/>
    <w:rsid w:val="00D57E57"/>
    <w:rsid w:val="00D62B61"/>
    <w:rsid w:val="00D70752"/>
    <w:rsid w:val="00D71333"/>
    <w:rsid w:val="00D73B1E"/>
    <w:rsid w:val="00D75CB5"/>
    <w:rsid w:val="00D80E2D"/>
    <w:rsid w:val="00D84D5E"/>
    <w:rsid w:val="00D85565"/>
    <w:rsid w:val="00D8560E"/>
    <w:rsid w:val="00D8758F"/>
    <w:rsid w:val="00D9351D"/>
    <w:rsid w:val="00DA2501"/>
    <w:rsid w:val="00DA4EDD"/>
    <w:rsid w:val="00DA6B78"/>
    <w:rsid w:val="00DB122B"/>
    <w:rsid w:val="00DC1D94"/>
    <w:rsid w:val="00DC42CF"/>
    <w:rsid w:val="00DC738A"/>
    <w:rsid w:val="00DD0774"/>
    <w:rsid w:val="00DD382A"/>
    <w:rsid w:val="00DD5843"/>
    <w:rsid w:val="00DD592E"/>
    <w:rsid w:val="00DD5BCE"/>
    <w:rsid w:val="00DD6B84"/>
    <w:rsid w:val="00DD7C5C"/>
    <w:rsid w:val="00DE057F"/>
    <w:rsid w:val="00DE2082"/>
    <w:rsid w:val="00DE2289"/>
    <w:rsid w:val="00DF09A7"/>
    <w:rsid w:val="00DF2B51"/>
    <w:rsid w:val="00E001D6"/>
    <w:rsid w:val="00E03A76"/>
    <w:rsid w:val="00E04410"/>
    <w:rsid w:val="00E07484"/>
    <w:rsid w:val="00E11351"/>
    <w:rsid w:val="00E2121F"/>
    <w:rsid w:val="00E24299"/>
    <w:rsid w:val="00E33F44"/>
    <w:rsid w:val="00E37D48"/>
    <w:rsid w:val="00E4225C"/>
    <w:rsid w:val="00E44879"/>
    <w:rsid w:val="00E50AC7"/>
    <w:rsid w:val="00E6637A"/>
    <w:rsid w:val="00E72914"/>
    <w:rsid w:val="00E75AE0"/>
    <w:rsid w:val="00E83C1F"/>
    <w:rsid w:val="00E85684"/>
    <w:rsid w:val="00E8794B"/>
    <w:rsid w:val="00E90AFF"/>
    <w:rsid w:val="00E95E58"/>
    <w:rsid w:val="00E97656"/>
    <w:rsid w:val="00EA004A"/>
    <w:rsid w:val="00EA04F9"/>
    <w:rsid w:val="00EA172C"/>
    <w:rsid w:val="00EA259B"/>
    <w:rsid w:val="00EA35A3"/>
    <w:rsid w:val="00EA3E6A"/>
    <w:rsid w:val="00EB18EF"/>
    <w:rsid w:val="00EB58F4"/>
    <w:rsid w:val="00EB7951"/>
    <w:rsid w:val="00ED23D4"/>
    <w:rsid w:val="00ED6A79"/>
    <w:rsid w:val="00EE17DF"/>
    <w:rsid w:val="00EF1482"/>
    <w:rsid w:val="00EF1922"/>
    <w:rsid w:val="00EF4621"/>
    <w:rsid w:val="00EF4D52"/>
    <w:rsid w:val="00EF6312"/>
    <w:rsid w:val="00F0202E"/>
    <w:rsid w:val="00F038B0"/>
    <w:rsid w:val="00F05F34"/>
    <w:rsid w:val="00F07DA4"/>
    <w:rsid w:val="00F22B27"/>
    <w:rsid w:val="00F23229"/>
    <w:rsid w:val="00F234A7"/>
    <w:rsid w:val="00F277B6"/>
    <w:rsid w:val="00F27DA5"/>
    <w:rsid w:val="00F30575"/>
    <w:rsid w:val="00F37E07"/>
    <w:rsid w:val="00F4182A"/>
    <w:rsid w:val="00F53BE5"/>
    <w:rsid w:val="00F54380"/>
    <w:rsid w:val="00F54B47"/>
    <w:rsid w:val="00F60021"/>
    <w:rsid w:val="00F61247"/>
    <w:rsid w:val="00F61F61"/>
    <w:rsid w:val="00F63191"/>
    <w:rsid w:val="00F6469C"/>
    <w:rsid w:val="00F65DA2"/>
    <w:rsid w:val="00F6702E"/>
    <w:rsid w:val="00F70E84"/>
    <w:rsid w:val="00F77AF5"/>
    <w:rsid w:val="00F80685"/>
    <w:rsid w:val="00F8127B"/>
    <w:rsid w:val="00F94968"/>
    <w:rsid w:val="00F955BF"/>
    <w:rsid w:val="00FA092B"/>
    <w:rsid w:val="00FA4F6C"/>
    <w:rsid w:val="00FA6EFD"/>
    <w:rsid w:val="00FB3791"/>
    <w:rsid w:val="00FB6780"/>
    <w:rsid w:val="00FB74EA"/>
    <w:rsid w:val="00FD0271"/>
    <w:rsid w:val="00FD0ADB"/>
    <w:rsid w:val="00FD16A9"/>
    <w:rsid w:val="00FD2C9E"/>
    <w:rsid w:val="00FD3FE5"/>
    <w:rsid w:val="00FD4786"/>
    <w:rsid w:val="00FD4B58"/>
    <w:rsid w:val="00FD616C"/>
    <w:rsid w:val="00FD65FE"/>
    <w:rsid w:val="00FE4D4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14:docId w14:val="159B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50AC7"/>
    <w:pPr>
      <w:autoSpaceDE w:val="0"/>
      <w:autoSpaceDN w:val="0"/>
      <w:adjustRightInd w:val="0"/>
      <w:ind w:left="1440"/>
    </w:pPr>
    <w:rPr>
      <w:sz w:val="24"/>
      <w:szCs w:val="24"/>
    </w:rPr>
  </w:style>
  <w:style w:type="character" w:customStyle="1" w:styleId="FootnoteTextChar">
    <w:name w:val="Footnote Text Char"/>
    <w:link w:val="FootnoteText"/>
    <w:uiPriority w:val="99"/>
    <w:rsid w:val="00E50AC7"/>
  </w:style>
  <w:style w:type="paragraph" w:styleId="BalloonText">
    <w:name w:val="Balloon Text"/>
    <w:basedOn w:val="Normal"/>
    <w:link w:val="BalloonTextChar"/>
    <w:semiHidden/>
    <w:unhideWhenUsed/>
    <w:rsid w:val="008B6560"/>
    <w:rPr>
      <w:rFonts w:ascii="Segoe UI" w:hAnsi="Segoe UI" w:cs="Segoe UI"/>
      <w:sz w:val="18"/>
      <w:szCs w:val="18"/>
    </w:rPr>
  </w:style>
  <w:style w:type="character" w:customStyle="1" w:styleId="BalloonTextChar">
    <w:name w:val="Balloon Text Char"/>
    <w:basedOn w:val="DefaultParagraphFont"/>
    <w:link w:val="BalloonText"/>
    <w:semiHidden/>
    <w:rsid w:val="008B6560"/>
    <w:rPr>
      <w:rFonts w:ascii="Segoe UI" w:hAnsi="Segoe UI" w:cs="Segoe UI"/>
      <w:sz w:val="18"/>
      <w:szCs w:val="18"/>
    </w:rPr>
  </w:style>
  <w:style w:type="paragraph" w:customStyle="1" w:styleId="Default">
    <w:name w:val="Default"/>
    <w:rsid w:val="00D328A5"/>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328A5"/>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328A5"/>
    <w:rPr>
      <w:sz w:val="16"/>
      <w:szCs w:val="16"/>
    </w:rPr>
  </w:style>
  <w:style w:type="character" w:customStyle="1" w:styleId="ListParagraphChar">
    <w:name w:val="List Paragraph Char"/>
    <w:basedOn w:val="DefaultParagraphFont"/>
    <w:link w:val="ListParagraph"/>
    <w:uiPriority w:val="34"/>
    <w:rsid w:val="006423DF"/>
    <w:rPr>
      <w:rFonts w:asciiTheme="minorHAnsi" w:eastAsiaTheme="minorHAnsi" w:hAnsiTheme="minorHAnsi" w:cstheme="minorBidi"/>
      <w:sz w:val="22"/>
      <w:szCs w:val="22"/>
    </w:rPr>
  </w:style>
  <w:style w:type="paragraph" w:styleId="NormalWeb">
    <w:name w:val="Normal (Web)"/>
    <w:basedOn w:val="Normal"/>
    <w:uiPriority w:val="99"/>
    <w:unhideWhenUsed/>
    <w:rsid w:val="00B46D75"/>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895CB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95CB4"/>
    <w:rPr>
      <w:rFonts w:ascii="Consolas" w:eastAsiaTheme="minorHAnsi" w:hAnsi="Consolas" w:cstheme="minorBidi"/>
      <w:sz w:val="21"/>
      <w:szCs w:val="21"/>
    </w:rPr>
  </w:style>
  <w:style w:type="character" w:customStyle="1" w:styleId="PrehearingSection">
    <w:name w:val="Prehearing Section"/>
    <w:rsid w:val="00F53BE5"/>
    <w:rPr>
      <w:u w:val="single"/>
    </w:rPr>
  </w:style>
  <w:style w:type="paragraph" w:styleId="CommentText">
    <w:name w:val="annotation text"/>
    <w:basedOn w:val="Normal"/>
    <w:link w:val="CommentTextChar"/>
    <w:semiHidden/>
    <w:unhideWhenUsed/>
    <w:rsid w:val="00FD0271"/>
    <w:rPr>
      <w:sz w:val="20"/>
      <w:szCs w:val="20"/>
    </w:rPr>
  </w:style>
  <w:style w:type="character" w:customStyle="1" w:styleId="CommentTextChar">
    <w:name w:val="Comment Text Char"/>
    <w:basedOn w:val="DefaultParagraphFont"/>
    <w:link w:val="CommentText"/>
    <w:semiHidden/>
    <w:rsid w:val="00FD0271"/>
  </w:style>
  <w:style w:type="paragraph" w:styleId="CommentSubject">
    <w:name w:val="annotation subject"/>
    <w:basedOn w:val="CommentText"/>
    <w:next w:val="CommentText"/>
    <w:link w:val="CommentSubjectChar"/>
    <w:semiHidden/>
    <w:unhideWhenUsed/>
    <w:rsid w:val="00FD0271"/>
    <w:rPr>
      <w:b/>
      <w:bCs/>
    </w:rPr>
  </w:style>
  <w:style w:type="character" w:customStyle="1" w:styleId="CommentSubjectChar">
    <w:name w:val="Comment Subject Char"/>
    <w:basedOn w:val="CommentTextChar"/>
    <w:link w:val="CommentSubject"/>
    <w:semiHidden/>
    <w:rsid w:val="00FD0271"/>
    <w:rPr>
      <w:b/>
      <w:bCs/>
    </w:rPr>
  </w:style>
  <w:style w:type="paragraph" w:styleId="Revision">
    <w:name w:val="Revision"/>
    <w:hidden/>
    <w:uiPriority w:val="99"/>
    <w:semiHidden/>
    <w:rsid w:val="005574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0415">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50491815">
      <w:bodyDiv w:val="1"/>
      <w:marLeft w:val="0"/>
      <w:marRight w:val="0"/>
      <w:marTop w:val="0"/>
      <w:marBottom w:val="0"/>
      <w:divBdr>
        <w:top w:val="none" w:sz="0" w:space="0" w:color="auto"/>
        <w:left w:val="none" w:sz="0" w:space="0" w:color="auto"/>
        <w:bottom w:val="none" w:sz="0" w:space="0" w:color="auto"/>
        <w:right w:val="none" w:sz="0" w:space="0" w:color="auto"/>
      </w:divBdr>
    </w:div>
    <w:div w:id="1051272519">
      <w:bodyDiv w:val="1"/>
      <w:marLeft w:val="0"/>
      <w:marRight w:val="0"/>
      <w:marTop w:val="0"/>
      <w:marBottom w:val="0"/>
      <w:divBdr>
        <w:top w:val="none" w:sz="0" w:space="0" w:color="auto"/>
        <w:left w:val="none" w:sz="0" w:space="0" w:color="auto"/>
        <w:bottom w:val="none" w:sz="0" w:space="0" w:color="auto"/>
        <w:right w:val="none" w:sz="0" w:space="0" w:color="auto"/>
      </w:divBdr>
    </w:div>
    <w:div w:id="187511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59</Pages>
  <Words>15595</Words>
  <Characters>88897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2022-12-08T17:04:00Z</dcterms:created>
  <dcterms:modified xsi:type="dcterms:W3CDTF">2022-12-08T17:20:00Z</dcterms:modified>
</cp:coreProperties>
</file>