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A0087" w:rsidP="00CA0087">
      <w:pPr>
        <w:pStyle w:val="OrderHeading"/>
      </w:pPr>
      <w:r>
        <w:t>BEFORE THE FLORIDA PUBLIC SERVICE COMMISSION</w:t>
      </w:r>
    </w:p>
    <w:p w:rsidR="00CA0087" w:rsidRDefault="00CA0087" w:rsidP="00CA0087">
      <w:pPr>
        <w:pStyle w:val="OrderBody"/>
      </w:pPr>
    </w:p>
    <w:p w:rsidR="00CA0087" w:rsidRDefault="00CA0087" w:rsidP="00CA00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0087" w:rsidRPr="00C63FCF" w:rsidTr="00C63FCF">
        <w:trPr>
          <w:trHeight w:val="828"/>
        </w:trPr>
        <w:tc>
          <w:tcPr>
            <w:tcW w:w="4788" w:type="dxa"/>
            <w:tcBorders>
              <w:bottom w:val="single" w:sz="8" w:space="0" w:color="auto"/>
              <w:right w:val="double" w:sz="6" w:space="0" w:color="auto"/>
            </w:tcBorders>
            <w:shd w:val="clear" w:color="auto" w:fill="auto"/>
          </w:tcPr>
          <w:p w:rsidR="00CA0087" w:rsidRDefault="00CA0087"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CA0087" w:rsidRDefault="00CA0087" w:rsidP="00CA0087">
            <w:pPr>
              <w:pStyle w:val="OrderBody"/>
            </w:pPr>
            <w:r>
              <w:t xml:space="preserve">DOCKET NO. </w:t>
            </w:r>
            <w:bookmarkStart w:id="1" w:name="SSDocketNo"/>
            <w:bookmarkEnd w:id="1"/>
            <w:r>
              <w:t>20220004-GU</w:t>
            </w:r>
          </w:p>
          <w:p w:rsidR="00CA0087" w:rsidRDefault="00CA0087" w:rsidP="00C63FCF">
            <w:pPr>
              <w:pStyle w:val="OrderBody"/>
              <w:tabs>
                <w:tab w:val="center" w:pos="4320"/>
                <w:tab w:val="right" w:pos="8640"/>
              </w:tabs>
              <w:jc w:val="left"/>
            </w:pPr>
            <w:r>
              <w:t xml:space="preserve">ORDER NO. </w:t>
            </w:r>
            <w:bookmarkStart w:id="2" w:name="OrderNo0423"/>
            <w:r w:rsidR="00CB3147">
              <w:t>PSC-2022-0423-FOF-GU</w:t>
            </w:r>
            <w:bookmarkEnd w:id="2"/>
          </w:p>
          <w:p w:rsidR="00CA0087" w:rsidRDefault="00CA0087" w:rsidP="00C63FCF">
            <w:pPr>
              <w:pStyle w:val="OrderBody"/>
              <w:tabs>
                <w:tab w:val="center" w:pos="4320"/>
                <w:tab w:val="right" w:pos="8640"/>
              </w:tabs>
              <w:jc w:val="left"/>
            </w:pPr>
            <w:r>
              <w:t xml:space="preserve">ISSUED: </w:t>
            </w:r>
            <w:r w:rsidR="00CB3147">
              <w:t>December 14, 2022</w:t>
            </w:r>
          </w:p>
        </w:tc>
      </w:tr>
    </w:tbl>
    <w:p w:rsidR="00CA0087" w:rsidRDefault="00CA0087" w:rsidP="00CA0087"/>
    <w:p w:rsidR="00CA0087" w:rsidRDefault="00CA0087" w:rsidP="00CA0087"/>
    <w:p w:rsidR="00CA0087" w:rsidRDefault="00CA0087" w:rsidP="00B67A43">
      <w:pPr>
        <w:ind w:firstLine="720"/>
        <w:jc w:val="both"/>
      </w:pPr>
      <w:bookmarkStart w:id="3" w:name="Commissioners"/>
      <w:bookmarkEnd w:id="3"/>
      <w:r>
        <w:t>The following Commissioners participated in the disposition of this matter:</w:t>
      </w:r>
    </w:p>
    <w:p w:rsidR="00CA0087" w:rsidRDefault="00CA0087" w:rsidP="00B67A43"/>
    <w:p w:rsidR="00CA0087" w:rsidRDefault="00CA0087" w:rsidP="00477699">
      <w:pPr>
        <w:jc w:val="center"/>
      </w:pPr>
      <w:r>
        <w:t>ANDREW GILES FAY, Chairman</w:t>
      </w:r>
    </w:p>
    <w:p w:rsidR="00CA0087" w:rsidRDefault="00CA0087" w:rsidP="00B67A43">
      <w:pPr>
        <w:jc w:val="center"/>
      </w:pPr>
      <w:r>
        <w:t>ART GRAHAM</w:t>
      </w:r>
    </w:p>
    <w:p w:rsidR="00CA0087" w:rsidRDefault="00CA0087" w:rsidP="00B67A43">
      <w:pPr>
        <w:jc w:val="center"/>
      </w:pPr>
      <w:r>
        <w:t>GARY F. CLARK</w:t>
      </w:r>
    </w:p>
    <w:p w:rsidR="00CA0087" w:rsidRDefault="00CA0087" w:rsidP="00B67A43">
      <w:pPr>
        <w:jc w:val="center"/>
      </w:pPr>
      <w:r>
        <w:t>MIKE LA ROSA</w:t>
      </w:r>
    </w:p>
    <w:p w:rsidR="00CA0087" w:rsidRPr="005F2751" w:rsidRDefault="00CA0087" w:rsidP="00B67A43">
      <w:pPr>
        <w:jc w:val="center"/>
      </w:pPr>
      <w:r w:rsidRPr="005F2751">
        <w:rPr>
          <w:lang w:val="en"/>
        </w:rPr>
        <w:t>GABRIELLA PASSIDOMO</w:t>
      </w:r>
    </w:p>
    <w:p w:rsidR="00CA0087" w:rsidRDefault="00CA0087" w:rsidP="00B67A43"/>
    <w:p w:rsidR="00CA0087" w:rsidRDefault="00CA0087" w:rsidP="00B67A43"/>
    <w:p w:rsidR="00CB5276" w:rsidRDefault="00CB5276">
      <w:pPr>
        <w:pStyle w:val="OrderBody"/>
      </w:pPr>
    </w:p>
    <w:p w:rsidR="00CA0087" w:rsidRDefault="00CA0087" w:rsidP="00CA0087">
      <w:pPr>
        <w:pStyle w:val="CenterUnderline"/>
      </w:pPr>
      <w:bookmarkStart w:id="4" w:name="OrderTitle"/>
      <w:r>
        <w:t>FINAL ORDER</w:t>
      </w:r>
      <w:r w:rsidR="00410F4B">
        <w:t xml:space="preserve"> APPROVING NATURAL GAS CONSERVATION COST RECOVERY AMOUNTS AND ESTABLISHING NATURAL GAS CONSERVATION COST RECOVERY FACTORS FOR JANUARY 2023 THROUGH DECEMBER 2023</w:t>
      </w:r>
      <w:bookmarkEnd w:id="4"/>
    </w:p>
    <w:p w:rsidR="00CA0087" w:rsidRDefault="00CA0087" w:rsidP="00CA0087">
      <w:pPr>
        <w:pStyle w:val="CenterUnderline"/>
      </w:pPr>
    </w:p>
    <w:p w:rsidR="00CB5276" w:rsidRDefault="00B71159">
      <w:pPr>
        <w:pStyle w:val="OrderBody"/>
      </w:pPr>
      <w:r>
        <w:t>APPEARANCES:</w:t>
      </w:r>
      <w:bookmarkStart w:id="5" w:name="OrderText"/>
      <w:bookmarkEnd w:id="5"/>
    </w:p>
    <w:p w:rsidR="00E50AE2" w:rsidRDefault="00E50AE2">
      <w:pPr>
        <w:pStyle w:val="OrderBody"/>
      </w:pPr>
    </w:p>
    <w:p w:rsidR="00E50AE2" w:rsidRDefault="00E50AE2">
      <w:pPr>
        <w:pStyle w:val="OrderBody"/>
      </w:pPr>
    </w:p>
    <w:p w:rsidR="00CA0087" w:rsidRDefault="00CA0087" w:rsidP="00CA0087">
      <w:pPr>
        <w:ind w:left="1440"/>
        <w:jc w:val="both"/>
      </w:pPr>
      <w:r>
        <w:t>BETH KEATING</w:t>
      </w:r>
      <w:r w:rsidRPr="00701945">
        <w:t>, ESQUIRE</w:t>
      </w:r>
      <w:r>
        <w:t>,</w:t>
      </w:r>
      <w:r w:rsidRPr="00701945">
        <w:t xml:space="preserve"> </w:t>
      </w:r>
      <w:r w:rsidRPr="00352019">
        <w:t>Gunster, Yoakley &amp; Stewart, P.A.</w:t>
      </w:r>
      <w:r>
        <w:t xml:space="preserve">, </w:t>
      </w:r>
      <w:r w:rsidRPr="00352019">
        <w:t>215 South Monroe St., Suite 6</w:t>
      </w:r>
      <w:r>
        <w:t>0</w:t>
      </w:r>
      <w:r w:rsidRPr="00352019">
        <w:t>1</w:t>
      </w:r>
      <w:r>
        <w:t>, T</w:t>
      </w:r>
      <w:r w:rsidRPr="00352019">
        <w:t xml:space="preserve">allahassee, </w:t>
      </w:r>
      <w:r>
        <w:t>Florida</w:t>
      </w:r>
      <w:r w:rsidRPr="00352019">
        <w:t xml:space="preserve"> 32301</w:t>
      </w:r>
      <w:r>
        <w:t xml:space="preserve">-1804; and CHRISTOPHER T. WRIGHT, ESQUIRE, </w:t>
      </w:r>
      <w:r w:rsidRPr="00825281">
        <w:rPr>
          <w:bCs/>
        </w:rPr>
        <w:t>700 Universe Boulevard</w:t>
      </w:r>
      <w:r>
        <w:rPr>
          <w:bCs/>
        </w:rPr>
        <w:t xml:space="preserve">, </w:t>
      </w:r>
      <w:r w:rsidRPr="00825281">
        <w:rPr>
          <w:bCs/>
        </w:rPr>
        <w:t>Juno Beach, Florida 33408</w:t>
      </w:r>
      <w:r>
        <w:rPr>
          <w:bCs/>
        </w:rPr>
        <w:t>-2863</w:t>
      </w:r>
    </w:p>
    <w:p w:rsidR="00CA0087" w:rsidRPr="00701945" w:rsidRDefault="00CA0087" w:rsidP="00CA0087">
      <w:pPr>
        <w:ind w:left="720" w:firstLine="720"/>
        <w:jc w:val="both"/>
      </w:pPr>
      <w:r w:rsidRPr="00701945">
        <w:rPr>
          <w:u w:val="single"/>
        </w:rPr>
        <w:t xml:space="preserve">On behalf of </w:t>
      </w:r>
      <w:r>
        <w:rPr>
          <w:u w:val="single"/>
        </w:rPr>
        <w:t>FLORIDA CITY GAS (FCG)</w:t>
      </w:r>
      <w:r w:rsidRPr="00701945">
        <w:t>.</w:t>
      </w:r>
    </w:p>
    <w:p w:rsidR="00CA0087" w:rsidRPr="00701945" w:rsidRDefault="00CA0087" w:rsidP="00CA0087">
      <w:pPr>
        <w:jc w:val="both"/>
      </w:pPr>
    </w:p>
    <w:p w:rsidR="00CA0087" w:rsidRPr="00701945" w:rsidRDefault="00CA0087" w:rsidP="00CA0087">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w:t>
      </w:r>
    </w:p>
    <w:p w:rsidR="00CA0087" w:rsidRPr="00701945" w:rsidRDefault="00CA0087" w:rsidP="00CA0087">
      <w:pPr>
        <w:ind w:left="1440"/>
        <w:jc w:val="both"/>
      </w:pPr>
      <w:r w:rsidRPr="00701945">
        <w:rPr>
          <w:u w:val="single"/>
        </w:rPr>
        <w:t xml:space="preserve">On behalf of </w:t>
      </w:r>
      <w:r>
        <w:rPr>
          <w:u w:val="single"/>
        </w:rPr>
        <w:t>FLORIDA PUBLIC UTILITIES COMPANY (FPUC), FLORIDA PUBLIC UTILITIES COMPANY-FORT MEADE, FLORIDA PUBLIC UTILITIES COMPANY-INDIANTOWN DIVISION, FLORIDA DIVISION OF CHESAPEAKE UTILITIES CORPORATION (CUC) (jointly, CONSOLIDATED COMPANIES), and o</w:t>
      </w:r>
      <w:r w:rsidRPr="00701945">
        <w:rPr>
          <w:u w:val="single"/>
        </w:rPr>
        <w:t xml:space="preserve">n behalf of </w:t>
      </w:r>
      <w:r>
        <w:rPr>
          <w:u w:val="single"/>
        </w:rPr>
        <w:t>SEBRING GAS SYSTEM (SEBRING)</w:t>
      </w:r>
      <w:r w:rsidRPr="00701945">
        <w:t xml:space="preserve">. </w:t>
      </w:r>
    </w:p>
    <w:p w:rsidR="00CA0087" w:rsidRDefault="00CA0087" w:rsidP="00CA0087">
      <w:pPr>
        <w:jc w:val="both"/>
      </w:pPr>
    </w:p>
    <w:p w:rsidR="00CA0087" w:rsidRPr="006C2D02" w:rsidRDefault="00CA0087" w:rsidP="00CA0087">
      <w:pPr>
        <w:ind w:left="1440"/>
        <w:jc w:val="both"/>
      </w:pPr>
      <w:r>
        <w:t>J. JEFFRY WAHLEN</w:t>
      </w:r>
      <w:r w:rsidRPr="00701945">
        <w:t>, ESQUIRE,</w:t>
      </w:r>
      <w:r>
        <w:t xml:space="preserve"> MALCOLM N. MEANS, ESQUIRE,</w:t>
      </w:r>
      <w:r w:rsidRPr="00701945">
        <w:t xml:space="preserve"> </w:t>
      </w:r>
      <w:r>
        <w:t>and VIRGINIA PONDER, ESQUIRE,</w:t>
      </w:r>
      <w:r w:rsidRPr="006C2D02">
        <w:t xml:space="preserve"> </w:t>
      </w:r>
      <w:r>
        <w:t xml:space="preserve">Ausley </w:t>
      </w:r>
      <w:r w:rsidRPr="006C2D02">
        <w:t>McMullen</w:t>
      </w:r>
      <w:r>
        <w:t xml:space="preserve">, </w:t>
      </w:r>
      <w:r w:rsidRPr="00612921">
        <w:t>123 S. Calhoun St.</w:t>
      </w:r>
      <w:r>
        <w:t>, Tallahassee</w:t>
      </w:r>
      <w:r w:rsidRPr="006C2D02">
        <w:t xml:space="preserve">, Florida </w:t>
      </w:r>
      <w:r>
        <w:t>32301-1517</w:t>
      </w:r>
    </w:p>
    <w:p w:rsidR="00CA0087" w:rsidRDefault="00CA0087" w:rsidP="00CA0087">
      <w:pPr>
        <w:ind w:left="720" w:firstLine="720"/>
        <w:jc w:val="both"/>
      </w:pPr>
      <w:r w:rsidRPr="00701945">
        <w:rPr>
          <w:u w:val="single"/>
        </w:rPr>
        <w:t xml:space="preserve">On behalf of </w:t>
      </w:r>
      <w:r>
        <w:rPr>
          <w:u w:val="single"/>
        </w:rPr>
        <w:t>PEOPLES GAS SYSTEM (PGS)</w:t>
      </w:r>
      <w:r w:rsidRPr="00701945">
        <w:t>.</w:t>
      </w:r>
    </w:p>
    <w:p w:rsidR="00CA0087" w:rsidRDefault="00CA0087" w:rsidP="00CA0087">
      <w:pPr>
        <w:jc w:val="both"/>
      </w:pPr>
    </w:p>
    <w:p w:rsidR="00CA0087" w:rsidRPr="00AB053E" w:rsidRDefault="00CA0087" w:rsidP="00CA0087">
      <w:pPr>
        <w:ind w:left="1440"/>
        <w:jc w:val="both"/>
      </w:pPr>
      <w:r>
        <w:t>DEBBIE STITT,</w:t>
      </w:r>
      <w:r w:rsidRPr="00701945">
        <w:t xml:space="preserve"> </w:t>
      </w:r>
      <w:r w:rsidRPr="00AB053E">
        <w:t>P.O. Box 549</w:t>
      </w:r>
      <w:r>
        <w:t xml:space="preserve">, </w:t>
      </w:r>
      <w:r w:rsidRPr="00AB053E">
        <w:t>Port St. Joe, Florida 32457-0549</w:t>
      </w:r>
    </w:p>
    <w:p w:rsidR="00CA0087" w:rsidRDefault="00CA0087" w:rsidP="00CA0087">
      <w:pPr>
        <w:ind w:left="720" w:firstLine="720"/>
        <w:jc w:val="both"/>
      </w:pPr>
      <w:r w:rsidRPr="00701945">
        <w:rPr>
          <w:u w:val="single"/>
        </w:rPr>
        <w:t xml:space="preserve">On behalf of </w:t>
      </w:r>
      <w:r>
        <w:rPr>
          <w:u w:val="single"/>
        </w:rPr>
        <w:t>ST. JOE NATURAL GAS COMPANY, INC. (SJNG)</w:t>
      </w:r>
      <w:r w:rsidRPr="00701945">
        <w:t>.</w:t>
      </w:r>
    </w:p>
    <w:p w:rsidR="00CA0087" w:rsidRPr="00701945" w:rsidRDefault="00CA0087" w:rsidP="00CA0087">
      <w:pPr>
        <w:ind w:left="720" w:firstLine="720"/>
        <w:jc w:val="both"/>
      </w:pPr>
    </w:p>
    <w:p w:rsidR="00CA0087" w:rsidRPr="00701945" w:rsidRDefault="00CA0087" w:rsidP="00CA0087">
      <w:pPr>
        <w:ind w:left="1440"/>
        <w:jc w:val="both"/>
      </w:pPr>
      <w:r>
        <w:t xml:space="preserve">RICHARD GENTRY, ESQUIRE, and CHARLES J. REHWINKEL, ESQUIRE, </w:t>
      </w:r>
      <w:r w:rsidRPr="009B7FD2">
        <w:t>111 West Madison Street, Room 812</w:t>
      </w:r>
      <w:r w:rsidRPr="00D928B9">
        <w:t>, Tallahassee, Florida 32399-1400</w:t>
      </w:r>
    </w:p>
    <w:p w:rsidR="00CA0087" w:rsidRPr="00701945" w:rsidRDefault="00CA0087" w:rsidP="00CA0087">
      <w:pPr>
        <w:ind w:left="720" w:firstLine="720"/>
        <w:jc w:val="both"/>
      </w:pPr>
      <w:r w:rsidRPr="00701945">
        <w:rPr>
          <w:u w:val="single"/>
        </w:rPr>
        <w:t xml:space="preserve">On behalf of </w:t>
      </w:r>
      <w:r>
        <w:rPr>
          <w:u w:val="single"/>
        </w:rPr>
        <w:t>OFFICE OF PUBLIC COUNSEL (OPC)</w:t>
      </w:r>
      <w:r w:rsidRPr="00701945">
        <w:t xml:space="preserve">. </w:t>
      </w:r>
    </w:p>
    <w:p w:rsidR="00CA0087" w:rsidRPr="00701945" w:rsidRDefault="00CA0087" w:rsidP="00CA0087">
      <w:pPr>
        <w:jc w:val="both"/>
      </w:pPr>
    </w:p>
    <w:p w:rsidR="00CA0087" w:rsidRPr="00701945" w:rsidRDefault="00CA0087" w:rsidP="00CA0087">
      <w:pPr>
        <w:ind w:left="1440"/>
        <w:jc w:val="both"/>
      </w:pPr>
      <w:r>
        <w:t>MATTHEW JONES</w:t>
      </w:r>
      <w:r w:rsidRPr="00701945">
        <w:t>, ESQUIRE</w:t>
      </w:r>
      <w:r>
        <w:t>, and ADRIA HARPER, ESQUIRE</w:t>
      </w:r>
      <w:r w:rsidRPr="00701945">
        <w:t>, Florida Public Service Commission, 2540 Shumard Oak Boulevard, Tallahassee, Florida 32399-0850</w:t>
      </w:r>
    </w:p>
    <w:p w:rsidR="00CA0087" w:rsidRPr="00701945" w:rsidRDefault="00CA0087" w:rsidP="00CA0087">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CA0087" w:rsidRPr="00701945" w:rsidRDefault="00CA0087" w:rsidP="00CA0087">
      <w:pPr>
        <w:jc w:val="both"/>
      </w:pPr>
    </w:p>
    <w:p w:rsidR="00CA0087" w:rsidRPr="00701945" w:rsidRDefault="00CA0087" w:rsidP="00CA0087">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CA0087" w:rsidRPr="00701945" w:rsidRDefault="00CA0087" w:rsidP="00CA0087">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CA0087" w:rsidRPr="00701945" w:rsidRDefault="00CA0087" w:rsidP="00CA0087">
      <w:pPr>
        <w:jc w:val="center"/>
        <w:rPr>
          <w:b/>
          <w:bCs/>
          <w:u w:val="single"/>
        </w:rPr>
      </w:pPr>
    </w:p>
    <w:p w:rsidR="00CA0087" w:rsidRPr="00D033EB" w:rsidRDefault="00CA0087" w:rsidP="00CA0087">
      <w:pPr>
        <w:ind w:left="1440"/>
        <w:jc w:val="both"/>
      </w:pPr>
      <w:r w:rsidRPr="00D033EB">
        <w:t>K</w:t>
      </w:r>
      <w:r>
        <w:t>EITH C. HETRICK</w:t>
      </w:r>
      <w:r w:rsidRPr="00D033EB">
        <w:t>, ESQUIRE, General Counsel, Florida Public Service Commission, 2540 Shumard Oak Boulevard, Tallahassee, Florida 32399-0850</w:t>
      </w:r>
    </w:p>
    <w:p w:rsidR="005F2751" w:rsidRDefault="00CA0087" w:rsidP="00CA0087">
      <w:pPr>
        <w:ind w:left="720" w:firstLine="720"/>
      </w:pPr>
      <w:r w:rsidRPr="00D033EB">
        <w:rPr>
          <w:u w:val="single"/>
        </w:rPr>
        <w:t>Florida Public Service Commission General Counsel</w:t>
      </w:r>
      <w:r>
        <w:t>.</w:t>
      </w:r>
    </w:p>
    <w:p w:rsidR="00CA0087" w:rsidRDefault="00CA0087" w:rsidP="00CA0087"/>
    <w:p w:rsidR="00D210E6" w:rsidRDefault="00D210E6" w:rsidP="00CA0087"/>
    <w:p w:rsidR="00410F4B" w:rsidRDefault="00410F4B" w:rsidP="00410F4B">
      <w:pPr>
        <w:pStyle w:val="OrderBody"/>
      </w:pPr>
      <w:r>
        <w:t>BY THE COMMISSION:</w:t>
      </w:r>
    </w:p>
    <w:p w:rsidR="00410F4B" w:rsidRDefault="00410F4B" w:rsidP="00410F4B"/>
    <w:p w:rsidR="00410F4B" w:rsidRPr="0079292E" w:rsidRDefault="00410F4B" w:rsidP="00410F4B">
      <w:pPr>
        <w:ind w:left="720" w:hanging="720"/>
        <w:jc w:val="center"/>
        <w:rPr>
          <w:u w:val="single"/>
        </w:rPr>
      </w:pPr>
      <w:r w:rsidRPr="0079292E">
        <w:rPr>
          <w:u w:val="single"/>
        </w:rPr>
        <w:t>BACKGROUND</w:t>
      </w:r>
    </w:p>
    <w:p w:rsidR="00410F4B" w:rsidRDefault="00410F4B" w:rsidP="00410F4B">
      <w:pPr>
        <w:ind w:left="720" w:hanging="720"/>
        <w:rPr>
          <w:u w:val="single"/>
        </w:rPr>
      </w:pPr>
    </w:p>
    <w:p w:rsidR="00917752" w:rsidRDefault="00410F4B" w:rsidP="00F61CF2">
      <w:pPr>
        <w:ind w:firstLine="720"/>
        <w:jc w:val="both"/>
      </w:pPr>
      <w:r>
        <w:t xml:space="preserve">As part of the Commission’s continuing natural gas conservation cost recovery clause proceedings, an administrative hearing was held on November 17, 2022. The clause proceedings allow natural gas companies to seek recovery of </w:t>
      </w:r>
      <w:r w:rsidR="00F61CF2">
        <w:t>their</w:t>
      </w:r>
      <w:r>
        <w:t xml:space="preserve"> costs for approved natural gas conservation programs on an annual basis, pursuant to Sections 366.80-366.83, Florida Statutes (F.S.), and Chapter 25-17, Florida Administrative Code (F.A.C.).</w:t>
      </w:r>
      <w:r w:rsidRPr="00BD6884">
        <w:t xml:space="preserve"> FCG, the Consolidated Companies, PGS, Sebring, and SJNG submitted testimony and exhibits in support of their proposed final and estimated true-up amounts and their conservation cost recovery factors. Prior to the hearing, the parties reached an agreement concerning all issues identified for resolution at the hearing. OPC took no position. We have jurisdiction over this subject matter by the provisions of Chapter 366, F.S., including Sections 366.04, 366.05, and 366.06, F.S.</w:t>
      </w:r>
    </w:p>
    <w:p w:rsidR="00917752" w:rsidRDefault="00917752" w:rsidP="00410F4B"/>
    <w:p w:rsidR="00410F4B" w:rsidRDefault="00410F4B" w:rsidP="00410F4B">
      <w:pPr>
        <w:jc w:val="center"/>
        <w:rPr>
          <w:u w:val="single"/>
        </w:rPr>
      </w:pPr>
      <w:r w:rsidRPr="0079292E">
        <w:rPr>
          <w:u w:val="single"/>
        </w:rPr>
        <w:t>DECISION</w:t>
      </w:r>
    </w:p>
    <w:p w:rsidR="00F61CF2" w:rsidRPr="0079292E" w:rsidRDefault="00F61CF2" w:rsidP="00410F4B">
      <w:pPr>
        <w:jc w:val="center"/>
        <w:rPr>
          <w:u w:val="single"/>
        </w:rPr>
      </w:pPr>
    </w:p>
    <w:p w:rsidR="00F61CF2" w:rsidRPr="00DC48B2" w:rsidRDefault="00F61CF2" w:rsidP="00F61CF2">
      <w:pPr>
        <w:autoSpaceDE w:val="0"/>
        <w:autoSpaceDN w:val="0"/>
        <w:adjustRightInd w:val="0"/>
        <w:ind w:firstLine="720"/>
        <w:jc w:val="both"/>
      </w:pPr>
      <w:r>
        <w:t>Prior to the hearing, the parties reached Type 2 stipulations</w:t>
      </w:r>
      <w:r>
        <w:rPr>
          <w:rStyle w:val="FootnoteReference"/>
        </w:rPr>
        <w:footnoteReference w:id="1"/>
      </w:r>
      <w:r>
        <w:t xml:space="preserve"> on all issues identified for resolution at hearing, with the Utilities agreeing to proposed stipulations to the final and estimated true-up amounts and purchased gas cost recovery factors appropriate for each utility, and with OPC taking no position on these proposed stipulations. </w:t>
      </w:r>
      <w:r w:rsidRPr="00DC48B2">
        <w:t xml:space="preserve">The OPC position on each Type 2 </w:t>
      </w:r>
      <w:r>
        <w:t xml:space="preserve">stipulation is as </w:t>
      </w:r>
      <w:r w:rsidRPr="00DC48B2">
        <w:t>follows:</w:t>
      </w:r>
    </w:p>
    <w:p w:rsidR="00F61CF2" w:rsidRPr="00DC48B2" w:rsidRDefault="00F61CF2" w:rsidP="00F61CF2"/>
    <w:p w:rsidR="00F61CF2" w:rsidRDefault="00F61CF2" w:rsidP="00F61CF2">
      <w:pPr>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w:t>
      </w:r>
      <w:r>
        <w:rPr>
          <w:bCs/>
        </w:rPr>
        <w:t xml:space="preserve"> </w:t>
      </w:r>
      <w:r w:rsidRPr="00DC48B2">
        <w:rPr>
          <w:bCs/>
        </w:rPr>
        <w:t>No person is authorized to state that the OPC is a participant in, or party to, a stipulation on these issues, either in this docket, in an order of the Commission</w:t>
      </w:r>
      <w:r>
        <w:rPr>
          <w:bCs/>
        </w:rPr>
        <w:t>,</w:t>
      </w:r>
      <w:r w:rsidRPr="00DC48B2">
        <w:rPr>
          <w:bCs/>
        </w:rPr>
        <w:t xml:space="preserve"> or in a representation to a Court.  </w:t>
      </w:r>
    </w:p>
    <w:p w:rsidR="00F61CF2" w:rsidRDefault="00F61CF2" w:rsidP="00F61CF2">
      <w:pPr>
        <w:ind w:left="720" w:right="720"/>
        <w:jc w:val="both"/>
        <w:rPr>
          <w:bCs/>
        </w:rPr>
      </w:pPr>
    </w:p>
    <w:p w:rsidR="00F61CF2" w:rsidRPr="00F61CF2" w:rsidRDefault="00F61CF2" w:rsidP="00F61CF2">
      <w:pPr>
        <w:autoSpaceDE w:val="0"/>
        <w:autoSpaceDN w:val="0"/>
        <w:adjustRightInd w:val="0"/>
        <w:jc w:val="both"/>
        <w:rPr>
          <w:bCs/>
        </w:rPr>
      </w:pPr>
      <w:r>
        <w:rPr>
          <w:bCs/>
        </w:rPr>
        <w:tab/>
      </w:r>
      <w:r>
        <w:t>The proposed stipulations were presented to us for approval. We accept and approve the proposed stipulations as reasonable and supported by competent, substantial evidence of record, as set forth below.</w:t>
      </w:r>
    </w:p>
    <w:p w:rsidR="00F61CF2" w:rsidRDefault="00F61CF2" w:rsidP="00410F4B"/>
    <w:p w:rsidR="00410F4B" w:rsidRPr="001061C7" w:rsidRDefault="00410F4B" w:rsidP="00410F4B">
      <w:pPr>
        <w:pStyle w:val="OrderBody"/>
        <w:rPr>
          <w:u w:val="single"/>
        </w:rPr>
      </w:pPr>
      <w:r w:rsidRPr="001061C7">
        <w:rPr>
          <w:u w:val="single"/>
        </w:rPr>
        <w:t xml:space="preserve">Conservation Cost Recovery </w:t>
      </w:r>
      <w:r w:rsidR="00B71159">
        <w:rPr>
          <w:u w:val="single"/>
        </w:rPr>
        <w:t xml:space="preserve">Amounts and </w:t>
      </w:r>
      <w:r w:rsidRPr="001061C7">
        <w:rPr>
          <w:u w:val="single"/>
        </w:rPr>
        <w:t>Factors</w:t>
      </w:r>
    </w:p>
    <w:p w:rsidR="00410F4B" w:rsidRDefault="00410F4B" w:rsidP="00410F4B">
      <w:pPr>
        <w:pStyle w:val="OrderBody"/>
      </w:pPr>
    </w:p>
    <w:p w:rsidR="00410F4B" w:rsidRDefault="00410F4B" w:rsidP="00410F4B">
      <w:pPr>
        <w:ind w:firstLine="720"/>
        <w:contextualSpacing/>
        <w:jc w:val="both"/>
      </w:pPr>
      <w:r>
        <w:t>We find the appropriate final conservation cost recovery true-up amounts for the period January 2021 through December 2021 are as follows:</w:t>
      </w:r>
    </w:p>
    <w:p w:rsidR="00410F4B" w:rsidRDefault="00410F4B" w:rsidP="00410F4B">
      <w:pPr>
        <w:ind w:firstLine="720"/>
        <w:contextualSpacing/>
        <w:jc w:val="both"/>
      </w:pPr>
    </w:p>
    <w:p w:rsidR="00410F4B" w:rsidRDefault="00410F4B" w:rsidP="00410F4B">
      <w:pPr>
        <w:ind w:left="2160" w:hanging="720"/>
        <w:jc w:val="both"/>
      </w:pPr>
      <w:r>
        <w:t>FCG</w:t>
      </w:r>
      <w:r>
        <w:tab/>
      </w:r>
      <w:r>
        <w:tab/>
      </w:r>
      <w:r>
        <w:tab/>
      </w:r>
      <w:r>
        <w:tab/>
      </w:r>
      <w:r>
        <w:tab/>
      </w:r>
      <w:r w:rsidRPr="00623480">
        <w:rPr>
          <w:color w:val="0E101A"/>
        </w:rPr>
        <w:t>$469,106</w:t>
      </w:r>
      <w:r>
        <w:tab/>
        <w:t>Under-recovery</w:t>
      </w:r>
    </w:p>
    <w:p w:rsidR="00410F4B" w:rsidRDefault="00410F4B" w:rsidP="00410F4B">
      <w:pPr>
        <w:ind w:left="2160" w:hanging="720"/>
        <w:jc w:val="both"/>
      </w:pPr>
      <w:r>
        <w:t>Consolidated Companies</w:t>
      </w:r>
      <w:r>
        <w:tab/>
      </w:r>
      <w:r>
        <w:tab/>
      </w:r>
      <w:r w:rsidRPr="0019529A">
        <w:rPr>
          <w:color w:val="0E101A"/>
        </w:rPr>
        <w:t>$422,449</w:t>
      </w:r>
      <w:r>
        <w:tab/>
        <w:t>Over-recovery</w:t>
      </w:r>
    </w:p>
    <w:p w:rsidR="00410F4B" w:rsidRDefault="00410F4B" w:rsidP="00410F4B">
      <w:pPr>
        <w:ind w:left="2160" w:hanging="720"/>
        <w:jc w:val="both"/>
      </w:pPr>
      <w:r>
        <w:t>PGS</w:t>
      </w:r>
      <w:r>
        <w:tab/>
      </w:r>
      <w:r>
        <w:tab/>
      </w:r>
      <w:r>
        <w:tab/>
      </w:r>
      <w:r>
        <w:tab/>
      </w:r>
      <w:r>
        <w:tab/>
      </w:r>
      <w:r>
        <w:rPr>
          <w:color w:val="0E101A"/>
        </w:rPr>
        <w:t>$</w:t>
      </w:r>
      <w:r w:rsidRPr="00623480">
        <w:rPr>
          <w:color w:val="0E101A"/>
        </w:rPr>
        <w:t>2,209,020</w:t>
      </w:r>
      <w:r>
        <w:tab/>
        <w:t>Over-recovery</w:t>
      </w:r>
    </w:p>
    <w:p w:rsidR="00410F4B" w:rsidRDefault="00410F4B" w:rsidP="00410F4B">
      <w:pPr>
        <w:ind w:left="2160" w:hanging="720"/>
        <w:jc w:val="both"/>
      </w:pPr>
      <w:r>
        <w:t>Sebring</w:t>
      </w:r>
      <w:r>
        <w:tab/>
      </w:r>
      <w:r>
        <w:tab/>
      </w:r>
      <w:r>
        <w:tab/>
      </w:r>
      <w:r>
        <w:tab/>
      </w:r>
      <w:r>
        <w:rPr>
          <w:color w:val="0E101A"/>
        </w:rPr>
        <w:t>$7,104</w:t>
      </w:r>
      <w:r>
        <w:rPr>
          <w:color w:val="0E101A"/>
        </w:rPr>
        <w:tab/>
      </w:r>
      <w:r>
        <w:tab/>
        <w:t>Over-recovery</w:t>
      </w:r>
    </w:p>
    <w:p w:rsidR="00410F4B" w:rsidRDefault="00410F4B" w:rsidP="00410F4B">
      <w:pPr>
        <w:ind w:left="2160" w:hanging="720"/>
        <w:jc w:val="both"/>
      </w:pPr>
      <w:r>
        <w:t>SJNG</w:t>
      </w:r>
      <w:r>
        <w:tab/>
      </w:r>
      <w:r>
        <w:tab/>
      </w:r>
      <w:r>
        <w:tab/>
      </w:r>
      <w:r>
        <w:tab/>
      </w:r>
      <w:r>
        <w:tab/>
      </w:r>
      <w:r w:rsidRPr="0019529A">
        <w:rPr>
          <w:color w:val="0E101A"/>
        </w:rPr>
        <w:t>$23,184</w:t>
      </w:r>
      <w:r>
        <w:tab/>
        <w:t>Over-recovery</w:t>
      </w:r>
    </w:p>
    <w:p w:rsidR="00410F4B" w:rsidRDefault="00410F4B" w:rsidP="00410F4B">
      <w:pPr>
        <w:ind w:left="2160" w:hanging="720"/>
        <w:jc w:val="both"/>
      </w:pPr>
    </w:p>
    <w:p w:rsidR="00410F4B" w:rsidRDefault="00410F4B" w:rsidP="00410F4B">
      <w:pPr>
        <w:ind w:firstLine="720"/>
        <w:contextualSpacing/>
        <w:jc w:val="both"/>
      </w:pPr>
      <w:r>
        <w:t>We find the appropriate conservation cost adjustment actual/estimated true-up amounts for the period January 2022 through December 2022 are as follows:</w:t>
      </w:r>
    </w:p>
    <w:p w:rsidR="00410F4B" w:rsidRDefault="00410F4B" w:rsidP="00410F4B">
      <w:pPr>
        <w:ind w:left="1440" w:hanging="1440"/>
        <w:jc w:val="both"/>
      </w:pPr>
    </w:p>
    <w:p w:rsidR="00410F4B" w:rsidRDefault="00410F4B" w:rsidP="00410F4B">
      <w:pPr>
        <w:ind w:left="1440" w:hanging="1440"/>
        <w:jc w:val="both"/>
      </w:pPr>
      <w:r>
        <w:tab/>
        <w:t>FCG</w:t>
      </w:r>
      <w:r>
        <w:tab/>
      </w:r>
      <w:r>
        <w:tab/>
      </w:r>
      <w:r>
        <w:tab/>
      </w:r>
      <w:r>
        <w:tab/>
      </w:r>
      <w:r>
        <w:tab/>
      </w:r>
      <w:r w:rsidRPr="0019529A">
        <w:rPr>
          <w:color w:val="0E101A"/>
        </w:rPr>
        <w:t>$67,504</w:t>
      </w:r>
      <w:r>
        <w:tab/>
        <w:t>Over-recovery</w:t>
      </w:r>
    </w:p>
    <w:p w:rsidR="00410F4B" w:rsidRDefault="00410F4B" w:rsidP="00410F4B">
      <w:pPr>
        <w:ind w:left="1440" w:hanging="1440"/>
        <w:jc w:val="both"/>
      </w:pPr>
      <w:r>
        <w:tab/>
        <w:t>Consolidated Companies</w:t>
      </w:r>
      <w:r>
        <w:tab/>
      </w:r>
      <w:r>
        <w:tab/>
      </w:r>
      <w:r w:rsidRPr="0019529A">
        <w:rPr>
          <w:color w:val="0E101A"/>
        </w:rPr>
        <w:t>$430,359</w:t>
      </w:r>
      <w:r>
        <w:tab/>
        <w:t>Under-recovery</w:t>
      </w:r>
    </w:p>
    <w:p w:rsidR="00410F4B" w:rsidRDefault="00410F4B" w:rsidP="00410F4B">
      <w:pPr>
        <w:ind w:left="1440" w:hanging="1440"/>
        <w:jc w:val="both"/>
      </w:pPr>
      <w:r>
        <w:tab/>
        <w:t>PGS</w:t>
      </w:r>
      <w:r>
        <w:tab/>
      </w:r>
      <w:r>
        <w:tab/>
      </w:r>
      <w:r>
        <w:tab/>
      </w:r>
      <w:r>
        <w:tab/>
      </w:r>
      <w:r>
        <w:tab/>
      </w:r>
      <w:r w:rsidRPr="0019529A">
        <w:rPr>
          <w:color w:val="0E101A"/>
        </w:rPr>
        <w:t>$1,333,568</w:t>
      </w:r>
      <w:r>
        <w:tab/>
        <w:t>Over-recovery</w:t>
      </w:r>
    </w:p>
    <w:p w:rsidR="00410F4B" w:rsidRDefault="00410F4B" w:rsidP="00410F4B">
      <w:pPr>
        <w:ind w:left="1440" w:hanging="1440"/>
        <w:jc w:val="both"/>
      </w:pPr>
      <w:r>
        <w:tab/>
        <w:t>Sebring</w:t>
      </w:r>
      <w:r>
        <w:tab/>
      </w:r>
      <w:r>
        <w:tab/>
      </w:r>
      <w:r>
        <w:tab/>
      </w:r>
      <w:r>
        <w:tab/>
      </w:r>
      <w:r w:rsidRPr="0019529A">
        <w:rPr>
          <w:color w:val="0E101A"/>
        </w:rPr>
        <w:t>$13,584</w:t>
      </w:r>
      <w:r>
        <w:t xml:space="preserve"> </w:t>
      </w:r>
      <w:r>
        <w:tab/>
        <w:t>Under-recovery</w:t>
      </w:r>
    </w:p>
    <w:p w:rsidR="00410F4B" w:rsidRDefault="00410F4B" w:rsidP="00410F4B">
      <w:pPr>
        <w:ind w:left="1440" w:hanging="1440"/>
        <w:jc w:val="both"/>
      </w:pPr>
      <w:r>
        <w:tab/>
        <w:t>SJNG</w:t>
      </w:r>
      <w:r>
        <w:tab/>
      </w:r>
      <w:r>
        <w:tab/>
      </w:r>
      <w:r>
        <w:tab/>
      </w:r>
      <w:r>
        <w:tab/>
      </w:r>
      <w:r>
        <w:tab/>
      </w:r>
      <w:r w:rsidRPr="0019529A">
        <w:rPr>
          <w:color w:val="0E101A"/>
        </w:rPr>
        <w:t>$56,534</w:t>
      </w:r>
      <w:r>
        <w:tab/>
        <w:t>Over-recovery</w:t>
      </w:r>
    </w:p>
    <w:p w:rsidR="00410F4B" w:rsidRDefault="00410F4B" w:rsidP="00410F4B">
      <w:pPr>
        <w:ind w:left="1440" w:hanging="1440"/>
        <w:jc w:val="both"/>
      </w:pPr>
    </w:p>
    <w:p w:rsidR="00410F4B" w:rsidRDefault="00410F4B" w:rsidP="00410F4B">
      <w:pPr>
        <w:ind w:firstLine="720"/>
        <w:contextualSpacing/>
        <w:jc w:val="both"/>
      </w:pPr>
      <w:r>
        <w:t xml:space="preserve">We find the appropriate total conservation adjustment true-up amounts to be collected/refunded from </w:t>
      </w:r>
      <w:r w:rsidR="003A2DF5">
        <w:t xml:space="preserve">the period </w:t>
      </w:r>
      <w:r>
        <w:t>January 2022 through December 2022 are as follows:</w:t>
      </w:r>
    </w:p>
    <w:p w:rsidR="00410F4B" w:rsidRDefault="00410F4B" w:rsidP="00410F4B">
      <w:pPr>
        <w:ind w:left="1440" w:hanging="1440"/>
        <w:jc w:val="both"/>
      </w:pPr>
    </w:p>
    <w:p w:rsidR="00410F4B" w:rsidRDefault="00410F4B" w:rsidP="00410F4B">
      <w:pPr>
        <w:ind w:left="1440" w:hanging="1440"/>
        <w:jc w:val="both"/>
      </w:pPr>
      <w:r>
        <w:tab/>
        <w:t>FCG</w:t>
      </w:r>
      <w:r>
        <w:tab/>
      </w:r>
      <w:r>
        <w:tab/>
      </w:r>
      <w:r>
        <w:tab/>
      </w:r>
      <w:r>
        <w:tab/>
      </w:r>
      <w:r>
        <w:tab/>
      </w:r>
      <w:r w:rsidRPr="0019529A">
        <w:rPr>
          <w:color w:val="0E101A"/>
        </w:rPr>
        <w:t>$404,512</w:t>
      </w:r>
      <w:r>
        <w:tab/>
        <w:t>Under-recovery</w:t>
      </w:r>
    </w:p>
    <w:p w:rsidR="00410F4B" w:rsidRDefault="00410F4B" w:rsidP="00410F4B">
      <w:pPr>
        <w:ind w:left="1440" w:hanging="1440"/>
        <w:jc w:val="both"/>
      </w:pPr>
      <w:r>
        <w:tab/>
        <w:t>Consolidated Companies</w:t>
      </w:r>
      <w:r>
        <w:tab/>
      </w:r>
      <w:r>
        <w:tab/>
        <w:t>$7,910</w:t>
      </w:r>
      <w:r>
        <w:tab/>
      </w:r>
      <w:r>
        <w:tab/>
        <w:t>Under-recovery</w:t>
      </w:r>
    </w:p>
    <w:p w:rsidR="00410F4B" w:rsidRDefault="00410F4B" w:rsidP="00410F4B">
      <w:pPr>
        <w:ind w:left="1440" w:hanging="1440"/>
        <w:jc w:val="both"/>
      </w:pPr>
      <w:r>
        <w:tab/>
        <w:t>PGS</w:t>
      </w:r>
      <w:r>
        <w:tab/>
      </w:r>
      <w:r>
        <w:tab/>
      </w:r>
      <w:r>
        <w:tab/>
      </w:r>
      <w:r>
        <w:tab/>
      </w:r>
      <w:r>
        <w:tab/>
      </w:r>
      <w:r w:rsidRPr="0019529A">
        <w:rPr>
          <w:color w:val="0E101A"/>
        </w:rPr>
        <w:t>$3,542,588</w:t>
      </w:r>
      <w:r>
        <w:tab/>
        <w:t>Over-recovery</w:t>
      </w:r>
    </w:p>
    <w:p w:rsidR="00410F4B" w:rsidRDefault="00410F4B" w:rsidP="00410F4B">
      <w:pPr>
        <w:ind w:left="1440" w:hanging="1440"/>
        <w:jc w:val="both"/>
      </w:pPr>
      <w:r>
        <w:tab/>
        <w:t>Sebring</w:t>
      </w:r>
      <w:r>
        <w:tab/>
      </w:r>
      <w:r>
        <w:tab/>
      </w:r>
      <w:r>
        <w:tab/>
      </w:r>
      <w:r>
        <w:tab/>
      </w:r>
      <w:r w:rsidRPr="0019529A">
        <w:rPr>
          <w:color w:val="0E101A"/>
        </w:rPr>
        <w:t>$6,480</w:t>
      </w:r>
      <w:r>
        <w:rPr>
          <w:color w:val="0E101A"/>
        </w:rPr>
        <w:tab/>
      </w:r>
      <w:r>
        <w:tab/>
        <w:t>Under-recovery</w:t>
      </w:r>
    </w:p>
    <w:p w:rsidR="00410F4B" w:rsidRDefault="00410F4B" w:rsidP="00410F4B">
      <w:pPr>
        <w:ind w:left="1440" w:hanging="1440"/>
        <w:jc w:val="both"/>
      </w:pPr>
      <w:r>
        <w:tab/>
        <w:t>SJNG</w:t>
      </w:r>
      <w:r>
        <w:tab/>
      </w:r>
      <w:r>
        <w:tab/>
      </w:r>
      <w:r>
        <w:tab/>
      </w:r>
      <w:r>
        <w:tab/>
      </w:r>
      <w:r>
        <w:tab/>
      </w:r>
      <w:r w:rsidRPr="0019529A">
        <w:rPr>
          <w:color w:val="0E101A"/>
        </w:rPr>
        <w:t>$79,718</w:t>
      </w:r>
      <w:r>
        <w:tab/>
        <w:t>Over-recovery</w:t>
      </w:r>
    </w:p>
    <w:p w:rsidR="00F61CF2" w:rsidRDefault="00F61CF2" w:rsidP="00410F4B">
      <w:pPr>
        <w:jc w:val="both"/>
      </w:pPr>
    </w:p>
    <w:p w:rsidR="00465788" w:rsidRDefault="00465788" w:rsidP="00410F4B">
      <w:pPr>
        <w:jc w:val="both"/>
      </w:pPr>
    </w:p>
    <w:p w:rsidR="00465788" w:rsidRDefault="00465788" w:rsidP="00410F4B">
      <w:pPr>
        <w:jc w:val="both"/>
      </w:pPr>
    </w:p>
    <w:p w:rsidR="00410F4B" w:rsidRDefault="00410F4B" w:rsidP="00410F4B">
      <w:pPr>
        <w:ind w:firstLine="720"/>
        <w:contextualSpacing/>
        <w:jc w:val="both"/>
      </w:pPr>
      <w:r>
        <w:lastRenderedPageBreak/>
        <w:t>We find the total conservation cost recovery amounts to be collected during the period January 2023 through December 2023 are as follows:</w:t>
      </w:r>
    </w:p>
    <w:p w:rsidR="00410F4B" w:rsidRDefault="00410F4B" w:rsidP="00410F4B">
      <w:pPr>
        <w:ind w:left="1440" w:hanging="1440"/>
        <w:jc w:val="both"/>
      </w:pPr>
    </w:p>
    <w:p w:rsidR="00410F4B" w:rsidRDefault="00410F4B" w:rsidP="00410F4B">
      <w:pPr>
        <w:ind w:left="1440" w:hanging="1440"/>
        <w:jc w:val="both"/>
      </w:pPr>
      <w:r>
        <w:tab/>
        <w:t>FCG</w:t>
      </w:r>
      <w:r>
        <w:tab/>
      </w:r>
      <w:r>
        <w:tab/>
      </w:r>
      <w:r>
        <w:tab/>
      </w:r>
      <w:r>
        <w:tab/>
      </w:r>
      <w:r>
        <w:tab/>
      </w:r>
      <w:r w:rsidRPr="0019529A">
        <w:rPr>
          <w:color w:val="0E101A"/>
        </w:rPr>
        <w:t>$7,012,004</w:t>
      </w:r>
      <w:r>
        <w:tab/>
      </w:r>
    </w:p>
    <w:p w:rsidR="00410F4B" w:rsidRDefault="00410F4B" w:rsidP="00410F4B">
      <w:pPr>
        <w:ind w:left="1440" w:hanging="1440"/>
        <w:jc w:val="both"/>
      </w:pPr>
      <w:r>
        <w:tab/>
        <w:t>Consolidated Companies</w:t>
      </w:r>
      <w:r>
        <w:tab/>
      </w:r>
      <w:r>
        <w:tab/>
      </w:r>
      <w:r>
        <w:rPr>
          <w:color w:val="0E101A"/>
        </w:rPr>
        <w:t>$4,728,310</w:t>
      </w:r>
    </w:p>
    <w:p w:rsidR="00410F4B" w:rsidRDefault="00410F4B" w:rsidP="00410F4B">
      <w:pPr>
        <w:ind w:left="1440" w:hanging="1440"/>
        <w:jc w:val="both"/>
      </w:pPr>
      <w:r>
        <w:tab/>
        <w:t>PGS</w:t>
      </w:r>
      <w:r>
        <w:tab/>
      </w:r>
      <w:r>
        <w:tab/>
      </w:r>
      <w:r>
        <w:tab/>
      </w:r>
      <w:r>
        <w:tab/>
      </w:r>
      <w:r>
        <w:tab/>
      </w:r>
      <w:r>
        <w:rPr>
          <w:color w:val="0E101A"/>
        </w:rPr>
        <w:t>$</w:t>
      </w:r>
      <w:r w:rsidRPr="0019529A">
        <w:rPr>
          <w:color w:val="0E101A"/>
        </w:rPr>
        <w:t>1</w:t>
      </w:r>
      <w:r>
        <w:rPr>
          <w:color w:val="0E101A"/>
        </w:rPr>
        <w:t>8,338,325</w:t>
      </w:r>
    </w:p>
    <w:p w:rsidR="00410F4B" w:rsidRDefault="00410F4B" w:rsidP="00410F4B">
      <w:pPr>
        <w:ind w:left="1440" w:hanging="1440"/>
        <w:jc w:val="both"/>
      </w:pPr>
      <w:r>
        <w:tab/>
        <w:t>Sebring</w:t>
      </w:r>
      <w:r>
        <w:tab/>
      </w:r>
      <w:r>
        <w:tab/>
      </w:r>
      <w:r>
        <w:tab/>
      </w:r>
      <w:r>
        <w:tab/>
      </w:r>
      <w:r w:rsidRPr="0019529A">
        <w:rPr>
          <w:color w:val="0E101A"/>
        </w:rPr>
        <w:t>$35,945</w:t>
      </w:r>
    </w:p>
    <w:p w:rsidR="00410F4B" w:rsidRDefault="00410F4B" w:rsidP="00410F4B">
      <w:pPr>
        <w:ind w:left="1440" w:hanging="1440"/>
        <w:jc w:val="both"/>
        <w:rPr>
          <w:bCs/>
        </w:rPr>
      </w:pPr>
      <w:r>
        <w:tab/>
        <w:t>SJNG</w:t>
      </w:r>
      <w:r>
        <w:tab/>
      </w:r>
      <w:r>
        <w:tab/>
      </w:r>
      <w:r>
        <w:tab/>
      </w:r>
      <w:r>
        <w:tab/>
      </w:r>
      <w:r>
        <w:tab/>
      </w:r>
      <w:r w:rsidRPr="0019529A">
        <w:rPr>
          <w:color w:val="0E101A"/>
        </w:rPr>
        <w:t>$114,907</w:t>
      </w:r>
    </w:p>
    <w:p w:rsidR="00F61CF2" w:rsidRDefault="00F61CF2" w:rsidP="00410F4B">
      <w:pPr>
        <w:ind w:left="1440" w:hanging="1440"/>
        <w:jc w:val="both"/>
        <w:rPr>
          <w:bCs/>
        </w:rPr>
      </w:pPr>
    </w:p>
    <w:p w:rsidR="00410F4B" w:rsidRDefault="00410F4B" w:rsidP="00410F4B">
      <w:pPr>
        <w:ind w:firstLine="720"/>
      </w:pPr>
      <w:r>
        <w:t>We find the appropriate conservation cost recovery factors for the period January 2023 through December 2023 are as follows:</w:t>
      </w:r>
    </w:p>
    <w:p w:rsidR="00410F4B" w:rsidRDefault="00410F4B" w:rsidP="00410F4B"/>
    <w:p w:rsidR="00410F4B" w:rsidRPr="009C223E" w:rsidRDefault="00410F4B" w:rsidP="00410F4B">
      <w:pPr>
        <w:rPr>
          <w:b/>
        </w:rPr>
      </w:pPr>
      <w:r w:rsidRPr="009C223E">
        <w:rPr>
          <w:b/>
        </w:rPr>
        <w:t>FCG:</w:t>
      </w:r>
    </w:p>
    <w:p w:rsidR="00410F4B" w:rsidRDefault="00410F4B" w:rsidP="00410F4B">
      <w:pPr>
        <w:rPr>
          <w:b/>
          <w:u w:val="single"/>
        </w:rPr>
      </w:pPr>
    </w:p>
    <w:tbl>
      <w:tblPr>
        <w:tblpPr w:leftFromText="187" w:rightFromText="187" w:vertAnchor="text" w:horzAnchor="page" w:tblpXSpec="center" w:tblpY="15"/>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40"/>
        <w:gridCol w:w="3470"/>
      </w:tblGrid>
      <w:tr w:rsidR="00410F4B" w:rsidRPr="0052542F" w:rsidTr="008D5AD9">
        <w:tc>
          <w:tcPr>
            <w:tcW w:w="5840" w:type="dxa"/>
            <w:shd w:val="clear" w:color="auto" w:fill="auto"/>
            <w:vAlign w:val="center"/>
            <w:hideMark/>
          </w:tcPr>
          <w:p w:rsidR="00410F4B" w:rsidRPr="0052542F" w:rsidRDefault="00410F4B" w:rsidP="008D5AD9">
            <w:pPr>
              <w:keepNext/>
              <w:contextualSpacing/>
              <w:rPr>
                <w:b/>
                <w:bCs/>
                <w:u w:val="single"/>
              </w:rPr>
            </w:pPr>
            <w:r w:rsidRPr="0052542F">
              <w:rPr>
                <w:b/>
                <w:bCs/>
                <w:u w:val="single"/>
              </w:rPr>
              <w:t>Rate Schedule</w:t>
            </w:r>
            <w:r>
              <w:rPr>
                <w:b/>
                <w:bCs/>
                <w:u w:val="single"/>
              </w:rPr>
              <w:br/>
            </w:r>
          </w:p>
        </w:tc>
        <w:tc>
          <w:tcPr>
            <w:tcW w:w="3470" w:type="dxa"/>
            <w:shd w:val="clear" w:color="auto" w:fill="auto"/>
            <w:vAlign w:val="center"/>
            <w:hideMark/>
          </w:tcPr>
          <w:p w:rsidR="00410F4B" w:rsidRPr="0052542F" w:rsidRDefault="00410F4B" w:rsidP="008D5AD9">
            <w:pPr>
              <w:keepNext/>
              <w:contextualSpacing/>
              <w:jc w:val="center"/>
              <w:rPr>
                <w:b/>
                <w:bCs/>
                <w:u w:val="single"/>
              </w:rPr>
            </w:pPr>
            <w:r w:rsidRPr="0052542F">
              <w:rPr>
                <w:b/>
                <w:bCs/>
                <w:u w:val="single"/>
              </w:rPr>
              <w:t>Conservation Recovery Factors</w:t>
            </w:r>
          </w:p>
          <w:p w:rsidR="00410F4B" w:rsidRPr="0052542F" w:rsidRDefault="00410F4B" w:rsidP="008D5AD9">
            <w:pPr>
              <w:keepNext/>
              <w:contextualSpacing/>
              <w:jc w:val="center"/>
              <w:rPr>
                <w:b/>
                <w:bCs/>
                <w:u w:val="single"/>
              </w:rPr>
            </w:pPr>
            <w:r w:rsidRPr="0052542F">
              <w:rPr>
                <w:b/>
                <w:bCs/>
                <w:u w:val="single"/>
              </w:rPr>
              <w:t>($/therm)</w:t>
            </w:r>
            <w:r>
              <w:rPr>
                <w:b/>
                <w:bCs/>
                <w:u w:val="single"/>
              </w:rPr>
              <w:br/>
            </w:r>
          </w:p>
        </w:tc>
      </w:tr>
      <w:tr w:rsidR="00410F4B" w:rsidRPr="00F56F26" w:rsidTr="008D5AD9">
        <w:tc>
          <w:tcPr>
            <w:tcW w:w="5840" w:type="dxa"/>
            <w:shd w:val="clear" w:color="auto" w:fill="auto"/>
            <w:noWrap/>
            <w:vAlign w:val="center"/>
            <w:hideMark/>
          </w:tcPr>
          <w:p w:rsidR="00410F4B" w:rsidRPr="00F56F26" w:rsidRDefault="00410F4B" w:rsidP="008D5AD9">
            <w:pPr>
              <w:keepNext/>
              <w:contextualSpacing/>
            </w:pPr>
            <w:r w:rsidRPr="00F56F26">
              <w:t>RS1</w:t>
            </w:r>
          </w:p>
        </w:tc>
        <w:tc>
          <w:tcPr>
            <w:tcW w:w="3470" w:type="dxa"/>
            <w:shd w:val="clear" w:color="auto" w:fill="auto"/>
            <w:noWrap/>
            <w:vAlign w:val="center"/>
            <w:hideMark/>
          </w:tcPr>
          <w:p w:rsidR="00410F4B" w:rsidRPr="00F56F26" w:rsidRDefault="00410F4B" w:rsidP="008D5AD9">
            <w:pPr>
              <w:keepNext/>
              <w:ind w:right="600"/>
              <w:contextualSpacing/>
              <w:jc w:val="center"/>
            </w:pPr>
            <w:r>
              <w:t xml:space="preserve">        $0.25615</w:t>
            </w:r>
          </w:p>
        </w:tc>
      </w:tr>
      <w:tr w:rsidR="00410F4B" w:rsidRPr="00F56F26" w:rsidTr="008D5AD9">
        <w:tc>
          <w:tcPr>
            <w:tcW w:w="5840" w:type="dxa"/>
            <w:shd w:val="clear" w:color="auto" w:fill="auto"/>
            <w:noWrap/>
            <w:vAlign w:val="center"/>
            <w:hideMark/>
          </w:tcPr>
          <w:p w:rsidR="00410F4B" w:rsidRPr="00F56F26" w:rsidRDefault="00410F4B" w:rsidP="008D5AD9">
            <w:pPr>
              <w:keepNext/>
              <w:contextualSpacing/>
            </w:pPr>
            <w:r>
              <w:t>RS-100</w:t>
            </w:r>
          </w:p>
        </w:tc>
        <w:tc>
          <w:tcPr>
            <w:tcW w:w="3470" w:type="dxa"/>
            <w:shd w:val="clear" w:color="auto" w:fill="auto"/>
            <w:noWrap/>
            <w:vAlign w:val="center"/>
            <w:hideMark/>
          </w:tcPr>
          <w:p w:rsidR="00410F4B" w:rsidRPr="00F56F26" w:rsidRDefault="00410F4B" w:rsidP="008D5AD9">
            <w:pPr>
              <w:keepNext/>
              <w:ind w:right="600"/>
              <w:contextualSpacing/>
              <w:jc w:val="center"/>
            </w:pPr>
            <w:r>
              <w:t xml:space="preserve">        $0.16795</w:t>
            </w:r>
          </w:p>
        </w:tc>
      </w:tr>
      <w:tr w:rsidR="00410F4B" w:rsidRPr="00F56F26" w:rsidTr="008D5AD9">
        <w:tc>
          <w:tcPr>
            <w:tcW w:w="5840" w:type="dxa"/>
            <w:shd w:val="clear" w:color="auto" w:fill="auto"/>
            <w:noWrap/>
            <w:vAlign w:val="center"/>
            <w:hideMark/>
          </w:tcPr>
          <w:p w:rsidR="00410F4B" w:rsidRPr="00F56F26" w:rsidRDefault="00410F4B" w:rsidP="008D5AD9">
            <w:pPr>
              <w:keepNext/>
              <w:contextualSpacing/>
            </w:pPr>
            <w:r>
              <w:t>RS-600</w:t>
            </w:r>
          </w:p>
        </w:tc>
        <w:tc>
          <w:tcPr>
            <w:tcW w:w="3470" w:type="dxa"/>
            <w:shd w:val="clear" w:color="auto" w:fill="auto"/>
            <w:noWrap/>
            <w:vAlign w:val="center"/>
            <w:hideMark/>
          </w:tcPr>
          <w:p w:rsidR="00410F4B" w:rsidRPr="00F56F26" w:rsidRDefault="00410F4B" w:rsidP="008D5AD9">
            <w:pPr>
              <w:keepNext/>
              <w:ind w:right="600"/>
              <w:contextualSpacing/>
              <w:jc w:val="center"/>
            </w:pPr>
            <w:r>
              <w:t xml:space="preserve">        $0.09486</w:t>
            </w:r>
          </w:p>
        </w:tc>
      </w:tr>
      <w:tr w:rsidR="00410F4B" w:rsidRPr="00F56F26" w:rsidTr="008D5AD9">
        <w:tc>
          <w:tcPr>
            <w:tcW w:w="5840" w:type="dxa"/>
            <w:shd w:val="clear" w:color="auto" w:fill="auto"/>
            <w:noWrap/>
            <w:vAlign w:val="center"/>
            <w:hideMark/>
          </w:tcPr>
          <w:p w:rsidR="00410F4B" w:rsidRPr="00F56F26" w:rsidRDefault="00410F4B" w:rsidP="008D5AD9">
            <w:pPr>
              <w:keepNext/>
              <w:contextualSpacing/>
            </w:pPr>
            <w:r>
              <w:t>GS-1</w:t>
            </w:r>
          </w:p>
        </w:tc>
        <w:tc>
          <w:tcPr>
            <w:tcW w:w="3470" w:type="dxa"/>
            <w:shd w:val="clear" w:color="auto" w:fill="auto"/>
            <w:noWrap/>
            <w:vAlign w:val="center"/>
            <w:hideMark/>
          </w:tcPr>
          <w:p w:rsidR="00410F4B" w:rsidRPr="00F56F26" w:rsidRDefault="00410F4B" w:rsidP="008D5AD9">
            <w:pPr>
              <w:keepNext/>
              <w:ind w:right="600"/>
              <w:contextualSpacing/>
              <w:jc w:val="center"/>
            </w:pPr>
            <w:r>
              <w:t xml:space="preserve">        $0.05986</w:t>
            </w:r>
          </w:p>
        </w:tc>
      </w:tr>
      <w:tr w:rsidR="00410F4B" w:rsidRPr="00F56F26" w:rsidTr="008D5AD9">
        <w:tc>
          <w:tcPr>
            <w:tcW w:w="5840" w:type="dxa"/>
            <w:shd w:val="clear" w:color="auto" w:fill="auto"/>
            <w:noWrap/>
            <w:vAlign w:val="center"/>
          </w:tcPr>
          <w:p w:rsidR="00410F4B" w:rsidRPr="00F56F26" w:rsidRDefault="00410F4B" w:rsidP="008D5AD9">
            <w:pPr>
              <w:keepNext/>
              <w:contextualSpacing/>
            </w:pPr>
            <w:r>
              <w:t>GS-6K</w:t>
            </w:r>
          </w:p>
        </w:tc>
        <w:tc>
          <w:tcPr>
            <w:tcW w:w="3470" w:type="dxa"/>
            <w:shd w:val="clear" w:color="auto" w:fill="auto"/>
            <w:noWrap/>
            <w:vAlign w:val="center"/>
          </w:tcPr>
          <w:p w:rsidR="00410F4B" w:rsidRPr="00F56F26" w:rsidRDefault="00410F4B" w:rsidP="008D5AD9">
            <w:pPr>
              <w:keepNext/>
              <w:ind w:right="600"/>
              <w:contextualSpacing/>
              <w:jc w:val="center"/>
            </w:pPr>
            <w:r>
              <w:t xml:space="preserve">        $0.04463</w:t>
            </w:r>
          </w:p>
        </w:tc>
      </w:tr>
      <w:tr w:rsidR="00410F4B" w:rsidRPr="00F56F26" w:rsidTr="008D5AD9">
        <w:tc>
          <w:tcPr>
            <w:tcW w:w="5840" w:type="dxa"/>
            <w:shd w:val="clear" w:color="auto" w:fill="auto"/>
            <w:noWrap/>
            <w:vAlign w:val="center"/>
          </w:tcPr>
          <w:p w:rsidR="00410F4B" w:rsidRPr="00F56F26" w:rsidRDefault="00410F4B" w:rsidP="008D5AD9">
            <w:pPr>
              <w:keepNext/>
              <w:contextualSpacing/>
            </w:pPr>
            <w:r>
              <w:t>GS-25K</w:t>
            </w:r>
          </w:p>
        </w:tc>
        <w:tc>
          <w:tcPr>
            <w:tcW w:w="3470" w:type="dxa"/>
            <w:shd w:val="clear" w:color="auto" w:fill="auto"/>
            <w:noWrap/>
            <w:vAlign w:val="center"/>
          </w:tcPr>
          <w:p w:rsidR="00410F4B" w:rsidRPr="00F56F26" w:rsidRDefault="00410F4B" w:rsidP="008D5AD9">
            <w:pPr>
              <w:keepNext/>
              <w:ind w:right="600"/>
              <w:contextualSpacing/>
              <w:jc w:val="center"/>
            </w:pPr>
            <w:r>
              <w:t xml:space="preserve">        $0.04452</w:t>
            </w:r>
          </w:p>
        </w:tc>
      </w:tr>
      <w:tr w:rsidR="00410F4B" w:rsidRPr="00F56F26" w:rsidTr="008D5AD9">
        <w:tc>
          <w:tcPr>
            <w:tcW w:w="5840" w:type="dxa"/>
            <w:shd w:val="clear" w:color="auto" w:fill="auto"/>
            <w:noWrap/>
            <w:vAlign w:val="center"/>
          </w:tcPr>
          <w:p w:rsidR="00410F4B" w:rsidRPr="00F56F26" w:rsidRDefault="00410F4B" w:rsidP="008D5AD9">
            <w:pPr>
              <w:keepNext/>
              <w:contextualSpacing/>
            </w:pPr>
            <w:r>
              <w:t>Gas Lights</w:t>
            </w:r>
          </w:p>
        </w:tc>
        <w:tc>
          <w:tcPr>
            <w:tcW w:w="3470" w:type="dxa"/>
            <w:shd w:val="clear" w:color="auto" w:fill="auto"/>
            <w:noWrap/>
            <w:vAlign w:val="center"/>
          </w:tcPr>
          <w:p w:rsidR="00410F4B" w:rsidRPr="00F56F26" w:rsidRDefault="00410F4B" w:rsidP="008D5AD9">
            <w:pPr>
              <w:keepNext/>
              <w:ind w:right="600"/>
              <w:contextualSpacing/>
              <w:jc w:val="center"/>
            </w:pPr>
            <w:r>
              <w:t xml:space="preserve">        $0.07066</w:t>
            </w:r>
          </w:p>
        </w:tc>
      </w:tr>
      <w:tr w:rsidR="00410F4B" w:rsidRPr="00F56F26" w:rsidTr="008D5AD9">
        <w:tc>
          <w:tcPr>
            <w:tcW w:w="5840" w:type="dxa"/>
            <w:shd w:val="clear" w:color="auto" w:fill="auto"/>
            <w:noWrap/>
            <w:vAlign w:val="center"/>
          </w:tcPr>
          <w:p w:rsidR="00410F4B" w:rsidRPr="00F56F26" w:rsidRDefault="00410F4B" w:rsidP="008D5AD9">
            <w:pPr>
              <w:keepNext/>
              <w:contextualSpacing/>
            </w:pPr>
            <w:r>
              <w:t>GS-120K</w:t>
            </w:r>
          </w:p>
        </w:tc>
        <w:tc>
          <w:tcPr>
            <w:tcW w:w="3470" w:type="dxa"/>
            <w:shd w:val="clear" w:color="auto" w:fill="auto"/>
            <w:noWrap/>
            <w:vAlign w:val="center"/>
          </w:tcPr>
          <w:p w:rsidR="00410F4B" w:rsidRPr="00F56F26" w:rsidRDefault="00410F4B" w:rsidP="008D5AD9">
            <w:pPr>
              <w:keepNext/>
              <w:ind w:right="600"/>
              <w:contextualSpacing/>
              <w:jc w:val="center"/>
            </w:pPr>
            <w:r>
              <w:t xml:space="preserve">        $0.02987</w:t>
            </w:r>
          </w:p>
        </w:tc>
      </w:tr>
      <w:tr w:rsidR="00410F4B" w:rsidTr="008D5AD9">
        <w:tc>
          <w:tcPr>
            <w:tcW w:w="5840" w:type="dxa"/>
            <w:shd w:val="clear" w:color="auto" w:fill="auto"/>
            <w:noWrap/>
            <w:vAlign w:val="center"/>
          </w:tcPr>
          <w:p w:rsidR="00410F4B" w:rsidRDefault="00410F4B" w:rsidP="008D5AD9">
            <w:pPr>
              <w:keepNext/>
              <w:contextualSpacing/>
            </w:pPr>
            <w:r>
              <w:t>GS-1250K</w:t>
            </w:r>
          </w:p>
        </w:tc>
        <w:tc>
          <w:tcPr>
            <w:tcW w:w="3470" w:type="dxa"/>
            <w:shd w:val="clear" w:color="auto" w:fill="auto"/>
            <w:noWrap/>
            <w:vAlign w:val="center"/>
          </w:tcPr>
          <w:p w:rsidR="00410F4B" w:rsidRDefault="00410F4B" w:rsidP="008D5AD9">
            <w:pPr>
              <w:keepNext/>
              <w:ind w:right="600"/>
              <w:contextualSpacing/>
              <w:jc w:val="center"/>
            </w:pPr>
            <w:r>
              <w:t xml:space="preserve">        $0.01939</w:t>
            </w:r>
          </w:p>
        </w:tc>
      </w:tr>
      <w:tr w:rsidR="00410F4B" w:rsidTr="008D5AD9">
        <w:tc>
          <w:tcPr>
            <w:tcW w:w="5840" w:type="dxa"/>
            <w:shd w:val="clear" w:color="auto" w:fill="auto"/>
            <w:noWrap/>
            <w:vAlign w:val="center"/>
          </w:tcPr>
          <w:p w:rsidR="00410F4B" w:rsidRDefault="00410F4B" w:rsidP="008D5AD9">
            <w:pPr>
              <w:keepNext/>
              <w:contextualSpacing/>
            </w:pPr>
            <w:r>
              <w:t>GS11M-GS-25M</w:t>
            </w:r>
          </w:p>
        </w:tc>
        <w:tc>
          <w:tcPr>
            <w:tcW w:w="3470" w:type="dxa"/>
            <w:shd w:val="clear" w:color="auto" w:fill="auto"/>
            <w:noWrap/>
            <w:vAlign w:val="center"/>
          </w:tcPr>
          <w:p w:rsidR="00410F4B" w:rsidRDefault="00410F4B" w:rsidP="008D5AD9">
            <w:pPr>
              <w:keepNext/>
              <w:ind w:right="600"/>
              <w:contextualSpacing/>
              <w:jc w:val="center"/>
            </w:pPr>
            <w:r>
              <w:t xml:space="preserve">        $0.00000</w:t>
            </w:r>
          </w:p>
        </w:tc>
      </w:tr>
    </w:tbl>
    <w:p w:rsidR="00410F4B" w:rsidRDefault="00F61CF2" w:rsidP="00410F4B">
      <w:pPr>
        <w:rPr>
          <w:b/>
        </w:rPr>
      </w:pPr>
      <w:r>
        <w:rPr>
          <w:b/>
        </w:rPr>
        <w:br w:type="page"/>
      </w:r>
      <w:r w:rsidR="00410F4B">
        <w:rPr>
          <w:b/>
        </w:rPr>
        <w:lastRenderedPageBreak/>
        <w:t>Consolidated</w:t>
      </w:r>
    </w:p>
    <w:p w:rsidR="00410F4B" w:rsidRDefault="00410F4B" w:rsidP="00410F4B">
      <w:pPr>
        <w:rPr>
          <w:b/>
        </w:rPr>
      </w:pPr>
      <w:r>
        <w:rPr>
          <w:b/>
        </w:rPr>
        <w:t>Companies:</w:t>
      </w:r>
    </w:p>
    <w:p w:rsidR="00410F4B" w:rsidRDefault="00410F4B" w:rsidP="00410F4B">
      <w:pPr>
        <w:rPr>
          <w:b/>
        </w:rPr>
      </w:pPr>
    </w:p>
    <w:p w:rsidR="00410F4B" w:rsidRDefault="00410F4B" w:rsidP="00410F4B">
      <w:r>
        <w:rPr>
          <w:b/>
        </w:rPr>
        <w:tab/>
        <w:t xml:space="preserve">       </w:t>
      </w:r>
      <w:r>
        <w:rPr>
          <w:u w:val="single"/>
        </w:rPr>
        <w:t>CUC</w:t>
      </w:r>
      <w:r w:rsidRPr="00884410">
        <w:t>:</w:t>
      </w:r>
    </w:p>
    <w:p w:rsidR="00410F4B" w:rsidRDefault="00410F4B" w:rsidP="00410F4B"/>
    <w:tbl>
      <w:tblPr>
        <w:tblpPr w:leftFromText="187" w:rightFromText="187" w:vertAnchor="text" w:horzAnchor="page" w:tblpXSpec="center" w:tblpY="15"/>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710"/>
        <w:gridCol w:w="3575"/>
      </w:tblGrid>
      <w:tr w:rsidR="00410F4B" w:rsidRPr="00A21FBE" w:rsidTr="008D5AD9">
        <w:tc>
          <w:tcPr>
            <w:tcW w:w="5710" w:type="dxa"/>
            <w:shd w:val="clear" w:color="auto" w:fill="auto"/>
            <w:vAlign w:val="center"/>
            <w:hideMark/>
          </w:tcPr>
          <w:p w:rsidR="00410F4B" w:rsidRDefault="00410F4B" w:rsidP="008D5AD9">
            <w:pPr>
              <w:keepNext/>
              <w:contextualSpacing/>
              <w:jc w:val="center"/>
            </w:pPr>
          </w:p>
          <w:p w:rsidR="00410F4B" w:rsidRPr="003D2285" w:rsidRDefault="00410F4B" w:rsidP="008D5AD9">
            <w:pPr>
              <w:keepNext/>
              <w:contextualSpacing/>
              <w:rPr>
                <w:b/>
                <w:bCs/>
                <w:u w:val="single"/>
              </w:rPr>
            </w:pPr>
            <w:r w:rsidRPr="003D2285">
              <w:rPr>
                <w:b/>
                <w:bCs/>
                <w:u w:val="single"/>
              </w:rPr>
              <w:t>Rate Schedule</w:t>
            </w:r>
            <w:r w:rsidRPr="003D2285">
              <w:rPr>
                <w:b/>
                <w:bCs/>
                <w:u w:val="single"/>
              </w:rPr>
              <w:br/>
            </w:r>
          </w:p>
        </w:tc>
        <w:tc>
          <w:tcPr>
            <w:tcW w:w="3575" w:type="dxa"/>
            <w:shd w:val="clear" w:color="auto" w:fill="auto"/>
            <w:vAlign w:val="center"/>
            <w:hideMark/>
          </w:tcPr>
          <w:p w:rsidR="00410F4B" w:rsidRPr="00AB5CE1" w:rsidRDefault="00410F4B" w:rsidP="008D5AD9">
            <w:pPr>
              <w:keepNext/>
              <w:contextualSpacing/>
              <w:jc w:val="center"/>
              <w:rPr>
                <w:b/>
                <w:bCs/>
                <w:u w:val="single"/>
              </w:rPr>
            </w:pPr>
            <w:r w:rsidRPr="00AB5CE1">
              <w:rPr>
                <w:b/>
                <w:bCs/>
                <w:u w:val="single"/>
              </w:rPr>
              <w:t>Conservation Recovery Factors ($/therm)</w:t>
            </w:r>
          </w:p>
        </w:tc>
      </w:tr>
      <w:tr w:rsidR="00410F4B" w:rsidRPr="00F56F26" w:rsidTr="008D5AD9">
        <w:tc>
          <w:tcPr>
            <w:tcW w:w="5710" w:type="dxa"/>
            <w:shd w:val="clear" w:color="auto" w:fill="auto"/>
            <w:noWrap/>
            <w:vAlign w:val="center"/>
            <w:hideMark/>
          </w:tcPr>
          <w:p w:rsidR="00410F4B" w:rsidRPr="00F56F26" w:rsidRDefault="00410F4B" w:rsidP="008D5AD9">
            <w:pPr>
              <w:keepNext/>
              <w:contextualSpacing/>
            </w:pPr>
            <w:r>
              <w:t>FTS-A</w:t>
            </w:r>
          </w:p>
        </w:tc>
        <w:tc>
          <w:tcPr>
            <w:tcW w:w="3575" w:type="dxa"/>
            <w:shd w:val="clear" w:color="auto" w:fill="auto"/>
            <w:noWrap/>
            <w:vAlign w:val="center"/>
            <w:hideMark/>
          </w:tcPr>
          <w:p w:rsidR="00410F4B" w:rsidRPr="00F56F26" w:rsidRDefault="00410F4B" w:rsidP="008D5AD9">
            <w:pPr>
              <w:keepNext/>
              <w:ind w:right="600"/>
              <w:contextualSpacing/>
              <w:jc w:val="center"/>
            </w:pPr>
            <w:r>
              <w:t xml:space="preserve">        $0.20323</w:t>
            </w:r>
          </w:p>
        </w:tc>
      </w:tr>
      <w:tr w:rsidR="00410F4B" w:rsidRPr="00F56F26" w:rsidTr="008D5AD9">
        <w:tc>
          <w:tcPr>
            <w:tcW w:w="5710" w:type="dxa"/>
            <w:shd w:val="clear" w:color="auto" w:fill="auto"/>
            <w:noWrap/>
            <w:vAlign w:val="center"/>
            <w:hideMark/>
          </w:tcPr>
          <w:p w:rsidR="00410F4B" w:rsidRPr="00F56F26" w:rsidRDefault="00410F4B" w:rsidP="008D5AD9">
            <w:pPr>
              <w:keepNext/>
              <w:contextualSpacing/>
            </w:pPr>
            <w:r>
              <w:t>FTS-B</w:t>
            </w:r>
          </w:p>
        </w:tc>
        <w:tc>
          <w:tcPr>
            <w:tcW w:w="3575" w:type="dxa"/>
            <w:shd w:val="clear" w:color="auto" w:fill="auto"/>
            <w:noWrap/>
            <w:vAlign w:val="center"/>
            <w:hideMark/>
          </w:tcPr>
          <w:p w:rsidR="00410F4B" w:rsidRPr="00F56F26" w:rsidRDefault="00410F4B" w:rsidP="008D5AD9">
            <w:pPr>
              <w:keepNext/>
              <w:ind w:right="600"/>
              <w:contextualSpacing/>
              <w:jc w:val="center"/>
            </w:pPr>
            <w:r>
              <w:t xml:space="preserve">        $0.16565</w:t>
            </w:r>
          </w:p>
        </w:tc>
      </w:tr>
      <w:tr w:rsidR="00410F4B" w:rsidRPr="00F56F26" w:rsidTr="008D5AD9">
        <w:tc>
          <w:tcPr>
            <w:tcW w:w="5710" w:type="dxa"/>
            <w:shd w:val="clear" w:color="auto" w:fill="auto"/>
            <w:noWrap/>
            <w:vAlign w:val="center"/>
            <w:hideMark/>
          </w:tcPr>
          <w:p w:rsidR="00410F4B" w:rsidRPr="00F56F26" w:rsidRDefault="00410F4B" w:rsidP="008D5AD9">
            <w:pPr>
              <w:keepNext/>
              <w:contextualSpacing/>
            </w:pPr>
            <w:r>
              <w:t>FTS-1</w:t>
            </w:r>
          </w:p>
        </w:tc>
        <w:tc>
          <w:tcPr>
            <w:tcW w:w="3575" w:type="dxa"/>
            <w:shd w:val="clear" w:color="auto" w:fill="auto"/>
            <w:noWrap/>
            <w:vAlign w:val="center"/>
            <w:hideMark/>
          </w:tcPr>
          <w:p w:rsidR="00410F4B" w:rsidRPr="00F56F26" w:rsidRDefault="00410F4B" w:rsidP="008D5AD9">
            <w:pPr>
              <w:keepNext/>
              <w:ind w:right="600"/>
              <w:contextualSpacing/>
              <w:jc w:val="center"/>
            </w:pPr>
            <w:r>
              <w:t xml:space="preserve">        $0.14368</w:t>
            </w:r>
          </w:p>
        </w:tc>
      </w:tr>
      <w:tr w:rsidR="00410F4B" w:rsidRPr="00F56F26" w:rsidTr="008D5AD9">
        <w:tc>
          <w:tcPr>
            <w:tcW w:w="5710" w:type="dxa"/>
            <w:shd w:val="clear" w:color="auto" w:fill="auto"/>
            <w:noWrap/>
            <w:vAlign w:val="center"/>
            <w:hideMark/>
          </w:tcPr>
          <w:p w:rsidR="00410F4B" w:rsidRPr="00F56F26" w:rsidRDefault="00410F4B" w:rsidP="008D5AD9">
            <w:pPr>
              <w:keepNext/>
              <w:contextualSpacing/>
            </w:pPr>
            <w:r>
              <w:t>FTS-2</w:t>
            </w:r>
          </w:p>
        </w:tc>
        <w:tc>
          <w:tcPr>
            <w:tcW w:w="3575" w:type="dxa"/>
            <w:shd w:val="clear" w:color="auto" w:fill="auto"/>
            <w:noWrap/>
            <w:vAlign w:val="center"/>
            <w:hideMark/>
          </w:tcPr>
          <w:p w:rsidR="00410F4B" w:rsidRPr="00F56F26" w:rsidRDefault="00410F4B" w:rsidP="008D5AD9">
            <w:pPr>
              <w:keepNext/>
              <w:ind w:right="600"/>
              <w:contextualSpacing/>
              <w:jc w:val="center"/>
            </w:pPr>
            <w:r>
              <w:t xml:space="preserve">        $0.08328</w:t>
            </w:r>
          </w:p>
        </w:tc>
      </w:tr>
      <w:tr w:rsidR="00410F4B" w:rsidRPr="00F56F26" w:rsidTr="008D5AD9">
        <w:tc>
          <w:tcPr>
            <w:tcW w:w="5710" w:type="dxa"/>
            <w:shd w:val="clear" w:color="auto" w:fill="auto"/>
            <w:noWrap/>
            <w:vAlign w:val="center"/>
          </w:tcPr>
          <w:p w:rsidR="00410F4B" w:rsidRPr="00F56F26" w:rsidRDefault="00410F4B" w:rsidP="008D5AD9">
            <w:pPr>
              <w:keepNext/>
              <w:contextualSpacing/>
            </w:pPr>
            <w:r>
              <w:t>FTS-2.1</w:t>
            </w:r>
          </w:p>
        </w:tc>
        <w:tc>
          <w:tcPr>
            <w:tcW w:w="3575" w:type="dxa"/>
            <w:shd w:val="clear" w:color="auto" w:fill="auto"/>
            <w:noWrap/>
            <w:vAlign w:val="center"/>
          </w:tcPr>
          <w:p w:rsidR="00410F4B" w:rsidRPr="00F56F26" w:rsidRDefault="00410F4B" w:rsidP="008D5AD9">
            <w:pPr>
              <w:keepNext/>
              <w:ind w:right="600"/>
              <w:contextualSpacing/>
              <w:jc w:val="center"/>
            </w:pPr>
            <w:r>
              <w:t xml:space="preserve">        $0.06057</w:t>
            </w:r>
          </w:p>
        </w:tc>
      </w:tr>
      <w:tr w:rsidR="00410F4B" w:rsidRPr="00F56F26" w:rsidTr="008D5AD9">
        <w:tc>
          <w:tcPr>
            <w:tcW w:w="5710" w:type="dxa"/>
            <w:shd w:val="clear" w:color="auto" w:fill="auto"/>
            <w:noWrap/>
            <w:vAlign w:val="center"/>
          </w:tcPr>
          <w:p w:rsidR="00410F4B" w:rsidRPr="00F56F26" w:rsidRDefault="00410F4B" w:rsidP="008D5AD9">
            <w:pPr>
              <w:keepNext/>
              <w:contextualSpacing/>
            </w:pPr>
            <w:r>
              <w:t>FTS-3</w:t>
            </w:r>
          </w:p>
        </w:tc>
        <w:tc>
          <w:tcPr>
            <w:tcW w:w="3575" w:type="dxa"/>
            <w:shd w:val="clear" w:color="auto" w:fill="auto"/>
            <w:noWrap/>
            <w:vAlign w:val="center"/>
          </w:tcPr>
          <w:p w:rsidR="00410F4B" w:rsidRPr="00F56F26" w:rsidRDefault="00410F4B" w:rsidP="008D5AD9">
            <w:pPr>
              <w:keepNext/>
              <w:ind w:right="600"/>
              <w:contextualSpacing/>
              <w:jc w:val="center"/>
            </w:pPr>
            <w:r>
              <w:t xml:space="preserve">        $0.05038</w:t>
            </w:r>
          </w:p>
        </w:tc>
      </w:tr>
      <w:tr w:rsidR="00410F4B" w:rsidRPr="00F56F26" w:rsidTr="008D5AD9">
        <w:tc>
          <w:tcPr>
            <w:tcW w:w="5710" w:type="dxa"/>
            <w:shd w:val="clear" w:color="auto" w:fill="auto"/>
            <w:noWrap/>
            <w:vAlign w:val="center"/>
          </w:tcPr>
          <w:p w:rsidR="00410F4B" w:rsidRPr="00F56F26" w:rsidRDefault="00410F4B" w:rsidP="008D5AD9">
            <w:pPr>
              <w:keepNext/>
              <w:contextualSpacing/>
            </w:pPr>
            <w:r>
              <w:t>FTS-3.1</w:t>
            </w:r>
          </w:p>
        </w:tc>
        <w:tc>
          <w:tcPr>
            <w:tcW w:w="3575" w:type="dxa"/>
            <w:shd w:val="clear" w:color="auto" w:fill="auto"/>
            <w:noWrap/>
            <w:vAlign w:val="center"/>
          </w:tcPr>
          <w:p w:rsidR="00410F4B" w:rsidRPr="00F56F26" w:rsidRDefault="00410F4B" w:rsidP="008D5AD9">
            <w:pPr>
              <w:keepNext/>
              <w:ind w:right="600"/>
              <w:contextualSpacing/>
              <w:jc w:val="center"/>
            </w:pPr>
            <w:r>
              <w:t xml:space="preserve">        $0.03687</w:t>
            </w:r>
          </w:p>
        </w:tc>
      </w:tr>
      <w:tr w:rsidR="00410F4B" w:rsidRPr="00F56F26" w:rsidTr="008D5AD9">
        <w:tc>
          <w:tcPr>
            <w:tcW w:w="5710" w:type="dxa"/>
            <w:shd w:val="clear" w:color="auto" w:fill="auto"/>
            <w:noWrap/>
            <w:vAlign w:val="center"/>
          </w:tcPr>
          <w:p w:rsidR="00410F4B" w:rsidRPr="00F56F26" w:rsidRDefault="00410F4B" w:rsidP="008D5AD9">
            <w:pPr>
              <w:keepNext/>
              <w:contextualSpacing/>
            </w:pPr>
            <w:r>
              <w:t>FTS-4</w:t>
            </w:r>
          </w:p>
        </w:tc>
        <w:tc>
          <w:tcPr>
            <w:tcW w:w="3575" w:type="dxa"/>
            <w:shd w:val="clear" w:color="auto" w:fill="auto"/>
            <w:noWrap/>
            <w:vAlign w:val="center"/>
          </w:tcPr>
          <w:p w:rsidR="00410F4B" w:rsidRPr="00F56F26" w:rsidRDefault="00410F4B" w:rsidP="008D5AD9">
            <w:pPr>
              <w:keepNext/>
              <w:ind w:right="600"/>
              <w:contextualSpacing/>
              <w:jc w:val="center"/>
            </w:pPr>
            <w:r>
              <w:t xml:space="preserve">        $0.03123</w:t>
            </w:r>
          </w:p>
        </w:tc>
      </w:tr>
      <w:tr w:rsidR="00410F4B" w:rsidTr="008D5AD9">
        <w:tc>
          <w:tcPr>
            <w:tcW w:w="5710" w:type="dxa"/>
            <w:shd w:val="clear" w:color="auto" w:fill="auto"/>
            <w:noWrap/>
            <w:vAlign w:val="center"/>
          </w:tcPr>
          <w:p w:rsidR="00410F4B" w:rsidRDefault="00410F4B" w:rsidP="008D5AD9">
            <w:pPr>
              <w:keepNext/>
              <w:contextualSpacing/>
            </w:pPr>
            <w:r>
              <w:t>FTS-5</w:t>
            </w:r>
          </w:p>
        </w:tc>
        <w:tc>
          <w:tcPr>
            <w:tcW w:w="3575" w:type="dxa"/>
            <w:shd w:val="clear" w:color="auto" w:fill="auto"/>
            <w:noWrap/>
            <w:vAlign w:val="center"/>
          </w:tcPr>
          <w:p w:rsidR="00410F4B" w:rsidRDefault="00410F4B" w:rsidP="008D5AD9">
            <w:pPr>
              <w:keepNext/>
              <w:ind w:right="600"/>
              <w:contextualSpacing/>
              <w:jc w:val="center"/>
            </w:pPr>
            <w:r>
              <w:t xml:space="preserve">        $0.02755</w:t>
            </w:r>
          </w:p>
        </w:tc>
      </w:tr>
      <w:tr w:rsidR="00410F4B" w:rsidTr="008D5AD9">
        <w:tc>
          <w:tcPr>
            <w:tcW w:w="5710" w:type="dxa"/>
            <w:shd w:val="clear" w:color="auto" w:fill="auto"/>
            <w:noWrap/>
            <w:vAlign w:val="center"/>
          </w:tcPr>
          <w:p w:rsidR="00410F4B" w:rsidRDefault="00410F4B" w:rsidP="008D5AD9">
            <w:pPr>
              <w:keepNext/>
              <w:contextualSpacing/>
            </w:pPr>
            <w:r>
              <w:t>FTS-6</w:t>
            </w:r>
          </w:p>
        </w:tc>
        <w:tc>
          <w:tcPr>
            <w:tcW w:w="3575" w:type="dxa"/>
            <w:shd w:val="clear" w:color="auto" w:fill="auto"/>
            <w:noWrap/>
            <w:vAlign w:val="center"/>
          </w:tcPr>
          <w:p w:rsidR="00410F4B" w:rsidRDefault="00410F4B" w:rsidP="008D5AD9">
            <w:pPr>
              <w:keepNext/>
              <w:ind w:right="600"/>
              <w:contextualSpacing/>
              <w:jc w:val="center"/>
            </w:pPr>
            <w:r>
              <w:t xml:space="preserve">        $0.02035</w:t>
            </w:r>
          </w:p>
        </w:tc>
      </w:tr>
      <w:tr w:rsidR="00410F4B" w:rsidTr="008D5AD9">
        <w:tc>
          <w:tcPr>
            <w:tcW w:w="5710" w:type="dxa"/>
            <w:shd w:val="clear" w:color="auto" w:fill="auto"/>
            <w:noWrap/>
            <w:vAlign w:val="center"/>
          </w:tcPr>
          <w:p w:rsidR="00410F4B" w:rsidRDefault="00410F4B" w:rsidP="008D5AD9">
            <w:pPr>
              <w:keepNext/>
              <w:contextualSpacing/>
            </w:pPr>
            <w:r>
              <w:t>FTS-7</w:t>
            </w:r>
          </w:p>
        </w:tc>
        <w:tc>
          <w:tcPr>
            <w:tcW w:w="3575" w:type="dxa"/>
            <w:shd w:val="clear" w:color="auto" w:fill="auto"/>
            <w:noWrap/>
            <w:vAlign w:val="center"/>
          </w:tcPr>
          <w:p w:rsidR="00410F4B" w:rsidRDefault="00410F4B" w:rsidP="008D5AD9">
            <w:pPr>
              <w:keepNext/>
              <w:ind w:right="600"/>
              <w:contextualSpacing/>
              <w:jc w:val="center"/>
            </w:pPr>
            <w:r>
              <w:t xml:space="preserve">        $0.01484</w:t>
            </w:r>
          </w:p>
        </w:tc>
      </w:tr>
      <w:tr w:rsidR="00410F4B" w:rsidTr="008D5AD9">
        <w:tc>
          <w:tcPr>
            <w:tcW w:w="5710" w:type="dxa"/>
            <w:shd w:val="clear" w:color="auto" w:fill="auto"/>
            <w:noWrap/>
            <w:vAlign w:val="center"/>
          </w:tcPr>
          <w:p w:rsidR="00410F4B" w:rsidRDefault="00410F4B" w:rsidP="008D5AD9">
            <w:pPr>
              <w:keepNext/>
              <w:contextualSpacing/>
            </w:pPr>
            <w:r>
              <w:t>FTS-8</w:t>
            </w:r>
          </w:p>
        </w:tc>
        <w:tc>
          <w:tcPr>
            <w:tcW w:w="3575" w:type="dxa"/>
            <w:shd w:val="clear" w:color="auto" w:fill="auto"/>
            <w:noWrap/>
            <w:vAlign w:val="center"/>
          </w:tcPr>
          <w:p w:rsidR="00410F4B" w:rsidRDefault="00410F4B" w:rsidP="008D5AD9">
            <w:pPr>
              <w:keepNext/>
              <w:ind w:right="600"/>
              <w:contextualSpacing/>
              <w:jc w:val="center"/>
            </w:pPr>
            <w:r>
              <w:t xml:space="preserve">        $0.01366</w:t>
            </w:r>
          </w:p>
        </w:tc>
      </w:tr>
      <w:tr w:rsidR="00410F4B" w:rsidTr="008D5AD9">
        <w:tc>
          <w:tcPr>
            <w:tcW w:w="5710" w:type="dxa"/>
            <w:shd w:val="clear" w:color="auto" w:fill="auto"/>
            <w:noWrap/>
            <w:vAlign w:val="center"/>
          </w:tcPr>
          <w:p w:rsidR="00410F4B" w:rsidRDefault="00410F4B" w:rsidP="008D5AD9">
            <w:pPr>
              <w:keepNext/>
              <w:contextualSpacing/>
            </w:pPr>
            <w:r>
              <w:t>FTS-9</w:t>
            </w:r>
          </w:p>
        </w:tc>
        <w:tc>
          <w:tcPr>
            <w:tcW w:w="3575" w:type="dxa"/>
            <w:shd w:val="clear" w:color="auto" w:fill="auto"/>
            <w:noWrap/>
            <w:vAlign w:val="center"/>
          </w:tcPr>
          <w:p w:rsidR="00410F4B" w:rsidRDefault="00410F4B" w:rsidP="008D5AD9">
            <w:pPr>
              <w:keepNext/>
              <w:ind w:right="600"/>
              <w:contextualSpacing/>
              <w:jc w:val="center"/>
            </w:pPr>
            <w:r>
              <w:t xml:space="preserve">        $0.01167</w:t>
            </w:r>
          </w:p>
        </w:tc>
      </w:tr>
      <w:tr w:rsidR="00410F4B" w:rsidTr="008D5AD9">
        <w:tc>
          <w:tcPr>
            <w:tcW w:w="5710" w:type="dxa"/>
            <w:shd w:val="clear" w:color="auto" w:fill="auto"/>
            <w:noWrap/>
            <w:vAlign w:val="center"/>
          </w:tcPr>
          <w:p w:rsidR="00410F4B" w:rsidRDefault="00410F4B" w:rsidP="008D5AD9">
            <w:pPr>
              <w:keepNext/>
              <w:contextualSpacing/>
            </w:pPr>
            <w:r>
              <w:t>FTS-10</w:t>
            </w:r>
          </w:p>
        </w:tc>
        <w:tc>
          <w:tcPr>
            <w:tcW w:w="3575" w:type="dxa"/>
            <w:shd w:val="clear" w:color="auto" w:fill="auto"/>
            <w:noWrap/>
            <w:vAlign w:val="center"/>
          </w:tcPr>
          <w:p w:rsidR="00410F4B" w:rsidRDefault="00410F4B" w:rsidP="008D5AD9">
            <w:pPr>
              <w:keepNext/>
              <w:ind w:right="600"/>
              <w:contextualSpacing/>
              <w:jc w:val="center"/>
            </w:pPr>
            <w:r>
              <w:t xml:space="preserve">        $0.00964</w:t>
            </w:r>
          </w:p>
        </w:tc>
      </w:tr>
      <w:tr w:rsidR="00410F4B" w:rsidTr="008D5AD9">
        <w:tc>
          <w:tcPr>
            <w:tcW w:w="5710" w:type="dxa"/>
            <w:shd w:val="clear" w:color="auto" w:fill="auto"/>
            <w:noWrap/>
            <w:vAlign w:val="center"/>
          </w:tcPr>
          <w:p w:rsidR="00410F4B" w:rsidRDefault="00410F4B" w:rsidP="008D5AD9">
            <w:pPr>
              <w:keepNext/>
              <w:contextualSpacing/>
            </w:pPr>
            <w:r>
              <w:t>FTS-11</w:t>
            </w:r>
          </w:p>
        </w:tc>
        <w:tc>
          <w:tcPr>
            <w:tcW w:w="3575" w:type="dxa"/>
            <w:shd w:val="clear" w:color="auto" w:fill="auto"/>
            <w:noWrap/>
            <w:vAlign w:val="center"/>
          </w:tcPr>
          <w:p w:rsidR="00410F4B" w:rsidRDefault="00410F4B" w:rsidP="008D5AD9">
            <w:pPr>
              <w:keepNext/>
              <w:ind w:right="600"/>
              <w:contextualSpacing/>
              <w:jc w:val="center"/>
            </w:pPr>
            <w:r>
              <w:t xml:space="preserve">        $0.00965</w:t>
            </w:r>
          </w:p>
        </w:tc>
      </w:tr>
      <w:tr w:rsidR="00410F4B" w:rsidTr="008D5AD9">
        <w:tc>
          <w:tcPr>
            <w:tcW w:w="5710" w:type="dxa"/>
            <w:shd w:val="clear" w:color="auto" w:fill="auto"/>
            <w:noWrap/>
            <w:vAlign w:val="center"/>
          </w:tcPr>
          <w:p w:rsidR="00410F4B" w:rsidRDefault="00410F4B" w:rsidP="008D5AD9">
            <w:pPr>
              <w:keepNext/>
              <w:contextualSpacing/>
            </w:pPr>
            <w:r>
              <w:t>FTS-12</w:t>
            </w:r>
          </w:p>
        </w:tc>
        <w:tc>
          <w:tcPr>
            <w:tcW w:w="3575" w:type="dxa"/>
            <w:shd w:val="clear" w:color="auto" w:fill="auto"/>
            <w:noWrap/>
            <w:vAlign w:val="center"/>
          </w:tcPr>
          <w:p w:rsidR="00410F4B" w:rsidRDefault="00410F4B" w:rsidP="008D5AD9">
            <w:pPr>
              <w:keepNext/>
              <w:ind w:right="600"/>
              <w:contextualSpacing/>
              <w:jc w:val="center"/>
            </w:pPr>
            <w:r>
              <w:t xml:space="preserve">        $0.00794</w:t>
            </w:r>
          </w:p>
        </w:tc>
      </w:tr>
      <w:tr w:rsidR="00410F4B" w:rsidTr="008D5AD9">
        <w:tc>
          <w:tcPr>
            <w:tcW w:w="5710" w:type="dxa"/>
            <w:shd w:val="clear" w:color="auto" w:fill="auto"/>
            <w:noWrap/>
            <w:vAlign w:val="center"/>
          </w:tcPr>
          <w:p w:rsidR="00410F4B" w:rsidRDefault="00410F4B" w:rsidP="008D5AD9">
            <w:pPr>
              <w:keepNext/>
              <w:contextualSpacing/>
            </w:pPr>
            <w:r>
              <w:t>FTS-NGV</w:t>
            </w:r>
          </w:p>
        </w:tc>
        <w:tc>
          <w:tcPr>
            <w:tcW w:w="3575" w:type="dxa"/>
            <w:shd w:val="clear" w:color="auto" w:fill="auto"/>
            <w:noWrap/>
            <w:vAlign w:val="center"/>
          </w:tcPr>
          <w:p w:rsidR="00410F4B" w:rsidRDefault="00410F4B" w:rsidP="008D5AD9">
            <w:pPr>
              <w:keepNext/>
              <w:ind w:right="600"/>
              <w:contextualSpacing/>
              <w:jc w:val="center"/>
            </w:pPr>
            <w:r>
              <w:t xml:space="preserve">        $0.01563</w:t>
            </w:r>
          </w:p>
        </w:tc>
      </w:tr>
    </w:tbl>
    <w:p w:rsidR="00F61CF2" w:rsidRDefault="00F61CF2" w:rsidP="00410F4B">
      <w:pPr>
        <w:ind w:firstLine="720"/>
        <w:contextualSpacing/>
        <w:jc w:val="both"/>
      </w:pPr>
    </w:p>
    <w:p w:rsidR="00410F4B" w:rsidRDefault="00F61CF2" w:rsidP="00F61CF2">
      <w:r>
        <w:br w:type="page"/>
      </w:r>
    </w:p>
    <w:p w:rsidR="00410F4B" w:rsidRDefault="00410F4B" w:rsidP="00410F4B">
      <w:pPr>
        <w:ind w:firstLine="720"/>
        <w:contextualSpacing/>
        <w:jc w:val="both"/>
      </w:pPr>
      <w:r>
        <w:lastRenderedPageBreak/>
        <w:t xml:space="preserve">The Consolidated Companies </w:t>
      </w:r>
      <w:r w:rsidRPr="007A41D6">
        <w:t>also seek approval of the following experimental per bill Conservation Cost Recovery Adjustment (Experimental) factors for Chesapeake:</w:t>
      </w:r>
    </w:p>
    <w:p w:rsidR="00410F4B" w:rsidRDefault="00410F4B" w:rsidP="00410F4B">
      <w:pPr>
        <w:ind w:firstLine="720"/>
        <w:contextualSpacing/>
        <w:jc w:val="both"/>
      </w:pPr>
    </w:p>
    <w:tbl>
      <w:tblPr>
        <w:tblpPr w:leftFromText="187" w:rightFromText="187" w:vertAnchor="text" w:horzAnchor="page" w:tblpXSpec="center"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6365"/>
        <w:gridCol w:w="2930"/>
      </w:tblGrid>
      <w:tr w:rsidR="00410F4B" w:rsidRPr="00A21FBE" w:rsidTr="008D5AD9">
        <w:tc>
          <w:tcPr>
            <w:tcW w:w="6365" w:type="dxa"/>
            <w:shd w:val="clear" w:color="auto" w:fill="auto"/>
            <w:vAlign w:val="center"/>
            <w:hideMark/>
          </w:tcPr>
          <w:p w:rsidR="00410F4B" w:rsidRDefault="00410F4B" w:rsidP="008D5AD9">
            <w:pPr>
              <w:keepNext/>
              <w:contextualSpacing/>
              <w:jc w:val="center"/>
            </w:pPr>
          </w:p>
          <w:p w:rsidR="00410F4B" w:rsidRPr="00D96FF2" w:rsidRDefault="00410F4B" w:rsidP="008D5AD9">
            <w:pPr>
              <w:keepNext/>
              <w:contextualSpacing/>
              <w:rPr>
                <w:b/>
                <w:bCs/>
                <w:u w:val="single"/>
              </w:rPr>
            </w:pPr>
            <w:r w:rsidRPr="00D96FF2">
              <w:rPr>
                <w:b/>
                <w:bCs/>
                <w:u w:val="single"/>
              </w:rPr>
              <w:t>Rate Schedule</w:t>
            </w:r>
            <w:r>
              <w:rPr>
                <w:b/>
                <w:bCs/>
                <w:u w:val="single"/>
              </w:rPr>
              <w:br/>
            </w:r>
          </w:p>
        </w:tc>
        <w:tc>
          <w:tcPr>
            <w:tcW w:w="2930" w:type="dxa"/>
            <w:shd w:val="clear" w:color="auto" w:fill="auto"/>
            <w:vAlign w:val="center"/>
            <w:hideMark/>
          </w:tcPr>
          <w:p w:rsidR="00410F4B" w:rsidRPr="00AB5CE1" w:rsidRDefault="00410F4B" w:rsidP="008D5AD9">
            <w:pPr>
              <w:keepNext/>
              <w:contextualSpacing/>
              <w:jc w:val="center"/>
              <w:rPr>
                <w:b/>
                <w:bCs/>
                <w:u w:val="single"/>
              </w:rPr>
            </w:pPr>
            <w:r w:rsidRPr="00AB5CE1">
              <w:rPr>
                <w:b/>
                <w:bCs/>
                <w:u w:val="single"/>
              </w:rPr>
              <w:t>Conse</w:t>
            </w:r>
            <w:r w:rsidR="00AB5CE1" w:rsidRPr="00AB5CE1">
              <w:rPr>
                <w:b/>
                <w:bCs/>
                <w:u w:val="single"/>
              </w:rPr>
              <w:t>rvation Recovery Factors ($/</w:t>
            </w:r>
            <w:r w:rsidRPr="00AB5CE1">
              <w:rPr>
                <w:b/>
                <w:bCs/>
                <w:u w:val="single"/>
              </w:rPr>
              <w:t>bill)</w:t>
            </w:r>
          </w:p>
        </w:tc>
      </w:tr>
      <w:tr w:rsidR="00410F4B" w:rsidRPr="00F56F26" w:rsidTr="008D5AD9">
        <w:tc>
          <w:tcPr>
            <w:tcW w:w="6365" w:type="dxa"/>
            <w:shd w:val="clear" w:color="auto" w:fill="auto"/>
            <w:noWrap/>
            <w:vAlign w:val="center"/>
            <w:hideMark/>
          </w:tcPr>
          <w:p w:rsidR="00410F4B" w:rsidRPr="00F56F26" w:rsidRDefault="00410F4B" w:rsidP="008D5AD9">
            <w:pPr>
              <w:keepNext/>
              <w:contextualSpacing/>
            </w:pPr>
            <w:r>
              <w:t>FTS-A</w:t>
            </w:r>
          </w:p>
        </w:tc>
        <w:tc>
          <w:tcPr>
            <w:tcW w:w="2930" w:type="dxa"/>
            <w:shd w:val="clear" w:color="auto" w:fill="auto"/>
            <w:noWrap/>
            <w:vAlign w:val="center"/>
            <w:hideMark/>
          </w:tcPr>
          <w:p w:rsidR="00410F4B" w:rsidRPr="00F56F26" w:rsidRDefault="00410F4B" w:rsidP="008D5AD9">
            <w:pPr>
              <w:keepNext/>
              <w:ind w:right="600"/>
              <w:contextualSpacing/>
              <w:jc w:val="center"/>
            </w:pPr>
            <w:r>
              <w:t xml:space="preserve">        $1.38</w:t>
            </w:r>
          </w:p>
        </w:tc>
      </w:tr>
      <w:tr w:rsidR="00410F4B" w:rsidRPr="00F56F26" w:rsidTr="008D5AD9">
        <w:tc>
          <w:tcPr>
            <w:tcW w:w="6365" w:type="dxa"/>
            <w:shd w:val="clear" w:color="auto" w:fill="auto"/>
            <w:noWrap/>
            <w:vAlign w:val="center"/>
            <w:hideMark/>
          </w:tcPr>
          <w:p w:rsidR="00410F4B" w:rsidRPr="00F56F26" w:rsidRDefault="00410F4B" w:rsidP="008D5AD9">
            <w:pPr>
              <w:keepNext/>
              <w:contextualSpacing/>
            </w:pPr>
            <w:r>
              <w:t>FTS-B</w:t>
            </w:r>
          </w:p>
        </w:tc>
        <w:tc>
          <w:tcPr>
            <w:tcW w:w="2930" w:type="dxa"/>
            <w:shd w:val="clear" w:color="auto" w:fill="auto"/>
            <w:noWrap/>
            <w:vAlign w:val="center"/>
            <w:hideMark/>
          </w:tcPr>
          <w:p w:rsidR="00410F4B" w:rsidRPr="00F56F26" w:rsidRDefault="00410F4B" w:rsidP="008D5AD9">
            <w:pPr>
              <w:keepNext/>
              <w:ind w:right="600"/>
              <w:contextualSpacing/>
              <w:jc w:val="center"/>
            </w:pPr>
            <w:r>
              <w:t xml:space="preserve">        $1.77</w:t>
            </w:r>
          </w:p>
        </w:tc>
      </w:tr>
      <w:tr w:rsidR="00410F4B" w:rsidRPr="00F56F26" w:rsidTr="008D5AD9">
        <w:tc>
          <w:tcPr>
            <w:tcW w:w="6365" w:type="dxa"/>
            <w:shd w:val="clear" w:color="auto" w:fill="auto"/>
            <w:noWrap/>
            <w:vAlign w:val="center"/>
            <w:hideMark/>
          </w:tcPr>
          <w:p w:rsidR="00410F4B" w:rsidRPr="00F56F26" w:rsidRDefault="00410F4B" w:rsidP="008D5AD9">
            <w:pPr>
              <w:keepNext/>
              <w:contextualSpacing/>
            </w:pPr>
            <w:r>
              <w:t>FTS-1</w:t>
            </w:r>
          </w:p>
        </w:tc>
        <w:tc>
          <w:tcPr>
            <w:tcW w:w="2930" w:type="dxa"/>
            <w:shd w:val="clear" w:color="auto" w:fill="auto"/>
            <w:noWrap/>
            <w:vAlign w:val="center"/>
            <w:hideMark/>
          </w:tcPr>
          <w:p w:rsidR="00410F4B" w:rsidRPr="00F56F26" w:rsidRDefault="00410F4B" w:rsidP="008D5AD9">
            <w:pPr>
              <w:keepNext/>
              <w:ind w:right="600"/>
              <w:contextualSpacing/>
              <w:jc w:val="center"/>
            </w:pPr>
            <w:r>
              <w:t xml:space="preserve">        $2.24</w:t>
            </w:r>
          </w:p>
        </w:tc>
      </w:tr>
      <w:tr w:rsidR="00410F4B" w:rsidRPr="00F56F26" w:rsidTr="008D5AD9">
        <w:tc>
          <w:tcPr>
            <w:tcW w:w="6365" w:type="dxa"/>
            <w:shd w:val="clear" w:color="auto" w:fill="auto"/>
            <w:noWrap/>
            <w:vAlign w:val="center"/>
            <w:hideMark/>
          </w:tcPr>
          <w:p w:rsidR="00410F4B" w:rsidRPr="00F56F26" w:rsidRDefault="00410F4B" w:rsidP="008D5AD9">
            <w:pPr>
              <w:keepNext/>
              <w:contextualSpacing/>
            </w:pPr>
            <w:r>
              <w:t>FTS-2</w:t>
            </w:r>
          </w:p>
        </w:tc>
        <w:tc>
          <w:tcPr>
            <w:tcW w:w="2930" w:type="dxa"/>
            <w:shd w:val="clear" w:color="auto" w:fill="auto"/>
            <w:noWrap/>
            <w:vAlign w:val="center"/>
            <w:hideMark/>
          </w:tcPr>
          <w:p w:rsidR="00410F4B" w:rsidRPr="00F56F26" w:rsidRDefault="00410F4B" w:rsidP="008D5AD9">
            <w:pPr>
              <w:keepNext/>
              <w:ind w:right="600"/>
              <w:contextualSpacing/>
              <w:jc w:val="center"/>
            </w:pPr>
            <w:r>
              <w:t xml:space="preserve">        $4.32</w:t>
            </w:r>
          </w:p>
        </w:tc>
      </w:tr>
      <w:tr w:rsidR="00410F4B" w:rsidRPr="00F56F26" w:rsidTr="008D5AD9">
        <w:tc>
          <w:tcPr>
            <w:tcW w:w="6365" w:type="dxa"/>
            <w:shd w:val="clear" w:color="auto" w:fill="auto"/>
            <w:noWrap/>
            <w:vAlign w:val="center"/>
          </w:tcPr>
          <w:p w:rsidR="00410F4B" w:rsidRPr="00F56F26" w:rsidRDefault="00410F4B" w:rsidP="008D5AD9">
            <w:pPr>
              <w:keepNext/>
              <w:contextualSpacing/>
            </w:pPr>
            <w:r>
              <w:t>FTS-2.1</w:t>
            </w:r>
          </w:p>
        </w:tc>
        <w:tc>
          <w:tcPr>
            <w:tcW w:w="2930" w:type="dxa"/>
            <w:shd w:val="clear" w:color="auto" w:fill="auto"/>
            <w:noWrap/>
            <w:vAlign w:val="center"/>
          </w:tcPr>
          <w:p w:rsidR="00410F4B" w:rsidRPr="00F56F26" w:rsidRDefault="00410F4B" w:rsidP="008D5AD9">
            <w:pPr>
              <w:keepNext/>
              <w:ind w:right="600"/>
              <w:contextualSpacing/>
              <w:jc w:val="center"/>
            </w:pPr>
            <w:r>
              <w:t xml:space="preserve">        $6.04</w:t>
            </w:r>
          </w:p>
        </w:tc>
      </w:tr>
      <w:tr w:rsidR="00410F4B" w:rsidRPr="00F56F26" w:rsidTr="008D5AD9">
        <w:tc>
          <w:tcPr>
            <w:tcW w:w="6365" w:type="dxa"/>
            <w:shd w:val="clear" w:color="auto" w:fill="auto"/>
            <w:noWrap/>
            <w:vAlign w:val="center"/>
          </w:tcPr>
          <w:p w:rsidR="00410F4B" w:rsidRPr="00F56F26" w:rsidRDefault="00410F4B" w:rsidP="008D5AD9">
            <w:pPr>
              <w:keepNext/>
              <w:contextualSpacing/>
            </w:pPr>
            <w:r>
              <w:t>FTS-3</w:t>
            </w:r>
          </w:p>
        </w:tc>
        <w:tc>
          <w:tcPr>
            <w:tcW w:w="2930" w:type="dxa"/>
            <w:shd w:val="clear" w:color="auto" w:fill="auto"/>
            <w:noWrap/>
            <w:vAlign w:val="center"/>
          </w:tcPr>
          <w:p w:rsidR="00410F4B" w:rsidRPr="00F56F26" w:rsidRDefault="00410F4B" w:rsidP="008D5AD9">
            <w:pPr>
              <w:keepNext/>
              <w:ind w:right="600"/>
              <w:contextualSpacing/>
              <w:jc w:val="center"/>
            </w:pPr>
            <w:r>
              <w:t xml:space="preserve">        $15.59</w:t>
            </w:r>
          </w:p>
        </w:tc>
      </w:tr>
      <w:tr w:rsidR="00410F4B" w:rsidRPr="00F56F26" w:rsidTr="008D5AD9">
        <w:tc>
          <w:tcPr>
            <w:tcW w:w="6365" w:type="dxa"/>
            <w:shd w:val="clear" w:color="auto" w:fill="auto"/>
            <w:noWrap/>
            <w:vAlign w:val="center"/>
          </w:tcPr>
          <w:p w:rsidR="00410F4B" w:rsidRPr="00F56F26" w:rsidRDefault="00410F4B" w:rsidP="008D5AD9">
            <w:pPr>
              <w:keepNext/>
              <w:contextualSpacing/>
            </w:pPr>
            <w:r>
              <w:t>FTS-3.1</w:t>
            </w:r>
          </w:p>
        </w:tc>
        <w:tc>
          <w:tcPr>
            <w:tcW w:w="2930" w:type="dxa"/>
            <w:shd w:val="clear" w:color="auto" w:fill="auto"/>
            <w:noWrap/>
            <w:vAlign w:val="center"/>
          </w:tcPr>
          <w:p w:rsidR="00410F4B" w:rsidRPr="00F56F26" w:rsidRDefault="00410F4B" w:rsidP="008D5AD9">
            <w:pPr>
              <w:keepNext/>
              <w:ind w:right="600"/>
              <w:contextualSpacing/>
              <w:jc w:val="center"/>
            </w:pPr>
            <w:r>
              <w:t xml:space="preserve">        $21.66</w:t>
            </w:r>
          </w:p>
        </w:tc>
      </w:tr>
    </w:tbl>
    <w:p w:rsidR="00410F4B" w:rsidRPr="00C108A7" w:rsidRDefault="00410F4B" w:rsidP="00410F4B">
      <w:r>
        <w:tab/>
      </w:r>
    </w:p>
    <w:p w:rsidR="00410F4B" w:rsidRDefault="00410F4B" w:rsidP="00410F4B">
      <w:pPr>
        <w:ind w:firstLine="720"/>
        <w:rPr>
          <w:u w:val="single"/>
        </w:rPr>
      </w:pPr>
      <w:r>
        <w:t xml:space="preserve">    </w:t>
      </w:r>
      <w:r>
        <w:rPr>
          <w:u w:val="single"/>
        </w:rPr>
        <w:t>FPUC and FPU-Fort Meade</w:t>
      </w:r>
      <w:r w:rsidRPr="00884410">
        <w:t>:</w:t>
      </w:r>
    </w:p>
    <w:p w:rsidR="00410F4B" w:rsidRDefault="00410F4B" w:rsidP="00410F4B">
      <w:pPr>
        <w:ind w:firstLine="720"/>
        <w:rPr>
          <w:u w:val="single"/>
        </w:rPr>
      </w:pP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50"/>
        <w:gridCol w:w="3485"/>
      </w:tblGrid>
      <w:tr w:rsidR="00410F4B" w:rsidRPr="003D2285" w:rsidTr="008D5AD9">
        <w:tc>
          <w:tcPr>
            <w:tcW w:w="5850" w:type="dxa"/>
            <w:shd w:val="clear" w:color="auto" w:fill="auto"/>
            <w:vAlign w:val="center"/>
            <w:hideMark/>
          </w:tcPr>
          <w:p w:rsidR="00410F4B" w:rsidRPr="003D2285" w:rsidRDefault="00410F4B" w:rsidP="008D5AD9">
            <w:pPr>
              <w:keepNext/>
              <w:contextualSpacing/>
              <w:rPr>
                <w:u w:val="single"/>
              </w:rPr>
            </w:pPr>
          </w:p>
          <w:p w:rsidR="00410F4B" w:rsidRPr="00CB68A7" w:rsidRDefault="00410F4B" w:rsidP="008D5AD9">
            <w:pPr>
              <w:keepNext/>
              <w:contextualSpacing/>
              <w:rPr>
                <w:b/>
                <w:bCs/>
              </w:rPr>
            </w:pPr>
            <w:r w:rsidRPr="003D2285">
              <w:rPr>
                <w:b/>
                <w:bCs/>
                <w:u w:val="single"/>
              </w:rPr>
              <w:t>Rate Schedule</w:t>
            </w:r>
            <w:r>
              <w:rPr>
                <w:b/>
                <w:bCs/>
                <w:u w:val="single"/>
              </w:rPr>
              <w:br/>
            </w:r>
          </w:p>
        </w:tc>
        <w:tc>
          <w:tcPr>
            <w:tcW w:w="3485" w:type="dxa"/>
            <w:shd w:val="clear" w:color="auto" w:fill="auto"/>
            <w:vAlign w:val="center"/>
            <w:hideMark/>
          </w:tcPr>
          <w:p w:rsidR="00410F4B" w:rsidRPr="003D2285" w:rsidRDefault="00410F4B" w:rsidP="008D5AD9">
            <w:pPr>
              <w:keepNext/>
              <w:contextualSpacing/>
              <w:jc w:val="center"/>
              <w:rPr>
                <w:b/>
                <w:bCs/>
                <w:u w:val="single"/>
              </w:rPr>
            </w:pPr>
            <w:r w:rsidRPr="003D2285">
              <w:rPr>
                <w:b/>
                <w:bCs/>
                <w:u w:val="single"/>
              </w:rPr>
              <w:t>Conservation Recovery Factors ($/therm)</w:t>
            </w:r>
          </w:p>
        </w:tc>
      </w:tr>
      <w:tr w:rsidR="00410F4B" w:rsidRPr="00F56F26" w:rsidTr="008D5AD9">
        <w:tc>
          <w:tcPr>
            <w:tcW w:w="5850" w:type="dxa"/>
            <w:shd w:val="clear" w:color="auto" w:fill="auto"/>
            <w:noWrap/>
            <w:vAlign w:val="center"/>
            <w:hideMark/>
          </w:tcPr>
          <w:p w:rsidR="00410F4B" w:rsidRPr="00F56F26" w:rsidRDefault="00410F4B" w:rsidP="008D5AD9">
            <w:pPr>
              <w:keepNext/>
              <w:contextualSpacing/>
            </w:pPr>
            <w:r>
              <w:t xml:space="preserve">Residential </w:t>
            </w:r>
          </w:p>
        </w:tc>
        <w:tc>
          <w:tcPr>
            <w:tcW w:w="3485" w:type="dxa"/>
            <w:shd w:val="clear" w:color="auto" w:fill="auto"/>
            <w:noWrap/>
            <w:vAlign w:val="center"/>
            <w:hideMark/>
          </w:tcPr>
          <w:p w:rsidR="00410F4B" w:rsidRPr="00F56F26" w:rsidRDefault="00410F4B" w:rsidP="008D5AD9">
            <w:pPr>
              <w:keepNext/>
              <w:ind w:right="600"/>
              <w:contextualSpacing/>
              <w:jc w:val="center"/>
            </w:pPr>
            <w:r>
              <w:t xml:space="preserve">        $0.08852</w:t>
            </w:r>
          </w:p>
        </w:tc>
      </w:tr>
      <w:tr w:rsidR="00410F4B" w:rsidRPr="00F56F26" w:rsidTr="008D5AD9">
        <w:tc>
          <w:tcPr>
            <w:tcW w:w="5850" w:type="dxa"/>
            <w:shd w:val="clear" w:color="auto" w:fill="auto"/>
            <w:noWrap/>
            <w:vAlign w:val="center"/>
            <w:hideMark/>
          </w:tcPr>
          <w:p w:rsidR="00410F4B" w:rsidRPr="00F56F26" w:rsidRDefault="00410F4B" w:rsidP="008D5AD9">
            <w:pPr>
              <w:keepNext/>
              <w:contextualSpacing/>
            </w:pPr>
            <w:r>
              <w:t>Commercial Small (General Service GS1 and GS Transportation &lt;600)</w:t>
            </w:r>
          </w:p>
        </w:tc>
        <w:tc>
          <w:tcPr>
            <w:tcW w:w="3485" w:type="dxa"/>
            <w:shd w:val="clear" w:color="auto" w:fill="auto"/>
            <w:noWrap/>
            <w:vAlign w:val="center"/>
            <w:hideMark/>
          </w:tcPr>
          <w:p w:rsidR="00410F4B" w:rsidRPr="00F56F26" w:rsidRDefault="00410F4B" w:rsidP="008D5AD9">
            <w:pPr>
              <w:keepNext/>
              <w:ind w:right="600"/>
              <w:contextualSpacing/>
              <w:jc w:val="center"/>
            </w:pPr>
            <w:r>
              <w:t xml:space="preserve">        $0.05352</w:t>
            </w:r>
          </w:p>
        </w:tc>
      </w:tr>
      <w:tr w:rsidR="00410F4B" w:rsidRPr="00F56F26" w:rsidTr="008D5AD9">
        <w:tc>
          <w:tcPr>
            <w:tcW w:w="5850" w:type="dxa"/>
            <w:shd w:val="clear" w:color="auto" w:fill="auto"/>
            <w:noWrap/>
            <w:vAlign w:val="center"/>
            <w:hideMark/>
          </w:tcPr>
          <w:p w:rsidR="00410F4B" w:rsidRPr="00F56F26" w:rsidRDefault="00410F4B" w:rsidP="008D5AD9">
            <w:pPr>
              <w:keepNext/>
              <w:contextualSpacing/>
            </w:pPr>
            <w:r>
              <w:t>Commercial Small (General Service GS1 and GS Transportation &gt;600)</w:t>
            </w:r>
          </w:p>
        </w:tc>
        <w:tc>
          <w:tcPr>
            <w:tcW w:w="3485" w:type="dxa"/>
            <w:shd w:val="clear" w:color="auto" w:fill="auto"/>
            <w:noWrap/>
            <w:vAlign w:val="center"/>
            <w:hideMark/>
          </w:tcPr>
          <w:p w:rsidR="00410F4B" w:rsidRPr="00F56F26" w:rsidRDefault="00410F4B" w:rsidP="008D5AD9">
            <w:pPr>
              <w:keepNext/>
              <w:ind w:right="600"/>
              <w:contextualSpacing/>
              <w:jc w:val="center"/>
            </w:pPr>
            <w:r>
              <w:t xml:space="preserve">        $0.04181</w:t>
            </w:r>
          </w:p>
        </w:tc>
      </w:tr>
      <w:tr w:rsidR="00410F4B" w:rsidRPr="00F56F26" w:rsidTr="008D5AD9">
        <w:tc>
          <w:tcPr>
            <w:tcW w:w="5850" w:type="dxa"/>
            <w:shd w:val="clear" w:color="auto" w:fill="auto"/>
            <w:noWrap/>
            <w:vAlign w:val="center"/>
            <w:hideMark/>
          </w:tcPr>
          <w:p w:rsidR="00410F4B" w:rsidRPr="00F56F26" w:rsidRDefault="00410F4B" w:rsidP="008D5AD9">
            <w:pPr>
              <w:keepNext/>
              <w:contextualSpacing/>
            </w:pPr>
            <w:r>
              <w:t>Commercial Large Volume (Large Volume and LV Transportation &lt; , &gt; 50,000 Units)</w:t>
            </w:r>
          </w:p>
        </w:tc>
        <w:tc>
          <w:tcPr>
            <w:tcW w:w="3485" w:type="dxa"/>
            <w:shd w:val="clear" w:color="auto" w:fill="auto"/>
            <w:noWrap/>
            <w:vAlign w:val="center"/>
            <w:hideMark/>
          </w:tcPr>
          <w:p w:rsidR="00410F4B" w:rsidRPr="00F56F26" w:rsidRDefault="00410F4B" w:rsidP="008D5AD9">
            <w:pPr>
              <w:keepNext/>
              <w:ind w:right="600"/>
              <w:contextualSpacing/>
              <w:jc w:val="center"/>
            </w:pPr>
            <w:r>
              <w:t xml:space="preserve">        $0.03467</w:t>
            </w:r>
          </w:p>
        </w:tc>
      </w:tr>
      <w:tr w:rsidR="00410F4B" w:rsidRPr="00F56F26" w:rsidTr="008D5AD9">
        <w:tc>
          <w:tcPr>
            <w:tcW w:w="5850" w:type="dxa"/>
            <w:shd w:val="clear" w:color="auto" w:fill="auto"/>
            <w:noWrap/>
            <w:vAlign w:val="center"/>
          </w:tcPr>
          <w:p w:rsidR="00410F4B" w:rsidRPr="00F56F26" w:rsidRDefault="00410F4B" w:rsidP="008D5AD9">
            <w:pPr>
              <w:keepNext/>
              <w:contextualSpacing/>
            </w:pPr>
            <w:r>
              <w:t>Natural Gas Vehicles</w:t>
            </w:r>
          </w:p>
        </w:tc>
        <w:tc>
          <w:tcPr>
            <w:tcW w:w="3485" w:type="dxa"/>
            <w:shd w:val="clear" w:color="auto" w:fill="auto"/>
            <w:noWrap/>
            <w:vAlign w:val="center"/>
          </w:tcPr>
          <w:p w:rsidR="00410F4B" w:rsidRPr="00F56F26" w:rsidRDefault="00410F4B" w:rsidP="008D5AD9">
            <w:pPr>
              <w:keepNext/>
              <w:ind w:right="600"/>
              <w:contextualSpacing/>
              <w:jc w:val="center"/>
            </w:pPr>
            <w:r>
              <w:t xml:space="preserve">        $0.01483</w:t>
            </w:r>
          </w:p>
        </w:tc>
      </w:tr>
    </w:tbl>
    <w:p w:rsidR="00410F4B" w:rsidRDefault="00410F4B" w:rsidP="00410F4B"/>
    <w:p w:rsidR="00410F4B" w:rsidRDefault="00410F4B" w:rsidP="00410F4B">
      <w:pPr>
        <w:rPr>
          <w:u w:val="single"/>
        </w:rPr>
      </w:pPr>
      <w:r>
        <w:tab/>
        <w:t xml:space="preserve">   </w:t>
      </w:r>
      <w:r>
        <w:rPr>
          <w:u w:val="single"/>
        </w:rPr>
        <w:t>Indiantown</w:t>
      </w:r>
      <w:r w:rsidRPr="00884410">
        <w:t>:</w:t>
      </w:r>
    </w:p>
    <w:p w:rsidR="00410F4B" w:rsidRDefault="00410F4B" w:rsidP="00410F4B">
      <w:pPr>
        <w:rPr>
          <w:b/>
        </w:rPr>
      </w:pP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50"/>
        <w:gridCol w:w="3485"/>
      </w:tblGrid>
      <w:tr w:rsidR="00410F4B" w:rsidRPr="003D2285" w:rsidTr="008D5AD9">
        <w:tc>
          <w:tcPr>
            <w:tcW w:w="5850" w:type="dxa"/>
            <w:shd w:val="clear" w:color="auto" w:fill="auto"/>
            <w:vAlign w:val="center"/>
            <w:hideMark/>
          </w:tcPr>
          <w:p w:rsidR="00410F4B" w:rsidRDefault="00410F4B" w:rsidP="008D5AD9">
            <w:pPr>
              <w:keepNext/>
              <w:contextualSpacing/>
              <w:jc w:val="center"/>
            </w:pPr>
          </w:p>
          <w:p w:rsidR="00410F4B" w:rsidRDefault="00410F4B" w:rsidP="008D5AD9">
            <w:pPr>
              <w:keepNext/>
              <w:contextualSpacing/>
              <w:rPr>
                <w:b/>
                <w:bCs/>
                <w:u w:val="single"/>
              </w:rPr>
            </w:pPr>
            <w:r w:rsidRPr="003D2285">
              <w:rPr>
                <w:b/>
                <w:bCs/>
                <w:u w:val="single"/>
              </w:rPr>
              <w:t>Rate Schedule</w:t>
            </w:r>
          </w:p>
          <w:p w:rsidR="00410F4B" w:rsidRPr="003D2285" w:rsidRDefault="00410F4B" w:rsidP="008D5AD9">
            <w:pPr>
              <w:keepNext/>
              <w:contextualSpacing/>
              <w:rPr>
                <w:b/>
                <w:bCs/>
                <w:u w:val="single"/>
              </w:rPr>
            </w:pPr>
          </w:p>
        </w:tc>
        <w:tc>
          <w:tcPr>
            <w:tcW w:w="3485" w:type="dxa"/>
            <w:shd w:val="clear" w:color="auto" w:fill="auto"/>
            <w:vAlign w:val="center"/>
            <w:hideMark/>
          </w:tcPr>
          <w:p w:rsidR="00410F4B" w:rsidRPr="003D2285" w:rsidRDefault="00410F4B" w:rsidP="008D5AD9">
            <w:pPr>
              <w:keepNext/>
              <w:contextualSpacing/>
              <w:jc w:val="center"/>
              <w:rPr>
                <w:b/>
                <w:bCs/>
                <w:u w:val="single"/>
              </w:rPr>
            </w:pPr>
            <w:r w:rsidRPr="003D2285">
              <w:rPr>
                <w:b/>
                <w:bCs/>
                <w:u w:val="single"/>
              </w:rPr>
              <w:t>Conservation Recovery Factors ($/therm)</w:t>
            </w:r>
          </w:p>
        </w:tc>
      </w:tr>
      <w:tr w:rsidR="00410F4B" w:rsidTr="008D5AD9">
        <w:tc>
          <w:tcPr>
            <w:tcW w:w="5850" w:type="dxa"/>
            <w:shd w:val="clear" w:color="auto" w:fill="auto"/>
            <w:noWrap/>
            <w:vAlign w:val="center"/>
          </w:tcPr>
          <w:p w:rsidR="00410F4B" w:rsidRDefault="00410F4B" w:rsidP="008D5AD9">
            <w:pPr>
              <w:keepNext/>
              <w:contextualSpacing/>
            </w:pPr>
            <w:r>
              <w:t>TS 1 (Indiantown Division)</w:t>
            </w:r>
          </w:p>
        </w:tc>
        <w:tc>
          <w:tcPr>
            <w:tcW w:w="3485" w:type="dxa"/>
            <w:shd w:val="clear" w:color="auto" w:fill="auto"/>
            <w:noWrap/>
            <w:vAlign w:val="center"/>
          </w:tcPr>
          <w:p w:rsidR="00410F4B" w:rsidRDefault="00410F4B" w:rsidP="008D5AD9">
            <w:pPr>
              <w:keepNext/>
              <w:ind w:right="600"/>
              <w:contextualSpacing/>
              <w:jc w:val="center"/>
            </w:pPr>
            <w:r>
              <w:t xml:space="preserve">        $0.09466</w:t>
            </w:r>
          </w:p>
        </w:tc>
      </w:tr>
      <w:tr w:rsidR="00410F4B" w:rsidTr="008D5AD9">
        <w:tc>
          <w:tcPr>
            <w:tcW w:w="5850" w:type="dxa"/>
            <w:shd w:val="clear" w:color="auto" w:fill="auto"/>
            <w:noWrap/>
            <w:vAlign w:val="center"/>
          </w:tcPr>
          <w:p w:rsidR="00410F4B" w:rsidRDefault="00410F4B" w:rsidP="008D5AD9">
            <w:pPr>
              <w:keepNext/>
              <w:contextualSpacing/>
            </w:pPr>
            <w:r>
              <w:t>TS 2 (Indiantown Division)</w:t>
            </w:r>
          </w:p>
        </w:tc>
        <w:tc>
          <w:tcPr>
            <w:tcW w:w="3485" w:type="dxa"/>
            <w:shd w:val="clear" w:color="auto" w:fill="auto"/>
            <w:noWrap/>
            <w:vAlign w:val="center"/>
          </w:tcPr>
          <w:p w:rsidR="00410F4B" w:rsidRDefault="00410F4B" w:rsidP="008D5AD9">
            <w:pPr>
              <w:keepNext/>
              <w:ind w:right="600"/>
              <w:contextualSpacing/>
              <w:jc w:val="center"/>
            </w:pPr>
            <w:r>
              <w:t xml:space="preserve">        $0.01188</w:t>
            </w:r>
          </w:p>
        </w:tc>
      </w:tr>
      <w:tr w:rsidR="00410F4B" w:rsidTr="008D5AD9">
        <w:tc>
          <w:tcPr>
            <w:tcW w:w="5850" w:type="dxa"/>
            <w:shd w:val="clear" w:color="auto" w:fill="auto"/>
            <w:noWrap/>
            <w:vAlign w:val="center"/>
          </w:tcPr>
          <w:p w:rsidR="00410F4B" w:rsidRDefault="00410F4B" w:rsidP="008D5AD9">
            <w:pPr>
              <w:keepNext/>
              <w:contextualSpacing/>
            </w:pPr>
            <w:r>
              <w:t>TS 3 (Indiantown Division)</w:t>
            </w:r>
          </w:p>
        </w:tc>
        <w:tc>
          <w:tcPr>
            <w:tcW w:w="3485" w:type="dxa"/>
            <w:shd w:val="clear" w:color="auto" w:fill="auto"/>
            <w:noWrap/>
            <w:vAlign w:val="center"/>
          </w:tcPr>
          <w:p w:rsidR="00410F4B" w:rsidRDefault="00410F4B" w:rsidP="008D5AD9">
            <w:pPr>
              <w:keepNext/>
              <w:ind w:right="600"/>
              <w:contextualSpacing/>
              <w:jc w:val="center"/>
            </w:pPr>
            <w:r>
              <w:t xml:space="preserve">        $0.01178</w:t>
            </w:r>
          </w:p>
        </w:tc>
      </w:tr>
      <w:tr w:rsidR="00410F4B" w:rsidTr="008D5AD9">
        <w:tc>
          <w:tcPr>
            <w:tcW w:w="5850" w:type="dxa"/>
            <w:shd w:val="clear" w:color="auto" w:fill="auto"/>
            <w:noWrap/>
            <w:vAlign w:val="center"/>
          </w:tcPr>
          <w:p w:rsidR="00410F4B" w:rsidRDefault="00410F4B" w:rsidP="008D5AD9">
            <w:pPr>
              <w:keepNext/>
              <w:contextualSpacing/>
            </w:pPr>
            <w:r>
              <w:t>TS 4 (Indiantown Division)</w:t>
            </w:r>
          </w:p>
        </w:tc>
        <w:tc>
          <w:tcPr>
            <w:tcW w:w="3485" w:type="dxa"/>
            <w:shd w:val="clear" w:color="auto" w:fill="auto"/>
            <w:noWrap/>
            <w:vAlign w:val="center"/>
          </w:tcPr>
          <w:p w:rsidR="00410F4B" w:rsidRDefault="00410F4B" w:rsidP="008D5AD9">
            <w:pPr>
              <w:keepNext/>
              <w:ind w:right="600"/>
              <w:contextualSpacing/>
              <w:jc w:val="center"/>
            </w:pPr>
            <w:r>
              <w:t xml:space="preserve">        $0.00000</w:t>
            </w:r>
          </w:p>
        </w:tc>
      </w:tr>
    </w:tbl>
    <w:p w:rsidR="00410F4B" w:rsidRDefault="00410F4B" w:rsidP="00410F4B">
      <w:pPr>
        <w:rPr>
          <w:b/>
        </w:rPr>
      </w:pPr>
    </w:p>
    <w:p w:rsidR="00F61CF2" w:rsidRDefault="00F61CF2" w:rsidP="00410F4B">
      <w:pPr>
        <w:rPr>
          <w:b/>
        </w:rPr>
      </w:pPr>
    </w:p>
    <w:p w:rsidR="00410F4B" w:rsidRDefault="00410F4B" w:rsidP="00410F4B">
      <w:pPr>
        <w:rPr>
          <w:b/>
        </w:rPr>
      </w:pPr>
    </w:p>
    <w:p w:rsidR="00410F4B" w:rsidRPr="009C223E" w:rsidRDefault="00410F4B" w:rsidP="00410F4B">
      <w:r>
        <w:rPr>
          <w:b/>
        </w:rPr>
        <w:lastRenderedPageBreak/>
        <w:t>PGS:</w:t>
      </w:r>
    </w:p>
    <w:p w:rsidR="00410F4B" w:rsidRDefault="00410F4B" w:rsidP="00410F4B"/>
    <w:tbl>
      <w:tblPr>
        <w:tblpPr w:leftFromText="187" w:rightFromText="187" w:vertAnchor="text" w:horzAnchor="page" w:tblpXSpec="center" w:tblpY="15"/>
        <w:tblW w:w="9385" w:type="dxa"/>
        <w:tblCellMar>
          <w:top w:w="29" w:type="dxa"/>
          <w:left w:w="115" w:type="dxa"/>
          <w:bottom w:w="29" w:type="dxa"/>
          <w:right w:w="115" w:type="dxa"/>
        </w:tblCellMar>
        <w:tblLook w:val="04A0" w:firstRow="1" w:lastRow="0" w:firstColumn="1" w:lastColumn="0" w:noHBand="0" w:noVBand="1"/>
      </w:tblPr>
      <w:tblGrid>
        <w:gridCol w:w="5875"/>
        <w:gridCol w:w="3510"/>
      </w:tblGrid>
      <w:tr w:rsidR="00410F4B" w:rsidRPr="0052542F" w:rsidTr="008D5AD9">
        <w:tc>
          <w:tcPr>
            <w:tcW w:w="5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F4B" w:rsidRDefault="00410F4B" w:rsidP="008D5AD9">
            <w:pPr>
              <w:keepNext/>
              <w:contextualSpacing/>
              <w:jc w:val="center"/>
            </w:pPr>
          </w:p>
          <w:p w:rsidR="00410F4B" w:rsidRPr="0052542F" w:rsidRDefault="00410F4B" w:rsidP="008D5AD9">
            <w:pPr>
              <w:keepNext/>
              <w:contextualSpacing/>
              <w:rPr>
                <w:b/>
                <w:bCs/>
                <w:u w:val="single"/>
              </w:rPr>
            </w:pPr>
            <w:r w:rsidRPr="0052542F">
              <w:rPr>
                <w:b/>
                <w:bCs/>
                <w:u w:val="single"/>
              </w:rPr>
              <w:t>Rate Schedule</w:t>
            </w:r>
            <w:r>
              <w:rPr>
                <w:b/>
                <w:bCs/>
                <w:u w:val="single"/>
              </w:rPr>
              <w:br/>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F4B" w:rsidRPr="0052542F" w:rsidRDefault="00410F4B" w:rsidP="008D5AD9">
            <w:pPr>
              <w:keepNext/>
              <w:contextualSpacing/>
              <w:jc w:val="center"/>
              <w:rPr>
                <w:b/>
                <w:bCs/>
                <w:u w:val="single"/>
              </w:rPr>
            </w:pPr>
            <w:r w:rsidRPr="0052542F">
              <w:rPr>
                <w:b/>
                <w:bCs/>
                <w:u w:val="single"/>
              </w:rPr>
              <w:t>Conservation Recovery Factors</w:t>
            </w:r>
          </w:p>
          <w:p w:rsidR="00410F4B" w:rsidRPr="0052542F" w:rsidRDefault="00410F4B" w:rsidP="008D5AD9">
            <w:pPr>
              <w:keepNext/>
              <w:contextualSpacing/>
              <w:jc w:val="center"/>
              <w:rPr>
                <w:b/>
                <w:bCs/>
                <w:u w:val="single"/>
              </w:rPr>
            </w:pPr>
            <w:r w:rsidRPr="0052542F">
              <w:rPr>
                <w:b/>
                <w:bCs/>
                <w:u w:val="single"/>
              </w:rPr>
              <w:t>($/therm)</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contextualSpacing/>
            </w:pPr>
            <w:r w:rsidRPr="00F56F26">
              <w:t>RS1</w:t>
            </w:r>
            <w:r>
              <w:t>, RS-SG, and RS-GHP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ind w:right="600"/>
              <w:contextualSpacing/>
              <w:jc w:val="center"/>
            </w:pPr>
            <w:r>
              <w:t xml:space="preserve">        $0.09056</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contextualSpacing/>
            </w:pPr>
            <w:r>
              <w:t>SGS</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ind w:right="600"/>
              <w:contextualSpacing/>
              <w:jc w:val="center"/>
            </w:pPr>
            <w:r>
              <w:t xml:space="preserve">        $0.05718</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contextualSpacing/>
            </w:pPr>
            <w:r w:rsidRPr="00F56F26">
              <w:t>GS</w:t>
            </w:r>
            <w:r>
              <w:t>-1, CS-SG, and CS-GHP</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ind w:right="600"/>
              <w:contextualSpacing/>
              <w:jc w:val="center"/>
            </w:pPr>
            <w:r>
              <w:t xml:space="preserve">        $0.02909</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contextualSpacing/>
            </w:pPr>
            <w:r>
              <w:t>GS-2</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4B" w:rsidRPr="00F56F26" w:rsidRDefault="00410F4B" w:rsidP="008D5AD9">
            <w:pPr>
              <w:keepNext/>
              <w:ind w:right="600"/>
              <w:contextualSpacing/>
              <w:jc w:val="center"/>
            </w:pPr>
            <w:r>
              <w:t xml:space="preserve">        $0.02167</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contextualSpacing/>
            </w:pPr>
            <w:r>
              <w:t>GS-3</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ind w:right="600"/>
              <w:contextualSpacing/>
              <w:jc w:val="center"/>
            </w:pPr>
            <w:r>
              <w:t xml:space="preserve">        $0.01843</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contextualSpacing/>
            </w:pPr>
            <w:r>
              <w:t>GS-4</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ind w:right="600"/>
              <w:contextualSpacing/>
              <w:jc w:val="center"/>
            </w:pPr>
            <w:r>
              <w:t xml:space="preserve">        $0.01336</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contextualSpacing/>
            </w:pPr>
            <w:r>
              <w:t>GS-5</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ind w:right="600"/>
              <w:contextualSpacing/>
              <w:jc w:val="center"/>
            </w:pPr>
            <w:r>
              <w:t xml:space="preserve">        $0.00928</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contextualSpacing/>
            </w:pPr>
            <w:r>
              <w:t>NGVS</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ind w:right="600"/>
              <w:contextualSpacing/>
              <w:jc w:val="center"/>
            </w:pPr>
            <w:r>
              <w:t xml:space="preserve">        $0.00000</w:t>
            </w:r>
          </w:p>
        </w:tc>
      </w:tr>
      <w:tr w:rsidR="00410F4B" w:rsidRPr="00F56F26" w:rsidTr="008D5AD9">
        <w:tc>
          <w:tcPr>
            <w:tcW w:w="5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contextualSpacing/>
            </w:pPr>
            <w:r>
              <w:t>CSLS</w:t>
            </w:r>
          </w:p>
        </w:tc>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F4B" w:rsidRPr="00F56F26" w:rsidRDefault="00410F4B" w:rsidP="008D5AD9">
            <w:pPr>
              <w:keepNext/>
              <w:ind w:right="600"/>
              <w:contextualSpacing/>
              <w:jc w:val="center"/>
            </w:pPr>
            <w:r>
              <w:t xml:space="preserve">        $0.01851</w:t>
            </w:r>
          </w:p>
        </w:tc>
      </w:tr>
    </w:tbl>
    <w:p w:rsidR="00465788" w:rsidRDefault="00465788" w:rsidP="00410F4B">
      <w:pPr>
        <w:rPr>
          <w:b/>
        </w:rPr>
      </w:pPr>
    </w:p>
    <w:p w:rsidR="00410F4B" w:rsidRDefault="00410F4B" w:rsidP="00410F4B">
      <w:r>
        <w:rPr>
          <w:b/>
        </w:rPr>
        <w:t>SEBRING:</w:t>
      </w:r>
    </w:p>
    <w:p w:rsidR="00410F4B" w:rsidRDefault="00410F4B" w:rsidP="00410F4B">
      <w:r>
        <w:tab/>
      </w:r>
      <w:r>
        <w:tab/>
      </w: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825"/>
        <w:gridCol w:w="3510"/>
      </w:tblGrid>
      <w:tr w:rsidR="00410F4B" w:rsidRPr="00A21FBE" w:rsidTr="008D5AD9">
        <w:tc>
          <w:tcPr>
            <w:tcW w:w="5825" w:type="dxa"/>
            <w:shd w:val="clear" w:color="auto" w:fill="auto"/>
            <w:vAlign w:val="center"/>
            <w:hideMark/>
          </w:tcPr>
          <w:p w:rsidR="00410F4B" w:rsidRDefault="00410F4B" w:rsidP="008D5AD9">
            <w:pPr>
              <w:keepNext/>
              <w:contextualSpacing/>
            </w:pPr>
          </w:p>
          <w:p w:rsidR="00410F4B" w:rsidRPr="0052542F" w:rsidRDefault="00410F4B" w:rsidP="008D5AD9">
            <w:pPr>
              <w:keepNext/>
              <w:contextualSpacing/>
              <w:rPr>
                <w:b/>
                <w:bCs/>
                <w:u w:val="single"/>
              </w:rPr>
            </w:pPr>
            <w:r w:rsidRPr="0052542F">
              <w:rPr>
                <w:b/>
                <w:bCs/>
                <w:u w:val="single"/>
              </w:rPr>
              <w:t>Rate Schedule</w:t>
            </w:r>
            <w:r>
              <w:rPr>
                <w:b/>
                <w:bCs/>
                <w:u w:val="single"/>
              </w:rPr>
              <w:br/>
            </w:r>
          </w:p>
        </w:tc>
        <w:tc>
          <w:tcPr>
            <w:tcW w:w="3510" w:type="dxa"/>
            <w:shd w:val="clear" w:color="auto" w:fill="auto"/>
            <w:vAlign w:val="center"/>
            <w:hideMark/>
          </w:tcPr>
          <w:p w:rsidR="00410F4B" w:rsidRPr="00AB5CE1" w:rsidRDefault="00410F4B" w:rsidP="008D5AD9">
            <w:pPr>
              <w:keepNext/>
              <w:contextualSpacing/>
              <w:jc w:val="center"/>
              <w:rPr>
                <w:b/>
                <w:bCs/>
                <w:u w:val="single"/>
              </w:rPr>
            </w:pPr>
            <w:r w:rsidRPr="00AB5CE1">
              <w:rPr>
                <w:b/>
                <w:bCs/>
                <w:u w:val="single"/>
              </w:rPr>
              <w:t>Conservation Recovery Factors ($/therm)</w:t>
            </w:r>
          </w:p>
        </w:tc>
      </w:tr>
      <w:tr w:rsidR="00410F4B" w:rsidRPr="00F56F26" w:rsidTr="008D5AD9">
        <w:tc>
          <w:tcPr>
            <w:tcW w:w="5825" w:type="dxa"/>
            <w:shd w:val="clear" w:color="auto" w:fill="auto"/>
            <w:noWrap/>
            <w:vAlign w:val="center"/>
            <w:hideMark/>
          </w:tcPr>
          <w:p w:rsidR="00410F4B" w:rsidRPr="00F56F26" w:rsidRDefault="00410F4B" w:rsidP="008D5AD9">
            <w:pPr>
              <w:keepNext/>
              <w:contextualSpacing/>
            </w:pPr>
            <w:r>
              <w:t>TS-1</w:t>
            </w:r>
          </w:p>
        </w:tc>
        <w:tc>
          <w:tcPr>
            <w:tcW w:w="3510" w:type="dxa"/>
            <w:shd w:val="clear" w:color="auto" w:fill="auto"/>
            <w:noWrap/>
            <w:vAlign w:val="center"/>
            <w:hideMark/>
          </w:tcPr>
          <w:p w:rsidR="00410F4B" w:rsidRPr="00F56F26" w:rsidRDefault="00410F4B" w:rsidP="008D5AD9">
            <w:pPr>
              <w:keepNext/>
              <w:ind w:right="600"/>
              <w:contextualSpacing/>
              <w:jc w:val="center"/>
            </w:pPr>
            <w:r>
              <w:t xml:space="preserve">        $0.12192</w:t>
            </w:r>
          </w:p>
        </w:tc>
      </w:tr>
      <w:tr w:rsidR="00410F4B" w:rsidRPr="00F56F26" w:rsidTr="008D5AD9">
        <w:tc>
          <w:tcPr>
            <w:tcW w:w="5825" w:type="dxa"/>
            <w:shd w:val="clear" w:color="auto" w:fill="auto"/>
            <w:noWrap/>
            <w:vAlign w:val="center"/>
            <w:hideMark/>
          </w:tcPr>
          <w:p w:rsidR="00410F4B" w:rsidRPr="00F56F26" w:rsidRDefault="00410F4B" w:rsidP="008D5AD9">
            <w:pPr>
              <w:keepNext/>
              <w:contextualSpacing/>
            </w:pPr>
            <w:r>
              <w:t>TS-2</w:t>
            </w:r>
          </w:p>
        </w:tc>
        <w:tc>
          <w:tcPr>
            <w:tcW w:w="3510" w:type="dxa"/>
            <w:shd w:val="clear" w:color="auto" w:fill="auto"/>
            <w:noWrap/>
            <w:vAlign w:val="center"/>
            <w:hideMark/>
          </w:tcPr>
          <w:p w:rsidR="00410F4B" w:rsidRPr="00F56F26" w:rsidRDefault="00410F4B" w:rsidP="008D5AD9">
            <w:pPr>
              <w:keepNext/>
              <w:ind w:right="600"/>
              <w:contextualSpacing/>
              <w:jc w:val="center"/>
            </w:pPr>
            <w:r>
              <w:t xml:space="preserve">        $0.05051</w:t>
            </w:r>
          </w:p>
        </w:tc>
      </w:tr>
      <w:tr w:rsidR="00410F4B" w:rsidRPr="00F56F26" w:rsidTr="008D5AD9">
        <w:tc>
          <w:tcPr>
            <w:tcW w:w="5825" w:type="dxa"/>
            <w:shd w:val="clear" w:color="auto" w:fill="auto"/>
            <w:noWrap/>
            <w:vAlign w:val="center"/>
            <w:hideMark/>
          </w:tcPr>
          <w:p w:rsidR="00410F4B" w:rsidRPr="00F56F26" w:rsidRDefault="00410F4B" w:rsidP="008D5AD9">
            <w:pPr>
              <w:keepNext/>
              <w:contextualSpacing/>
            </w:pPr>
            <w:r>
              <w:t>TS-3</w:t>
            </w:r>
          </w:p>
        </w:tc>
        <w:tc>
          <w:tcPr>
            <w:tcW w:w="3510" w:type="dxa"/>
            <w:shd w:val="clear" w:color="auto" w:fill="auto"/>
            <w:noWrap/>
            <w:vAlign w:val="center"/>
            <w:hideMark/>
          </w:tcPr>
          <w:p w:rsidR="00410F4B" w:rsidRPr="00F56F26" w:rsidRDefault="00410F4B" w:rsidP="008D5AD9">
            <w:pPr>
              <w:keepNext/>
              <w:ind w:right="600"/>
              <w:contextualSpacing/>
              <w:jc w:val="center"/>
            </w:pPr>
            <w:r>
              <w:t xml:space="preserve">        $0.03418</w:t>
            </w:r>
          </w:p>
        </w:tc>
      </w:tr>
      <w:tr w:rsidR="00410F4B" w:rsidRPr="00F56F26" w:rsidTr="008D5AD9">
        <w:tc>
          <w:tcPr>
            <w:tcW w:w="5825" w:type="dxa"/>
            <w:shd w:val="clear" w:color="auto" w:fill="auto"/>
            <w:noWrap/>
            <w:vAlign w:val="center"/>
            <w:hideMark/>
          </w:tcPr>
          <w:p w:rsidR="00410F4B" w:rsidRPr="00F56F26" w:rsidRDefault="00410F4B" w:rsidP="008D5AD9">
            <w:pPr>
              <w:keepNext/>
              <w:contextualSpacing/>
            </w:pPr>
            <w:r>
              <w:t>TS-4</w:t>
            </w:r>
          </w:p>
        </w:tc>
        <w:tc>
          <w:tcPr>
            <w:tcW w:w="3510" w:type="dxa"/>
            <w:shd w:val="clear" w:color="auto" w:fill="auto"/>
            <w:noWrap/>
            <w:vAlign w:val="center"/>
            <w:hideMark/>
          </w:tcPr>
          <w:p w:rsidR="00410F4B" w:rsidRPr="00F56F26" w:rsidRDefault="00410F4B" w:rsidP="008D5AD9">
            <w:pPr>
              <w:keepNext/>
              <w:ind w:right="600"/>
              <w:contextualSpacing/>
              <w:jc w:val="center"/>
            </w:pPr>
            <w:r>
              <w:t xml:space="preserve">        $0.02981</w:t>
            </w:r>
          </w:p>
        </w:tc>
      </w:tr>
    </w:tbl>
    <w:p w:rsidR="00D210E6" w:rsidRPr="00465788" w:rsidRDefault="00410F4B" w:rsidP="00410F4B">
      <w:r>
        <w:tab/>
      </w:r>
    </w:p>
    <w:p w:rsidR="00410F4B" w:rsidRPr="009C223E" w:rsidRDefault="00410F4B" w:rsidP="00410F4B">
      <w:pPr>
        <w:rPr>
          <w:b/>
        </w:rPr>
      </w:pPr>
      <w:r>
        <w:rPr>
          <w:b/>
        </w:rPr>
        <w:t>SJNG:</w:t>
      </w:r>
    </w:p>
    <w:p w:rsidR="00410F4B" w:rsidRDefault="00410F4B" w:rsidP="00410F4B">
      <w:pPr>
        <w:ind w:left="1440" w:hanging="1440"/>
        <w:jc w:val="both"/>
      </w:pPr>
    </w:p>
    <w:tbl>
      <w:tblPr>
        <w:tblpPr w:leftFromText="187" w:rightFromText="187" w:vertAnchor="text" w:horzAnchor="page" w:tblpXSpec="center" w:tblpY="15"/>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735"/>
        <w:gridCol w:w="3600"/>
      </w:tblGrid>
      <w:tr w:rsidR="00410F4B" w:rsidRPr="00A21FBE" w:rsidTr="008D5AD9">
        <w:tc>
          <w:tcPr>
            <w:tcW w:w="5735" w:type="dxa"/>
            <w:shd w:val="clear" w:color="auto" w:fill="auto"/>
            <w:vAlign w:val="center"/>
            <w:hideMark/>
          </w:tcPr>
          <w:p w:rsidR="00410F4B" w:rsidRPr="0052542F" w:rsidRDefault="00410F4B" w:rsidP="008D5AD9">
            <w:pPr>
              <w:keepNext/>
              <w:contextualSpacing/>
              <w:rPr>
                <w:b/>
                <w:bCs/>
                <w:u w:val="single"/>
              </w:rPr>
            </w:pPr>
            <w:r w:rsidRPr="0052542F">
              <w:rPr>
                <w:b/>
                <w:bCs/>
                <w:u w:val="single"/>
              </w:rPr>
              <w:t>Rate Schedule</w:t>
            </w:r>
            <w:r>
              <w:rPr>
                <w:b/>
                <w:bCs/>
                <w:u w:val="single"/>
              </w:rPr>
              <w:br/>
            </w:r>
          </w:p>
        </w:tc>
        <w:tc>
          <w:tcPr>
            <w:tcW w:w="3600" w:type="dxa"/>
            <w:shd w:val="clear" w:color="auto" w:fill="auto"/>
            <w:vAlign w:val="center"/>
            <w:hideMark/>
          </w:tcPr>
          <w:p w:rsidR="00410F4B" w:rsidRPr="00AB5CE1" w:rsidRDefault="00410F4B" w:rsidP="008D5AD9">
            <w:pPr>
              <w:keepNext/>
              <w:contextualSpacing/>
              <w:jc w:val="center"/>
              <w:rPr>
                <w:b/>
                <w:bCs/>
                <w:u w:val="single"/>
              </w:rPr>
            </w:pPr>
            <w:r w:rsidRPr="00AB5CE1">
              <w:rPr>
                <w:b/>
                <w:bCs/>
                <w:u w:val="single"/>
              </w:rPr>
              <w:t>Conservation Recovery Factors ($/therm)</w:t>
            </w:r>
          </w:p>
          <w:p w:rsidR="00410F4B" w:rsidRPr="00A21FBE" w:rsidRDefault="00410F4B" w:rsidP="008D5AD9">
            <w:pPr>
              <w:keepNext/>
              <w:contextualSpacing/>
              <w:jc w:val="center"/>
              <w:rPr>
                <w:b/>
                <w:bCs/>
              </w:rPr>
            </w:pPr>
          </w:p>
        </w:tc>
      </w:tr>
      <w:tr w:rsidR="00410F4B" w:rsidRPr="00F56F26" w:rsidTr="008D5AD9">
        <w:tc>
          <w:tcPr>
            <w:tcW w:w="5735" w:type="dxa"/>
            <w:shd w:val="clear" w:color="auto" w:fill="auto"/>
            <w:noWrap/>
            <w:vAlign w:val="center"/>
            <w:hideMark/>
          </w:tcPr>
          <w:p w:rsidR="00410F4B" w:rsidRPr="00F56F26" w:rsidRDefault="00410F4B" w:rsidP="008D5AD9">
            <w:pPr>
              <w:keepNext/>
              <w:contextualSpacing/>
            </w:pPr>
            <w:r>
              <w:t>RS-1</w:t>
            </w:r>
          </w:p>
        </w:tc>
        <w:tc>
          <w:tcPr>
            <w:tcW w:w="3600" w:type="dxa"/>
            <w:shd w:val="clear" w:color="auto" w:fill="auto"/>
            <w:noWrap/>
            <w:vAlign w:val="center"/>
            <w:hideMark/>
          </w:tcPr>
          <w:p w:rsidR="00410F4B" w:rsidRPr="00F56F26" w:rsidRDefault="00410F4B" w:rsidP="008D5AD9">
            <w:pPr>
              <w:keepNext/>
              <w:ind w:right="600"/>
              <w:contextualSpacing/>
              <w:jc w:val="center"/>
            </w:pPr>
            <w:r>
              <w:t xml:space="preserve">        $0.27254</w:t>
            </w:r>
          </w:p>
        </w:tc>
      </w:tr>
      <w:tr w:rsidR="00410F4B" w:rsidRPr="00F56F26" w:rsidTr="008D5AD9">
        <w:tc>
          <w:tcPr>
            <w:tcW w:w="5735" w:type="dxa"/>
            <w:shd w:val="clear" w:color="auto" w:fill="auto"/>
            <w:noWrap/>
            <w:vAlign w:val="center"/>
            <w:hideMark/>
          </w:tcPr>
          <w:p w:rsidR="00410F4B" w:rsidRPr="00F56F26" w:rsidRDefault="00410F4B" w:rsidP="008D5AD9">
            <w:pPr>
              <w:keepNext/>
              <w:contextualSpacing/>
            </w:pPr>
            <w:r>
              <w:t>RS-2</w:t>
            </w:r>
          </w:p>
        </w:tc>
        <w:tc>
          <w:tcPr>
            <w:tcW w:w="3600" w:type="dxa"/>
            <w:shd w:val="clear" w:color="auto" w:fill="auto"/>
            <w:noWrap/>
            <w:vAlign w:val="center"/>
            <w:hideMark/>
          </w:tcPr>
          <w:p w:rsidR="00410F4B" w:rsidRPr="00F56F26" w:rsidRDefault="00410F4B" w:rsidP="008D5AD9">
            <w:pPr>
              <w:keepNext/>
              <w:ind w:right="600"/>
              <w:contextualSpacing/>
              <w:jc w:val="center"/>
            </w:pPr>
            <w:r>
              <w:t xml:space="preserve">        $0.19097</w:t>
            </w:r>
          </w:p>
        </w:tc>
      </w:tr>
      <w:tr w:rsidR="00410F4B" w:rsidRPr="00F56F26" w:rsidTr="008D5AD9">
        <w:tc>
          <w:tcPr>
            <w:tcW w:w="5735" w:type="dxa"/>
            <w:shd w:val="clear" w:color="auto" w:fill="auto"/>
            <w:noWrap/>
            <w:vAlign w:val="center"/>
            <w:hideMark/>
          </w:tcPr>
          <w:p w:rsidR="00410F4B" w:rsidRPr="00F56F26" w:rsidRDefault="00410F4B" w:rsidP="008D5AD9">
            <w:pPr>
              <w:keepNext/>
              <w:contextualSpacing/>
            </w:pPr>
            <w:r>
              <w:t>RS-3</w:t>
            </w:r>
          </w:p>
        </w:tc>
        <w:tc>
          <w:tcPr>
            <w:tcW w:w="3600" w:type="dxa"/>
            <w:shd w:val="clear" w:color="auto" w:fill="auto"/>
            <w:noWrap/>
            <w:vAlign w:val="center"/>
            <w:hideMark/>
          </w:tcPr>
          <w:p w:rsidR="00410F4B" w:rsidRPr="00F56F26" w:rsidRDefault="00410F4B" w:rsidP="008D5AD9">
            <w:pPr>
              <w:keepNext/>
              <w:ind w:right="600"/>
              <w:contextualSpacing/>
              <w:jc w:val="center"/>
            </w:pPr>
            <w:r>
              <w:t xml:space="preserve">        $0.14851</w:t>
            </w:r>
          </w:p>
        </w:tc>
      </w:tr>
      <w:tr w:rsidR="00410F4B" w:rsidRPr="00F56F26" w:rsidTr="008D5AD9">
        <w:tc>
          <w:tcPr>
            <w:tcW w:w="5735" w:type="dxa"/>
            <w:shd w:val="clear" w:color="auto" w:fill="auto"/>
            <w:noWrap/>
            <w:vAlign w:val="center"/>
            <w:hideMark/>
          </w:tcPr>
          <w:p w:rsidR="00410F4B" w:rsidRPr="00F56F26" w:rsidRDefault="00410F4B" w:rsidP="008D5AD9">
            <w:pPr>
              <w:keepNext/>
              <w:contextualSpacing/>
            </w:pPr>
            <w:r>
              <w:t>GS-1</w:t>
            </w:r>
          </w:p>
        </w:tc>
        <w:tc>
          <w:tcPr>
            <w:tcW w:w="3600" w:type="dxa"/>
            <w:shd w:val="clear" w:color="auto" w:fill="auto"/>
            <w:noWrap/>
            <w:vAlign w:val="center"/>
            <w:hideMark/>
          </w:tcPr>
          <w:p w:rsidR="00410F4B" w:rsidRPr="00F56F26" w:rsidRDefault="00410F4B" w:rsidP="008D5AD9">
            <w:pPr>
              <w:keepNext/>
              <w:ind w:right="600"/>
              <w:contextualSpacing/>
              <w:jc w:val="center"/>
            </w:pPr>
            <w:r>
              <w:t xml:space="preserve">        $0.09512</w:t>
            </w:r>
          </w:p>
        </w:tc>
      </w:tr>
      <w:tr w:rsidR="00410F4B" w:rsidTr="008D5AD9">
        <w:tc>
          <w:tcPr>
            <w:tcW w:w="5735" w:type="dxa"/>
            <w:shd w:val="clear" w:color="auto" w:fill="auto"/>
            <w:noWrap/>
            <w:vAlign w:val="center"/>
          </w:tcPr>
          <w:p w:rsidR="00410F4B" w:rsidRDefault="00410F4B" w:rsidP="008D5AD9">
            <w:pPr>
              <w:keepNext/>
              <w:contextualSpacing/>
            </w:pPr>
            <w:r>
              <w:t>GS-2</w:t>
            </w:r>
          </w:p>
        </w:tc>
        <w:tc>
          <w:tcPr>
            <w:tcW w:w="3600" w:type="dxa"/>
            <w:shd w:val="clear" w:color="auto" w:fill="auto"/>
            <w:noWrap/>
            <w:vAlign w:val="center"/>
          </w:tcPr>
          <w:p w:rsidR="00410F4B" w:rsidRDefault="00410F4B" w:rsidP="008D5AD9">
            <w:pPr>
              <w:keepNext/>
              <w:ind w:right="600"/>
              <w:contextualSpacing/>
              <w:jc w:val="center"/>
            </w:pPr>
            <w:r>
              <w:t xml:space="preserve">        $0.05337</w:t>
            </w:r>
          </w:p>
        </w:tc>
      </w:tr>
      <w:tr w:rsidR="00410F4B" w:rsidTr="008D5AD9">
        <w:tc>
          <w:tcPr>
            <w:tcW w:w="5735" w:type="dxa"/>
            <w:shd w:val="clear" w:color="auto" w:fill="auto"/>
            <w:noWrap/>
            <w:vAlign w:val="center"/>
          </w:tcPr>
          <w:p w:rsidR="00410F4B" w:rsidRDefault="00410F4B" w:rsidP="008D5AD9">
            <w:pPr>
              <w:keepNext/>
              <w:contextualSpacing/>
            </w:pPr>
            <w:r>
              <w:t>FTS4/GS-4</w:t>
            </w:r>
          </w:p>
          <w:p w:rsidR="00410F4B" w:rsidRDefault="00410F4B" w:rsidP="008D5AD9">
            <w:pPr>
              <w:keepNext/>
              <w:contextualSpacing/>
            </w:pPr>
          </w:p>
        </w:tc>
        <w:tc>
          <w:tcPr>
            <w:tcW w:w="3600" w:type="dxa"/>
            <w:shd w:val="clear" w:color="auto" w:fill="auto"/>
            <w:noWrap/>
            <w:vAlign w:val="center"/>
          </w:tcPr>
          <w:p w:rsidR="00410F4B" w:rsidRDefault="00410F4B" w:rsidP="008D5AD9">
            <w:pPr>
              <w:keepNext/>
              <w:ind w:right="600"/>
              <w:contextualSpacing/>
              <w:jc w:val="center"/>
            </w:pPr>
            <w:r>
              <w:t xml:space="preserve">        $0.04049</w:t>
            </w:r>
          </w:p>
        </w:tc>
      </w:tr>
    </w:tbl>
    <w:p w:rsidR="00410F4B" w:rsidRDefault="00410F4B" w:rsidP="00410F4B">
      <w:pPr>
        <w:ind w:left="1440" w:hanging="1440"/>
        <w:jc w:val="both"/>
      </w:pPr>
    </w:p>
    <w:p w:rsidR="00410F4B" w:rsidRDefault="00410F4B" w:rsidP="00410F4B">
      <w:pPr>
        <w:contextualSpacing/>
        <w:jc w:val="both"/>
        <w:rPr>
          <w:u w:val="single"/>
        </w:rPr>
      </w:pPr>
    </w:p>
    <w:p w:rsidR="00410F4B" w:rsidRPr="001061C7" w:rsidRDefault="00410F4B" w:rsidP="00410F4B">
      <w:pPr>
        <w:contextualSpacing/>
        <w:jc w:val="both"/>
      </w:pPr>
      <w:r w:rsidRPr="001061C7">
        <w:rPr>
          <w:u w:val="single"/>
        </w:rPr>
        <w:lastRenderedPageBreak/>
        <w:t>Tariff Revisions Reflecting Natural Gas Conservation Cost Recovery Amounts and Establishing Natural Gas Conservation Cost Recovery Factors</w:t>
      </w:r>
    </w:p>
    <w:p w:rsidR="00410F4B" w:rsidRDefault="00410F4B" w:rsidP="00410F4B">
      <w:pPr>
        <w:ind w:firstLine="720"/>
        <w:contextualSpacing/>
        <w:jc w:val="both"/>
      </w:pPr>
    </w:p>
    <w:p w:rsidR="00410F4B" w:rsidRDefault="00410F4B" w:rsidP="00410F4B">
      <w:pPr>
        <w:contextualSpacing/>
        <w:jc w:val="both"/>
      </w:pPr>
      <w:r>
        <w:t xml:space="preserve"> </w:t>
      </w:r>
      <w:r>
        <w:tab/>
        <w:t xml:space="preserve">The revised tariffs reflecting the new energy conservation cost charges determined to be appropriate in this proceeding are hereby approved. We direct our staff to verify that the revised tariffs are consistent with this Order. </w:t>
      </w:r>
    </w:p>
    <w:p w:rsidR="00410F4B" w:rsidRDefault="00410F4B" w:rsidP="00410F4B">
      <w:pPr>
        <w:ind w:firstLine="720"/>
        <w:contextualSpacing/>
        <w:jc w:val="both"/>
      </w:pPr>
    </w:p>
    <w:p w:rsidR="00410F4B" w:rsidRDefault="00410F4B" w:rsidP="00410F4B">
      <w:pPr>
        <w:contextualSpacing/>
        <w:jc w:val="both"/>
      </w:pPr>
      <w:r>
        <w:rPr>
          <w:u w:val="single"/>
        </w:rPr>
        <w:t>Conservation Cost Recovery</w:t>
      </w:r>
      <w:r w:rsidR="00B71159">
        <w:rPr>
          <w:u w:val="single"/>
        </w:rPr>
        <w:t xml:space="preserve"> Effective Date for 2023</w:t>
      </w:r>
      <w:r>
        <w:rPr>
          <w:u w:val="single"/>
        </w:rPr>
        <w:t xml:space="preserve"> Billing Cycle</w:t>
      </w:r>
    </w:p>
    <w:p w:rsidR="00410F4B" w:rsidRDefault="00410F4B" w:rsidP="00410F4B">
      <w:pPr>
        <w:contextualSpacing/>
        <w:jc w:val="both"/>
      </w:pPr>
    </w:p>
    <w:p w:rsidR="00F61CF2" w:rsidRDefault="00410F4B" w:rsidP="00410F4B">
      <w:pPr>
        <w:contextualSpacing/>
        <w:jc w:val="both"/>
      </w:pPr>
      <w:r>
        <w:tab/>
        <w:t xml:space="preserve">The factors we approved as reflected above shall be effective beginning with the specified conservation cost recovery cycle and thereafter for the period January 2023 through December 2023. Billing cycles may start before January 1, 2023 and the last cycle may be read after December 31, 2023, so that each customer is billed for twelve months regardless of when the adjustment factor became effective. </w:t>
      </w:r>
    </w:p>
    <w:p w:rsidR="00F61CF2" w:rsidRPr="00F61CF2" w:rsidRDefault="00F61CF2" w:rsidP="00410F4B">
      <w:pPr>
        <w:contextualSpacing/>
        <w:jc w:val="both"/>
      </w:pPr>
    </w:p>
    <w:p w:rsidR="00410F4B" w:rsidRDefault="00410F4B" w:rsidP="00410F4B">
      <w:pPr>
        <w:contextualSpacing/>
        <w:jc w:val="both"/>
      </w:pPr>
      <w:r>
        <w:rPr>
          <w:u w:val="single"/>
        </w:rPr>
        <w:t>Docket to Remain Open</w:t>
      </w:r>
    </w:p>
    <w:p w:rsidR="00410F4B" w:rsidRDefault="00410F4B" w:rsidP="00410F4B">
      <w:pPr>
        <w:contextualSpacing/>
        <w:jc w:val="both"/>
      </w:pPr>
    </w:p>
    <w:p w:rsidR="00CA0087" w:rsidRDefault="00410F4B" w:rsidP="003A2DF5">
      <w:pPr>
        <w:jc w:val="both"/>
      </w:pPr>
      <w:r>
        <w:tab/>
        <w:t>While a separate docket number is assigned each year, this is a continuing docket and shall remain open for administrative convenience.</w:t>
      </w:r>
    </w:p>
    <w:p w:rsidR="00CA0087" w:rsidRDefault="00CA0087" w:rsidP="00CA0087"/>
    <w:p w:rsidR="00CA0087" w:rsidRDefault="00CA0087" w:rsidP="00CA0087">
      <w:pPr>
        <w:pStyle w:val="OrderBody"/>
      </w:pPr>
      <w:r>
        <w:tab/>
        <w:t>Based on the foregoing, it is</w:t>
      </w:r>
    </w:p>
    <w:p w:rsidR="00CA0087" w:rsidRDefault="00CA0087" w:rsidP="00CA0087">
      <w:pPr>
        <w:pStyle w:val="OrderBody"/>
      </w:pPr>
    </w:p>
    <w:p w:rsidR="00410F4B" w:rsidRDefault="00CA0087" w:rsidP="00410F4B">
      <w:pPr>
        <w:pStyle w:val="OrderBody"/>
      </w:pPr>
      <w:r>
        <w:tab/>
      </w:r>
      <w:r w:rsidR="00410F4B">
        <w:t>ORDERED by the Florida Public Service Commission that the stipulations, findings, and rulings set forth in the body of this Order are hereby approved. It is further</w:t>
      </w:r>
    </w:p>
    <w:p w:rsidR="00410F4B" w:rsidRDefault="00410F4B" w:rsidP="00410F4B">
      <w:pPr>
        <w:pStyle w:val="OrderBody"/>
      </w:pPr>
    </w:p>
    <w:p w:rsidR="00410F4B" w:rsidRDefault="00410F4B" w:rsidP="00410F4B">
      <w:pPr>
        <w:pStyle w:val="OrderBody"/>
      </w:pPr>
      <w:r>
        <w:tab/>
        <w:t>ORDERED that each utility that was a party to this docket shall abide by the stipulations, findings, and rulings herein which are applicable to it. It is further</w:t>
      </w:r>
    </w:p>
    <w:p w:rsidR="00410F4B" w:rsidRDefault="00410F4B" w:rsidP="00410F4B">
      <w:pPr>
        <w:pStyle w:val="OrderBody"/>
      </w:pPr>
    </w:p>
    <w:p w:rsidR="00410F4B" w:rsidRDefault="00410F4B" w:rsidP="00410F4B">
      <w:pPr>
        <w:pStyle w:val="OrderBody"/>
      </w:pPr>
      <w:r>
        <w:tab/>
      </w:r>
      <w:r w:rsidRPr="00650AAC">
        <w:t xml:space="preserve">ORDERED that the utilities named herein are authorized to collect the </w:t>
      </w:r>
      <w:r>
        <w:t>natural gas conservation cost recovery amounts and utilize</w:t>
      </w:r>
      <w:r w:rsidRPr="00650AAC">
        <w:t xml:space="preserve"> the factors approved herein</w:t>
      </w:r>
      <w:r>
        <w:t xml:space="preserve"> for the period beginning with the specified conservation cost recovery cycle and thereafter for the period January 2023 through December 2023. Billing cycles may start before January 1, 2023, and the last cycle may be read after December 31, 2023, so that each customer is billed for twelve months regardless of when the adjustment factor became effective. </w:t>
      </w:r>
      <w:r w:rsidRPr="00650AAC">
        <w:t>It is further</w:t>
      </w:r>
      <w:r>
        <w:t xml:space="preserve"> </w:t>
      </w:r>
    </w:p>
    <w:p w:rsidR="00410F4B" w:rsidRDefault="00410F4B" w:rsidP="00410F4B">
      <w:pPr>
        <w:pStyle w:val="OrderBody"/>
      </w:pPr>
    </w:p>
    <w:p w:rsidR="00410F4B" w:rsidRDefault="00410F4B" w:rsidP="00410F4B">
      <w:pPr>
        <w:pStyle w:val="OrderBody"/>
      </w:pPr>
      <w:r>
        <w:tab/>
        <w:t>ORDERED that the utilities’ revised tariffs, reflecting the natural gas conservation cost recovery amounts and establishing natural gas conservation cost recovery factors determined to be appropriate herein are approved. Our staff shall verify that the revised tariffs are consistent with this Order. It is further</w:t>
      </w:r>
    </w:p>
    <w:p w:rsidR="00410F4B" w:rsidRDefault="00410F4B" w:rsidP="00410F4B">
      <w:pPr>
        <w:pStyle w:val="OrderBody"/>
      </w:pPr>
    </w:p>
    <w:p w:rsidR="00CA0087" w:rsidRDefault="00410F4B" w:rsidP="00CA0087">
      <w:pPr>
        <w:pStyle w:val="OrderBody"/>
      </w:pPr>
      <w:r>
        <w:tab/>
        <w:t xml:space="preserve">ORDERED that the </w:t>
      </w:r>
      <w:r>
        <w:rPr>
          <w:color w:val="000000"/>
        </w:rPr>
        <w:t xml:space="preserve">Natural Gas Conservation Cost Recovery Clause </w:t>
      </w:r>
      <w:r>
        <w:t>docket is on-going and the docket shall remain open.</w:t>
      </w:r>
    </w:p>
    <w:p w:rsidR="00CA0087" w:rsidRDefault="00CA0087" w:rsidP="00CA0087">
      <w:pPr>
        <w:pStyle w:val="OrderBody"/>
      </w:pPr>
    </w:p>
    <w:p w:rsidR="00CA0087" w:rsidRDefault="00CA0087" w:rsidP="00CA0087">
      <w:pPr>
        <w:keepNext/>
        <w:keepLines/>
        <w:jc w:val="both"/>
      </w:pPr>
      <w:r>
        <w:lastRenderedPageBreak/>
        <w:tab/>
        <w:t xml:space="preserve">By ORDER of the Florida Public Service Commission this </w:t>
      </w:r>
      <w:bookmarkStart w:id="6" w:name="replaceDate"/>
      <w:bookmarkEnd w:id="6"/>
      <w:r w:rsidR="00CB3147">
        <w:rPr>
          <w:u w:val="single"/>
        </w:rPr>
        <w:t>14th</w:t>
      </w:r>
      <w:r w:rsidR="00CB3147">
        <w:t xml:space="preserve"> day of </w:t>
      </w:r>
      <w:r w:rsidR="00CB3147">
        <w:rPr>
          <w:u w:val="single"/>
        </w:rPr>
        <w:t>December</w:t>
      </w:r>
      <w:r w:rsidR="00CB3147">
        <w:t xml:space="preserve">, </w:t>
      </w:r>
      <w:r w:rsidR="00CB3147">
        <w:rPr>
          <w:u w:val="single"/>
        </w:rPr>
        <w:t>2022</w:t>
      </w:r>
      <w:r w:rsidR="00CB3147">
        <w:t>.</w:t>
      </w:r>
    </w:p>
    <w:p w:rsidR="00CB3147" w:rsidRPr="00CB3147" w:rsidRDefault="00CB3147" w:rsidP="00CA0087">
      <w:pPr>
        <w:keepNext/>
        <w:keepLines/>
        <w:jc w:val="both"/>
      </w:pPr>
    </w:p>
    <w:p w:rsidR="00CA0087" w:rsidRDefault="00CA0087" w:rsidP="00CA0087">
      <w:pPr>
        <w:keepNext/>
        <w:keepLines/>
        <w:jc w:val="both"/>
      </w:pPr>
    </w:p>
    <w:p w:rsidR="00CA0087" w:rsidRDefault="00CA0087" w:rsidP="00CA008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A0087" w:rsidTr="00CA0087">
        <w:tc>
          <w:tcPr>
            <w:tcW w:w="720" w:type="dxa"/>
            <w:shd w:val="clear" w:color="auto" w:fill="auto"/>
          </w:tcPr>
          <w:p w:rsidR="00CA0087" w:rsidRDefault="00CA0087" w:rsidP="00CA0087">
            <w:pPr>
              <w:keepNext/>
              <w:keepLines/>
              <w:jc w:val="both"/>
            </w:pPr>
            <w:bookmarkStart w:id="7" w:name="bkmrkSignature" w:colFirst="0" w:colLast="0"/>
          </w:p>
        </w:tc>
        <w:tc>
          <w:tcPr>
            <w:tcW w:w="4320" w:type="dxa"/>
            <w:tcBorders>
              <w:bottom w:val="single" w:sz="4" w:space="0" w:color="auto"/>
            </w:tcBorders>
            <w:shd w:val="clear" w:color="auto" w:fill="auto"/>
          </w:tcPr>
          <w:p w:rsidR="00CA0087" w:rsidRDefault="00CB3147" w:rsidP="00CA0087">
            <w:pPr>
              <w:keepNext/>
              <w:keepLines/>
              <w:jc w:val="both"/>
            </w:pPr>
            <w:r>
              <w:t>/s/ Adam J. Teitzman</w:t>
            </w:r>
            <w:bookmarkStart w:id="8" w:name="_GoBack"/>
            <w:bookmarkEnd w:id="8"/>
          </w:p>
        </w:tc>
      </w:tr>
      <w:bookmarkEnd w:id="7"/>
      <w:tr w:rsidR="00CA0087" w:rsidTr="00CA0087">
        <w:tc>
          <w:tcPr>
            <w:tcW w:w="720" w:type="dxa"/>
            <w:shd w:val="clear" w:color="auto" w:fill="auto"/>
          </w:tcPr>
          <w:p w:rsidR="00CA0087" w:rsidRDefault="00CA0087" w:rsidP="00CA0087">
            <w:pPr>
              <w:keepNext/>
              <w:keepLines/>
              <w:jc w:val="both"/>
            </w:pPr>
          </w:p>
        </w:tc>
        <w:tc>
          <w:tcPr>
            <w:tcW w:w="4320" w:type="dxa"/>
            <w:tcBorders>
              <w:top w:val="single" w:sz="4" w:space="0" w:color="auto"/>
            </w:tcBorders>
            <w:shd w:val="clear" w:color="auto" w:fill="auto"/>
          </w:tcPr>
          <w:p w:rsidR="00CA0087" w:rsidRDefault="00CA0087" w:rsidP="00CA0087">
            <w:pPr>
              <w:keepNext/>
              <w:keepLines/>
              <w:jc w:val="both"/>
            </w:pPr>
            <w:r>
              <w:t>ADAM J. TEITZMAN</w:t>
            </w:r>
          </w:p>
          <w:p w:rsidR="00CA0087" w:rsidRDefault="00CA0087" w:rsidP="00CA0087">
            <w:pPr>
              <w:keepNext/>
              <w:keepLines/>
              <w:jc w:val="both"/>
            </w:pPr>
            <w:r>
              <w:t>Commission Clerk</w:t>
            </w:r>
          </w:p>
        </w:tc>
      </w:tr>
    </w:tbl>
    <w:p w:rsidR="00CA0087" w:rsidRDefault="00CA0087" w:rsidP="00CA0087">
      <w:pPr>
        <w:pStyle w:val="OrderSigInfo"/>
        <w:keepNext/>
        <w:keepLines/>
      </w:pPr>
      <w:r>
        <w:t>Florida Public Service Commission</w:t>
      </w:r>
    </w:p>
    <w:p w:rsidR="00CA0087" w:rsidRDefault="00CA0087" w:rsidP="00CA0087">
      <w:pPr>
        <w:pStyle w:val="OrderSigInfo"/>
        <w:keepNext/>
        <w:keepLines/>
      </w:pPr>
      <w:r>
        <w:t>2540 Shumard Oak Boulevard</w:t>
      </w:r>
    </w:p>
    <w:p w:rsidR="00CA0087" w:rsidRDefault="00CA0087" w:rsidP="00CA0087">
      <w:pPr>
        <w:pStyle w:val="OrderSigInfo"/>
        <w:keepNext/>
        <w:keepLines/>
      </w:pPr>
      <w:r>
        <w:t>Tallahassee, Florida 32399</w:t>
      </w:r>
    </w:p>
    <w:p w:rsidR="00CA0087" w:rsidRDefault="00CA0087" w:rsidP="00CA0087">
      <w:pPr>
        <w:pStyle w:val="OrderSigInfo"/>
        <w:keepNext/>
        <w:keepLines/>
      </w:pPr>
      <w:r>
        <w:t>(850) 413</w:t>
      </w:r>
      <w:r>
        <w:noBreakHyphen/>
        <w:t>6770</w:t>
      </w:r>
    </w:p>
    <w:p w:rsidR="00CA0087" w:rsidRDefault="00CA0087" w:rsidP="00CA0087">
      <w:pPr>
        <w:pStyle w:val="OrderSigInfo"/>
        <w:keepNext/>
        <w:keepLines/>
      </w:pPr>
      <w:r>
        <w:t>www.floridapsc.com</w:t>
      </w:r>
    </w:p>
    <w:p w:rsidR="00CA0087" w:rsidRDefault="00CA0087" w:rsidP="00CA0087">
      <w:pPr>
        <w:pStyle w:val="OrderSigInfo"/>
        <w:keepNext/>
        <w:keepLines/>
      </w:pPr>
    </w:p>
    <w:p w:rsidR="00CA0087" w:rsidRDefault="00CA0087" w:rsidP="00CA0087">
      <w:pPr>
        <w:pStyle w:val="OrderSigInfo"/>
        <w:keepNext/>
        <w:keepLines/>
      </w:pPr>
      <w:r>
        <w:t>Copies furnished:  A copy of this document is provided to the parties of record at the time of issuance and, if applicable, interested persons.</w:t>
      </w:r>
    </w:p>
    <w:p w:rsidR="00CA0087" w:rsidRDefault="00CA0087" w:rsidP="00CA0087">
      <w:pPr>
        <w:pStyle w:val="OrderBody"/>
        <w:keepNext/>
        <w:keepLines/>
      </w:pPr>
    </w:p>
    <w:p w:rsidR="00CA0087" w:rsidRDefault="00CA0087" w:rsidP="00CA0087">
      <w:pPr>
        <w:keepNext/>
        <w:keepLines/>
        <w:jc w:val="both"/>
      </w:pPr>
    </w:p>
    <w:p w:rsidR="00CA0087" w:rsidRDefault="00CA0087" w:rsidP="00CA0087">
      <w:pPr>
        <w:keepNext/>
        <w:keepLines/>
        <w:jc w:val="both"/>
      </w:pPr>
      <w:r>
        <w:t>MJJ</w:t>
      </w:r>
    </w:p>
    <w:p w:rsidR="00CA0087" w:rsidRDefault="00CA0087" w:rsidP="00CA0087">
      <w:pPr>
        <w:jc w:val="both"/>
      </w:pPr>
    </w:p>
    <w:p w:rsidR="00CA0087" w:rsidRDefault="00CA0087" w:rsidP="00CA0087">
      <w:pPr>
        <w:jc w:val="both"/>
      </w:pPr>
    </w:p>
    <w:p w:rsidR="00CA0087" w:rsidRDefault="00CA0087" w:rsidP="00CA0087">
      <w:pPr>
        <w:jc w:val="both"/>
      </w:pPr>
    </w:p>
    <w:p w:rsidR="00F61CF2" w:rsidRDefault="00F61CF2" w:rsidP="00CA0087">
      <w:pPr>
        <w:jc w:val="both"/>
      </w:pPr>
    </w:p>
    <w:p w:rsidR="00CA0087" w:rsidRDefault="00CA0087" w:rsidP="00CA0087">
      <w:pPr>
        <w:pStyle w:val="CenterUnderline"/>
      </w:pPr>
      <w:r>
        <w:t>NOTICE OF FURTHER PROCEEDINGS OR JUDICIAL REVIEW</w:t>
      </w:r>
    </w:p>
    <w:p w:rsidR="00CA0087" w:rsidRDefault="00CA0087" w:rsidP="00CA0087">
      <w:pPr>
        <w:pStyle w:val="CenterUnderline"/>
      </w:pPr>
    </w:p>
    <w:p w:rsidR="00CA0087" w:rsidRDefault="00CA0087" w:rsidP="00CA0087">
      <w:pPr>
        <w:pStyle w:val="OrderBody"/>
      </w:pPr>
    </w:p>
    <w:p w:rsidR="00CA0087" w:rsidRDefault="00CA0087" w:rsidP="00CA0087">
      <w:pPr>
        <w:pStyle w:val="OrderBody"/>
      </w:pPr>
      <w:r>
        <w:tab/>
        <w:t>The Florida Public Service Commission is required by S</w:t>
      </w:r>
      <w:r w:rsidR="00410F4B">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0087" w:rsidRDefault="00CA0087" w:rsidP="00CA0087">
      <w:pPr>
        <w:pStyle w:val="OrderBody"/>
      </w:pPr>
    </w:p>
    <w:p w:rsidR="00CA0087" w:rsidRPr="00CA0087" w:rsidRDefault="00CA0087" w:rsidP="00CA008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A0087" w:rsidRPr="00CA008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87" w:rsidRDefault="00CA0087">
      <w:r>
        <w:separator/>
      </w:r>
    </w:p>
  </w:endnote>
  <w:endnote w:type="continuationSeparator" w:id="0">
    <w:p w:rsidR="00CA0087" w:rsidRDefault="00CA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87" w:rsidRDefault="00CA0087">
      <w:r>
        <w:separator/>
      </w:r>
    </w:p>
  </w:footnote>
  <w:footnote w:type="continuationSeparator" w:id="0">
    <w:p w:rsidR="00CA0087" w:rsidRDefault="00CA0087">
      <w:r>
        <w:continuationSeparator/>
      </w:r>
    </w:p>
  </w:footnote>
  <w:footnote w:id="1">
    <w:p w:rsidR="00F61CF2" w:rsidRDefault="00F61CF2" w:rsidP="00F61CF2">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us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3 ">
      <w:r w:rsidR="00CB3147">
        <w:t>PSC-2022-0423-FOF-GU</w:t>
      </w:r>
    </w:fldSimple>
  </w:p>
  <w:p w:rsidR="00FA6EFD" w:rsidRDefault="00CA0087">
    <w:pPr>
      <w:pStyle w:val="OrderHeader"/>
    </w:pPr>
    <w:bookmarkStart w:id="9" w:name="HeaderDocketNo"/>
    <w:bookmarkEnd w:id="9"/>
    <w:r>
      <w:t>DOCKET NO. 20220004-GU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147">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4-GU"/>
  </w:docVars>
  <w:rsids>
    <w:rsidRoot w:val="00CA008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3EA"/>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09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2DF5"/>
    <w:rsid w:val="003B1A09"/>
    <w:rsid w:val="003B6F02"/>
    <w:rsid w:val="003C0431"/>
    <w:rsid w:val="003C29BB"/>
    <w:rsid w:val="003D3989"/>
    <w:rsid w:val="003D4CCA"/>
    <w:rsid w:val="003D52A6"/>
    <w:rsid w:val="003D6416"/>
    <w:rsid w:val="003E129B"/>
    <w:rsid w:val="003E1D48"/>
    <w:rsid w:val="003E711F"/>
    <w:rsid w:val="003F1D2B"/>
    <w:rsid w:val="003F49A6"/>
    <w:rsid w:val="003F518F"/>
    <w:rsid w:val="003F6BA7"/>
    <w:rsid w:val="003F7445"/>
    <w:rsid w:val="00410F4B"/>
    <w:rsid w:val="00411DF2"/>
    <w:rsid w:val="00411E8F"/>
    <w:rsid w:val="004247F5"/>
    <w:rsid w:val="0042527B"/>
    <w:rsid w:val="00427EAC"/>
    <w:rsid w:val="004431B4"/>
    <w:rsid w:val="0045537F"/>
    <w:rsid w:val="00457DC7"/>
    <w:rsid w:val="004640B3"/>
    <w:rsid w:val="00465788"/>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1DB2"/>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524"/>
    <w:rsid w:val="00715275"/>
    <w:rsid w:val="00721B44"/>
    <w:rsid w:val="007232A2"/>
    <w:rsid w:val="00726366"/>
    <w:rsid w:val="00731AB6"/>
    <w:rsid w:val="00733B6B"/>
    <w:rsid w:val="00740808"/>
    <w:rsid w:val="007467C4"/>
    <w:rsid w:val="00752009"/>
    <w:rsid w:val="0076170F"/>
    <w:rsid w:val="0076669C"/>
    <w:rsid w:val="00766E46"/>
    <w:rsid w:val="00772CCB"/>
    <w:rsid w:val="00777727"/>
    <w:rsid w:val="0078166A"/>
    <w:rsid w:val="00782B79"/>
    <w:rsid w:val="00783811"/>
    <w:rsid w:val="007865E9"/>
    <w:rsid w:val="0079237D"/>
    <w:rsid w:val="00792383"/>
    <w:rsid w:val="0079292E"/>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4410"/>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752"/>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5CE1"/>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159"/>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0087"/>
    <w:rsid w:val="00CA71FF"/>
    <w:rsid w:val="00CB2393"/>
    <w:rsid w:val="00CB3147"/>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10E6"/>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4315"/>
    <w:rsid w:val="00E33F44"/>
    <w:rsid w:val="00E37D48"/>
    <w:rsid w:val="00E4225C"/>
    <w:rsid w:val="00E44879"/>
    <w:rsid w:val="00E4539D"/>
    <w:rsid w:val="00E50AE2"/>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CF2"/>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10F4B"/>
  </w:style>
  <w:style w:type="paragraph" w:styleId="BalloonText">
    <w:name w:val="Balloon Text"/>
    <w:basedOn w:val="Normal"/>
    <w:link w:val="BalloonTextChar"/>
    <w:semiHidden/>
    <w:unhideWhenUsed/>
    <w:rsid w:val="000923EA"/>
    <w:rPr>
      <w:rFonts w:ascii="Segoe UI" w:hAnsi="Segoe UI" w:cs="Segoe UI"/>
      <w:sz w:val="18"/>
      <w:szCs w:val="18"/>
    </w:rPr>
  </w:style>
  <w:style w:type="character" w:customStyle="1" w:styleId="BalloonTextChar">
    <w:name w:val="Balloon Text Char"/>
    <w:basedOn w:val="DefaultParagraphFont"/>
    <w:link w:val="BalloonText"/>
    <w:semiHidden/>
    <w:rsid w:val="00092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714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2022-12-14T16:37:00Z</dcterms:created>
  <dcterms:modified xsi:type="dcterms:W3CDTF">2022-12-14T17:15:00Z</dcterms:modified>
</cp:coreProperties>
</file>