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F5A9A">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9A2CF1" w:rsidRDefault="009A2CF1">
      <w:pPr>
        <w:pStyle w:val="PScCenterCaps"/>
        <w:rPr>
          <w:lang w:val="en-US"/>
        </w:rPr>
      </w:pPr>
    </w:p>
    <w:p w:rsidR="009A2CF1" w:rsidRDefault="009A2CF1">
      <w:pPr>
        <w:pStyle w:val="PScCenterCaps"/>
        <w:rPr>
          <w:lang w:val="en-US"/>
        </w:rPr>
      </w:pPr>
      <w:r>
        <w:rPr>
          <w:lang w:val="en-US"/>
        </w:rPr>
        <w:t>all Water and wastewater utilities</w:t>
      </w:r>
    </w:p>
    <w:p w:rsidR="009A2CF1" w:rsidRDefault="009A2CF1">
      <w:pPr>
        <w:pStyle w:val="PScCenterCaps"/>
        <w:rPr>
          <w:lang w:val="en-US"/>
        </w:rPr>
      </w:pPr>
    </w:p>
    <w:p w:rsidR="009A2CF1" w:rsidRDefault="009A2CF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F5A9A" w:rsidRDefault="002F5A9A">
      <w:pPr>
        <w:pStyle w:val="PScCenterCaps"/>
        <w:rPr>
          <w:lang w:val="en-US"/>
        </w:rPr>
      </w:pPr>
      <w:r>
        <w:rPr>
          <w:lang w:val="en-US"/>
        </w:rPr>
        <w:t>UNDOCKETED</w:t>
      </w:r>
    </w:p>
    <w:p w:rsidR="002F5A9A" w:rsidRDefault="002F5A9A">
      <w:pPr>
        <w:pStyle w:val="PScCenterCaps"/>
        <w:rPr>
          <w:lang w:val="en-US"/>
        </w:rPr>
      </w:pPr>
    </w:p>
    <w:p w:rsidR="006B03A1" w:rsidRDefault="002F5A9A">
      <w:pPr>
        <w:pStyle w:val="PScCenterCaps"/>
        <w:rPr>
          <w:lang w:val="en-US"/>
        </w:rPr>
      </w:pPr>
      <w:r>
        <w:rPr>
          <w:lang w:val="en-US"/>
        </w:rPr>
        <w:t xml:space="preserve">IN RE: </w:t>
      </w:r>
      <w:r>
        <w:t>TO EXAMINE REGULATO</w:t>
      </w:r>
      <w:r w:rsidR="009A2CF1">
        <w:t xml:space="preserve">RY POLICIES AND PRACTICES </w:t>
      </w:r>
      <w:r>
        <w:t>IN THE WATER AND WASTEWATER INDUSTRIES IN FLORIDA</w:t>
      </w:r>
    </w:p>
    <w:p w:rsidR="006B03A1" w:rsidRDefault="006B03A1">
      <w:pPr>
        <w:pStyle w:val="PScCenterCaps"/>
        <w:rPr>
          <w:lang w:val="en-US"/>
        </w:rPr>
      </w:pPr>
    </w:p>
    <w:p w:rsidR="006B03A1" w:rsidRPr="008015AF" w:rsidRDefault="006B03A1">
      <w:pPr>
        <w:pStyle w:val="PSCCenter"/>
      </w:pPr>
      <w:r>
        <w:t xml:space="preserve">ISSUED: </w:t>
      </w:r>
      <w:bookmarkStart w:id="0" w:name="issueDate"/>
      <w:bookmarkEnd w:id="0"/>
      <w:r w:rsidR="008015AF">
        <w:rPr>
          <w:u w:val="single"/>
        </w:rPr>
        <w:t>December 21, 2022</w:t>
      </w:r>
    </w:p>
    <w:p w:rsidR="006B03A1" w:rsidRDefault="006B03A1"/>
    <w:p w:rsidR="00A2657C" w:rsidRDefault="00A2657C"/>
    <w:p w:rsidR="00A2657C" w:rsidRDefault="00A2657C"/>
    <w:p w:rsidR="002F5A9A" w:rsidRDefault="002F5A9A" w:rsidP="002F5A9A">
      <w:pPr>
        <w:tabs>
          <w:tab w:val="left" w:pos="-1124"/>
          <w:tab w:val="left" w:pos="-720"/>
          <w:tab w:val="left" w:pos="0"/>
          <w:tab w:val="left" w:pos="720"/>
          <w:tab w:val="left" w:pos="1440"/>
          <w:tab w:val="left" w:pos="2880"/>
          <w:tab w:val="left" w:pos="4680"/>
          <w:tab w:val="left" w:pos="5472"/>
        </w:tabs>
        <w:ind w:firstLine="720"/>
        <w:jc w:val="both"/>
      </w:pPr>
      <w:bookmarkStart w:id="1" w:name="VisualAids"/>
      <w:bookmarkEnd w:id="1"/>
      <w:r>
        <w:t>NOTICE is hereby given that a Commission staff workshop will be held at the following time and place:</w:t>
      </w:r>
    </w:p>
    <w:p w:rsidR="002F5A9A" w:rsidRDefault="002F5A9A" w:rsidP="002F5A9A">
      <w:pPr>
        <w:tabs>
          <w:tab w:val="left" w:pos="-1124"/>
          <w:tab w:val="left" w:pos="-720"/>
          <w:tab w:val="left" w:pos="0"/>
          <w:tab w:val="left" w:pos="720"/>
          <w:tab w:val="left" w:pos="1440"/>
          <w:tab w:val="left" w:pos="2880"/>
          <w:tab w:val="left" w:pos="4680"/>
          <w:tab w:val="left" w:pos="5472"/>
        </w:tabs>
        <w:jc w:val="both"/>
      </w:pPr>
    </w:p>
    <w:p w:rsidR="002F5A9A" w:rsidRDefault="002F5A9A" w:rsidP="002F5A9A">
      <w:pPr>
        <w:tabs>
          <w:tab w:val="left" w:pos="-1124"/>
          <w:tab w:val="left" w:pos="-720"/>
          <w:tab w:val="left" w:pos="0"/>
          <w:tab w:val="left" w:pos="720"/>
          <w:tab w:val="left" w:pos="1440"/>
          <w:tab w:val="left" w:pos="2880"/>
          <w:tab w:val="left" w:pos="4680"/>
          <w:tab w:val="left" w:pos="5472"/>
        </w:tabs>
        <w:ind w:firstLine="1440"/>
        <w:jc w:val="both"/>
      </w:pPr>
      <w:r>
        <w:t>February 1, 2023 at 9:30 a.m.</w:t>
      </w:r>
    </w:p>
    <w:p w:rsidR="002F5A9A" w:rsidRDefault="00A014EB" w:rsidP="002F5A9A">
      <w:pPr>
        <w:tabs>
          <w:tab w:val="left" w:pos="-1124"/>
          <w:tab w:val="left" w:pos="-720"/>
          <w:tab w:val="left" w:pos="0"/>
          <w:tab w:val="left" w:pos="720"/>
          <w:tab w:val="left" w:pos="1440"/>
          <w:tab w:val="left" w:pos="2880"/>
          <w:tab w:val="left" w:pos="4680"/>
          <w:tab w:val="left" w:pos="5472"/>
        </w:tabs>
        <w:ind w:firstLine="1440"/>
        <w:jc w:val="both"/>
      </w:pPr>
      <w:r>
        <w:t xml:space="preserve">Room 148, </w:t>
      </w:r>
      <w:r w:rsidR="002F5A9A" w:rsidRPr="00960808">
        <w:t>Betty Ea</w:t>
      </w:r>
      <w:r>
        <w:t>sley Conference Center</w:t>
      </w:r>
    </w:p>
    <w:p w:rsidR="002F5A9A" w:rsidRPr="00344EF5" w:rsidRDefault="00A014EB" w:rsidP="002F5A9A">
      <w:pPr>
        <w:tabs>
          <w:tab w:val="left" w:pos="-1124"/>
          <w:tab w:val="left" w:pos="-720"/>
          <w:tab w:val="left" w:pos="0"/>
          <w:tab w:val="left" w:pos="720"/>
          <w:tab w:val="left" w:pos="1440"/>
          <w:tab w:val="left" w:pos="2880"/>
          <w:tab w:val="left" w:pos="4680"/>
          <w:tab w:val="left" w:pos="5472"/>
        </w:tabs>
        <w:ind w:firstLine="1440"/>
        <w:jc w:val="both"/>
      </w:pPr>
      <w:r>
        <w:t>4075 Esplanade Way</w:t>
      </w:r>
    </w:p>
    <w:p w:rsidR="002F5A9A" w:rsidRDefault="002F5A9A" w:rsidP="002F5A9A">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r w:rsidRPr="00344EF5">
          <w:t>Tallahassee</w:t>
        </w:r>
      </w:smartTag>
      <w:r w:rsidRPr="00344EF5">
        <w:t xml:space="preserve">, </w:t>
      </w:r>
      <w:smartTag w:uri="urn:schemas-microsoft-com:office:smarttags" w:element="address">
        <w:r w:rsidRPr="00344EF5">
          <w:t>FL</w:t>
        </w:r>
      </w:smartTag>
      <w:r w:rsidRPr="00344EF5">
        <w:t xml:space="preserve"> 32399-0850</w:t>
      </w:r>
    </w:p>
    <w:p w:rsidR="002F5A9A" w:rsidRDefault="002F5A9A" w:rsidP="002F5A9A">
      <w:pPr>
        <w:tabs>
          <w:tab w:val="left" w:pos="-1124"/>
          <w:tab w:val="left" w:pos="-720"/>
          <w:tab w:val="left" w:pos="0"/>
          <w:tab w:val="left" w:pos="720"/>
          <w:tab w:val="left" w:pos="1440"/>
          <w:tab w:val="left" w:pos="2880"/>
          <w:tab w:val="left" w:pos="4680"/>
          <w:tab w:val="left" w:pos="5472"/>
        </w:tabs>
        <w:jc w:val="both"/>
      </w:pPr>
    </w:p>
    <w:p w:rsidR="002F5A9A" w:rsidRPr="00C01B22" w:rsidRDefault="002F5A9A" w:rsidP="002F5A9A">
      <w:pPr>
        <w:jc w:val="both"/>
        <w:rPr>
          <w:u w:val="single"/>
        </w:rPr>
      </w:pPr>
      <w:r>
        <w:rPr>
          <w:u w:val="single"/>
        </w:rPr>
        <w:t>PURPOSE AND PROCEDURE</w:t>
      </w:r>
    </w:p>
    <w:p w:rsidR="002F5A9A" w:rsidRDefault="002F5A9A" w:rsidP="002F5A9A">
      <w:pPr>
        <w:jc w:val="both"/>
      </w:pPr>
    </w:p>
    <w:p w:rsidR="001A5BC2" w:rsidRDefault="002F5A9A" w:rsidP="009A2CF1">
      <w:pPr>
        <w:tabs>
          <w:tab w:val="left" w:pos="-1124"/>
          <w:tab w:val="left" w:pos="-720"/>
          <w:tab w:val="left" w:pos="0"/>
          <w:tab w:val="left" w:pos="720"/>
          <w:tab w:val="left" w:pos="1440"/>
          <w:tab w:val="left" w:pos="2880"/>
          <w:tab w:val="left" w:pos="4680"/>
          <w:tab w:val="left" w:pos="5472"/>
        </w:tabs>
        <w:jc w:val="both"/>
      </w:pPr>
      <w:r>
        <w:tab/>
      </w:r>
      <w:r w:rsidRPr="00E812AF">
        <w:t xml:space="preserve">Because of expected growth in Florida and the aging of </w:t>
      </w:r>
      <w:r w:rsidR="001A5BC2">
        <w:t xml:space="preserve">Florida’s </w:t>
      </w:r>
      <w:r w:rsidRPr="00E812AF">
        <w:t>water and wastewater infrastructure, the Commission has directed staff to review the Commission’s existing regulatory policies and practices</w:t>
      </w:r>
      <w:r w:rsidR="001A5BC2">
        <w:t>. The purpose of the workshop is to explore ways</w:t>
      </w:r>
      <w:r w:rsidRPr="00E812AF">
        <w:t xml:space="preserve"> to promote investment in </w:t>
      </w:r>
      <w:r w:rsidR="001A5BC2">
        <w:t xml:space="preserve">water and wastewater </w:t>
      </w:r>
      <w:r w:rsidRPr="00E812AF">
        <w:t xml:space="preserve">utility infrastructure and </w:t>
      </w:r>
      <w:r w:rsidR="009A2CF1">
        <w:t xml:space="preserve">to </w:t>
      </w:r>
      <w:r>
        <w:t xml:space="preserve">find </w:t>
      </w:r>
      <w:r w:rsidRPr="00E812AF">
        <w:t xml:space="preserve">greater </w:t>
      </w:r>
      <w:r w:rsidR="009A2CF1">
        <w:t xml:space="preserve">utility cost efficiencies </w:t>
      </w:r>
      <w:r>
        <w:t xml:space="preserve">in order </w:t>
      </w:r>
      <w:r w:rsidRPr="00E812AF">
        <w:t>to improve quality of service</w:t>
      </w:r>
      <w:r>
        <w:t xml:space="preserve"> </w:t>
      </w:r>
      <w:r w:rsidRPr="00E812AF">
        <w:t xml:space="preserve">and ensure reasonable rates </w:t>
      </w:r>
      <w:r>
        <w:t xml:space="preserve">and charges to customers. </w:t>
      </w:r>
    </w:p>
    <w:p w:rsidR="001A5BC2" w:rsidRDefault="001A5BC2" w:rsidP="009A2CF1">
      <w:pPr>
        <w:tabs>
          <w:tab w:val="left" w:pos="-1124"/>
          <w:tab w:val="left" w:pos="-720"/>
          <w:tab w:val="left" w:pos="0"/>
          <w:tab w:val="left" w:pos="720"/>
          <w:tab w:val="left" w:pos="1440"/>
          <w:tab w:val="left" w:pos="2880"/>
          <w:tab w:val="left" w:pos="4680"/>
          <w:tab w:val="left" w:pos="5472"/>
        </w:tabs>
        <w:jc w:val="both"/>
      </w:pPr>
    </w:p>
    <w:p w:rsidR="009A2CF1" w:rsidRPr="009A2CF1" w:rsidRDefault="001A5BC2" w:rsidP="009A2CF1">
      <w:pPr>
        <w:tabs>
          <w:tab w:val="left" w:pos="-1124"/>
          <w:tab w:val="left" w:pos="-720"/>
          <w:tab w:val="left" w:pos="0"/>
          <w:tab w:val="left" w:pos="720"/>
          <w:tab w:val="left" w:pos="1440"/>
          <w:tab w:val="left" w:pos="2880"/>
          <w:tab w:val="left" w:pos="4680"/>
          <w:tab w:val="left" w:pos="5472"/>
        </w:tabs>
        <w:jc w:val="both"/>
      </w:pPr>
      <w:r>
        <w:tab/>
      </w:r>
      <w:r w:rsidR="002F5A9A">
        <w:t>The following topics will be discussed at the workshop: acquisition adjustments; allowed return on equity; used and useful adjustments, system consolidation; and cost recovery mechanisms to facilitate recovery of urgently needed or environmental compliance improvements. Participants are encour</w:t>
      </w:r>
      <w:r w:rsidR="009A2CF1">
        <w:t xml:space="preserve">aged </w:t>
      </w:r>
      <w:r>
        <w:t xml:space="preserve">to present, for discussion, </w:t>
      </w:r>
      <w:r w:rsidR="002F5A9A">
        <w:t>proposals for new policies and practices.</w:t>
      </w:r>
      <w:r w:rsidR="009A2CF1">
        <w:t xml:space="preserve"> </w:t>
      </w:r>
      <w:r w:rsidR="009A2CF1" w:rsidRPr="009A2CF1">
        <w:t>One or more Commissioners may be in attendance and participate in the workshop.</w:t>
      </w:r>
    </w:p>
    <w:p w:rsidR="002F5A9A" w:rsidRDefault="002F5A9A" w:rsidP="002F5A9A">
      <w:pPr>
        <w:jc w:val="both"/>
      </w:pPr>
      <w:r>
        <w:lastRenderedPageBreak/>
        <w:tab/>
        <w:t xml:space="preserve">The agenda for the workshop is attached. </w:t>
      </w:r>
      <w:r w:rsidRPr="00E812AF">
        <w:t xml:space="preserve">Staff will use the input from the workshop to generate proposals </w:t>
      </w:r>
      <w:r>
        <w:t>to further evaluate the topics set forth in the agenda</w:t>
      </w:r>
      <w:r w:rsidRPr="00E812AF">
        <w:t>.</w:t>
      </w:r>
    </w:p>
    <w:p w:rsidR="002F5A9A" w:rsidRDefault="002F5A9A" w:rsidP="002F5A9A">
      <w:pPr>
        <w:jc w:val="both"/>
      </w:pPr>
    </w:p>
    <w:p w:rsidR="002F5A9A" w:rsidRDefault="002F5A9A" w:rsidP="002F5A9A">
      <w:pPr>
        <w:tabs>
          <w:tab w:val="left" w:pos="-1124"/>
          <w:tab w:val="left" w:pos="-720"/>
          <w:tab w:val="left" w:pos="0"/>
          <w:tab w:val="left" w:pos="720"/>
          <w:tab w:val="left" w:pos="1440"/>
          <w:tab w:val="left" w:pos="2880"/>
          <w:tab w:val="left" w:pos="4680"/>
          <w:tab w:val="left" w:pos="5472"/>
        </w:tabs>
        <w:jc w:val="both"/>
      </w:pPr>
      <w:r>
        <w:tab/>
      </w:r>
      <w:r w:rsidRPr="009A2CF1">
        <w:t>The person to be contacted regarding this workshop is</w:t>
      </w:r>
      <w:r w:rsidR="001A5BC2">
        <w:t>:</w:t>
      </w:r>
      <w:r w:rsidRPr="009A2CF1">
        <w:t xml:space="preserve"> Douglas Sunshine, Office of the General Counsel, 2540 Shumard Oak Boulevard, Tallahassee, Florida 32399-0850, (850) 413-6224, </w:t>
      </w:r>
      <w:hyperlink r:id="rId7" w:history="1">
        <w:r w:rsidRPr="009A2CF1">
          <w:rPr>
            <w:rStyle w:val="Hyperlink"/>
          </w:rPr>
          <w:t>douglas.sunshine@psc.state.fl.us</w:t>
        </w:r>
      </w:hyperlink>
      <w:r w:rsidRPr="009A2CF1">
        <w:t xml:space="preserve">. </w:t>
      </w:r>
      <w:r w:rsidR="00A014EB">
        <w:rPr>
          <w:b/>
        </w:rPr>
        <w:t xml:space="preserve">Persons </w:t>
      </w:r>
      <w:r w:rsidRPr="009A2CF1">
        <w:rPr>
          <w:b/>
        </w:rPr>
        <w:t>who wish to make a formal presentation at the workshop must contact Mr. Sunshine at the above email address no later than January 25, 2023.</w:t>
      </w:r>
      <w:r w:rsidR="009A2CF1" w:rsidRPr="009A2CF1">
        <w:t xml:space="preserve"> </w:t>
      </w:r>
    </w:p>
    <w:p w:rsidR="009A2CF1" w:rsidRPr="009A2CF1" w:rsidRDefault="009A2CF1" w:rsidP="002F5A9A">
      <w:pPr>
        <w:tabs>
          <w:tab w:val="left" w:pos="-1124"/>
          <w:tab w:val="left" w:pos="-720"/>
          <w:tab w:val="left" w:pos="0"/>
          <w:tab w:val="left" w:pos="720"/>
          <w:tab w:val="left" w:pos="1440"/>
          <w:tab w:val="left" w:pos="2880"/>
          <w:tab w:val="left" w:pos="4680"/>
          <w:tab w:val="left" w:pos="5472"/>
        </w:tabs>
        <w:jc w:val="both"/>
      </w:pPr>
    </w:p>
    <w:p w:rsidR="002F5A9A" w:rsidRDefault="002F5A9A" w:rsidP="002F5A9A">
      <w:pPr>
        <w:ind w:firstLine="720"/>
        <w:jc w:val="both"/>
      </w:pPr>
      <w: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w:t>
      </w:r>
      <w:r w:rsidRPr="00465C0F">
        <w:t xml:space="preserve"> </w:t>
      </w:r>
      <w:r>
        <w:t>or 850-413-6770 (Florida Relay Service, 1-800-955-8770</w:t>
      </w:r>
      <w:r w:rsidR="001A5BC2">
        <w:t xml:space="preserve"> Voice or 1-800-955-8771 TDD). </w:t>
      </w:r>
      <w:r>
        <w:t>Assisted Listening Devices are available upon request from the Office of Commission Clerk, Gerald L. Gunter Building, Room 152.</w:t>
      </w:r>
    </w:p>
    <w:p w:rsidR="002F5A9A" w:rsidRDefault="002F5A9A" w:rsidP="002F5A9A">
      <w:pPr>
        <w:ind w:firstLine="720"/>
        <w:jc w:val="both"/>
      </w:pPr>
    </w:p>
    <w:p w:rsidR="002F5A9A" w:rsidRPr="00375E0B" w:rsidRDefault="002F5A9A" w:rsidP="002F5A9A">
      <w:pPr>
        <w:jc w:val="both"/>
        <w:rPr>
          <w:u w:val="single"/>
        </w:rPr>
      </w:pPr>
      <w:r>
        <w:rPr>
          <w:u w:val="single"/>
        </w:rPr>
        <w:t>EMERGENCY CANCELLATION OF THE WORKSHOP</w:t>
      </w:r>
    </w:p>
    <w:p w:rsidR="002F5A9A" w:rsidRDefault="002F5A9A" w:rsidP="002F5A9A">
      <w:pPr>
        <w:ind w:firstLine="720"/>
      </w:pPr>
    </w:p>
    <w:p w:rsidR="002F5A9A" w:rsidRDefault="002F5A9A" w:rsidP="002F5A9A">
      <w:pPr>
        <w:pStyle w:val="ListParagraph"/>
        <w:ind w:left="0" w:firstLine="720"/>
        <w:jc w:val="both"/>
      </w:pPr>
      <w:r>
        <w:t>If a named storm or other disaster requires cancellation of the workshop, notice of cancellation will be provided on the Commission’s website (</w:t>
      </w:r>
      <w:hyperlink r:id="rId8" w:history="1">
        <w:r w:rsidRPr="00BB62F5">
          <w:rPr>
            <w:rStyle w:val="Hyperlink"/>
          </w:rPr>
          <w:t>http://www.psc.state.fl.us</w:t>
        </w:r>
      </w:hyperlink>
      <w:r>
        <w:t>) under the Hot Topics link found on the home page. Cancellation can also be confirmed by calling the Office of the General Counsel at (850) 413-6199.</w:t>
      </w:r>
    </w:p>
    <w:p w:rsidR="00A2657C" w:rsidRDefault="006B03A1" w:rsidP="008015AF">
      <w:pPr>
        <w:pStyle w:val="NoticeBody"/>
        <w:keepNext/>
      </w:pPr>
      <w:r>
        <w:tab/>
        <w:t xml:space="preserve">By DIRECTION of the Florida Public Service Commission this </w:t>
      </w:r>
      <w:bookmarkStart w:id="2" w:name="replaceDate"/>
      <w:bookmarkEnd w:id="2"/>
      <w:r w:rsidR="008015AF">
        <w:rPr>
          <w:u w:val="single"/>
        </w:rPr>
        <w:t>21st</w:t>
      </w:r>
      <w:r w:rsidR="008015AF">
        <w:t xml:space="preserve"> day of </w:t>
      </w:r>
      <w:r w:rsidR="008015AF">
        <w:rPr>
          <w:u w:val="single"/>
        </w:rPr>
        <w:t>December</w:t>
      </w:r>
      <w:r w:rsidR="008015AF">
        <w:t xml:space="preserve">, </w:t>
      </w:r>
      <w:r w:rsidR="008015AF">
        <w:rPr>
          <w:u w:val="single"/>
        </w:rPr>
        <w:t>2022</w:t>
      </w:r>
      <w:r w:rsidR="008015AF">
        <w:t>.</w:t>
      </w:r>
      <w:r>
        <w:t xml:space="preserve"> </w:t>
      </w:r>
      <w:bookmarkStart w:id="3" w:name="_GoBack"/>
      <w:bookmarkEnd w:id="3"/>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015AF"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A2657C" w:rsidRDefault="00A2657C">
      <w:pPr>
        <w:keepNext/>
      </w:pPr>
      <w:bookmarkStart w:id="5" w:name="attyInit"/>
    </w:p>
    <w:bookmarkEnd w:id="5"/>
    <w:p w:rsidR="006B03A1" w:rsidRDefault="00A014EB">
      <w:pPr>
        <w:keepNext/>
      </w:pPr>
      <w:r>
        <w:t>DDS</w:t>
      </w:r>
      <w:r w:rsidR="006B03A1">
        <w:t xml:space="preserve">  </w:t>
      </w:r>
    </w:p>
    <w:p w:rsidR="002F5A9A" w:rsidRDefault="002F5A9A">
      <w:pPr>
        <w:keepNext/>
      </w:pPr>
      <w:r>
        <w:br w:type="page"/>
      </w:r>
    </w:p>
    <w:p w:rsidR="002F5A9A" w:rsidRDefault="002F5A9A" w:rsidP="002F5A9A">
      <w:pPr>
        <w:jc w:val="center"/>
        <w:rPr>
          <w:b/>
          <w:u w:val="single"/>
        </w:rPr>
      </w:pPr>
      <w:r w:rsidRPr="00E812AF">
        <w:rPr>
          <w:b/>
          <w:u w:val="single"/>
        </w:rPr>
        <w:t>AGENDA</w:t>
      </w:r>
    </w:p>
    <w:p w:rsidR="002F5A9A" w:rsidRDefault="002F5A9A" w:rsidP="002F5A9A">
      <w:pPr>
        <w:jc w:val="center"/>
        <w:rPr>
          <w:b/>
          <w:u w:val="single"/>
        </w:rPr>
      </w:pPr>
    </w:p>
    <w:p w:rsidR="002F5A9A" w:rsidRDefault="002F5A9A" w:rsidP="000178BD">
      <w:pPr>
        <w:jc w:val="center"/>
        <w:rPr>
          <w:b/>
          <w:u w:val="single"/>
        </w:rPr>
      </w:pPr>
    </w:p>
    <w:p w:rsidR="002F5A9A" w:rsidRPr="002C5F30" w:rsidRDefault="002F5A9A" w:rsidP="002F5A9A">
      <w:pPr>
        <w:widowControl w:val="0"/>
        <w:numPr>
          <w:ilvl w:val="0"/>
          <w:numId w:val="12"/>
        </w:numPr>
        <w:autoSpaceDE w:val="0"/>
        <w:autoSpaceDN w:val="0"/>
        <w:adjustRightInd w:val="0"/>
        <w:ind w:left="720"/>
        <w:jc w:val="both"/>
        <w:rPr>
          <w:b/>
        </w:rPr>
      </w:pPr>
      <w:r w:rsidRPr="002C5F30">
        <w:rPr>
          <w:b/>
        </w:rPr>
        <w:t>Introductions</w:t>
      </w:r>
    </w:p>
    <w:p w:rsidR="002F5A9A" w:rsidRDefault="002F5A9A" w:rsidP="002F5A9A">
      <w:pPr>
        <w:jc w:val="both"/>
      </w:pPr>
    </w:p>
    <w:p w:rsidR="002F5A9A" w:rsidRDefault="002F5A9A" w:rsidP="002F5A9A">
      <w:pPr>
        <w:jc w:val="both"/>
      </w:pPr>
      <w:r>
        <w:tab/>
        <w:t>A.</w:t>
      </w:r>
      <w:r>
        <w:tab/>
        <w:t xml:space="preserve">Staff introductions. </w:t>
      </w:r>
    </w:p>
    <w:p w:rsidR="002F5A9A" w:rsidRDefault="002F5A9A" w:rsidP="002F5A9A">
      <w:pPr>
        <w:jc w:val="both"/>
      </w:pPr>
    </w:p>
    <w:p w:rsidR="002F5A9A" w:rsidRDefault="002F5A9A" w:rsidP="002F5A9A">
      <w:pPr>
        <w:jc w:val="both"/>
      </w:pPr>
      <w:r>
        <w:tab/>
        <w:t>B.</w:t>
      </w:r>
      <w:r>
        <w:tab/>
        <w:t>Participant introductions.</w:t>
      </w:r>
    </w:p>
    <w:p w:rsidR="002F5A9A" w:rsidRPr="00E812AF" w:rsidRDefault="002F5A9A" w:rsidP="002F5A9A">
      <w:pPr>
        <w:jc w:val="both"/>
      </w:pPr>
    </w:p>
    <w:p w:rsidR="002F5A9A" w:rsidRDefault="002F5A9A" w:rsidP="002F5A9A">
      <w:pPr>
        <w:pStyle w:val="ListParagraph"/>
        <w:numPr>
          <w:ilvl w:val="0"/>
          <w:numId w:val="12"/>
        </w:numPr>
        <w:ind w:left="720"/>
        <w:jc w:val="both"/>
        <w:rPr>
          <w:b/>
        </w:rPr>
      </w:pPr>
      <w:r w:rsidRPr="0031175E">
        <w:rPr>
          <w:b/>
        </w:rPr>
        <w:t xml:space="preserve">Acquisition Adjustments </w:t>
      </w:r>
      <w:r>
        <w:rPr>
          <w:b/>
        </w:rPr>
        <w:t>(</w:t>
      </w:r>
      <w:r w:rsidRPr="0031175E">
        <w:rPr>
          <w:b/>
        </w:rPr>
        <w:t>Rule 25-30.0371, F</w:t>
      </w:r>
      <w:r>
        <w:rPr>
          <w:b/>
        </w:rPr>
        <w:t>lorida Administrative Code)</w:t>
      </w:r>
    </w:p>
    <w:p w:rsidR="002F5A9A" w:rsidRPr="002F5A9A" w:rsidRDefault="002F5A9A" w:rsidP="002F5A9A">
      <w:pPr>
        <w:pStyle w:val="ListParagraph"/>
        <w:ind w:left="0"/>
        <w:jc w:val="both"/>
      </w:pPr>
    </w:p>
    <w:p w:rsidR="002F5A9A" w:rsidRDefault="002F5A9A" w:rsidP="002F5A9A">
      <w:pPr>
        <w:pStyle w:val="ListParagraph"/>
        <w:spacing w:line="240" w:lineRule="auto"/>
        <w:ind w:left="1440" w:hanging="720"/>
        <w:jc w:val="both"/>
      </w:pPr>
      <w:r>
        <w:t>A.</w:t>
      </w:r>
      <w:r>
        <w:tab/>
      </w:r>
      <w:r w:rsidRPr="00E812AF">
        <w:t>Should criteria other than extraordinary circumstances be considered for allowing positive acquisition adjustments? If so, wha</w:t>
      </w:r>
      <w:r>
        <w:t xml:space="preserve">t criteria should be considered; how can the Commission ensure </w:t>
      </w:r>
      <w:r w:rsidRPr="00E812AF">
        <w:t xml:space="preserve">customers benefit </w:t>
      </w:r>
      <w:r>
        <w:t>from</w:t>
      </w:r>
      <w:r w:rsidRPr="00E812AF">
        <w:t xml:space="preserve"> a positive acquisition adjustment i</w:t>
      </w:r>
      <w:r>
        <w:t>f allowed;</w:t>
      </w:r>
      <w:r w:rsidRPr="00E812AF">
        <w:t xml:space="preserve"> and how are customers protected from utilities “swapping assets”? </w:t>
      </w:r>
    </w:p>
    <w:p w:rsidR="002F5A9A" w:rsidRDefault="002F5A9A" w:rsidP="002F5A9A">
      <w:pPr>
        <w:pStyle w:val="ListParagraph"/>
        <w:spacing w:line="240" w:lineRule="auto"/>
        <w:ind w:left="1440" w:hanging="720"/>
        <w:jc w:val="both"/>
      </w:pPr>
    </w:p>
    <w:p w:rsidR="002F5A9A" w:rsidRDefault="002F5A9A" w:rsidP="002F5A9A">
      <w:pPr>
        <w:pStyle w:val="ListParagraph"/>
        <w:spacing w:line="240" w:lineRule="auto"/>
        <w:ind w:left="1440" w:hanging="720"/>
        <w:jc w:val="both"/>
      </w:pPr>
      <w:r>
        <w:t>B.</w:t>
      </w:r>
      <w:r>
        <w:tab/>
      </w:r>
      <w:r w:rsidRPr="00E812AF">
        <w:t>Should acquisition adjustments be addressed only at the time of transfer</w:t>
      </w:r>
      <w:r>
        <w:t xml:space="preserve">, at the utility’s next rate case, or at a limited time after </w:t>
      </w:r>
      <w:r w:rsidR="001E593F">
        <w:t xml:space="preserve">the </w:t>
      </w:r>
      <w:r>
        <w:t>transfer of assets?</w:t>
      </w:r>
      <w:r w:rsidRPr="00E812AF">
        <w:t xml:space="preserve"> </w:t>
      </w:r>
      <w:r>
        <w:t>W</w:t>
      </w:r>
      <w:r w:rsidRPr="00E812AF">
        <w:t xml:space="preserve">hat </w:t>
      </w:r>
      <w:r>
        <w:t xml:space="preserve">are the appropriate </w:t>
      </w:r>
      <w:r w:rsidRPr="00E812AF">
        <w:t>criteria</w:t>
      </w:r>
      <w:r>
        <w:t xml:space="preserve"> </w:t>
      </w:r>
      <w:r w:rsidRPr="00E812AF">
        <w:t xml:space="preserve">and timing </w:t>
      </w:r>
      <w:r>
        <w:t xml:space="preserve">for addressing acquisition adjustments </w:t>
      </w:r>
      <w:r w:rsidRPr="00E812AF">
        <w:t>after the time of transfer</w:t>
      </w:r>
      <w:r>
        <w:t>? What conditions, if any, should be placed upon the approval of an acquisition adjustment that would be subject to revie</w:t>
      </w:r>
      <w:r w:rsidR="00A014EB">
        <w:t>w in a future rate proceeding</w:t>
      </w:r>
      <w:r>
        <w:t>?</w:t>
      </w:r>
    </w:p>
    <w:p w:rsidR="002F5A9A" w:rsidRDefault="002F5A9A" w:rsidP="002F5A9A">
      <w:pPr>
        <w:pStyle w:val="ListParagraph"/>
        <w:spacing w:line="240" w:lineRule="auto"/>
        <w:ind w:left="1440" w:hanging="720"/>
        <w:jc w:val="both"/>
      </w:pPr>
    </w:p>
    <w:p w:rsidR="002F5A9A" w:rsidRDefault="002F5A9A" w:rsidP="002F5A9A">
      <w:pPr>
        <w:pStyle w:val="ListParagraph"/>
        <w:spacing w:line="240" w:lineRule="auto"/>
        <w:ind w:left="1440" w:hanging="720"/>
        <w:jc w:val="both"/>
      </w:pPr>
      <w:r>
        <w:t>C.</w:t>
      </w:r>
      <w:r>
        <w:tab/>
        <w:t>S</w:t>
      </w:r>
      <w:r w:rsidRPr="00E812AF">
        <w:t>hould the</w:t>
      </w:r>
      <w:r>
        <w:t xml:space="preserve"> Commission’s</w:t>
      </w:r>
      <w:r w:rsidRPr="00E812AF">
        <w:t xml:space="preserve"> existing policy regarding negative acquisition adjustments be modified or eliminated?</w:t>
      </w:r>
    </w:p>
    <w:p w:rsidR="002F5A9A" w:rsidRDefault="002F5A9A" w:rsidP="002F5A9A">
      <w:pPr>
        <w:pStyle w:val="ListParagraph"/>
        <w:ind w:left="0"/>
        <w:jc w:val="both"/>
      </w:pPr>
    </w:p>
    <w:p w:rsidR="002F5A9A" w:rsidRPr="0031175E" w:rsidRDefault="002F5A9A" w:rsidP="002F5A9A">
      <w:pPr>
        <w:pStyle w:val="ListParagraph"/>
        <w:ind w:hanging="720"/>
        <w:jc w:val="both"/>
        <w:rPr>
          <w:b/>
        </w:rPr>
      </w:pPr>
      <w:r w:rsidRPr="0031175E">
        <w:rPr>
          <w:b/>
        </w:rPr>
        <w:t>III.</w:t>
      </w:r>
      <w:r w:rsidRPr="0031175E">
        <w:rPr>
          <w:b/>
        </w:rPr>
        <w:tab/>
        <w:t>Allowed Return on Equity</w:t>
      </w:r>
      <w:r w:rsidR="00A014EB">
        <w:rPr>
          <w:b/>
        </w:rPr>
        <w:t xml:space="preserve"> (ROE)</w:t>
      </w:r>
    </w:p>
    <w:p w:rsidR="002F5A9A" w:rsidRDefault="002F5A9A" w:rsidP="002F5A9A">
      <w:pPr>
        <w:pStyle w:val="ListParagraph"/>
        <w:spacing w:after="0" w:line="240" w:lineRule="auto"/>
        <w:ind w:left="0"/>
        <w:jc w:val="both"/>
      </w:pPr>
    </w:p>
    <w:p w:rsidR="002F5A9A" w:rsidRDefault="002F5A9A" w:rsidP="002F5A9A">
      <w:pPr>
        <w:pStyle w:val="ListParagraph"/>
        <w:spacing w:after="0" w:line="240" w:lineRule="auto"/>
        <w:ind w:left="1440" w:hanging="720"/>
        <w:jc w:val="both"/>
      </w:pPr>
      <w:r>
        <w:t>A.</w:t>
      </w:r>
      <w:r>
        <w:tab/>
      </w:r>
      <w:r w:rsidRPr="00E812AF">
        <w:t xml:space="preserve">Should the Commission consider a time-limited ROE adder for infrastructure </w:t>
      </w:r>
      <w:r>
        <w:t xml:space="preserve">     </w:t>
      </w:r>
      <w:r w:rsidRPr="00E812AF">
        <w:t>replacement investm</w:t>
      </w:r>
      <w:r>
        <w:t>ents?</w:t>
      </w:r>
    </w:p>
    <w:p w:rsidR="002F5A9A" w:rsidRDefault="002F5A9A" w:rsidP="002F5A9A">
      <w:pPr>
        <w:pStyle w:val="ListParagraph"/>
        <w:spacing w:after="0" w:line="240" w:lineRule="auto"/>
        <w:ind w:left="1440" w:hanging="720"/>
        <w:jc w:val="both"/>
      </w:pPr>
    </w:p>
    <w:p w:rsidR="002F5A9A" w:rsidRDefault="002F5A9A" w:rsidP="002F5A9A">
      <w:pPr>
        <w:pStyle w:val="ListParagraph"/>
        <w:spacing w:after="0" w:line="240" w:lineRule="auto"/>
        <w:ind w:left="1440" w:hanging="720"/>
        <w:jc w:val="both"/>
      </w:pPr>
      <w:r>
        <w:t>B.</w:t>
      </w:r>
      <w:r>
        <w:tab/>
        <w:t xml:space="preserve">Should the Commission consider an </w:t>
      </w:r>
      <w:r w:rsidR="009A2CF1">
        <w:t xml:space="preserve">increase to the midpoint or an </w:t>
      </w:r>
      <w:r>
        <w:t>expansion of the traditional ROE range?</w:t>
      </w:r>
    </w:p>
    <w:p w:rsidR="002F5A9A" w:rsidRDefault="002F5A9A" w:rsidP="002F5A9A">
      <w:pPr>
        <w:pStyle w:val="ListParagraph"/>
        <w:spacing w:after="0" w:line="240" w:lineRule="auto"/>
        <w:ind w:left="0"/>
        <w:jc w:val="both"/>
      </w:pPr>
    </w:p>
    <w:p w:rsidR="009A2CF1" w:rsidRDefault="009A2CF1">
      <w:pPr>
        <w:rPr>
          <w:rFonts w:eastAsia="Calibri"/>
          <w:b/>
          <w:szCs w:val="22"/>
        </w:rPr>
      </w:pPr>
      <w:r>
        <w:rPr>
          <w:b/>
        </w:rPr>
        <w:br w:type="page"/>
      </w:r>
    </w:p>
    <w:p w:rsidR="002F5A9A" w:rsidRPr="0031175E" w:rsidRDefault="002F5A9A" w:rsidP="002F5A9A">
      <w:pPr>
        <w:pStyle w:val="ListParagraph"/>
        <w:ind w:left="630" w:hanging="630"/>
        <w:jc w:val="both"/>
        <w:rPr>
          <w:b/>
        </w:rPr>
      </w:pPr>
      <w:r>
        <w:rPr>
          <w:b/>
        </w:rPr>
        <w:t>IV.</w:t>
      </w:r>
      <w:r>
        <w:rPr>
          <w:b/>
        </w:rPr>
        <w:tab/>
      </w:r>
      <w:r w:rsidR="00A014EB">
        <w:rPr>
          <w:b/>
        </w:rPr>
        <w:t>Used and Useful Adjustments</w:t>
      </w:r>
      <w:r>
        <w:rPr>
          <w:b/>
        </w:rPr>
        <w:t xml:space="preserve"> (</w:t>
      </w:r>
      <w:r w:rsidRPr="0031175E">
        <w:rPr>
          <w:b/>
        </w:rPr>
        <w:t>Rules 25-30.431, 25-30.432, and 25-30.4325, F</w:t>
      </w:r>
      <w:r>
        <w:rPr>
          <w:b/>
        </w:rPr>
        <w:t>lorida Administrative Code)</w:t>
      </w:r>
    </w:p>
    <w:p w:rsidR="002F5A9A" w:rsidRDefault="002F5A9A" w:rsidP="002F5A9A">
      <w:pPr>
        <w:pStyle w:val="ListParagraph"/>
        <w:ind w:left="0"/>
        <w:jc w:val="both"/>
      </w:pPr>
    </w:p>
    <w:p w:rsidR="002F5A9A" w:rsidRDefault="002F5A9A" w:rsidP="002F5A9A">
      <w:pPr>
        <w:pStyle w:val="ListParagraph"/>
        <w:spacing w:after="0" w:line="240" w:lineRule="auto"/>
        <w:ind w:left="0"/>
        <w:jc w:val="both"/>
      </w:pPr>
      <w:r>
        <w:t xml:space="preserve">Should the Commission consider </w:t>
      </w:r>
      <w:r w:rsidR="001E593F">
        <w:t>modifications to its Used and Useful R</w:t>
      </w:r>
      <w:r>
        <w:t>ules to provide incentives that encourage new investment and replacement of aging infrastructure?</w:t>
      </w:r>
    </w:p>
    <w:p w:rsidR="002F5A9A" w:rsidRDefault="002F5A9A" w:rsidP="002F5A9A">
      <w:pPr>
        <w:pStyle w:val="ListParagraph"/>
        <w:ind w:left="0"/>
        <w:jc w:val="both"/>
      </w:pPr>
    </w:p>
    <w:p w:rsidR="002F5A9A" w:rsidRDefault="002F5A9A" w:rsidP="002F5A9A">
      <w:pPr>
        <w:pStyle w:val="ListParagraph"/>
        <w:tabs>
          <w:tab w:val="left" w:pos="720"/>
        </w:tabs>
        <w:ind w:left="0"/>
        <w:jc w:val="both"/>
        <w:rPr>
          <w:b/>
        </w:rPr>
      </w:pPr>
      <w:r w:rsidRPr="0031175E">
        <w:rPr>
          <w:b/>
        </w:rPr>
        <w:t>V.</w:t>
      </w:r>
      <w:r>
        <w:rPr>
          <w:b/>
        </w:rPr>
        <w:tab/>
      </w:r>
      <w:r w:rsidRPr="0031175E">
        <w:rPr>
          <w:b/>
        </w:rPr>
        <w:t>System Consolidation</w:t>
      </w:r>
    </w:p>
    <w:p w:rsidR="002F5A9A" w:rsidRPr="002C5F30" w:rsidRDefault="002F5A9A" w:rsidP="002F5A9A">
      <w:pPr>
        <w:pStyle w:val="ListParagraph"/>
        <w:tabs>
          <w:tab w:val="left" w:pos="540"/>
        </w:tabs>
        <w:ind w:left="0"/>
        <w:jc w:val="both"/>
        <w:rPr>
          <w:b/>
        </w:rPr>
      </w:pPr>
    </w:p>
    <w:p w:rsidR="002F5A9A" w:rsidRDefault="002F5A9A" w:rsidP="002F5A9A">
      <w:pPr>
        <w:pStyle w:val="ListParagraph"/>
        <w:tabs>
          <w:tab w:val="left" w:pos="720"/>
        </w:tabs>
        <w:spacing w:after="0" w:line="240" w:lineRule="auto"/>
        <w:ind w:left="1440" w:hanging="720"/>
        <w:jc w:val="both"/>
      </w:pPr>
      <w:r>
        <w:t>A.</w:t>
      </w:r>
      <w:r>
        <w:tab/>
        <w:t xml:space="preserve">How can economies of scale be maximized? </w:t>
      </w:r>
    </w:p>
    <w:p w:rsidR="002F5A9A" w:rsidRDefault="002F5A9A" w:rsidP="002F5A9A">
      <w:pPr>
        <w:pStyle w:val="ListParagraph"/>
        <w:tabs>
          <w:tab w:val="left" w:pos="720"/>
        </w:tabs>
        <w:spacing w:after="0" w:line="240" w:lineRule="auto"/>
        <w:ind w:left="1440" w:hanging="720"/>
        <w:jc w:val="both"/>
      </w:pPr>
    </w:p>
    <w:p w:rsidR="002F5A9A" w:rsidRDefault="002F5A9A" w:rsidP="002F5A9A">
      <w:pPr>
        <w:pStyle w:val="ListParagraph"/>
        <w:tabs>
          <w:tab w:val="left" w:pos="720"/>
        </w:tabs>
        <w:spacing w:after="0" w:line="240" w:lineRule="auto"/>
        <w:ind w:left="1440" w:hanging="720"/>
        <w:jc w:val="both"/>
      </w:pPr>
      <w:r>
        <w:t>B.</w:t>
      </w:r>
      <w:r>
        <w:tab/>
        <w:t xml:space="preserve">How can rate impacts be minimized? </w:t>
      </w:r>
    </w:p>
    <w:p w:rsidR="002F5A9A" w:rsidRDefault="002F5A9A" w:rsidP="002F5A9A">
      <w:pPr>
        <w:pStyle w:val="ListParagraph"/>
        <w:tabs>
          <w:tab w:val="left" w:pos="720"/>
        </w:tabs>
        <w:spacing w:after="0" w:line="240" w:lineRule="auto"/>
        <w:ind w:left="1440" w:hanging="720"/>
        <w:jc w:val="both"/>
      </w:pPr>
    </w:p>
    <w:p w:rsidR="002F5A9A" w:rsidRDefault="002F5A9A" w:rsidP="002F5A9A">
      <w:pPr>
        <w:pStyle w:val="ListParagraph"/>
        <w:tabs>
          <w:tab w:val="left" w:pos="720"/>
        </w:tabs>
        <w:spacing w:after="0" w:line="240" w:lineRule="auto"/>
        <w:ind w:left="1440" w:hanging="720"/>
        <w:jc w:val="both"/>
      </w:pPr>
      <w:r>
        <w:t>C.</w:t>
      </w:r>
      <w:r>
        <w:tab/>
        <w:t>How can the Commission improve regulatory efficiency?</w:t>
      </w:r>
    </w:p>
    <w:p w:rsidR="002F5A9A" w:rsidRDefault="002F5A9A" w:rsidP="002F5A9A">
      <w:pPr>
        <w:pStyle w:val="ListParagraph"/>
        <w:tabs>
          <w:tab w:val="left" w:pos="720"/>
        </w:tabs>
        <w:spacing w:after="0" w:line="240" w:lineRule="auto"/>
        <w:ind w:left="1440" w:hanging="720"/>
        <w:jc w:val="both"/>
      </w:pPr>
    </w:p>
    <w:p w:rsidR="002F5A9A" w:rsidRDefault="002F5A9A" w:rsidP="002F5A9A">
      <w:pPr>
        <w:pStyle w:val="ListParagraph"/>
        <w:tabs>
          <w:tab w:val="left" w:pos="720"/>
        </w:tabs>
        <w:spacing w:after="0" w:line="240" w:lineRule="auto"/>
        <w:ind w:left="1440" w:hanging="720"/>
        <w:jc w:val="both"/>
      </w:pPr>
      <w:r>
        <w:t>D.</w:t>
      </w:r>
      <w:r>
        <w:tab/>
        <w:t>What regulatory processes are obstacles to consolidation of systems?</w:t>
      </w:r>
    </w:p>
    <w:p w:rsidR="002F5A9A" w:rsidRDefault="002F5A9A" w:rsidP="002F5A9A">
      <w:pPr>
        <w:pStyle w:val="ListParagraph"/>
      </w:pPr>
    </w:p>
    <w:p w:rsidR="002F5A9A" w:rsidRPr="0031175E" w:rsidRDefault="002F5A9A" w:rsidP="002F5A9A">
      <w:pPr>
        <w:pStyle w:val="ListParagraph"/>
        <w:ind w:left="0"/>
        <w:jc w:val="both"/>
        <w:rPr>
          <w:b/>
        </w:rPr>
      </w:pPr>
      <w:r w:rsidRPr="0031175E">
        <w:rPr>
          <w:b/>
        </w:rPr>
        <w:t>VI.</w:t>
      </w:r>
      <w:r>
        <w:rPr>
          <w:b/>
        </w:rPr>
        <w:tab/>
      </w:r>
      <w:r w:rsidRPr="0031175E">
        <w:rPr>
          <w:b/>
        </w:rPr>
        <w:t>Cost Recovery Mechanism</w:t>
      </w:r>
      <w:r w:rsidR="00A014EB">
        <w:rPr>
          <w:b/>
        </w:rPr>
        <w:t>s</w:t>
      </w:r>
    </w:p>
    <w:p w:rsidR="002F5A9A" w:rsidRDefault="002F5A9A" w:rsidP="002F5A9A">
      <w:pPr>
        <w:pStyle w:val="ListParagraph"/>
        <w:ind w:left="0"/>
        <w:jc w:val="both"/>
      </w:pPr>
    </w:p>
    <w:p w:rsidR="002F5A9A" w:rsidRDefault="002F5A9A" w:rsidP="002F5A9A">
      <w:pPr>
        <w:pStyle w:val="ListParagraph"/>
        <w:spacing w:line="240" w:lineRule="auto"/>
        <w:ind w:left="0"/>
        <w:jc w:val="both"/>
      </w:pPr>
      <w:r>
        <w:t xml:space="preserve">Should the Commission develop an annual cost recovery mechanism that would facilitate the accelerated replacement of identified water distribution and wastewater collection/transmission pipe and infrastructure that has reached the end of its useful life or has </w:t>
      </w:r>
      <w:r w:rsidR="009A2CF1">
        <w:t>a high consequence of failure? If so, h</w:t>
      </w:r>
      <w:r>
        <w:t>ow would such a mechanism be structured?</w:t>
      </w:r>
    </w:p>
    <w:p w:rsidR="002F5A9A" w:rsidRDefault="002F5A9A" w:rsidP="002F5A9A">
      <w:pPr>
        <w:pStyle w:val="ListParagraph"/>
        <w:spacing w:line="240" w:lineRule="auto"/>
        <w:ind w:left="0"/>
        <w:jc w:val="both"/>
      </w:pPr>
    </w:p>
    <w:p w:rsidR="002F5A9A" w:rsidRPr="0031175E" w:rsidRDefault="002F5A9A" w:rsidP="002F5A9A">
      <w:pPr>
        <w:pStyle w:val="ListParagraph"/>
        <w:ind w:left="0"/>
        <w:jc w:val="both"/>
        <w:rPr>
          <w:b/>
        </w:rPr>
      </w:pPr>
      <w:r w:rsidRPr="0031175E">
        <w:rPr>
          <w:b/>
        </w:rPr>
        <w:t>VII.</w:t>
      </w:r>
      <w:r>
        <w:rPr>
          <w:b/>
        </w:rPr>
        <w:tab/>
      </w:r>
      <w:r w:rsidR="009A2CF1">
        <w:rPr>
          <w:b/>
        </w:rPr>
        <w:t xml:space="preserve">Utility </w:t>
      </w:r>
      <w:r>
        <w:rPr>
          <w:b/>
        </w:rPr>
        <w:t>Reserve Fund (</w:t>
      </w:r>
      <w:r w:rsidRPr="0031175E">
        <w:rPr>
          <w:b/>
        </w:rPr>
        <w:t>Rule 25-30.444, F</w:t>
      </w:r>
      <w:r>
        <w:rPr>
          <w:b/>
        </w:rPr>
        <w:t>lorida Administrative Code)</w:t>
      </w:r>
    </w:p>
    <w:p w:rsidR="002F5A9A" w:rsidRDefault="002F5A9A" w:rsidP="002F5A9A">
      <w:pPr>
        <w:pStyle w:val="ListParagraph"/>
        <w:spacing w:after="0" w:line="240" w:lineRule="auto"/>
        <w:ind w:left="0"/>
        <w:jc w:val="both"/>
      </w:pPr>
    </w:p>
    <w:p w:rsidR="002F5A9A" w:rsidRDefault="002F5A9A" w:rsidP="002F5A9A">
      <w:pPr>
        <w:pStyle w:val="ListParagraph"/>
        <w:spacing w:after="0" w:line="240" w:lineRule="auto"/>
        <w:ind w:left="0"/>
        <w:jc w:val="both"/>
      </w:pPr>
      <w:r>
        <w:t xml:space="preserve">Should the Commission consider modifications to increase use of the </w:t>
      </w:r>
      <w:r w:rsidR="00053F0D">
        <w:t xml:space="preserve">Utility </w:t>
      </w:r>
      <w:r>
        <w:t>Reserve Fund Rule?</w:t>
      </w:r>
    </w:p>
    <w:p w:rsidR="002F5A9A" w:rsidRDefault="002F5A9A" w:rsidP="002F5A9A">
      <w:pPr>
        <w:pStyle w:val="ListParagraph"/>
        <w:ind w:left="0"/>
        <w:jc w:val="both"/>
      </w:pPr>
    </w:p>
    <w:p w:rsidR="001E593F" w:rsidRDefault="002F5A9A" w:rsidP="002F5A9A">
      <w:pPr>
        <w:pStyle w:val="ListParagraph"/>
        <w:ind w:hanging="720"/>
        <w:jc w:val="both"/>
        <w:rPr>
          <w:b/>
        </w:rPr>
      </w:pPr>
      <w:r w:rsidRPr="0031175E">
        <w:rPr>
          <w:b/>
        </w:rPr>
        <w:t>VII</w:t>
      </w:r>
      <w:r>
        <w:rPr>
          <w:b/>
        </w:rPr>
        <w:t>I</w:t>
      </w:r>
      <w:r w:rsidRPr="0031175E">
        <w:rPr>
          <w:b/>
        </w:rPr>
        <w:t>.</w:t>
      </w:r>
      <w:r>
        <w:rPr>
          <w:b/>
        </w:rPr>
        <w:tab/>
      </w:r>
      <w:r w:rsidR="001E593F">
        <w:rPr>
          <w:b/>
        </w:rPr>
        <w:t>Other Topics For Discussion</w:t>
      </w:r>
    </w:p>
    <w:p w:rsidR="001E593F" w:rsidRDefault="001E593F" w:rsidP="002F5A9A">
      <w:pPr>
        <w:pStyle w:val="ListParagraph"/>
        <w:ind w:hanging="720"/>
        <w:jc w:val="both"/>
        <w:rPr>
          <w:b/>
        </w:rPr>
      </w:pPr>
    </w:p>
    <w:p w:rsidR="001E593F" w:rsidRPr="001E593F" w:rsidRDefault="001E593F" w:rsidP="001E593F">
      <w:pPr>
        <w:pStyle w:val="ListParagraph"/>
        <w:spacing w:after="0" w:line="240" w:lineRule="auto"/>
        <w:ind w:left="0"/>
        <w:jc w:val="both"/>
      </w:pPr>
      <w:r>
        <w:t xml:space="preserve">Are there any proposals for new policies or practices that participants would like to present for discussion? </w:t>
      </w:r>
    </w:p>
    <w:p w:rsidR="002F5A9A" w:rsidRDefault="002F5A9A" w:rsidP="002F5A9A">
      <w:pPr>
        <w:pStyle w:val="ListParagraph"/>
        <w:ind w:left="0"/>
        <w:jc w:val="both"/>
      </w:pPr>
    </w:p>
    <w:p w:rsidR="002F5A9A" w:rsidRPr="00E812AF" w:rsidRDefault="002F5A9A" w:rsidP="002F5A9A">
      <w:pPr>
        <w:pStyle w:val="ListParagraph"/>
        <w:ind w:left="0"/>
        <w:jc w:val="both"/>
      </w:pPr>
      <w:r w:rsidRPr="0031175E">
        <w:rPr>
          <w:b/>
        </w:rPr>
        <w:t>I</w:t>
      </w:r>
      <w:r>
        <w:rPr>
          <w:b/>
        </w:rPr>
        <w:t>X</w:t>
      </w:r>
      <w:r w:rsidRPr="0031175E">
        <w:rPr>
          <w:b/>
        </w:rPr>
        <w:t>.</w:t>
      </w:r>
      <w:r>
        <w:rPr>
          <w:b/>
        </w:rPr>
        <w:tab/>
      </w:r>
      <w:r w:rsidRPr="0031175E">
        <w:rPr>
          <w:b/>
        </w:rPr>
        <w:t>Adjourn</w:t>
      </w:r>
    </w:p>
    <w:p w:rsidR="002F5A9A" w:rsidRDefault="002F5A9A">
      <w:pPr>
        <w:keepNext/>
      </w:pPr>
    </w:p>
    <w:sectPr w:rsidR="002F5A9A">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9A" w:rsidRDefault="002F5A9A">
      <w:r>
        <w:separator/>
      </w:r>
    </w:p>
  </w:endnote>
  <w:endnote w:type="continuationSeparator" w:id="0">
    <w:p w:rsidR="002F5A9A" w:rsidRDefault="002F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9A" w:rsidRDefault="002F5A9A">
      <w:r>
        <w:separator/>
      </w:r>
    </w:p>
  </w:footnote>
  <w:footnote w:type="continuationSeparator" w:id="0">
    <w:p w:rsidR="002F5A9A" w:rsidRDefault="002F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2F5A9A">
    <w:pPr>
      <w:pStyle w:val="Header"/>
    </w:pPr>
    <w:bookmarkStart w:id="6" w:name="headerNotice"/>
    <w:bookmarkEnd w:id="6"/>
    <w:r>
      <w:t>NOTICE OF STAFF WORKSHOP</w:t>
    </w:r>
  </w:p>
  <w:p w:rsidR="006B03A1" w:rsidRDefault="00E945EC">
    <w:pPr>
      <w:pStyle w:val="Header"/>
    </w:pPr>
    <w:bookmarkStart w:id="7" w:name="headerDocket"/>
    <w:bookmarkEnd w:id="7"/>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45EC">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5BAC30C8"/>
    <w:multiLevelType w:val="hybridMultilevel"/>
    <w:tmpl w:val="D494DC74"/>
    <w:lvl w:ilvl="0" w:tplc="A0A20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F5A9A"/>
    <w:rsid w:val="000005F5"/>
    <w:rsid w:val="000178BD"/>
    <w:rsid w:val="00053F0D"/>
    <w:rsid w:val="000E7426"/>
    <w:rsid w:val="001A5BC2"/>
    <w:rsid w:val="001C6592"/>
    <w:rsid w:val="001E593F"/>
    <w:rsid w:val="0028226A"/>
    <w:rsid w:val="002F2D50"/>
    <w:rsid w:val="002F5A9A"/>
    <w:rsid w:val="003578AE"/>
    <w:rsid w:val="003868F1"/>
    <w:rsid w:val="003A580E"/>
    <w:rsid w:val="003C5D75"/>
    <w:rsid w:val="00402C12"/>
    <w:rsid w:val="00474BD2"/>
    <w:rsid w:val="00487D2C"/>
    <w:rsid w:val="00491225"/>
    <w:rsid w:val="004B0EC4"/>
    <w:rsid w:val="0055171A"/>
    <w:rsid w:val="00556769"/>
    <w:rsid w:val="005C4905"/>
    <w:rsid w:val="00682E0C"/>
    <w:rsid w:val="006A2C0D"/>
    <w:rsid w:val="006B03A1"/>
    <w:rsid w:val="006D4E59"/>
    <w:rsid w:val="006E162C"/>
    <w:rsid w:val="00724359"/>
    <w:rsid w:val="00751C05"/>
    <w:rsid w:val="007A70DC"/>
    <w:rsid w:val="008015AF"/>
    <w:rsid w:val="008343EA"/>
    <w:rsid w:val="00844DA4"/>
    <w:rsid w:val="008955A0"/>
    <w:rsid w:val="008C3030"/>
    <w:rsid w:val="008F31CD"/>
    <w:rsid w:val="009A2CF1"/>
    <w:rsid w:val="00A014EB"/>
    <w:rsid w:val="00A07A62"/>
    <w:rsid w:val="00A2098A"/>
    <w:rsid w:val="00A2657C"/>
    <w:rsid w:val="00A82332"/>
    <w:rsid w:val="00B25C10"/>
    <w:rsid w:val="00B50416"/>
    <w:rsid w:val="00B70F01"/>
    <w:rsid w:val="00B72E1A"/>
    <w:rsid w:val="00BD27DC"/>
    <w:rsid w:val="00C04C8F"/>
    <w:rsid w:val="00CC6A6C"/>
    <w:rsid w:val="00CE69DE"/>
    <w:rsid w:val="00D33141"/>
    <w:rsid w:val="00D97879"/>
    <w:rsid w:val="00E2761B"/>
    <w:rsid w:val="00E9133E"/>
    <w:rsid w:val="00E945EC"/>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18433"/>
    <o:shapelayout v:ext="edit">
      <o:idmap v:ext="edit" data="1"/>
    </o:shapelayout>
  </w:shapeDefaults>
  <w:decimalSymbol w:val="."/>
  <w:listSeparator w:val=","/>
  <w14:docId w14:val="342E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2F5A9A"/>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state.fl.us/" TargetMode="External"/><Relationship Id="rId3" Type="http://schemas.openxmlformats.org/officeDocument/2006/relationships/settings" Target="settings.xml"/><Relationship Id="rId7" Type="http://schemas.openxmlformats.org/officeDocument/2006/relationships/hyperlink" Target="mailto:douglas.sunshine@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2022-12-21T15:20:00Z</dcterms:created>
  <dcterms:modified xsi:type="dcterms:W3CDTF">2022-12-21T16:05:00Z</dcterms:modified>
</cp:coreProperties>
</file>