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4667D">
            <w:pPr>
              <w:pStyle w:val="MemoHeading"/>
            </w:pPr>
            <w:bookmarkStart w:id="0" w:name="FilingDate"/>
            <w:r>
              <w:t>December 28, 2022</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4667D" w:rsidRDefault="00D4667D">
            <w:pPr>
              <w:pStyle w:val="MemoHeading"/>
            </w:pPr>
            <w:bookmarkStart w:id="1" w:name="From"/>
            <w:r>
              <w:t>Division of Economics (Guffey)</w:t>
            </w:r>
          </w:p>
          <w:p w:rsidR="007C0528" w:rsidRDefault="00D4667D">
            <w:pPr>
              <w:pStyle w:val="MemoHeading"/>
            </w:pPr>
            <w:r>
              <w:t>Office of the General Counsel (Dose, Crawford)</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4667D">
            <w:pPr>
              <w:pStyle w:val="MemoHeadingRe"/>
            </w:pPr>
            <w:bookmarkStart w:id="2" w:name="Re"/>
            <w:r>
              <w:t>Docket No. 20220158-GU – Joint petition for approval of territorial agreement in Santa Rosa County, by the City of Gulf Breeze and the Okaloosa Gas District.</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4667D">
            <w:pPr>
              <w:pStyle w:val="MemoHeading"/>
            </w:pPr>
            <w:bookmarkStart w:id="3" w:name="AgendaDate"/>
            <w:r>
              <w:t>01/10/23</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4667D">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4667D">
            <w:pPr>
              <w:pStyle w:val="MemoHeading"/>
            </w:pPr>
            <w:bookmarkStart w:id="6" w:name="PrehearingOfficer"/>
            <w:r>
              <w:t>Graham</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D4667D">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4667D">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Start w:id="11" w:name="CaseBackground"/>
      <w:bookmarkStart w:id="12" w:name="_GoBack"/>
      <w:bookmarkEnd w:id="10"/>
      <w:bookmarkEnd w:id="12"/>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347DBE" w:rsidRDefault="00D4667D">
      <w:pPr>
        <w:pStyle w:val="BodyText"/>
      </w:pPr>
      <w:r>
        <w:t xml:space="preserve">On September 9, 2022, </w:t>
      </w:r>
      <w:r w:rsidR="00A35324">
        <w:t xml:space="preserve">the </w:t>
      </w:r>
      <w:r>
        <w:t xml:space="preserve">City of Gulf Breeze (Gulf Breeze) and the Okaloosa Gas District (District), collectively the parties, filed a joint petition seeking Commission approval of a </w:t>
      </w:r>
      <w:r w:rsidR="00287EE2">
        <w:t xml:space="preserve">new </w:t>
      </w:r>
      <w:r>
        <w:t xml:space="preserve">Territorial Agreement (Agreement) delineating their respective portions of service boundaries in southern Santa Rosa County. </w:t>
      </w:r>
      <w:r w:rsidR="001F5B1C">
        <w:t>P</w:t>
      </w:r>
      <w:r>
        <w:t xml:space="preserve">resently, both Gulf Breeze and the Gas District provide retail natural gas service to customers in contiguous areas of southern Santa Rosa County. </w:t>
      </w:r>
    </w:p>
    <w:p w:rsidR="0068481F" w:rsidRDefault="00674237">
      <w:pPr>
        <w:pStyle w:val="BodyText"/>
      </w:pPr>
      <w:r>
        <w:t xml:space="preserve">The parties currently do not have a Commission-approved territorial agreement. </w:t>
      </w:r>
      <w:r w:rsidR="00D4667D">
        <w:t>The purpose of the proposed Agreement is to define the parties’ respective service area</w:t>
      </w:r>
      <w:r w:rsidR="006E509C">
        <w:t>s</w:t>
      </w:r>
      <w:r w:rsidR="00D4667D">
        <w:t xml:space="preserve"> in southern Santa Rosa County pursuant to amended Chapter 2021-262, </w:t>
      </w:r>
      <w:r w:rsidR="00C12948">
        <w:t>Laws of Florida,</w:t>
      </w:r>
      <w:r w:rsidR="00D4667D">
        <w:t xml:space="preserve"> and to comply with </w:t>
      </w:r>
      <w:r w:rsidR="00E02AF6">
        <w:t xml:space="preserve">the </w:t>
      </w:r>
      <w:r w:rsidR="00D4667D">
        <w:t xml:space="preserve">legislative directive that the Disputed Area be determined by </w:t>
      </w:r>
      <w:r w:rsidR="00E02AF6">
        <w:t xml:space="preserve">a final </w:t>
      </w:r>
      <w:r w:rsidR="00D4667D">
        <w:t>Order of the Commission. The Agreement</w:t>
      </w:r>
      <w:r w:rsidR="00D4667D" w:rsidRPr="007676FC">
        <w:t xml:space="preserve"> </w:t>
      </w:r>
      <w:r w:rsidR="00D4667D">
        <w:t xml:space="preserve">and composite maps depicting the dividing line between Gulf Breeze and </w:t>
      </w:r>
      <w:r w:rsidR="00E02AF6">
        <w:t>the</w:t>
      </w:r>
      <w:r w:rsidR="00D4667D">
        <w:t xml:space="preserve"> </w:t>
      </w:r>
      <w:r w:rsidR="00D4667D">
        <w:lastRenderedPageBreak/>
        <w:t>District service area</w:t>
      </w:r>
      <w:r w:rsidR="006E509C">
        <w:t>s</w:t>
      </w:r>
      <w:r w:rsidR="00D4667D">
        <w:t xml:space="preserve"> in southern Santa Rosa County are shown in Attachment A </w:t>
      </w:r>
      <w:r w:rsidR="00504337">
        <w:t>and Chapter 2021-262,</w:t>
      </w:r>
      <w:r w:rsidR="00C12948">
        <w:t xml:space="preserve"> Laws of Florida</w:t>
      </w:r>
      <w:r w:rsidR="00E02AF6">
        <w:t>,</w:t>
      </w:r>
      <w:r w:rsidR="00504337">
        <w:t xml:space="preserve"> is </w:t>
      </w:r>
      <w:r w:rsidR="00A35324">
        <w:t xml:space="preserve">shown in </w:t>
      </w:r>
      <w:r w:rsidR="00504337">
        <w:t xml:space="preserve">Attachment B </w:t>
      </w:r>
      <w:r w:rsidR="00A35324">
        <w:t>to</w:t>
      </w:r>
      <w:r w:rsidR="00504337">
        <w:t xml:space="preserve"> </w:t>
      </w:r>
      <w:r w:rsidR="00D4667D">
        <w:t>this recommendation.</w:t>
      </w:r>
    </w:p>
    <w:p w:rsidR="00D4667D" w:rsidRDefault="00D4667D" w:rsidP="00D4667D">
      <w:pPr>
        <w:pStyle w:val="BodyText"/>
      </w:pPr>
      <w:r>
        <w:t>The redrawing of the subject boundary will transfer one Gulf Breeze residential customer and associated infrastructure to the District. The customer has been notified of the transfer.</w:t>
      </w:r>
    </w:p>
    <w:p w:rsidR="007C0528" w:rsidRDefault="00D4667D" w:rsidP="001F5B1C">
      <w:pPr>
        <w:jc w:val="both"/>
      </w:pPr>
      <w:r w:rsidRPr="00BA0A70">
        <w:rPr>
          <w:color w:val="000000"/>
          <w:sz w:val="23"/>
          <w:szCs w:val="23"/>
        </w:rPr>
        <w:t xml:space="preserve">Staff issued a data request to the </w:t>
      </w:r>
      <w:r>
        <w:rPr>
          <w:color w:val="000000"/>
          <w:sz w:val="23"/>
          <w:szCs w:val="23"/>
        </w:rPr>
        <w:t>parties</w:t>
      </w:r>
      <w:r w:rsidRPr="00BA0A70">
        <w:rPr>
          <w:color w:val="000000"/>
          <w:sz w:val="23"/>
          <w:szCs w:val="23"/>
        </w:rPr>
        <w:t xml:space="preserve"> for which the response</w:t>
      </w:r>
      <w:r w:rsidR="00C12948">
        <w:rPr>
          <w:color w:val="000000"/>
          <w:sz w:val="23"/>
          <w:szCs w:val="23"/>
        </w:rPr>
        <w:t>s</w:t>
      </w:r>
      <w:r w:rsidRPr="00BA0A70">
        <w:rPr>
          <w:color w:val="000000"/>
          <w:sz w:val="23"/>
          <w:szCs w:val="23"/>
        </w:rPr>
        <w:t xml:space="preserve"> were received on </w:t>
      </w:r>
      <w:r>
        <w:rPr>
          <w:color w:val="000000"/>
          <w:sz w:val="23"/>
          <w:szCs w:val="23"/>
        </w:rPr>
        <w:t>November 22, 2022.</w:t>
      </w:r>
      <w:r w:rsidRPr="00BA0A70">
        <w:rPr>
          <w:color w:val="000000"/>
          <w:sz w:val="23"/>
          <w:szCs w:val="23"/>
        </w:rPr>
        <w:t xml:space="preserve"> </w:t>
      </w:r>
      <w:r w:rsidRPr="00BA0A70">
        <w:t>The Commission has jurisdiction over this matter pursuant to Section 366.04, Florida Statutes (F.S.)</w:t>
      </w:r>
      <w:r>
        <w:t>.</w:t>
      </w:r>
    </w:p>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D4667D" w:rsidRDefault="00D4667D">
      <w:pPr>
        <w:pStyle w:val="IssueHeading"/>
        <w:rPr>
          <w:vanish/>
          <w:specVanish/>
        </w:rPr>
      </w:pPr>
      <w:r w:rsidRPr="004C3641">
        <w:t xml:space="preserve">Issue </w:t>
      </w:r>
      <w:fldSimple w:instr=" SEQ Issue \* MERGEFORMAT ">
        <w:r w:rsidR="008101B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101B6">
        <w:rPr>
          <w:noProof/>
        </w:rPr>
        <w:instrText>1</w:instrText>
      </w:r>
      <w:r>
        <w:fldChar w:fldCharType="end"/>
      </w:r>
      <w:r>
        <w:tab/>
        <w:instrText xml:space="preserve">(Guffey)" \l 1 </w:instrText>
      </w:r>
      <w:r>
        <w:fldChar w:fldCharType="end"/>
      </w:r>
      <w:r>
        <w:t> </w:t>
      </w:r>
    </w:p>
    <w:p w:rsidR="00D4667D" w:rsidRDefault="00D4667D">
      <w:pPr>
        <w:pStyle w:val="BodyText"/>
      </w:pPr>
      <w:r>
        <w:t xml:space="preserve"> Should the Commission approve the </w:t>
      </w:r>
      <w:r w:rsidR="00F13055">
        <w:t>proposed</w:t>
      </w:r>
      <w:r>
        <w:t xml:space="preserve"> </w:t>
      </w:r>
      <w:r w:rsidR="00BC63C2">
        <w:t xml:space="preserve">new </w:t>
      </w:r>
      <w:r>
        <w:t xml:space="preserve">Territorial Agreement between </w:t>
      </w:r>
      <w:r w:rsidR="00E02AF6">
        <w:t xml:space="preserve">the City of </w:t>
      </w:r>
      <w:r>
        <w:t xml:space="preserve">Gulf Breeze and </w:t>
      </w:r>
      <w:r w:rsidR="00E02AF6">
        <w:t xml:space="preserve">the </w:t>
      </w:r>
      <w:r>
        <w:t>Okaloosa Gas District in southern Santa Rosa County?</w:t>
      </w:r>
    </w:p>
    <w:p w:rsidR="00D4667D" w:rsidRPr="004C3641" w:rsidRDefault="00D4667D">
      <w:pPr>
        <w:pStyle w:val="IssueSubsectionHeading"/>
        <w:rPr>
          <w:vanish/>
          <w:specVanish/>
        </w:rPr>
      </w:pPr>
      <w:r w:rsidRPr="004C3641">
        <w:t>Recommendation: </w:t>
      </w:r>
    </w:p>
    <w:p w:rsidR="00D4667D" w:rsidRDefault="00D4667D">
      <w:pPr>
        <w:pStyle w:val="BodyText"/>
      </w:pPr>
      <w:r>
        <w:t xml:space="preserve"> Yes, </w:t>
      </w:r>
      <w:r w:rsidR="00F13055">
        <w:t xml:space="preserve">the Commission </w:t>
      </w:r>
      <w:r w:rsidR="00A8261A">
        <w:t xml:space="preserve">should </w:t>
      </w:r>
      <w:r w:rsidR="00F13055">
        <w:t xml:space="preserve">approve the proposed new Territorial Agreement between </w:t>
      </w:r>
      <w:r w:rsidR="00E02AF6">
        <w:t xml:space="preserve">the City </w:t>
      </w:r>
      <w:r w:rsidR="00F13055">
        <w:t xml:space="preserve">Gulf Breeze and </w:t>
      </w:r>
      <w:r w:rsidR="00E02AF6">
        <w:t xml:space="preserve">the </w:t>
      </w:r>
      <w:r w:rsidR="00F13055">
        <w:t>Okaloosa Gas District in southern Santa Rosa County</w:t>
      </w:r>
      <w:r>
        <w:t>. The proposed Agreement will define the parties’ respective service area</w:t>
      </w:r>
      <w:r w:rsidR="006E509C">
        <w:t>s</w:t>
      </w:r>
      <w:r>
        <w:t xml:space="preserve"> in southern Santa Rosa County pursuant to the amended Chapter 2021-262, </w:t>
      </w:r>
      <w:r w:rsidR="00C12948">
        <w:t>Laws of Florida</w:t>
      </w:r>
      <w:r>
        <w:t xml:space="preserve">, and comply with the </w:t>
      </w:r>
      <w:r w:rsidR="006E509C">
        <w:t>legislative directive</w:t>
      </w:r>
      <w:r>
        <w:t xml:space="preserve"> </w:t>
      </w:r>
      <w:r w:rsidR="006E509C">
        <w:t>that</w:t>
      </w:r>
      <w:r>
        <w:t xml:space="preserve"> the Disputed Area be determined by </w:t>
      </w:r>
      <w:r w:rsidR="00E02AF6">
        <w:t xml:space="preserve">a final </w:t>
      </w:r>
      <w:r w:rsidR="009447A7">
        <w:t>order of the</w:t>
      </w:r>
      <w:r>
        <w:t xml:space="preserve"> Commission. Additionally, the proposed Agreement will avoid duplication of service and mitigate the potential for future disputes. (Guffey)</w:t>
      </w:r>
    </w:p>
    <w:p w:rsidR="00D4667D" w:rsidRPr="004C3641" w:rsidRDefault="00D4667D">
      <w:pPr>
        <w:pStyle w:val="IssueSubsectionHeading"/>
        <w:rPr>
          <w:vanish/>
          <w:specVanish/>
        </w:rPr>
      </w:pPr>
      <w:r w:rsidRPr="004C3641">
        <w:t>Staff Analysis: </w:t>
      </w:r>
    </w:p>
    <w:p w:rsidR="00D4667D" w:rsidRDefault="00D4667D" w:rsidP="00D4667D">
      <w:pPr>
        <w:pStyle w:val="BodyText"/>
      </w:pPr>
      <w:r>
        <w:t> </w:t>
      </w:r>
      <w:r w:rsidR="00C12948" w:rsidRPr="0001459E">
        <w:t>Pursuant to Section 366.04(3)(a)</w:t>
      </w:r>
      <w:r w:rsidR="00E02AF6">
        <w:t>,</w:t>
      </w:r>
      <w:r w:rsidR="00C12948" w:rsidRPr="0001459E">
        <w:t xml:space="preserve"> F.S., and Rule </w:t>
      </w:r>
      <w:r w:rsidR="00C12948" w:rsidRPr="002E6817">
        <w:t>25-7.0471, Florida Administrative Code (F.A.C.), the Commission has the jurisdiction to approve territorial agreements between natural gas utilities.</w:t>
      </w:r>
      <w:r w:rsidR="00A35324">
        <w:t xml:space="preserve"> For purposes of this subsection, Section 366.04(3)(c), F.S., defines natural gas utility to include municipalities and gas districts.</w:t>
      </w:r>
      <w:r w:rsidR="009447A7">
        <w:t xml:space="preserve"> </w:t>
      </w:r>
      <w:r w:rsidR="009447A7" w:rsidRPr="0090596F">
        <w:t xml:space="preserve">Unless the Commission determines that the </w:t>
      </w:r>
      <w:r w:rsidR="009447A7">
        <w:t>A</w:t>
      </w:r>
      <w:r w:rsidR="009447A7" w:rsidRPr="0090596F">
        <w:t xml:space="preserve">greement will cause a detriment to the public interest, </w:t>
      </w:r>
      <w:r w:rsidR="009447A7">
        <w:t xml:space="preserve">it </w:t>
      </w:r>
      <w:r w:rsidR="009447A7" w:rsidRPr="0090596F">
        <w:t>should be approved.</w:t>
      </w:r>
      <w:r w:rsidR="009447A7">
        <w:rPr>
          <w:rStyle w:val="FootnoteReference"/>
        </w:rPr>
        <w:footnoteReference w:id="1"/>
      </w:r>
    </w:p>
    <w:p w:rsidR="00D4667D" w:rsidRDefault="00D4667D" w:rsidP="00D4667D">
      <w:pPr>
        <w:pStyle w:val="BodyText"/>
      </w:pPr>
      <w:r>
        <w:t>Gulf Breeze is a Florida municipal corporation which owns and operates a natural gas d</w:t>
      </w:r>
      <w:r w:rsidR="00A35324">
        <w:t>istribution system</w:t>
      </w:r>
      <w:r>
        <w:t xml:space="preserve"> and has been providing natural gas service since 1964. Its service area includes portions of Escambia and Santa Rosa </w:t>
      </w:r>
      <w:r w:rsidR="006E509C">
        <w:t>c</w:t>
      </w:r>
      <w:r>
        <w:t>ounties and currently provides retail natural gas service to 4,780 customers in Santa Rosa County.</w:t>
      </w:r>
    </w:p>
    <w:p w:rsidR="00D4667D" w:rsidRDefault="004616A4" w:rsidP="00D4667D">
      <w:pPr>
        <w:pStyle w:val="BodyText"/>
      </w:pPr>
      <w:r>
        <w:t xml:space="preserve">The </w:t>
      </w:r>
      <w:r w:rsidR="00D4667D">
        <w:t xml:space="preserve">District is an independent special district created by the Florida </w:t>
      </w:r>
      <w:r w:rsidR="00332786">
        <w:t>L</w:t>
      </w:r>
      <w:r w:rsidR="00D4667D">
        <w:t>egislature in 1953</w:t>
      </w:r>
      <w:r w:rsidR="00A35324">
        <w:t xml:space="preserve"> </w:t>
      </w:r>
      <w:r w:rsidR="00D4667D">
        <w:t>to own and operate natural gas transmission and distribution systems in Okaloosa County.</w:t>
      </w:r>
      <w:r w:rsidR="00332786">
        <w:rPr>
          <w:rStyle w:val="FootnoteReference"/>
        </w:rPr>
        <w:footnoteReference w:id="2"/>
      </w:r>
      <w:r w:rsidR="00332786">
        <w:t xml:space="preserve"> </w:t>
      </w:r>
      <w:r w:rsidR="00D4667D">
        <w:t xml:space="preserve"> </w:t>
      </w:r>
      <w:r w:rsidR="00843A4C">
        <w:t>In 2000, the Legislature expanded in Chapter 2000-443</w:t>
      </w:r>
      <w:r w:rsidR="00875C28">
        <w:t>, Laws of Florida,</w:t>
      </w:r>
      <w:r w:rsidR="00843A4C">
        <w:t xml:space="preserve"> the District’s service area to include portions of Santa Rosa and Walton counties.</w:t>
      </w:r>
      <w:r w:rsidR="00D4667D">
        <w:t xml:space="preserve"> </w:t>
      </w:r>
      <w:r w:rsidR="00287EE2">
        <w:t xml:space="preserve">The </w:t>
      </w:r>
      <w:r w:rsidR="00D4667D">
        <w:t>District provides natural gas service to 50,</w:t>
      </w:r>
      <w:r w:rsidR="00BC63C2">
        <w:t>994</w:t>
      </w:r>
      <w:r w:rsidR="00D4667D">
        <w:t xml:space="preserve"> residential, commercial, </w:t>
      </w:r>
      <w:r w:rsidR="00E02AF6">
        <w:t xml:space="preserve">and </w:t>
      </w:r>
      <w:r w:rsidR="00D4667D">
        <w:t>industrial customers</w:t>
      </w:r>
      <w:r w:rsidR="00E02AF6">
        <w:t>, as well as military installations,</w:t>
      </w:r>
      <w:r w:rsidR="00D4667D">
        <w:t xml:space="preserve"> within its </w:t>
      </w:r>
      <w:r w:rsidR="00BC63C2">
        <w:t xml:space="preserve">entire </w:t>
      </w:r>
      <w:r w:rsidR="00D4667D">
        <w:t>service area.</w:t>
      </w:r>
      <w:r w:rsidR="00D4667D">
        <w:rPr>
          <w:rStyle w:val="FootnoteReference"/>
        </w:rPr>
        <w:footnoteReference w:id="3"/>
      </w:r>
      <w:r w:rsidR="00D4667D">
        <w:t xml:space="preserve"> As stated in paragraph 4 of the petition, the District currently serves 4,798 customers in Santa Rosa County. The District’s member municipalities are Crestview, Niceville, Valparaiso, and Fort Walton Beach.</w:t>
      </w:r>
      <w:r w:rsidR="00843A4C">
        <w:t xml:space="preserve"> </w:t>
      </w:r>
    </w:p>
    <w:p w:rsidR="00D4667D" w:rsidRDefault="00D4667D" w:rsidP="00D4667D">
      <w:pPr>
        <w:pStyle w:val="BodyText"/>
      </w:pPr>
      <w:r>
        <w:t xml:space="preserve">In 2021, the Florida </w:t>
      </w:r>
      <w:r w:rsidR="00332786">
        <w:t>L</w:t>
      </w:r>
      <w:r>
        <w:t xml:space="preserve">egislature </w:t>
      </w:r>
      <w:r w:rsidR="00875C28">
        <w:t xml:space="preserve">again </w:t>
      </w:r>
      <w:r w:rsidR="00E02AF6">
        <w:t>expanded the</w:t>
      </w:r>
      <w:r>
        <w:t xml:space="preserve"> service area of the District to include all of Santa Rosa County with </w:t>
      </w:r>
      <w:r w:rsidR="00287EE2">
        <w:t>two</w:t>
      </w:r>
      <w:r>
        <w:t xml:space="preserve"> defined areas</w:t>
      </w:r>
      <w:r w:rsidR="00287EE2">
        <w:t xml:space="preserve"> excluded</w:t>
      </w:r>
      <w:r>
        <w:t>. The first excluded area is:</w:t>
      </w:r>
    </w:p>
    <w:p w:rsidR="00D4667D" w:rsidRDefault="00D4667D" w:rsidP="009447A7">
      <w:pPr>
        <w:pStyle w:val="BodyText"/>
        <w:ind w:left="720" w:right="720"/>
      </w:pPr>
      <w:r>
        <w:t>The area within the corporate limits of the City of Gulf Breeze and the area from the eastern boundary of the corporate limits of the City of Gulf Breeze extending easterly approximately 11 miles to the line defined as the eastern boundary of Sections 4, 9, 16, 21, and 28 of Township 2 South, Range 27 West, which extends north and south from Santa Rosa Sound to East Bay.</w:t>
      </w:r>
    </w:p>
    <w:p w:rsidR="00D4667D" w:rsidRDefault="00D4667D" w:rsidP="00D4667D">
      <w:pPr>
        <w:pStyle w:val="BodyText"/>
      </w:pPr>
      <w:r>
        <w:t>The second excluded area (Disputed Area) is:</w:t>
      </w:r>
    </w:p>
    <w:p w:rsidR="00D4667D" w:rsidRDefault="00D4667D" w:rsidP="00D4667D">
      <w:pPr>
        <w:pStyle w:val="BodyText"/>
        <w:ind w:left="1152" w:right="1152"/>
      </w:pPr>
      <w:r>
        <w:t>The area from the line defined as the eastern boundary of Sections 4, 9, 16, 21, and 28 of Township 2 South, Range 27 West, which extend north and south from Santa Rosa Sound to East Bay, and extending easterly to the line starting at the intersection of US Highway 98</w:t>
      </w:r>
      <w:r w:rsidR="00332786">
        <w:t xml:space="preserve"> </w:t>
      </w:r>
      <w:r>
        <w:t xml:space="preserve">and Shannon Drive, going due south to Santa Rosa Sound, thence turning due north continuing to Manatee Road; thence turning west until the intersection of Basswood Drive; thence turning north until intersecting the Tom King Bayou tributary south of Cove Road; thence following this branch northwest to Tom King Bayou, thence north to East Bay </w:t>
      </w:r>
      <w:r w:rsidRPr="008C5CA5">
        <w:rPr>
          <w:u w:val="single"/>
        </w:rPr>
        <w:t xml:space="preserve">is presently claimed as a service area by the District and by the City of Gulf Breeze and shall not be deemed to be included or excluded as a service area for the District. The service rights for this area shall be determined by a final nonappealable order of the Florida Public Service Commission </w:t>
      </w:r>
      <w:r w:rsidR="006E509C">
        <w:rPr>
          <w:u w:val="single"/>
        </w:rPr>
        <w:t>or any successor agency.</w:t>
      </w:r>
    </w:p>
    <w:p w:rsidR="00D4667D" w:rsidRDefault="00D4667D" w:rsidP="00D4667D">
      <w:pPr>
        <w:pStyle w:val="BodyText"/>
      </w:pPr>
      <w:r>
        <w:t>Chapter 2021-262, Laws of Florida 2021 (emphasis added).</w:t>
      </w:r>
    </w:p>
    <w:p w:rsidR="00332786" w:rsidRDefault="00CD1653" w:rsidP="00D4667D">
      <w:pPr>
        <w:pStyle w:val="BodyText"/>
      </w:pPr>
      <w:r>
        <w:t xml:space="preserve">In response to staff’s data request, the joint petitioners </w:t>
      </w:r>
      <w:r w:rsidR="00674237">
        <w:t>explained</w:t>
      </w:r>
      <w:r>
        <w:t xml:space="preserve"> that historically the service areas of the two parties have been geographically dispersed </w:t>
      </w:r>
      <w:r w:rsidR="00674237">
        <w:t xml:space="preserve">such </w:t>
      </w:r>
      <w:r>
        <w:t xml:space="preserve">that an agreement was </w:t>
      </w:r>
      <w:r w:rsidR="00287EE2">
        <w:t xml:space="preserve">not </w:t>
      </w:r>
      <w:r>
        <w:t>necessary.</w:t>
      </w:r>
      <w:r w:rsidR="00332786">
        <w:rPr>
          <w:rStyle w:val="FootnoteReference"/>
        </w:rPr>
        <w:footnoteReference w:id="4"/>
      </w:r>
      <w:r>
        <w:t xml:space="preserve"> However, over the years, as a consequence of natural growth, portions of the parties’ service areas have begun to converge in southern Santa Rosa County</w:t>
      </w:r>
      <w:r w:rsidR="00057753">
        <w:t xml:space="preserve"> near the Dividing Line</w:t>
      </w:r>
      <w:r w:rsidR="009B4ABC">
        <w:t xml:space="preserve"> as defined in the proposed Agreement</w:t>
      </w:r>
      <w:r w:rsidR="00057753">
        <w:t xml:space="preserve"> </w:t>
      </w:r>
      <w:r w:rsidR="006F5B26">
        <w:t xml:space="preserve">(separating Gulf Breeze and the District’s service </w:t>
      </w:r>
      <w:r w:rsidR="00057753">
        <w:t>area</w:t>
      </w:r>
      <w:r w:rsidR="006F5B26">
        <w:t>)</w:t>
      </w:r>
      <w:r w:rsidR="00057753">
        <w:t xml:space="preserve">. </w:t>
      </w:r>
    </w:p>
    <w:p w:rsidR="00843A4C" w:rsidRDefault="00843A4C" w:rsidP="00D4667D">
      <w:pPr>
        <w:pStyle w:val="BodyText"/>
      </w:pPr>
      <w:r>
        <w:t xml:space="preserve">With respect to the Disputed Area referenced in Chapter 2021-262, </w:t>
      </w:r>
      <w:r w:rsidR="00875C28">
        <w:t xml:space="preserve">Laws of Florida, </w:t>
      </w:r>
      <w:r>
        <w:t>the parties explained that after discussions among the parties and members of the local legislative delegation, the Disputed Area was excluded from the service area determination in recognition of the fact that the City and the District both provided service to the area and claimed certain rights. Therefore, resolution of service rights was reserved for determination by the Commission.</w:t>
      </w:r>
      <w:r w:rsidR="004616A4">
        <w:rPr>
          <w:rStyle w:val="FootnoteReference"/>
        </w:rPr>
        <w:footnoteReference w:id="5"/>
      </w:r>
      <w:r>
        <w:t xml:space="preserve"> </w:t>
      </w:r>
    </w:p>
    <w:p w:rsidR="004616A4" w:rsidRDefault="004616A4" w:rsidP="004616A4">
      <w:pPr>
        <w:pStyle w:val="First-LevelSubheading"/>
      </w:pPr>
      <w:r>
        <w:t>Proposed Territorial Agreement</w:t>
      </w:r>
    </w:p>
    <w:p w:rsidR="006F0D7C" w:rsidRDefault="009B4ABC" w:rsidP="00D4667D">
      <w:pPr>
        <w:pStyle w:val="BodyText"/>
      </w:pPr>
      <w:r>
        <w:t xml:space="preserve">The proposed Agreement defines the Parties’ respective service territories in the Disputed Area by establishing a “Dividing Line” that transects the Disputed Area. The Dividing Line is shown on composite Exhibit B of Attachment A to the recommendation (page 10 of 10 of Attachment A). </w:t>
      </w:r>
      <w:r w:rsidR="006F0D7C">
        <w:t>The joint petitioners assert that the proposed new Agreement will formalize the Dividing Line, comply with the legislative directive, eliminate duplication of service and expenditures, and avoid the potential for future disputes. The joint petitioners also assert that the proposed boundary modification will not decrease service reliability to their existing or future customers.</w:t>
      </w:r>
    </w:p>
    <w:p w:rsidR="00D4667D" w:rsidRDefault="00D4667D" w:rsidP="00D4667D">
      <w:pPr>
        <w:pStyle w:val="BodyText"/>
      </w:pPr>
      <w:r>
        <w:t xml:space="preserve">The proposed Agreement will become effective on the day the </w:t>
      </w:r>
      <w:r w:rsidR="00666DC9">
        <w:t>C</w:t>
      </w:r>
      <w:r>
        <w:t xml:space="preserve">ommission Order becomes final and will continue in effect until termination or modification is approved by the Commission or mandated by a government entity. </w:t>
      </w:r>
      <w:r w:rsidR="00FC2594">
        <w:t>In response to staff’s data request, the parties confirmed that there is no specified termination date for the proposed Agreement.</w:t>
      </w:r>
      <w:r w:rsidR="00FC2594">
        <w:rPr>
          <w:rStyle w:val="FootnoteReference"/>
        </w:rPr>
        <w:footnoteReference w:id="6"/>
      </w:r>
    </w:p>
    <w:p w:rsidR="00D4667D" w:rsidRDefault="00D4667D" w:rsidP="00D4667D">
      <w:pPr>
        <w:pStyle w:val="First-LevelSubheading"/>
      </w:pPr>
      <w:r>
        <w:t xml:space="preserve">Infrastructure </w:t>
      </w:r>
      <w:r w:rsidR="00F852D5">
        <w:t xml:space="preserve">and Customer </w:t>
      </w:r>
      <w:r>
        <w:t xml:space="preserve">Transfer </w:t>
      </w:r>
      <w:r w:rsidR="00F852D5">
        <w:t xml:space="preserve">and </w:t>
      </w:r>
      <w:r>
        <w:t>Notification</w:t>
      </w:r>
    </w:p>
    <w:p w:rsidR="00D4667D" w:rsidRDefault="001050B1" w:rsidP="00D4667D">
      <w:pPr>
        <w:pStyle w:val="BodyText"/>
      </w:pPr>
      <w:r>
        <w:t xml:space="preserve">The Parties explained in the petition that the Dividing Line in the Agreement has been drawn to </w:t>
      </w:r>
      <w:r w:rsidR="00945F90">
        <w:t>avoid</w:t>
      </w:r>
      <w:r>
        <w:t xml:space="preserve"> the need to transfer any customers or utility facilities, with the exception of one residential customer of Gulf Breeze. </w:t>
      </w:r>
      <w:r w:rsidR="00D4667D">
        <w:t>Pursuant to Section 4(b) of the Agreement, the customer will be transferred following the effective date of this Agreement and upon written notification from the District stating it is prepared to provide service to the transferred customer. On August 1</w:t>
      </w:r>
      <w:r w:rsidR="00252687">
        <w:t>7</w:t>
      </w:r>
      <w:r w:rsidR="00D4667D">
        <w:t xml:space="preserve">, 2022, Gulf Breeze notified the customer of the transfer and </w:t>
      </w:r>
      <w:r w:rsidR="00287EE2">
        <w:t xml:space="preserve">provided </w:t>
      </w:r>
      <w:r w:rsidR="00D4667D">
        <w:t>rate comparisons.</w:t>
      </w:r>
      <w:r w:rsidR="00345747">
        <w:t xml:space="preserve"> Pursuant to the </w:t>
      </w:r>
      <w:r w:rsidR="00666DC9">
        <w:t>customer</w:t>
      </w:r>
      <w:r w:rsidR="00345747">
        <w:t xml:space="preserve"> notification, the District will waive the $55 </w:t>
      </w:r>
      <w:r w:rsidR="00945F90">
        <w:t xml:space="preserve">service </w:t>
      </w:r>
      <w:r w:rsidR="00345747">
        <w:t>activation fee and Gulf Breeze will credit the customer’s $50 deposit towards any outstanding amounts due and refund the remainder.</w:t>
      </w:r>
      <w:r w:rsidR="00345747">
        <w:rPr>
          <w:rStyle w:val="FootnoteReference"/>
        </w:rPr>
        <w:footnoteReference w:id="7"/>
      </w:r>
      <w:r w:rsidR="00345747">
        <w:t xml:space="preserve"> </w:t>
      </w:r>
      <w:r w:rsidR="00D4667D">
        <w:t xml:space="preserve">The parties assert that they have not received a response or objections from the customer. </w:t>
      </w:r>
    </w:p>
    <w:p w:rsidR="00666DC9" w:rsidRDefault="00666DC9" w:rsidP="00D4667D">
      <w:pPr>
        <w:pStyle w:val="BodyText"/>
      </w:pPr>
      <w:r>
        <w:t>Along with the customer transfer, approximately 1,200 feet of pipeline and associated infrastructure will be transferred to the District. The District will pay $24,163.05, representing the depreciated value of the infrastructure to Gulf Breeze.</w:t>
      </w:r>
    </w:p>
    <w:p w:rsidR="00D4667D" w:rsidRDefault="00D4667D" w:rsidP="00D4667D">
      <w:pPr>
        <w:pStyle w:val="First-LevelSubheading"/>
      </w:pPr>
      <w:r>
        <w:t>Conclusion</w:t>
      </w:r>
    </w:p>
    <w:p w:rsidR="009F6CC6" w:rsidRDefault="00D4667D" w:rsidP="009F6CC6">
      <w:r>
        <w:rPr>
          <w:lang w:val="en"/>
        </w:rPr>
        <w:t xml:space="preserve">After review of the joint petition and the petitioners’ joint responses to Commission staff’s data request, staff </w:t>
      </w:r>
      <w:r w:rsidR="008101B6">
        <w:rPr>
          <w:lang w:val="en"/>
        </w:rPr>
        <w:t>believes</w:t>
      </w:r>
      <w:r>
        <w:rPr>
          <w:lang w:val="en"/>
        </w:rPr>
        <w:t xml:space="preserve"> that the proposed Agreement is in the public interest and will enable Gulf Breeze and the District to serve their current and future customers efficiently. </w:t>
      </w:r>
      <w:r w:rsidR="00A8261A">
        <w:t>The proposed Agreement will define the parties’ respective service area</w:t>
      </w:r>
      <w:r w:rsidR="006E509C">
        <w:t>s</w:t>
      </w:r>
      <w:r w:rsidR="00A8261A">
        <w:t xml:space="preserve"> in southern Santa Rosa County pursuant to the amended Chapter 2021-262, Laws of Florida, and comply with the legislative directive </w:t>
      </w:r>
      <w:r w:rsidR="006E509C">
        <w:t>that</w:t>
      </w:r>
      <w:r w:rsidR="00A8261A">
        <w:t xml:space="preserve"> the Disputed Area be determined by a final order of this Commission. Additionally, the proposed Agreement will avoid duplication of service and mitigate the potential for future disputes. </w:t>
      </w:r>
      <w:r w:rsidR="008101B6">
        <w:t>Therefore, staff recommends that the Commission should approve the proposed Territorial Agreement between the City Gulf Breeze and the Okaloosa Gas District in southern Santa Rosa County.</w:t>
      </w:r>
    </w:p>
    <w:p w:rsidR="00D4667D" w:rsidRDefault="00D4667D" w:rsidP="009F6CC6">
      <w:pPr>
        <w:pStyle w:val="IssueHeading"/>
        <w:rPr>
          <w:vanish/>
          <w:specVanish/>
        </w:rPr>
      </w:pPr>
      <w:r w:rsidRPr="004C3641">
        <w:br w:type="page"/>
      </w:r>
      <w:r w:rsidRPr="009447A7">
        <w:t xml:space="preserve">Issue </w:t>
      </w:r>
      <w:fldSimple w:instr=" SEQ Issue \* MERGEFORMAT ">
        <w:r w:rsidR="008101B6" w:rsidRPr="009447A7">
          <w:rPr>
            <w:noProof/>
          </w:rPr>
          <w:t>2</w:t>
        </w:r>
      </w:fldSimple>
      <w:r w:rsidRPr="009447A7">
        <w:t>:</w:t>
      </w:r>
      <w:r>
        <w:fldChar w:fldCharType="begin"/>
      </w:r>
      <w:r>
        <w:instrText xml:space="preserve"> TC "</w:instrText>
      </w:r>
      <w:r>
        <w:fldChar w:fldCharType="begin"/>
      </w:r>
      <w:r>
        <w:instrText xml:space="preserve"> SEQ issue \c </w:instrText>
      </w:r>
      <w:r>
        <w:fldChar w:fldCharType="separate"/>
      </w:r>
      <w:r w:rsidR="008101B6">
        <w:rPr>
          <w:noProof/>
        </w:rPr>
        <w:instrText>2</w:instrText>
      </w:r>
      <w:r>
        <w:fldChar w:fldCharType="end"/>
      </w:r>
      <w:r>
        <w:tab/>
        <w:instrText xml:space="preserve">(Dose)" \l 1 </w:instrText>
      </w:r>
      <w:r>
        <w:fldChar w:fldCharType="end"/>
      </w:r>
      <w:r>
        <w:t> </w:t>
      </w:r>
    </w:p>
    <w:p w:rsidR="00D4667D" w:rsidRDefault="00D4667D">
      <w:pPr>
        <w:pStyle w:val="BodyText"/>
      </w:pPr>
      <w:r>
        <w:t> Should this docket be closed?</w:t>
      </w:r>
    </w:p>
    <w:p w:rsidR="00D4667D" w:rsidRPr="004C3641" w:rsidRDefault="00D4667D">
      <w:pPr>
        <w:pStyle w:val="IssueSubsectionHeading"/>
        <w:rPr>
          <w:vanish/>
          <w:specVanish/>
        </w:rPr>
      </w:pPr>
      <w:r w:rsidRPr="004C3641">
        <w:t>Recommendation: </w:t>
      </w:r>
    </w:p>
    <w:p w:rsidR="00D4667D" w:rsidRDefault="00D4667D">
      <w:pPr>
        <w:pStyle w:val="BodyText"/>
      </w:pPr>
      <w:r>
        <w:t> If no protest is filed by a person whose substantial interests are affected within 21 days of the issuance of the Order, this docket should be closed upon the issuance of a Consummating Order. (Dose)</w:t>
      </w:r>
    </w:p>
    <w:p w:rsidR="00D4667D" w:rsidRPr="004C3641" w:rsidRDefault="00D4667D">
      <w:pPr>
        <w:pStyle w:val="IssueSubsectionHeading"/>
        <w:rPr>
          <w:vanish/>
          <w:specVanish/>
        </w:rPr>
      </w:pPr>
      <w:r w:rsidRPr="004C3641">
        <w:t>Staff Analysis: </w:t>
      </w:r>
    </w:p>
    <w:p w:rsidR="00D4667D" w:rsidRDefault="00D4667D">
      <w:pPr>
        <w:pStyle w:val="BodyText"/>
      </w:pPr>
      <w:r>
        <w:t> If no protest is filed by a person whose substantial interests are affected within 21 days of the issuance of the Order, this docket should be closed upon the issuance of a Consummating Order.</w:t>
      </w:r>
    </w:p>
    <w:p w:rsidR="004A5228" w:rsidRDefault="004A5228" w:rsidP="00E275D8">
      <w:pPr>
        <w:pStyle w:val="BodyText"/>
        <w:sectPr w:rsidR="004A5228"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4A5228" w:rsidRDefault="004A5228" w:rsidP="00E275D8">
      <w:pPr>
        <w:pStyle w:val="BodyText"/>
        <w:sectPr w:rsidR="004A5228"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extent cx="5943600" cy="775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58-GU Attachment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58-GU Attachment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58-GU Attachment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58-GU Attach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58-GU Attachment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58-GU Attachment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58-GU Attachmen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5943600" cy="7757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58-GU Attachment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r>
        <w:rPr>
          <w:noProof/>
        </w:rPr>
        <w:drawing>
          <wp:inline distT="0" distB="0" distL="0" distR="0">
            <wp:extent cx="7690621" cy="5892034"/>
            <wp:effectExtent l="412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58-GU Attachment_Page_09.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702424" cy="5901077"/>
                    </a:xfrm>
                    <a:prstGeom prst="rect">
                      <a:avLst/>
                    </a:prstGeom>
                  </pic:spPr>
                </pic:pic>
              </a:graphicData>
            </a:graphic>
          </wp:inline>
        </w:drawing>
      </w:r>
      <w:r>
        <w:rPr>
          <w:noProof/>
        </w:rPr>
        <w:drawing>
          <wp:inline distT="0" distB="0" distL="0" distR="0">
            <wp:extent cx="5943600" cy="7757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58-GU Attachment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rsidR="00E06484" w:rsidRDefault="004A5228" w:rsidP="00E275D8">
      <w:pPr>
        <w:pStyle w:val="BodyText"/>
      </w:pPr>
      <w:r>
        <w:rPr>
          <w:noProof/>
        </w:rPr>
        <w:drawing>
          <wp:inline distT="0" distB="0" distL="0" distR="0">
            <wp:extent cx="5425440" cy="81381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58-GU Attachment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r>
        <w:rPr>
          <w:noProof/>
        </w:rPr>
        <w:drawing>
          <wp:inline distT="0" distB="0" distL="0" distR="0">
            <wp:extent cx="5425440" cy="81381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58-GU Attachment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r>
        <w:rPr>
          <w:noProof/>
        </w:rPr>
        <w:drawing>
          <wp:inline distT="0" distB="0" distL="0" distR="0">
            <wp:extent cx="5425440" cy="81381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58-GU Attachmen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sectPr w:rsidR="00E06484"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1E3" w:rsidRDefault="00AE61E3">
      <w:r>
        <w:separator/>
      </w:r>
    </w:p>
  </w:endnote>
  <w:endnote w:type="continuationSeparator" w:id="0">
    <w:p w:rsidR="00AE61E3" w:rsidRDefault="00AE6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85C46">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1E3" w:rsidRDefault="00AE61E3">
      <w:r>
        <w:separator/>
      </w:r>
    </w:p>
  </w:footnote>
  <w:footnote w:type="continuationSeparator" w:id="0">
    <w:p w:rsidR="00AE61E3" w:rsidRDefault="00AE61E3">
      <w:r>
        <w:continuationSeparator/>
      </w:r>
    </w:p>
  </w:footnote>
  <w:footnote w:id="1">
    <w:p w:rsidR="009447A7" w:rsidRDefault="009447A7" w:rsidP="009447A7">
      <w:pPr>
        <w:pStyle w:val="FootnoteText"/>
      </w:pPr>
      <w:r>
        <w:rPr>
          <w:rStyle w:val="FootnoteReference"/>
        </w:rPr>
        <w:footnoteRef/>
      </w:r>
      <w:r>
        <w:t xml:space="preserve"> </w:t>
      </w:r>
      <w:r w:rsidRPr="00CA74FF">
        <w:rPr>
          <w:i/>
        </w:rPr>
        <w:t>Utilities Commission of the City of New Smyrna Beach v. Florida Public Service Commission</w:t>
      </w:r>
      <w:r w:rsidRPr="00CA74FF">
        <w:t>, 469 So. 2d 731 (Fla. 1985).</w:t>
      </w:r>
    </w:p>
  </w:footnote>
  <w:footnote w:id="2">
    <w:p w:rsidR="00332786" w:rsidRDefault="00332786" w:rsidP="00332786">
      <w:pPr>
        <w:pStyle w:val="FootnoteText"/>
      </w:pPr>
      <w:r>
        <w:rPr>
          <w:rStyle w:val="FootnoteReference"/>
        </w:rPr>
        <w:footnoteRef/>
      </w:r>
      <w:r>
        <w:t xml:space="preserve"> </w:t>
      </w:r>
      <w:r w:rsidR="00843A4C">
        <w:t>Chapter 29334, Laws of Florida</w:t>
      </w:r>
      <w:r w:rsidR="00945F90">
        <w:t>.</w:t>
      </w:r>
    </w:p>
  </w:footnote>
  <w:footnote w:id="3">
    <w:p w:rsidR="00D4667D" w:rsidRDefault="00D4667D" w:rsidP="00D4667D">
      <w:pPr>
        <w:pStyle w:val="FootnoteText"/>
      </w:pPr>
      <w:r>
        <w:rPr>
          <w:rStyle w:val="FootnoteReference"/>
        </w:rPr>
        <w:footnoteRef/>
      </w:r>
      <w:r>
        <w:t xml:space="preserve"> </w:t>
      </w:r>
      <w:r w:rsidR="00BC63C2">
        <w:t>Response 2 in Staff’s First Data Request, Document No. 11563-2022</w:t>
      </w:r>
      <w:r>
        <w:t>.</w:t>
      </w:r>
    </w:p>
  </w:footnote>
  <w:footnote w:id="4">
    <w:p w:rsidR="00332786" w:rsidRDefault="00332786">
      <w:pPr>
        <w:pStyle w:val="FootnoteText"/>
      </w:pPr>
      <w:r>
        <w:rPr>
          <w:rStyle w:val="FootnoteReference"/>
        </w:rPr>
        <w:footnoteRef/>
      </w:r>
      <w:r>
        <w:t xml:space="preserve"> Response No. 3 in Staff’s First Data Request, Document No. 11563-2022</w:t>
      </w:r>
      <w:r w:rsidR="00945F90">
        <w:t>.</w:t>
      </w:r>
    </w:p>
  </w:footnote>
  <w:footnote w:id="5">
    <w:p w:rsidR="004616A4" w:rsidRDefault="004616A4" w:rsidP="004616A4">
      <w:pPr>
        <w:pStyle w:val="FootnoteText"/>
      </w:pPr>
      <w:r>
        <w:rPr>
          <w:rStyle w:val="FootnoteReference"/>
        </w:rPr>
        <w:footnoteRef/>
      </w:r>
      <w:r>
        <w:t xml:space="preserve"> Response No. 6 in Staff’s First Data Request, Document No. 11563-2022</w:t>
      </w:r>
      <w:r w:rsidR="00945F90">
        <w:t>.</w:t>
      </w:r>
    </w:p>
    <w:p w:rsidR="004616A4" w:rsidRDefault="004616A4">
      <w:pPr>
        <w:pStyle w:val="FootnoteText"/>
      </w:pPr>
    </w:p>
  </w:footnote>
  <w:footnote w:id="6">
    <w:p w:rsidR="00FC2594" w:rsidRDefault="00FC2594">
      <w:pPr>
        <w:pStyle w:val="FootnoteText"/>
      </w:pPr>
      <w:r>
        <w:rPr>
          <w:rStyle w:val="FootnoteReference"/>
        </w:rPr>
        <w:footnoteRef/>
      </w:r>
      <w:r>
        <w:t xml:space="preserve"> Response No. 4 in Staff’s First Data Request, Document No. 11563-2022.</w:t>
      </w:r>
    </w:p>
  </w:footnote>
  <w:footnote w:id="7">
    <w:p w:rsidR="00345747" w:rsidRDefault="00345747">
      <w:pPr>
        <w:pStyle w:val="FootnoteText"/>
      </w:pPr>
      <w:r>
        <w:rPr>
          <w:rStyle w:val="FootnoteReference"/>
        </w:rPr>
        <w:footnoteRef/>
      </w:r>
      <w:r>
        <w:t xml:space="preserve"> Response No. 5 </w:t>
      </w:r>
      <w:r w:rsidR="00666DC9">
        <w:t>in</w:t>
      </w:r>
      <w:r>
        <w:t xml:space="preserve"> Staff’s First Data Request, Document No. 11563-2022.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D4667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20220158-GU</w:t>
    </w:r>
    <w:bookmarkEnd w:id="15"/>
  </w:p>
  <w:p w:rsidR="00BC402E" w:rsidRDefault="00BC402E">
    <w:pPr>
      <w:pStyle w:val="Header"/>
    </w:pPr>
    <w:r>
      <w:t xml:space="preserve">Date: </w:t>
    </w:r>
    <w:fldSimple w:instr=" REF FilingDate ">
      <w:r w:rsidR="008101B6">
        <w:t>December 28,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101B6">
      <w:t>Docket No.</w:t>
    </w:r>
    <w:r>
      <w:fldChar w:fldCharType="end"/>
    </w:r>
    <w:r>
      <w:t xml:space="preserve"> </w:t>
    </w:r>
    <w:r>
      <w:fldChar w:fldCharType="begin"/>
    </w:r>
    <w:r>
      <w:instrText xml:space="preserve"> REF DocketList</w:instrText>
    </w:r>
    <w:r>
      <w:fldChar w:fldCharType="separate"/>
    </w:r>
    <w:r w:rsidR="008101B6">
      <w:t>20220158-GU</w:t>
    </w:r>
    <w:r>
      <w:fldChar w:fldCharType="end"/>
    </w:r>
    <w:r>
      <w:tab/>
      <w:t xml:space="preserve">Issue </w:t>
    </w:r>
    <w:r w:rsidR="00AE61E3">
      <w:fldChar w:fldCharType="begin"/>
    </w:r>
    <w:r w:rsidR="00AE61E3">
      <w:instrText xml:space="preserve"> Seq Issue \c \* Arabic </w:instrText>
    </w:r>
    <w:r w:rsidR="00AE61E3">
      <w:fldChar w:fldCharType="separate"/>
    </w:r>
    <w:r w:rsidR="00885C46">
      <w:rPr>
        <w:noProof/>
      </w:rPr>
      <w:t>1</w:t>
    </w:r>
    <w:r w:rsidR="00AE61E3">
      <w:rPr>
        <w:noProof/>
      </w:rPr>
      <w:fldChar w:fldCharType="end"/>
    </w:r>
  </w:p>
  <w:p w:rsidR="00BC402E" w:rsidRDefault="00BC402E">
    <w:pPr>
      <w:pStyle w:val="Header"/>
    </w:pPr>
    <w:r>
      <w:t xml:space="preserve">Date: </w:t>
    </w:r>
    <w:fldSimple w:instr=" REF FilingDate ">
      <w:r w:rsidR="008101B6">
        <w:t>December 28,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228" w:rsidRDefault="004A5228" w:rsidP="00220732">
    <w:pPr>
      <w:pStyle w:val="Header"/>
      <w:tabs>
        <w:tab w:val="clear" w:pos="4320"/>
        <w:tab w:val="clear" w:pos="8640"/>
        <w:tab w:val="right" w:pos="9360"/>
      </w:tabs>
    </w:pPr>
    <w:r>
      <w:fldChar w:fldCharType="begin"/>
    </w:r>
    <w:r>
      <w:instrText xml:space="preserve"> REF DocketLabel</w:instrText>
    </w:r>
    <w:r>
      <w:fldChar w:fldCharType="separate"/>
    </w:r>
    <w:r w:rsidR="008101B6">
      <w:t>Docket No.</w:t>
    </w:r>
    <w:r>
      <w:fldChar w:fldCharType="end"/>
    </w:r>
    <w:r>
      <w:t xml:space="preserve"> </w:t>
    </w:r>
    <w:r>
      <w:fldChar w:fldCharType="begin"/>
    </w:r>
    <w:r>
      <w:instrText xml:space="preserve"> REF DocketList</w:instrText>
    </w:r>
    <w:r>
      <w:fldChar w:fldCharType="separate"/>
    </w:r>
    <w:r w:rsidR="008101B6">
      <w:t>20220158-GU</w:t>
    </w:r>
    <w:r>
      <w:fldChar w:fldCharType="end"/>
    </w:r>
    <w:r w:rsidR="001A3D4B">
      <w:tab/>
    </w:r>
    <w:r>
      <w:t>Attachment A</w:t>
    </w:r>
  </w:p>
  <w:p w:rsidR="004A5228" w:rsidRDefault="004A5228">
    <w:pPr>
      <w:pStyle w:val="Header"/>
    </w:pPr>
    <w:r>
      <w:t xml:space="preserve">Date: </w:t>
    </w:r>
    <w:fldSimple w:instr=" REF FilingDate ">
      <w:r w:rsidR="008101B6">
        <w:t>December 28, 2022</w:t>
      </w:r>
    </w:fldSimple>
    <w:r w:rsidR="001A3D4B">
      <w:tab/>
    </w:r>
    <w:r w:rsidR="001A3D4B">
      <w:tab/>
      <w:t xml:space="preserve">                                                             Page </w:t>
    </w:r>
    <w:r w:rsidR="001A3D4B">
      <w:fldChar w:fldCharType="begin"/>
    </w:r>
    <w:r w:rsidR="001A3D4B">
      <w:instrText>=</w:instrText>
    </w:r>
    <w:r w:rsidR="001A3D4B">
      <w:fldChar w:fldCharType="begin"/>
    </w:r>
    <w:r w:rsidR="001A3D4B">
      <w:instrText>Page</w:instrText>
    </w:r>
    <w:r w:rsidR="001A3D4B">
      <w:fldChar w:fldCharType="separate"/>
    </w:r>
    <w:r w:rsidR="00885C46">
      <w:rPr>
        <w:noProof/>
      </w:rPr>
      <w:instrText>16</w:instrText>
    </w:r>
    <w:r w:rsidR="001A3D4B">
      <w:fldChar w:fldCharType="end"/>
    </w:r>
    <w:r w:rsidR="001A3D4B">
      <w:instrText>- 6</w:instrText>
    </w:r>
    <w:r w:rsidR="001A3D4B">
      <w:fldChar w:fldCharType="separate"/>
    </w:r>
    <w:r w:rsidR="00885C46">
      <w:rPr>
        <w:noProof/>
      </w:rPr>
      <w:t>10</w:t>
    </w:r>
    <w:r w:rsidR="001A3D4B">
      <w:fldChar w:fldCharType="end"/>
    </w:r>
    <w:r w:rsidR="001A3D4B">
      <w:t xml:space="preserve"> of 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228" w:rsidRDefault="004A5228" w:rsidP="00220732">
    <w:pPr>
      <w:pStyle w:val="Header"/>
      <w:tabs>
        <w:tab w:val="clear" w:pos="4320"/>
        <w:tab w:val="clear" w:pos="8640"/>
        <w:tab w:val="right" w:pos="9360"/>
      </w:tabs>
    </w:pPr>
    <w:r>
      <w:fldChar w:fldCharType="begin"/>
    </w:r>
    <w:r>
      <w:instrText xml:space="preserve"> REF DocketLabel</w:instrText>
    </w:r>
    <w:r>
      <w:fldChar w:fldCharType="separate"/>
    </w:r>
    <w:r w:rsidR="008101B6">
      <w:t>Docket No.</w:t>
    </w:r>
    <w:r>
      <w:fldChar w:fldCharType="end"/>
    </w:r>
    <w:r>
      <w:t xml:space="preserve"> </w:t>
    </w:r>
    <w:r>
      <w:fldChar w:fldCharType="begin"/>
    </w:r>
    <w:r>
      <w:instrText xml:space="preserve"> REF DocketList</w:instrText>
    </w:r>
    <w:r>
      <w:fldChar w:fldCharType="separate"/>
    </w:r>
    <w:r w:rsidR="008101B6">
      <w:t>20220158-GU</w:t>
    </w:r>
    <w:r>
      <w:fldChar w:fldCharType="end"/>
    </w:r>
    <w:r>
      <w:tab/>
      <w:t>Attachment B</w:t>
    </w:r>
  </w:p>
  <w:p w:rsidR="004A5228" w:rsidRDefault="004A5228">
    <w:pPr>
      <w:pStyle w:val="Header"/>
    </w:pPr>
    <w:r>
      <w:t xml:space="preserve">Date: </w:t>
    </w:r>
    <w:fldSimple w:instr=" REF FilingDate ">
      <w:r w:rsidR="008101B6">
        <w:t>December 28, 2022</w:t>
      </w:r>
    </w:fldSimple>
    <w:r w:rsidR="001A3D4B">
      <w:tab/>
    </w:r>
    <w:r w:rsidR="001A3D4B">
      <w:tab/>
      <w:t xml:space="preserve">                                                              Page </w:t>
    </w:r>
    <w:r w:rsidR="001A3D4B">
      <w:fldChar w:fldCharType="begin"/>
    </w:r>
    <w:r w:rsidR="001A3D4B">
      <w:instrText>=</w:instrText>
    </w:r>
    <w:r w:rsidR="001A3D4B">
      <w:fldChar w:fldCharType="begin"/>
    </w:r>
    <w:r w:rsidR="001A3D4B">
      <w:instrText xml:space="preserve"> Page </w:instrText>
    </w:r>
    <w:r w:rsidR="001A3D4B">
      <w:fldChar w:fldCharType="separate"/>
    </w:r>
    <w:r w:rsidR="00885C46">
      <w:rPr>
        <w:noProof/>
      </w:rPr>
      <w:instrText>19</w:instrText>
    </w:r>
    <w:r w:rsidR="001A3D4B">
      <w:fldChar w:fldCharType="end"/>
    </w:r>
    <w:r w:rsidR="001A3D4B">
      <w:instrText xml:space="preserve">- 16 </w:instrText>
    </w:r>
    <w:r w:rsidR="001A3D4B">
      <w:fldChar w:fldCharType="separate"/>
    </w:r>
    <w:r w:rsidR="00885C46">
      <w:rPr>
        <w:noProof/>
      </w:rPr>
      <w:t>3</w:t>
    </w:r>
    <w:r w:rsidR="001A3D4B">
      <w:fldChar w:fldCharType="end"/>
    </w:r>
    <w:r w:rsidR="001A3D4B">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4667D"/>
    <w:rsid w:val="000043D5"/>
    <w:rsid w:val="00006170"/>
    <w:rsid w:val="000106A7"/>
    <w:rsid w:val="00010E37"/>
    <w:rsid w:val="000172DA"/>
    <w:rsid w:val="00022337"/>
    <w:rsid w:val="00023A0E"/>
    <w:rsid w:val="000247C5"/>
    <w:rsid w:val="000277C2"/>
    <w:rsid w:val="00035B48"/>
    <w:rsid w:val="00036CE2"/>
    <w:rsid w:val="000437FE"/>
    <w:rsid w:val="000513BE"/>
    <w:rsid w:val="00051573"/>
    <w:rsid w:val="0005451B"/>
    <w:rsid w:val="00057753"/>
    <w:rsid w:val="00065A06"/>
    <w:rsid w:val="000666F3"/>
    <w:rsid w:val="00070DCB"/>
    <w:rsid w:val="00072CCA"/>
    <w:rsid w:val="00073120"/>
    <w:rsid w:val="000764D0"/>
    <w:rsid w:val="000828D3"/>
    <w:rsid w:val="000A1373"/>
    <w:rsid w:val="000A2B57"/>
    <w:rsid w:val="000A418B"/>
    <w:rsid w:val="000B0ACE"/>
    <w:rsid w:val="000C4431"/>
    <w:rsid w:val="000C6607"/>
    <w:rsid w:val="000D1C06"/>
    <w:rsid w:val="000D3043"/>
    <w:rsid w:val="000D4319"/>
    <w:rsid w:val="000E24FA"/>
    <w:rsid w:val="000E338A"/>
    <w:rsid w:val="000E4392"/>
    <w:rsid w:val="000F374A"/>
    <w:rsid w:val="000F4DAF"/>
    <w:rsid w:val="001050B1"/>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5CA"/>
    <w:rsid w:val="00136BD1"/>
    <w:rsid w:val="00146B5D"/>
    <w:rsid w:val="00150ECE"/>
    <w:rsid w:val="0015506E"/>
    <w:rsid w:val="00163031"/>
    <w:rsid w:val="001654C4"/>
    <w:rsid w:val="00171A90"/>
    <w:rsid w:val="00180254"/>
    <w:rsid w:val="00191E1F"/>
    <w:rsid w:val="00191EE8"/>
    <w:rsid w:val="00192943"/>
    <w:rsid w:val="00193BAF"/>
    <w:rsid w:val="00194791"/>
    <w:rsid w:val="001A3D4B"/>
    <w:rsid w:val="001A7406"/>
    <w:rsid w:val="001A7AE4"/>
    <w:rsid w:val="001B1EDC"/>
    <w:rsid w:val="001B4053"/>
    <w:rsid w:val="001B4FEE"/>
    <w:rsid w:val="001B51C5"/>
    <w:rsid w:val="001B672A"/>
    <w:rsid w:val="001B6F3F"/>
    <w:rsid w:val="001C52B5"/>
    <w:rsid w:val="001D0D3E"/>
    <w:rsid w:val="001D2817"/>
    <w:rsid w:val="001D2899"/>
    <w:rsid w:val="001E7FF4"/>
    <w:rsid w:val="001F2245"/>
    <w:rsid w:val="001F2C63"/>
    <w:rsid w:val="001F48C7"/>
    <w:rsid w:val="001F5B1C"/>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44A92"/>
    <w:rsid w:val="00252687"/>
    <w:rsid w:val="00263D44"/>
    <w:rsid w:val="002702AD"/>
    <w:rsid w:val="00281EB4"/>
    <w:rsid w:val="00287EE2"/>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32786"/>
    <w:rsid w:val="00340073"/>
    <w:rsid w:val="003411D8"/>
    <w:rsid w:val="003425E6"/>
    <w:rsid w:val="003445B0"/>
    <w:rsid w:val="00345747"/>
    <w:rsid w:val="00347DBE"/>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324C8"/>
    <w:rsid w:val="004426B8"/>
    <w:rsid w:val="00444432"/>
    <w:rsid w:val="00447D5C"/>
    <w:rsid w:val="00450202"/>
    <w:rsid w:val="004502B2"/>
    <w:rsid w:val="00455499"/>
    <w:rsid w:val="004616A4"/>
    <w:rsid w:val="004649A7"/>
    <w:rsid w:val="00471860"/>
    <w:rsid w:val="00477026"/>
    <w:rsid w:val="00477730"/>
    <w:rsid w:val="004A5228"/>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4337"/>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6DC9"/>
    <w:rsid w:val="00667036"/>
    <w:rsid w:val="00667B89"/>
    <w:rsid w:val="00673BDB"/>
    <w:rsid w:val="00674237"/>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3BD1"/>
    <w:rsid w:val="006E010E"/>
    <w:rsid w:val="006E08CB"/>
    <w:rsid w:val="006E509C"/>
    <w:rsid w:val="006E598D"/>
    <w:rsid w:val="006F0D7C"/>
    <w:rsid w:val="006F5B26"/>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74291"/>
    <w:rsid w:val="00780C09"/>
    <w:rsid w:val="00780DDF"/>
    <w:rsid w:val="007834E9"/>
    <w:rsid w:val="00787DBC"/>
    <w:rsid w:val="0079019A"/>
    <w:rsid w:val="00792935"/>
    <w:rsid w:val="007A04A1"/>
    <w:rsid w:val="007A1840"/>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101B6"/>
    <w:rsid w:val="00816624"/>
    <w:rsid w:val="00822427"/>
    <w:rsid w:val="00822562"/>
    <w:rsid w:val="00823663"/>
    <w:rsid w:val="00823664"/>
    <w:rsid w:val="008305B7"/>
    <w:rsid w:val="00832DDC"/>
    <w:rsid w:val="008426B0"/>
    <w:rsid w:val="008431BB"/>
    <w:rsid w:val="00843A4C"/>
    <w:rsid w:val="00845E34"/>
    <w:rsid w:val="00850BAC"/>
    <w:rsid w:val="00854A3E"/>
    <w:rsid w:val="00855D08"/>
    <w:rsid w:val="008618A4"/>
    <w:rsid w:val="008731AB"/>
    <w:rsid w:val="00874344"/>
    <w:rsid w:val="0087505D"/>
    <w:rsid w:val="00875C28"/>
    <w:rsid w:val="00877703"/>
    <w:rsid w:val="00882155"/>
    <w:rsid w:val="0088233B"/>
    <w:rsid w:val="0088599E"/>
    <w:rsid w:val="00885C46"/>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47A7"/>
    <w:rsid w:val="00945BD6"/>
    <w:rsid w:val="00945F90"/>
    <w:rsid w:val="009479FB"/>
    <w:rsid w:val="00951C45"/>
    <w:rsid w:val="00951DD8"/>
    <w:rsid w:val="009656F2"/>
    <w:rsid w:val="00966A08"/>
    <w:rsid w:val="009701B7"/>
    <w:rsid w:val="00971207"/>
    <w:rsid w:val="00975CB4"/>
    <w:rsid w:val="009863B0"/>
    <w:rsid w:val="00987DE1"/>
    <w:rsid w:val="00990571"/>
    <w:rsid w:val="00991905"/>
    <w:rsid w:val="00992446"/>
    <w:rsid w:val="009926B2"/>
    <w:rsid w:val="0099673A"/>
    <w:rsid w:val="009A3291"/>
    <w:rsid w:val="009A3330"/>
    <w:rsid w:val="009A548F"/>
    <w:rsid w:val="009A7C96"/>
    <w:rsid w:val="009B188A"/>
    <w:rsid w:val="009B4ABC"/>
    <w:rsid w:val="009B4FF1"/>
    <w:rsid w:val="009B61BF"/>
    <w:rsid w:val="009C2D43"/>
    <w:rsid w:val="009C3253"/>
    <w:rsid w:val="009C3DB9"/>
    <w:rsid w:val="009C5968"/>
    <w:rsid w:val="009D0436"/>
    <w:rsid w:val="009D46E5"/>
    <w:rsid w:val="009D568A"/>
    <w:rsid w:val="009F04EC"/>
    <w:rsid w:val="009F2A7C"/>
    <w:rsid w:val="009F3B36"/>
    <w:rsid w:val="009F6CC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35324"/>
    <w:rsid w:val="00A41CA6"/>
    <w:rsid w:val="00A431ED"/>
    <w:rsid w:val="00A47927"/>
    <w:rsid w:val="00A47FFC"/>
    <w:rsid w:val="00A5442F"/>
    <w:rsid w:val="00A54FF9"/>
    <w:rsid w:val="00A56765"/>
    <w:rsid w:val="00A675AC"/>
    <w:rsid w:val="00A7097D"/>
    <w:rsid w:val="00A7581F"/>
    <w:rsid w:val="00A81274"/>
    <w:rsid w:val="00A8261A"/>
    <w:rsid w:val="00A86ACA"/>
    <w:rsid w:val="00A92439"/>
    <w:rsid w:val="00A92FB1"/>
    <w:rsid w:val="00A95980"/>
    <w:rsid w:val="00A95A0C"/>
    <w:rsid w:val="00AA2765"/>
    <w:rsid w:val="00AA77B5"/>
    <w:rsid w:val="00AB6C5D"/>
    <w:rsid w:val="00AC3401"/>
    <w:rsid w:val="00AC51A7"/>
    <w:rsid w:val="00AC603B"/>
    <w:rsid w:val="00AC7020"/>
    <w:rsid w:val="00AD0E89"/>
    <w:rsid w:val="00AD24DA"/>
    <w:rsid w:val="00AD444B"/>
    <w:rsid w:val="00AD5614"/>
    <w:rsid w:val="00AD6C78"/>
    <w:rsid w:val="00AE03F0"/>
    <w:rsid w:val="00AE2EAB"/>
    <w:rsid w:val="00AE61E3"/>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6673"/>
    <w:rsid w:val="00B2765A"/>
    <w:rsid w:val="00B3109A"/>
    <w:rsid w:val="00B32D37"/>
    <w:rsid w:val="00B41AA8"/>
    <w:rsid w:val="00B42B45"/>
    <w:rsid w:val="00B4391E"/>
    <w:rsid w:val="00B516ED"/>
    <w:rsid w:val="00B565DA"/>
    <w:rsid w:val="00B57A6A"/>
    <w:rsid w:val="00B62D0D"/>
    <w:rsid w:val="00B64975"/>
    <w:rsid w:val="00B760F1"/>
    <w:rsid w:val="00B7669E"/>
    <w:rsid w:val="00B76EBB"/>
    <w:rsid w:val="00B77DA1"/>
    <w:rsid w:val="00B822A0"/>
    <w:rsid w:val="00B82F85"/>
    <w:rsid w:val="00B858AE"/>
    <w:rsid w:val="00B85964"/>
    <w:rsid w:val="00B95121"/>
    <w:rsid w:val="00B96250"/>
    <w:rsid w:val="00BA0D55"/>
    <w:rsid w:val="00BA37B3"/>
    <w:rsid w:val="00BA4CC6"/>
    <w:rsid w:val="00BA7F46"/>
    <w:rsid w:val="00BB0F1D"/>
    <w:rsid w:val="00BB3493"/>
    <w:rsid w:val="00BB6E4C"/>
    <w:rsid w:val="00BB7468"/>
    <w:rsid w:val="00BC0514"/>
    <w:rsid w:val="00BC188A"/>
    <w:rsid w:val="00BC1E6D"/>
    <w:rsid w:val="00BC402E"/>
    <w:rsid w:val="00BC63C2"/>
    <w:rsid w:val="00BC70C6"/>
    <w:rsid w:val="00BD0F48"/>
    <w:rsid w:val="00BD14E5"/>
    <w:rsid w:val="00BE0E50"/>
    <w:rsid w:val="00BE6DDB"/>
    <w:rsid w:val="00BF03E0"/>
    <w:rsid w:val="00BF5010"/>
    <w:rsid w:val="00C03009"/>
    <w:rsid w:val="00C03D5F"/>
    <w:rsid w:val="00C12948"/>
    <w:rsid w:val="00C13791"/>
    <w:rsid w:val="00C210BD"/>
    <w:rsid w:val="00C2575A"/>
    <w:rsid w:val="00C31BB3"/>
    <w:rsid w:val="00C36977"/>
    <w:rsid w:val="00C441C7"/>
    <w:rsid w:val="00C46628"/>
    <w:rsid w:val="00C467DA"/>
    <w:rsid w:val="00C477D9"/>
    <w:rsid w:val="00C5533E"/>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D1653"/>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667D"/>
    <w:rsid w:val="00D479AE"/>
    <w:rsid w:val="00D50FCD"/>
    <w:rsid w:val="00D533E3"/>
    <w:rsid w:val="00D60B16"/>
    <w:rsid w:val="00D60F02"/>
    <w:rsid w:val="00D65A1D"/>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AF6"/>
    <w:rsid w:val="00E02F1F"/>
    <w:rsid w:val="00E05454"/>
    <w:rsid w:val="00E06484"/>
    <w:rsid w:val="00E06B24"/>
    <w:rsid w:val="00E20A7D"/>
    <w:rsid w:val="00E23415"/>
    <w:rsid w:val="00E23FE4"/>
    <w:rsid w:val="00E275D8"/>
    <w:rsid w:val="00E30F6A"/>
    <w:rsid w:val="00E3117C"/>
    <w:rsid w:val="00E31288"/>
    <w:rsid w:val="00E34307"/>
    <w:rsid w:val="00E34511"/>
    <w:rsid w:val="00E3635B"/>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15D4"/>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055"/>
    <w:rsid w:val="00F13CF8"/>
    <w:rsid w:val="00F15855"/>
    <w:rsid w:val="00F200B2"/>
    <w:rsid w:val="00F227DC"/>
    <w:rsid w:val="00F30701"/>
    <w:rsid w:val="00F32978"/>
    <w:rsid w:val="00F45CB2"/>
    <w:rsid w:val="00F511F3"/>
    <w:rsid w:val="00F52C8C"/>
    <w:rsid w:val="00F544C0"/>
    <w:rsid w:val="00F55332"/>
    <w:rsid w:val="00F6156E"/>
    <w:rsid w:val="00F6504A"/>
    <w:rsid w:val="00F65519"/>
    <w:rsid w:val="00F66D9F"/>
    <w:rsid w:val="00F713C0"/>
    <w:rsid w:val="00F75DDC"/>
    <w:rsid w:val="00F7792F"/>
    <w:rsid w:val="00F842AA"/>
    <w:rsid w:val="00F8476F"/>
    <w:rsid w:val="00F852D5"/>
    <w:rsid w:val="00F853E1"/>
    <w:rsid w:val="00F85604"/>
    <w:rsid w:val="00F93809"/>
    <w:rsid w:val="00F94B7A"/>
    <w:rsid w:val="00FA17AC"/>
    <w:rsid w:val="00FA32DE"/>
    <w:rsid w:val="00FA3382"/>
    <w:rsid w:val="00FA59CD"/>
    <w:rsid w:val="00FB0CDC"/>
    <w:rsid w:val="00FB1740"/>
    <w:rsid w:val="00FB4235"/>
    <w:rsid w:val="00FC2594"/>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4F0CEC"/>
  <w15:docId w15:val="{2B125D35-A8F8-42A6-ABDB-1AE171E3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D4667D"/>
  </w:style>
  <w:style w:type="character" w:styleId="FootnoteReference">
    <w:name w:val="footnote reference"/>
    <w:basedOn w:val="DefaultParagraphFont"/>
    <w:unhideWhenUsed/>
    <w:rsid w:val="00D466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D947-2EDA-414E-A0C0-ADF7D4EE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2</TotalTime>
  <Pages>19</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Joe Cipriani</cp:lastModifiedBy>
  <cp:revision>5</cp:revision>
  <cp:lastPrinted>2022-12-14T20:15:00Z</cp:lastPrinted>
  <dcterms:created xsi:type="dcterms:W3CDTF">2022-12-27T13:19:00Z</dcterms:created>
  <dcterms:modified xsi:type="dcterms:W3CDTF">2022-12-28T13:47:00Z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20220158-GU</vt:lpwstr>
  </property>
  <property fmtid="{D5CDD505-2E9C-101B-9397-08002B2CF9AE}" pid="3" name="MasterDocument">
    <vt:bool>false</vt:bool>
  </property>
</Properties>
</file>