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2834E3" w:rsidP="00532DFB">
            <w:pPr>
              <w:pStyle w:val="MastHeadState"/>
            </w:pPr>
            <w:r>
              <w:t xml:space="preserve">  </w:t>
            </w:r>
            <w:r w:rsidR="007C0528">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2C7AAE">
            <w:pPr>
              <w:pStyle w:val="MemoHeading"/>
            </w:pPr>
            <w:bookmarkStart w:id="0" w:name="FilingDate"/>
            <w:r>
              <w:t>December 28, 2022</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2C7AAE" w:rsidRDefault="002C7AAE">
            <w:pPr>
              <w:pStyle w:val="MemoHeading"/>
            </w:pPr>
            <w:bookmarkStart w:id="1" w:name="From"/>
            <w:r>
              <w:t>Division of Economics (Guffey)</w:t>
            </w:r>
          </w:p>
          <w:p w:rsidR="007C0528" w:rsidRDefault="002C7AAE">
            <w:pPr>
              <w:pStyle w:val="MemoHeading"/>
            </w:pPr>
            <w:r>
              <w:t>Office of the General Counsel (Watrous, Crawford)</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2C7AAE">
            <w:pPr>
              <w:pStyle w:val="MemoHeadingRe"/>
            </w:pPr>
            <w:bookmarkStart w:id="2" w:name="Re"/>
            <w:r>
              <w:t>Docket No. 20220164-GU – Joint petition for approval of territorial agreement in Santa Rosa County, by the Okaloosa Gas District and the City of Milton.</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2C7AAE">
            <w:pPr>
              <w:pStyle w:val="MemoHeading"/>
            </w:pPr>
            <w:bookmarkStart w:id="3" w:name="AgendaDate"/>
            <w:r>
              <w:t>01/10/23</w:t>
            </w:r>
            <w:bookmarkEnd w:id="3"/>
            <w:r w:rsidR="007C0528">
              <w:t xml:space="preserve"> – </w:t>
            </w:r>
            <w:bookmarkStart w:id="4" w:name="PermittedStatus"/>
            <w:r>
              <w:t>Regular Agenda – Proposed Agency Action – Interested Persons May Participate</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2C7AAE">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2C7AAE">
            <w:pPr>
              <w:pStyle w:val="MemoHeading"/>
            </w:pPr>
            <w:bookmarkStart w:id="6" w:name="PrehearingOfficer"/>
            <w:r>
              <w:t>Passidomo</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7C0528" w:rsidRDefault="002C7AAE">
            <w:pPr>
              <w:pStyle w:val="MemoHeading"/>
            </w:pPr>
            <w:bookmarkStart w:id="8" w:name="CriticalDates"/>
            <w:r>
              <w:t>None</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2C7AAE">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B57570" w:rsidRDefault="00CD038F">
      <w:pPr>
        <w:pStyle w:val="BodyText"/>
      </w:pPr>
      <w:r>
        <w:t xml:space="preserve">On September 22, 2022, the City of Milton (Milton) and the Okaloosa Gas District (District), collectively the parties, filed a joint petition seeking Commission approval of a </w:t>
      </w:r>
      <w:r w:rsidR="00C54A3F">
        <w:t xml:space="preserve">new </w:t>
      </w:r>
      <w:r>
        <w:t xml:space="preserve">Territorial Agreement (Agreement) delineating their respective service boundaries in Santa Rosa County. </w:t>
      </w:r>
      <w:r w:rsidR="004070A4">
        <w:t xml:space="preserve">Presently, both Milton and the District provide retail natural gas service to customers in </w:t>
      </w:r>
      <w:r w:rsidR="0014326C">
        <w:t>contiguous</w:t>
      </w:r>
      <w:r w:rsidR="004070A4">
        <w:t xml:space="preserve"> areas in Santa Rosa County</w:t>
      </w:r>
      <w:r w:rsidR="00743D48">
        <w:t xml:space="preserve"> pursuant to </w:t>
      </w:r>
      <w:r w:rsidR="00D23724">
        <w:t>service territories</w:t>
      </w:r>
      <w:r w:rsidR="00743D48">
        <w:t xml:space="preserve"> established by the </w:t>
      </w:r>
      <w:r w:rsidR="00DB687C">
        <w:t xml:space="preserve">Florida </w:t>
      </w:r>
      <w:r w:rsidR="00743D48">
        <w:t>Legislature.</w:t>
      </w:r>
      <w:r w:rsidR="004070A4">
        <w:t xml:space="preserve"> </w:t>
      </w:r>
    </w:p>
    <w:p w:rsidR="0068481F" w:rsidRDefault="00861059">
      <w:pPr>
        <w:pStyle w:val="BodyText"/>
      </w:pPr>
      <w:r>
        <w:t>The Florida Legislature enacted Chapters 61-2489 and 29334 (1953), Laws of Florida</w:t>
      </w:r>
      <w:r w:rsidR="006C7FA2">
        <w:t>,</w:t>
      </w:r>
      <w:r>
        <w:t xml:space="preserve"> to establish Milton’s and the District’s natural gas service areas respectively.  Therefore, t</w:t>
      </w:r>
      <w:r w:rsidR="00743D48">
        <w:t xml:space="preserve">he parties </w:t>
      </w:r>
      <w:r>
        <w:t xml:space="preserve">in this docket </w:t>
      </w:r>
      <w:r w:rsidR="00743D48">
        <w:t>currently do not have a Commission-approved territorial agreement.</w:t>
      </w:r>
      <w:r w:rsidR="00483E16">
        <w:rPr>
          <w:rStyle w:val="FootnoteReference"/>
        </w:rPr>
        <w:footnoteReference w:id="1"/>
      </w:r>
      <w:r w:rsidR="00743D48">
        <w:t xml:space="preserve"> </w:t>
      </w:r>
      <w:r w:rsidR="004070A4">
        <w:t>The purpose of the proposed Agreement is to clearly define, by mutual agreement</w:t>
      </w:r>
      <w:r w:rsidR="00D23724">
        <w:t>,</w:t>
      </w:r>
      <w:r w:rsidR="004070A4">
        <w:t xml:space="preserve"> spe</w:t>
      </w:r>
      <w:r w:rsidR="0014326C">
        <w:t>ci</w:t>
      </w:r>
      <w:r w:rsidR="004070A4">
        <w:t xml:space="preserve">fic service boundaries </w:t>
      </w:r>
      <w:r w:rsidR="00F8327C">
        <w:lastRenderedPageBreak/>
        <w:t>of</w:t>
      </w:r>
      <w:r w:rsidR="00F47D92">
        <w:t xml:space="preserve"> the parties </w:t>
      </w:r>
      <w:r w:rsidR="004070A4">
        <w:t xml:space="preserve">within Santa Rosa </w:t>
      </w:r>
      <w:r w:rsidR="00A07B5E">
        <w:t>County</w:t>
      </w:r>
      <w:r w:rsidR="004070A4">
        <w:t xml:space="preserve"> </w:t>
      </w:r>
      <w:r w:rsidR="00EC6979">
        <w:t xml:space="preserve">and </w:t>
      </w:r>
      <w:r w:rsidR="0014326C">
        <w:t>avoid</w:t>
      </w:r>
      <w:r w:rsidR="004070A4">
        <w:t xml:space="preserve"> duplication of servic</w:t>
      </w:r>
      <w:r w:rsidR="00ED2E61">
        <w:t xml:space="preserve">es and </w:t>
      </w:r>
      <w:r w:rsidR="0014326C">
        <w:t>facilities</w:t>
      </w:r>
      <w:r w:rsidR="00ED2E61">
        <w:t xml:space="preserve">. </w:t>
      </w:r>
      <w:r w:rsidR="00B57570">
        <w:t xml:space="preserve">No customers will be transferred pursuant to the Agreement. </w:t>
      </w:r>
      <w:r w:rsidR="00ED2E61">
        <w:t>The Agreement</w:t>
      </w:r>
      <w:r w:rsidR="00F8327C">
        <w:t xml:space="preserve">, Laws of Florida describing Milton’s and the District’s </w:t>
      </w:r>
      <w:r w:rsidR="00A055DD">
        <w:t xml:space="preserve">current </w:t>
      </w:r>
      <w:r w:rsidR="00F8327C">
        <w:t>service areas,</w:t>
      </w:r>
      <w:r w:rsidR="00ED2E61">
        <w:t xml:space="preserve"> and map depicting the service boundaries are shown in Attachment A to this recommendation. </w:t>
      </w:r>
    </w:p>
    <w:p w:rsidR="007C0528" w:rsidRDefault="0000268E" w:rsidP="007B35E2">
      <w:pPr>
        <w:jc w:val="both"/>
      </w:pPr>
      <w:r w:rsidRPr="00BA0A70">
        <w:rPr>
          <w:color w:val="000000"/>
          <w:sz w:val="23"/>
          <w:szCs w:val="23"/>
        </w:rPr>
        <w:t xml:space="preserve">Staff issued a data request to the </w:t>
      </w:r>
      <w:r>
        <w:rPr>
          <w:color w:val="000000"/>
          <w:sz w:val="23"/>
          <w:szCs w:val="23"/>
        </w:rPr>
        <w:t>parties</w:t>
      </w:r>
      <w:r w:rsidRPr="00BA0A70">
        <w:rPr>
          <w:color w:val="000000"/>
          <w:sz w:val="23"/>
          <w:szCs w:val="23"/>
        </w:rPr>
        <w:t xml:space="preserve"> for which the response</w:t>
      </w:r>
      <w:r w:rsidR="00EC6979">
        <w:rPr>
          <w:color w:val="000000"/>
          <w:sz w:val="23"/>
          <w:szCs w:val="23"/>
        </w:rPr>
        <w:t>s</w:t>
      </w:r>
      <w:r w:rsidRPr="00BA0A70">
        <w:rPr>
          <w:color w:val="000000"/>
          <w:sz w:val="23"/>
          <w:szCs w:val="23"/>
        </w:rPr>
        <w:t xml:space="preserve"> were received on </w:t>
      </w:r>
      <w:r>
        <w:rPr>
          <w:color w:val="000000"/>
          <w:sz w:val="23"/>
          <w:szCs w:val="23"/>
        </w:rPr>
        <w:t>November 22, 2022.</w:t>
      </w:r>
      <w:r w:rsidRPr="00BA0A70">
        <w:rPr>
          <w:color w:val="000000"/>
          <w:sz w:val="23"/>
          <w:szCs w:val="23"/>
        </w:rPr>
        <w:t xml:space="preserve"> </w:t>
      </w:r>
      <w:r w:rsidRPr="00BA0A70">
        <w:t>The Commission has jurisdiction over this matter pursuant to Section 366.04, Florida Statutes (F.S.)</w:t>
      </w:r>
      <w:r>
        <w:t>.</w:t>
      </w:r>
    </w:p>
    <w:p w:rsidR="0000268E" w:rsidRDefault="0000268E" w:rsidP="0068481F"/>
    <w:bookmarkEnd w:id="11"/>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t>Discussion of Issues</w:t>
      </w:r>
    </w:p>
    <w:bookmarkEnd w:id="15"/>
    <w:p w:rsidR="0000268E" w:rsidRDefault="0000268E">
      <w:pPr>
        <w:pStyle w:val="IssueHeading"/>
        <w:rPr>
          <w:vanish/>
          <w:specVanish/>
        </w:rPr>
      </w:pPr>
      <w:r w:rsidRPr="004C3641">
        <w:t xml:space="preserve">Issue </w:t>
      </w:r>
      <w:r w:rsidR="004B169E">
        <w:fldChar w:fldCharType="begin"/>
      </w:r>
      <w:r w:rsidR="004B169E">
        <w:instrText xml:space="preserve"> SEQ Issue \* MERGEFORMAT </w:instrText>
      </w:r>
      <w:r w:rsidR="004B169E">
        <w:fldChar w:fldCharType="separate"/>
      </w:r>
      <w:r w:rsidR="006118B3">
        <w:rPr>
          <w:noProof/>
        </w:rPr>
        <w:t>1</w:t>
      </w:r>
      <w:r w:rsidR="004B169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6118B3">
        <w:rPr>
          <w:noProof/>
        </w:rPr>
        <w:instrText>1</w:instrText>
      </w:r>
      <w:r>
        <w:fldChar w:fldCharType="end"/>
      </w:r>
      <w:r>
        <w:tab/>
        <w:instrText xml:space="preserve">(Guffey)" \l 1 </w:instrText>
      </w:r>
      <w:r>
        <w:fldChar w:fldCharType="end"/>
      </w:r>
      <w:r>
        <w:t> </w:t>
      </w:r>
    </w:p>
    <w:p w:rsidR="0000268E" w:rsidRDefault="0000268E">
      <w:pPr>
        <w:pStyle w:val="BodyText"/>
      </w:pPr>
      <w:r>
        <w:t xml:space="preserve"> Should the Commission approve the proposed </w:t>
      </w:r>
      <w:r w:rsidR="00C54A3F">
        <w:t xml:space="preserve">new </w:t>
      </w:r>
      <w:r>
        <w:t xml:space="preserve">Territorial Agreement between the City of Milton and </w:t>
      </w:r>
      <w:r w:rsidR="007B35E2">
        <w:t xml:space="preserve">the </w:t>
      </w:r>
      <w:r>
        <w:t>Okaloosa Gas District in Santa Rosa County?</w:t>
      </w:r>
    </w:p>
    <w:p w:rsidR="0000268E" w:rsidRPr="004C3641" w:rsidRDefault="0000268E">
      <w:pPr>
        <w:pStyle w:val="IssueSubsectionHeading"/>
        <w:rPr>
          <w:vanish/>
          <w:specVanish/>
        </w:rPr>
      </w:pPr>
      <w:r w:rsidRPr="004C3641">
        <w:t>Recommendation: </w:t>
      </w:r>
    </w:p>
    <w:p w:rsidR="0000268E" w:rsidRDefault="0000268E">
      <w:pPr>
        <w:pStyle w:val="BodyText"/>
      </w:pPr>
      <w:r>
        <w:t xml:space="preserve"> Yes, the Commission </w:t>
      </w:r>
      <w:r w:rsidR="00EC6979">
        <w:t xml:space="preserve">should </w:t>
      </w:r>
      <w:r>
        <w:t xml:space="preserve">approve the proposed </w:t>
      </w:r>
      <w:r w:rsidR="00C54A3F">
        <w:t xml:space="preserve">new </w:t>
      </w:r>
      <w:r>
        <w:t xml:space="preserve">Territorial Agreement between the City of Milton and </w:t>
      </w:r>
      <w:r w:rsidR="007B35E2">
        <w:t xml:space="preserve">the </w:t>
      </w:r>
      <w:r>
        <w:t xml:space="preserve">Okaloosa Gas District in Santa Rosa County. </w:t>
      </w:r>
      <w:r w:rsidR="0073653B">
        <w:t>T</w:t>
      </w:r>
      <w:r>
        <w:t>he proposed Territorial Agreement will clearly define specific service boundaries within Santa Rosa County</w:t>
      </w:r>
      <w:r w:rsidR="005B6B10">
        <w:t xml:space="preserve"> </w:t>
      </w:r>
      <w:r w:rsidR="00695413">
        <w:t xml:space="preserve">between Milton and the Gas District </w:t>
      </w:r>
      <w:r w:rsidR="005B6B10">
        <w:t>and</w:t>
      </w:r>
      <w:r>
        <w:t xml:space="preserve"> </w:t>
      </w:r>
      <w:r w:rsidR="00695413">
        <w:t xml:space="preserve">will </w:t>
      </w:r>
      <w:r>
        <w:t>avoid duplication of facilities and service</w:t>
      </w:r>
      <w:r w:rsidR="00695413">
        <w:t>s</w:t>
      </w:r>
      <w:r w:rsidR="005B6B10">
        <w:t>.</w:t>
      </w:r>
      <w:r>
        <w:t xml:space="preserve"> (Guffey)</w:t>
      </w:r>
    </w:p>
    <w:p w:rsidR="0000268E" w:rsidRPr="004C3641" w:rsidRDefault="0000268E">
      <w:pPr>
        <w:pStyle w:val="IssueSubsectionHeading"/>
        <w:rPr>
          <w:vanish/>
          <w:specVanish/>
        </w:rPr>
      </w:pPr>
      <w:r w:rsidRPr="004C3641">
        <w:t>Staff Analysis: </w:t>
      </w:r>
    </w:p>
    <w:p w:rsidR="0000268E" w:rsidRDefault="0000268E">
      <w:pPr>
        <w:pStyle w:val="BodyText"/>
      </w:pPr>
      <w:r>
        <w:t> </w:t>
      </w:r>
      <w:r w:rsidR="005B6B10" w:rsidRPr="0001459E">
        <w:t>Pursuant to Section 366.04(</w:t>
      </w:r>
      <w:r w:rsidR="0001459E" w:rsidRPr="0001459E">
        <w:t>3</w:t>
      </w:r>
      <w:r w:rsidR="005B6B10" w:rsidRPr="0001459E">
        <w:t>)(</w:t>
      </w:r>
      <w:r w:rsidR="0001459E" w:rsidRPr="0001459E">
        <w:t>a</w:t>
      </w:r>
      <w:r w:rsidR="005B6B10" w:rsidRPr="0001459E">
        <w:t>)</w:t>
      </w:r>
      <w:r w:rsidR="0022074B">
        <w:t>,</w:t>
      </w:r>
      <w:r w:rsidR="005B6B10" w:rsidRPr="0001459E">
        <w:t xml:space="preserve"> F.S., and Rule </w:t>
      </w:r>
      <w:r w:rsidR="005B6B10" w:rsidRPr="002E6817">
        <w:t>25-</w:t>
      </w:r>
      <w:r w:rsidR="002E6817" w:rsidRPr="002E6817">
        <w:t>7</w:t>
      </w:r>
      <w:r w:rsidR="005B6B10" w:rsidRPr="002E6817">
        <w:t>.04</w:t>
      </w:r>
      <w:r w:rsidR="002E6817" w:rsidRPr="002E6817">
        <w:t>71</w:t>
      </w:r>
      <w:r w:rsidR="005B6B10" w:rsidRPr="002E6817">
        <w:t xml:space="preserve">, Florida Administrative Code (F.A.C.), the Commission has the jurisdiction to approve territorial agreements between </w:t>
      </w:r>
      <w:r w:rsidR="002E6817" w:rsidRPr="002E6817">
        <w:t xml:space="preserve">natural gas </w:t>
      </w:r>
      <w:r w:rsidR="005B6B10" w:rsidRPr="002E6817">
        <w:t>utilities.</w:t>
      </w:r>
      <w:r w:rsidR="0022074B">
        <w:t xml:space="preserve"> Section 366.04(3)(c), F.S., defines natural gas </w:t>
      </w:r>
      <w:r w:rsidR="004205B9">
        <w:t>utility</w:t>
      </w:r>
      <w:r w:rsidR="0022074B">
        <w:t xml:space="preserve"> to include municipalities and gas districts. </w:t>
      </w:r>
      <w:r w:rsidR="0013183A" w:rsidRPr="0090596F">
        <w:t xml:space="preserve">Unless the Commission determines that the </w:t>
      </w:r>
      <w:r w:rsidR="0013183A">
        <w:t>A</w:t>
      </w:r>
      <w:r w:rsidR="0013183A" w:rsidRPr="0090596F">
        <w:t xml:space="preserve">greement will cause a detriment to the public interest, </w:t>
      </w:r>
      <w:r w:rsidR="0013183A">
        <w:t>it</w:t>
      </w:r>
      <w:r w:rsidR="0013183A" w:rsidRPr="0090596F">
        <w:t xml:space="preserve"> should be approved.</w:t>
      </w:r>
      <w:r w:rsidR="0013183A">
        <w:rPr>
          <w:rStyle w:val="FootnoteReference"/>
        </w:rPr>
        <w:footnoteReference w:id="2"/>
      </w:r>
    </w:p>
    <w:p w:rsidR="005B6B10" w:rsidRDefault="0022074B">
      <w:pPr>
        <w:pStyle w:val="BodyText"/>
      </w:pPr>
      <w:r>
        <w:t>Milton</w:t>
      </w:r>
      <w:r w:rsidR="00D90823">
        <w:t>, the county seat of Santa Rosa County,</w:t>
      </w:r>
      <w:r>
        <w:t xml:space="preserve"> is serving </w:t>
      </w:r>
      <w:r w:rsidR="00095E32">
        <w:t xml:space="preserve">approximately 4,500 </w:t>
      </w:r>
      <w:r w:rsidR="00D90823">
        <w:t xml:space="preserve">natural gas </w:t>
      </w:r>
      <w:r>
        <w:t>customers in a defined area pursuant to Chapter 71-773, Laws of Florida.</w:t>
      </w:r>
      <w:r w:rsidR="00790442">
        <w:rPr>
          <w:rStyle w:val="FootnoteReference"/>
        </w:rPr>
        <w:footnoteReference w:id="3"/>
      </w:r>
      <w:r w:rsidR="002E0535">
        <w:t xml:space="preserve"> </w:t>
      </w:r>
      <w:r w:rsidR="00A167D6">
        <w:t>Chapter 71-773</w:t>
      </w:r>
      <w:r w:rsidR="00A055DD">
        <w:t>, Laws of Florida</w:t>
      </w:r>
      <w:r w:rsidR="00C82496">
        <w:t>,</w:t>
      </w:r>
      <w:r w:rsidR="00A167D6">
        <w:t xml:space="preserve"> is included as Exhibit A to the petition</w:t>
      </w:r>
      <w:r w:rsidR="006F34B4">
        <w:t xml:space="preserve"> and page 11 of 27 of Attachment A to the recommendation</w:t>
      </w:r>
      <w:r w:rsidR="00A167D6">
        <w:t>.</w:t>
      </w:r>
    </w:p>
    <w:p w:rsidR="00E06484" w:rsidRDefault="007B35E2" w:rsidP="00E275D8">
      <w:pPr>
        <w:pStyle w:val="BodyText"/>
      </w:pPr>
      <w:r>
        <w:t xml:space="preserve">The </w:t>
      </w:r>
      <w:r w:rsidR="00ED24D4">
        <w:t>Okaloosa Gas District is an independent special district created</w:t>
      </w:r>
      <w:r w:rsidR="00572FC0">
        <w:t xml:space="preserve"> and established</w:t>
      </w:r>
      <w:r w:rsidR="00ED24D4">
        <w:t xml:space="preserve"> by the Florida </w:t>
      </w:r>
      <w:r w:rsidR="00EC6979">
        <w:t>L</w:t>
      </w:r>
      <w:r w:rsidR="00ED24D4">
        <w:t>egislature in 1953 to own and operate natural gas transmission and distribution systems in Okaloosa County.</w:t>
      </w:r>
      <w:r w:rsidR="00EC6979">
        <w:rPr>
          <w:rStyle w:val="FootnoteReference"/>
        </w:rPr>
        <w:footnoteReference w:id="4"/>
      </w:r>
      <w:r w:rsidR="00ED24D4">
        <w:t xml:space="preserve"> </w:t>
      </w:r>
      <w:r w:rsidR="00572FC0">
        <w:t>In 2000, the Legislature expanded in Chapter 2000-443</w:t>
      </w:r>
      <w:r w:rsidR="0013470C">
        <w:t>, Laws of Florida,</w:t>
      </w:r>
      <w:r w:rsidR="00572FC0">
        <w:t xml:space="preserve"> the District’s </w:t>
      </w:r>
      <w:r w:rsidR="00ED24D4">
        <w:t xml:space="preserve">service area to include portions of Santa Rosa and Walton counties. </w:t>
      </w:r>
      <w:r w:rsidR="00572FC0">
        <w:t>Chapter 2000-443</w:t>
      </w:r>
      <w:r w:rsidR="0013470C">
        <w:t>, Laws of Florida</w:t>
      </w:r>
      <w:r w:rsidR="00C82496">
        <w:t>,</w:t>
      </w:r>
      <w:r w:rsidR="00572FC0">
        <w:t xml:space="preserve"> is included in Exhibit A to the petition</w:t>
      </w:r>
      <w:r w:rsidR="00B57570">
        <w:t xml:space="preserve"> and </w:t>
      </w:r>
      <w:r w:rsidR="0013470C">
        <w:t xml:space="preserve">on </w:t>
      </w:r>
      <w:r w:rsidR="00B57570">
        <w:t>pages 12 through 2</w:t>
      </w:r>
      <w:r w:rsidR="0013470C">
        <w:t>3</w:t>
      </w:r>
      <w:r w:rsidR="00B57570">
        <w:t xml:space="preserve"> of Attachment A to the recommendation</w:t>
      </w:r>
      <w:r w:rsidR="00572FC0">
        <w:t xml:space="preserve">. </w:t>
      </w:r>
      <w:r w:rsidR="00A167D6">
        <w:t xml:space="preserve">The </w:t>
      </w:r>
      <w:r w:rsidR="00ED24D4">
        <w:t>District provides natural gas service to 50,</w:t>
      </w:r>
      <w:r w:rsidR="00C54A3F">
        <w:t>996</w:t>
      </w:r>
      <w:r w:rsidR="00ED24D4">
        <w:t xml:space="preserve"> residential, commercial,</w:t>
      </w:r>
      <w:r w:rsidR="00D23724">
        <w:t xml:space="preserve"> and</w:t>
      </w:r>
      <w:r w:rsidR="00ED24D4">
        <w:t xml:space="preserve"> industrial customers within its </w:t>
      </w:r>
      <w:r w:rsidR="00C54A3F">
        <w:t xml:space="preserve">entire </w:t>
      </w:r>
      <w:r w:rsidR="00ED24D4">
        <w:t>service area</w:t>
      </w:r>
      <w:r w:rsidR="00C54A3F">
        <w:t xml:space="preserve"> </w:t>
      </w:r>
      <w:r w:rsidR="00A07B5E">
        <w:t>and</w:t>
      </w:r>
      <w:r w:rsidR="00D23724">
        <w:t xml:space="preserve"> to</w:t>
      </w:r>
      <w:r w:rsidR="008E142D">
        <w:t xml:space="preserve"> </w:t>
      </w:r>
      <w:r w:rsidR="00A07B5E">
        <w:t xml:space="preserve">approximately </w:t>
      </w:r>
      <w:r w:rsidR="008E142D">
        <w:t>4,</w:t>
      </w:r>
      <w:r w:rsidR="00A07B5E">
        <w:t>800</w:t>
      </w:r>
      <w:r w:rsidR="008E142D">
        <w:t xml:space="preserve"> customers in Santa Rosa County.</w:t>
      </w:r>
      <w:r w:rsidR="00A07B5E">
        <w:rPr>
          <w:rStyle w:val="FootnoteReference"/>
        </w:rPr>
        <w:footnoteReference w:id="5"/>
      </w:r>
      <w:r w:rsidR="000725A3" w:rsidRPr="000725A3">
        <w:t xml:space="preserve"> </w:t>
      </w:r>
      <w:r w:rsidR="00890DF4">
        <w:t>In response to staff’s first data request, t</w:t>
      </w:r>
      <w:r w:rsidR="00DB687C">
        <w:t xml:space="preserve">he parties explained that </w:t>
      </w:r>
      <w:r w:rsidR="00C82496">
        <w:t xml:space="preserve">under </w:t>
      </w:r>
      <w:r w:rsidR="00DB687C">
        <w:t>t</w:t>
      </w:r>
      <w:r w:rsidR="000725A3">
        <w:t xml:space="preserve">he </w:t>
      </w:r>
      <w:r w:rsidR="00890DF4">
        <w:t xml:space="preserve">provisions of Chapter 71-773, Laws of Florida, and Chapter 2021-262, Laws of Florida, both parties were granted the right to serve </w:t>
      </w:r>
      <w:r w:rsidR="00D73877">
        <w:t xml:space="preserve">some of </w:t>
      </w:r>
      <w:r w:rsidR="00890DF4">
        <w:t>the same geographic area</w:t>
      </w:r>
      <w:r w:rsidR="00D73877">
        <w:t>s</w:t>
      </w:r>
      <w:r w:rsidR="000725A3">
        <w:t xml:space="preserve">, </w:t>
      </w:r>
      <w:r w:rsidR="00890DF4">
        <w:t xml:space="preserve">which has </w:t>
      </w:r>
      <w:r w:rsidR="000725A3">
        <w:t xml:space="preserve">resulted in </w:t>
      </w:r>
      <w:r w:rsidR="00890DF4">
        <w:t xml:space="preserve">some </w:t>
      </w:r>
      <w:r w:rsidR="000725A3">
        <w:t>overlapping service areas.</w:t>
      </w:r>
      <w:r w:rsidR="00890DF4">
        <w:rPr>
          <w:rStyle w:val="FootnoteReference"/>
        </w:rPr>
        <w:footnoteReference w:id="6"/>
      </w:r>
    </w:p>
    <w:p w:rsidR="006118B3" w:rsidRDefault="00A167D6" w:rsidP="000C6E14">
      <w:pPr>
        <w:pStyle w:val="BodyText"/>
      </w:pPr>
      <w:r>
        <w:t xml:space="preserve">In 2021, the Florida Legislature </w:t>
      </w:r>
      <w:r w:rsidR="00572FC0">
        <w:t xml:space="preserve">enacted </w:t>
      </w:r>
      <w:r>
        <w:t>Chapter 2021-262,</w:t>
      </w:r>
      <w:r w:rsidR="009F44FD">
        <w:rPr>
          <w:rStyle w:val="FootnoteReference"/>
        </w:rPr>
        <w:footnoteReference w:id="7"/>
      </w:r>
      <w:r>
        <w:t xml:space="preserve"> Laws of Florida, to expand the service area of the District to include all of Santa Rosa and Walton counties except for certain areas </w:t>
      </w:r>
      <w:r w:rsidR="001F0798">
        <w:t>explicitly</w:t>
      </w:r>
      <w:r>
        <w:t xml:space="preserve"> excluded. Specifically, the City of Milton</w:t>
      </w:r>
      <w:r w:rsidR="006F34B4">
        <w:t xml:space="preserve"> and its rights to serve natural gas customers with</w:t>
      </w:r>
      <w:r w:rsidR="00D73877">
        <w:t>in</w:t>
      </w:r>
      <w:r w:rsidR="006F34B4">
        <w:t xml:space="preserve"> its territorial grants are excluded from the District’s service area. </w:t>
      </w:r>
      <w:r>
        <w:t>Chapter 2021-262</w:t>
      </w:r>
      <w:r w:rsidR="00CD5921">
        <w:t>, Laws of Florida</w:t>
      </w:r>
      <w:r w:rsidR="00C82496">
        <w:t>,</w:t>
      </w:r>
      <w:r w:rsidR="00CD5921">
        <w:t xml:space="preserve"> </w:t>
      </w:r>
      <w:r>
        <w:t>is shown in Exhibit B to the petition</w:t>
      </w:r>
      <w:r w:rsidR="00B57570">
        <w:t xml:space="preserve"> and </w:t>
      </w:r>
      <w:r w:rsidR="00CD5921">
        <w:t xml:space="preserve">on </w:t>
      </w:r>
      <w:r w:rsidR="00B57570">
        <w:t>pages 24 through 26 of Attachment A to the recommendation</w:t>
      </w:r>
      <w:r>
        <w:t>.</w:t>
      </w:r>
    </w:p>
    <w:p w:rsidR="008E142D" w:rsidRDefault="008E142D" w:rsidP="008E142D">
      <w:pPr>
        <w:pStyle w:val="First-LevelSubheading"/>
      </w:pPr>
      <w:r>
        <w:t>Proposed Territorial Agreement</w:t>
      </w:r>
    </w:p>
    <w:p w:rsidR="009678DD" w:rsidRDefault="009678DD" w:rsidP="00E275D8">
      <w:pPr>
        <w:pStyle w:val="BodyText"/>
      </w:pPr>
      <w:r>
        <w:t>Chapter 2021-262, Section 3(1)</w:t>
      </w:r>
      <w:r w:rsidR="000379B6">
        <w:t>(a)</w:t>
      </w:r>
      <w:r>
        <w:t xml:space="preserve">, Laws of Florida, </w:t>
      </w:r>
      <w:r w:rsidR="000379B6">
        <w:t>provides the following language</w:t>
      </w:r>
      <w:r>
        <w:t>:</w:t>
      </w:r>
    </w:p>
    <w:p w:rsidR="009678DD" w:rsidRDefault="009678DD" w:rsidP="00424759">
      <w:pPr>
        <w:pStyle w:val="BodyText"/>
        <w:ind w:left="720" w:right="720"/>
      </w:pPr>
      <w:r>
        <w:t xml:space="preserve">The area within the corporate limits of the </w:t>
      </w:r>
      <w:r w:rsidRPr="009678DD">
        <w:rPr>
          <w:u w:val="single"/>
        </w:rPr>
        <w:t>City</w:t>
      </w:r>
      <w:r>
        <w:t xml:space="preserve"> </w:t>
      </w:r>
      <w:r w:rsidRPr="009678DD">
        <w:rPr>
          <w:strike/>
        </w:rPr>
        <w:t>Town</w:t>
      </w:r>
      <w:r>
        <w:t xml:space="preserve"> of Milton and the surrounding territory presently served by the gas distribution system of said </w:t>
      </w:r>
      <w:r w:rsidRPr="009678DD">
        <w:rPr>
          <w:u w:val="single"/>
        </w:rPr>
        <w:t>city</w:t>
      </w:r>
      <w:r>
        <w:t xml:space="preserve"> </w:t>
      </w:r>
      <w:r w:rsidRPr="009678DD">
        <w:rPr>
          <w:strike/>
        </w:rPr>
        <w:t>town</w:t>
      </w:r>
      <w:r>
        <w:t xml:space="preserve">; </w:t>
      </w:r>
      <w:r w:rsidRPr="009678DD">
        <w:rPr>
          <w:u w:val="single"/>
        </w:rPr>
        <w:t>however, nothing in this act shall be construed to restrict or limit the City of Milton’s right to serve gas customers within its territorial grants and in all areas where the district territories overlap</w:t>
      </w:r>
      <w:bookmarkStart w:id="16" w:name="_GoBack"/>
      <w:bookmarkEnd w:id="16"/>
      <w:r w:rsidRPr="009678DD">
        <w:rPr>
          <w:u w:val="single"/>
        </w:rPr>
        <w:t xml:space="preserve"> with territories of the City of Milton authorized by chapter 61-2489 and chapter 71-773, Laws of Florida;</w:t>
      </w:r>
    </w:p>
    <w:p w:rsidR="008E142D" w:rsidRDefault="000379B6" w:rsidP="00E275D8">
      <w:pPr>
        <w:pStyle w:val="BodyText"/>
      </w:pPr>
      <w:r>
        <w:t xml:space="preserve">The underlined language shows the </w:t>
      </w:r>
      <w:r w:rsidR="000438DC">
        <w:t>amendment</w:t>
      </w:r>
      <w:r>
        <w:t xml:space="preserve"> from Chapter 2000-443, Laws of Florida, and is shown on page 24 of 27 of Attachment A to the recommendation. </w:t>
      </w:r>
      <w:r w:rsidR="002413EF">
        <w:t>T</w:t>
      </w:r>
      <w:r w:rsidR="0014326C">
        <w:t>hrough this proposed Agreement</w:t>
      </w:r>
      <w:r w:rsidR="002413EF">
        <w:t>, the parties</w:t>
      </w:r>
      <w:r w:rsidR="0014326C">
        <w:t xml:space="preserve"> </w:t>
      </w:r>
      <w:r w:rsidR="00DB687C">
        <w:t xml:space="preserve">stated that they </w:t>
      </w:r>
      <w:r w:rsidR="0014326C">
        <w:t xml:space="preserve">desire to clearly define </w:t>
      </w:r>
      <w:r w:rsidR="009678DD">
        <w:t xml:space="preserve">their </w:t>
      </w:r>
      <w:r w:rsidR="0014326C">
        <w:t>specific territorial boundaries within Santa Rosa County, provide efficient service to customers, and avoid duplication of service and facilities</w:t>
      </w:r>
      <w:r w:rsidR="00432904">
        <w:t>.</w:t>
      </w:r>
    </w:p>
    <w:p w:rsidR="00432904" w:rsidRDefault="00432904" w:rsidP="00E275D8">
      <w:pPr>
        <w:pStyle w:val="BodyText"/>
      </w:pPr>
      <w:r>
        <w:t>There are no customer o</w:t>
      </w:r>
      <w:r w:rsidR="00CC0A6E">
        <w:t>r</w:t>
      </w:r>
      <w:r>
        <w:t xml:space="preserve"> </w:t>
      </w:r>
      <w:r w:rsidR="00CC0A6E">
        <w:t>infrastructure</w:t>
      </w:r>
      <w:r>
        <w:t xml:space="preserve"> facilit</w:t>
      </w:r>
      <w:r w:rsidR="00CC0A6E">
        <w:t>y</w:t>
      </w:r>
      <w:r>
        <w:t xml:space="preserve"> transfer</w:t>
      </w:r>
      <w:r w:rsidR="00CC0A6E">
        <w:t xml:space="preserve">s </w:t>
      </w:r>
      <w:r w:rsidR="00AF29BF">
        <w:t>contemplated in this</w:t>
      </w:r>
      <w:r>
        <w:t xml:space="preserve"> proposed Agreement. The initial term of the Agreement is for 25 years and unless modified by mutual agreement, the Agreement will be renewed every five years</w:t>
      </w:r>
      <w:r w:rsidR="00E92094">
        <w:t xml:space="preserve"> thereafter. </w:t>
      </w:r>
    </w:p>
    <w:p w:rsidR="0073653B" w:rsidRDefault="0073653B" w:rsidP="0073653B">
      <w:pPr>
        <w:pStyle w:val="First-LevelSubheading"/>
      </w:pPr>
      <w:r>
        <w:t xml:space="preserve">Conclusion </w:t>
      </w:r>
    </w:p>
    <w:p w:rsidR="0073653B" w:rsidRDefault="0073653B" w:rsidP="0073653B">
      <w:pPr>
        <w:pStyle w:val="BodyText"/>
        <w:rPr>
          <w:lang w:val="en"/>
        </w:rPr>
      </w:pPr>
      <w:r>
        <w:rPr>
          <w:lang w:val="en"/>
        </w:rPr>
        <w:t xml:space="preserve">After review of the joint petition and the petitioners’ joint responses to Commission staff’s data request, staff </w:t>
      </w:r>
      <w:r w:rsidR="00B94BC0">
        <w:rPr>
          <w:lang w:val="en"/>
        </w:rPr>
        <w:t>believes</w:t>
      </w:r>
      <w:r>
        <w:rPr>
          <w:lang w:val="en"/>
        </w:rPr>
        <w:t xml:space="preserve"> that the proposed </w:t>
      </w:r>
      <w:r w:rsidR="005D1E1C">
        <w:rPr>
          <w:lang w:val="en"/>
        </w:rPr>
        <w:t xml:space="preserve">new </w:t>
      </w:r>
      <w:r>
        <w:rPr>
          <w:lang w:val="en"/>
        </w:rPr>
        <w:t xml:space="preserve">Agreement is in the public interest and will enable </w:t>
      </w:r>
      <w:r w:rsidR="00CC0A6E">
        <w:rPr>
          <w:lang w:val="en"/>
        </w:rPr>
        <w:t>Milton</w:t>
      </w:r>
      <w:r>
        <w:rPr>
          <w:lang w:val="en"/>
        </w:rPr>
        <w:t xml:space="preserve"> and the District to serve their current and future customers efficiently</w:t>
      </w:r>
      <w:r w:rsidR="00D626C5">
        <w:rPr>
          <w:lang w:val="en"/>
        </w:rPr>
        <w:t xml:space="preserve"> in Santa Rosa County. </w:t>
      </w:r>
      <w:r w:rsidR="00B57570">
        <w:t>The proposed Agreement will clearly define specific service boundaries within Santa Rosa County between Milton and the District and will avoid duplication of facilities and services.</w:t>
      </w:r>
      <w:r w:rsidR="00B94BC0" w:rsidRPr="00B94BC0">
        <w:rPr>
          <w:lang w:val="en"/>
        </w:rPr>
        <w:t xml:space="preserve"> </w:t>
      </w:r>
      <w:r w:rsidR="00B94BC0">
        <w:rPr>
          <w:lang w:val="en"/>
        </w:rPr>
        <w:t xml:space="preserve">Therefore, staff recommends that the Commission should approve </w:t>
      </w:r>
      <w:r w:rsidR="00B94BC0">
        <w:t>the proposed new Agreement between the City of Milton and the Okaloosa Gas District in Santa Rosa County.</w:t>
      </w:r>
    </w:p>
    <w:p w:rsidR="00C100A7" w:rsidRDefault="00C100A7">
      <w:pPr>
        <w:pStyle w:val="IssueHeading"/>
        <w:rPr>
          <w:vanish/>
          <w:specVanish/>
        </w:rPr>
      </w:pPr>
      <w:r w:rsidRPr="004C3641">
        <w:rPr>
          <w:b w:val="0"/>
          <w:i w:val="0"/>
        </w:rPr>
        <w:br w:type="page"/>
      </w:r>
      <w:r w:rsidRPr="004C3641">
        <w:t xml:space="preserve">Issue </w:t>
      </w:r>
      <w:r w:rsidR="004B169E">
        <w:fldChar w:fldCharType="begin"/>
      </w:r>
      <w:r w:rsidR="004B169E">
        <w:instrText xml:space="preserve"> SEQ Issue \* MERGEFORMAT </w:instrText>
      </w:r>
      <w:r w:rsidR="004B169E">
        <w:fldChar w:fldCharType="separate"/>
      </w:r>
      <w:r w:rsidR="006118B3">
        <w:rPr>
          <w:noProof/>
        </w:rPr>
        <w:t>2</w:t>
      </w:r>
      <w:r w:rsidR="004B169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6118B3">
        <w:rPr>
          <w:noProof/>
        </w:rPr>
        <w:instrText>2</w:instrText>
      </w:r>
      <w:r>
        <w:fldChar w:fldCharType="end"/>
      </w:r>
      <w:r>
        <w:tab/>
        <w:instrText xml:space="preserve">(Watrous)" \l 1 </w:instrText>
      </w:r>
      <w:r>
        <w:fldChar w:fldCharType="end"/>
      </w:r>
      <w:r>
        <w:t> </w:t>
      </w:r>
    </w:p>
    <w:p w:rsidR="00C100A7" w:rsidRDefault="00C100A7">
      <w:pPr>
        <w:pStyle w:val="BodyText"/>
      </w:pPr>
      <w:r>
        <w:t> Should this docket be closed?</w:t>
      </w:r>
    </w:p>
    <w:p w:rsidR="00C100A7" w:rsidRPr="004C3641" w:rsidRDefault="00C100A7">
      <w:pPr>
        <w:pStyle w:val="IssueSubsectionHeading"/>
        <w:rPr>
          <w:vanish/>
          <w:specVanish/>
        </w:rPr>
      </w:pPr>
      <w:r w:rsidRPr="004C3641">
        <w:t>Recommendation: </w:t>
      </w:r>
    </w:p>
    <w:p w:rsidR="00C100A7" w:rsidRDefault="00C100A7">
      <w:pPr>
        <w:pStyle w:val="BodyText"/>
      </w:pPr>
      <w:r>
        <w:t> If no protest is filed by a person whose substantial interests are affected within 21 days of the issuance of the Order, this docket should be closed upon the issuance of a Consummating Order. (Watrous)</w:t>
      </w:r>
    </w:p>
    <w:p w:rsidR="00C100A7" w:rsidRPr="004C3641" w:rsidRDefault="00C100A7">
      <w:pPr>
        <w:pStyle w:val="IssueSubsectionHeading"/>
        <w:rPr>
          <w:vanish/>
          <w:specVanish/>
        </w:rPr>
      </w:pPr>
      <w:r w:rsidRPr="004C3641">
        <w:t>Staff Analysis: </w:t>
      </w:r>
    </w:p>
    <w:p w:rsidR="00C100A7" w:rsidRDefault="00C100A7">
      <w:pPr>
        <w:pStyle w:val="BodyText"/>
      </w:pPr>
      <w:r>
        <w:t> If no protest is filed by a person whose substantial interests are affected within 21 days of the issuance of the Order, this docket should be closed upon the issuance of a Consummating Order.</w:t>
      </w:r>
    </w:p>
    <w:p w:rsidR="00B90A66" w:rsidRDefault="00B90A66" w:rsidP="0073653B">
      <w:pPr>
        <w:pStyle w:val="BodyText"/>
        <w:sectPr w:rsidR="00B90A66"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C100A7" w:rsidRDefault="00B90A66" w:rsidP="0073653B">
      <w:pPr>
        <w:pStyle w:val="BodyText"/>
      </w:pPr>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164-GU Attachment_Page_0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164-GU Attachment_Page_0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164-GU Attachment_Page_0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164-GU Attachment_Page_0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164-GU Attachment_Page_05.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164-GU Attachment_Page_06.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164-GU Attachment_Page_07.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164-GU Attachment_Page_08.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164-GU Attachment_Page_09.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164-GU Attachment_Page_1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164-GU Attachment_Page_11.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0164-GU Attachment_Page_12.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0164-GU Attachment_Page_13.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164-GU Attachment_Page_14.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20164-GU Attachment_Page_15.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20164-GU Attachment_Page_16.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20164-GU Attachment_Page_17.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20164-GU Attachment_Page_18.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20164-GU Attachment_Page_19.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20164-GU Attachment_Page_20.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20164-GU Attachment_Page_21.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20164-GU Attachment_Page_22.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20164-GU Attachment_Page_23.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20164-GU Attachment_Page_24.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20164-GU Attachment_Page_25.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20164-GU Attachment_Page_26.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8012906" cy="6192024"/>
            <wp:effectExtent l="0" t="4128" r="3493" b="349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20164-GU Attachment_Page_27.jp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8030712" cy="6205784"/>
                    </a:xfrm>
                    <a:prstGeom prst="rect">
                      <a:avLst/>
                    </a:prstGeom>
                  </pic:spPr>
                </pic:pic>
              </a:graphicData>
            </a:graphic>
          </wp:inline>
        </w:drawing>
      </w:r>
    </w:p>
    <w:sectPr w:rsidR="00C100A7" w:rsidSect="0068481F">
      <w:headerReference w:type="default" r:id="rId41"/>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69E" w:rsidRDefault="004B169E">
      <w:r>
        <w:separator/>
      </w:r>
    </w:p>
  </w:endnote>
  <w:endnote w:type="continuationSeparator" w:id="0">
    <w:p w:rsidR="004B169E" w:rsidRDefault="004B1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C93B9F">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69E" w:rsidRDefault="004B169E">
      <w:r>
        <w:separator/>
      </w:r>
    </w:p>
  </w:footnote>
  <w:footnote w:type="continuationSeparator" w:id="0">
    <w:p w:rsidR="004B169E" w:rsidRDefault="004B169E">
      <w:r>
        <w:continuationSeparator/>
      </w:r>
    </w:p>
  </w:footnote>
  <w:footnote w:id="1">
    <w:p w:rsidR="00483E16" w:rsidRDefault="00483E16">
      <w:pPr>
        <w:pStyle w:val="FootnoteText"/>
      </w:pPr>
      <w:r>
        <w:rPr>
          <w:rStyle w:val="FootnoteReference"/>
        </w:rPr>
        <w:footnoteRef/>
      </w:r>
      <w:r>
        <w:t xml:space="preserve"> Response No. 5 in Staff’s First Data Request, Document </w:t>
      </w:r>
      <w:r w:rsidR="00861059">
        <w:t>N</w:t>
      </w:r>
      <w:r>
        <w:t>o. 11469-2022.</w:t>
      </w:r>
    </w:p>
  </w:footnote>
  <w:footnote w:id="2">
    <w:p w:rsidR="0013183A" w:rsidRDefault="0013183A" w:rsidP="0013183A">
      <w:pPr>
        <w:pStyle w:val="FootnoteText"/>
      </w:pPr>
      <w:r>
        <w:rPr>
          <w:rStyle w:val="FootnoteReference"/>
        </w:rPr>
        <w:footnoteRef/>
      </w:r>
      <w:r>
        <w:t xml:space="preserve"> </w:t>
      </w:r>
      <w:r w:rsidRPr="00CA74FF">
        <w:rPr>
          <w:i/>
        </w:rPr>
        <w:t>Utilities Commission of the City of New Smyrna Beach v. Florida Public Service Commission</w:t>
      </w:r>
      <w:r w:rsidRPr="00CA74FF">
        <w:t>, 469 So. 2d 731 (Fla. 1985).</w:t>
      </w:r>
    </w:p>
  </w:footnote>
  <w:footnote w:id="3">
    <w:p w:rsidR="00790442" w:rsidRDefault="00790442">
      <w:pPr>
        <w:pStyle w:val="FootnoteText"/>
      </w:pPr>
      <w:r>
        <w:rPr>
          <w:rStyle w:val="FootnoteReference"/>
        </w:rPr>
        <w:footnoteRef/>
      </w:r>
      <w:r>
        <w:t xml:space="preserve"> Chapter 71-773 amended Chapter 61-2489, Laws of Florida</w:t>
      </w:r>
      <w:r w:rsidR="00157CBF">
        <w:t>.</w:t>
      </w:r>
    </w:p>
  </w:footnote>
  <w:footnote w:id="4">
    <w:p w:rsidR="00EC6979" w:rsidRDefault="00EC6979" w:rsidP="00EC6979">
      <w:pPr>
        <w:pStyle w:val="FootnoteText"/>
      </w:pPr>
      <w:r>
        <w:rPr>
          <w:rStyle w:val="FootnoteReference"/>
        </w:rPr>
        <w:footnoteRef/>
      </w:r>
      <w:r>
        <w:t xml:space="preserve"> Chapter 29334,</w:t>
      </w:r>
      <w:r w:rsidR="00777090">
        <w:t xml:space="preserve"> Laws of Florida</w:t>
      </w:r>
      <w:r w:rsidR="0013470C">
        <w:t>.</w:t>
      </w:r>
    </w:p>
  </w:footnote>
  <w:footnote w:id="5">
    <w:p w:rsidR="00A07B5E" w:rsidRDefault="00A07B5E" w:rsidP="00A07B5E">
      <w:pPr>
        <w:pStyle w:val="FootnoteText"/>
      </w:pPr>
      <w:r>
        <w:rPr>
          <w:rStyle w:val="FootnoteReference"/>
        </w:rPr>
        <w:footnoteRef/>
      </w:r>
      <w:r>
        <w:t xml:space="preserve"> Response No. 2 in Staff’s First Data Request, Document No. 11469-2022.</w:t>
      </w:r>
    </w:p>
  </w:footnote>
  <w:footnote w:id="6">
    <w:p w:rsidR="00890DF4" w:rsidRDefault="00890DF4">
      <w:pPr>
        <w:pStyle w:val="FootnoteText"/>
      </w:pPr>
      <w:r>
        <w:rPr>
          <w:rStyle w:val="FootnoteReference"/>
        </w:rPr>
        <w:footnoteRef/>
      </w:r>
      <w:r>
        <w:t xml:space="preserve"> Response No. 5 in Staff’s First Data Request, Document No. 11469-2022</w:t>
      </w:r>
      <w:r w:rsidR="00157CBF">
        <w:t>.</w:t>
      </w:r>
    </w:p>
  </w:footnote>
  <w:footnote w:id="7">
    <w:p w:rsidR="009F44FD" w:rsidRDefault="009F44FD">
      <w:pPr>
        <w:pStyle w:val="FootnoteText"/>
      </w:pPr>
      <w:r>
        <w:rPr>
          <w:rStyle w:val="FootnoteReference"/>
        </w:rPr>
        <w:footnoteRef/>
      </w:r>
      <w:r>
        <w:t xml:space="preserve"> Chapter 2021-262 amended Chapter 2000-443, Laws of Florida.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2C7AAE"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20220164-GU</w:t>
    </w:r>
    <w:bookmarkEnd w:id="14"/>
  </w:p>
  <w:p w:rsidR="00BC402E" w:rsidRDefault="00BC402E">
    <w:pPr>
      <w:pStyle w:val="Header"/>
    </w:pPr>
    <w:r>
      <w:t xml:space="preserve">Date: </w:t>
    </w:r>
    <w:fldSimple w:instr=" REF FilingDate ">
      <w:r w:rsidR="006118B3">
        <w:t>December 28, 2022</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6118B3">
      <w:t>Docket No.</w:t>
    </w:r>
    <w:r>
      <w:fldChar w:fldCharType="end"/>
    </w:r>
    <w:r>
      <w:t xml:space="preserve"> </w:t>
    </w:r>
    <w:r>
      <w:fldChar w:fldCharType="begin"/>
    </w:r>
    <w:r>
      <w:instrText xml:space="preserve"> REF DocketList</w:instrText>
    </w:r>
    <w:r>
      <w:fldChar w:fldCharType="separate"/>
    </w:r>
    <w:r w:rsidR="006118B3">
      <w:t>20220164-GU</w:t>
    </w:r>
    <w:r>
      <w:fldChar w:fldCharType="end"/>
    </w:r>
    <w:r>
      <w:tab/>
      <w:t xml:space="preserve">Issue </w:t>
    </w:r>
    <w:r w:rsidR="004B169E">
      <w:fldChar w:fldCharType="begin"/>
    </w:r>
    <w:r w:rsidR="004B169E">
      <w:instrText xml:space="preserve"> Seq Issue \c \* Arabic </w:instrText>
    </w:r>
    <w:r w:rsidR="004B169E">
      <w:fldChar w:fldCharType="separate"/>
    </w:r>
    <w:r w:rsidR="00C93B9F">
      <w:rPr>
        <w:noProof/>
      </w:rPr>
      <w:t>1</w:t>
    </w:r>
    <w:r w:rsidR="004B169E">
      <w:rPr>
        <w:noProof/>
      </w:rPr>
      <w:fldChar w:fldCharType="end"/>
    </w:r>
  </w:p>
  <w:p w:rsidR="00BC402E" w:rsidRDefault="00BC402E">
    <w:pPr>
      <w:pStyle w:val="Header"/>
    </w:pPr>
    <w:r>
      <w:t xml:space="preserve">Date: </w:t>
    </w:r>
    <w:fldSimple w:instr=" REF FilingDate ">
      <w:r w:rsidR="006118B3">
        <w:t>December 28, 2022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A66" w:rsidRDefault="00B90A66" w:rsidP="00220732">
    <w:pPr>
      <w:pStyle w:val="Header"/>
      <w:tabs>
        <w:tab w:val="clear" w:pos="4320"/>
        <w:tab w:val="clear" w:pos="8640"/>
        <w:tab w:val="right" w:pos="9360"/>
      </w:tabs>
    </w:pPr>
    <w:r>
      <w:fldChar w:fldCharType="begin"/>
    </w:r>
    <w:r>
      <w:instrText xml:space="preserve"> REF DocketLabel</w:instrText>
    </w:r>
    <w:r>
      <w:fldChar w:fldCharType="separate"/>
    </w:r>
    <w:r w:rsidR="006118B3">
      <w:t>Docket No.</w:t>
    </w:r>
    <w:r>
      <w:fldChar w:fldCharType="end"/>
    </w:r>
    <w:r>
      <w:t xml:space="preserve"> </w:t>
    </w:r>
    <w:r>
      <w:fldChar w:fldCharType="begin"/>
    </w:r>
    <w:r>
      <w:instrText xml:space="preserve"> REF DocketList</w:instrText>
    </w:r>
    <w:r>
      <w:fldChar w:fldCharType="separate"/>
    </w:r>
    <w:r w:rsidR="006118B3">
      <w:t>20220164-GU</w:t>
    </w:r>
    <w:r>
      <w:fldChar w:fldCharType="end"/>
    </w:r>
    <w:r>
      <w:tab/>
      <w:t>Attachment A</w:t>
    </w:r>
  </w:p>
  <w:p w:rsidR="00B90A66" w:rsidRDefault="00B90A66">
    <w:pPr>
      <w:pStyle w:val="Header"/>
    </w:pPr>
    <w:r>
      <w:t xml:space="preserve">Date: </w:t>
    </w:r>
    <w:fldSimple w:instr=" REF FilingDate ">
      <w:r w:rsidR="006118B3">
        <w:t>December 28, 2022</w:t>
      </w:r>
    </w:fldSimple>
    <w:r>
      <w:tab/>
    </w:r>
    <w:r>
      <w:tab/>
      <w:t xml:space="preserve">                                                             Page </w:t>
    </w:r>
    <w:r>
      <w:fldChar w:fldCharType="begin"/>
    </w:r>
    <w:r>
      <w:instrText xml:space="preserve"> =</w:instrText>
    </w:r>
    <w:r>
      <w:fldChar w:fldCharType="begin"/>
    </w:r>
    <w:r>
      <w:instrText xml:space="preserve">Page </w:instrText>
    </w:r>
    <w:r>
      <w:fldChar w:fldCharType="separate"/>
    </w:r>
    <w:r w:rsidR="00C93B9F">
      <w:rPr>
        <w:noProof/>
      </w:rPr>
      <w:instrText>6</w:instrText>
    </w:r>
    <w:r>
      <w:fldChar w:fldCharType="end"/>
    </w:r>
    <w:r>
      <w:instrText xml:space="preserve">- 5 </w:instrText>
    </w:r>
    <w:r>
      <w:fldChar w:fldCharType="separate"/>
    </w:r>
    <w:r w:rsidR="00C93B9F">
      <w:rPr>
        <w:noProof/>
      </w:rPr>
      <w:t>1</w:t>
    </w:r>
    <w:r>
      <w:fldChar w:fldCharType="end"/>
    </w:r>
    <w:r>
      <w:t xml:space="preserve"> of 27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2C7AAE"/>
    <w:rsid w:val="0000268E"/>
    <w:rsid w:val="000043D5"/>
    <w:rsid w:val="00006170"/>
    <w:rsid w:val="00010E37"/>
    <w:rsid w:val="0001459E"/>
    <w:rsid w:val="000172DA"/>
    <w:rsid w:val="00022337"/>
    <w:rsid w:val="00023A0E"/>
    <w:rsid w:val="000247C5"/>
    <w:rsid w:val="000277C2"/>
    <w:rsid w:val="00035B48"/>
    <w:rsid w:val="00036CE2"/>
    <w:rsid w:val="000379B6"/>
    <w:rsid w:val="000437FE"/>
    <w:rsid w:val="000438DC"/>
    <w:rsid w:val="000513BE"/>
    <w:rsid w:val="00051573"/>
    <w:rsid w:val="0005451B"/>
    <w:rsid w:val="00065A06"/>
    <w:rsid w:val="000666F3"/>
    <w:rsid w:val="00070DCB"/>
    <w:rsid w:val="000725A3"/>
    <w:rsid w:val="00072CCA"/>
    <w:rsid w:val="00073120"/>
    <w:rsid w:val="000764D0"/>
    <w:rsid w:val="000828D3"/>
    <w:rsid w:val="00095E32"/>
    <w:rsid w:val="000A2B57"/>
    <w:rsid w:val="000A418B"/>
    <w:rsid w:val="000B0ACE"/>
    <w:rsid w:val="000C4431"/>
    <w:rsid w:val="000C6607"/>
    <w:rsid w:val="000C6E14"/>
    <w:rsid w:val="000D1C06"/>
    <w:rsid w:val="000D3043"/>
    <w:rsid w:val="000D4319"/>
    <w:rsid w:val="000E24FA"/>
    <w:rsid w:val="000E338A"/>
    <w:rsid w:val="000E4392"/>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183A"/>
    <w:rsid w:val="0013347E"/>
    <w:rsid w:val="0013470C"/>
    <w:rsid w:val="00135687"/>
    <w:rsid w:val="00136BD1"/>
    <w:rsid w:val="001411C4"/>
    <w:rsid w:val="0014326C"/>
    <w:rsid w:val="00144706"/>
    <w:rsid w:val="00146B5D"/>
    <w:rsid w:val="00150ECE"/>
    <w:rsid w:val="0015506E"/>
    <w:rsid w:val="00157CBF"/>
    <w:rsid w:val="00163031"/>
    <w:rsid w:val="001654C4"/>
    <w:rsid w:val="00171A90"/>
    <w:rsid w:val="00180254"/>
    <w:rsid w:val="00191E1F"/>
    <w:rsid w:val="00191EE8"/>
    <w:rsid w:val="00192943"/>
    <w:rsid w:val="00193BAF"/>
    <w:rsid w:val="00194791"/>
    <w:rsid w:val="001A2F25"/>
    <w:rsid w:val="001A7406"/>
    <w:rsid w:val="001A7AE4"/>
    <w:rsid w:val="001B1EDC"/>
    <w:rsid w:val="001B4053"/>
    <w:rsid w:val="001B4FEE"/>
    <w:rsid w:val="001B51C5"/>
    <w:rsid w:val="001B672A"/>
    <w:rsid w:val="001B6F3F"/>
    <w:rsid w:val="001C091D"/>
    <w:rsid w:val="001C52B5"/>
    <w:rsid w:val="001D0D3E"/>
    <w:rsid w:val="001D2817"/>
    <w:rsid w:val="001D2899"/>
    <w:rsid w:val="001E7FF4"/>
    <w:rsid w:val="001F0798"/>
    <w:rsid w:val="001F2245"/>
    <w:rsid w:val="001F2C63"/>
    <w:rsid w:val="001F48C7"/>
    <w:rsid w:val="001F6DA1"/>
    <w:rsid w:val="00200178"/>
    <w:rsid w:val="00204200"/>
    <w:rsid w:val="002044E6"/>
    <w:rsid w:val="00205C82"/>
    <w:rsid w:val="00205DC2"/>
    <w:rsid w:val="00212B17"/>
    <w:rsid w:val="002163B6"/>
    <w:rsid w:val="00217215"/>
    <w:rsid w:val="00220732"/>
    <w:rsid w:val="0022074B"/>
    <w:rsid w:val="0022121F"/>
    <w:rsid w:val="00221D32"/>
    <w:rsid w:val="00222AC1"/>
    <w:rsid w:val="00225C3F"/>
    <w:rsid w:val="002413EF"/>
    <w:rsid w:val="00263D44"/>
    <w:rsid w:val="002702AD"/>
    <w:rsid w:val="00281EB4"/>
    <w:rsid w:val="002834E3"/>
    <w:rsid w:val="00292D82"/>
    <w:rsid w:val="00293EE7"/>
    <w:rsid w:val="002963CB"/>
    <w:rsid w:val="002B2DAC"/>
    <w:rsid w:val="002B4A01"/>
    <w:rsid w:val="002C291B"/>
    <w:rsid w:val="002C746A"/>
    <w:rsid w:val="002C7AAE"/>
    <w:rsid w:val="002C7E4E"/>
    <w:rsid w:val="002D226D"/>
    <w:rsid w:val="002D74E3"/>
    <w:rsid w:val="002E0535"/>
    <w:rsid w:val="002E1939"/>
    <w:rsid w:val="002E6817"/>
    <w:rsid w:val="002E7B9F"/>
    <w:rsid w:val="002F6030"/>
    <w:rsid w:val="003001AC"/>
    <w:rsid w:val="003037E1"/>
    <w:rsid w:val="00307E51"/>
    <w:rsid w:val="003103EC"/>
    <w:rsid w:val="00312132"/>
    <w:rsid w:val="003130BA"/>
    <w:rsid w:val="003144EF"/>
    <w:rsid w:val="0031480E"/>
    <w:rsid w:val="00314B6D"/>
    <w:rsid w:val="00316877"/>
    <w:rsid w:val="00322F74"/>
    <w:rsid w:val="00325E15"/>
    <w:rsid w:val="00340073"/>
    <w:rsid w:val="003411D8"/>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A0093"/>
    <w:rsid w:val="003A08C0"/>
    <w:rsid w:val="003A22A6"/>
    <w:rsid w:val="003A32EB"/>
    <w:rsid w:val="003A3836"/>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070A4"/>
    <w:rsid w:val="00410DC4"/>
    <w:rsid w:val="00412DAE"/>
    <w:rsid w:val="0041302D"/>
    <w:rsid w:val="00415DCE"/>
    <w:rsid w:val="004205B9"/>
    <w:rsid w:val="004242E6"/>
    <w:rsid w:val="00424759"/>
    <w:rsid w:val="00427B35"/>
    <w:rsid w:val="00431598"/>
    <w:rsid w:val="004319AD"/>
    <w:rsid w:val="00432904"/>
    <w:rsid w:val="004426B8"/>
    <w:rsid w:val="004428E2"/>
    <w:rsid w:val="00444432"/>
    <w:rsid w:val="00447D5C"/>
    <w:rsid w:val="00450202"/>
    <w:rsid w:val="004502B2"/>
    <w:rsid w:val="00455499"/>
    <w:rsid w:val="004649A7"/>
    <w:rsid w:val="00471860"/>
    <w:rsid w:val="00477026"/>
    <w:rsid w:val="00477730"/>
    <w:rsid w:val="00483E16"/>
    <w:rsid w:val="004A744D"/>
    <w:rsid w:val="004B169E"/>
    <w:rsid w:val="004B60BD"/>
    <w:rsid w:val="004C3150"/>
    <w:rsid w:val="004C3641"/>
    <w:rsid w:val="004C3873"/>
    <w:rsid w:val="004C4390"/>
    <w:rsid w:val="004C4AF7"/>
    <w:rsid w:val="004C7501"/>
    <w:rsid w:val="004C7CAA"/>
    <w:rsid w:val="004D020C"/>
    <w:rsid w:val="004D2881"/>
    <w:rsid w:val="004D2D7D"/>
    <w:rsid w:val="004D385F"/>
    <w:rsid w:val="004D5B39"/>
    <w:rsid w:val="004D7976"/>
    <w:rsid w:val="004E0CEA"/>
    <w:rsid w:val="004E330D"/>
    <w:rsid w:val="004E4985"/>
    <w:rsid w:val="004E5147"/>
    <w:rsid w:val="004E69B5"/>
    <w:rsid w:val="004F37F1"/>
    <w:rsid w:val="004F50D1"/>
    <w:rsid w:val="004F5C43"/>
    <w:rsid w:val="005050A2"/>
    <w:rsid w:val="00506030"/>
    <w:rsid w:val="0050652D"/>
    <w:rsid w:val="00506C03"/>
    <w:rsid w:val="00511A11"/>
    <w:rsid w:val="00516496"/>
    <w:rsid w:val="00522E7D"/>
    <w:rsid w:val="00523B11"/>
    <w:rsid w:val="0052455B"/>
    <w:rsid w:val="0052572A"/>
    <w:rsid w:val="00532DFB"/>
    <w:rsid w:val="005421EB"/>
    <w:rsid w:val="00543CB3"/>
    <w:rsid w:val="005442E4"/>
    <w:rsid w:val="00547652"/>
    <w:rsid w:val="00552CDB"/>
    <w:rsid w:val="0055529B"/>
    <w:rsid w:val="00560FF0"/>
    <w:rsid w:val="005614BD"/>
    <w:rsid w:val="0057154F"/>
    <w:rsid w:val="00572FC0"/>
    <w:rsid w:val="00580F69"/>
    <w:rsid w:val="00581CA3"/>
    <w:rsid w:val="00585031"/>
    <w:rsid w:val="00586E8B"/>
    <w:rsid w:val="00587A44"/>
    <w:rsid w:val="00597730"/>
    <w:rsid w:val="005977EC"/>
    <w:rsid w:val="00597DE7"/>
    <w:rsid w:val="005A4AA2"/>
    <w:rsid w:val="005B34B6"/>
    <w:rsid w:val="005B606A"/>
    <w:rsid w:val="005B6B10"/>
    <w:rsid w:val="005B6C8F"/>
    <w:rsid w:val="005B6EC3"/>
    <w:rsid w:val="005C17D7"/>
    <w:rsid w:val="005C33CE"/>
    <w:rsid w:val="005D0F74"/>
    <w:rsid w:val="005D1E1C"/>
    <w:rsid w:val="005D2E7D"/>
    <w:rsid w:val="005D4A8F"/>
    <w:rsid w:val="005D561B"/>
    <w:rsid w:val="005D578F"/>
    <w:rsid w:val="005D5ECF"/>
    <w:rsid w:val="005E6649"/>
    <w:rsid w:val="005F468D"/>
    <w:rsid w:val="005F69A3"/>
    <w:rsid w:val="00604CC7"/>
    <w:rsid w:val="006118B3"/>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5413"/>
    <w:rsid w:val="0069636F"/>
    <w:rsid w:val="00696F5D"/>
    <w:rsid w:val="00697249"/>
    <w:rsid w:val="006A06F3"/>
    <w:rsid w:val="006A1A67"/>
    <w:rsid w:val="006B09C4"/>
    <w:rsid w:val="006B3947"/>
    <w:rsid w:val="006B4293"/>
    <w:rsid w:val="006B624F"/>
    <w:rsid w:val="006C0C95"/>
    <w:rsid w:val="006C31E3"/>
    <w:rsid w:val="006C7FA2"/>
    <w:rsid w:val="006D18D3"/>
    <w:rsid w:val="006D3BD1"/>
    <w:rsid w:val="006E010E"/>
    <w:rsid w:val="006E08CB"/>
    <w:rsid w:val="006E598D"/>
    <w:rsid w:val="006F34B4"/>
    <w:rsid w:val="0070437D"/>
    <w:rsid w:val="00704CF1"/>
    <w:rsid w:val="00705B04"/>
    <w:rsid w:val="0071040E"/>
    <w:rsid w:val="00717EE9"/>
    <w:rsid w:val="00724992"/>
    <w:rsid w:val="00724F64"/>
    <w:rsid w:val="00727F90"/>
    <w:rsid w:val="00734820"/>
    <w:rsid w:val="007349DC"/>
    <w:rsid w:val="0073653B"/>
    <w:rsid w:val="0074365E"/>
    <w:rsid w:val="00743D48"/>
    <w:rsid w:val="00744B55"/>
    <w:rsid w:val="00750EBC"/>
    <w:rsid w:val="007515FD"/>
    <w:rsid w:val="00760D80"/>
    <w:rsid w:val="00761CB4"/>
    <w:rsid w:val="00777090"/>
    <w:rsid w:val="00780C09"/>
    <w:rsid w:val="00780DDF"/>
    <w:rsid w:val="007834E9"/>
    <w:rsid w:val="00787DBC"/>
    <w:rsid w:val="0079019A"/>
    <w:rsid w:val="00790442"/>
    <w:rsid w:val="00792935"/>
    <w:rsid w:val="00793E5B"/>
    <w:rsid w:val="007A04A1"/>
    <w:rsid w:val="007A1840"/>
    <w:rsid w:val="007B35E2"/>
    <w:rsid w:val="007B50B7"/>
    <w:rsid w:val="007B730C"/>
    <w:rsid w:val="007C0528"/>
    <w:rsid w:val="007C08EA"/>
    <w:rsid w:val="007C3D38"/>
    <w:rsid w:val="007D0F35"/>
    <w:rsid w:val="007D4546"/>
    <w:rsid w:val="007D4FEB"/>
    <w:rsid w:val="007D6146"/>
    <w:rsid w:val="007E0CE7"/>
    <w:rsid w:val="007F1193"/>
    <w:rsid w:val="007F417F"/>
    <w:rsid w:val="007F7644"/>
    <w:rsid w:val="008042BD"/>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61059"/>
    <w:rsid w:val="008618A4"/>
    <w:rsid w:val="008731AB"/>
    <w:rsid w:val="00874344"/>
    <w:rsid w:val="0087505D"/>
    <w:rsid w:val="0087542B"/>
    <w:rsid w:val="00877703"/>
    <w:rsid w:val="00882155"/>
    <w:rsid w:val="0088233B"/>
    <w:rsid w:val="00882B52"/>
    <w:rsid w:val="0088599E"/>
    <w:rsid w:val="00886C37"/>
    <w:rsid w:val="00890DF4"/>
    <w:rsid w:val="008915FC"/>
    <w:rsid w:val="00892D99"/>
    <w:rsid w:val="00893315"/>
    <w:rsid w:val="00894C09"/>
    <w:rsid w:val="008B5C68"/>
    <w:rsid w:val="008B62AE"/>
    <w:rsid w:val="008C04B5"/>
    <w:rsid w:val="008C14FA"/>
    <w:rsid w:val="008C7B0B"/>
    <w:rsid w:val="008D4057"/>
    <w:rsid w:val="008E142D"/>
    <w:rsid w:val="008E1F19"/>
    <w:rsid w:val="008F2262"/>
    <w:rsid w:val="008F4D2B"/>
    <w:rsid w:val="008F5B91"/>
    <w:rsid w:val="008F7736"/>
    <w:rsid w:val="0090019E"/>
    <w:rsid w:val="00900435"/>
    <w:rsid w:val="00901086"/>
    <w:rsid w:val="00901C8A"/>
    <w:rsid w:val="00902F66"/>
    <w:rsid w:val="00903283"/>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678DD"/>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E1732"/>
    <w:rsid w:val="009F04EC"/>
    <w:rsid w:val="009F2A7C"/>
    <w:rsid w:val="009F3B36"/>
    <w:rsid w:val="009F44FD"/>
    <w:rsid w:val="00A019B9"/>
    <w:rsid w:val="00A03157"/>
    <w:rsid w:val="00A055DD"/>
    <w:rsid w:val="00A07B5E"/>
    <w:rsid w:val="00A11756"/>
    <w:rsid w:val="00A11E3B"/>
    <w:rsid w:val="00A12497"/>
    <w:rsid w:val="00A12508"/>
    <w:rsid w:val="00A1282B"/>
    <w:rsid w:val="00A13A27"/>
    <w:rsid w:val="00A15B7C"/>
    <w:rsid w:val="00A167D6"/>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5AC5"/>
    <w:rsid w:val="00A675AC"/>
    <w:rsid w:val="00A7097D"/>
    <w:rsid w:val="00A7581F"/>
    <w:rsid w:val="00A81274"/>
    <w:rsid w:val="00A86ACA"/>
    <w:rsid w:val="00A92439"/>
    <w:rsid w:val="00A92FB1"/>
    <w:rsid w:val="00A95980"/>
    <w:rsid w:val="00A95A0C"/>
    <w:rsid w:val="00AA1125"/>
    <w:rsid w:val="00AA2765"/>
    <w:rsid w:val="00AA77B5"/>
    <w:rsid w:val="00AB6C5D"/>
    <w:rsid w:val="00AC3401"/>
    <w:rsid w:val="00AC51A7"/>
    <w:rsid w:val="00AC603B"/>
    <w:rsid w:val="00AD0E89"/>
    <w:rsid w:val="00AD444B"/>
    <w:rsid w:val="00AD5614"/>
    <w:rsid w:val="00AD6C78"/>
    <w:rsid w:val="00AE03F0"/>
    <w:rsid w:val="00AE2EAB"/>
    <w:rsid w:val="00AF13D0"/>
    <w:rsid w:val="00AF29BF"/>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570"/>
    <w:rsid w:val="00B57A6A"/>
    <w:rsid w:val="00B62D0D"/>
    <w:rsid w:val="00B760F1"/>
    <w:rsid w:val="00B7669E"/>
    <w:rsid w:val="00B76EBB"/>
    <w:rsid w:val="00B77DA1"/>
    <w:rsid w:val="00B822A0"/>
    <w:rsid w:val="00B82F85"/>
    <w:rsid w:val="00B858AE"/>
    <w:rsid w:val="00B85964"/>
    <w:rsid w:val="00B90A66"/>
    <w:rsid w:val="00B94BC0"/>
    <w:rsid w:val="00B96250"/>
    <w:rsid w:val="00BA0D55"/>
    <w:rsid w:val="00BA37B3"/>
    <w:rsid w:val="00BA4CC6"/>
    <w:rsid w:val="00BA7F46"/>
    <w:rsid w:val="00BB0F1D"/>
    <w:rsid w:val="00BB10C8"/>
    <w:rsid w:val="00BB3493"/>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100A7"/>
    <w:rsid w:val="00C13791"/>
    <w:rsid w:val="00C210BD"/>
    <w:rsid w:val="00C2575A"/>
    <w:rsid w:val="00C31BB3"/>
    <w:rsid w:val="00C36977"/>
    <w:rsid w:val="00C46628"/>
    <w:rsid w:val="00C467DA"/>
    <w:rsid w:val="00C477D9"/>
    <w:rsid w:val="00C54A3F"/>
    <w:rsid w:val="00C57869"/>
    <w:rsid w:val="00C60BA3"/>
    <w:rsid w:val="00C623F7"/>
    <w:rsid w:val="00C62A81"/>
    <w:rsid w:val="00C67CD7"/>
    <w:rsid w:val="00C71E00"/>
    <w:rsid w:val="00C75BC5"/>
    <w:rsid w:val="00C81670"/>
    <w:rsid w:val="00C81773"/>
    <w:rsid w:val="00C82496"/>
    <w:rsid w:val="00C82861"/>
    <w:rsid w:val="00C86896"/>
    <w:rsid w:val="00C907A8"/>
    <w:rsid w:val="00C91670"/>
    <w:rsid w:val="00C93211"/>
    <w:rsid w:val="00C93B9F"/>
    <w:rsid w:val="00C93DB8"/>
    <w:rsid w:val="00C942EC"/>
    <w:rsid w:val="00C96047"/>
    <w:rsid w:val="00C979D0"/>
    <w:rsid w:val="00CA0818"/>
    <w:rsid w:val="00CA15C8"/>
    <w:rsid w:val="00CA2C8F"/>
    <w:rsid w:val="00CA30DA"/>
    <w:rsid w:val="00CA3A24"/>
    <w:rsid w:val="00CB0DF9"/>
    <w:rsid w:val="00CB1777"/>
    <w:rsid w:val="00CB33E9"/>
    <w:rsid w:val="00CC0A6E"/>
    <w:rsid w:val="00CC10A9"/>
    <w:rsid w:val="00CD038F"/>
    <w:rsid w:val="00CD0655"/>
    <w:rsid w:val="00CD5921"/>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23724"/>
    <w:rsid w:val="00D479AE"/>
    <w:rsid w:val="00D50FCD"/>
    <w:rsid w:val="00D533E3"/>
    <w:rsid w:val="00D60B16"/>
    <w:rsid w:val="00D60F02"/>
    <w:rsid w:val="00D626C5"/>
    <w:rsid w:val="00D66E49"/>
    <w:rsid w:val="00D70D71"/>
    <w:rsid w:val="00D72F74"/>
    <w:rsid w:val="00D73877"/>
    <w:rsid w:val="00D81563"/>
    <w:rsid w:val="00D837C1"/>
    <w:rsid w:val="00D85907"/>
    <w:rsid w:val="00D860AC"/>
    <w:rsid w:val="00D9073E"/>
    <w:rsid w:val="00D90823"/>
    <w:rsid w:val="00D9221D"/>
    <w:rsid w:val="00D9253C"/>
    <w:rsid w:val="00D958DF"/>
    <w:rsid w:val="00D96DA1"/>
    <w:rsid w:val="00DA51E7"/>
    <w:rsid w:val="00DB0260"/>
    <w:rsid w:val="00DB1C78"/>
    <w:rsid w:val="00DB687C"/>
    <w:rsid w:val="00DB7D96"/>
    <w:rsid w:val="00DC23FE"/>
    <w:rsid w:val="00DC59E6"/>
    <w:rsid w:val="00DD150B"/>
    <w:rsid w:val="00DD3356"/>
    <w:rsid w:val="00DD3ACE"/>
    <w:rsid w:val="00DD5025"/>
    <w:rsid w:val="00DD5464"/>
    <w:rsid w:val="00DD6F85"/>
    <w:rsid w:val="00DE254E"/>
    <w:rsid w:val="00DE32C0"/>
    <w:rsid w:val="00DE76A7"/>
    <w:rsid w:val="00DF1510"/>
    <w:rsid w:val="00E02F1F"/>
    <w:rsid w:val="00E04087"/>
    <w:rsid w:val="00E05454"/>
    <w:rsid w:val="00E06484"/>
    <w:rsid w:val="00E06B24"/>
    <w:rsid w:val="00E20A7D"/>
    <w:rsid w:val="00E23FE4"/>
    <w:rsid w:val="00E275D8"/>
    <w:rsid w:val="00E30F6A"/>
    <w:rsid w:val="00E3117C"/>
    <w:rsid w:val="00E31288"/>
    <w:rsid w:val="00E34307"/>
    <w:rsid w:val="00E34511"/>
    <w:rsid w:val="00E3635B"/>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2094"/>
    <w:rsid w:val="00E95278"/>
    <w:rsid w:val="00E96A42"/>
    <w:rsid w:val="00EA2273"/>
    <w:rsid w:val="00EA7C3C"/>
    <w:rsid w:val="00EB2DB3"/>
    <w:rsid w:val="00EC3FBB"/>
    <w:rsid w:val="00EC6979"/>
    <w:rsid w:val="00EC6B7A"/>
    <w:rsid w:val="00ED24D4"/>
    <w:rsid w:val="00ED2E61"/>
    <w:rsid w:val="00ED3A87"/>
    <w:rsid w:val="00ED5B67"/>
    <w:rsid w:val="00EE1A5C"/>
    <w:rsid w:val="00EE5F5A"/>
    <w:rsid w:val="00EF264C"/>
    <w:rsid w:val="00EF386D"/>
    <w:rsid w:val="00EF3FEE"/>
    <w:rsid w:val="00EF6B41"/>
    <w:rsid w:val="00F04B59"/>
    <w:rsid w:val="00F07B69"/>
    <w:rsid w:val="00F11741"/>
    <w:rsid w:val="00F117B0"/>
    <w:rsid w:val="00F12B1C"/>
    <w:rsid w:val="00F13CF8"/>
    <w:rsid w:val="00F15855"/>
    <w:rsid w:val="00F200B2"/>
    <w:rsid w:val="00F227DC"/>
    <w:rsid w:val="00F30701"/>
    <w:rsid w:val="00F32978"/>
    <w:rsid w:val="00F45CB2"/>
    <w:rsid w:val="00F47D92"/>
    <w:rsid w:val="00F511F3"/>
    <w:rsid w:val="00F544C0"/>
    <w:rsid w:val="00F55332"/>
    <w:rsid w:val="00F6156E"/>
    <w:rsid w:val="00F6504A"/>
    <w:rsid w:val="00F65519"/>
    <w:rsid w:val="00F66D9F"/>
    <w:rsid w:val="00F713C0"/>
    <w:rsid w:val="00F75DDC"/>
    <w:rsid w:val="00F7792F"/>
    <w:rsid w:val="00F8327C"/>
    <w:rsid w:val="00F842AA"/>
    <w:rsid w:val="00F8476F"/>
    <w:rsid w:val="00F853E1"/>
    <w:rsid w:val="00F85604"/>
    <w:rsid w:val="00F92D68"/>
    <w:rsid w:val="00F93809"/>
    <w:rsid w:val="00F94B7A"/>
    <w:rsid w:val="00FA17AC"/>
    <w:rsid w:val="00FA32DE"/>
    <w:rsid w:val="00FA3382"/>
    <w:rsid w:val="00FA59CD"/>
    <w:rsid w:val="00FB0CDC"/>
    <w:rsid w:val="00FB1740"/>
    <w:rsid w:val="00FB4235"/>
    <w:rsid w:val="00FB53E2"/>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22AC00-3D40-4B03-B50B-CC603CDBB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5B6B10"/>
  </w:style>
  <w:style w:type="character" w:styleId="FootnoteReference">
    <w:name w:val="footnote reference"/>
    <w:basedOn w:val="DefaultParagraphFont"/>
    <w:unhideWhenUsed/>
    <w:rsid w:val="005B6B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D6B38-151C-4C7A-A394-9B370AD7F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3</TotalTime>
  <Pages>1</Pages>
  <Words>1119</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Joe Cipriani</cp:lastModifiedBy>
  <cp:revision>6</cp:revision>
  <cp:lastPrinted>2022-12-16T16:03:00Z</cp:lastPrinted>
  <dcterms:created xsi:type="dcterms:W3CDTF">2022-12-28T14:53:00Z</dcterms:created>
  <dcterms:modified xsi:type="dcterms:W3CDTF">2022-12-28T15:10:00Z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20220164-GU</vt:lpwstr>
  </property>
  <property fmtid="{D5CDD505-2E9C-101B-9397-08002B2CF9AE}" pid="3" name="MasterDocument">
    <vt:bool>false</vt:bool>
  </property>
</Properties>
</file>