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3FA4" w:rsidP="007B3FA4">
      <w:pPr>
        <w:pStyle w:val="OrderHeading"/>
      </w:pPr>
      <w:r>
        <w:t>BEFORE THE FLORIDA PUBLIC SERVICE COMMISSION</w:t>
      </w:r>
    </w:p>
    <w:p w:rsidR="007B3FA4" w:rsidRDefault="007B3FA4" w:rsidP="007B3F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3FA4" w:rsidRPr="00C63FCF" w:rsidTr="00E5228C">
        <w:trPr>
          <w:trHeight w:val="828"/>
        </w:trPr>
        <w:tc>
          <w:tcPr>
            <w:tcW w:w="4788" w:type="dxa"/>
            <w:tcBorders>
              <w:bottom w:val="single" w:sz="8" w:space="0" w:color="auto"/>
              <w:right w:val="double" w:sz="6" w:space="0" w:color="auto"/>
            </w:tcBorders>
            <w:shd w:val="clear" w:color="auto" w:fill="auto"/>
          </w:tcPr>
          <w:p w:rsidR="007B3FA4" w:rsidRDefault="007B3FA4" w:rsidP="00E5228C">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B3FA4" w:rsidRDefault="007B3FA4" w:rsidP="007B3FA4">
            <w:pPr>
              <w:pStyle w:val="OrderBody"/>
            </w:pPr>
            <w:r>
              <w:t xml:space="preserve">DOCKET NO. </w:t>
            </w:r>
            <w:bookmarkStart w:id="1" w:name="SSDocketNo"/>
            <w:bookmarkEnd w:id="1"/>
            <w:r>
              <w:t>202</w:t>
            </w:r>
            <w:r w:rsidR="000D69A9">
              <w:t>3</w:t>
            </w:r>
            <w:r>
              <w:t>0001-EI</w:t>
            </w:r>
          </w:p>
          <w:p w:rsidR="007B3FA4" w:rsidRDefault="007B3FA4" w:rsidP="00E5228C">
            <w:pPr>
              <w:pStyle w:val="OrderBody"/>
              <w:tabs>
                <w:tab w:val="center" w:pos="4320"/>
                <w:tab w:val="right" w:pos="8640"/>
              </w:tabs>
              <w:jc w:val="left"/>
            </w:pPr>
            <w:r>
              <w:t xml:space="preserve">ORDER NO. </w:t>
            </w:r>
            <w:bookmarkStart w:id="2" w:name="OrderNo0026"/>
            <w:r w:rsidR="007F45E3">
              <w:t>PSC-2023-0026-FOF-EI</w:t>
            </w:r>
            <w:bookmarkEnd w:id="2"/>
          </w:p>
          <w:p w:rsidR="007B3FA4" w:rsidRDefault="007B3FA4" w:rsidP="00E5228C">
            <w:pPr>
              <w:pStyle w:val="OrderBody"/>
              <w:tabs>
                <w:tab w:val="center" w:pos="4320"/>
                <w:tab w:val="right" w:pos="8640"/>
              </w:tabs>
              <w:jc w:val="left"/>
            </w:pPr>
            <w:r>
              <w:t xml:space="preserve">ISSUED: </w:t>
            </w:r>
            <w:r w:rsidR="007F45E3">
              <w:t>January 6, 2023</w:t>
            </w:r>
          </w:p>
        </w:tc>
      </w:tr>
    </w:tbl>
    <w:p w:rsidR="007B3FA4" w:rsidRDefault="007B3FA4" w:rsidP="007B3FA4"/>
    <w:p w:rsidR="0051309B" w:rsidRDefault="0051309B" w:rsidP="007B3FA4"/>
    <w:p w:rsidR="007B3FA4" w:rsidRDefault="007B3FA4" w:rsidP="00B67A43">
      <w:pPr>
        <w:ind w:firstLine="720"/>
      </w:pPr>
      <w:bookmarkStart w:id="3" w:name="Commissioners"/>
      <w:bookmarkEnd w:id="3"/>
      <w:r>
        <w:t>The following Commissioners participated in the disposition of this matter:</w:t>
      </w:r>
    </w:p>
    <w:p w:rsidR="0051309B" w:rsidRDefault="0051309B" w:rsidP="00B67A43"/>
    <w:p w:rsidR="007B3FA4" w:rsidRDefault="007B3FA4" w:rsidP="00477699">
      <w:pPr>
        <w:jc w:val="center"/>
      </w:pPr>
      <w:r>
        <w:t>ANDREW GILES FAY, Chairman</w:t>
      </w:r>
    </w:p>
    <w:p w:rsidR="007B3FA4" w:rsidRDefault="007B3FA4" w:rsidP="00B67A43">
      <w:pPr>
        <w:jc w:val="center"/>
      </w:pPr>
      <w:r>
        <w:t>ART GRAHAM</w:t>
      </w:r>
    </w:p>
    <w:p w:rsidR="007B3FA4" w:rsidRDefault="007B3FA4" w:rsidP="00B67A43">
      <w:pPr>
        <w:jc w:val="center"/>
      </w:pPr>
      <w:r>
        <w:t>GARY F. CLARK</w:t>
      </w:r>
    </w:p>
    <w:p w:rsidR="007B3FA4" w:rsidRDefault="007B3FA4" w:rsidP="00B67A43">
      <w:pPr>
        <w:jc w:val="center"/>
      </w:pPr>
      <w:r>
        <w:t>MIKE LA ROSA</w:t>
      </w:r>
    </w:p>
    <w:p w:rsidR="007B3FA4" w:rsidRPr="005F2751" w:rsidRDefault="007B3FA4" w:rsidP="00B67A43">
      <w:pPr>
        <w:jc w:val="center"/>
      </w:pPr>
      <w:r w:rsidRPr="005F2751">
        <w:rPr>
          <w:lang w:val="en"/>
        </w:rPr>
        <w:t>GABRIELLA PASSIDOMO</w:t>
      </w:r>
    </w:p>
    <w:p w:rsidR="00CB5276" w:rsidRDefault="00CB5276">
      <w:pPr>
        <w:pStyle w:val="OrderBody"/>
      </w:pPr>
    </w:p>
    <w:p w:rsidR="007B3FA4" w:rsidRDefault="007B3FA4" w:rsidP="007B3FA4">
      <w:pPr>
        <w:pStyle w:val="CenterUnderline"/>
      </w:pPr>
      <w:bookmarkStart w:id="4" w:name="OrderTitle"/>
      <w:r>
        <w:t xml:space="preserve"> FINAL ORDER APPROVING EXPENDITURES AND TRUE-UP AMOUNTS FOR FUEL ADJUSTMENT FACTORS; GPIF TARGETS, RANGES, AND REWARDS; AND</w:t>
      </w:r>
    </w:p>
    <w:p w:rsidR="007B3FA4" w:rsidRDefault="007B3FA4" w:rsidP="007B3FA4">
      <w:pPr>
        <w:pStyle w:val="CenterUnderline"/>
      </w:pPr>
      <w:r>
        <w:t>PROJECTED EXPENDITURES AND TRUE-UP AMOUNTS FOR CAPACITY COST</w:t>
      </w:r>
    </w:p>
    <w:p w:rsidR="007B3FA4" w:rsidRDefault="007B3FA4" w:rsidP="007B3FA4">
      <w:pPr>
        <w:pStyle w:val="CenterUnderline"/>
      </w:pPr>
      <w:r>
        <w:t xml:space="preserve">RECOVERY FACTORS </w:t>
      </w:r>
      <w:bookmarkEnd w:id="4"/>
    </w:p>
    <w:p w:rsidR="007B3FA4" w:rsidRDefault="007B3FA4" w:rsidP="007B3FA4">
      <w:pPr>
        <w:pStyle w:val="CenterUnderline"/>
      </w:pPr>
    </w:p>
    <w:p w:rsidR="007B3FA4" w:rsidRPr="0004473B" w:rsidRDefault="007B3FA4" w:rsidP="007B3FA4">
      <w:pPr>
        <w:pStyle w:val="CenterUnderline"/>
        <w:jc w:val="both"/>
        <w:rPr>
          <w:u w:val="none"/>
        </w:rPr>
      </w:pPr>
      <w:r w:rsidRPr="0004473B">
        <w:rPr>
          <w:u w:val="none"/>
        </w:rPr>
        <w:t>APPEARANCES:</w:t>
      </w:r>
    </w:p>
    <w:p w:rsidR="007B3FA4" w:rsidRDefault="007B3FA4" w:rsidP="007B3FA4">
      <w:pPr>
        <w:pStyle w:val="CenterUnderline"/>
        <w:jc w:val="both"/>
      </w:pPr>
    </w:p>
    <w:p w:rsidR="007B3FA4" w:rsidRDefault="007B3FA4" w:rsidP="007B3FA4">
      <w:pPr>
        <w:ind w:left="1440"/>
      </w:pPr>
      <w:r w:rsidRPr="00503582">
        <w:t>MATTHEW BERNIER</w:t>
      </w:r>
      <w:r>
        <w:t xml:space="preserve"> and STEPHANIE CUELLO,</w:t>
      </w:r>
      <w:r w:rsidRPr="00503582">
        <w:t xml:space="preserve"> </w:t>
      </w:r>
      <w:r>
        <w:t xml:space="preserve">ESQUIRES, </w:t>
      </w:r>
      <w:r w:rsidRPr="00503582">
        <w:t>106 East College Avenue, Tallahassee, Florida 32301-7740</w:t>
      </w:r>
      <w:r>
        <w:t xml:space="preserve">; and </w:t>
      </w:r>
      <w:r w:rsidRPr="00503582">
        <w:t>DIANNE M. TRIPLETT,</w:t>
      </w:r>
      <w:r>
        <w:t xml:space="preserve"> ESQUIRE</w:t>
      </w:r>
      <w:r w:rsidRPr="00503582">
        <w:t>,</w:t>
      </w:r>
      <w:r>
        <w:t xml:space="preserve"> 299 First Avenue North, St. Petersburg, Florida 33701</w:t>
      </w:r>
    </w:p>
    <w:p w:rsidR="007B3FA4" w:rsidRPr="00087327" w:rsidRDefault="007B3FA4" w:rsidP="007B3FA4">
      <w:pPr>
        <w:ind w:left="720" w:firstLine="720"/>
      </w:pPr>
      <w:r w:rsidRPr="00503582">
        <w:rPr>
          <w:u w:val="single"/>
        </w:rPr>
        <w:t>On beh</w:t>
      </w:r>
      <w:r>
        <w:rPr>
          <w:u w:val="single"/>
        </w:rPr>
        <w:t>alf of Duke Energy Florida, LLC</w:t>
      </w:r>
      <w:r w:rsidRPr="00503582">
        <w:rPr>
          <w:u w:val="single"/>
        </w:rPr>
        <w:t xml:space="preserve"> (DEF)</w:t>
      </w:r>
      <w:r>
        <w:t>.</w:t>
      </w:r>
    </w:p>
    <w:p w:rsidR="007B3FA4" w:rsidRDefault="007B3FA4" w:rsidP="007B3FA4">
      <w:pPr>
        <w:rPr>
          <w:caps/>
        </w:rPr>
      </w:pPr>
    </w:p>
    <w:p w:rsidR="007B3FA4" w:rsidRPr="00503582" w:rsidRDefault="007B3FA4" w:rsidP="007B3FA4">
      <w:pPr>
        <w:ind w:left="1440"/>
      </w:pPr>
      <w:r w:rsidRPr="00503582">
        <w:t>MARIA J</w:t>
      </w:r>
      <w:r>
        <w:t>OSE</w:t>
      </w:r>
      <w:r w:rsidRPr="00503582">
        <w:t xml:space="preserve"> MONCADA</w:t>
      </w:r>
      <w:r>
        <w:t xml:space="preserve"> and DAVID M. LEE, </w:t>
      </w:r>
      <w:r w:rsidRPr="00503582">
        <w:t>ESQUIRE</w:t>
      </w:r>
      <w:r>
        <w:t>S</w:t>
      </w:r>
      <w:r w:rsidRPr="00503582">
        <w:t>, Florida Power &amp; Light Company, 700 Universe Boulevard, Juno Beach, Florida 33408-0420</w:t>
      </w:r>
    </w:p>
    <w:p w:rsidR="007B3FA4" w:rsidRDefault="007B3FA4" w:rsidP="007B3FA4">
      <w:pPr>
        <w:ind w:left="1440"/>
      </w:pPr>
      <w:r w:rsidRPr="00503582">
        <w:rPr>
          <w:u w:val="single"/>
        </w:rPr>
        <w:t>On behalf of Florida Power &amp; Light Company</w:t>
      </w:r>
      <w:r>
        <w:rPr>
          <w:u w:val="single"/>
        </w:rPr>
        <w:t xml:space="preserve"> (FPL)</w:t>
      </w:r>
      <w:r>
        <w:t>.</w:t>
      </w:r>
    </w:p>
    <w:p w:rsidR="007B3FA4" w:rsidRDefault="007B3FA4" w:rsidP="007B3FA4">
      <w:pPr>
        <w:ind w:left="1440"/>
      </w:pPr>
    </w:p>
    <w:p w:rsidR="007B3FA4" w:rsidRPr="00503582" w:rsidRDefault="007B3FA4" w:rsidP="007B3FA4">
      <w:pPr>
        <w:ind w:left="1440"/>
      </w:pPr>
      <w:r w:rsidRPr="00503582">
        <w:t>BETH KEATING, ESQUIRE, Gunster, Yoakley &amp; Stewart, P.A., 215 South Monroe St., Suite 601, Tallahassee, Florida 32301</w:t>
      </w:r>
    </w:p>
    <w:p w:rsidR="007B3FA4" w:rsidRPr="00087327" w:rsidRDefault="007B3FA4" w:rsidP="007B3FA4">
      <w:r w:rsidRPr="00503582">
        <w:tab/>
      </w:r>
      <w:r w:rsidRPr="00503582">
        <w:tab/>
      </w:r>
      <w:r w:rsidRPr="00503582">
        <w:rPr>
          <w:u w:val="single"/>
        </w:rPr>
        <w:t>On behalf of Florida Public Utilities Company (FPUC)</w:t>
      </w:r>
      <w:r>
        <w:t>.</w:t>
      </w:r>
    </w:p>
    <w:p w:rsidR="007B3FA4" w:rsidRPr="00503582" w:rsidRDefault="007B3FA4" w:rsidP="007B3FA4"/>
    <w:p w:rsidR="007B3FA4" w:rsidRPr="00503582" w:rsidRDefault="007B3FA4" w:rsidP="007B3FA4">
      <w:pPr>
        <w:ind w:left="1440" w:hanging="1440"/>
        <w:rPr>
          <w:rFonts w:cs="Arial"/>
          <w:spacing w:val="-3"/>
        </w:rPr>
      </w:pPr>
      <w:r w:rsidRPr="00503582">
        <w:tab/>
      </w:r>
      <w:r>
        <w:t xml:space="preserve">MALCOLM N. MEANS, </w:t>
      </w:r>
      <w:r>
        <w:rPr>
          <w:rFonts w:cs="Arial"/>
          <w:spacing w:val="-3"/>
        </w:rPr>
        <w:t xml:space="preserve">and </w:t>
      </w:r>
      <w:r w:rsidRPr="00503582">
        <w:rPr>
          <w:rFonts w:cs="Arial"/>
          <w:spacing w:val="-3"/>
        </w:rPr>
        <w:t>J. JEFFRY WAHLEN</w:t>
      </w:r>
      <w:r>
        <w:rPr>
          <w:rFonts w:cs="Arial"/>
          <w:spacing w:val="-3"/>
        </w:rPr>
        <w:t>,</w:t>
      </w:r>
      <w:r w:rsidRPr="00503582">
        <w:rPr>
          <w:rFonts w:cs="Arial"/>
          <w:spacing w:val="-3"/>
        </w:rPr>
        <w:t xml:space="preserve"> </w:t>
      </w:r>
      <w:r>
        <w:rPr>
          <w:rFonts w:cs="Arial"/>
          <w:spacing w:val="-3"/>
        </w:rPr>
        <w:t xml:space="preserve">and VIRGINIA PONDER, </w:t>
      </w:r>
      <w:r w:rsidRPr="00503582">
        <w:rPr>
          <w:rFonts w:cs="Arial"/>
          <w:spacing w:val="-3"/>
        </w:rPr>
        <w:t>ESQUIRES, Ausley McMullen, Post Office Box 391, Tallahassee, Florida 32302</w:t>
      </w:r>
    </w:p>
    <w:p w:rsidR="007B3FA4" w:rsidRPr="00087327" w:rsidRDefault="007B3FA4" w:rsidP="007B3FA4">
      <w:pPr>
        <w:ind w:left="1440" w:hanging="1440"/>
        <w:rPr>
          <w:rFonts w:cs="Arial"/>
          <w:spacing w:val="-3"/>
        </w:rPr>
      </w:pPr>
      <w:r w:rsidRPr="00503582">
        <w:rPr>
          <w:rFonts w:cs="Arial"/>
          <w:spacing w:val="-3"/>
        </w:rPr>
        <w:tab/>
      </w:r>
      <w:r w:rsidRPr="00503582">
        <w:rPr>
          <w:rFonts w:cs="Arial"/>
          <w:spacing w:val="-3"/>
          <w:u w:val="single"/>
        </w:rPr>
        <w:t>On behalf of Tampa Electric Company (TECO)</w:t>
      </w:r>
      <w:r>
        <w:rPr>
          <w:rFonts w:cs="Arial"/>
          <w:spacing w:val="-3"/>
        </w:rPr>
        <w:t>.</w:t>
      </w:r>
    </w:p>
    <w:p w:rsidR="007B3FA4" w:rsidRPr="00503582" w:rsidRDefault="007B3FA4" w:rsidP="007B3FA4">
      <w:pPr>
        <w:ind w:left="1440" w:hanging="1440"/>
        <w:rPr>
          <w:rFonts w:cs="Arial"/>
          <w:spacing w:val="-3"/>
        </w:rPr>
      </w:pPr>
    </w:p>
    <w:p w:rsidR="007B3FA4" w:rsidRPr="00503582" w:rsidRDefault="007B3FA4" w:rsidP="007B3FA4">
      <w:pPr>
        <w:ind w:left="1440" w:hanging="1440"/>
      </w:pPr>
      <w:r>
        <w:rPr>
          <w:rFonts w:cs="Arial"/>
          <w:spacing w:val="-3"/>
        </w:rPr>
        <w:tab/>
      </w:r>
      <w:r w:rsidRPr="00503582">
        <w:rPr>
          <w:rFonts w:cs="Arial"/>
          <w:spacing w:val="-3"/>
        </w:rPr>
        <w:t>R</w:t>
      </w:r>
      <w:r>
        <w:rPr>
          <w:rFonts w:cs="Arial"/>
          <w:spacing w:val="-3"/>
        </w:rPr>
        <w:t xml:space="preserve">ICHARD GENTRY, PUBLIC COUNSEL; </w:t>
      </w:r>
      <w:r w:rsidRPr="00503582">
        <w:t>CHARLES REHWINKEL</w:t>
      </w:r>
      <w:r>
        <w:t xml:space="preserve">, DEPUTY PUBLIC COUNSEL; </w:t>
      </w:r>
      <w:r w:rsidRPr="004A6555">
        <w:t>PATRICIA A. CHRISTENSEN</w:t>
      </w:r>
      <w:r>
        <w:t>,</w:t>
      </w:r>
      <w:r w:rsidRPr="00F67112">
        <w:t xml:space="preserve"> </w:t>
      </w:r>
      <w:r>
        <w:t xml:space="preserve">and MARY WESSLING, </w:t>
      </w:r>
      <w:r w:rsidRPr="00503582">
        <w:t>ESQUIRES, Office of Public Counsel, c/o The Florida Legislature, 111 West Madison Street, Room 812, Tallahassee, Florida 32399-1400</w:t>
      </w:r>
    </w:p>
    <w:p w:rsidR="007B3FA4" w:rsidRDefault="007B3FA4" w:rsidP="007B3FA4">
      <w:pPr>
        <w:pStyle w:val="OrderBody"/>
      </w:pPr>
      <w:r w:rsidRPr="00503582">
        <w:tab/>
      </w:r>
      <w:r>
        <w:tab/>
      </w:r>
      <w:r w:rsidRPr="00503582">
        <w:rPr>
          <w:u w:val="single"/>
        </w:rPr>
        <w:t>On behalf of the Citizens of the State of Florida (OPC)</w:t>
      </w:r>
      <w:r>
        <w:t>.</w:t>
      </w:r>
    </w:p>
    <w:p w:rsidR="00CB5276" w:rsidRDefault="00CB5276">
      <w:pPr>
        <w:pStyle w:val="OrderBody"/>
      </w:pPr>
      <w:bookmarkStart w:id="5" w:name="OrderText"/>
      <w:bookmarkEnd w:id="5"/>
    </w:p>
    <w:p w:rsidR="003967E4" w:rsidRDefault="007B3FA4" w:rsidP="0051309B">
      <w:pPr>
        <w:ind w:left="1440" w:hanging="1440"/>
        <w:rPr>
          <w:bCs/>
        </w:rPr>
      </w:pPr>
      <w:r>
        <w:rPr>
          <w:bCs/>
        </w:rPr>
        <w:tab/>
      </w:r>
      <w:r w:rsidR="003967E4">
        <w:rPr>
          <w:bCs/>
        </w:rPr>
        <w:br w:type="page"/>
      </w:r>
    </w:p>
    <w:p w:rsidR="007B3FA4" w:rsidRPr="00503582" w:rsidRDefault="003967E4" w:rsidP="007B3FA4">
      <w:pPr>
        <w:ind w:left="1440" w:hanging="1440"/>
        <w:rPr>
          <w:bCs/>
        </w:rPr>
      </w:pPr>
      <w:r>
        <w:rPr>
          <w:bCs/>
        </w:rPr>
        <w:lastRenderedPageBreak/>
        <w:tab/>
      </w:r>
      <w:r w:rsidR="007B3FA4" w:rsidRPr="00503582">
        <w:rPr>
          <w:bCs/>
        </w:rPr>
        <w:t xml:space="preserve">JON C. MOYLE, JR. and KAREN </w:t>
      </w:r>
      <w:r w:rsidR="007B3FA4">
        <w:rPr>
          <w:bCs/>
        </w:rPr>
        <w:t xml:space="preserve">A. </w:t>
      </w:r>
      <w:r w:rsidR="007B3FA4" w:rsidRPr="00503582">
        <w:rPr>
          <w:bCs/>
        </w:rPr>
        <w:t>PUTNAL, ESQUIRES, Moyle Law Firm, PA, The Perkins House, 118 North Gadsden Street, Tallahassee, Florida 32301</w:t>
      </w:r>
    </w:p>
    <w:p w:rsidR="007B3FA4" w:rsidRPr="00087327" w:rsidRDefault="007B3FA4" w:rsidP="007B3FA4">
      <w:pPr>
        <w:ind w:left="1440" w:hanging="1440"/>
      </w:pPr>
      <w:r w:rsidRPr="00503582">
        <w:rPr>
          <w:bCs/>
        </w:rPr>
        <w:tab/>
      </w:r>
      <w:r w:rsidRPr="00503582">
        <w:rPr>
          <w:bCs/>
          <w:u w:val="single"/>
        </w:rPr>
        <w:t>On behalf of the Florida Industrial Power Users Group (FIPUG)</w:t>
      </w:r>
      <w:r>
        <w:rPr>
          <w:bCs/>
        </w:rPr>
        <w:t>.</w:t>
      </w:r>
    </w:p>
    <w:p w:rsidR="007B3FA4" w:rsidRPr="00503582" w:rsidRDefault="007B3FA4" w:rsidP="007B3FA4"/>
    <w:p w:rsidR="007B3FA4" w:rsidRDefault="007B3FA4" w:rsidP="007B3FA4">
      <w:pPr>
        <w:ind w:left="1440" w:hanging="1440"/>
      </w:pPr>
      <w:r w:rsidRPr="00503582">
        <w:tab/>
      </w:r>
      <w:r>
        <w:t>ROBERT SCHEFFEL WRIGHT, JOHN T. LAVIA, III, and TIMOTHY H. PERRY, ESQUIRES, Gardner, Bist, Bowden, Dee, LaVia, Wright, Perry &amp; Harper, PA, 1300 Thomaswood  Drive, Tallahassee, Florida 32308</w:t>
      </w:r>
    </w:p>
    <w:p w:rsidR="007B3FA4" w:rsidRPr="0080045D" w:rsidRDefault="007B3FA4" w:rsidP="007B3FA4">
      <w:pPr>
        <w:ind w:left="1440" w:hanging="1440"/>
      </w:pPr>
      <w:r>
        <w:tab/>
      </w:r>
      <w:r>
        <w:rPr>
          <w:u w:val="single"/>
        </w:rPr>
        <w:t>On behalf of the Florida Retail Federation (FRF)</w:t>
      </w:r>
      <w:r>
        <w:t>.</w:t>
      </w:r>
    </w:p>
    <w:p w:rsidR="007B3FA4" w:rsidRDefault="007B3FA4" w:rsidP="007B3FA4">
      <w:pPr>
        <w:ind w:left="1440" w:hanging="1440"/>
      </w:pPr>
    </w:p>
    <w:p w:rsidR="007B3FA4" w:rsidRPr="00503582" w:rsidRDefault="007B3FA4" w:rsidP="007B3FA4">
      <w:pPr>
        <w:ind w:left="1440" w:hanging="1440"/>
      </w:pPr>
      <w:r>
        <w:tab/>
      </w:r>
      <w:r w:rsidRPr="00503582">
        <w:t>JAMES W. BREW</w:t>
      </w:r>
      <w:r w:rsidRPr="00503582">
        <w:rPr>
          <w:caps/>
        </w:rPr>
        <w:t xml:space="preserve"> </w:t>
      </w:r>
      <w:r w:rsidRPr="00503582">
        <w:t xml:space="preserve">and LAURA </w:t>
      </w:r>
      <w:r>
        <w:t>WYNN</w:t>
      </w:r>
      <w:r w:rsidRPr="00503582">
        <w:t xml:space="preserve"> </w:t>
      </w:r>
      <w:r>
        <w:t>BAKER</w:t>
      </w:r>
      <w:r w:rsidRPr="00503582">
        <w:t>, ESQUIRES, Stone</w:t>
      </w:r>
      <w:r>
        <w:t>,</w:t>
      </w:r>
      <w:r w:rsidRPr="00503582">
        <w:t xml:space="preserve"> Mattheis</w:t>
      </w:r>
      <w:r>
        <w:t>,</w:t>
      </w:r>
      <w:r w:rsidRPr="00503582">
        <w:t xml:space="preserve"> Xenopoulos &amp; Brew, PC, 1025 Thomas Jefferson St., NW, Eighth Floor, West Tower, Washington, DC 20007</w:t>
      </w:r>
    </w:p>
    <w:p w:rsidR="007B3FA4" w:rsidRPr="0080045D" w:rsidRDefault="007B3FA4" w:rsidP="007B3FA4">
      <w:pPr>
        <w:ind w:left="1440" w:hanging="1440"/>
      </w:pPr>
      <w:r w:rsidRPr="00503582">
        <w:tab/>
      </w:r>
      <w:r w:rsidRPr="00503582">
        <w:rPr>
          <w:u w:val="single"/>
        </w:rPr>
        <w:t>On behalf of White Springs Agricultural Chemicals, Inc. d/b/a PCS Phosphate – White Springs (PCS Phosphate)</w:t>
      </w:r>
      <w:r>
        <w:t>.</w:t>
      </w:r>
    </w:p>
    <w:p w:rsidR="007B3FA4" w:rsidRDefault="007B3FA4" w:rsidP="007B3FA4">
      <w:r w:rsidRPr="00503582">
        <w:tab/>
      </w:r>
      <w:r w:rsidRPr="00503582">
        <w:tab/>
      </w:r>
    </w:p>
    <w:p w:rsidR="007B3FA4" w:rsidRPr="00503582" w:rsidRDefault="007B3FA4" w:rsidP="007B3FA4">
      <w:pPr>
        <w:ind w:left="1440" w:hanging="1440"/>
      </w:pPr>
      <w:r>
        <w:tab/>
        <w:t xml:space="preserve">PETER J. MATTHEIS, MICHAEL K. LAVANGA and JOSEPH R. BRISCAR, ESQUIRES, </w:t>
      </w:r>
      <w:r w:rsidRPr="00503582">
        <w:t>Stone</w:t>
      </w:r>
      <w:r>
        <w:t>,</w:t>
      </w:r>
      <w:r w:rsidRPr="00503582">
        <w:t xml:space="preserve"> Mattheis</w:t>
      </w:r>
      <w:r>
        <w:t>,</w:t>
      </w:r>
      <w:r w:rsidRPr="00503582">
        <w:t xml:space="preserve"> Xenopoulos &amp; Brew, PC, 1025 Thomas Jefferson St., NW, Eighth Floor, West Tower, Washington, DC 20007</w:t>
      </w:r>
    </w:p>
    <w:p w:rsidR="007B3FA4" w:rsidRPr="0080045D" w:rsidRDefault="007B3FA4" w:rsidP="007B3FA4">
      <w:pPr>
        <w:rPr>
          <w:u w:val="single"/>
        </w:rPr>
      </w:pPr>
      <w:r>
        <w:tab/>
      </w:r>
      <w:r>
        <w:tab/>
      </w:r>
      <w:r>
        <w:rPr>
          <w:u w:val="single"/>
        </w:rPr>
        <w:t>On behalf of Nucor Steel Florida, Inc. (Nucor)</w:t>
      </w:r>
      <w:r>
        <w:t>.</w:t>
      </w:r>
      <w:r>
        <w:rPr>
          <w:u w:val="single"/>
        </w:rPr>
        <w:t xml:space="preserve"> </w:t>
      </w:r>
    </w:p>
    <w:p w:rsidR="007B3FA4" w:rsidRPr="00503582" w:rsidRDefault="007B3FA4" w:rsidP="007B3FA4"/>
    <w:p w:rsidR="007B3FA4" w:rsidRPr="00503582" w:rsidRDefault="007B3FA4" w:rsidP="007B3FA4">
      <w:pPr>
        <w:ind w:left="1440"/>
      </w:pPr>
      <w:r w:rsidRPr="00503582">
        <w:t>SUZANNE BROWNLESS</w:t>
      </w:r>
      <w:r>
        <w:t xml:space="preserve"> and RYAN SANDY</w:t>
      </w:r>
      <w:r w:rsidRPr="00503582">
        <w:t>, ESQUIRE</w:t>
      </w:r>
      <w:r>
        <w:t>S</w:t>
      </w:r>
      <w:r w:rsidRPr="00503582">
        <w:t>, Florida Public Service Commission, 2540 Shumard Oak Boulevard, Tallahassee, Florida 32399-0850</w:t>
      </w:r>
    </w:p>
    <w:p w:rsidR="007B3FA4" w:rsidRPr="0080045D" w:rsidRDefault="007B3FA4" w:rsidP="007B3FA4">
      <w:pPr>
        <w:ind w:left="720" w:firstLine="720"/>
      </w:pPr>
      <w:r w:rsidRPr="00503582">
        <w:rPr>
          <w:u w:val="single"/>
        </w:rPr>
        <w:t>On behalf of the Florida Public Service Commission (Staff)</w:t>
      </w:r>
      <w:r>
        <w:t>.</w:t>
      </w:r>
    </w:p>
    <w:p w:rsidR="007B3FA4" w:rsidRPr="00701945" w:rsidRDefault="007B3FA4" w:rsidP="007B3FA4">
      <w:pPr>
        <w:jc w:val="center"/>
        <w:rPr>
          <w:b/>
          <w:bCs/>
          <w:u w:val="single"/>
        </w:rPr>
      </w:pPr>
    </w:p>
    <w:p w:rsidR="007B3FA4" w:rsidRPr="00701945" w:rsidRDefault="007B3FA4" w:rsidP="007B3FA4">
      <w:pPr>
        <w:ind w:left="1440"/>
      </w:pPr>
      <w:r>
        <w:t xml:space="preserve">MARY ANNE HELTON, ESQUIRE, Deputy General Counsel, </w:t>
      </w:r>
      <w:r w:rsidRPr="00701945">
        <w:t>Florida Public Service Commission, 2540 Shumard Oak Boulevard, Tallahassee, Florida 32399-0850</w:t>
      </w:r>
    </w:p>
    <w:p w:rsidR="007B3FA4" w:rsidRPr="0080045D" w:rsidRDefault="007B3FA4" w:rsidP="007B3FA4">
      <w:pPr>
        <w:ind w:left="720" w:firstLine="720"/>
      </w:pPr>
      <w:r>
        <w:rPr>
          <w:u w:val="single"/>
        </w:rPr>
        <w:t>Advisor to the</w:t>
      </w:r>
      <w:r w:rsidRPr="00701945">
        <w:rPr>
          <w:u w:val="single"/>
        </w:rPr>
        <w:t xml:space="preserve"> Florida Public Service Commission</w:t>
      </w:r>
      <w:r>
        <w:t>.</w:t>
      </w:r>
    </w:p>
    <w:p w:rsidR="007B3FA4" w:rsidRDefault="007B3FA4" w:rsidP="007B3FA4">
      <w:pPr>
        <w:ind w:left="1440"/>
        <w:rPr>
          <w:caps/>
        </w:rPr>
      </w:pPr>
    </w:p>
    <w:p w:rsidR="007B3FA4" w:rsidRPr="00503582" w:rsidRDefault="007B3FA4" w:rsidP="007B3FA4">
      <w:pPr>
        <w:ind w:left="1440"/>
      </w:pPr>
      <w:r w:rsidRPr="00503582">
        <w:rPr>
          <w:caps/>
        </w:rPr>
        <w:t>Keith hetrick</w:t>
      </w:r>
      <w:r w:rsidRPr="00503582">
        <w:t>, ESQUIRE, General Counsel, Florida Public Service Commission, 2540 Shumard Oak Boulevard, Tallahassee, Florida 32399-0850</w:t>
      </w:r>
    </w:p>
    <w:p w:rsidR="007B3FA4" w:rsidRPr="0080045D" w:rsidRDefault="007B3FA4" w:rsidP="007B3FA4">
      <w:pPr>
        <w:pStyle w:val="CenterUnderline"/>
        <w:jc w:val="both"/>
        <w:rPr>
          <w:u w:val="none"/>
        </w:rPr>
      </w:pPr>
      <w:r>
        <w:rPr>
          <w:u w:val="none"/>
        </w:rPr>
        <w:tab/>
      </w:r>
      <w:r>
        <w:rPr>
          <w:u w:val="none"/>
        </w:rPr>
        <w:tab/>
      </w:r>
      <w:r w:rsidRPr="00503582">
        <w:t>Florida Public Service Commission General Counsel</w:t>
      </w:r>
      <w:r>
        <w:rPr>
          <w:u w:val="none"/>
        </w:rPr>
        <w:t>.</w:t>
      </w:r>
    </w:p>
    <w:p w:rsidR="007B3FA4" w:rsidRDefault="007B3FA4" w:rsidP="007B3FA4"/>
    <w:p w:rsidR="007B3FA4" w:rsidRDefault="007B3FA4" w:rsidP="007B3FA4">
      <w:r>
        <w:t>BY THE COMMISSION</w:t>
      </w:r>
    </w:p>
    <w:p w:rsidR="007B3FA4" w:rsidRDefault="007B3FA4" w:rsidP="007B3FA4"/>
    <w:p w:rsidR="007B3FA4" w:rsidRDefault="007B3FA4" w:rsidP="007B3FA4">
      <w:pPr>
        <w:pStyle w:val="BodyText"/>
      </w:pPr>
      <w:r>
        <w:tab/>
      </w:r>
      <w:r w:rsidRPr="00B168D3">
        <w:t>As p</w:t>
      </w:r>
      <w:r>
        <w:rPr>
          <w:sz w:val="23"/>
          <w:szCs w:val="23"/>
        </w:rPr>
        <w:t xml:space="preserve">art of the continuing fuel and purchased power adjustment and generating performance incentive clause proceedings, an administrative hearing was held on </w:t>
      </w:r>
      <w:r w:rsidR="00E74121">
        <w:rPr>
          <w:sz w:val="23"/>
          <w:szCs w:val="23"/>
        </w:rPr>
        <w:t>November 17</w:t>
      </w:r>
      <w:r w:rsidR="008302E6">
        <w:rPr>
          <w:sz w:val="23"/>
          <w:szCs w:val="23"/>
        </w:rPr>
        <w:t>-</w:t>
      </w:r>
      <w:r w:rsidR="00E74121">
        <w:rPr>
          <w:sz w:val="23"/>
          <w:szCs w:val="23"/>
        </w:rPr>
        <w:t>18, 2022, and December 6, 2022</w:t>
      </w:r>
      <w:r>
        <w:rPr>
          <w:sz w:val="23"/>
          <w:szCs w:val="23"/>
        </w:rPr>
        <w:t xml:space="preserve">, in this docket.   </w:t>
      </w:r>
      <w:r w:rsidRPr="00337073">
        <w:rPr>
          <w:sz w:val="23"/>
          <w:szCs w:val="23"/>
        </w:rPr>
        <w:t>We have</w:t>
      </w:r>
      <w:r w:rsidRPr="00337073">
        <w:t xml:space="preserve"> jurisdiction over this subject matter pursuant to the provisions of Chapter 366, Florida Statutes (F.S.), including Sections 366.04, 366.05, and 366.06, F.S.</w:t>
      </w:r>
    </w:p>
    <w:p w:rsidR="00B94F09" w:rsidRPr="00714E88" w:rsidRDefault="00E74121" w:rsidP="00714E88">
      <w:pPr>
        <w:pStyle w:val="BodyText"/>
      </w:pPr>
      <w:r>
        <w:tab/>
        <w:t>At the hearing we approved Type 2 stipulations</w:t>
      </w:r>
      <w:r w:rsidR="008302E6">
        <w:t>, contained on Attachment A,</w:t>
      </w:r>
      <w:r>
        <w:t xml:space="preserve"> for </w:t>
      </w:r>
      <w:r w:rsidR="008302E6">
        <w:t>all identified issues with the exception of Issue 3A</w:t>
      </w:r>
      <w:r w:rsidR="00714E88">
        <w:t xml:space="preserve"> (affecting only FPUC) and Issues</w:t>
      </w:r>
      <w:r w:rsidR="008302E6">
        <w:t xml:space="preserve"> 8-10, 16, 18 and 20</w:t>
      </w:r>
      <w:r w:rsidR="00714E88">
        <w:t xml:space="preserve"> (affecting only DEF, FPL and TECO).</w:t>
      </w:r>
      <w:r w:rsidR="008302E6">
        <w:t xml:space="preserve">  Exhibits 1-77 and 79-82 were admitted into evidence.  The testimony of Gary P. Dean on behalf of Duke Energy Florida, LLC</w:t>
      </w:r>
      <w:r w:rsidR="00B94F09">
        <w:t xml:space="preserve"> (DEF)</w:t>
      </w:r>
      <w:r w:rsidR="008302E6">
        <w:t xml:space="preserve">; </w:t>
      </w:r>
      <w:r w:rsidR="008302E6">
        <w:lastRenderedPageBreak/>
        <w:t>Gerard J. Yupp and Scott Bores on behalf of Florida Power &amp; Light Company</w:t>
      </w:r>
      <w:r w:rsidR="00B94F09">
        <w:t xml:space="preserve"> </w:t>
      </w:r>
      <w:r w:rsidR="00714E88">
        <w:t>(</w:t>
      </w:r>
      <w:r w:rsidR="00B94F09">
        <w:t>FPL),</w:t>
      </w:r>
      <w:r w:rsidR="008302E6">
        <w:t xml:space="preserve"> and Penelope A. Rusk on behalf of Tampa Electric Company </w:t>
      </w:r>
      <w:r w:rsidR="00B94F09">
        <w:t xml:space="preserve">(TECO) </w:t>
      </w:r>
      <w:r w:rsidR="008302E6">
        <w:t>was heard</w:t>
      </w:r>
      <w:r w:rsidR="00000837">
        <w:t xml:space="preserve"> and the witnesses were cross-examined</w:t>
      </w:r>
      <w:r w:rsidR="008302E6">
        <w:t xml:space="preserve">.  The parties waived the filing of </w:t>
      </w:r>
      <w:r w:rsidR="00000837">
        <w:t xml:space="preserve">post-hearing </w:t>
      </w:r>
      <w:r w:rsidR="008302E6">
        <w:t xml:space="preserve">briefs and </w:t>
      </w:r>
      <w:r w:rsidR="00B94F09">
        <w:t>DEF</w:t>
      </w:r>
      <w:r w:rsidR="00093F8A">
        <w:t xml:space="preserve">, </w:t>
      </w:r>
      <w:r w:rsidR="00B94F09">
        <w:t>FPL</w:t>
      </w:r>
      <w:r w:rsidR="00093F8A">
        <w:t xml:space="preserve">, </w:t>
      </w:r>
      <w:r w:rsidR="00AE2706">
        <w:t>Florida Public Utilities Company (FPUC)</w:t>
      </w:r>
      <w:r w:rsidR="00093F8A">
        <w:t>, T</w:t>
      </w:r>
      <w:r w:rsidR="00B94F09">
        <w:t>ECO</w:t>
      </w:r>
      <w:r w:rsidR="00093F8A">
        <w:t>, Office of Public Counsel</w:t>
      </w:r>
      <w:r w:rsidR="00B94F09">
        <w:t xml:space="preserve"> (OPC)</w:t>
      </w:r>
      <w:r w:rsidR="00093F8A">
        <w:t>, Florida Industrial Power Users</w:t>
      </w:r>
      <w:r w:rsidR="00B94F09">
        <w:t xml:space="preserve"> (FIPUG)</w:t>
      </w:r>
      <w:r w:rsidR="00093F8A">
        <w:t xml:space="preserve">, and Florida Retail Federation </w:t>
      </w:r>
      <w:r w:rsidR="00B94F09">
        <w:t xml:space="preserve">(FRF) </w:t>
      </w:r>
      <w:r w:rsidR="008302E6">
        <w:t xml:space="preserve">presented </w:t>
      </w:r>
      <w:r w:rsidR="00000837">
        <w:t xml:space="preserve">post-hearing </w:t>
      </w:r>
      <w:r w:rsidR="008302E6">
        <w:t>oral a</w:t>
      </w:r>
      <w:r w:rsidR="008302E6" w:rsidRPr="00714E88">
        <w:t>rgument</w:t>
      </w:r>
      <w:r w:rsidR="00093F8A" w:rsidRPr="00714E88">
        <w:t xml:space="preserve"> </w:t>
      </w:r>
      <w:r w:rsidR="00000837" w:rsidRPr="00714E88">
        <w:t xml:space="preserve">after which </w:t>
      </w:r>
      <w:r w:rsidR="00093F8A" w:rsidRPr="00714E88">
        <w:t>a bench vote was taken</w:t>
      </w:r>
      <w:r w:rsidR="00B94F09" w:rsidRPr="00714E88">
        <w:t>.</w:t>
      </w:r>
    </w:p>
    <w:p w:rsidR="00B94F09" w:rsidRPr="00714E88" w:rsidRDefault="00D44857" w:rsidP="00714E88">
      <w:pPr>
        <w:pStyle w:val="BodyText"/>
      </w:pPr>
      <w:r w:rsidRPr="00714E88">
        <w:t>I.</w:t>
      </w:r>
      <w:r w:rsidR="00B94F09" w:rsidRPr="00714E88">
        <w:tab/>
      </w:r>
      <w:r w:rsidR="00B94F09" w:rsidRPr="00714E88">
        <w:rPr>
          <w:u w:val="single"/>
        </w:rPr>
        <w:t>Motion for Reconsideration</w:t>
      </w:r>
    </w:p>
    <w:p w:rsidR="00714E88" w:rsidRDefault="00B94F09" w:rsidP="00714E88">
      <w:pPr>
        <w:pStyle w:val="BodyText"/>
      </w:pPr>
      <w:r>
        <w:tab/>
        <w:t xml:space="preserve">OPC </w:t>
      </w:r>
      <w:r w:rsidR="00FA7585">
        <w:t xml:space="preserve">raised two issues </w:t>
      </w:r>
      <w:r w:rsidR="00CF0455">
        <w:t xml:space="preserve">for the first time </w:t>
      </w:r>
      <w:r w:rsidR="00FA7585">
        <w:t>at the Prehearing Conference:</w:t>
      </w:r>
      <w:r w:rsidR="00714E88">
        <w:t xml:space="preserve"> “</w:t>
      </w:r>
      <w:r w:rsidR="00FA7585">
        <w:t>What is the appropriate carrying cost, if any, for the 2022 under-recovery amount voluntarily deferred for recovery, for the duration of the voluntary deferral period</w:t>
      </w:r>
      <w:r w:rsidR="00714E88">
        <w:t>?</w:t>
      </w:r>
      <w:r w:rsidR="00FA7585">
        <w:t>”</w:t>
      </w:r>
      <w:r w:rsidR="00714E88">
        <w:t xml:space="preserve"> (Issue A);</w:t>
      </w:r>
      <w:r w:rsidR="00FA7585">
        <w:t xml:space="preserve"> and: “Over what period should 2022 under-recoveries be collected and at what carrying cost?”</w:t>
      </w:r>
      <w:r w:rsidR="00714E88">
        <w:t xml:space="preserve"> (Issue B).  </w:t>
      </w:r>
      <w:r w:rsidR="00D04874">
        <w:t>At the Prehearing Conference</w:t>
      </w:r>
      <w:r w:rsidR="009D58A8">
        <w:t>,</w:t>
      </w:r>
      <w:r w:rsidR="00D04874">
        <w:t xml:space="preserve"> </w:t>
      </w:r>
      <w:r w:rsidR="00FA7585">
        <w:t xml:space="preserve">OPC asked for </w:t>
      </w:r>
      <w:r w:rsidR="00D04874">
        <w:t xml:space="preserve">inclusion of these issues on the grounds that DEF, FPL and TECO </w:t>
      </w:r>
      <w:r w:rsidR="004D425D">
        <w:t>(</w:t>
      </w:r>
      <w:r w:rsidR="001A14D8">
        <w:t>referred to herein as “</w:t>
      </w:r>
      <w:r w:rsidR="004D425D">
        <w:t>Utilities</w:t>
      </w:r>
      <w:r w:rsidR="001A14D8">
        <w:t>”</w:t>
      </w:r>
      <w:r w:rsidR="004D425D">
        <w:t xml:space="preserve">) </w:t>
      </w:r>
      <w:r w:rsidR="00D04874">
        <w:t>should not be allowed to defer the recovery of their substantial fuel cost under-recoveries for 2022.</w:t>
      </w:r>
      <w:r w:rsidR="0095719B">
        <w:t xml:space="preserve">  </w:t>
      </w:r>
    </w:p>
    <w:p w:rsidR="00377277" w:rsidRDefault="00AE2706" w:rsidP="00714E88">
      <w:pPr>
        <w:pStyle w:val="BodyText"/>
      </w:pPr>
      <w:r>
        <w:tab/>
      </w:r>
      <w:r w:rsidR="00D04874">
        <w:t xml:space="preserve">OPC argued that </w:t>
      </w:r>
      <w:r w:rsidR="004D0F29">
        <w:t xml:space="preserve">since it was the </w:t>
      </w:r>
      <w:r w:rsidR="00D04874">
        <w:t>Utilities</w:t>
      </w:r>
      <w:r w:rsidR="009D58A8">
        <w:t>’</w:t>
      </w:r>
      <w:r w:rsidR="00D04874">
        <w:t xml:space="preserve"> </w:t>
      </w:r>
      <w:r w:rsidR="004D0F29">
        <w:t xml:space="preserve">unilateral </w:t>
      </w:r>
      <w:r w:rsidR="00D04874">
        <w:t>decision to defer recovering the 2022 fuel costs</w:t>
      </w:r>
      <w:r w:rsidR="004D0F29">
        <w:t>,</w:t>
      </w:r>
      <w:r w:rsidR="00D04874">
        <w:t xml:space="preserve"> the Utilities, not the</w:t>
      </w:r>
      <w:r w:rsidR="000C6935">
        <w:t>ir</w:t>
      </w:r>
      <w:r w:rsidR="00D04874">
        <w:t xml:space="preserve"> customers</w:t>
      </w:r>
      <w:r w:rsidR="000C6935">
        <w:t>,</w:t>
      </w:r>
      <w:r w:rsidR="00D04874">
        <w:t xml:space="preserve"> should pay the carrying costs associated with deferral of cost recovery until some later date</w:t>
      </w:r>
      <w:r w:rsidR="000C6935">
        <w:t>.</w:t>
      </w:r>
      <w:r w:rsidR="00377277">
        <w:t xml:space="preserve">  </w:t>
      </w:r>
      <w:r w:rsidR="009D58A8">
        <w:t xml:space="preserve">Additionally, OPC, </w:t>
      </w:r>
      <w:r w:rsidR="001A14D8">
        <w:t>FIPUG, and FRF</w:t>
      </w:r>
      <w:r w:rsidR="009D58A8">
        <w:t xml:space="preserve">, argued that customers were entitled to know the impact of the large 2022 under-recovery now so that they could make </w:t>
      </w:r>
      <w:r w:rsidR="00A76C91">
        <w:t xml:space="preserve">informed </w:t>
      </w:r>
      <w:r w:rsidR="009D58A8">
        <w:t>business decisions for the coming year.</w:t>
      </w:r>
      <w:r w:rsidR="00A76C91">
        <w:t xml:space="preserve">  Knowing the time period over which the 2022 under-recovery would be recovered substantially affects the amounts recovered each month.</w:t>
      </w:r>
    </w:p>
    <w:p w:rsidR="00714E88" w:rsidRDefault="00714E88" w:rsidP="00714E88">
      <w:pPr>
        <w:pStyle w:val="BodyText"/>
      </w:pPr>
      <w:r>
        <w:tab/>
      </w:r>
      <w:r w:rsidR="0079362E">
        <w:t xml:space="preserve">Unlike the Utilities, </w:t>
      </w:r>
      <w:r>
        <w:t>FPUC requested recovery of its 2022 fuel under-recovery in the amount of $15,143,447 which we approved as a Type 2 stipulation of Issue No. 8.  FPUC did not take a position on whether Issues A and B should be included.</w:t>
      </w:r>
    </w:p>
    <w:p w:rsidR="005C3606" w:rsidRDefault="00377277" w:rsidP="00714E88">
      <w:pPr>
        <w:pStyle w:val="BodyText"/>
      </w:pPr>
      <w:r>
        <w:tab/>
      </w:r>
      <w:r w:rsidR="000C6935">
        <w:t xml:space="preserve">The </w:t>
      </w:r>
      <w:r w:rsidR="004D425D">
        <w:t>Utilities</w:t>
      </w:r>
      <w:r w:rsidR="000C6935">
        <w:t xml:space="preserve"> argued that the 2022 natural gas market was so volatile that 2022 natural gas prices could </w:t>
      </w:r>
      <w:r w:rsidR="00A76C91">
        <w:t xml:space="preserve">still </w:t>
      </w:r>
      <w:r w:rsidR="000C6935">
        <w:t xml:space="preserve">not be accurately predicted and </w:t>
      </w:r>
      <w:r w:rsidR="00EF2861">
        <w:t xml:space="preserve">that </w:t>
      </w:r>
      <w:r w:rsidR="000C6935">
        <w:t xml:space="preserve">it was better to wait and use actual costs to determine the </w:t>
      </w:r>
      <w:r w:rsidR="00EF2861">
        <w:t>amount to be recovered, the carrying costs to be applied, and the time period over which to recover those costs.</w:t>
      </w:r>
      <w:r w:rsidR="00A76C91">
        <w:t xml:space="preserve"> The Prehearing Officer agreed with the Utilities and deferred these issues </w:t>
      </w:r>
      <w:r w:rsidR="00D44857">
        <w:t xml:space="preserve">until at least the first quarter of 2023 </w:t>
      </w:r>
      <w:r w:rsidR="00A76C91">
        <w:t>when DEF, FPL</w:t>
      </w:r>
      <w:r>
        <w:t>,</w:t>
      </w:r>
      <w:r w:rsidR="00A76C91">
        <w:t xml:space="preserve"> and TECO </w:t>
      </w:r>
      <w:r w:rsidR="00D44857">
        <w:t xml:space="preserve">intend to </w:t>
      </w:r>
      <w:r w:rsidR="00A76C91">
        <w:t>file for the recovery of their under-recovered 2022 fuel costs.</w:t>
      </w:r>
      <w:r w:rsidR="00A76C91" w:rsidRPr="005C3606">
        <w:rPr>
          <w:rStyle w:val="FootnoteReference"/>
        </w:rPr>
        <w:t xml:space="preserve"> </w:t>
      </w:r>
      <w:r w:rsidR="00A76C91">
        <w:rPr>
          <w:rStyle w:val="FootnoteReference"/>
        </w:rPr>
        <w:footnoteReference w:id="1"/>
      </w:r>
      <w:r w:rsidR="00A76C91">
        <w:t xml:space="preserve"> </w:t>
      </w:r>
      <w:r w:rsidR="009D58A8">
        <w:t xml:space="preserve"> </w:t>
      </w:r>
      <w:r w:rsidR="005C3606">
        <w:t xml:space="preserve">  </w:t>
      </w:r>
    </w:p>
    <w:p w:rsidR="006943A3" w:rsidRDefault="005C3606" w:rsidP="00E74121">
      <w:r>
        <w:tab/>
        <w:t xml:space="preserve">In its </w:t>
      </w:r>
      <w:r>
        <w:rPr>
          <w:i/>
        </w:rPr>
        <w:t>ore tenus</w:t>
      </w:r>
      <w:r>
        <w:t xml:space="preserve"> motion for reconsideration</w:t>
      </w:r>
      <w:r w:rsidR="0079362E">
        <w:t xml:space="preserve"> made at the commencement of the final hearing</w:t>
      </w:r>
      <w:r w:rsidR="009D58A8">
        <w:t xml:space="preserve">, OPC reiterated the arguments it made at the </w:t>
      </w:r>
      <w:r w:rsidR="00A76C91">
        <w:t>Prehearing Conference but added additional argument.  For the first time</w:t>
      </w:r>
      <w:r w:rsidR="0079362E">
        <w:t>,</w:t>
      </w:r>
      <w:r w:rsidR="00816FF5">
        <w:t xml:space="preserve"> </w:t>
      </w:r>
      <w:r w:rsidR="00A76C91">
        <w:t xml:space="preserve">OPC contended that excluding these issues would violate Sections </w:t>
      </w:r>
      <w:r w:rsidR="00CF0455">
        <w:t>1</w:t>
      </w:r>
      <w:r w:rsidR="00A76C91">
        <w:t>20.569(1)</w:t>
      </w:r>
      <w:r w:rsidR="00CF0455">
        <w:t xml:space="preserve"> and 120.57(1)(b), F.S., by denying the parties an “opportunity to raise and contest all disputed issues of material fact.” </w:t>
      </w:r>
      <w:r w:rsidR="00816FF5">
        <w:t xml:space="preserve">  </w:t>
      </w:r>
      <w:r w:rsidR="00000837">
        <w:t>OPC argued that t</w:t>
      </w:r>
      <w:r w:rsidR="00816FF5">
        <w:t xml:space="preserve">he </w:t>
      </w:r>
      <w:r w:rsidR="006943A3">
        <w:t xml:space="preserve">excluded </w:t>
      </w:r>
      <w:r w:rsidR="00816FF5">
        <w:t xml:space="preserve">disputed issues of fact </w:t>
      </w:r>
      <w:r w:rsidR="004D0F29">
        <w:t>for DEF, FPL</w:t>
      </w:r>
      <w:r w:rsidR="00377277">
        <w:t>,</w:t>
      </w:r>
      <w:r w:rsidR="004D0F29">
        <w:t xml:space="preserve"> and TECO </w:t>
      </w:r>
      <w:r w:rsidR="00000837">
        <w:t xml:space="preserve">involved </w:t>
      </w:r>
      <w:r w:rsidR="00816FF5">
        <w:t xml:space="preserve">the time period over which the </w:t>
      </w:r>
      <w:r w:rsidR="006943A3">
        <w:t xml:space="preserve">substantial fuel cost </w:t>
      </w:r>
      <w:r w:rsidR="00816FF5">
        <w:t>under-recover</w:t>
      </w:r>
      <w:r w:rsidR="006943A3">
        <w:t>ies</w:t>
      </w:r>
      <w:r w:rsidR="00816FF5">
        <w:t xml:space="preserve"> would be recovered and the carrying cost applied to t</w:t>
      </w:r>
      <w:r w:rsidR="00000837">
        <w:t>hat period</w:t>
      </w:r>
      <w:r w:rsidR="00816FF5">
        <w:t xml:space="preserve">.  OPC also raised the point that the Utilities </w:t>
      </w:r>
      <w:r w:rsidR="006943A3">
        <w:t xml:space="preserve">acted inconsistently with established Commission policy and practice on how fuel costs are litigated and collected by not identifying and seeking recovery for 2022 fuel cost under-recoveries in this docket.  </w:t>
      </w:r>
    </w:p>
    <w:p w:rsidR="00B94F09" w:rsidRDefault="006943A3" w:rsidP="001836E9">
      <w:pPr>
        <w:pStyle w:val="IssueHeading"/>
        <w:rPr>
          <w:color w:val="000000"/>
          <w:u w:color="000000"/>
        </w:rPr>
      </w:pPr>
      <w:r>
        <w:lastRenderedPageBreak/>
        <w:tab/>
      </w:r>
      <w:r w:rsidR="001836E9">
        <w:rPr>
          <w:color w:val="000000"/>
          <w:u w:color="000000"/>
        </w:rPr>
        <w:t xml:space="preserve">The standard of review for a motion for </w:t>
      </w:r>
      <w:r w:rsidR="001836E9">
        <w:rPr>
          <w:rStyle w:val="term1"/>
          <w:b w:val="0"/>
          <w:color w:val="000000"/>
          <w:u w:color="000000"/>
        </w:rPr>
        <w:t>reconsideration</w:t>
      </w:r>
      <w:r w:rsidR="001836E9">
        <w:rPr>
          <w:color w:val="000000"/>
          <w:u w:color="000000"/>
        </w:rPr>
        <w:t xml:space="preserve"> is whether the motion identifies a point of fact or law which we overlooked or failed to consider in rendering our order.  </w:t>
      </w:r>
      <w:r w:rsidR="001836E9" w:rsidRPr="00377277">
        <w:rPr>
          <w:i/>
          <w:color w:val="000000"/>
        </w:rPr>
        <w:t>Stewart Bonded Warehouse, Inc. v. Bevis</w:t>
      </w:r>
      <w:r w:rsidR="001836E9">
        <w:rPr>
          <w:color w:val="000000"/>
          <w:u w:color="000000"/>
        </w:rPr>
        <w:t>, 294 So. 2d 315 (</w:t>
      </w:r>
      <w:smartTag w:uri="urn:schemas-microsoft-com:office:smarttags" w:element="State">
        <w:smartTag w:uri="urn:schemas-microsoft-com:office:smarttags" w:element="place">
          <w:r w:rsidR="001836E9">
            <w:rPr>
              <w:color w:val="000000"/>
              <w:u w:color="000000"/>
            </w:rPr>
            <w:t>Fla.</w:t>
          </w:r>
        </w:smartTag>
      </w:smartTag>
      <w:r w:rsidR="001836E9">
        <w:rPr>
          <w:color w:val="000000"/>
          <w:u w:color="000000"/>
        </w:rPr>
        <w:t xml:space="preserve"> 1974);</w:t>
      </w:r>
      <w:r w:rsidR="001836E9" w:rsidRPr="00377277">
        <w:rPr>
          <w:i/>
          <w:color w:val="000000"/>
        </w:rPr>
        <w:t xml:space="preserve"> Diamond Cab Co. v. King,</w:t>
      </w:r>
      <w:r w:rsidR="001836E9">
        <w:rPr>
          <w:color w:val="000000"/>
          <w:u w:color="000000"/>
        </w:rPr>
        <w:t xml:space="preserve"> 146 So. 2d 889 (</w:t>
      </w:r>
      <w:smartTag w:uri="urn:schemas-microsoft-com:office:smarttags" w:element="State">
        <w:smartTag w:uri="urn:schemas-microsoft-com:office:smarttags" w:element="place">
          <w:r w:rsidR="001836E9">
            <w:rPr>
              <w:color w:val="000000"/>
              <w:u w:color="000000"/>
            </w:rPr>
            <w:t>Fla.</w:t>
          </w:r>
        </w:smartTag>
      </w:smartTag>
      <w:r w:rsidR="001836E9">
        <w:rPr>
          <w:color w:val="000000"/>
          <w:u w:color="000000"/>
        </w:rPr>
        <w:t xml:space="preserve"> 1962); </w:t>
      </w:r>
      <w:r w:rsidR="001836E9" w:rsidRPr="00377277">
        <w:rPr>
          <w:i/>
          <w:color w:val="000000"/>
        </w:rPr>
        <w:t>Pingree v. Quaintance</w:t>
      </w:r>
      <w:r w:rsidR="001836E9">
        <w:rPr>
          <w:color w:val="000000"/>
          <w:u w:color="000000"/>
        </w:rPr>
        <w:t xml:space="preserve">, 394 So. 2d 161 (Fla. 1st DCA 1981).  The purpose of reconsideration is to bring to our attention a specific point that, had we considered it when it was presented in the first instance, would have required a different decision.  </w:t>
      </w:r>
      <w:r w:rsidR="001836E9" w:rsidRPr="00377277">
        <w:rPr>
          <w:i/>
          <w:color w:val="000000"/>
        </w:rPr>
        <w:t>State ex. rel. Jaytex Realty Co. v. Green</w:t>
      </w:r>
      <w:r w:rsidR="001836E9">
        <w:rPr>
          <w:color w:val="000000"/>
          <w:u w:color="000000"/>
        </w:rPr>
        <w:t xml:space="preserve">, 105 So. 2d 817, 819 (Fla. 1st DCA 1958) (Wigginton, J., concurring); </w:t>
      </w:r>
      <w:r w:rsidR="001836E9" w:rsidRPr="00377277">
        <w:rPr>
          <w:i/>
          <w:color w:val="000000"/>
        </w:rPr>
        <w:t>Sherwood v. State</w:t>
      </w:r>
      <w:r w:rsidR="001836E9">
        <w:rPr>
          <w:color w:val="000000"/>
          <w:u w:color="000000"/>
        </w:rPr>
        <w:t xml:space="preserve">, 111 So. 2d 96 (Fla. 3rd DCA 1959).  Our decision to grant a motion for reconsideration must be based on specific factual matters rather than an arbitrary feeling that we may have made a mistake.  </w:t>
      </w:r>
      <w:r w:rsidR="001836E9" w:rsidRPr="00377277">
        <w:rPr>
          <w:i/>
          <w:color w:val="000000"/>
        </w:rPr>
        <w:t>Stewart Bonded Warehouse, Inc.</w:t>
      </w:r>
      <w:r w:rsidR="001836E9">
        <w:rPr>
          <w:color w:val="000000"/>
          <w:u w:color="000000"/>
        </w:rPr>
        <w:t>, 294 So. 2d at 317 (overturning a Commission order on reconsideration because the Commission’s basis for granting reconsideration was to reweigh the evidence, which was “not sufficient”).</w:t>
      </w:r>
    </w:p>
    <w:p w:rsidR="00A84E6B" w:rsidRDefault="001836E9" w:rsidP="001836E9">
      <w:pPr>
        <w:pStyle w:val="BodyText"/>
      </w:pPr>
      <w:r>
        <w:tab/>
      </w:r>
      <w:r w:rsidR="005A18C3">
        <w:t>The arguments presented to us at the final hearing for the most part echoed what was presented to the Prehearing Officer</w:t>
      </w:r>
      <w:r w:rsidR="00927A24">
        <w:t xml:space="preserve"> on behalf of OPC, </w:t>
      </w:r>
      <w:r w:rsidR="00377277">
        <w:t>FIPUG, FRF</w:t>
      </w:r>
      <w:r w:rsidR="00927A24">
        <w:t xml:space="preserve">, and the Utilities.  These arguments were fully considered by the Prehearing Officer in reaching his decision that Issues A and B were relevant to </w:t>
      </w:r>
      <w:r w:rsidR="00D3122F">
        <w:t xml:space="preserve">the </w:t>
      </w:r>
      <w:r w:rsidR="00927A24">
        <w:t>ultimate cost recovery of 2022 under-recovered fuel charges but should be deferred until a request for recovery of those costs was made by the Utilities.  Neither OPC</w:t>
      </w:r>
      <w:r w:rsidR="00377277">
        <w:t>, FIPUG</w:t>
      </w:r>
      <w:r w:rsidR="00414706">
        <w:t>,</w:t>
      </w:r>
      <w:r w:rsidR="00377277">
        <w:t xml:space="preserve"> nor FRF</w:t>
      </w:r>
      <w:r w:rsidR="00927A24">
        <w:t xml:space="preserve"> presented the </w:t>
      </w:r>
      <w:r w:rsidR="005C49A8">
        <w:t xml:space="preserve">violation of </w:t>
      </w:r>
      <w:r w:rsidR="00927A24">
        <w:t xml:space="preserve">due process or violation of established </w:t>
      </w:r>
      <w:r w:rsidR="005C49A8">
        <w:t xml:space="preserve">Commission </w:t>
      </w:r>
      <w:r w:rsidR="00927A24">
        <w:t>policy arguments to the Prehearing Officer.</w:t>
      </w:r>
      <w:r w:rsidR="005C49A8">
        <w:t xml:space="preserve">  Both of these arguments could have been raised initially but were not.  It is not an abuse of discretion to deny a motion for reconsideration or rehearing which raises an issue that could have been, but was not, raised in the initial motion or at the initial hearing.</w:t>
      </w:r>
      <w:r w:rsidR="005C49A8">
        <w:rPr>
          <w:rStyle w:val="FootnoteReference"/>
        </w:rPr>
        <w:footnoteReference w:id="2"/>
      </w:r>
      <w:r w:rsidR="00DD7994">
        <w:t xml:space="preserve">  </w:t>
      </w:r>
      <w:r w:rsidR="00A84E6B">
        <w:t xml:space="preserve">For these reasons, we </w:t>
      </w:r>
      <w:r w:rsidR="004D425D">
        <w:t xml:space="preserve">affirm the Prehearing Officer’s decision and </w:t>
      </w:r>
      <w:r w:rsidR="00A84E6B">
        <w:t>deny OPC’s</w:t>
      </w:r>
      <w:r w:rsidR="004D425D">
        <w:t xml:space="preserve"> motion for reconsideration.  </w:t>
      </w:r>
    </w:p>
    <w:p w:rsidR="0050763E" w:rsidRDefault="003B1B4B" w:rsidP="00DF596F">
      <w:pPr>
        <w:pStyle w:val="BodyText"/>
        <w:rPr>
          <w:u w:val="single"/>
        </w:rPr>
      </w:pPr>
      <w:r>
        <w:t>I</w:t>
      </w:r>
      <w:r w:rsidR="00D44857">
        <w:t>I</w:t>
      </w:r>
      <w:r>
        <w:t>.</w:t>
      </w:r>
      <w:r w:rsidR="00E3773A">
        <w:tab/>
      </w:r>
      <w:r w:rsidR="00F92FB3">
        <w:rPr>
          <w:u w:val="single"/>
        </w:rPr>
        <w:t>Fuel cost factors</w:t>
      </w:r>
    </w:p>
    <w:p w:rsidR="00352376" w:rsidRPr="00352376" w:rsidRDefault="00352376" w:rsidP="00DF596F">
      <w:pPr>
        <w:pStyle w:val="BodyText"/>
        <w:rPr>
          <w:u w:val="single"/>
        </w:rPr>
      </w:pPr>
      <w:r>
        <w:tab/>
      </w:r>
      <w:r w:rsidR="003B1B4B">
        <w:t>A.</w:t>
      </w:r>
      <w:r w:rsidR="003B1B4B">
        <w:tab/>
      </w:r>
      <w:r w:rsidRPr="00352376">
        <w:rPr>
          <w:u w:val="single"/>
        </w:rPr>
        <w:t>DEF</w:t>
      </w:r>
    </w:p>
    <w:p w:rsidR="00727C5D" w:rsidRDefault="007F7003" w:rsidP="00352376">
      <w:r>
        <w:tab/>
      </w:r>
      <w:r w:rsidR="00092F01">
        <w:t xml:space="preserve">DEF has requested that it </w:t>
      </w:r>
      <w:r w:rsidR="00840EE1">
        <w:t xml:space="preserve">be allowed to collect </w:t>
      </w:r>
      <w:r w:rsidR="00474CB1">
        <w:t xml:space="preserve">a </w:t>
      </w:r>
      <w:r w:rsidR="00092F01">
        <w:t xml:space="preserve">$175,789,361 </w:t>
      </w:r>
      <w:r w:rsidR="00814183">
        <w:t xml:space="preserve">under-recovery </w:t>
      </w:r>
      <w:r w:rsidR="00092F01">
        <w:t xml:space="preserve">as its </w:t>
      </w:r>
      <w:r w:rsidR="005A5D59">
        <w:t xml:space="preserve">total </w:t>
      </w:r>
      <w:r w:rsidR="00092F01">
        <w:t xml:space="preserve">fuel adjustment </w:t>
      </w:r>
      <w:r w:rsidR="005A5D59">
        <w:t>t</w:t>
      </w:r>
      <w:r w:rsidR="00092F01">
        <w:t xml:space="preserve">rue-up amount </w:t>
      </w:r>
      <w:r w:rsidR="005A5D59">
        <w:t xml:space="preserve">to be collected from </w:t>
      </w:r>
      <w:r w:rsidR="00092F01">
        <w:t>January 202</w:t>
      </w:r>
      <w:r w:rsidR="005A5D59">
        <w:t>3</w:t>
      </w:r>
      <w:r w:rsidR="00092F01">
        <w:t xml:space="preserve"> through December 202</w:t>
      </w:r>
      <w:r w:rsidR="005A5D59">
        <w:t>3</w:t>
      </w:r>
      <w:r w:rsidR="00092F01">
        <w:t>.  This amount is comprised of $123,418,788 from the Rate Mitigation Plan approved in Order No. PSC-2021-4025-FOF-EI</w:t>
      </w:r>
      <w:r w:rsidR="005A5D59">
        <w:rPr>
          <w:rStyle w:val="FootnoteReference"/>
        </w:rPr>
        <w:footnoteReference w:id="3"/>
      </w:r>
      <w:r w:rsidR="005A5D59">
        <w:t xml:space="preserve"> and $52,370,573 of the midcourse correction amount of $314,223,437 approved in Order No. PSC-2022-0061-PCO-EI.</w:t>
      </w:r>
      <w:r w:rsidR="005A5D59">
        <w:rPr>
          <w:rStyle w:val="FootnoteReference"/>
        </w:rPr>
        <w:footnoteReference w:id="4"/>
      </w:r>
      <w:r w:rsidR="00A13B61">
        <w:t xml:space="preserve">  As of </w:t>
      </w:r>
      <w:r w:rsidR="006E09DD">
        <w:t xml:space="preserve">July 31, 2022, </w:t>
      </w:r>
      <w:r w:rsidR="00A13B61">
        <w:t>the fuel adjustment actual/estimated true-up amount for the period January 2022 through December 2022 is an under-recovery of $1,308,956,670.  DEF is not requesting recovery of the</w:t>
      </w:r>
      <w:r w:rsidR="00E5228C">
        <w:t xml:space="preserve"> net 2022 actual/estimated amount at this time</w:t>
      </w:r>
      <w:r w:rsidR="00A13B61">
        <w:t xml:space="preserve">.  </w:t>
      </w:r>
      <w:r w:rsidR="00474CB1">
        <w:t xml:space="preserve">Based on the deferral of setting final under-recovered 2022 </w:t>
      </w:r>
      <w:r w:rsidR="00710A5F">
        <w:t xml:space="preserve">fuel costs to next year, DEF’s </w:t>
      </w:r>
      <w:r w:rsidR="00A13B61">
        <w:t xml:space="preserve">has requested recovery of a </w:t>
      </w:r>
      <w:r w:rsidR="00710A5F">
        <w:t>projected total fuel and purchased power cost recovery amount for the period January</w:t>
      </w:r>
      <w:r w:rsidR="00F31A6A">
        <w:t xml:space="preserve"> 2023</w:t>
      </w:r>
      <w:r w:rsidR="00710A5F">
        <w:t xml:space="preserve"> through </w:t>
      </w:r>
      <w:r w:rsidR="00F31A6A">
        <w:t xml:space="preserve">December 2023 </w:t>
      </w:r>
      <w:r w:rsidR="00A13B61">
        <w:t xml:space="preserve">of </w:t>
      </w:r>
      <w:r w:rsidR="00710A5F">
        <w:t>$2,266,708,676.</w:t>
      </w:r>
      <w:r w:rsidR="003E0477">
        <w:t xml:space="preserve">  Using these amounts, DEF is requesting a projected net fuel and purchased power cost recovery and Generating Performance Incentive amount of $2,473,648,033</w:t>
      </w:r>
      <w:r w:rsidR="00B56A17">
        <w:t xml:space="preserve"> for the period January 2023 through December 2023</w:t>
      </w:r>
      <w:r w:rsidR="003E0477">
        <w:t>.</w:t>
      </w:r>
    </w:p>
    <w:p w:rsidR="00352376" w:rsidRPr="00352376" w:rsidRDefault="00352376" w:rsidP="00352376">
      <w:pPr>
        <w:rPr>
          <w:u w:val="single"/>
        </w:rPr>
      </w:pPr>
      <w:r>
        <w:lastRenderedPageBreak/>
        <w:tab/>
      </w:r>
      <w:r w:rsidR="003B1B4B">
        <w:t>B.</w:t>
      </w:r>
      <w:r w:rsidR="003B1B4B">
        <w:tab/>
      </w:r>
      <w:r w:rsidRPr="00352376">
        <w:rPr>
          <w:u w:val="single"/>
        </w:rPr>
        <w:t>FPL</w:t>
      </w:r>
    </w:p>
    <w:p w:rsidR="00F92FB3" w:rsidRDefault="00727C5D" w:rsidP="00DF596F">
      <w:pPr>
        <w:pStyle w:val="BodyText"/>
      </w:pPr>
      <w:r>
        <w:tab/>
        <w:t xml:space="preserve">FPL has requested that it be allowed a $10,256,384 over-recovery for its total </w:t>
      </w:r>
      <w:r w:rsidR="00E5228C">
        <w:t xml:space="preserve">2021 </w:t>
      </w:r>
      <w:r>
        <w:t xml:space="preserve">fuel adjustment true-up to be refunded from January 2023 through December 2023.  As of </w:t>
      </w:r>
      <w:r w:rsidR="006E09DD">
        <w:t>July 31, 2022</w:t>
      </w:r>
      <w:r>
        <w:t>, the fuel adjustment actual/estimated true-up amount for the period January 2022 through December 2022 is an under-recovery of $1,658,287,443</w:t>
      </w:r>
      <w:r w:rsidR="00F92FB3">
        <w:t>.   FPL is not requesting recovery of th</w:t>
      </w:r>
      <w:r w:rsidR="00215116">
        <w:t>is amount at this time</w:t>
      </w:r>
      <w:r w:rsidR="00F92FB3">
        <w:t>.  Based on the deferral of setting final under-recovered 2022 fuel costs to next year, FPL has requested recovery of a projected total fuel and purchased power cost recovery amount for the period January 2023 through December 2023 of $4,853,323,306.</w:t>
      </w:r>
      <w:r w:rsidR="001F1CFA">
        <w:t xml:space="preserve">  Using these amounts, FPL is requesting a projected net fuel and purchased power cost recovery and Generating Performance Incentive amount of $5,006,260,583</w:t>
      </w:r>
      <w:r w:rsidR="00B56A17">
        <w:t xml:space="preserve"> for the period January 2023 through December 2023</w:t>
      </w:r>
      <w:r w:rsidR="001F1CFA">
        <w:t>.</w:t>
      </w:r>
    </w:p>
    <w:p w:rsidR="00352376" w:rsidRPr="00264E97" w:rsidRDefault="00352376" w:rsidP="00DF596F">
      <w:pPr>
        <w:pStyle w:val="BodyText"/>
        <w:rPr>
          <w:u w:val="single"/>
        </w:rPr>
      </w:pPr>
      <w:r>
        <w:tab/>
      </w:r>
      <w:r w:rsidR="003B1B4B">
        <w:t>C.</w:t>
      </w:r>
      <w:r w:rsidR="003B1B4B">
        <w:tab/>
      </w:r>
      <w:r w:rsidR="00264E97">
        <w:rPr>
          <w:u w:val="single"/>
        </w:rPr>
        <w:t>FPUC</w:t>
      </w:r>
    </w:p>
    <w:p w:rsidR="00C94C08" w:rsidRDefault="00352376" w:rsidP="00DF596F">
      <w:pPr>
        <w:pStyle w:val="BodyText"/>
      </w:pPr>
      <w:r>
        <w:tab/>
        <w:t>FPUC has requested that it be allowed to collect under-recovered true-up fuel costs of $6,047,784 for 2021 and $15,143,447</w:t>
      </w:r>
      <w:r w:rsidR="00264E97">
        <w:t xml:space="preserve"> for a total of $21,191,231 to be recovered over a 3-year period at $7,063,744 per year beginning in January 2023.  Recovery over an extended period of time has been requested due to the large rate impact of FPUC’s customers if recovery is spread out over a shorter period.</w:t>
      </w:r>
      <w:r w:rsidR="00C94C08">
        <w:t xml:space="preserve">  We have approved these amounts as Type 2 stipulations found in Attachment A.</w:t>
      </w:r>
    </w:p>
    <w:p w:rsidR="00264E97" w:rsidRDefault="00C94C08" w:rsidP="00DF596F">
      <w:pPr>
        <w:pStyle w:val="BodyText"/>
      </w:pPr>
      <w:r>
        <w:tab/>
      </w:r>
      <w:r w:rsidR="00264E97">
        <w:t>FPUC has also requested that it be allowed to charge its parent’s projected short-term debt rate, rather than the 30-day non-financial commercial paper rate normally charged on the deferred 2022 fuel cost balance.  If during the three-year recovery period, the 30-day non-financial commercial paper rate exceeds the parent’s short-term debt rate, FPUC would revert to calculating interest on the deferred 2022 fuel cost balance at the 30-day non-financial commercial paper rate.  FPUC argues that it does not have access to the 30-day non-financial commercial paper rate and all of its debt is financed by its parent.  Thus, FPUC argues that not applying its parent’s short term debt rate would result in non-recovery of FPUC’s actual cost of debt on the outstanding deferred balance.</w:t>
      </w:r>
      <w:r>
        <w:t xml:space="preserve">  The appropriate carrying cost for 2022 deferred cost balances </w:t>
      </w:r>
      <w:r w:rsidR="00BB1A38">
        <w:t xml:space="preserve">(Issue 3A) has </w:t>
      </w:r>
      <w:r>
        <w:t xml:space="preserve">not been resolved by stipulation. </w:t>
      </w:r>
    </w:p>
    <w:p w:rsidR="00352376" w:rsidRPr="00264E97" w:rsidRDefault="00264E97" w:rsidP="00DF596F">
      <w:pPr>
        <w:pStyle w:val="BodyText"/>
        <w:rPr>
          <w:u w:val="single"/>
        </w:rPr>
      </w:pPr>
      <w:r>
        <w:tab/>
      </w:r>
      <w:r w:rsidR="003B1B4B">
        <w:t>D.</w:t>
      </w:r>
      <w:r w:rsidR="003B1B4B">
        <w:tab/>
      </w:r>
      <w:r w:rsidRPr="00264E97">
        <w:rPr>
          <w:u w:val="single"/>
        </w:rPr>
        <w:t>TECO</w:t>
      </w:r>
    </w:p>
    <w:p w:rsidR="00414706" w:rsidRDefault="00D81055" w:rsidP="00414706">
      <w:pPr>
        <w:pStyle w:val="BodyText"/>
      </w:pPr>
      <w:r>
        <w:tab/>
      </w:r>
      <w:r w:rsidR="00F92FB3">
        <w:t xml:space="preserve">TECO has requested that it be allowed zero dollars for its total fuel </w:t>
      </w:r>
      <w:r w:rsidR="00E5228C">
        <w:t xml:space="preserve">2021 </w:t>
      </w:r>
      <w:r w:rsidR="00F92FB3">
        <w:t xml:space="preserve">adjustment true-up </w:t>
      </w:r>
      <w:r w:rsidR="00E5228C">
        <w:t xml:space="preserve">applicable to </w:t>
      </w:r>
      <w:r w:rsidR="00F92FB3">
        <w:t xml:space="preserve">the period January 2023 through December 2023.  As of </w:t>
      </w:r>
      <w:r w:rsidR="006E09DD">
        <w:t>July 31, 2022</w:t>
      </w:r>
      <w:r w:rsidR="00F92FB3">
        <w:t>, the fuel adjustment actual/estimated true-up amount for the period January 2022 through December 2022 is an under-recovery of $</w:t>
      </w:r>
      <w:r w:rsidR="005C15CA">
        <w:t>411,964,625</w:t>
      </w:r>
      <w:r w:rsidR="00F92FB3">
        <w:t xml:space="preserve">.   </w:t>
      </w:r>
      <w:r w:rsidR="005C15CA">
        <w:t xml:space="preserve">TECO </w:t>
      </w:r>
      <w:r w:rsidR="00F92FB3">
        <w:t xml:space="preserve">is not requesting recovery of this amount at this time.  Based on the deferral of setting final under-recovered 2022 fuel costs to next year, </w:t>
      </w:r>
      <w:r w:rsidR="005C15CA">
        <w:t>TECO</w:t>
      </w:r>
      <w:r w:rsidR="00F92FB3">
        <w:t xml:space="preserve"> has requested recovery of a projected total fuel and purchased power cost recovery amount for the period January 2023 through December 2023 of $</w:t>
      </w:r>
      <w:r w:rsidR="005C15CA">
        <w:t>956,732,804</w:t>
      </w:r>
      <w:r w:rsidR="00F92FB3">
        <w:t>.</w:t>
      </w:r>
      <w:r w:rsidR="001F1CFA">
        <w:t xml:space="preserve">  Using these amounts, TECO is requesting a projected net fuel and purchased power cost recovery and Generating Performance Incentive amount of $962,791,158</w:t>
      </w:r>
      <w:r w:rsidR="00B56A17">
        <w:t xml:space="preserve"> for the period January 2023 through December 2023.</w:t>
      </w:r>
    </w:p>
    <w:p w:rsidR="0079362E" w:rsidRDefault="0079362E">
      <w:r>
        <w:br w:type="page"/>
      </w:r>
    </w:p>
    <w:p w:rsidR="00AE5F2F" w:rsidRDefault="003B1B4B" w:rsidP="00414706">
      <w:pPr>
        <w:pStyle w:val="BodyText"/>
        <w:rPr>
          <w:u w:val="single"/>
        </w:rPr>
      </w:pPr>
      <w:r>
        <w:lastRenderedPageBreak/>
        <w:t>II</w:t>
      </w:r>
      <w:r w:rsidR="009222FC">
        <w:t>I</w:t>
      </w:r>
      <w:r>
        <w:t>.</w:t>
      </w:r>
      <w:r w:rsidR="00AE5F2F">
        <w:tab/>
      </w:r>
      <w:r w:rsidR="00AE5F2F">
        <w:rPr>
          <w:u w:val="single"/>
        </w:rPr>
        <w:t>2022 under-recoveries</w:t>
      </w:r>
    </w:p>
    <w:p w:rsidR="003B1B4B" w:rsidRDefault="007F37BC" w:rsidP="00414706">
      <w:pPr>
        <w:pStyle w:val="BodyText"/>
        <w:rPr>
          <w:u w:val="single"/>
        </w:rPr>
      </w:pPr>
      <w:r>
        <w:tab/>
        <w:t>A.</w:t>
      </w:r>
      <w:r>
        <w:tab/>
      </w:r>
      <w:r w:rsidRPr="007F37BC">
        <w:rPr>
          <w:u w:val="single"/>
        </w:rPr>
        <w:t>Company positions</w:t>
      </w:r>
    </w:p>
    <w:p w:rsidR="002B074D" w:rsidRDefault="003B1B4B" w:rsidP="00DF596F">
      <w:pPr>
        <w:pStyle w:val="BodyText"/>
      </w:pPr>
      <w:r>
        <w:tab/>
      </w:r>
      <w:r w:rsidR="002B074D">
        <w:t xml:space="preserve">In this proceeding, FPUC has included its projected 2022 under-recovery in its 2023 fuel factor.  We have approved FPUC’s calculations  of its fuel adjustment actual/estimated true-up amounts for January 2022 through December 2022 of $15,143,447 under-recovery and total fuel adjustment true-up amount applicable to the period January 2023 through December 2023 of $7,063,744 under-recovery by our approval of Type 2 stipulations </w:t>
      </w:r>
      <w:r>
        <w:t xml:space="preserve">found in Attachment A.  The only non-stipulated issue for FPUC is the treatment of carrying costs to be applied to </w:t>
      </w:r>
      <w:r w:rsidR="00D44857">
        <w:t>its</w:t>
      </w:r>
      <w:r>
        <w:t xml:space="preserve"> deferred 2022 fuel cost balance</w:t>
      </w:r>
      <w:r w:rsidR="00D44857">
        <w:t xml:space="preserve"> discussed above.</w:t>
      </w:r>
      <w:r>
        <w:t xml:space="preserve"> </w:t>
      </w:r>
    </w:p>
    <w:p w:rsidR="00925024" w:rsidRDefault="002B074D" w:rsidP="00DF596F">
      <w:pPr>
        <w:pStyle w:val="BodyText"/>
      </w:pPr>
      <w:r>
        <w:tab/>
      </w:r>
      <w:r w:rsidR="003E0477">
        <w:t xml:space="preserve">In this proceeding, the </w:t>
      </w:r>
      <w:r>
        <w:t>FPL, DEF, and TECO</w:t>
      </w:r>
      <w:r w:rsidR="003E0477">
        <w:t xml:space="preserve"> have identified their 2022 fuel costs as required by the </w:t>
      </w:r>
      <w:r w:rsidR="005470D8">
        <w:t>Order Establishing Procedure (</w:t>
      </w:r>
      <w:r w:rsidR="003E0477">
        <w:t>OEP</w:t>
      </w:r>
      <w:r w:rsidR="005470D8">
        <w:t>)</w:t>
      </w:r>
      <w:r w:rsidR="005470D8">
        <w:rPr>
          <w:rStyle w:val="FootnoteReference"/>
        </w:rPr>
        <w:footnoteReference w:id="5"/>
      </w:r>
      <w:r w:rsidR="003E0477">
        <w:t xml:space="preserve"> but have chosen not to request recovery of those costs in their 2023 factor</w:t>
      </w:r>
      <w:r w:rsidR="00000837">
        <w:t>s</w:t>
      </w:r>
      <w:r w:rsidR="003E0477">
        <w:t>.  The rationale for this</w:t>
      </w:r>
      <w:r w:rsidR="001F1CFA">
        <w:t xml:space="preserve"> action is</w:t>
      </w:r>
      <w:r w:rsidR="003E0477">
        <w:t xml:space="preserve"> that the </w:t>
      </w:r>
      <w:r w:rsidR="001F1CFA">
        <w:t xml:space="preserve">extreme </w:t>
      </w:r>
      <w:r w:rsidR="003E0477">
        <w:t xml:space="preserve">volatility of the natural gas market </w:t>
      </w:r>
      <w:r w:rsidR="001F1CFA">
        <w:t xml:space="preserve">in 2022 has made a reliable projection of final 2022 costs </w:t>
      </w:r>
      <w:r w:rsidR="0082108F">
        <w:t xml:space="preserve">“not practical” and deferral of cost recovery for those costs compliant with </w:t>
      </w:r>
      <w:r w:rsidR="001D4E74">
        <w:t xml:space="preserve">the provisions of </w:t>
      </w:r>
      <w:r w:rsidR="0082108F">
        <w:t>Rule 25-6.0424(2), F.A.C.</w:t>
      </w:r>
    </w:p>
    <w:p w:rsidR="0082108F" w:rsidRDefault="00925024" w:rsidP="00DF596F">
      <w:pPr>
        <w:pStyle w:val="BodyText"/>
      </w:pPr>
      <w:r>
        <w:tab/>
      </w:r>
      <w:r w:rsidR="007657FA">
        <w:t>DEF W</w:t>
      </w:r>
      <w:r w:rsidR="00C55FFA">
        <w:t>itness Dean testified that comparing January 2022 natural gas prices to June, July, and August 2022 prices, there was an increase of 134 percent, 44 percent, and 139 percent, respectively.</w:t>
      </w:r>
      <w:r w:rsidR="002E64D3">
        <w:t xml:space="preserve">  </w:t>
      </w:r>
      <w:r w:rsidR="007657FA">
        <w:t xml:space="preserve">FPL Witness Yupp testified natural gas volatility in 2022 was affected by </w:t>
      </w:r>
      <w:r w:rsidR="00982F89">
        <w:t xml:space="preserve">multiple </w:t>
      </w:r>
      <w:r w:rsidR="007657FA">
        <w:t xml:space="preserve">unpredictable events that happened on a real time basis: the war in Ukraine, an extremely hot summer period with limited switching capability to coal, </w:t>
      </w:r>
      <w:r w:rsidR="00E5228C">
        <w:t xml:space="preserve">an </w:t>
      </w:r>
      <w:r w:rsidR="00982F89">
        <w:t xml:space="preserve">explosion </w:t>
      </w:r>
      <w:r w:rsidR="00E5228C">
        <w:t>at</w:t>
      </w:r>
      <w:r w:rsidR="00982F89">
        <w:t xml:space="preserve"> a liquefied natural gas</w:t>
      </w:r>
      <w:r w:rsidR="0079362E">
        <w:t xml:space="preserve"> (LNG) </w:t>
      </w:r>
      <w:r w:rsidR="00982F89">
        <w:t>facility</w:t>
      </w:r>
      <w:r w:rsidR="0079362E">
        <w:t xml:space="preserve"> </w:t>
      </w:r>
      <w:r w:rsidR="00982F89">
        <w:t xml:space="preserve">, and </w:t>
      </w:r>
      <w:r w:rsidR="007657FA">
        <w:t xml:space="preserve">increased United States </w:t>
      </w:r>
      <w:r w:rsidR="0079362E">
        <w:t xml:space="preserve">LNG </w:t>
      </w:r>
      <w:r w:rsidR="007657FA">
        <w:t xml:space="preserve">exports.  </w:t>
      </w:r>
      <w:r w:rsidR="00982F89">
        <w:t xml:space="preserve">Witness Yupp </w:t>
      </w:r>
      <w:r w:rsidR="002E64D3">
        <w:t xml:space="preserve">also </w:t>
      </w:r>
      <w:r w:rsidR="00982F89">
        <w:t xml:space="preserve">testified that these events should now be taken into account and reflected in the NYMEX forward curve used </w:t>
      </w:r>
      <w:r w:rsidR="002E64D3">
        <w:t xml:space="preserve">to </w:t>
      </w:r>
      <w:r w:rsidR="00982F89">
        <w:t xml:space="preserve">forecast 2023 natural gas prices. </w:t>
      </w:r>
      <w:r w:rsidR="00EE6FD3">
        <w:t xml:space="preserve"> </w:t>
      </w:r>
      <w:r w:rsidR="0082108F">
        <w:t xml:space="preserve">Further, </w:t>
      </w:r>
      <w:r w:rsidR="00EE6FD3">
        <w:t xml:space="preserve">Witness Yupp testified that the natural gas commodity price in the </w:t>
      </w:r>
      <w:r w:rsidR="00171BAF">
        <w:t>later part of 2022 had been a lot more stable than in the earlier months of 2022.</w:t>
      </w:r>
    </w:p>
    <w:p w:rsidR="0082108F" w:rsidRDefault="0082108F" w:rsidP="00DF596F">
      <w:pPr>
        <w:pStyle w:val="BodyText"/>
      </w:pPr>
      <w:r>
        <w:tab/>
      </w:r>
      <w:r w:rsidR="007E18D6">
        <w:t>FPL Witness Bores agreed with Witnesses Yupp and Dean that the market in 20</w:t>
      </w:r>
      <w:r w:rsidR="00E5228C">
        <w:t>2</w:t>
      </w:r>
      <w:r w:rsidR="007E18D6">
        <w:t>2 had been highly volatile</w:t>
      </w:r>
      <w:r w:rsidR="00000837">
        <w:t>,</w:t>
      </w:r>
      <w:r w:rsidR="007E18D6">
        <w:t xml:space="preserve"> noting that during the month of July 2022 NYMEX settlement prices ranged from below $5.72 to a high of $9.46</w:t>
      </w:r>
      <w:r w:rsidR="00E5228C">
        <w:t xml:space="preserve"> per Million British thermal units (MMBtu)</w:t>
      </w:r>
      <w:r w:rsidR="007E18D6">
        <w:t xml:space="preserve">.  </w:t>
      </w:r>
      <w:r w:rsidR="008D491E">
        <w:t>FPL’s customers would have had five midcourse corrections had FPL requested a rate increase every time costs exceeded the 10</w:t>
      </w:r>
      <w:r w:rsidR="00E5228C">
        <w:t xml:space="preserve"> percent </w:t>
      </w:r>
      <w:r w:rsidR="003B38D2">
        <w:t xml:space="preserve">variance </w:t>
      </w:r>
      <w:r w:rsidR="008D491E">
        <w:t xml:space="preserve">threshold in 2022.  Given record inflation, higher food prices and higher interest rates, </w:t>
      </w:r>
      <w:r w:rsidR="00FB3086">
        <w:t xml:space="preserve">Witness Bores testified that </w:t>
      </w:r>
      <w:r w:rsidR="008D491E">
        <w:t>FPL concluded it was better for customers t</w:t>
      </w:r>
      <w:r w:rsidR="00FB3086">
        <w:t>o have just one</w:t>
      </w:r>
      <w:r w:rsidR="008D491E">
        <w:t xml:space="preserve"> accurate rate change in 2023 to recover 2022 fuel costs</w:t>
      </w:r>
      <w:r w:rsidR="00FB3086">
        <w:t>, rather than severa</w:t>
      </w:r>
      <w:r w:rsidR="0018661C">
        <w:t>l</w:t>
      </w:r>
      <w:r w:rsidR="008D491E">
        <w:t xml:space="preserve"> sequential,</w:t>
      </w:r>
      <w:r w:rsidR="00FB3086">
        <w:t xml:space="preserve"> rate change</w:t>
      </w:r>
      <w:r w:rsidR="0018661C">
        <w:t>s</w:t>
      </w:r>
      <w:r w:rsidR="008D491E">
        <w:t xml:space="preserve"> in 2022</w:t>
      </w:r>
      <w:r w:rsidR="00000837">
        <w:t>,</w:t>
      </w:r>
      <w:r w:rsidR="008D491E">
        <w:t xml:space="preserve"> to do so.</w:t>
      </w:r>
    </w:p>
    <w:p w:rsidR="0033227A" w:rsidRDefault="0082108F" w:rsidP="00DF596F">
      <w:pPr>
        <w:pStyle w:val="BodyText"/>
      </w:pPr>
      <w:r>
        <w:tab/>
      </w:r>
      <w:r w:rsidR="00925024">
        <w:t>TECO</w:t>
      </w:r>
      <w:r w:rsidR="008D491E">
        <w:t xml:space="preserve"> </w:t>
      </w:r>
      <w:r w:rsidR="00925024">
        <w:t xml:space="preserve">Witness Rusk agreed that the natural gas market had been extremely volatile in 2002.  Witness Rusk testified that TECO filed a midcourse correction in early 2022 which took effect April 1.  On April 1, even using the new rates, TECO calculated that it would exceed the 10 percent threshold again based on natural gas prices at the end of March. </w:t>
      </w:r>
      <w:r w:rsidR="00D100B5">
        <w:t xml:space="preserve"> TECO’s 10 percent threshold was exceed</w:t>
      </w:r>
      <w:r w:rsidR="00FB74C8">
        <w:t>ed</w:t>
      </w:r>
      <w:r w:rsidR="00D100B5">
        <w:t xml:space="preserve"> again as reflected in its July 27 actual/estimated filing and </w:t>
      </w:r>
      <w:r w:rsidR="0033227A">
        <w:t xml:space="preserve">then yet again </w:t>
      </w:r>
      <w:r w:rsidR="00D100B5">
        <w:t xml:space="preserve">by more than 50 percent in the next few weeks.  TECO’s strategy was to hold off filing for a midcourse correction </w:t>
      </w:r>
      <w:r w:rsidR="00540F6D">
        <w:t xml:space="preserve">to </w:t>
      </w:r>
      <w:r w:rsidR="00D100B5">
        <w:t xml:space="preserve">see if the market would decline throughout the rest of </w:t>
      </w:r>
      <w:r w:rsidR="0033227A">
        <w:t>2022 which would result in a smaller under-recovery amount being passed on to ratepayers.</w:t>
      </w:r>
      <w:r w:rsidR="00D100B5">
        <w:t xml:space="preserve"> </w:t>
      </w:r>
      <w:r w:rsidR="0033227A">
        <w:t xml:space="preserve">  Witness Rusk testified </w:t>
      </w:r>
      <w:r w:rsidR="0033227A">
        <w:lastRenderedPageBreak/>
        <w:t xml:space="preserve">that natural gas prices have declined slightly in the last few months supporting TECO’s strategy to wait until the end of the year to request recovery of fuel costs. </w:t>
      </w:r>
    </w:p>
    <w:p w:rsidR="00017759" w:rsidRDefault="0033227A" w:rsidP="00DF596F">
      <w:pPr>
        <w:pStyle w:val="BodyText"/>
      </w:pPr>
      <w:r>
        <w:tab/>
        <w:t xml:space="preserve">TECO </w:t>
      </w:r>
      <w:r w:rsidR="00E5228C">
        <w:t>estimate</w:t>
      </w:r>
      <w:r>
        <w:t>s that it w</w:t>
      </w:r>
      <w:r w:rsidR="00540F6D">
        <w:t>ill</w:t>
      </w:r>
      <w:r>
        <w:t xml:space="preserve"> under-recover somewhere</w:t>
      </w:r>
      <w:r w:rsidR="00540F6D">
        <w:t xml:space="preserve"> around $550 million by the end of the year.  As of October 31 TECO is under-recovered $470 million, less than the approximately $600 million projected on </w:t>
      </w:r>
      <w:r w:rsidR="00FB74C8">
        <w:t>September 2</w:t>
      </w:r>
      <w:r w:rsidR="00540F6D">
        <w:t xml:space="preserve">.  The </w:t>
      </w:r>
      <w:r w:rsidR="00FB74C8">
        <w:t xml:space="preserve">monthly </w:t>
      </w:r>
      <w:r w:rsidR="00540F6D">
        <w:t xml:space="preserve">residential bill impact for a recovery of $550 million is estimated to be </w:t>
      </w:r>
      <w:r w:rsidR="00755F92">
        <w:t xml:space="preserve">a </w:t>
      </w:r>
      <w:r w:rsidR="00540F6D">
        <w:t xml:space="preserve">$20 </w:t>
      </w:r>
      <w:r w:rsidR="005C2FD4">
        <w:t xml:space="preserve">bill increase for 1,000 </w:t>
      </w:r>
      <w:r w:rsidR="00FB74C8">
        <w:t>kilowatt hours (</w:t>
      </w:r>
      <w:r w:rsidR="005C2FD4">
        <w:t>kWh</w:t>
      </w:r>
      <w:r w:rsidR="00FB74C8">
        <w:t>)</w:t>
      </w:r>
      <w:r w:rsidR="00755F92">
        <w:t xml:space="preserve"> usage </w:t>
      </w:r>
      <w:r w:rsidR="00540F6D">
        <w:t>if recovered over a 12 month period and $13</w:t>
      </w:r>
      <w:r w:rsidR="00755F92">
        <w:t xml:space="preserve"> increase</w:t>
      </w:r>
      <w:r w:rsidR="00540F6D">
        <w:t xml:space="preserve"> if recovered over an 18</w:t>
      </w:r>
      <w:r w:rsidR="00FB74C8">
        <w:t>-</w:t>
      </w:r>
      <w:r w:rsidR="00540F6D">
        <w:t>month period.  For commercial and industrial customers, whose bills vary widely depending on class of customer, usage, and load patterns, recovery over a 12</w:t>
      </w:r>
      <w:r w:rsidR="00FB74C8">
        <w:t>-</w:t>
      </w:r>
      <w:r w:rsidR="00540F6D">
        <w:t xml:space="preserve">month period would result in an increase </w:t>
      </w:r>
      <w:r w:rsidR="00117041">
        <w:t xml:space="preserve">in the bill </w:t>
      </w:r>
      <w:r w:rsidR="00540F6D">
        <w:t>of 13 to 25 percent</w:t>
      </w:r>
      <w:r w:rsidR="00117041">
        <w:t>,</w:t>
      </w:r>
      <w:r w:rsidR="00540F6D">
        <w:t xml:space="preserve"> recovery over </w:t>
      </w:r>
      <w:r w:rsidR="00117041">
        <w:t>18 months would reduce the bill increase from 8 to 15 percent, and recovery over a 21</w:t>
      </w:r>
      <w:r w:rsidR="00FB74C8">
        <w:t>-</w:t>
      </w:r>
      <w:r w:rsidR="00117041">
        <w:t xml:space="preserve">month period would reduce the bill increase from 6 to 12 percent.  </w:t>
      </w:r>
      <w:r w:rsidR="00755F92">
        <w:t>The total bill for residential customers for 1,000 k</w:t>
      </w:r>
      <w:r w:rsidR="00FB74C8">
        <w:t>Wh</w:t>
      </w:r>
      <w:r w:rsidR="00755F92">
        <w:t xml:space="preserve"> usage would be approximately $167/month for a 12-month recovery period and $160/month for an 18-month recovery period.</w:t>
      </w:r>
      <w:r w:rsidR="00017759">
        <w:t xml:space="preserve">  </w:t>
      </w:r>
      <w:r w:rsidR="00802248">
        <w:t>FPL</w:t>
      </w:r>
      <w:r w:rsidR="00FB74C8">
        <w:t xml:space="preserve"> Witness Bores testified that its </w:t>
      </w:r>
      <w:r w:rsidR="00772B14">
        <w:t xml:space="preserve">2022 </w:t>
      </w:r>
      <w:r w:rsidR="00802248">
        <w:t xml:space="preserve">under-recovery at the end of September </w:t>
      </w:r>
      <w:r w:rsidR="00FB74C8">
        <w:t xml:space="preserve">was approximately </w:t>
      </w:r>
      <w:r w:rsidR="00802248">
        <w:t xml:space="preserve">$2 billion.  DEF </w:t>
      </w:r>
      <w:r w:rsidR="00017759">
        <w:t xml:space="preserve">calculated its </w:t>
      </w:r>
      <w:r w:rsidR="00772B14">
        <w:t xml:space="preserve">2022 </w:t>
      </w:r>
      <w:r w:rsidR="00017759">
        <w:t>under-recovery at the end of September to be approximately $1.</w:t>
      </w:r>
      <w:r w:rsidR="00FB74C8">
        <w:t>159</w:t>
      </w:r>
      <w:r w:rsidR="00017759">
        <w:t xml:space="preserve"> billion.</w:t>
      </w:r>
    </w:p>
    <w:p w:rsidR="0082108F" w:rsidRPr="003B1B4B" w:rsidRDefault="0082108F" w:rsidP="00DF596F">
      <w:pPr>
        <w:pStyle w:val="BodyText"/>
        <w:rPr>
          <w:u w:val="single"/>
        </w:rPr>
      </w:pPr>
      <w:r>
        <w:tab/>
      </w:r>
      <w:r w:rsidR="007F37BC">
        <w:t>B.</w:t>
      </w:r>
      <w:r w:rsidR="007F37BC">
        <w:tab/>
      </w:r>
      <w:r w:rsidR="003B1B4B" w:rsidRPr="003B1B4B">
        <w:rPr>
          <w:u w:val="single"/>
        </w:rPr>
        <w:t>OPC, FIPUG, and FRF positions</w:t>
      </w:r>
    </w:p>
    <w:p w:rsidR="000B5332" w:rsidRDefault="007F7003" w:rsidP="00DF596F">
      <w:pPr>
        <w:pStyle w:val="BodyText"/>
      </w:pPr>
      <w:r>
        <w:tab/>
      </w:r>
      <w:r w:rsidR="00FF046F">
        <w:t>OPC</w:t>
      </w:r>
      <w:r w:rsidR="007F37BC">
        <w:t>, FRF, and FIPUG</w:t>
      </w:r>
      <w:r w:rsidR="00FF046F">
        <w:t xml:space="preserve"> have questioned the Utilities’ decisions to wait to recover 2022 fuel cost under-recoveries when each filed Rule 25-6.0424 (2), Florida Administrative Code (F.A.C.) midcourse correction letters in the first quarter of 2022 stating that their fuel cost recovery was under-recovered by 10 percent or greater.</w:t>
      </w:r>
      <w:r w:rsidR="008203B1">
        <w:rPr>
          <w:rStyle w:val="FootnoteReference"/>
        </w:rPr>
        <w:footnoteReference w:id="6"/>
      </w:r>
      <w:r w:rsidR="008203B1">
        <w:t xml:space="preserve">  Characterizing th</w:t>
      </w:r>
      <w:r w:rsidR="004C20BE">
        <w:t>e</w:t>
      </w:r>
      <w:r w:rsidR="008203B1">
        <w:t>s</w:t>
      </w:r>
      <w:r w:rsidR="004C20BE">
        <w:t>e</w:t>
      </w:r>
      <w:r w:rsidR="008203B1">
        <w:t xml:space="preserve"> decision</w:t>
      </w:r>
      <w:r w:rsidR="004C20BE">
        <w:t>s</w:t>
      </w:r>
      <w:r w:rsidR="008203B1">
        <w:t xml:space="preserve"> to wait as creating a “voluntary deferral period</w:t>
      </w:r>
      <w:r w:rsidR="00000837">
        <w:t>,</w:t>
      </w:r>
      <w:r w:rsidR="008203B1">
        <w:t>” OPC</w:t>
      </w:r>
      <w:r w:rsidR="007F37BC">
        <w:t>, FRF and FIPUG</w:t>
      </w:r>
      <w:r w:rsidR="008203B1">
        <w:t xml:space="preserve"> argue that </w:t>
      </w:r>
      <w:r w:rsidR="004C20BE">
        <w:t>the Utilities should not recover any carrying costs for the 2022 under-recoveries</w:t>
      </w:r>
      <w:r w:rsidR="00FF046F">
        <w:t xml:space="preserve"> </w:t>
      </w:r>
      <w:r w:rsidR="004C20BE">
        <w:t xml:space="preserve">from </w:t>
      </w:r>
      <w:r w:rsidR="0062475C">
        <w:t xml:space="preserve">July 1, 2022 </w:t>
      </w:r>
      <w:r w:rsidR="00437D6B">
        <w:t xml:space="preserve">until </w:t>
      </w:r>
      <w:r w:rsidR="004C20BE">
        <w:t>the date the under-recoveries begin to be collected</w:t>
      </w:r>
      <w:r w:rsidR="00437D6B">
        <w:t xml:space="preserve"> from customers, e.g, April 1, 2023</w:t>
      </w:r>
      <w:r w:rsidR="004C20BE">
        <w:t xml:space="preserve">.  </w:t>
      </w:r>
      <w:r w:rsidR="00D902F6">
        <w:t>After that date, OPC</w:t>
      </w:r>
      <w:r w:rsidR="000B5332">
        <w:t>, FIPUG and FRF</w:t>
      </w:r>
      <w:r w:rsidR="00D902F6">
        <w:t xml:space="preserve"> would apply the commercial paper rate on the unrecovered balance.</w:t>
      </w:r>
    </w:p>
    <w:p w:rsidR="0062475C" w:rsidRDefault="000B5332" w:rsidP="00DF596F">
      <w:pPr>
        <w:pStyle w:val="BodyText"/>
      </w:pPr>
      <w:r>
        <w:tab/>
      </w:r>
      <w:r w:rsidR="00D902F6">
        <w:t>OPC also argues that there should be extended recovery periods for the under-recoveries, e.g., 12, 16, or 18 months.</w:t>
      </w:r>
      <w:r w:rsidR="0062475C">
        <w:t xml:space="preserve">  OPC further contends that failure to request recovery for 2022 under-recoveries violates Commission fuel </w:t>
      </w:r>
      <w:r w:rsidR="00F968EE">
        <w:t xml:space="preserve">cost recovery </w:t>
      </w:r>
      <w:r w:rsidR="0062475C">
        <w:t>clause policy as stated in Rule 25-6.0424, F.A.C., and Section 120.68(7)(e)(3), F.S.</w:t>
      </w:r>
      <w:r w:rsidR="00F968EE">
        <w:t xml:space="preserve">  Finally, OPC contends that the Utilities’ assertion that  </w:t>
      </w:r>
      <w:r>
        <w:t>OPC, FRF</w:t>
      </w:r>
      <w:r w:rsidR="00437D6B">
        <w:t>,</w:t>
      </w:r>
      <w:r>
        <w:t xml:space="preserve"> </w:t>
      </w:r>
      <w:r w:rsidR="00437D6B">
        <w:t xml:space="preserve">or </w:t>
      </w:r>
      <w:r>
        <w:t xml:space="preserve">FIPUG </w:t>
      </w:r>
      <w:r w:rsidR="00F968EE">
        <w:t>should have requested that DEF, FPL</w:t>
      </w:r>
      <w:r w:rsidR="00000837">
        <w:t>,</w:t>
      </w:r>
      <w:r w:rsidR="00F968EE">
        <w:t xml:space="preserve"> and TECO file requests for midcourse corrections in early 2022 is “audacious.”  </w:t>
      </w:r>
      <w:r w:rsidR="007A615B">
        <w:t>This is because t</w:t>
      </w:r>
      <w:r w:rsidR="00F968EE">
        <w:t>he filing of a midcourse correction letter</w:t>
      </w:r>
      <w:r w:rsidR="007A615B">
        <w:t xml:space="preserve">, according to OPC, </w:t>
      </w:r>
      <w:r w:rsidR="00F968EE">
        <w:t>does not give parties a point of entry to request anything</w:t>
      </w:r>
      <w:r w:rsidR="007A615B">
        <w:t xml:space="preserve">.  The burden to comply with Rule 25-6.0424, F.A.C., and Section 120.68(7)(e)(3), F.S., lies with the Utilities, not the customers. </w:t>
      </w:r>
      <w:r w:rsidR="00F968EE">
        <w:t xml:space="preserve">   </w:t>
      </w:r>
    </w:p>
    <w:p w:rsidR="00B56A17" w:rsidRDefault="00F968EE" w:rsidP="00DF596F">
      <w:pPr>
        <w:pStyle w:val="BodyText"/>
      </w:pPr>
      <w:r>
        <w:tab/>
      </w:r>
      <w:r w:rsidR="000B5332">
        <w:t>Addit</w:t>
      </w:r>
      <w:r w:rsidR="00437D6B">
        <w:t>i</w:t>
      </w:r>
      <w:r w:rsidR="000B5332">
        <w:t xml:space="preserve">onally, </w:t>
      </w:r>
      <w:r w:rsidR="004C20BE">
        <w:t xml:space="preserve">FRF argues that </w:t>
      </w:r>
      <w:r w:rsidR="008B1DBA">
        <w:t xml:space="preserve">at least </w:t>
      </w:r>
      <w:r w:rsidR="004C20BE">
        <w:t xml:space="preserve">some portion of </w:t>
      </w:r>
      <w:r w:rsidR="008B1DBA">
        <w:t xml:space="preserve">DEF’s, FPL’s and TECO’s </w:t>
      </w:r>
      <w:r w:rsidR="004C20BE">
        <w:t>identified under-recoveries</w:t>
      </w:r>
      <w:r w:rsidR="007A615B">
        <w:t>, perhaps 25</w:t>
      </w:r>
      <w:r w:rsidR="00FB74C8">
        <w:t xml:space="preserve"> percent </w:t>
      </w:r>
      <w:r w:rsidR="007A615B">
        <w:t xml:space="preserve">of under-recoveries identified in their July 27 filings, </w:t>
      </w:r>
      <w:r w:rsidR="008B1DBA">
        <w:t>should be recovered in the 2023 fuel cost recovery factor beginning January 1, 2023.   If this were done</w:t>
      </w:r>
      <w:r w:rsidR="007A615B">
        <w:t>,</w:t>
      </w:r>
      <w:r w:rsidR="008B1DBA">
        <w:t xml:space="preserve"> FRF argues that the total cost to ratepayers would be decreased due to lower </w:t>
      </w:r>
      <w:r w:rsidR="0062475C">
        <w:t xml:space="preserve">total </w:t>
      </w:r>
      <w:r w:rsidR="008B1DBA">
        <w:t>carrying costs</w:t>
      </w:r>
      <w:r w:rsidR="007A615B">
        <w:t xml:space="preserve">.  Additionally, if this were done, </w:t>
      </w:r>
      <w:r w:rsidR="00AE5F2F">
        <w:t xml:space="preserve">the </w:t>
      </w:r>
      <w:r w:rsidR="008B1DBA">
        <w:t>rate impact would be decreased as the under-recovery would be spread over a longer period of time.  FRF also argues that</w:t>
      </w:r>
      <w:r w:rsidR="00AE5F2F">
        <w:t xml:space="preserve"> allowing the </w:t>
      </w:r>
      <w:r w:rsidR="00AE5F2F">
        <w:lastRenderedPageBreak/>
        <w:t>Utilities to wait until the first quarter of 2023 to request and implement recovery of 2022 under-recoveries violates the matching principle and results in rates that are not fair, just</w:t>
      </w:r>
      <w:r w:rsidR="00437D6B">
        <w:t>,</w:t>
      </w:r>
      <w:r w:rsidR="00AE5F2F">
        <w:t xml:space="preserve"> and reasonable.  </w:t>
      </w:r>
    </w:p>
    <w:p w:rsidR="00B56A17" w:rsidRDefault="00AE5F2F" w:rsidP="00DF596F">
      <w:pPr>
        <w:pStyle w:val="BodyText"/>
      </w:pPr>
      <w:r>
        <w:tab/>
      </w:r>
      <w:r w:rsidR="007F7003">
        <w:t xml:space="preserve"> </w:t>
      </w:r>
      <w:r w:rsidR="00E24F7F">
        <w:t xml:space="preserve">Finally, FIPUG argues that the entire purpose of the fuel clause is to decrease the regulatory lag between the time fuel is purchased and Utilities are paid.  </w:t>
      </w:r>
      <w:r w:rsidR="001D4E74">
        <w:t xml:space="preserve">Doing this implements the “matching principle”: </w:t>
      </w:r>
      <w:r w:rsidR="00E2664A">
        <w:t xml:space="preserve">the </w:t>
      </w:r>
      <w:r w:rsidR="001D4E74">
        <w:t xml:space="preserve">customers that use the electricity are the customers who pay for that electricity.  </w:t>
      </w:r>
      <w:r w:rsidR="00E24F7F">
        <w:t>Operation of the fuel clause as has historically been done</w:t>
      </w:r>
      <w:r w:rsidR="001D4E74">
        <w:t xml:space="preserve">, FIPUG argues, </w:t>
      </w:r>
      <w:r w:rsidR="00E24F7F">
        <w:t xml:space="preserve">gives customers both transparency and timeliness with respect to what </w:t>
      </w:r>
      <w:r w:rsidR="008F05C2">
        <w:t xml:space="preserve">future </w:t>
      </w:r>
      <w:r w:rsidR="00E24F7F">
        <w:t xml:space="preserve">costs are going to be.  </w:t>
      </w:r>
      <w:r w:rsidR="00224A35">
        <w:t xml:space="preserve">FIPUG does not accept the Utilities’ contention that 2022 was an exceptionally volatile year for natural gas prices arguing that there will always be unexpected events that will impact the natural gas market. </w:t>
      </w:r>
      <w:r w:rsidR="00E24F7F">
        <w:t xml:space="preserve">    </w:t>
      </w:r>
    </w:p>
    <w:p w:rsidR="0082108F" w:rsidRPr="0082108F" w:rsidRDefault="0082108F" w:rsidP="00D44857">
      <w:pPr>
        <w:pStyle w:val="BodyText"/>
        <w:jc w:val="center"/>
        <w:rPr>
          <w:u w:val="single"/>
        </w:rPr>
      </w:pPr>
      <w:r>
        <w:rPr>
          <w:u w:val="single"/>
        </w:rPr>
        <w:t>D</w:t>
      </w:r>
      <w:r w:rsidR="00A902DC">
        <w:rPr>
          <w:u w:val="single"/>
        </w:rPr>
        <w:t>ecision</w:t>
      </w:r>
    </w:p>
    <w:p w:rsidR="00B56A17" w:rsidRDefault="0082108F" w:rsidP="00DF596F">
      <w:pPr>
        <w:pStyle w:val="BodyText"/>
      </w:pPr>
      <w:r>
        <w:tab/>
      </w:r>
      <w:r w:rsidR="007F7003">
        <w:t>The Order Establishing Procedure (OEP)</w:t>
      </w:r>
      <w:r w:rsidR="007F7003">
        <w:rPr>
          <w:rStyle w:val="FootnoteReference"/>
        </w:rPr>
        <w:footnoteReference w:id="7"/>
      </w:r>
      <w:r w:rsidR="007F7003">
        <w:t xml:space="preserve"> sets forth the filing dates for testimony in this docket and the type of testimony to be filed.  The Utilities’ filings can be roughly divided into three parts: final true-up testimony and exhibits for 2021 due April 1, 2022; actual/estimated true-up testimony and exhibits for 2022 due July 27, 2022; and projection testimony and exhibits for 2023 due September 2, 2022.</w:t>
      </w:r>
      <w:r w:rsidR="007F7003">
        <w:rPr>
          <w:rStyle w:val="FootnoteReference"/>
        </w:rPr>
        <w:footnoteReference w:id="8"/>
      </w:r>
      <w:r w:rsidR="007F7003">
        <w:t xml:space="preserve">  These filings reflect the basic regulatory scheme of the docket.  First, true-up the fuel costs from the last year, here 2021, using the actual costs for 2021.  Second, get final numbers for January through June of the current year, here 2022, and updated projections for the remainder of the current year, July through December.  Third, make projections for the next year, here 2023.  This regulatory scheme is designed to allow the Utilities to recover their incurred fuel costs and </w:t>
      </w:r>
      <w:r w:rsidR="00A902DC">
        <w:t xml:space="preserve">adjust </w:t>
      </w:r>
      <w:r w:rsidR="007F7003">
        <w:t>their projected fuel costs in a systematic and prompt manner.</w:t>
      </w:r>
    </w:p>
    <w:p w:rsidR="00A902DC" w:rsidRDefault="000B6078" w:rsidP="00DF596F">
      <w:pPr>
        <w:pStyle w:val="BodyText"/>
      </w:pPr>
      <w:r>
        <w:tab/>
        <w:t xml:space="preserve">In addition to the yearly adjustment of fuel clause factors, Rule 25-6.0424(2), F.A.C., allows for mid-course corrections should fuel costs actually exceed projected fuel costs by 10 percent. </w:t>
      </w:r>
      <w:r w:rsidR="00437D6B">
        <w:t xml:space="preserve"> </w:t>
      </w:r>
      <w:r w:rsidR="00A902DC">
        <w:t>Rule 25-6.0424(2), F.A.C., states as follows:</w:t>
      </w:r>
    </w:p>
    <w:p w:rsidR="00A902DC" w:rsidRDefault="00A902DC" w:rsidP="00A902DC">
      <w:pPr>
        <w:pStyle w:val="BodyText"/>
        <w:ind w:left="720" w:right="720"/>
      </w:pPr>
      <w:r>
        <w:t xml:space="preserve">(2)  In the event that the absolute value of the over-recovery or under-recovery either for fuel cost recovery or capacity cost recovery is 10 percent or greater, the </w:t>
      </w:r>
      <w:r w:rsidR="00150D65">
        <w:t xml:space="preserve">utility shall promptly notify the Commission by letter delivered to the Commission Clerk.  The notification of a 10 percent or greater estimated over-recovery or under-recovery </w:t>
      </w:r>
      <w:r w:rsidR="00150D65" w:rsidRPr="00150D65">
        <w:rPr>
          <w:i/>
        </w:rPr>
        <w:t>shall include a petition for mid-course correction</w:t>
      </w:r>
      <w:r w:rsidR="00150D65">
        <w:t xml:space="preserve"> to the fuel cost recovery or capacity cost recovery factors, </w:t>
      </w:r>
      <w:r w:rsidR="00150D65" w:rsidRPr="00150D65">
        <w:rPr>
          <w:i/>
        </w:rPr>
        <w:t>or shall include an explanation of why a mid-course correction is not practical</w:t>
      </w:r>
      <w:r w:rsidR="00150D65">
        <w:t>.  This section in no way precludes a utility from requested a mid-course correction prior to reaching the 10 percent threshold requiring Commission notification.</w:t>
      </w:r>
    </w:p>
    <w:p w:rsidR="00150D65" w:rsidRDefault="00437D6B" w:rsidP="00A501CE">
      <w:r>
        <w:t>(</w:t>
      </w:r>
      <w:r w:rsidR="00150D65">
        <w:t>Emphasis added.</w:t>
      </w:r>
      <w:r>
        <w:t>)</w:t>
      </w:r>
    </w:p>
    <w:p w:rsidR="00A501CE" w:rsidRDefault="00A501CE" w:rsidP="00A501CE"/>
    <w:p w:rsidR="0080753E" w:rsidRDefault="0080753E" w:rsidP="00150D65">
      <w:pPr>
        <w:pStyle w:val="BodyText"/>
      </w:pPr>
      <w:r>
        <w:tab/>
        <w:t xml:space="preserve">Each of the Utilities filed 10 percent under-recovery letters with this Commission: DEF on March 29, 2022; </w:t>
      </w:r>
      <w:r w:rsidR="001D1B2F">
        <w:t xml:space="preserve">FPL on April 15, 2022; and </w:t>
      </w:r>
      <w:r>
        <w:t>TECO on April 21, 2022</w:t>
      </w:r>
      <w:r w:rsidR="001D1B2F">
        <w:t xml:space="preserve">.  In each of these </w:t>
      </w:r>
      <w:r w:rsidR="001D1B2F">
        <w:lastRenderedPageBreak/>
        <w:t xml:space="preserve">letters, the respective utility stated that their latest projection of fuel costs for the period ending December 31, 2022, would be exceeded by 10 percent.  None of the Utilities filed a petition for mid-course correction at that time.  Each of the Utilities </w:t>
      </w:r>
      <w:r w:rsidR="0079362E">
        <w:t xml:space="preserve">stated </w:t>
      </w:r>
      <w:r w:rsidR="001D1B2F">
        <w:t>that a mid-course correction was not “practical”</w:t>
      </w:r>
      <w:r w:rsidR="0079362E">
        <w:t xml:space="preserve"> because</w:t>
      </w:r>
      <w:r w:rsidR="001D1B2F">
        <w:t xml:space="preserve"> the high volatility of the natural gas market</w:t>
      </w:r>
      <w:r w:rsidR="00EE2EBC">
        <w:t xml:space="preserve"> ma</w:t>
      </w:r>
      <w:r w:rsidR="0079362E">
        <w:t>de</w:t>
      </w:r>
      <w:r w:rsidR="00EE2EBC">
        <w:t xml:space="preserve"> reliable predictions of natural gas prices impossible.  All stated that continuing to monitor the natural gas market to determine if natural gas price forecasts would moderate, decreasing the amount of under-recoveries passed on to customers, was the practical thing to do.</w:t>
      </w:r>
      <w:r w:rsidR="008F05C2">
        <w:t xml:space="preserve">  Having given an explanation of why each utility did not file a petition for mid-course correction, the Utilities argue that they have complied with Rule 25-6.0424, F.A.C.</w:t>
      </w:r>
    </w:p>
    <w:p w:rsidR="00150D65" w:rsidRDefault="000B6078" w:rsidP="00150D65">
      <w:pPr>
        <w:pStyle w:val="BodyText"/>
      </w:pPr>
      <w:r>
        <w:tab/>
      </w:r>
      <w:r w:rsidR="00150D65">
        <w:t>Section 120.68(7)(e)(3), F.</w:t>
      </w:r>
      <w:r w:rsidR="00F07410">
        <w:t>S</w:t>
      </w:r>
      <w:r w:rsidR="00150D65">
        <w:t>., states as follows:</w:t>
      </w:r>
    </w:p>
    <w:p w:rsidR="00150D65" w:rsidRDefault="00150D65" w:rsidP="00150D65">
      <w:pPr>
        <w:ind w:left="720" w:right="720"/>
      </w:pPr>
      <w:r>
        <w:t>(7)  The court shall remand a case to the agency for further proceedings consistent with the court’s decision or set aside agency action, as appropriate, when it finds that:</w:t>
      </w:r>
    </w:p>
    <w:p w:rsidR="00A501CE" w:rsidRDefault="00A501CE" w:rsidP="00150D65">
      <w:pPr>
        <w:ind w:left="720" w:right="720"/>
      </w:pPr>
      <w:r>
        <w:tab/>
        <w:t>. . .</w:t>
      </w:r>
    </w:p>
    <w:p w:rsidR="00150D65" w:rsidRDefault="00150D65" w:rsidP="00150D65">
      <w:pPr>
        <w:ind w:left="720" w:right="720"/>
      </w:pPr>
      <w:r>
        <w:tab/>
        <w:t>(e)  The agency’s exercise of discretion was:</w:t>
      </w:r>
    </w:p>
    <w:p w:rsidR="00A501CE" w:rsidRDefault="00A501CE" w:rsidP="00150D65">
      <w:pPr>
        <w:ind w:left="720" w:right="720"/>
      </w:pPr>
      <w:r>
        <w:tab/>
        <w:t>. . .</w:t>
      </w:r>
    </w:p>
    <w:p w:rsidR="00150D65" w:rsidRDefault="00150D65" w:rsidP="00150D65">
      <w:pPr>
        <w:pStyle w:val="BodyText"/>
        <w:ind w:left="720" w:right="720"/>
      </w:pPr>
      <w:r>
        <w:tab/>
        <w:t xml:space="preserve">3.  </w:t>
      </w:r>
      <w:r w:rsidRPr="009E743D">
        <w:rPr>
          <w:i/>
        </w:rPr>
        <w:t>Inconsistent with</w:t>
      </w:r>
      <w:r>
        <w:t xml:space="preserve"> officially stated agency policy or a </w:t>
      </w:r>
      <w:r w:rsidRPr="009E743D">
        <w:rPr>
          <w:i/>
        </w:rPr>
        <w:t>prior agency practice, if deviation therefrom is not explained by the agency</w:t>
      </w:r>
      <w:r>
        <w:t>.</w:t>
      </w:r>
    </w:p>
    <w:p w:rsidR="00A501CE" w:rsidRDefault="009E743D" w:rsidP="007046D4">
      <w:r>
        <w:tab/>
      </w:r>
    </w:p>
    <w:p w:rsidR="00A501CE" w:rsidRDefault="00437D6B" w:rsidP="007046D4">
      <w:r>
        <w:t>(</w:t>
      </w:r>
      <w:r w:rsidR="00A501CE">
        <w:t>Emphasis added.</w:t>
      </w:r>
      <w:r>
        <w:t>)</w:t>
      </w:r>
    </w:p>
    <w:p w:rsidR="00A501CE" w:rsidRDefault="00A501CE" w:rsidP="007046D4"/>
    <w:p w:rsidR="007046D4" w:rsidRDefault="00437D6B" w:rsidP="00A501CE">
      <w:pPr>
        <w:pStyle w:val="BodyText"/>
      </w:pPr>
      <w:r>
        <w:tab/>
      </w:r>
      <w:r w:rsidR="007046D4">
        <w:t xml:space="preserve">With regard </w:t>
      </w:r>
      <w:r w:rsidR="00FB74C8">
        <w:t xml:space="preserve">to </w:t>
      </w:r>
      <w:r w:rsidR="007046D4">
        <w:t>compliance with the requirements of Section 120.68(7)(e)(3), F.S., OPC</w:t>
      </w:r>
      <w:r>
        <w:t>, FRF, and FIPUG</w:t>
      </w:r>
      <w:r w:rsidR="007046D4">
        <w:t xml:space="preserve"> argue that highly volatile natural gas market in 2022 is simply not sufficient to support a deviation from long established policy for computing fuel cost recovery factors.  The Utilities say it is</w:t>
      </w:r>
      <w:r w:rsidR="00FB74C8">
        <w:t xml:space="preserve"> sufficient</w:t>
      </w:r>
      <w:r w:rsidR="007046D4">
        <w:t xml:space="preserve">.  </w:t>
      </w:r>
    </w:p>
    <w:p w:rsidR="00391B13" w:rsidRDefault="00A501CE" w:rsidP="0058586A">
      <w:pPr>
        <w:pStyle w:val="BodyText"/>
      </w:pPr>
      <w:r>
        <w:tab/>
      </w:r>
      <w:r w:rsidR="009E19A6">
        <w:t>OPC’s</w:t>
      </w:r>
      <w:r w:rsidR="00437D6B">
        <w:t xml:space="preserve">, FRF, and FIPUG’s </w:t>
      </w:r>
      <w:r w:rsidR="00F07410">
        <w:t xml:space="preserve">arguments that </w:t>
      </w:r>
      <w:r w:rsidR="009E19A6">
        <w:t xml:space="preserve">Rule </w:t>
      </w:r>
      <w:r w:rsidR="00F07410">
        <w:t xml:space="preserve">25-6.0424(2), F.A.C., and Section 120.68(7)(e)(3), F.S., are violated is based on the Utilities’ failure to include actual and projected 2022 fuel costs in the calculation of the 2023 cost recovery factors.  In its simplest formulation, </w:t>
      </w:r>
      <w:r w:rsidR="00437D6B">
        <w:t>these parties</w:t>
      </w:r>
      <w:r w:rsidR="00F07410">
        <w:t xml:space="preserve"> argue that market volatility, no matter how extreme, is not enough to deviate from standard practice.  We disagree.</w:t>
      </w:r>
      <w:r w:rsidR="00D45791">
        <w:t xml:space="preserve">  </w:t>
      </w:r>
      <w:r w:rsidR="00391B13">
        <w:t xml:space="preserve">The plain language of both Rule 25-6.0424(2), F.A.C., and Section 120.68(7)(e)(3), F.S., allows exceptions </w:t>
      </w:r>
      <w:r w:rsidR="001321B6">
        <w:t xml:space="preserve">to </w:t>
      </w:r>
      <w:r w:rsidR="00391B13">
        <w:t>be recognized.</w:t>
      </w:r>
    </w:p>
    <w:p w:rsidR="004A1F26" w:rsidRDefault="00391B13" w:rsidP="0058586A">
      <w:pPr>
        <w:pStyle w:val="BodyText"/>
      </w:pPr>
      <w:r>
        <w:tab/>
        <w:t>Here t</w:t>
      </w:r>
      <w:r w:rsidR="00D45791">
        <w:t>here is extensive evidence in the record from each of the Utilities of the unique circumstances affect</w:t>
      </w:r>
      <w:r w:rsidR="003D2B26">
        <w:t xml:space="preserve">ing </w:t>
      </w:r>
      <w:r w:rsidR="00D45791">
        <w:t>natural gas markets in 2022: very large swings in prices in July from $5.72 to $9.46 per MMB</w:t>
      </w:r>
      <w:r w:rsidR="00FB74C8">
        <w:t>tu</w:t>
      </w:r>
      <w:r w:rsidR="00D45791">
        <w:t xml:space="preserve">; war in Ukraine </w:t>
      </w:r>
      <w:r w:rsidR="00FB74C8">
        <w:t xml:space="preserve">which resulted in </w:t>
      </w:r>
      <w:r w:rsidR="00D45791">
        <w:t>increase</w:t>
      </w:r>
      <w:r w:rsidR="00FB74C8">
        <w:t>d</w:t>
      </w:r>
      <w:r w:rsidR="00D45791">
        <w:t xml:space="preserve"> LNG exports to European countries; limited ability to switch to coal</w:t>
      </w:r>
      <w:r w:rsidR="0058586A">
        <w:t>-fired generation</w:t>
      </w:r>
      <w:r w:rsidR="00D45791">
        <w:t xml:space="preserve"> due to coal plant retirements, transportation constraints, </w:t>
      </w:r>
      <w:r w:rsidR="003D2B26">
        <w:t xml:space="preserve">and </w:t>
      </w:r>
      <w:r w:rsidR="00D45791">
        <w:t xml:space="preserve">below-average plant stockpiles; </w:t>
      </w:r>
      <w:r w:rsidR="00437D6B">
        <w:t xml:space="preserve">and </w:t>
      </w:r>
      <w:r w:rsidR="003D2B26">
        <w:t xml:space="preserve">higher than normal temperatures causing increased demand for electricity.  Additionally, the Utilities’ customers have been subjected in 2022 to </w:t>
      </w:r>
      <w:r w:rsidR="0058586A">
        <w:t xml:space="preserve">record-high </w:t>
      </w:r>
      <w:r w:rsidR="003D2B26">
        <w:t>inflation, higher food prices</w:t>
      </w:r>
      <w:r w:rsidR="00437D6B">
        <w:t>,</w:t>
      </w:r>
      <w:r w:rsidR="003D2B26">
        <w:t xml:space="preserve"> and higher interest rates.  Using actual fuel expense amounts eliminates the risk of charging already burdened ratepayers too much.</w:t>
      </w:r>
      <w:r>
        <w:t xml:space="preserve">  For these reasons we find that the exclusion of 2022 fuel costs from the Utilities’ proposed 2023 cost recovery factor</w:t>
      </w:r>
      <w:r w:rsidR="004A1F26">
        <w:t>s</w:t>
      </w:r>
      <w:r>
        <w:t xml:space="preserve"> to be reasonable and approve</w:t>
      </w:r>
      <w:r w:rsidR="004A1F26">
        <w:t xml:space="preserve"> levelized fuel cost recovery factors for the period January 2023 through December 2023 of 6.257 cents per kWh, 4.036 cents per kWh, and 4.825 cents per kWh for DEF, FPL, and TECO, respectively.</w:t>
      </w:r>
    </w:p>
    <w:p w:rsidR="00A501CE" w:rsidRDefault="004A1F26" w:rsidP="00A501CE">
      <w:r>
        <w:lastRenderedPageBreak/>
        <w:tab/>
        <w:t>We have heard the concerns of OPC</w:t>
      </w:r>
      <w:r w:rsidR="00B0254B">
        <w:t>, FRF, and FIPUG</w:t>
      </w:r>
      <w:r>
        <w:t xml:space="preserve"> that time is of the essence in determining the fuel costs that will be passed along to ratepayers both because customers need to know fuel costs to plan their business activities and to limit the carrying costs imposed</w:t>
      </w:r>
      <w:r w:rsidR="002A0140">
        <w:t xml:space="preserve"> on the deferred 2022 fuel cost balance.  </w:t>
      </w:r>
      <w:r w:rsidR="00EE11E4">
        <w:t xml:space="preserve">Each of the Utilities has testified that they </w:t>
      </w:r>
      <w:r>
        <w:t xml:space="preserve">will be able to file </w:t>
      </w:r>
      <w:r w:rsidR="00EE11E4">
        <w:t>a</w:t>
      </w:r>
      <w:r>
        <w:t xml:space="preserve"> petition for mid-course correction using actual year end 2022 fuel cost amounts by </w:t>
      </w:r>
      <w:r w:rsidR="000C6BE9">
        <w:t>mid-</w:t>
      </w:r>
      <w:r>
        <w:t>January 2023.</w:t>
      </w:r>
      <w:r w:rsidR="00EE11E4">
        <w:t xml:space="preserve">  </w:t>
      </w:r>
      <w:r w:rsidR="001321B6">
        <w:t>Based on these representations, we will require DEF, FPL and TECO to file their petitions for mid-course corrections on or before Monday, January 23, 2023.</w:t>
      </w:r>
    </w:p>
    <w:p w:rsidR="00A501CE" w:rsidRDefault="00A501CE" w:rsidP="00A501CE"/>
    <w:p w:rsidR="00B56A17" w:rsidRDefault="001212A9" w:rsidP="00A501CE">
      <w:pPr>
        <w:pStyle w:val="BodyText"/>
        <w:rPr>
          <w:u w:val="single"/>
        </w:rPr>
      </w:pPr>
      <w:r>
        <w:t>IV.</w:t>
      </w:r>
      <w:r w:rsidR="0058586A">
        <w:tab/>
      </w:r>
      <w:r w:rsidR="00B56A17" w:rsidRPr="00A501CE">
        <w:rPr>
          <w:u w:val="single"/>
        </w:rPr>
        <w:t>Levelized fuel cost recovery factors</w:t>
      </w:r>
    </w:p>
    <w:p w:rsidR="00B56A17" w:rsidRDefault="00017759" w:rsidP="00DF596F">
      <w:pPr>
        <w:pStyle w:val="BodyText"/>
      </w:pPr>
      <w:r w:rsidRPr="00A501CE">
        <w:tab/>
        <w:t xml:space="preserve">The </w:t>
      </w:r>
      <w:r w:rsidR="00B0254B">
        <w:t xml:space="preserve">levelized </w:t>
      </w:r>
      <w:r>
        <w:t xml:space="preserve">fuel cost recovery factors requested by DEF, FPL, and TECO </w:t>
      </w:r>
      <w:r w:rsidR="00B56A17">
        <w:t xml:space="preserve">for the period January 2023 through December 2023 </w:t>
      </w:r>
      <w:r>
        <w:t>are 6.257</w:t>
      </w:r>
      <w:r w:rsidR="00B56A17">
        <w:t xml:space="preserve">, 4.036, and 4.825 cents per kWh, respectively. </w:t>
      </w:r>
      <w:r w:rsidR="001321B6">
        <w:t xml:space="preserve"> Based on our decision with regard to the recovery of 2022 fuel costs, we hereby approve these factors.</w:t>
      </w:r>
    </w:p>
    <w:p w:rsidR="00A902DC" w:rsidRDefault="001212A9" w:rsidP="00DF596F">
      <w:pPr>
        <w:pStyle w:val="BodyText"/>
        <w:rPr>
          <w:u w:val="single"/>
        </w:rPr>
      </w:pPr>
      <w:r>
        <w:t>V.</w:t>
      </w:r>
      <w:r w:rsidR="00B56A17">
        <w:tab/>
      </w:r>
      <w:r w:rsidR="00A902DC">
        <w:rPr>
          <w:u w:val="single"/>
        </w:rPr>
        <w:t>Fuel cost recovery factor for each rate class/delivery voltage level class</w:t>
      </w:r>
    </w:p>
    <w:p w:rsidR="00A902DC" w:rsidRDefault="001321B6" w:rsidP="00DF596F">
      <w:pPr>
        <w:pStyle w:val="BodyText"/>
      </w:pPr>
      <w:r>
        <w:tab/>
        <w:t>The appropriate fuel cost recovery factors for each rate class/delivery voltage level adjusted for line losses requested by DEF, FPL, and TECO are stated below.  Based on our decision with regard to the recovery of 2022 fuel costs, we hereby approve these factors.</w:t>
      </w:r>
    </w:p>
    <w:p w:rsidR="0051309B" w:rsidRDefault="001321B6" w:rsidP="0051309B">
      <w:pPr>
        <w:pStyle w:val="BodyText"/>
        <w:rPr>
          <w:b/>
        </w:rPr>
      </w:pPr>
      <w:r>
        <w:tab/>
        <w:t>DEF:</w:t>
      </w:r>
    </w:p>
    <w:tbl>
      <w:tblPr>
        <w:tblpPr w:leftFromText="180" w:rightFromText="180" w:vertAnchor="text" w:horzAnchor="margin" w:tblpY="240"/>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33"/>
        <w:gridCol w:w="2005"/>
        <w:gridCol w:w="1070"/>
        <w:gridCol w:w="1209"/>
        <w:gridCol w:w="1163"/>
        <w:gridCol w:w="1026"/>
        <w:gridCol w:w="1059"/>
        <w:gridCol w:w="1295"/>
      </w:tblGrid>
      <w:tr w:rsidR="0051309B" w:rsidRPr="00A17E53" w:rsidTr="00E5228C">
        <w:trPr>
          <w:trHeight w:val="496"/>
        </w:trPr>
        <w:tc>
          <w:tcPr>
            <w:tcW w:w="1068" w:type="dxa"/>
            <w:gridSpan w:val="2"/>
          </w:tcPr>
          <w:p w:rsidR="0051309B" w:rsidRPr="00A17E53" w:rsidRDefault="0051309B" w:rsidP="00E5228C"/>
        </w:tc>
        <w:tc>
          <w:tcPr>
            <w:tcW w:w="8827" w:type="dxa"/>
            <w:gridSpan w:val="7"/>
          </w:tcPr>
          <w:p w:rsidR="0051309B" w:rsidRPr="007E0D07" w:rsidRDefault="0051309B" w:rsidP="0058586A">
            <w:pPr>
              <w:jc w:val="center"/>
            </w:pPr>
            <w:r w:rsidRPr="007E0D07">
              <w:t>Fuel Cost Factors (cents/kWh)</w:t>
            </w:r>
          </w:p>
          <w:p w:rsidR="0051309B" w:rsidRPr="007E0D07" w:rsidRDefault="0051309B" w:rsidP="00E5228C"/>
        </w:tc>
      </w:tr>
      <w:tr w:rsidR="0051309B" w:rsidRPr="00A17E53" w:rsidTr="00E5228C">
        <w:trPr>
          <w:trHeight w:val="252"/>
        </w:trPr>
        <w:tc>
          <w:tcPr>
            <w:tcW w:w="6515" w:type="dxa"/>
            <w:gridSpan w:val="6"/>
          </w:tcPr>
          <w:p w:rsidR="0051309B" w:rsidRPr="007E0D07" w:rsidRDefault="0051309B" w:rsidP="00E5228C"/>
        </w:tc>
        <w:tc>
          <w:tcPr>
            <w:tcW w:w="1026" w:type="dxa"/>
          </w:tcPr>
          <w:p w:rsidR="0051309B" w:rsidRPr="007E0D07" w:rsidRDefault="0051309B" w:rsidP="00E5228C"/>
        </w:tc>
        <w:tc>
          <w:tcPr>
            <w:tcW w:w="2354" w:type="dxa"/>
            <w:gridSpan w:val="2"/>
          </w:tcPr>
          <w:p w:rsidR="0051309B" w:rsidRPr="007E0D07" w:rsidRDefault="0051309B" w:rsidP="0058586A">
            <w:pPr>
              <w:jc w:val="center"/>
            </w:pPr>
            <w:r w:rsidRPr="007E0D07">
              <w:t>Time of Use</w:t>
            </w:r>
          </w:p>
        </w:tc>
      </w:tr>
      <w:tr w:rsidR="0051309B" w:rsidRPr="00A17E53" w:rsidTr="00E5228C">
        <w:trPr>
          <w:trHeight w:val="496"/>
        </w:trPr>
        <w:tc>
          <w:tcPr>
            <w:tcW w:w="835" w:type="dxa"/>
          </w:tcPr>
          <w:p w:rsidR="0051309B" w:rsidRPr="00A17E53" w:rsidRDefault="0051309B" w:rsidP="00E5228C">
            <w:r w:rsidRPr="00A17E53">
              <w:t>Group</w:t>
            </w:r>
          </w:p>
        </w:tc>
        <w:tc>
          <w:tcPr>
            <w:tcW w:w="2238" w:type="dxa"/>
            <w:gridSpan w:val="2"/>
          </w:tcPr>
          <w:p w:rsidR="0051309B" w:rsidRPr="007E0D07" w:rsidRDefault="0051309B" w:rsidP="0058586A">
            <w:pPr>
              <w:jc w:val="center"/>
            </w:pPr>
            <w:r w:rsidRPr="007E0D07">
              <w:t>Delivery</w:t>
            </w:r>
          </w:p>
          <w:p w:rsidR="0051309B" w:rsidRPr="007E0D07" w:rsidRDefault="0051309B" w:rsidP="0058586A">
            <w:pPr>
              <w:jc w:val="center"/>
            </w:pPr>
            <w:r w:rsidRPr="007E0D07">
              <w:t>Voltage Level</w:t>
            </w:r>
          </w:p>
        </w:tc>
        <w:tc>
          <w:tcPr>
            <w:tcW w:w="1070" w:type="dxa"/>
          </w:tcPr>
          <w:p w:rsidR="0051309B" w:rsidRPr="007E0D07" w:rsidRDefault="0051309B" w:rsidP="0058586A">
            <w:pPr>
              <w:jc w:val="center"/>
            </w:pPr>
            <w:r w:rsidRPr="007E0D07">
              <w:t>First Tier</w:t>
            </w:r>
          </w:p>
          <w:p w:rsidR="0051309B" w:rsidRPr="007E0D07" w:rsidRDefault="0051309B" w:rsidP="0058586A">
            <w:pPr>
              <w:jc w:val="center"/>
            </w:pPr>
            <w:r w:rsidRPr="007E0D07">
              <w:t>Factor</w:t>
            </w:r>
          </w:p>
        </w:tc>
        <w:tc>
          <w:tcPr>
            <w:tcW w:w="1209" w:type="dxa"/>
          </w:tcPr>
          <w:p w:rsidR="0051309B" w:rsidRPr="007E0D07" w:rsidRDefault="0051309B" w:rsidP="0058586A">
            <w:pPr>
              <w:jc w:val="center"/>
            </w:pPr>
            <w:r w:rsidRPr="007E0D07">
              <w:t>Second Tier</w:t>
            </w:r>
          </w:p>
          <w:p w:rsidR="0051309B" w:rsidRPr="007E0D07" w:rsidRDefault="0051309B" w:rsidP="0058586A">
            <w:pPr>
              <w:jc w:val="center"/>
            </w:pPr>
            <w:r w:rsidRPr="007E0D07">
              <w:t>Factors</w:t>
            </w:r>
          </w:p>
        </w:tc>
        <w:tc>
          <w:tcPr>
            <w:tcW w:w="1163" w:type="dxa"/>
          </w:tcPr>
          <w:p w:rsidR="0051309B" w:rsidRPr="007E0D07" w:rsidRDefault="0051309B" w:rsidP="0058586A">
            <w:pPr>
              <w:jc w:val="center"/>
            </w:pPr>
            <w:r w:rsidRPr="007E0D07">
              <w:t>Levelized</w:t>
            </w:r>
          </w:p>
          <w:p w:rsidR="0051309B" w:rsidRPr="007E0D07" w:rsidRDefault="0051309B" w:rsidP="0058586A">
            <w:pPr>
              <w:jc w:val="center"/>
            </w:pPr>
            <w:r w:rsidRPr="007E0D07">
              <w:t>Factors</w:t>
            </w:r>
          </w:p>
        </w:tc>
        <w:tc>
          <w:tcPr>
            <w:tcW w:w="1026" w:type="dxa"/>
          </w:tcPr>
          <w:p w:rsidR="0051309B" w:rsidRPr="007E0D07" w:rsidRDefault="0051309B" w:rsidP="0058586A">
            <w:pPr>
              <w:jc w:val="center"/>
            </w:pPr>
            <w:r w:rsidRPr="007E0D07">
              <w:t>On-Peak</w:t>
            </w:r>
          </w:p>
        </w:tc>
        <w:tc>
          <w:tcPr>
            <w:tcW w:w="1059" w:type="dxa"/>
          </w:tcPr>
          <w:p w:rsidR="0051309B" w:rsidRPr="007E0D07" w:rsidRDefault="0051309B" w:rsidP="0058586A">
            <w:pPr>
              <w:jc w:val="center"/>
            </w:pPr>
            <w:r w:rsidRPr="007E0D07">
              <w:t>Off-Peak</w:t>
            </w:r>
          </w:p>
        </w:tc>
        <w:tc>
          <w:tcPr>
            <w:tcW w:w="1295" w:type="dxa"/>
          </w:tcPr>
          <w:p w:rsidR="0051309B" w:rsidRPr="007E0D07" w:rsidRDefault="0051309B" w:rsidP="0058586A">
            <w:pPr>
              <w:jc w:val="center"/>
            </w:pPr>
            <w:r w:rsidRPr="007E0D07">
              <w:t>Super Off-Peak</w:t>
            </w:r>
          </w:p>
        </w:tc>
      </w:tr>
      <w:tr w:rsidR="0051309B" w:rsidRPr="00A17E53" w:rsidTr="00E5228C">
        <w:trPr>
          <w:trHeight w:val="252"/>
        </w:trPr>
        <w:tc>
          <w:tcPr>
            <w:tcW w:w="835" w:type="dxa"/>
          </w:tcPr>
          <w:p w:rsidR="0051309B" w:rsidRPr="00A17E53" w:rsidRDefault="0051309B" w:rsidP="00E5228C">
            <w:r w:rsidRPr="00A17E53">
              <w:t>A</w:t>
            </w:r>
          </w:p>
        </w:tc>
        <w:tc>
          <w:tcPr>
            <w:tcW w:w="2238" w:type="dxa"/>
            <w:gridSpan w:val="2"/>
          </w:tcPr>
          <w:p w:rsidR="0051309B" w:rsidRPr="007E0D07" w:rsidRDefault="0051309B" w:rsidP="00E5228C">
            <w:r w:rsidRPr="007E0D07">
              <w:t>Transmission</w:t>
            </w:r>
          </w:p>
        </w:tc>
        <w:tc>
          <w:tcPr>
            <w:tcW w:w="1070" w:type="dxa"/>
          </w:tcPr>
          <w:p w:rsidR="0051309B" w:rsidRPr="007E0D07" w:rsidRDefault="0051309B" w:rsidP="0058586A">
            <w:pPr>
              <w:jc w:val="right"/>
            </w:pPr>
            <w:r w:rsidRPr="007E0D07">
              <w:t>--</w:t>
            </w:r>
          </w:p>
        </w:tc>
        <w:tc>
          <w:tcPr>
            <w:tcW w:w="1209" w:type="dxa"/>
          </w:tcPr>
          <w:p w:rsidR="0051309B" w:rsidRPr="007E0D07" w:rsidRDefault="0051309B" w:rsidP="0058586A">
            <w:pPr>
              <w:jc w:val="right"/>
            </w:pPr>
            <w:r w:rsidRPr="007E0D07">
              <w:t>--</w:t>
            </w:r>
          </w:p>
        </w:tc>
        <w:tc>
          <w:tcPr>
            <w:tcW w:w="1163" w:type="dxa"/>
          </w:tcPr>
          <w:p w:rsidR="0051309B" w:rsidRPr="007E0D07" w:rsidRDefault="0051309B" w:rsidP="0058586A">
            <w:pPr>
              <w:jc w:val="right"/>
            </w:pPr>
            <w:r>
              <w:t>6.141</w:t>
            </w:r>
          </w:p>
        </w:tc>
        <w:tc>
          <w:tcPr>
            <w:tcW w:w="1026" w:type="dxa"/>
          </w:tcPr>
          <w:p w:rsidR="0051309B" w:rsidRPr="007E0D07" w:rsidRDefault="0051309B" w:rsidP="0058586A">
            <w:pPr>
              <w:jc w:val="right"/>
            </w:pPr>
            <w:r>
              <w:t>7.541</w:t>
            </w:r>
          </w:p>
        </w:tc>
        <w:tc>
          <w:tcPr>
            <w:tcW w:w="1059" w:type="dxa"/>
          </w:tcPr>
          <w:p w:rsidR="0051309B" w:rsidRPr="007E0D07" w:rsidRDefault="0051309B" w:rsidP="0058586A">
            <w:pPr>
              <w:jc w:val="right"/>
            </w:pPr>
            <w:r>
              <w:t>6.178</w:t>
            </w:r>
          </w:p>
        </w:tc>
        <w:tc>
          <w:tcPr>
            <w:tcW w:w="1295" w:type="dxa"/>
          </w:tcPr>
          <w:p w:rsidR="0051309B" w:rsidRPr="007E0D07" w:rsidRDefault="0051309B" w:rsidP="0058586A">
            <w:pPr>
              <w:jc w:val="right"/>
            </w:pPr>
            <w:r>
              <w:t>4.581</w:t>
            </w:r>
          </w:p>
        </w:tc>
      </w:tr>
      <w:tr w:rsidR="0051309B" w:rsidRPr="00A17E53" w:rsidTr="00E5228C">
        <w:trPr>
          <w:trHeight w:val="243"/>
        </w:trPr>
        <w:tc>
          <w:tcPr>
            <w:tcW w:w="835" w:type="dxa"/>
          </w:tcPr>
          <w:p w:rsidR="0051309B" w:rsidRPr="00A17E53" w:rsidRDefault="0051309B" w:rsidP="00E5228C">
            <w:r w:rsidRPr="00A17E53">
              <w:t>B</w:t>
            </w:r>
          </w:p>
        </w:tc>
        <w:tc>
          <w:tcPr>
            <w:tcW w:w="2238" w:type="dxa"/>
            <w:gridSpan w:val="2"/>
          </w:tcPr>
          <w:p w:rsidR="0051309B" w:rsidRPr="007E0D07" w:rsidRDefault="0051309B" w:rsidP="00E5228C">
            <w:r w:rsidRPr="007E0D07">
              <w:t>Distribution Primary</w:t>
            </w:r>
          </w:p>
        </w:tc>
        <w:tc>
          <w:tcPr>
            <w:tcW w:w="1070" w:type="dxa"/>
          </w:tcPr>
          <w:p w:rsidR="0051309B" w:rsidRPr="007E0D07" w:rsidRDefault="0051309B" w:rsidP="0058586A">
            <w:pPr>
              <w:jc w:val="right"/>
            </w:pPr>
            <w:r w:rsidRPr="007E0D07">
              <w:t>--</w:t>
            </w:r>
          </w:p>
        </w:tc>
        <w:tc>
          <w:tcPr>
            <w:tcW w:w="1209" w:type="dxa"/>
          </w:tcPr>
          <w:p w:rsidR="0051309B" w:rsidRPr="007E0D07" w:rsidRDefault="0051309B" w:rsidP="0058586A">
            <w:pPr>
              <w:jc w:val="right"/>
            </w:pPr>
            <w:r w:rsidRPr="007E0D07">
              <w:t>--</w:t>
            </w:r>
          </w:p>
        </w:tc>
        <w:tc>
          <w:tcPr>
            <w:tcW w:w="1163" w:type="dxa"/>
          </w:tcPr>
          <w:p w:rsidR="0051309B" w:rsidRPr="007E0D07" w:rsidRDefault="0051309B" w:rsidP="0058586A">
            <w:pPr>
              <w:jc w:val="right"/>
            </w:pPr>
            <w:r>
              <w:t>6.203</w:t>
            </w:r>
          </w:p>
        </w:tc>
        <w:tc>
          <w:tcPr>
            <w:tcW w:w="1026" w:type="dxa"/>
          </w:tcPr>
          <w:p w:rsidR="0051309B" w:rsidRPr="007E0D07" w:rsidRDefault="0051309B" w:rsidP="0058586A">
            <w:pPr>
              <w:jc w:val="right"/>
            </w:pPr>
            <w:r>
              <w:t>7.617</w:t>
            </w:r>
          </w:p>
        </w:tc>
        <w:tc>
          <w:tcPr>
            <w:tcW w:w="1059" w:type="dxa"/>
          </w:tcPr>
          <w:p w:rsidR="0051309B" w:rsidRPr="007E0D07" w:rsidRDefault="0051309B" w:rsidP="0058586A">
            <w:pPr>
              <w:jc w:val="right"/>
            </w:pPr>
            <w:r>
              <w:t>6.240</w:t>
            </w:r>
          </w:p>
        </w:tc>
        <w:tc>
          <w:tcPr>
            <w:tcW w:w="1295" w:type="dxa"/>
          </w:tcPr>
          <w:p w:rsidR="0051309B" w:rsidRPr="007E0D07" w:rsidRDefault="0051309B" w:rsidP="0058586A">
            <w:pPr>
              <w:jc w:val="right"/>
            </w:pPr>
            <w:r>
              <w:t>4.627</w:t>
            </w:r>
          </w:p>
        </w:tc>
      </w:tr>
      <w:tr w:rsidR="0051309B" w:rsidRPr="00A17E53" w:rsidTr="00E5228C">
        <w:trPr>
          <w:trHeight w:val="252"/>
        </w:trPr>
        <w:tc>
          <w:tcPr>
            <w:tcW w:w="835" w:type="dxa"/>
          </w:tcPr>
          <w:p w:rsidR="0051309B" w:rsidRPr="00A17E53" w:rsidRDefault="0051309B" w:rsidP="00E5228C">
            <w:r w:rsidRPr="00A17E53">
              <w:t>C</w:t>
            </w:r>
          </w:p>
        </w:tc>
        <w:tc>
          <w:tcPr>
            <w:tcW w:w="2238" w:type="dxa"/>
            <w:gridSpan w:val="2"/>
          </w:tcPr>
          <w:p w:rsidR="0051309B" w:rsidRPr="007E0D07" w:rsidRDefault="0051309B" w:rsidP="00E5228C">
            <w:r w:rsidRPr="007E0D07">
              <w:t>Distribution Secondary</w:t>
            </w:r>
          </w:p>
        </w:tc>
        <w:tc>
          <w:tcPr>
            <w:tcW w:w="1070" w:type="dxa"/>
          </w:tcPr>
          <w:p w:rsidR="0051309B" w:rsidRPr="007E0D07" w:rsidRDefault="0051309B" w:rsidP="0058586A">
            <w:pPr>
              <w:jc w:val="right"/>
            </w:pPr>
            <w:r>
              <w:t>5.961</w:t>
            </w:r>
          </w:p>
        </w:tc>
        <w:tc>
          <w:tcPr>
            <w:tcW w:w="1209" w:type="dxa"/>
          </w:tcPr>
          <w:p w:rsidR="0051309B" w:rsidRPr="007E0D07" w:rsidRDefault="0051309B" w:rsidP="0058586A">
            <w:pPr>
              <w:jc w:val="right"/>
            </w:pPr>
            <w:r>
              <w:t>7.031</w:t>
            </w:r>
          </w:p>
        </w:tc>
        <w:tc>
          <w:tcPr>
            <w:tcW w:w="1163" w:type="dxa"/>
          </w:tcPr>
          <w:p w:rsidR="0051309B" w:rsidRPr="007E0D07" w:rsidRDefault="0051309B" w:rsidP="0058586A">
            <w:pPr>
              <w:jc w:val="right"/>
            </w:pPr>
            <w:r>
              <w:t>6.266</w:t>
            </w:r>
          </w:p>
        </w:tc>
        <w:tc>
          <w:tcPr>
            <w:tcW w:w="1026" w:type="dxa"/>
          </w:tcPr>
          <w:p w:rsidR="0051309B" w:rsidRPr="007E0D07" w:rsidRDefault="0051309B" w:rsidP="0058586A">
            <w:pPr>
              <w:jc w:val="right"/>
            </w:pPr>
            <w:r>
              <w:t>7.695</w:t>
            </w:r>
          </w:p>
        </w:tc>
        <w:tc>
          <w:tcPr>
            <w:tcW w:w="1059" w:type="dxa"/>
          </w:tcPr>
          <w:p w:rsidR="0051309B" w:rsidRPr="007E0D07" w:rsidRDefault="0051309B" w:rsidP="0058586A">
            <w:pPr>
              <w:jc w:val="right"/>
            </w:pPr>
            <w:r>
              <w:t>6.304</w:t>
            </w:r>
          </w:p>
        </w:tc>
        <w:tc>
          <w:tcPr>
            <w:tcW w:w="1295" w:type="dxa"/>
          </w:tcPr>
          <w:p w:rsidR="0051309B" w:rsidRPr="007E0D07" w:rsidRDefault="0051309B" w:rsidP="0058586A">
            <w:pPr>
              <w:jc w:val="right"/>
            </w:pPr>
            <w:r>
              <w:t>4.674</w:t>
            </w:r>
          </w:p>
        </w:tc>
      </w:tr>
      <w:tr w:rsidR="0051309B" w:rsidRPr="00A17E53" w:rsidTr="00E5228C">
        <w:trPr>
          <w:trHeight w:val="243"/>
        </w:trPr>
        <w:tc>
          <w:tcPr>
            <w:tcW w:w="835" w:type="dxa"/>
          </w:tcPr>
          <w:p w:rsidR="0051309B" w:rsidRPr="00A17E53" w:rsidRDefault="0051309B" w:rsidP="00E5228C">
            <w:r w:rsidRPr="00A17E53">
              <w:t>D</w:t>
            </w:r>
          </w:p>
        </w:tc>
        <w:tc>
          <w:tcPr>
            <w:tcW w:w="2238" w:type="dxa"/>
            <w:gridSpan w:val="2"/>
          </w:tcPr>
          <w:p w:rsidR="0051309B" w:rsidRPr="007E0D07" w:rsidRDefault="0051309B" w:rsidP="00E5228C">
            <w:r w:rsidRPr="007E0D07">
              <w:t>Lighting Secondary</w:t>
            </w:r>
          </w:p>
        </w:tc>
        <w:tc>
          <w:tcPr>
            <w:tcW w:w="1070" w:type="dxa"/>
          </w:tcPr>
          <w:p w:rsidR="0051309B" w:rsidRPr="007E0D07" w:rsidRDefault="0051309B" w:rsidP="0058586A">
            <w:pPr>
              <w:jc w:val="right"/>
            </w:pPr>
            <w:r w:rsidRPr="007E0D07">
              <w:t>--</w:t>
            </w:r>
          </w:p>
        </w:tc>
        <w:tc>
          <w:tcPr>
            <w:tcW w:w="1209" w:type="dxa"/>
          </w:tcPr>
          <w:p w:rsidR="0051309B" w:rsidRPr="007E0D07" w:rsidRDefault="0051309B" w:rsidP="0058586A">
            <w:pPr>
              <w:jc w:val="right"/>
            </w:pPr>
            <w:r w:rsidRPr="007E0D07">
              <w:t>--</w:t>
            </w:r>
          </w:p>
        </w:tc>
        <w:tc>
          <w:tcPr>
            <w:tcW w:w="1163" w:type="dxa"/>
          </w:tcPr>
          <w:p w:rsidR="0051309B" w:rsidRPr="007E0D07" w:rsidRDefault="0051309B" w:rsidP="0058586A">
            <w:pPr>
              <w:jc w:val="right"/>
            </w:pPr>
            <w:r>
              <w:t>5.865</w:t>
            </w:r>
          </w:p>
        </w:tc>
        <w:tc>
          <w:tcPr>
            <w:tcW w:w="1026" w:type="dxa"/>
          </w:tcPr>
          <w:p w:rsidR="0051309B" w:rsidRPr="007E0D07" w:rsidRDefault="0051309B" w:rsidP="0058586A">
            <w:pPr>
              <w:jc w:val="right"/>
            </w:pPr>
            <w:r w:rsidRPr="007E0D07">
              <w:t>--</w:t>
            </w:r>
          </w:p>
        </w:tc>
        <w:tc>
          <w:tcPr>
            <w:tcW w:w="1059" w:type="dxa"/>
          </w:tcPr>
          <w:p w:rsidR="0051309B" w:rsidRPr="007E0D07" w:rsidRDefault="0051309B" w:rsidP="0058586A">
            <w:pPr>
              <w:jc w:val="right"/>
            </w:pPr>
          </w:p>
        </w:tc>
        <w:tc>
          <w:tcPr>
            <w:tcW w:w="1295" w:type="dxa"/>
          </w:tcPr>
          <w:p w:rsidR="0051309B" w:rsidRPr="007E0D07" w:rsidRDefault="0051309B" w:rsidP="0058586A">
            <w:pPr>
              <w:jc w:val="right"/>
            </w:pPr>
            <w:r w:rsidRPr="007E0D07">
              <w:t>--</w:t>
            </w:r>
          </w:p>
        </w:tc>
      </w:tr>
    </w:tbl>
    <w:p w:rsidR="0051309B" w:rsidRDefault="0051309B" w:rsidP="0051309B">
      <w:pPr>
        <w:autoSpaceDE w:val="0"/>
        <w:autoSpaceDN w:val="0"/>
        <w:adjustRightInd w:val="0"/>
        <w:ind w:left="1440" w:hanging="1440"/>
        <w:rPr>
          <w:b/>
        </w:rPr>
      </w:pPr>
    </w:p>
    <w:p w:rsidR="0051309B" w:rsidRDefault="0051309B" w:rsidP="0003681D">
      <w:pPr>
        <w:rPr>
          <w:b/>
        </w:rPr>
      </w:pPr>
      <w:r>
        <w:rPr>
          <w:b/>
        </w:rPr>
        <w:tab/>
      </w:r>
    </w:p>
    <w:p w:rsidR="0051309B" w:rsidRDefault="0051309B" w:rsidP="0051309B">
      <w:pPr>
        <w:autoSpaceDE w:val="0"/>
        <w:autoSpaceDN w:val="0"/>
        <w:adjustRightInd w:val="0"/>
        <w:rPr>
          <w:b/>
        </w:rPr>
      </w:pPr>
      <w:r w:rsidRPr="0051309B">
        <w:lastRenderedPageBreak/>
        <w:t>FPL:</w:t>
      </w:r>
      <w:r>
        <w:rPr>
          <w:b/>
        </w:rPr>
        <w:tab/>
      </w:r>
      <w:r>
        <w:rPr>
          <w:b/>
        </w:rPr>
        <w:tab/>
      </w:r>
      <w:r>
        <w:rPr>
          <w:noProof/>
        </w:rPr>
        <w:drawing>
          <wp:inline distT="0" distB="0" distL="0" distR="0" wp14:anchorId="1C8FCE0D" wp14:editId="53E07887">
            <wp:extent cx="5386070" cy="733996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6070" cy="7339965"/>
                    </a:xfrm>
                    <a:prstGeom prst="rect">
                      <a:avLst/>
                    </a:prstGeom>
                    <a:noFill/>
                    <a:ln>
                      <a:noFill/>
                    </a:ln>
                  </pic:spPr>
                </pic:pic>
              </a:graphicData>
            </a:graphic>
          </wp:inline>
        </w:drawing>
      </w:r>
    </w:p>
    <w:p w:rsidR="0051309B" w:rsidRDefault="0051309B" w:rsidP="0051309B">
      <w:pPr>
        <w:autoSpaceDE w:val="0"/>
        <w:autoSpaceDN w:val="0"/>
        <w:adjustRightInd w:val="0"/>
        <w:ind w:left="720" w:hanging="720"/>
      </w:pPr>
    </w:p>
    <w:p w:rsidR="001321B6" w:rsidRDefault="001321B6" w:rsidP="0051309B"/>
    <w:p w:rsidR="0051309B" w:rsidRDefault="0051309B" w:rsidP="0051309B">
      <w:pPr>
        <w:autoSpaceDE w:val="0"/>
        <w:autoSpaceDN w:val="0"/>
        <w:adjustRightInd w:val="0"/>
        <w:ind w:left="720" w:hanging="720"/>
      </w:pPr>
      <w:r>
        <w:rPr>
          <w:noProof/>
        </w:rPr>
        <w:lastRenderedPageBreak/>
        <w:drawing>
          <wp:inline distT="0" distB="0" distL="0" distR="0" wp14:anchorId="59C0BB73" wp14:editId="51E413FA">
            <wp:extent cx="3324225" cy="1816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4225" cy="1816100"/>
                    </a:xfrm>
                    <a:prstGeom prst="rect">
                      <a:avLst/>
                    </a:prstGeom>
                    <a:noFill/>
                    <a:ln>
                      <a:noFill/>
                    </a:ln>
                  </pic:spPr>
                </pic:pic>
              </a:graphicData>
            </a:graphic>
          </wp:inline>
        </w:drawing>
      </w:r>
    </w:p>
    <w:p w:rsidR="0051309B" w:rsidRDefault="0051309B" w:rsidP="0051309B"/>
    <w:p w:rsidR="0003681D" w:rsidRPr="003170F7" w:rsidRDefault="0051309B" w:rsidP="0003681D">
      <w:pPr>
        <w:tabs>
          <w:tab w:val="left" w:pos="-720"/>
        </w:tabs>
        <w:suppressAutoHyphens/>
        <w:rPr>
          <w:rFonts w:cs="Arial"/>
        </w:rPr>
      </w:pPr>
      <w:r>
        <w:t>TECO:</w:t>
      </w:r>
      <w:r>
        <w:tab/>
      </w:r>
      <w:r w:rsidR="0003681D">
        <w:rPr>
          <w:b/>
        </w:rPr>
        <w:tab/>
      </w:r>
      <w:r w:rsidR="0003681D" w:rsidRPr="003170F7">
        <w:rPr>
          <w:rFonts w:cs="Arial"/>
        </w:rPr>
        <w:t>The appropriate factors are as follows:</w:t>
      </w:r>
    </w:p>
    <w:p w:rsidR="0003681D" w:rsidRPr="003170F7" w:rsidRDefault="0003681D" w:rsidP="0003681D">
      <w:pPr>
        <w:tabs>
          <w:tab w:val="left" w:pos="-720"/>
        </w:tabs>
        <w:suppressAutoHyphens/>
        <w:rPr>
          <w:rFonts w:cs="Arial"/>
        </w:rPr>
      </w:pPr>
    </w:p>
    <w:p w:rsidR="0003681D" w:rsidRPr="003170F7" w:rsidRDefault="0003681D" w:rsidP="0003681D">
      <w:pPr>
        <w:tabs>
          <w:tab w:val="left" w:pos="-720"/>
          <w:tab w:val="left" w:pos="1440"/>
          <w:tab w:val="center" w:pos="6210"/>
          <w:tab w:val="decimal" w:pos="6300"/>
        </w:tabs>
        <w:suppressAutoHyphens/>
        <w:rPr>
          <w:rFonts w:cs="Arial"/>
        </w:rPr>
      </w:pPr>
      <w:r w:rsidRPr="003170F7">
        <w:rPr>
          <w:rFonts w:cs="Arial"/>
        </w:rPr>
        <w:tab/>
      </w:r>
      <w:r w:rsidRPr="003170F7">
        <w:rPr>
          <w:rFonts w:cs="Arial"/>
        </w:rPr>
        <w:tab/>
        <w:t>Fuel Charge</w:t>
      </w:r>
    </w:p>
    <w:p w:rsidR="0003681D" w:rsidRPr="003170F7" w:rsidRDefault="0003681D" w:rsidP="0003681D">
      <w:pPr>
        <w:tabs>
          <w:tab w:val="left" w:pos="-720"/>
          <w:tab w:val="left" w:pos="1440"/>
          <w:tab w:val="center" w:pos="6210"/>
          <w:tab w:val="decimal" w:pos="6300"/>
        </w:tabs>
        <w:suppressAutoHyphens/>
        <w:rPr>
          <w:rFonts w:cs="Arial"/>
          <w:u w:val="single"/>
        </w:rPr>
      </w:pPr>
      <w:r w:rsidRPr="003170F7">
        <w:rPr>
          <w:rFonts w:cs="Arial"/>
        </w:rPr>
        <w:tab/>
      </w:r>
      <w:r w:rsidRPr="003170F7">
        <w:rPr>
          <w:rFonts w:cs="Arial"/>
          <w:u w:val="single"/>
        </w:rPr>
        <w:t>Metering Voltage Level</w:t>
      </w:r>
      <w:r w:rsidRPr="003170F7">
        <w:rPr>
          <w:rFonts w:cs="Arial"/>
        </w:rPr>
        <w:tab/>
      </w:r>
      <w:r w:rsidRPr="003170F7">
        <w:rPr>
          <w:rFonts w:cs="Arial"/>
          <w:u w:val="single"/>
        </w:rPr>
        <w:t>Factor (cents per kWh)</w:t>
      </w:r>
    </w:p>
    <w:p w:rsidR="0003681D" w:rsidRPr="003170F7" w:rsidRDefault="0003681D" w:rsidP="0003681D">
      <w:pPr>
        <w:pStyle w:val="Footer"/>
        <w:widowControl w:val="0"/>
        <w:tabs>
          <w:tab w:val="clear" w:pos="4320"/>
          <w:tab w:val="center" w:pos="5940"/>
          <w:tab w:val="center" w:pos="7380"/>
        </w:tabs>
        <w:suppressAutoHyphens/>
        <w:ind w:left="1440"/>
        <w:rPr>
          <w:bCs/>
        </w:rPr>
      </w:pPr>
    </w:p>
    <w:p w:rsidR="0003681D" w:rsidRPr="00A36BA7" w:rsidRDefault="0003681D" w:rsidP="0003681D">
      <w:pPr>
        <w:pStyle w:val="Footer"/>
        <w:widowControl w:val="0"/>
        <w:tabs>
          <w:tab w:val="clear" w:pos="4320"/>
          <w:tab w:val="center" w:pos="5940"/>
          <w:tab w:val="center" w:pos="7380"/>
        </w:tabs>
        <w:suppressAutoHyphens/>
        <w:ind w:left="1440"/>
        <w:rPr>
          <w:bCs/>
        </w:rPr>
      </w:pPr>
      <w:r w:rsidRPr="00A36BA7">
        <w:rPr>
          <w:bCs/>
        </w:rPr>
        <w:t>Secondary</w:t>
      </w:r>
      <w:r w:rsidRPr="00A36BA7">
        <w:rPr>
          <w:bCs/>
        </w:rPr>
        <w:tab/>
        <w:t>4.832</w:t>
      </w:r>
    </w:p>
    <w:p w:rsidR="0003681D" w:rsidRPr="00A36BA7" w:rsidRDefault="0003681D" w:rsidP="0003681D">
      <w:pPr>
        <w:pStyle w:val="Footer"/>
        <w:widowControl w:val="0"/>
        <w:tabs>
          <w:tab w:val="clear" w:pos="4320"/>
          <w:tab w:val="center" w:pos="5940"/>
          <w:tab w:val="center" w:pos="7380"/>
        </w:tabs>
        <w:suppressAutoHyphens/>
        <w:ind w:left="1440"/>
        <w:rPr>
          <w:bCs/>
        </w:rPr>
      </w:pPr>
      <w:r w:rsidRPr="00A36BA7">
        <w:rPr>
          <w:bCs/>
        </w:rPr>
        <w:t xml:space="preserve">RS Tier I (Up to 1,000 kWh)                        </w:t>
      </w:r>
      <w:r w:rsidRPr="00A36BA7">
        <w:rPr>
          <w:bCs/>
        </w:rPr>
        <w:tab/>
      </w:r>
      <w:r w:rsidRPr="00A36BA7">
        <w:t>4.525</w:t>
      </w:r>
    </w:p>
    <w:p w:rsidR="0003681D" w:rsidRPr="00A36BA7" w:rsidRDefault="0003681D" w:rsidP="0003681D">
      <w:pPr>
        <w:pStyle w:val="Footer"/>
        <w:widowControl w:val="0"/>
        <w:tabs>
          <w:tab w:val="clear" w:pos="4320"/>
          <w:tab w:val="center" w:pos="5940"/>
          <w:tab w:val="center" w:pos="7380"/>
        </w:tabs>
        <w:suppressAutoHyphens/>
        <w:ind w:left="1440"/>
        <w:rPr>
          <w:bCs/>
        </w:rPr>
      </w:pPr>
      <w:r w:rsidRPr="00A36BA7">
        <w:rPr>
          <w:bCs/>
        </w:rPr>
        <w:t>RS Tier II (Over 1,000 kWh)</w:t>
      </w:r>
      <w:r w:rsidRPr="00A36BA7">
        <w:rPr>
          <w:bCs/>
        </w:rPr>
        <w:tab/>
      </w:r>
      <w:r w:rsidRPr="00A36BA7">
        <w:t>5.525</w:t>
      </w:r>
    </w:p>
    <w:p w:rsidR="0003681D" w:rsidRPr="00A36BA7" w:rsidRDefault="0003681D" w:rsidP="0003681D">
      <w:pPr>
        <w:pStyle w:val="Footer"/>
        <w:widowControl w:val="0"/>
        <w:tabs>
          <w:tab w:val="clear" w:pos="4320"/>
          <w:tab w:val="center" w:pos="5940"/>
          <w:tab w:val="center" w:pos="7380"/>
        </w:tabs>
        <w:suppressAutoHyphens/>
        <w:ind w:left="1440"/>
        <w:rPr>
          <w:bCs/>
        </w:rPr>
      </w:pPr>
      <w:r w:rsidRPr="00A36BA7">
        <w:rPr>
          <w:bCs/>
        </w:rPr>
        <w:t>Distribution Primary</w:t>
      </w:r>
      <w:r w:rsidRPr="00A36BA7">
        <w:rPr>
          <w:bCs/>
        </w:rPr>
        <w:tab/>
      </w:r>
      <w:r w:rsidRPr="00A36BA7">
        <w:t>4.784</w:t>
      </w:r>
    </w:p>
    <w:p w:rsidR="0003681D" w:rsidRPr="00A36BA7" w:rsidRDefault="0003681D" w:rsidP="0003681D">
      <w:pPr>
        <w:pStyle w:val="Footer"/>
        <w:widowControl w:val="0"/>
        <w:tabs>
          <w:tab w:val="clear" w:pos="4320"/>
          <w:tab w:val="center" w:pos="5940"/>
          <w:tab w:val="center" w:pos="7380"/>
        </w:tabs>
        <w:suppressAutoHyphens/>
        <w:ind w:left="1440"/>
        <w:rPr>
          <w:bCs/>
        </w:rPr>
      </w:pPr>
      <w:r w:rsidRPr="00A36BA7">
        <w:rPr>
          <w:bCs/>
        </w:rPr>
        <w:t>Transmission</w:t>
      </w:r>
      <w:r w:rsidRPr="00A36BA7">
        <w:rPr>
          <w:bCs/>
        </w:rPr>
        <w:tab/>
        <w:t>4.735</w:t>
      </w:r>
    </w:p>
    <w:p w:rsidR="0003681D" w:rsidRPr="00A36BA7" w:rsidRDefault="0003681D" w:rsidP="0003681D">
      <w:pPr>
        <w:pStyle w:val="Footer"/>
        <w:widowControl w:val="0"/>
        <w:tabs>
          <w:tab w:val="clear" w:pos="4320"/>
          <w:tab w:val="center" w:pos="5940"/>
          <w:tab w:val="center" w:pos="7380"/>
        </w:tabs>
        <w:suppressAutoHyphens/>
        <w:ind w:left="1440"/>
        <w:rPr>
          <w:bCs/>
        </w:rPr>
      </w:pPr>
      <w:r w:rsidRPr="00A36BA7">
        <w:rPr>
          <w:bCs/>
        </w:rPr>
        <w:t>Lighting Service</w:t>
      </w:r>
      <w:r w:rsidRPr="00A36BA7">
        <w:rPr>
          <w:bCs/>
        </w:rPr>
        <w:tab/>
      </w:r>
      <w:r w:rsidRPr="00A36BA7">
        <w:t>4.767</w:t>
      </w:r>
    </w:p>
    <w:p w:rsidR="0003681D" w:rsidRPr="00A36BA7" w:rsidRDefault="0003681D" w:rsidP="0003681D">
      <w:pPr>
        <w:pStyle w:val="Footer"/>
        <w:widowControl w:val="0"/>
        <w:tabs>
          <w:tab w:val="clear" w:pos="4320"/>
          <w:tab w:val="center" w:pos="5940"/>
          <w:tab w:val="center" w:pos="7290"/>
        </w:tabs>
        <w:suppressAutoHyphens/>
        <w:ind w:left="1440"/>
        <w:rPr>
          <w:bCs/>
        </w:rPr>
      </w:pPr>
      <w:r w:rsidRPr="00A36BA7">
        <w:rPr>
          <w:bCs/>
        </w:rPr>
        <w:t xml:space="preserve">Distribution Secondary </w:t>
      </w:r>
      <w:r w:rsidRPr="00A36BA7">
        <w:rPr>
          <w:bCs/>
        </w:rPr>
        <w:tab/>
      </w:r>
      <w:r w:rsidRPr="00A36BA7">
        <w:t>5.179</w:t>
      </w:r>
      <w:r w:rsidRPr="00A36BA7">
        <w:rPr>
          <w:bCs/>
        </w:rPr>
        <w:tab/>
        <w:t>(on-peak)</w:t>
      </w:r>
    </w:p>
    <w:p w:rsidR="0003681D" w:rsidRPr="00A36BA7" w:rsidRDefault="0003681D" w:rsidP="0003681D">
      <w:pPr>
        <w:pStyle w:val="Footer"/>
        <w:widowControl w:val="0"/>
        <w:tabs>
          <w:tab w:val="clear" w:pos="4320"/>
          <w:tab w:val="center" w:pos="5940"/>
          <w:tab w:val="center" w:pos="7290"/>
        </w:tabs>
        <w:suppressAutoHyphens/>
        <w:ind w:left="1440"/>
        <w:rPr>
          <w:bCs/>
        </w:rPr>
      </w:pPr>
      <w:r w:rsidRPr="00A36BA7">
        <w:rPr>
          <w:bCs/>
        </w:rPr>
        <w:tab/>
      </w:r>
      <w:r w:rsidRPr="00A36BA7">
        <w:t>4.683</w:t>
      </w:r>
      <w:r w:rsidRPr="00A36BA7">
        <w:rPr>
          <w:bCs/>
        </w:rPr>
        <w:tab/>
        <w:t>(off-peak)</w:t>
      </w:r>
    </w:p>
    <w:p w:rsidR="0003681D" w:rsidRPr="00A36BA7" w:rsidRDefault="0003681D" w:rsidP="0003681D">
      <w:pPr>
        <w:pStyle w:val="Footer"/>
        <w:widowControl w:val="0"/>
        <w:tabs>
          <w:tab w:val="clear" w:pos="4320"/>
          <w:tab w:val="center" w:pos="5940"/>
          <w:tab w:val="center" w:pos="7290"/>
        </w:tabs>
        <w:suppressAutoHyphens/>
        <w:ind w:left="1440"/>
        <w:rPr>
          <w:bCs/>
        </w:rPr>
      </w:pPr>
      <w:r w:rsidRPr="00A36BA7">
        <w:rPr>
          <w:bCs/>
        </w:rPr>
        <w:t>Distribution Primary</w:t>
      </w:r>
      <w:r w:rsidRPr="00A36BA7">
        <w:rPr>
          <w:bCs/>
        </w:rPr>
        <w:tab/>
      </w:r>
      <w:r w:rsidRPr="00A36BA7">
        <w:t>5.127</w:t>
      </w:r>
      <w:r w:rsidRPr="00A36BA7">
        <w:rPr>
          <w:bCs/>
        </w:rPr>
        <w:tab/>
        <w:t>(on-peak)</w:t>
      </w:r>
    </w:p>
    <w:p w:rsidR="0003681D" w:rsidRPr="00A36BA7" w:rsidRDefault="0003681D" w:rsidP="0003681D">
      <w:pPr>
        <w:pStyle w:val="Footer"/>
        <w:widowControl w:val="0"/>
        <w:tabs>
          <w:tab w:val="clear" w:pos="4320"/>
          <w:tab w:val="center" w:pos="5940"/>
          <w:tab w:val="center" w:pos="7290"/>
        </w:tabs>
        <w:suppressAutoHyphens/>
        <w:ind w:left="1440"/>
        <w:rPr>
          <w:bCs/>
        </w:rPr>
      </w:pPr>
      <w:r w:rsidRPr="00A36BA7">
        <w:rPr>
          <w:bCs/>
        </w:rPr>
        <w:tab/>
      </w:r>
      <w:r w:rsidRPr="00A36BA7">
        <w:t>4.636</w:t>
      </w:r>
      <w:r w:rsidRPr="00A36BA7">
        <w:rPr>
          <w:bCs/>
        </w:rPr>
        <w:tab/>
        <w:t>(off-peak)</w:t>
      </w:r>
    </w:p>
    <w:p w:rsidR="0003681D" w:rsidRPr="00A36BA7" w:rsidRDefault="0003681D" w:rsidP="0003681D">
      <w:pPr>
        <w:pStyle w:val="Footer"/>
        <w:widowControl w:val="0"/>
        <w:tabs>
          <w:tab w:val="clear" w:pos="4320"/>
          <w:tab w:val="center" w:pos="5940"/>
          <w:tab w:val="center" w:pos="7290"/>
        </w:tabs>
        <w:suppressAutoHyphens/>
        <w:ind w:left="1440"/>
        <w:rPr>
          <w:bCs/>
        </w:rPr>
      </w:pPr>
      <w:r w:rsidRPr="00A36BA7">
        <w:rPr>
          <w:bCs/>
        </w:rPr>
        <w:t>Transmission</w:t>
      </w:r>
      <w:r w:rsidRPr="00A36BA7">
        <w:rPr>
          <w:bCs/>
        </w:rPr>
        <w:tab/>
      </w:r>
      <w:r w:rsidRPr="00A36BA7">
        <w:t>5.075</w:t>
      </w:r>
      <w:r w:rsidRPr="00A36BA7">
        <w:rPr>
          <w:bCs/>
        </w:rPr>
        <w:tab/>
        <w:t>(on-peak)</w:t>
      </w:r>
    </w:p>
    <w:p w:rsidR="0003681D" w:rsidRDefault="0003681D" w:rsidP="0003681D">
      <w:pPr>
        <w:pStyle w:val="Footer"/>
        <w:widowControl w:val="0"/>
        <w:tabs>
          <w:tab w:val="clear" w:pos="4320"/>
          <w:tab w:val="center" w:pos="5940"/>
          <w:tab w:val="center" w:pos="7290"/>
        </w:tabs>
        <w:suppressAutoHyphens/>
        <w:ind w:left="5430"/>
        <w:rPr>
          <w:bCs/>
        </w:rPr>
      </w:pPr>
      <w:r w:rsidRPr="00A36BA7">
        <w:rPr>
          <w:bCs/>
        </w:rPr>
        <w:tab/>
      </w:r>
      <w:r w:rsidRPr="00A36BA7">
        <w:t>4.589</w:t>
      </w:r>
      <w:r w:rsidRPr="00A36BA7">
        <w:rPr>
          <w:bCs/>
        </w:rPr>
        <w:tab/>
        <w:t>(off-peak)</w:t>
      </w:r>
    </w:p>
    <w:p w:rsidR="001212A9" w:rsidRDefault="001212A9" w:rsidP="0003681D">
      <w:pPr>
        <w:pStyle w:val="Footer"/>
        <w:widowControl w:val="0"/>
        <w:tabs>
          <w:tab w:val="clear" w:pos="4320"/>
          <w:tab w:val="center" w:pos="5940"/>
          <w:tab w:val="center" w:pos="7290"/>
        </w:tabs>
        <w:suppressAutoHyphens/>
        <w:ind w:left="5430"/>
        <w:rPr>
          <w:bCs/>
        </w:rPr>
      </w:pPr>
    </w:p>
    <w:p w:rsidR="008729AE" w:rsidRDefault="00C11C15" w:rsidP="001212A9">
      <w:pPr>
        <w:pStyle w:val="BodyText"/>
      </w:pPr>
      <w:r>
        <w:tab/>
        <w:t>Per the stipulation of the parties, the new factors approved herein shall be effective with the first billing cycle for January 2023 through the last billing cycle for December 2023.  The first billing cycle may start before January 1, 2023, and the last cycle may be read after December 31, 2023, so that each customer is billed for twelve months regardless of when the recovery factors became effective.  The new factors shall continue in effect until modified by th</w:t>
      </w:r>
      <w:r w:rsidR="00A501CE">
        <w:t>is</w:t>
      </w:r>
      <w:r>
        <w:t xml:space="preserve"> Commission.</w:t>
      </w:r>
    </w:p>
    <w:p w:rsidR="008729AE" w:rsidRDefault="008729AE" w:rsidP="0058586A">
      <w:pPr>
        <w:pStyle w:val="BodyText"/>
      </w:pPr>
      <w:r>
        <w:tab/>
        <w:t>We hereby approve revised tariffs for DEF, FPL, FPUC</w:t>
      </w:r>
      <w:r w:rsidR="00B0254B">
        <w:t>,</w:t>
      </w:r>
      <w:r>
        <w:t xml:space="preserve"> and TECO reflecting the fuel adjustment factors and capacity cost recovery factors determined to be appropriate in this proceeding.  We direct </w:t>
      </w:r>
      <w:r w:rsidR="00A501CE">
        <w:t xml:space="preserve">our </w:t>
      </w:r>
      <w:r>
        <w:t>staff to verify that the revised tariffs are consistent with our decision.</w:t>
      </w:r>
    </w:p>
    <w:p w:rsidR="001212A9" w:rsidRDefault="001212A9" w:rsidP="0058586A">
      <w:pPr>
        <w:pStyle w:val="BodyText"/>
      </w:pPr>
      <w:r>
        <w:tab/>
        <w:t xml:space="preserve">Finally, we find that FPUC did not provide sufficient support for deviating from our long-standing policy of applying the 30-day non-financial commercial paper rate to deferred fuel cost balances and deny its request to do so.   </w:t>
      </w:r>
    </w:p>
    <w:p w:rsidR="008729AE" w:rsidRDefault="008729AE" w:rsidP="0058586A">
      <w:pPr>
        <w:pStyle w:val="BodyText"/>
      </w:pPr>
      <w:r>
        <w:tab/>
        <w:t>Based on the foregoing, it is</w:t>
      </w:r>
    </w:p>
    <w:p w:rsidR="008729AE" w:rsidRDefault="008729AE" w:rsidP="0058586A">
      <w:pPr>
        <w:pStyle w:val="BodyText"/>
      </w:pPr>
      <w:r>
        <w:lastRenderedPageBreak/>
        <w:tab/>
        <w:t>ORDERED by the Florida Public Service Commission that the findings set forth in the body of this order, and Attachment A hereto, are hereby approved.  It is further</w:t>
      </w:r>
    </w:p>
    <w:p w:rsidR="00A501CE" w:rsidRDefault="00A501CE" w:rsidP="0058586A">
      <w:pPr>
        <w:pStyle w:val="BodyText"/>
      </w:pPr>
      <w:r>
        <w:tab/>
        <w:t xml:space="preserve">ORDERED that the Office of Public Counsel’s motion for reconsideration is denied.  It is further </w:t>
      </w:r>
    </w:p>
    <w:p w:rsidR="008729AE" w:rsidRDefault="008729AE" w:rsidP="0058586A">
      <w:pPr>
        <w:pStyle w:val="BodyText"/>
      </w:pPr>
      <w:r>
        <w:tab/>
        <w:t>ORDERED that Duke Energy Florida, LLC, Florida Power &amp; Light Company, Florida Public Utilities Company, and Tampa Electric Company are hereby authorized to apply the fuel cost recovery factors set forth herein during the period January 2023 through December 2023.  It is further</w:t>
      </w:r>
    </w:p>
    <w:p w:rsidR="008729AE" w:rsidRDefault="008729AE" w:rsidP="008729AE">
      <w:pPr>
        <w:pStyle w:val="BodyText"/>
      </w:pPr>
      <w:r>
        <w:tab/>
        <w:t>ORDERED that the estimated true-up amounts contained in the fuel cost recovery factors approved herein are hereby authorized subject to final true-up and further subject to proof of the reasonableness and prudence of the expenditures upon which the amounts are based.  It is further</w:t>
      </w:r>
    </w:p>
    <w:p w:rsidR="008729AE" w:rsidRDefault="008729AE" w:rsidP="008729AE">
      <w:pPr>
        <w:pStyle w:val="BodyText"/>
      </w:pPr>
      <w:r>
        <w:tab/>
        <w:t xml:space="preserve">ORDERED that </w:t>
      </w:r>
      <w:r w:rsidR="007F13E1">
        <w:t xml:space="preserve">Duke Energy Florida, LLC, </w:t>
      </w:r>
      <w:r>
        <w:t>Florida Power &amp; Light Company, Florida Public Utilities Company, and Tampa Electric Company are hereby authorized to apply the capacity cost recovery factors set forth herein during the period January 202</w:t>
      </w:r>
      <w:r w:rsidR="00097757">
        <w:t>3</w:t>
      </w:r>
      <w:r>
        <w:t xml:space="preserve"> through December 202</w:t>
      </w:r>
      <w:r w:rsidR="00097757">
        <w:t>3</w:t>
      </w:r>
      <w:r>
        <w:t>.  It is further</w:t>
      </w:r>
    </w:p>
    <w:p w:rsidR="008729AE" w:rsidRDefault="008729AE" w:rsidP="008729AE">
      <w:pPr>
        <w:pStyle w:val="BodyText"/>
      </w:pPr>
      <w:r>
        <w:tab/>
        <w:t>ORDERED that the estimated true-up amounts contained in the capacity cost recovery factors approved herein are hereby authorized subject to final true-up and further subject to proof of the reasonableness and prudence of the expenditures upon which the amounts are based.  It is further</w:t>
      </w:r>
    </w:p>
    <w:p w:rsidR="008729AE" w:rsidRDefault="008729AE" w:rsidP="008729AE">
      <w:pPr>
        <w:pStyle w:val="BodyText"/>
      </w:pPr>
      <w:r>
        <w:tab/>
        <w:t xml:space="preserve">ORDERED that the revised tariffs reflecting the fuel adjustment factors and capacity cost recovery factors determined to be appropriate in this proceeding are hereby approved and we direct Commission staff to verify that the revised tariffs are consistent with our decision.  It is further   </w:t>
      </w:r>
    </w:p>
    <w:p w:rsidR="007F13E1" w:rsidRDefault="007F13E1" w:rsidP="008729AE">
      <w:pPr>
        <w:pStyle w:val="BodyText"/>
      </w:pPr>
      <w:r>
        <w:tab/>
      </w:r>
      <w:r w:rsidR="007638B9">
        <w:t>ORDERED</w:t>
      </w:r>
      <w:r>
        <w:t xml:space="preserve"> that Duke Energy Florida, LLC, Florida Power &amp; Light Company and Tampa Electric Company shall file their petitions for mid-course corrections </w:t>
      </w:r>
      <w:r w:rsidR="007729D5">
        <w:t xml:space="preserve">using actual year end 2022 fuel cost amounts </w:t>
      </w:r>
      <w:r>
        <w:t>on or before Monday, January 23, 2023.  It is further</w:t>
      </w:r>
    </w:p>
    <w:p w:rsidR="0047537F" w:rsidRDefault="0047537F" w:rsidP="008729AE">
      <w:pPr>
        <w:pStyle w:val="BodyText"/>
      </w:pPr>
      <w:r>
        <w:tab/>
        <w:t>ORDERED that Florida Public Utilities Company shall apply the 30-day non-financial commercial paper rate to deferred fuel cost balances.  It is further</w:t>
      </w:r>
    </w:p>
    <w:p w:rsidR="008729AE" w:rsidRDefault="008729AE" w:rsidP="008729AE">
      <w:r>
        <w:t xml:space="preserve">     </w:t>
      </w:r>
      <w:r>
        <w:tab/>
        <w:t>ORDERED that while the Fuel and Purchased Power Cost Recovery Clause with Generating Performance Incentive Factor docket is assigned a separate docket number each year for administrative convenience, it is a continuing docket and shall remain open.</w:t>
      </w:r>
    </w:p>
    <w:p w:rsidR="008729AE" w:rsidRDefault="008729AE" w:rsidP="00C11C15"/>
    <w:p w:rsidR="00097757" w:rsidRDefault="00097757" w:rsidP="00097757">
      <w:pPr>
        <w:keepNext/>
        <w:keepLines/>
      </w:pPr>
      <w:r>
        <w:lastRenderedPageBreak/>
        <w:tab/>
        <w:t xml:space="preserve">By ORDER of the Florida Public Service Commission this </w:t>
      </w:r>
      <w:bookmarkStart w:id="6" w:name="replaceDate"/>
      <w:bookmarkEnd w:id="6"/>
      <w:r w:rsidR="007F45E3">
        <w:rPr>
          <w:u w:val="single"/>
        </w:rPr>
        <w:t>6th</w:t>
      </w:r>
      <w:r w:rsidR="007F45E3">
        <w:t xml:space="preserve"> day of </w:t>
      </w:r>
      <w:r w:rsidR="007F45E3">
        <w:rPr>
          <w:u w:val="single"/>
        </w:rPr>
        <w:t>January</w:t>
      </w:r>
      <w:r w:rsidR="007F45E3">
        <w:t xml:space="preserve">, </w:t>
      </w:r>
      <w:r w:rsidR="007F45E3">
        <w:rPr>
          <w:u w:val="single"/>
        </w:rPr>
        <w:t>2023</w:t>
      </w:r>
      <w:r w:rsidR="007F45E3">
        <w:t>.</w:t>
      </w:r>
    </w:p>
    <w:p w:rsidR="007F45E3" w:rsidRPr="007F45E3" w:rsidRDefault="007F45E3" w:rsidP="00097757">
      <w:pPr>
        <w:keepNext/>
        <w:keepLines/>
      </w:pPr>
    </w:p>
    <w:p w:rsidR="00097757" w:rsidRDefault="00097757" w:rsidP="00097757">
      <w:pPr>
        <w:keepNext/>
        <w:keepLines/>
      </w:pPr>
    </w:p>
    <w:p w:rsidR="00097757" w:rsidRDefault="00097757" w:rsidP="00097757">
      <w:pPr>
        <w:keepNext/>
        <w:keepLines/>
      </w:pPr>
    </w:p>
    <w:tbl>
      <w:tblPr>
        <w:tblW w:w="4720" w:type="dxa"/>
        <w:tblInd w:w="3800" w:type="dxa"/>
        <w:tblLayout w:type="fixed"/>
        <w:tblLook w:val="0000" w:firstRow="0" w:lastRow="0" w:firstColumn="0" w:lastColumn="0" w:noHBand="0" w:noVBand="0"/>
      </w:tblPr>
      <w:tblGrid>
        <w:gridCol w:w="686"/>
        <w:gridCol w:w="4034"/>
      </w:tblGrid>
      <w:tr w:rsidR="00097757" w:rsidTr="00097757">
        <w:tc>
          <w:tcPr>
            <w:tcW w:w="720" w:type="dxa"/>
            <w:shd w:val="clear" w:color="auto" w:fill="auto"/>
          </w:tcPr>
          <w:p w:rsidR="00097757" w:rsidRDefault="00097757" w:rsidP="00097757">
            <w:pPr>
              <w:keepNext/>
              <w:keepLines/>
            </w:pPr>
            <w:bookmarkStart w:id="7" w:name="bkmrkSignature" w:colFirst="0" w:colLast="0"/>
          </w:p>
        </w:tc>
        <w:tc>
          <w:tcPr>
            <w:tcW w:w="4320" w:type="dxa"/>
            <w:tcBorders>
              <w:bottom w:val="single" w:sz="4" w:space="0" w:color="auto"/>
            </w:tcBorders>
            <w:shd w:val="clear" w:color="auto" w:fill="auto"/>
          </w:tcPr>
          <w:p w:rsidR="00097757" w:rsidRDefault="007F45E3" w:rsidP="00097757">
            <w:pPr>
              <w:keepNext/>
              <w:keepLines/>
            </w:pPr>
            <w:r>
              <w:t>/s/ Adam J. Teitzman</w:t>
            </w:r>
            <w:bookmarkStart w:id="8" w:name="_GoBack"/>
            <w:bookmarkEnd w:id="8"/>
          </w:p>
        </w:tc>
      </w:tr>
      <w:bookmarkEnd w:id="7"/>
      <w:tr w:rsidR="00097757" w:rsidTr="00097757">
        <w:tc>
          <w:tcPr>
            <w:tcW w:w="720" w:type="dxa"/>
            <w:shd w:val="clear" w:color="auto" w:fill="auto"/>
          </w:tcPr>
          <w:p w:rsidR="00097757" w:rsidRDefault="00097757" w:rsidP="00097757">
            <w:pPr>
              <w:keepNext/>
              <w:keepLines/>
            </w:pPr>
          </w:p>
        </w:tc>
        <w:tc>
          <w:tcPr>
            <w:tcW w:w="4320" w:type="dxa"/>
            <w:tcBorders>
              <w:top w:val="single" w:sz="4" w:space="0" w:color="auto"/>
            </w:tcBorders>
            <w:shd w:val="clear" w:color="auto" w:fill="auto"/>
          </w:tcPr>
          <w:p w:rsidR="00097757" w:rsidRDefault="00097757" w:rsidP="00097757">
            <w:pPr>
              <w:keepNext/>
              <w:keepLines/>
            </w:pPr>
            <w:r>
              <w:t>ADAM J. TEITZMAN</w:t>
            </w:r>
          </w:p>
          <w:p w:rsidR="00097757" w:rsidRDefault="00097757" w:rsidP="00097757">
            <w:pPr>
              <w:keepNext/>
              <w:keepLines/>
            </w:pPr>
            <w:r>
              <w:t>Commission Clerk</w:t>
            </w:r>
          </w:p>
        </w:tc>
      </w:tr>
    </w:tbl>
    <w:p w:rsidR="00097757" w:rsidRDefault="00097757" w:rsidP="00097757">
      <w:pPr>
        <w:pStyle w:val="OrderSigInfo"/>
        <w:keepNext/>
        <w:keepLines/>
      </w:pPr>
      <w:r>
        <w:t>Florida Public Service Commission</w:t>
      </w:r>
    </w:p>
    <w:p w:rsidR="00097757" w:rsidRDefault="00097757" w:rsidP="00097757">
      <w:pPr>
        <w:pStyle w:val="OrderSigInfo"/>
        <w:keepNext/>
        <w:keepLines/>
      </w:pPr>
      <w:r>
        <w:t>2540 Shumard Oak Boulevard</w:t>
      </w:r>
    </w:p>
    <w:p w:rsidR="00097757" w:rsidRDefault="00097757" w:rsidP="00097757">
      <w:pPr>
        <w:pStyle w:val="OrderSigInfo"/>
        <w:keepNext/>
        <w:keepLines/>
      </w:pPr>
      <w:r>
        <w:t>Tallahassee, Florida 32399</w:t>
      </w:r>
    </w:p>
    <w:p w:rsidR="00097757" w:rsidRDefault="00097757" w:rsidP="00097757">
      <w:pPr>
        <w:pStyle w:val="OrderSigInfo"/>
        <w:keepNext/>
        <w:keepLines/>
      </w:pPr>
      <w:r>
        <w:t>(850) 413</w:t>
      </w:r>
      <w:r>
        <w:noBreakHyphen/>
        <w:t>6770</w:t>
      </w:r>
    </w:p>
    <w:p w:rsidR="00097757" w:rsidRDefault="00097757" w:rsidP="00097757">
      <w:pPr>
        <w:pStyle w:val="OrderSigInfo"/>
        <w:keepNext/>
        <w:keepLines/>
      </w:pPr>
      <w:r>
        <w:t>www.floridapsc.com</w:t>
      </w:r>
    </w:p>
    <w:p w:rsidR="00097757" w:rsidRDefault="00097757" w:rsidP="00097757">
      <w:pPr>
        <w:pStyle w:val="OrderSigInfo"/>
        <w:keepNext/>
        <w:keepLines/>
      </w:pPr>
    </w:p>
    <w:p w:rsidR="00097757" w:rsidRDefault="00097757" w:rsidP="00097757">
      <w:pPr>
        <w:pStyle w:val="OrderSigInfo"/>
        <w:keepNext/>
        <w:keepLines/>
      </w:pPr>
      <w:r>
        <w:t>Copies furnished:  A copy of this document is provided to the parties of record at the time of issuance and, if applicable, interested persons.</w:t>
      </w:r>
    </w:p>
    <w:p w:rsidR="00097757" w:rsidRDefault="00097757" w:rsidP="00097757">
      <w:pPr>
        <w:pStyle w:val="OrderBody"/>
        <w:keepNext/>
        <w:keepLines/>
      </w:pPr>
    </w:p>
    <w:p w:rsidR="00097757" w:rsidRDefault="00097757" w:rsidP="00097757">
      <w:pPr>
        <w:keepNext/>
        <w:keepLines/>
      </w:pPr>
      <w:r>
        <w:t>SBr</w:t>
      </w:r>
    </w:p>
    <w:p w:rsidR="00097757" w:rsidRDefault="00097757" w:rsidP="00097757">
      <w:pPr>
        <w:keepNext/>
        <w:keepLines/>
      </w:pPr>
    </w:p>
    <w:p w:rsidR="00097757" w:rsidRDefault="00097757" w:rsidP="00097757">
      <w:pPr>
        <w:pStyle w:val="CenterUnderline"/>
      </w:pPr>
      <w:r>
        <w:t>NOTICE OF FURTHER PROCEEDINGS OR JUDICIAL REVIEW</w:t>
      </w:r>
    </w:p>
    <w:p w:rsidR="00097757" w:rsidRDefault="00097757" w:rsidP="00097757">
      <w:pPr>
        <w:pStyle w:val="CenterUnderline"/>
      </w:pPr>
    </w:p>
    <w:p w:rsidR="00097757" w:rsidRDefault="00097757" w:rsidP="00097757">
      <w:pPr>
        <w:pStyle w:val="OrderBody"/>
      </w:pPr>
    </w:p>
    <w:p w:rsidR="00097757" w:rsidRDefault="00097757" w:rsidP="0009775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97757" w:rsidRDefault="00097757" w:rsidP="00097757">
      <w:pPr>
        <w:pStyle w:val="OrderBody"/>
      </w:pPr>
    </w:p>
    <w:p w:rsidR="00097757" w:rsidRDefault="00097757" w:rsidP="0009775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97757" w:rsidRDefault="00097757" w:rsidP="00097757">
      <w:pPr>
        <w:pStyle w:val="OrderBody"/>
      </w:pPr>
    </w:p>
    <w:p w:rsidR="00097757" w:rsidRDefault="00097757">
      <w:r>
        <w:br w:type="page"/>
      </w:r>
    </w:p>
    <w:p w:rsidR="00097757" w:rsidRDefault="00097757" w:rsidP="00097757">
      <w:pPr>
        <w:pStyle w:val="OrderBody"/>
        <w:jc w:val="right"/>
      </w:pPr>
      <w:r>
        <w:lastRenderedPageBreak/>
        <w:tab/>
        <w:t>ATTACHMENT A</w:t>
      </w:r>
    </w:p>
    <w:p w:rsidR="00097757" w:rsidRDefault="00097757" w:rsidP="00097757">
      <w:pPr>
        <w:pStyle w:val="OrderHeading"/>
      </w:pPr>
      <w:r>
        <w:t>BEFORE THE FLORIDA PUBLIC SERVICE COMMISSION</w:t>
      </w:r>
    </w:p>
    <w:p w:rsidR="00097757" w:rsidRDefault="00097757" w:rsidP="00097757">
      <w:pPr>
        <w:pStyle w:val="OrderBody"/>
      </w:pPr>
    </w:p>
    <w:p w:rsidR="00097757" w:rsidRDefault="00097757" w:rsidP="000977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7757" w:rsidRPr="00C63FCF" w:rsidTr="00E5228C">
        <w:trPr>
          <w:trHeight w:val="828"/>
        </w:trPr>
        <w:tc>
          <w:tcPr>
            <w:tcW w:w="4788" w:type="dxa"/>
            <w:tcBorders>
              <w:bottom w:val="single" w:sz="8" w:space="0" w:color="auto"/>
              <w:right w:val="double" w:sz="6" w:space="0" w:color="auto"/>
            </w:tcBorders>
            <w:shd w:val="clear" w:color="auto" w:fill="auto"/>
          </w:tcPr>
          <w:p w:rsidR="00097757" w:rsidRDefault="00097757" w:rsidP="00E5228C">
            <w:pPr>
              <w:pStyle w:val="OrderBody"/>
              <w:tabs>
                <w:tab w:val="center" w:pos="4320"/>
                <w:tab w:val="right" w:pos="8640"/>
              </w:tabs>
              <w:jc w:val="left"/>
            </w:pPr>
            <w:r>
              <w:t>In re: Fuel and purchased power cost recovery clause with generating performance incentive factor.</w:t>
            </w:r>
          </w:p>
        </w:tc>
        <w:tc>
          <w:tcPr>
            <w:tcW w:w="4788" w:type="dxa"/>
            <w:tcBorders>
              <w:left w:val="double" w:sz="6" w:space="0" w:color="auto"/>
            </w:tcBorders>
            <w:shd w:val="clear" w:color="auto" w:fill="auto"/>
          </w:tcPr>
          <w:p w:rsidR="00097757" w:rsidRDefault="00097757" w:rsidP="00E5228C">
            <w:pPr>
              <w:pStyle w:val="OrderBody"/>
            </w:pPr>
            <w:r>
              <w:t>DOCKET NO. 20220001-EI</w:t>
            </w:r>
          </w:p>
          <w:p w:rsidR="00097757" w:rsidRDefault="00097757" w:rsidP="00E5228C">
            <w:pPr>
              <w:pStyle w:val="OrderBody"/>
              <w:tabs>
                <w:tab w:val="center" w:pos="4320"/>
                <w:tab w:val="right" w:pos="8640"/>
              </w:tabs>
              <w:jc w:val="left"/>
            </w:pPr>
            <w:r>
              <w:t xml:space="preserve">ORDER NO. </w:t>
            </w:r>
          </w:p>
          <w:p w:rsidR="00097757" w:rsidRDefault="00097757" w:rsidP="00E5228C">
            <w:pPr>
              <w:pStyle w:val="OrderBody"/>
              <w:tabs>
                <w:tab w:val="center" w:pos="4320"/>
                <w:tab w:val="right" w:pos="8640"/>
              </w:tabs>
              <w:jc w:val="left"/>
            </w:pPr>
            <w:r>
              <w:t xml:space="preserve">ISSUED: </w:t>
            </w:r>
          </w:p>
        </w:tc>
      </w:tr>
    </w:tbl>
    <w:p w:rsidR="00097757" w:rsidRDefault="00097757" w:rsidP="00097757"/>
    <w:p w:rsidR="00097757" w:rsidRDefault="00097757" w:rsidP="00097757">
      <w:pPr>
        <w:pStyle w:val="OrderBody"/>
        <w:jc w:val="center"/>
        <w:rPr>
          <w:u w:val="single"/>
        </w:rPr>
      </w:pPr>
      <w:r w:rsidRPr="008A177E">
        <w:rPr>
          <w:u w:val="single"/>
        </w:rPr>
        <w:t>PROPOSED STIPULATIONS</w:t>
      </w:r>
    </w:p>
    <w:p w:rsidR="00097757" w:rsidRDefault="00097757" w:rsidP="00097757">
      <w:pPr>
        <w:pStyle w:val="OrderBody"/>
        <w:jc w:val="center"/>
        <w:rPr>
          <w:u w:val="single"/>
        </w:rPr>
      </w:pPr>
    </w:p>
    <w:p w:rsidR="00097757" w:rsidRDefault="00097757" w:rsidP="00097757">
      <w:pPr>
        <w:pStyle w:val="OrderBody"/>
      </w:pPr>
      <w:r>
        <w:tab/>
        <w:t>The following issues are proposed as Type 2</w:t>
      </w:r>
      <w:r>
        <w:rPr>
          <w:rStyle w:val="FootnoteReference"/>
        </w:rPr>
        <w:footnoteReference w:id="9"/>
      </w:r>
      <w:r>
        <w:t xml:space="preserve"> stipulations in this proceeding</w:t>
      </w:r>
      <w:r>
        <w:rPr>
          <w:rStyle w:val="FootnoteReference"/>
        </w:rPr>
        <w:footnoteReference w:id="10"/>
      </w:r>
      <w:r>
        <w:t>:</w:t>
      </w:r>
    </w:p>
    <w:p w:rsidR="00097757" w:rsidRDefault="00097757" w:rsidP="00097757"/>
    <w:p w:rsidR="00097757" w:rsidRPr="005B76E5" w:rsidRDefault="00097757" w:rsidP="00097757">
      <w:pPr>
        <w:rPr>
          <w:b/>
          <w:u w:val="single"/>
        </w:rPr>
      </w:pPr>
      <w:r w:rsidRPr="005B76E5">
        <w:rPr>
          <w:b/>
          <w:u w:val="single"/>
        </w:rPr>
        <w:t>I.</w:t>
      </w:r>
      <w:r w:rsidRPr="005B76E5">
        <w:rPr>
          <w:b/>
        </w:rPr>
        <w:tab/>
      </w:r>
      <w:r w:rsidRPr="005B76E5">
        <w:rPr>
          <w:b/>
          <w:u w:val="single"/>
        </w:rPr>
        <w:t>FUEL ISSUES</w:t>
      </w:r>
    </w:p>
    <w:p w:rsidR="00097757" w:rsidRPr="00BF6EBB" w:rsidRDefault="00097757" w:rsidP="00097757">
      <w:pPr>
        <w:autoSpaceDE w:val="0"/>
        <w:autoSpaceDN w:val="0"/>
        <w:adjustRightInd w:val="0"/>
        <w:ind w:left="1440" w:hanging="1440"/>
        <w:rPr>
          <w:b/>
        </w:rPr>
      </w:pPr>
    </w:p>
    <w:p w:rsidR="00097757" w:rsidRPr="00BF6EBB" w:rsidRDefault="00097757" w:rsidP="00097757">
      <w:pPr>
        <w:autoSpaceDE w:val="0"/>
        <w:autoSpaceDN w:val="0"/>
        <w:adjustRightInd w:val="0"/>
        <w:ind w:left="1440" w:hanging="1440"/>
        <w:rPr>
          <w:b/>
        </w:rPr>
      </w:pPr>
      <w:r w:rsidRPr="00BF6EBB">
        <w:rPr>
          <w:b/>
        </w:rPr>
        <w:t>Duke Energy Florida, LLC.</w:t>
      </w:r>
    </w:p>
    <w:p w:rsidR="00097757" w:rsidRDefault="00097757" w:rsidP="00097757">
      <w:pPr>
        <w:tabs>
          <w:tab w:val="left" w:pos="8571"/>
        </w:tabs>
        <w:autoSpaceDE w:val="0"/>
        <w:autoSpaceDN w:val="0"/>
        <w:adjustRightInd w:val="0"/>
        <w:ind w:left="1440" w:hanging="1440"/>
      </w:pPr>
    </w:p>
    <w:p w:rsidR="00097757" w:rsidRDefault="00097757" w:rsidP="00097757">
      <w:pPr>
        <w:autoSpaceDE w:val="0"/>
        <w:autoSpaceDN w:val="0"/>
        <w:adjustRightInd w:val="0"/>
        <w:ind w:left="1440" w:hanging="1440"/>
      </w:pPr>
      <w:r w:rsidRPr="00925D58">
        <w:rPr>
          <w:b/>
          <w:u w:val="single"/>
        </w:rPr>
        <w:t>ISSUE 1A</w:t>
      </w:r>
      <w:r w:rsidRPr="00925D58">
        <w:rPr>
          <w:b/>
        </w:rPr>
        <w:t>:</w:t>
      </w:r>
      <w:r>
        <w:rPr>
          <w:b/>
        </w:rPr>
        <w:tab/>
      </w:r>
      <w:r>
        <w:t>Should the Commission approve DEF’s 2023 Risk Management Plan?</w:t>
      </w:r>
    </w:p>
    <w:p w:rsidR="00097757"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pPr>
      <w:r>
        <w:rPr>
          <w:b/>
        </w:rPr>
        <w:t>Stipulation:</w:t>
      </w:r>
      <w:r>
        <w:rPr>
          <w:b/>
        </w:rPr>
        <w:tab/>
      </w:r>
      <w:r>
        <w:t>Yes, but the parties agree that DEF will not enter into financial hedges for 2023 fuel burns.  If DEF intends to restart its hedging program, it will subsequently seek and obtain Commission approval.</w:t>
      </w:r>
    </w:p>
    <w:p w:rsidR="00097757" w:rsidRPr="00E35FC5"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pPr>
      <w:r>
        <w:rPr>
          <w:b/>
          <w:u w:val="single"/>
        </w:rPr>
        <w:t>ISSUE 1B</w:t>
      </w:r>
      <w:r>
        <w:rPr>
          <w:b/>
        </w:rPr>
        <w:t>:</w:t>
      </w:r>
      <w:r>
        <w:rPr>
          <w:b/>
        </w:rPr>
        <w:tab/>
      </w:r>
      <w:r>
        <w:t>What is the appropriate subscription bill credit associated with DEF’s Clean Energy Connection Program, approved by Order No. PSC-2021-0059-S-EI, to be included for recovery in 2023?</w:t>
      </w:r>
    </w:p>
    <w:p w:rsidR="00097757"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pPr>
      <w:r>
        <w:rPr>
          <w:b/>
        </w:rPr>
        <w:t>Stipulation:</w:t>
      </w:r>
      <w:r>
        <w:rPr>
          <w:b/>
        </w:rPr>
        <w:tab/>
      </w:r>
      <w:r>
        <w:t>$31,356,459.</w:t>
      </w:r>
    </w:p>
    <w:p w:rsidR="00097757" w:rsidRDefault="00097757" w:rsidP="00097757">
      <w:pPr>
        <w:autoSpaceDE w:val="0"/>
        <w:autoSpaceDN w:val="0"/>
        <w:adjustRightInd w:val="0"/>
        <w:ind w:left="1440" w:hanging="1440"/>
      </w:pPr>
    </w:p>
    <w:p w:rsidR="00097757" w:rsidRPr="00811B43" w:rsidRDefault="00097757" w:rsidP="00097757">
      <w:pPr>
        <w:autoSpaceDE w:val="0"/>
        <w:autoSpaceDN w:val="0"/>
        <w:adjustRightInd w:val="0"/>
        <w:ind w:left="1440" w:hanging="1440"/>
      </w:pPr>
      <w:r w:rsidRPr="00811B43">
        <w:rPr>
          <w:b/>
          <w:u w:val="single"/>
        </w:rPr>
        <w:t>ISSUE 1C</w:t>
      </w:r>
      <w:r>
        <w:rPr>
          <w:b/>
        </w:rPr>
        <w:t>:</w:t>
      </w:r>
      <w:r>
        <w:rPr>
          <w:b/>
        </w:rPr>
        <w:tab/>
      </w:r>
      <w:r>
        <w:t xml:space="preserve">Has DEF made appropriate </w:t>
      </w:r>
      <w:r w:rsidRPr="00811B43">
        <w:t xml:space="preserve">adjustments, if any are needed, to account for replacement power costs associated with the January 2021 to April 2021 outage in Bartow CC Unit 4A and/or the May 2021 to July 2021 outage in Bartow CC Unit 4C?  If appropriate adjustments are needed and have not been made, what adjustments should be performed? </w:t>
      </w:r>
    </w:p>
    <w:p w:rsidR="00097757"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pPr>
      <w:r>
        <w:rPr>
          <w:b/>
        </w:rPr>
        <w:t>Stipulation:</w:t>
      </w:r>
      <w:r>
        <w:rPr>
          <w:b/>
        </w:rPr>
        <w:tab/>
      </w:r>
      <w:r>
        <w:t>No adjustments are needed.</w:t>
      </w:r>
    </w:p>
    <w:p w:rsidR="00097757" w:rsidRDefault="00097757" w:rsidP="00097757">
      <w:pPr>
        <w:autoSpaceDE w:val="0"/>
        <w:autoSpaceDN w:val="0"/>
        <w:adjustRightInd w:val="0"/>
        <w:ind w:left="1440" w:hanging="1440"/>
      </w:pPr>
      <w:r w:rsidRPr="00147522">
        <w:rPr>
          <w:b/>
          <w:u w:val="single"/>
        </w:rPr>
        <w:lastRenderedPageBreak/>
        <w:t>ISSUE 1D</w:t>
      </w:r>
      <w:r w:rsidRPr="00147522">
        <w:rPr>
          <w:b/>
        </w:rPr>
        <w:t>:</w:t>
      </w:r>
      <w:r>
        <w:rPr>
          <w:b/>
        </w:rPr>
        <w:tab/>
      </w:r>
      <w:r>
        <w:t>What is the impact on this docket, if a decision is issued in Case SC20-1601 before January 1, 2023?</w:t>
      </w:r>
    </w:p>
    <w:p w:rsidR="00097757"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pPr>
      <w:r>
        <w:rPr>
          <w:b/>
        </w:rPr>
        <w:t>Stipulation:</w:t>
      </w:r>
      <w:r>
        <w:rPr>
          <w:b/>
        </w:rPr>
        <w:tab/>
      </w:r>
      <w:r>
        <w:t>There is no impact.  DEF has already recovered the costs and received a stay on the refund.</w:t>
      </w:r>
    </w:p>
    <w:p w:rsidR="00097757"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pPr>
      <w:r w:rsidRPr="00147522">
        <w:rPr>
          <w:b/>
          <w:u w:val="single"/>
        </w:rPr>
        <w:t>ISSUE 1</w:t>
      </w:r>
      <w:r>
        <w:rPr>
          <w:b/>
          <w:u w:val="single"/>
        </w:rPr>
        <w:t>E</w:t>
      </w:r>
      <w:r w:rsidRPr="00147522">
        <w:rPr>
          <w:b/>
        </w:rPr>
        <w:t>:</w:t>
      </w:r>
      <w:r>
        <w:rPr>
          <w:b/>
        </w:rPr>
        <w:tab/>
      </w:r>
      <w:r>
        <w:t>What is the impact on this docket, if a decision is issued in Case SC22-94 before January 1, 2023?</w:t>
      </w:r>
    </w:p>
    <w:p w:rsidR="00097757" w:rsidRDefault="00097757" w:rsidP="00097757">
      <w:pPr>
        <w:autoSpaceDE w:val="0"/>
        <w:autoSpaceDN w:val="0"/>
        <w:adjustRightInd w:val="0"/>
        <w:ind w:left="1440" w:hanging="1440"/>
      </w:pPr>
    </w:p>
    <w:p w:rsidR="00097757" w:rsidRPr="00E35FC5" w:rsidRDefault="00097757" w:rsidP="00097757">
      <w:pPr>
        <w:autoSpaceDE w:val="0"/>
        <w:autoSpaceDN w:val="0"/>
        <w:adjustRightInd w:val="0"/>
        <w:ind w:left="1440" w:hanging="1440"/>
      </w:pPr>
      <w:r>
        <w:rPr>
          <w:b/>
        </w:rPr>
        <w:t>Stipulation:</w:t>
      </w:r>
      <w:r>
        <w:rPr>
          <w:b/>
        </w:rPr>
        <w:tab/>
      </w:r>
      <w:r>
        <w:t>Currently there is no impact as this case is still pending before the Florida Supreme Court.</w:t>
      </w:r>
    </w:p>
    <w:p w:rsidR="00097757"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pPr>
      <w:r w:rsidRPr="00147522">
        <w:rPr>
          <w:b/>
          <w:u w:val="single"/>
        </w:rPr>
        <w:t>ISSUE 1</w:t>
      </w:r>
      <w:r>
        <w:rPr>
          <w:b/>
          <w:u w:val="single"/>
        </w:rPr>
        <w:t>F</w:t>
      </w:r>
      <w:r>
        <w:rPr>
          <w:b/>
        </w:rPr>
        <w:t>:</w:t>
      </w:r>
      <w:r>
        <w:rPr>
          <w:b/>
        </w:rPr>
        <w:tab/>
      </w:r>
      <w:r>
        <w:t>If the decision in Case SC22-94 requires the return of replacement power costs to customers, what interest amount should be applied?</w:t>
      </w:r>
    </w:p>
    <w:p w:rsidR="00097757"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pPr>
      <w:r>
        <w:rPr>
          <w:b/>
        </w:rPr>
        <w:t>Stipulation:</w:t>
      </w:r>
      <w:r>
        <w:rPr>
          <w:b/>
        </w:rPr>
        <w:tab/>
      </w:r>
      <w:r>
        <w:t>This issue is not ripe for a decision at this time.</w:t>
      </w:r>
    </w:p>
    <w:p w:rsidR="00097757"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rPr>
          <w:b/>
        </w:rPr>
      </w:pPr>
      <w:r>
        <w:rPr>
          <w:b/>
          <w:u w:val="single"/>
        </w:rPr>
        <w:t>ISSUE 1G</w:t>
      </w:r>
      <w:r>
        <w:rPr>
          <w:b/>
        </w:rPr>
        <w:t>:</w:t>
      </w:r>
      <w:r>
        <w:rPr>
          <w:b/>
        </w:rPr>
        <w:tab/>
      </w:r>
      <w:r w:rsidRPr="00811B43">
        <w:t>Has DEF made appropriate adjustments, if any are needed, to account for replacement power costs associated with the March 2022 outage at Hines Unit 4?  If appropriate adjustments are needed and have not been made, what adjustments should be performed?</w:t>
      </w:r>
    </w:p>
    <w:p w:rsidR="00097757" w:rsidRDefault="00097757" w:rsidP="00097757">
      <w:pPr>
        <w:autoSpaceDE w:val="0"/>
        <w:autoSpaceDN w:val="0"/>
        <w:adjustRightInd w:val="0"/>
        <w:ind w:left="1440" w:hanging="1440"/>
        <w:rPr>
          <w:b/>
        </w:rPr>
      </w:pPr>
    </w:p>
    <w:p w:rsidR="00097757" w:rsidRPr="00811B43" w:rsidRDefault="00097757" w:rsidP="00097757">
      <w:pPr>
        <w:autoSpaceDE w:val="0"/>
        <w:autoSpaceDN w:val="0"/>
        <w:adjustRightInd w:val="0"/>
        <w:ind w:left="1440" w:hanging="1440"/>
      </w:pPr>
      <w:r>
        <w:rPr>
          <w:b/>
        </w:rPr>
        <w:t>Stipulation:</w:t>
      </w:r>
      <w:r>
        <w:rPr>
          <w:b/>
        </w:rPr>
        <w:tab/>
      </w:r>
      <w:r>
        <w:t>No adjustments are needed.</w:t>
      </w:r>
    </w:p>
    <w:p w:rsidR="00097757" w:rsidRPr="00811B43" w:rsidRDefault="00097757" w:rsidP="00097757">
      <w:pPr>
        <w:autoSpaceDE w:val="0"/>
        <w:autoSpaceDN w:val="0"/>
        <w:adjustRightInd w:val="0"/>
        <w:ind w:left="1440" w:hanging="1440"/>
      </w:pPr>
    </w:p>
    <w:p w:rsidR="00097757" w:rsidRPr="00BF6EBB" w:rsidRDefault="00097757" w:rsidP="00097757">
      <w:pPr>
        <w:autoSpaceDE w:val="0"/>
        <w:autoSpaceDN w:val="0"/>
        <w:adjustRightInd w:val="0"/>
        <w:ind w:left="1440" w:hanging="1440"/>
        <w:rPr>
          <w:b/>
          <w:u w:val="single"/>
        </w:rPr>
      </w:pPr>
      <w:r w:rsidRPr="00BF6EBB">
        <w:rPr>
          <w:b/>
        </w:rPr>
        <w:t>Florida Power &amp; Light</w:t>
      </w:r>
      <w:r>
        <w:rPr>
          <w:b/>
        </w:rPr>
        <w:t xml:space="preserve"> Company</w:t>
      </w:r>
    </w:p>
    <w:p w:rsidR="00097757" w:rsidRDefault="00097757" w:rsidP="00097757">
      <w:pPr>
        <w:autoSpaceDE w:val="0"/>
        <w:autoSpaceDN w:val="0"/>
        <w:adjustRightInd w:val="0"/>
        <w:ind w:left="1440" w:hanging="1440"/>
        <w:rPr>
          <w:b/>
          <w:u w:val="single"/>
        </w:rPr>
      </w:pPr>
    </w:p>
    <w:p w:rsidR="00097757" w:rsidRPr="00BF6EBB" w:rsidRDefault="00097757" w:rsidP="00097757">
      <w:pPr>
        <w:autoSpaceDE w:val="0"/>
        <w:autoSpaceDN w:val="0"/>
        <w:adjustRightInd w:val="0"/>
        <w:ind w:left="1440" w:hanging="1440"/>
      </w:pPr>
      <w:r w:rsidRPr="00BF6EBB">
        <w:rPr>
          <w:b/>
          <w:u w:val="single"/>
        </w:rPr>
        <w:t>ISSUE 2</w:t>
      </w:r>
      <w:r>
        <w:rPr>
          <w:b/>
          <w:u w:val="single"/>
        </w:rPr>
        <w:t>A</w:t>
      </w:r>
      <w:r w:rsidRPr="00BF6EBB">
        <w:rPr>
          <w:b/>
          <w:u w:val="single"/>
        </w:rPr>
        <w:t>:</w:t>
      </w:r>
      <w:r w:rsidRPr="00BF6EBB">
        <w:t xml:space="preserve"> </w:t>
      </w:r>
      <w:r w:rsidRPr="00BF6EBB">
        <w:tab/>
        <w:t>What was the total gain under FPL’s Incentive Mechanism approved by Order No. PSC-2016-0560-AS-EI that FPL may recover for the period January 20</w:t>
      </w:r>
      <w:r>
        <w:t>21</w:t>
      </w:r>
      <w:r w:rsidRPr="00BF6EBB">
        <w:t xml:space="preserve"> through December 20</w:t>
      </w:r>
      <w:r>
        <w:t>21</w:t>
      </w:r>
      <w:r w:rsidRPr="00BF6EBB">
        <w:t>, and how should that gain to be shared between FPL and customers?                                                                                         </w:t>
      </w:r>
    </w:p>
    <w:p w:rsidR="00097757" w:rsidRDefault="00097757" w:rsidP="00097757"/>
    <w:p w:rsidR="00097757" w:rsidRPr="006100D4" w:rsidRDefault="00097757" w:rsidP="00097757">
      <w:pPr>
        <w:ind w:left="720" w:hanging="720"/>
      </w:pPr>
      <w:r w:rsidRPr="006100D4">
        <w:rPr>
          <w:b/>
        </w:rPr>
        <w:t>Stipulation:</w:t>
      </w:r>
      <w:r w:rsidRPr="006100D4">
        <w:tab/>
        <w:t xml:space="preserve">The total gain is $63,092,506 with $49,237,003 given to customers and </w:t>
      </w:r>
      <w:r w:rsidRPr="006100D4">
        <w:tab/>
        <w:t>$13,855,504 given to the Company.</w:t>
      </w:r>
    </w:p>
    <w:p w:rsidR="00097757" w:rsidRPr="006100D4" w:rsidRDefault="00097757" w:rsidP="00097757"/>
    <w:p w:rsidR="00097757" w:rsidRPr="00BF6EBB" w:rsidRDefault="00097757" w:rsidP="00097757">
      <w:pPr>
        <w:autoSpaceDE w:val="0"/>
        <w:autoSpaceDN w:val="0"/>
        <w:adjustRightInd w:val="0"/>
        <w:ind w:left="1440" w:hanging="1440"/>
      </w:pPr>
      <w:r w:rsidRPr="00BF6EBB">
        <w:rPr>
          <w:b/>
          <w:u w:val="single"/>
        </w:rPr>
        <w:t>ISSUE 2</w:t>
      </w:r>
      <w:r>
        <w:rPr>
          <w:b/>
          <w:u w:val="single"/>
        </w:rPr>
        <w:t>B</w:t>
      </w:r>
      <w:r w:rsidRPr="00BF6EBB">
        <w:rPr>
          <w:b/>
          <w:u w:val="single"/>
        </w:rPr>
        <w:t>:</w:t>
      </w:r>
      <w:r w:rsidRPr="00BF6EBB">
        <w:tab/>
        <w:t>What is the appropriate amount of Incremental Optimization Costs under FPL’s Incentive Mechanism approved by Order No. PSC-2016-0560-AS-EI that FPL should be allowed to recover through the fuel clause for Personnel, Software, and Hardware costs for the period January 20</w:t>
      </w:r>
      <w:r>
        <w:t>21</w:t>
      </w:r>
      <w:r w:rsidRPr="00BF6EBB">
        <w:t xml:space="preserve"> through December 20</w:t>
      </w:r>
      <w:r>
        <w:t>21</w:t>
      </w:r>
      <w:r w:rsidRPr="00BF6EBB">
        <w:t xml:space="preserve">?                                                                      </w:t>
      </w:r>
    </w:p>
    <w:p w:rsidR="00097757" w:rsidRDefault="00097757" w:rsidP="00097757"/>
    <w:p w:rsidR="00097757" w:rsidRDefault="00097757" w:rsidP="00097757">
      <w:pPr>
        <w:rPr>
          <w:b/>
        </w:rPr>
      </w:pPr>
      <w:r>
        <w:rPr>
          <w:b/>
        </w:rPr>
        <w:t>Stipulation:</w:t>
      </w:r>
      <w:r>
        <w:rPr>
          <w:b/>
        </w:rPr>
        <w:tab/>
      </w:r>
      <w:r w:rsidRPr="006100D4">
        <w:t>$495,972.</w:t>
      </w:r>
    </w:p>
    <w:p w:rsidR="00097757" w:rsidRPr="002B2714" w:rsidRDefault="00097757" w:rsidP="00097757"/>
    <w:p w:rsidR="00097757" w:rsidRPr="00BF6EBB" w:rsidRDefault="00097757" w:rsidP="00097757">
      <w:pPr>
        <w:autoSpaceDE w:val="0"/>
        <w:autoSpaceDN w:val="0"/>
        <w:adjustRightInd w:val="0"/>
        <w:ind w:left="1440" w:hanging="1440"/>
      </w:pPr>
      <w:r w:rsidRPr="00BF6EBB">
        <w:rPr>
          <w:b/>
          <w:u w:val="single"/>
        </w:rPr>
        <w:t>ISSUE 2</w:t>
      </w:r>
      <w:r>
        <w:rPr>
          <w:b/>
          <w:u w:val="single"/>
        </w:rPr>
        <w:t>C</w:t>
      </w:r>
      <w:r w:rsidRPr="00BF6EBB">
        <w:rPr>
          <w:b/>
          <w:u w:val="single"/>
        </w:rPr>
        <w:t>:</w:t>
      </w:r>
      <w:r w:rsidRPr="00BF6EBB">
        <w:tab/>
        <w:t>What is the appropriate amount of Variable Power Plant O&amp;M Attributable to Off-System Sales under FPL’s Incentive Mechanism approved by Order No. PSC-2016-0560-AS-EI that FPL should be allowed to recover through the fuel clause for the period January 20</w:t>
      </w:r>
      <w:r>
        <w:t>21</w:t>
      </w:r>
      <w:r w:rsidRPr="00BF6EBB">
        <w:t xml:space="preserve"> through December 20</w:t>
      </w:r>
      <w:r>
        <w:t>21</w:t>
      </w:r>
      <w:r w:rsidRPr="00BF6EBB">
        <w:t>?</w:t>
      </w:r>
    </w:p>
    <w:p w:rsidR="00097757" w:rsidRDefault="00097757" w:rsidP="00097757">
      <w:pPr>
        <w:rPr>
          <w:b/>
        </w:rPr>
      </w:pPr>
      <w:r>
        <w:rPr>
          <w:b/>
        </w:rPr>
        <w:lastRenderedPageBreak/>
        <w:t>Stipulation:</w:t>
      </w:r>
      <w:r>
        <w:rPr>
          <w:b/>
        </w:rPr>
        <w:tab/>
      </w:r>
      <w:r w:rsidRPr="006100D4">
        <w:t>$2,103,997.</w:t>
      </w:r>
    </w:p>
    <w:p w:rsidR="00097757" w:rsidRPr="002B2714" w:rsidRDefault="00097757" w:rsidP="00097757"/>
    <w:p w:rsidR="00097757" w:rsidRDefault="00097757" w:rsidP="00097757">
      <w:pPr>
        <w:autoSpaceDE w:val="0"/>
        <w:autoSpaceDN w:val="0"/>
        <w:adjustRightInd w:val="0"/>
        <w:ind w:left="1440" w:hanging="1440"/>
      </w:pPr>
      <w:r w:rsidRPr="00BF6EBB">
        <w:rPr>
          <w:b/>
          <w:u w:val="single"/>
        </w:rPr>
        <w:t>ISSUE 2</w:t>
      </w:r>
      <w:r>
        <w:rPr>
          <w:b/>
          <w:u w:val="single"/>
        </w:rPr>
        <w:t>D</w:t>
      </w:r>
      <w:r w:rsidRPr="00BF6EBB">
        <w:rPr>
          <w:b/>
          <w:u w:val="single"/>
        </w:rPr>
        <w:t>:</w:t>
      </w:r>
      <w:r w:rsidRPr="00BF6EBB">
        <w:tab/>
        <w:t>What is the appropriate amount of Variable Power Plant O&amp;M Avoided due to Economy Purchases under FPL’s Incentive Mechanism approved by Order No. PSC-2016-0560-AS-EI that FPL should be allowed to recover through the fuel clause for the period January 20</w:t>
      </w:r>
      <w:r>
        <w:t>21</w:t>
      </w:r>
      <w:r w:rsidRPr="00BF6EBB">
        <w:t xml:space="preserve"> through December 20</w:t>
      </w:r>
      <w:r>
        <w:t>21</w:t>
      </w:r>
      <w:r w:rsidRPr="00BF6EBB">
        <w:t xml:space="preserve">? </w:t>
      </w:r>
    </w:p>
    <w:p w:rsidR="00097757"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rPr>
          <w:b/>
        </w:rPr>
      </w:pPr>
      <w:r>
        <w:rPr>
          <w:b/>
        </w:rPr>
        <w:t>Stipulation:</w:t>
      </w:r>
      <w:r>
        <w:rPr>
          <w:b/>
        </w:rPr>
        <w:tab/>
      </w:r>
      <w:r w:rsidRPr="006100D4">
        <w:t>$256,452.</w:t>
      </w:r>
    </w:p>
    <w:p w:rsidR="00097757" w:rsidRPr="006100D4" w:rsidRDefault="00097757" w:rsidP="00097757">
      <w:pPr>
        <w:autoSpaceDE w:val="0"/>
        <w:autoSpaceDN w:val="0"/>
        <w:adjustRightInd w:val="0"/>
        <w:ind w:left="1440" w:hanging="1440"/>
        <w:rPr>
          <w:b/>
        </w:rPr>
      </w:pPr>
    </w:p>
    <w:p w:rsidR="00097757" w:rsidRDefault="00097757" w:rsidP="00097757">
      <w:pPr>
        <w:autoSpaceDE w:val="0"/>
        <w:autoSpaceDN w:val="0"/>
        <w:adjustRightInd w:val="0"/>
        <w:ind w:left="1440" w:hanging="1440"/>
      </w:pPr>
      <w:r>
        <w:rPr>
          <w:b/>
          <w:u w:val="single"/>
        </w:rPr>
        <w:t>ISSUE 2E</w:t>
      </w:r>
      <w:r>
        <w:rPr>
          <w:b/>
        </w:rPr>
        <w:t>:</w:t>
      </w:r>
      <w:r>
        <w:rPr>
          <w:b/>
        </w:rPr>
        <w:tab/>
      </w:r>
      <w:r>
        <w:t>What is the appropriate subscription credit associated with FPL’s SolarTogether Program approved by Order No. PSC-2020-0084-S-EI, to be included for recovery in 2023?</w:t>
      </w:r>
    </w:p>
    <w:p w:rsidR="00097757" w:rsidRDefault="00097757" w:rsidP="00097757">
      <w:pPr>
        <w:autoSpaceDE w:val="0"/>
        <w:autoSpaceDN w:val="0"/>
        <w:adjustRightInd w:val="0"/>
        <w:ind w:left="1440" w:hanging="1440"/>
      </w:pPr>
    </w:p>
    <w:p w:rsidR="00097757" w:rsidRPr="006100D4" w:rsidRDefault="00097757" w:rsidP="00097757">
      <w:pPr>
        <w:autoSpaceDE w:val="0"/>
        <w:autoSpaceDN w:val="0"/>
        <w:adjustRightInd w:val="0"/>
        <w:ind w:left="1440" w:hanging="1440"/>
      </w:pPr>
      <w:r>
        <w:rPr>
          <w:b/>
        </w:rPr>
        <w:t>Stipulation:</w:t>
      </w:r>
      <w:r>
        <w:rPr>
          <w:b/>
        </w:rPr>
        <w:tab/>
      </w:r>
      <w:r w:rsidRPr="006100D4">
        <w:t>$143,020,130.</w:t>
      </w:r>
    </w:p>
    <w:p w:rsidR="00097757" w:rsidRPr="006100D4"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pPr>
      <w:r>
        <w:rPr>
          <w:b/>
          <w:u w:val="single"/>
        </w:rPr>
        <w:t>ISSUE 2F</w:t>
      </w:r>
      <w:r>
        <w:rPr>
          <w:b/>
        </w:rPr>
        <w:t>:</w:t>
      </w:r>
      <w:r>
        <w:tab/>
        <w:t xml:space="preserve">Should the Commission approve FPL’s 2023 Risk Management Plan? </w:t>
      </w:r>
    </w:p>
    <w:p w:rsidR="00097757"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pPr>
      <w:r>
        <w:rPr>
          <w:b/>
        </w:rPr>
        <w:t>Stipulation:</w:t>
      </w:r>
      <w:r>
        <w:rPr>
          <w:b/>
        </w:rPr>
        <w:tab/>
      </w:r>
      <w:r>
        <w:t>Yes.</w:t>
      </w:r>
    </w:p>
    <w:p w:rsidR="00097757" w:rsidRPr="00147522" w:rsidRDefault="00097757" w:rsidP="00097757">
      <w:pPr>
        <w:autoSpaceDE w:val="0"/>
        <w:autoSpaceDN w:val="0"/>
        <w:adjustRightInd w:val="0"/>
        <w:rPr>
          <w:bCs/>
        </w:rPr>
      </w:pPr>
    </w:p>
    <w:p w:rsidR="00097757" w:rsidRPr="00BF6EBB" w:rsidRDefault="00097757" w:rsidP="00097757">
      <w:pPr>
        <w:rPr>
          <w:b/>
          <w:bCs/>
        </w:rPr>
      </w:pPr>
      <w:r w:rsidRPr="00BF6EBB">
        <w:rPr>
          <w:b/>
          <w:bCs/>
        </w:rPr>
        <w:t xml:space="preserve">Tampa Electric Company </w:t>
      </w:r>
    </w:p>
    <w:p w:rsidR="00097757" w:rsidRPr="00BF6EBB" w:rsidRDefault="00097757" w:rsidP="00097757">
      <w:pPr>
        <w:autoSpaceDE w:val="0"/>
        <w:autoSpaceDN w:val="0"/>
        <w:adjustRightInd w:val="0"/>
        <w:rPr>
          <w:bCs/>
        </w:rPr>
      </w:pPr>
    </w:p>
    <w:p w:rsidR="00097757" w:rsidRDefault="00097757" w:rsidP="00097757">
      <w:pPr>
        <w:autoSpaceDE w:val="0"/>
        <w:autoSpaceDN w:val="0"/>
        <w:adjustRightInd w:val="0"/>
        <w:ind w:left="1440" w:hanging="1440"/>
      </w:pPr>
      <w:r w:rsidRPr="00BF6EBB">
        <w:rPr>
          <w:b/>
          <w:u w:val="single"/>
        </w:rPr>
        <w:t xml:space="preserve">ISSUE </w:t>
      </w:r>
      <w:r>
        <w:rPr>
          <w:b/>
          <w:u w:val="single"/>
        </w:rPr>
        <w:t>4</w:t>
      </w:r>
      <w:r w:rsidRPr="00520C62">
        <w:rPr>
          <w:b/>
          <w:u w:val="single"/>
        </w:rPr>
        <w:t>A</w:t>
      </w:r>
      <w:r w:rsidRPr="00BF6EBB">
        <w:rPr>
          <w:b/>
        </w:rPr>
        <w:t>:</w:t>
      </w:r>
      <w:r w:rsidRPr="00BF6EBB">
        <w:t xml:space="preserve"> </w:t>
      </w:r>
      <w:r w:rsidRPr="00BF6EBB">
        <w:tab/>
        <w:t xml:space="preserve">What was the total gain under TECO’s Optimization Mechanism approved by Order No. PSC-2017-0456-S-EI that TECO may recover for the period January </w:t>
      </w:r>
      <w:r>
        <w:t>2021</w:t>
      </w:r>
      <w:r w:rsidRPr="00BF6EBB">
        <w:t xml:space="preserve"> through December </w:t>
      </w:r>
      <w:r>
        <w:t>2021</w:t>
      </w:r>
      <w:r w:rsidRPr="00BF6EBB">
        <w:t xml:space="preserve">, and how should that gain to be shared between TECO and customers? </w:t>
      </w:r>
    </w:p>
    <w:p w:rsidR="00097757" w:rsidRPr="00BF6EBB" w:rsidRDefault="00097757" w:rsidP="00097757">
      <w:pPr>
        <w:autoSpaceDE w:val="0"/>
        <w:autoSpaceDN w:val="0"/>
        <w:adjustRightInd w:val="0"/>
        <w:ind w:left="1440" w:hanging="1440"/>
        <w:rPr>
          <w:b/>
          <w:bCs/>
          <w:u w:val="single"/>
        </w:rPr>
      </w:pPr>
    </w:p>
    <w:p w:rsidR="00097757" w:rsidRDefault="00097757" w:rsidP="00097757">
      <w:pPr>
        <w:tabs>
          <w:tab w:val="left" w:pos="8571"/>
        </w:tabs>
        <w:autoSpaceDE w:val="0"/>
        <w:autoSpaceDN w:val="0"/>
        <w:adjustRightInd w:val="0"/>
        <w:ind w:left="1440" w:hanging="1440"/>
      </w:pPr>
      <w:r>
        <w:rPr>
          <w:b/>
        </w:rPr>
        <w:t>Stipulation:</w:t>
      </w:r>
      <w:r>
        <w:rPr>
          <w:b/>
        </w:rPr>
        <w:tab/>
      </w:r>
      <w:r w:rsidRPr="00AA74BD">
        <w:t>T</w:t>
      </w:r>
      <w:r>
        <w:t>he optimization gains for 2021 were $13,439,732.  Customer benefits were $8,619,866 and Company benefits were $4,819,866.</w:t>
      </w:r>
    </w:p>
    <w:p w:rsidR="00097757" w:rsidRDefault="00097757" w:rsidP="00097757">
      <w:pPr>
        <w:rPr>
          <w:b/>
          <w:u w:val="single"/>
        </w:rPr>
      </w:pPr>
    </w:p>
    <w:p w:rsidR="00097757" w:rsidRDefault="00097757" w:rsidP="00097757">
      <w:r w:rsidRPr="000D5CEB">
        <w:rPr>
          <w:b/>
          <w:u w:val="single"/>
        </w:rPr>
        <w:t xml:space="preserve">ISSUE </w:t>
      </w:r>
      <w:r>
        <w:rPr>
          <w:b/>
          <w:u w:val="single"/>
        </w:rPr>
        <w:t>4</w:t>
      </w:r>
      <w:r w:rsidRPr="000D5CEB">
        <w:rPr>
          <w:b/>
          <w:u w:val="single"/>
        </w:rPr>
        <w:t>B</w:t>
      </w:r>
      <w:r w:rsidRPr="000D5CEB">
        <w:rPr>
          <w:b/>
        </w:rPr>
        <w:t>:</w:t>
      </w:r>
      <w:r>
        <w:rPr>
          <w:b/>
        </w:rPr>
        <w:tab/>
      </w:r>
      <w:r w:rsidRPr="000D5CEB">
        <w:t xml:space="preserve">Should the Commission </w:t>
      </w:r>
      <w:r>
        <w:t xml:space="preserve">approve TECO’s 2023 Risk Management Plan? </w:t>
      </w:r>
    </w:p>
    <w:p w:rsidR="00097757" w:rsidRDefault="00097757" w:rsidP="00097757">
      <w:pPr>
        <w:tabs>
          <w:tab w:val="left" w:pos="8571"/>
        </w:tabs>
        <w:autoSpaceDE w:val="0"/>
        <w:autoSpaceDN w:val="0"/>
        <w:adjustRightInd w:val="0"/>
        <w:ind w:left="1440" w:hanging="1440"/>
      </w:pPr>
    </w:p>
    <w:p w:rsidR="00097757" w:rsidRPr="00AA74BD" w:rsidRDefault="00097757" w:rsidP="00097757">
      <w:pPr>
        <w:tabs>
          <w:tab w:val="left" w:pos="8571"/>
        </w:tabs>
        <w:autoSpaceDE w:val="0"/>
        <w:autoSpaceDN w:val="0"/>
        <w:adjustRightInd w:val="0"/>
        <w:ind w:left="1440" w:hanging="1440"/>
      </w:pPr>
      <w:r>
        <w:rPr>
          <w:b/>
        </w:rPr>
        <w:t>Stipulation:</w:t>
      </w:r>
      <w:r>
        <w:rPr>
          <w:b/>
        </w:rPr>
        <w:tab/>
      </w:r>
      <w:r>
        <w:t>Yes.</w:t>
      </w:r>
    </w:p>
    <w:p w:rsidR="00097757" w:rsidRDefault="00097757" w:rsidP="00097757">
      <w:pPr>
        <w:tabs>
          <w:tab w:val="left" w:pos="8571"/>
        </w:tabs>
        <w:autoSpaceDE w:val="0"/>
        <w:autoSpaceDN w:val="0"/>
        <w:adjustRightInd w:val="0"/>
        <w:ind w:left="1440" w:hanging="1440"/>
        <w:rPr>
          <w:b/>
        </w:rPr>
      </w:pPr>
    </w:p>
    <w:p w:rsidR="00097757" w:rsidRDefault="00097757" w:rsidP="00097757">
      <w:pPr>
        <w:tabs>
          <w:tab w:val="left" w:pos="8571"/>
        </w:tabs>
        <w:autoSpaceDE w:val="0"/>
        <w:autoSpaceDN w:val="0"/>
        <w:adjustRightInd w:val="0"/>
        <w:ind w:left="1440" w:hanging="1440"/>
      </w:pPr>
      <w:r>
        <w:rPr>
          <w:b/>
          <w:u w:val="single"/>
        </w:rPr>
        <w:t>ISSUE 4C</w:t>
      </w:r>
      <w:r>
        <w:rPr>
          <w:b/>
        </w:rPr>
        <w:t>:</w:t>
      </w:r>
      <w:r>
        <w:rPr>
          <w:b/>
        </w:rPr>
        <w:tab/>
      </w:r>
      <w:r>
        <w:t>Has TECO made the appropriate adjustments, if any are needed, to account for replacement power costs associated with ay outages that occurred during 2021 and 2022?  If appropriate adjustments are needed and have not been made, what adjustments should be performed?</w:t>
      </w:r>
    </w:p>
    <w:p w:rsidR="00097757" w:rsidRDefault="00097757" w:rsidP="00097757">
      <w:pPr>
        <w:tabs>
          <w:tab w:val="left" w:pos="8571"/>
        </w:tabs>
        <w:autoSpaceDE w:val="0"/>
        <w:autoSpaceDN w:val="0"/>
        <w:adjustRightInd w:val="0"/>
        <w:ind w:left="1440" w:hanging="1440"/>
      </w:pPr>
    </w:p>
    <w:p w:rsidR="00097757" w:rsidRPr="00734911" w:rsidRDefault="00097757" w:rsidP="00097757">
      <w:pPr>
        <w:tabs>
          <w:tab w:val="left" w:pos="8571"/>
        </w:tabs>
        <w:autoSpaceDE w:val="0"/>
        <w:autoSpaceDN w:val="0"/>
        <w:adjustRightInd w:val="0"/>
        <w:ind w:left="1440" w:hanging="1440"/>
      </w:pPr>
      <w:r>
        <w:rPr>
          <w:b/>
        </w:rPr>
        <w:t>Stipulation:</w:t>
      </w:r>
      <w:r>
        <w:rPr>
          <w:b/>
        </w:rPr>
        <w:tab/>
      </w:r>
      <w:r>
        <w:t>The appropriate adjustment is a reduction of $104,000.</w:t>
      </w:r>
    </w:p>
    <w:p w:rsidR="00097757" w:rsidRDefault="00097757" w:rsidP="00097757">
      <w:pPr>
        <w:tabs>
          <w:tab w:val="left" w:pos="8571"/>
        </w:tabs>
        <w:autoSpaceDE w:val="0"/>
        <w:autoSpaceDN w:val="0"/>
        <w:adjustRightInd w:val="0"/>
        <w:ind w:left="1440" w:hanging="1440"/>
        <w:rPr>
          <w:b/>
        </w:rPr>
      </w:pPr>
    </w:p>
    <w:p w:rsidR="00097757" w:rsidRPr="00BF6EBB" w:rsidRDefault="00097757" w:rsidP="00097757">
      <w:pPr>
        <w:tabs>
          <w:tab w:val="left" w:pos="8571"/>
        </w:tabs>
        <w:autoSpaceDE w:val="0"/>
        <w:autoSpaceDN w:val="0"/>
        <w:adjustRightInd w:val="0"/>
        <w:ind w:left="1440" w:hanging="1440"/>
        <w:rPr>
          <w:b/>
        </w:rPr>
      </w:pPr>
      <w:r w:rsidRPr="00BF6EBB">
        <w:rPr>
          <w:b/>
        </w:rPr>
        <w:t>GENERIC FUEL ADJUSTMENT ISSUES</w:t>
      </w:r>
    </w:p>
    <w:p w:rsidR="00097757" w:rsidRPr="00BF6EBB" w:rsidRDefault="00097757" w:rsidP="00097757">
      <w:pPr>
        <w:tabs>
          <w:tab w:val="left" w:pos="8571"/>
        </w:tabs>
        <w:autoSpaceDE w:val="0"/>
        <w:autoSpaceDN w:val="0"/>
        <w:adjustRightInd w:val="0"/>
        <w:ind w:left="1440" w:hanging="1440"/>
      </w:pPr>
    </w:p>
    <w:p w:rsidR="00097757" w:rsidRDefault="00097757" w:rsidP="00097757">
      <w:pPr>
        <w:autoSpaceDE w:val="0"/>
        <w:autoSpaceDN w:val="0"/>
        <w:adjustRightInd w:val="0"/>
        <w:ind w:left="1440" w:hanging="1440"/>
      </w:pPr>
      <w:r w:rsidRPr="00BF6EBB">
        <w:rPr>
          <w:b/>
          <w:bCs/>
          <w:u w:val="single"/>
        </w:rPr>
        <w:t xml:space="preserve">ISSUE </w:t>
      </w:r>
      <w:r>
        <w:rPr>
          <w:b/>
          <w:bCs/>
          <w:u w:val="single"/>
        </w:rPr>
        <w:t>5</w:t>
      </w:r>
      <w:r w:rsidRPr="00BF6EBB">
        <w:t>:</w:t>
      </w:r>
      <w:r w:rsidRPr="00BF6EBB">
        <w:tab/>
        <w:t>What are the appropriate actual benchmark levels for calendar year 202</w:t>
      </w:r>
      <w:r>
        <w:t>2</w:t>
      </w:r>
      <w:r w:rsidRPr="00BF6EBB">
        <w:t xml:space="preserve"> for gains on non-separated wholesale energy sales eligible for a shareholder incentive? </w:t>
      </w:r>
    </w:p>
    <w:p w:rsidR="00097757"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pPr>
      <w:r>
        <w:rPr>
          <w:b/>
        </w:rPr>
        <w:lastRenderedPageBreak/>
        <w:t>Stipulation:</w:t>
      </w:r>
      <w:r>
        <w:rPr>
          <w:b/>
        </w:rPr>
        <w:tab/>
      </w:r>
    </w:p>
    <w:p w:rsidR="00097757" w:rsidRDefault="00097757" w:rsidP="00097757">
      <w:pPr>
        <w:ind w:left="1440" w:hanging="1440"/>
        <w:rPr>
          <w:bCs/>
        </w:rPr>
      </w:pPr>
      <w:r w:rsidRPr="00AA74BD">
        <w:rPr>
          <w:bCs/>
        </w:rPr>
        <w:t>DEF:</w:t>
      </w:r>
      <w:r>
        <w:rPr>
          <w:bCs/>
        </w:rPr>
        <w:tab/>
        <w:t>$1,909,411.</w:t>
      </w:r>
    </w:p>
    <w:p w:rsidR="00097757" w:rsidRDefault="00097757" w:rsidP="00097757">
      <w:pPr>
        <w:ind w:left="1440" w:hanging="1440"/>
        <w:rPr>
          <w:bCs/>
        </w:rPr>
      </w:pPr>
    </w:p>
    <w:p w:rsidR="00097757" w:rsidRDefault="00097757" w:rsidP="00097757">
      <w:pPr>
        <w:ind w:left="1440" w:hanging="1440"/>
        <w:rPr>
          <w:bCs/>
        </w:rPr>
      </w:pPr>
      <w:r>
        <w:rPr>
          <w:bCs/>
        </w:rPr>
        <w:t>FPL:</w:t>
      </w:r>
      <w:r>
        <w:rPr>
          <w:bCs/>
        </w:rPr>
        <w:tab/>
        <w:t>N/A</w:t>
      </w:r>
    </w:p>
    <w:p w:rsidR="00097757" w:rsidRDefault="00097757" w:rsidP="00097757">
      <w:pPr>
        <w:ind w:left="1440" w:hanging="1440"/>
        <w:rPr>
          <w:bCs/>
        </w:rPr>
      </w:pPr>
    </w:p>
    <w:p w:rsidR="00097757" w:rsidRDefault="00097757" w:rsidP="00097757">
      <w:pPr>
        <w:ind w:left="1440" w:hanging="1440"/>
        <w:rPr>
          <w:bCs/>
        </w:rPr>
      </w:pPr>
      <w:r>
        <w:rPr>
          <w:bCs/>
        </w:rPr>
        <w:t>TECO:</w:t>
      </w:r>
      <w:r>
        <w:rPr>
          <w:bCs/>
        </w:rPr>
        <w:tab/>
        <w:t>N/A</w:t>
      </w:r>
    </w:p>
    <w:p w:rsidR="00097757" w:rsidRPr="00AA74BD" w:rsidRDefault="00097757" w:rsidP="00097757">
      <w:pPr>
        <w:ind w:left="1440" w:hanging="1440"/>
        <w:rPr>
          <w:bCs/>
        </w:rPr>
      </w:pPr>
    </w:p>
    <w:p w:rsidR="00097757" w:rsidRPr="00BF6EBB" w:rsidRDefault="00097757" w:rsidP="00097757">
      <w:pPr>
        <w:ind w:left="1440" w:hanging="1440"/>
        <w:rPr>
          <w:b/>
          <w:bCs/>
          <w:u w:val="single"/>
        </w:rPr>
      </w:pPr>
      <w:r w:rsidRPr="00BF6EBB">
        <w:rPr>
          <w:b/>
          <w:bCs/>
          <w:u w:val="single"/>
        </w:rPr>
        <w:t xml:space="preserve">ISSUE </w:t>
      </w:r>
      <w:r>
        <w:rPr>
          <w:b/>
          <w:bCs/>
          <w:u w:val="single"/>
        </w:rPr>
        <w:t>6</w:t>
      </w:r>
      <w:r w:rsidRPr="00BF6EBB">
        <w:t>:</w:t>
      </w:r>
      <w:r w:rsidRPr="00BF6EBB">
        <w:tab/>
        <w:t>What are the appropriate estimated benchmark levels for calendar year 202</w:t>
      </w:r>
      <w:r>
        <w:t xml:space="preserve">3 </w:t>
      </w:r>
      <w:r w:rsidRPr="00BF6EBB">
        <w:t xml:space="preserve">for gains on non-separated wholesale energy sales eligible for a shareholder incentive? </w:t>
      </w:r>
    </w:p>
    <w:p w:rsidR="00097757" w:rsidRDefault="00097757" w:rsidP="00097757">
      <w:pPr>
        <w:autoSpaceDE w:val="0"/>
        <w:autoSpaceDN w:val="0"/>
        <w:adjustRightInd w:val="0"/>
        <w:ind w:left="1440" w:hanging="1440"/>
        <w:rPr>
          <w:b/>
          <w:bCs/>
          <w:u w:val="single"/>
        </w:rPr>
      </w:pPr>
    </w:p>
    <w:p w:rsidR="00097757" w:rsidRDefault="00097757" w:rsidP="00097757">
      <w:pPr>
        <w:autoSpaceDE w:val="0"/>
        <w:autoSpaceDN w:val="0"/>
        <w:adjustRightInd w:val="0"/>
        <w:ind w:left="1440" w:hanging="1440"/>
      </w:pPr>
      <w:r>
        <w:rPr>
          <w:b/>
        </w:rPr>
        <w:t>Stipulation:</w:t>
      </w:r>
      <w:r>
        <w:rPr>
          <w:b/>
        </w:rPr>
        <w:tab/>
      </w:r>
    </w:p>
    <w:p w:rsidR="00097757" w:rsidRDefault="00097757" w:rsidP="00097757">
      <w:pPr>
        <w:ind w:left="1440" w:hanging="1440"/>
        <w:rPr>
          <w:bCs/>
        </w:rPr>
      </w:pPr>
      <w:r w:rsidRPr="00AA74BD">
        <w:rPr>
          <w:bCs/>
        </w:rPr>
        <w:t>DEF:</w:t>
      </w:r>
      <w:r>
        <w:rPr>
          <w:bCs/>
        </w:rPr>
        <w:tab/>
        <w:t>$2,379,586.</w:t>
      </w:r>
    </w:p>
    <w:p w:rsidR="00097757" w:rsidRDefault="00097757" w:rsidP="00097757">
      <w:pPr>
        <w:ind w:left="1440" w:hanging="1440"/>
        <w:rPr>
          <w:bCs/>
        </w:rPr>
      </w:pPr>
    </w:p>
    <w:p w:rsidR="00097757" w:rsidRDefault="00097757" w:rsidP="00097757">
      <w:pPr>
        <w:ind w:left="1440" w:hanging="1440"/>
        <w:rPr>
          <w:bCs/>
        </w:rPr>
      </w:pPr>
      <w:r>
        <w:rPr>
          <w:bCs/>
        </w:rPr>
        <w:t>FPL:</w:t>
      </w:r>
      <w:r>
        <w:rPr>
          <w:bCs/>
        </w:rPr>
        <w:tab/>
        <w:t>N/A</w:t>
      </w:r>
    </w:p>
    <w:p w:rsidR="00097757" w:rsidRDefault="00097757" w:rsidP="00097757">
      <w:pPr>
        <w:ind w:left="1440" w:hanging="1440"/>
        <w:rPr>
          <w:bCs/>
        </w:rPr>
      </w:pPr>
    </w:p>
    <w:p w:rsidR="00097757" w:rsidRDefault="00097757" w:rsidP="00097757">
      <w:pPr>
        <w:ind w:left="1440" w:hanging="1440"/>
        <w:rPr>
          <w:bCs/>
        </w:rPr>
      </w:pPr>
      <w:r>
        <w:rPr>
          <w:bCs/>
        </w:rPr>
        <w:t>TECO:</w:t>
      </w:r>
      <w:r>
        <w:rPr>
          <w:bCs/>
        </w:rPr>
        <w:tab/>
        <w:t>N/A</w:t>
      </w:r>
    </w:p>
    <w:p w:rsidR="00097757" w:rsidRDefault="00097757" w:rsidP="00097757">
      <w:pPr>
        <w:autoSpaceDE w:val="0"/>
        <w:autoSpaceDN w:val="0"/>
        <w:adjustRightInd w:val="0"/>
        <w:ind w:left="1440" w:hanging="1440"/>
        <w:rPr>
          <w:b/>
          <w:bCs/>
          <w:u w:val="single"/>
        </w:rPr>
      </w:pPr>
    </w:p>
    <w:p w:rsidR="00097757" w:rsidRDefault="00097757" w:rsidP="00097757">
      <w:pPr>
        <w:autoSpaceDE w:val="0"/>
        <w:autoSpaceDN w:val="0"/>
        <w:adjustRightInd w:val="0"/>
        <w:ind w:left="1440" w:hanging="1440"/>
      </w:pPr>
      <w:r w:rsidRPr="00BF6EBB">
        <w:rPr>
          <w:b/>
          <w:bCs/>
          <w:u w:val="single"/>
        </w:rPr>
        <w:t xml:space="preserve">ISSUE </w:t>
      </w:r>
      <w:r>
        <w:rPr>
          <w:b/>
          <w:bCs/>
          <w:u w:val="single"/>
        </w:rPr>
        <w:t>7</w:t>
      </w:r>
      <w:r w:rsidRPr="00BF6EBB">
        <w:rPr>
          <w:b/>
          <w:bCs/>
        </w:rPr>
        <w:t>:</w:t>
      </w:r>
      <w:r w:rsidRPr="00BF6EBB">
        <w:tab/>
        <w:t xml:space="preserve">What are the appropriate final fuel adjustment true-up amounts for the period January </w:t>
      </w:r>
      <w:r>
        <w:t>2021</w:t>
      </w:r>
      <w:r w:rsidRPr="00BF6EBB">
        <w:t xml:space="preserve"> through December </w:t>
      </w:r>
      <w:r>
        <w:t>2021</w:t>
      </w:r>
      <w:r w:rsidRPr="00BF6EBB">
        <w:t xml:space="preserve">? </w:t>
      </w:r>
    </w:p>
    <w:p w:rsidR="00097757" w:rsidRPr="00BF6EBB"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pPr>
      <w:r>
        <w:rPr>
          <w:b/>
        </w:rPr>
        <w:t>Stipulation:</w:t>
      </w:r>
      <w:r>
        <w:rPr>
          <w:b/>
        </w:rPr>
        <w:tab/>
      </w:r>
    </w:p>
    <w:p w:rsidR="00097757" w:rsidRDefault="00097757" w:rsidP="00097757">
      <w:pPr>
        <w:ind w:left="1440" w:hanging="1440"/>
        <w:rPr>
          <w:bCs/>
        </w:rPr>
      </w:pPr>
      <w:r w:rsidRPr="00AA74BD">
        <w:rPr>
          <w:bCs/>
        </w:rPr>
        <w:t>DEF:</w:t>
      </w:r>
      <w:r>
        <w:rPr>
          <w:bCs/>
        </w:rPr>
        <w:tab/>
        <w:t>An over-recovery of $2,934,170.</w:t>
      </w:r>
    </w:p>
    <w:p w:rsidR="00097757" w:rsidRDefault="00097757" w:rsidP="00097757">
      <w:pPr>
        <w:ind w:left="1440" w:hanging="1440"/>
        <w:rPr>
          <w:bCs/>
        </w:rPr>
      </w:pPr>
    </w:p>
    <w:p w:rsidR="00097757" w:rsidRDefault="00097757" w:rsidP="00097757">
      <w:pPr>
        <w:ind w:left="1440" w:hanging="1440"/>
        <w:rPr>
          <w:bCs/>
        </w:rPr>
      </w:pPr>
      <w:r>
        <w:rPr>
          <w:bCs/>
        </w:rPr>
        <w:t>FPL:</w:t>
      </w:r>
      <w:r>
        <w:rPr>
          <w:bCs/>
        </w:rPr>
        <w:tab/>
        <w:t>An over-recovery of $10,256,384.</w:t>
      </w:r>
    </w:p>
    <w:p w:rsidR="00097757" w:rsidRDefault="00097757" w:rsidP="00097757">
      <w:pPr>
        <w:ind w:left="1440" w:hanging="1440"/>
        <w:rPr>
          <w:bCs/>
        </w:rPr>
      </w:pPr>
    </w:p>
    <w:p w:rsidR="00097757" w:rsidRDefault="00097757" w:rsidP="00097757">
      <w:pPr>
        <w:ind w:left="1440" w:hanging="1440"/>
        <w:rPr>
          <w:bCs/>
        </w:rPr>
      </w:pPr>
      <w:r>
        <w:rPr>
          <w:bCs/>
        </w:rPr>
        <w:t>FPUC:</w:t>
      </w:r>
      <w:r>
        <w:rPr>
          <w:bCs/>
        </w:rPr>
        <w:tab/>
        <w:t>An under-recovery of $3,790,314 which was the amount included for recovery through FPUC’s mid-course correction.</w:t>
      </w:r>
    </w:p>
    <w:p w:rsidR="00097757" w:rsidRDefault="00097757" w:rsidP="00097757">
      <w:pPr>
        <w:ind w:left="1440" w:hanging="1440"/>
        <w:rPr>
          <w:bCs/>
        </w:rPr>
      </w:pPr>
    </w:p>
    <w:p w:rsidR="00097757" w:rsidRDefault="00097757" w:rsidP="00097757">
      <w:pPr>
        <w:ind w:left="1440" w:hanging="1440"/>
        <w:rPr>
          <w:bCs/>
        </w:rPr>
      </w:pPr>
      <w:r>
        <w:rPr>
          <w:bCs/>
        </w:rPr>
        <w:t>GULF:</w:t>
      </w:r>
      <w:r>
        <w:rPr>
          <w:bCs/>
        </w:rPr>
        <w:tab/>
        <w:t>An over-recovery of $21,938,913.</w:t>
      </w:r>
    </w:p>
    <w:p w:rsidR="00097757" w:rsidRDefault="00097757" w:rsidP="00097757">
      <w:pPr>
        <w:ind w:left="1440" w:hanging="1440"/>
        <w:rPr>
          <w:bCs/>
        </w:rPr>
      </w:pPr>
    </w:p>
    <w:p w:rsidR="00097757" w:rsidRDefault="00097757" w:rsidP="00097757">
      <w:pPr>
        <w:ind w:left="1440" w:hanging="1440"/>
        <w:rPr>
          <w:bCs/>
        </w:rPr>
      </w:pPr>
      <w:r>
        <w:rPr>
          <w:bCs/>
        </w:rPr>
        <w:t>TECO:</w:t>
      </w:r>
      <w:r>
        <w:rPr>
          <w:bCs/>
        </w:rPr>
        <w:tab/>
        <w:t>$0.</w:t>
      </w:r>
    </w:p>
    <w:p w:rsidR="00097757" w:rsidRDefault="00097757" w:rsidP="00097757">
      <w:pPr>
        <w:ind w:left="720" w:hanging="720"/>
        <w:rPr>
          <w:b/>
          <w:bCs/>
          <w:u w:val="single"/>
        </w:rPr>
      </w:pPr>
    </w:p>
    <w:p w:rsidR="00097757" w:rsidRPr="00BF6EBB" w:rsidRDefault="00097757" w:rsidP="00097757">
      <w:pPr>
        <w:ind w:left="720" w:hanging="720"/>
      </w:pPr>
      <w:r w:rsidRPr="00BF6EBB">
        <w:rPr>
          <w:b/>
          <w:bCs/>
          <w:u w:val="single"/>
        </w:rPr>
        <w:t xml:space="preserve">ISSUE </w:t>
      </w:r>
      <w:r>
        <w:rPr>
          <w:b/>
          <w:bCs/>
          <w:u w:val="single"/>
        </w:rPr>
        <w:t>8</w:t>
      </w:r>
      <w:r w:rsidRPr="00BF6EBB">
        <w:rPr>
          <w:b/>
          <w:bCs/>
        </w:rPr>
        <w:t>:</w:t>
      </w:r>
      <w:r w:rsidRPr="00BF6EBB">
        <w:rPr>
          <w:b/>
          <w:bCs/>
        </w:rPr>
        <w:tab/>
      </w:r>
      <w:r w:rsidRPr="00BF6EBB">
        <w:t xml:space="preserve">What are the appropriate fuel adjustment actual/estimated true-up amounts for the       </w:t>
      </w:r>
    </w:p>
    <w:p w:rsidR="00097757" w:rsidRPr="00BF6EBB" w:rsidRDefault="00097757" w:rsidP="00097757">
      <w:pPr>
        <w:ind w:left="720" w:firstLine="720"/>
      </w:pPr>
      <w:r w:rsidRPr="00BF6EBB">
        <w:t>period January 202</w:t>
      </w:r>
      <w:r>
        <w:t>2</w:t>
      </w:r>
      <w:r w:rsidRPr="00BF6EBB">
        <w:t xml:space="preserve"> through December 202</w:t>
      </w:r>
      <w:r>
        <w:t>2</w:t>
      </w:r>
      <w:r w:rsidRPr="00BF6EBB">
        <w:t xml:space="preserve">? </w:t>
      </w:r>
    </w:p>
    <w:p w:rsidR="00097757" w:rsidRDefault="00097757" w:rsidP="00097757">
      <w:pPr>
        <w:autoSpaceDE w:val="0"/>
        <w:autoSpaceDN w:val="0"/>
        <w:adjustRightInd w:val="0"/>
        <w:ind w:left="1440" w:hanging="1440"/>
        <w:rPr>
          <w:b/>
          <w:bCs/>
          <w:u w:val="single"/>
        </w:rPr>
      </w:pPr>
    </w:p>
    <w:p w:rsidR="00097757" w:rsidRDefault="00097757" w:rsidP="00097757">
      <w:pPr>
        <w:autoSpaceDE w:val="0"/>
        <w:autoSpaceDN w:val="0"/>
        <w:adjustRightInd w:val="0"/>
        <w:ind w:left="1440" w:hanging="1440"/>
      </w:pPr>
      <w:r>
        <w:rPr>
          <w:b/>
        </w:rPr>
        <w:t>Stipulation:</w:t>
      </w:r>
      <w:r>
        <w:rPr>
          <w:b/>
        </w:rPr>
        <w:tab/>
      </w:r>
    </w:p>
    <w:p w:rsidR="00097757" w:rsidRDefault="00097757" w:rsidP="00097757">
      <w:pPr>
        <w:ind w:left="1440" w:hanging="1440"/>
        <w:rPr>
          <w:bCs/>
        </w:rPr>
      </w:pPr>
    </w:p>
    <w:p w:rsidR="00097757" w:rsidRDefault="00097757" w:rsidP="00097757">
      <w:pPr>
        <w:ind w:left="1440" w:hanging="1440"/>
        <w:rPr>
          <w:bCs/>
        </w:rPr>
      </w:pPr>
      <w:r>
        <w:rPr>
          <w:bCs/>
        </w:rPr>
        <w:t>FPUC:</w:t>
      </w:r>
      <w:r>
        <w:rPr>
          <w:bCs/>
        </w:rPr>
        <w:tab/>
        <w:t>An under-recovery of $15,143,447.</w:t>
      </w:r>
    </w:p>
    <w:p w:rsidR="00097757" w:rsidRDefault="00097757" w:rsidP="00097757">
      <w:pPr>
        <w:ind w:left="1440" w:hanging="1440"/>
        <w:rPr>
          <w:bCs/>
        </w:rPr>
      </w:pPr>
    </w:p>
    <w:p w:rsidR="00097757" w:rsidRPr="00BF6EBB" w:rsidRDefault="00097757" w:rsidP="00097757">
      <w:pPr>
        <w:ind w:left="1440" w:hanging="1440"/>
      </w:pPr>
      <w:r w:rsidRPr="00364213">
        <w:rPr>
          <w:b/>
          <w:bCs/>
          <w:u w:val="single"/>
        </w:rPr>
        <w:t>ISS</w:t>
      </w:r>
      <w:r w:rsidRPr="00BF6EBB">
        <w:rPr>
          <w:b/>
          <w:bCs/>
          <w:u w:val="single"/>
        </w:rPr>
        <w:t xml:space="preserve">UE </w:t>
      </w:r>
      <w:r>
        <w:rPr>
          <w:b/>
          <w:bCs/>
          <w:u w:val="single"/>
        </w:rPr>
        <w:t>9</w:t>
      </w:r>
      <w:r w:rsidRPr="00BF6EBB">
        <w:rPr>
          <w:b/>
          <w:bCs/>
        </w:rPr>
        <w:t>:</w:t>
      </w:r>
      <w:r w:rsidRPr="00BF6EBB">
        <w:tab/>
        <w:t>What are the appropriate total fuel adjustment true-up amounts to be collected/refunded from January 202</w:t>
      </w:r>
      <w:r>
        <w:t>3</w:t>
      </w:r>
      <w:r w:rsidRPr="00BF6EBB">
        <w:t xml:space="preserve"> through December 202</w:t>
      </w:r>
      <w:r>
        <w:t>3</w:t>
      </w:r>
      <w:r w:rsidRPr="00BF6EBB">
        <w:t xml:space="preserve">?  </w:t>
      </w:r>
    </w:p>
    <w:p w:rsidR="00097757" w:rsidRDefault="00097757" w:rsidP="00097757">
      <w:pPr>
        <w:ind w:left="1440" w:hanging="1440"/>
        <w:rPr>
          <w:rStyle w:val="Strong"/>
          <w:u w:val="single"/>
        </w:rPr>
      </w:pPr>
    </w:p>
    <w:p w:rsidR="007638B9" w:rsidRDefault="007638B9">
      <w:pPr>
        <w:rPr>
          <w:b/>
        </w:rPr>
      </w:pPr>
      <w:r>
        <w:rPr>
          <w:b/>
        </w:rPr>
        <w:br w:type="page"/>
      </w:r>
    </w:p>
    <w:p w:rsidR="00097757" w:rsidRDefault="00097757" w:rsidP="00097757">
      <w:pPr>
        <w:autoSpaceDE w:val="0"/>
        <w:autoSpaceDN w:val="0"/>
        <w:adjustRightInd w:val="0"/>
        <w:ind w:left="1440" w:hanging="1440"/>
      </w:pPr>
      <w:r>
        <w:rPr>
          <w:b/>
        </w:rPr>
        <w:lastRenderedPageBreak/>
        <w:t>Stipulation:</w:t>
      </w:r>
      <w:r>
        <w:rPr>
          <w:b/>
        </w:rPr>
        <w:tab/>
      </w:r>
    </w:p>
    <w:p w:rsidR="00097757" w:rsidRDefault="00097757" w:rsidP="00097757">
      <w:pPr>
        <w:ind w:left="1440" w:hanging="1440"/>
        <w:rPr>
          <w:bCs/>
        </w:rPr>
      </w:pPr>
    </w:p>
    <w:p w:rsidR="00097757" w:rsidRDefault="00097757" w:rsidP="00097757">
      <w:pPr>
        <w:ind w:left="1440" w:hanging="1440"/>
        <w:rPr>
          <w:bCs/>
        </w:rPr>
      </w:pPr>
      <w:r>
        <w:rPr>
          <w:bCs/>
        </w:rPr>
        <w:t>FPUC:</w:t>
      </w:r>
      <w:r>
        <w:rPr>
          <w:bCs/>
        </w:rPr>
        <w:tab/>
        <w:t>An under-recovery of $7,063,744.</w:t>
      </w:r>
    </w:p>
    <w:p w:rsidR="00097757" w:rsidRDefault="00097757" w:rsidP="00097757">
      <w:pPr>
        <w:ind w:left="1440" w:hanging="1440"/>
        <w:rPr>
          <w:rStyle w:val="Strong"/>
          <w:u w:val="single"/>
        </w:rPr>
      </w:pPr>
    </w:p>
    <w:p w:rsidR="00097757" w:rsidRPr="00E33995" w:rsidRDefault="00097757" w:rsidP="00097757">
      <w:pPr>
        <w:ind w:left="1440" w:hanging="1440"/>
        <w:rPr>
          <w:rStyle w:val="Strong"/>
          <w:b w:val="0"/>
          <w:bCs w:val="0"/>
        </w:rPr>
      </w:pPr>
      <w:r w:rsidRPr="00E33995">
        <w:rPr>
          <w:rStyle w:val="Strong"/>
          <w:u w:val="single"/>
        </w:rPr>
        <w:t>ISSUE 1</w:t>
      </w:r>
      <w:r>
        <w:rPr>
          <w:rStyle w:val="Strong"/>
          <w:u w:val="single"/>
        </w:rPr>
        <w:t>0</w:t>
      </w:r>
      <w:r w:rsidRPr="00E33995">
        <w:rPr>
          <w:rStyle w:val="Strong"/>
        </w:rPr>
        <w:t>:</w:t>
      </w:r>
      <w:r w:rsidRPr="00E33995">
        <w:rPr>
          <w:rStyle w:val="Strong"/>
        </w:rPr>
        <w:tab/>
        <w:t>What are the appropriate projected total fuel and purchased power cost recovery amounts for the period January 202</w:t>
      </w:r>
      <w:r>
        <w:rPr>
          <w:rStyle w:val="Strong"/>
        </w:rPr>
        <w:t>3</w:t>
      </w:r>
      <w:r w:rsidRPr="00E33995">
        <w:rPr>
          <w:rStyle w:val="Strong"/>
        </w:rPr>
        <w:t xml:space="preserve"> through December 202</w:t>
      </w:r>
      <w:r>
        <w:rPr>
          <w:rStyle w:val="Strong"/>
        </w:rPr>
        <w:t>3</w:t>
      </w:r>
      <w:r w:rsidRPr="00E33995">
        <w:rPr>
          <w:rStyle w:val="Strong"/>
        </w:rPr>
        <w:t xml:space="preserve">? </w:t>
      </w:r>
    </w:p>
    <w:p w:rsidR="00097757" w:rsidRDefault="00097757" w:rsidP="00097757">
      <w:pPr>
        <w:autoSpaceDE w:val="0"/>
        <w:autoSpaceDN w:val="0"/>
        <w:adjustRightInd w:val="0"/>
        <w:ind w:left="1440" w:hanging="1440"/>
      </w:pPr>
      <w:r>
        <w:rPr>
          <w:b/>
        </w:rPr>
        <w:t>Stipulation:</w:t>
      </w:r>
      <w:r>
        <w:rPr>
          <w:b/>
        </w:rPr>
        <w:tab/>
      </w:r>
    </w:p>
    <w:p w:rsidR="00097757" w:rsidRDefault="00097757" w:rsidP="00097757">
      <w:pPr>
        <w:ind w:left="1440" w:hanging="1440"/>
        <w:rPr>
          <w:bCs/>
        </w:rPr>
      </w:pPr>
    </w:p>
    <w:p w:rsidR="00097757" w:rsidRDefault="00097757" w:rsidP="00097757">
      <w:pPr>
        <w:ind w:left="1440" w:hanging="1440"/>
        <w:rPr>
          <w:bCs/>
        </w:rPr>
      </w:pPr>
      <w:r>
        <w:rPr>
          <w:bCs/>
        </w:rPr>
        <w:t>FPUC:</w:t>
      </w:r>
      <w:r>
        <w:rPr>
          <w:bCs/>
        </w:rPr>
        <w:tab/>
        <w:t>$68,427,727.</w:t>
      </w:r>
    </w:p>
    <w:p w:rsidR="00097757" w:rsidRDefault="00097757" w:rsidP="00097757">
      <w:pPr>
        <w:rPr>
          <w:b/>
          <w:bCs/>
        </w:rPr>
      </w:pPr>
    </w:p>
    <w:p w:rsidR="00097757" w:rsidRPr="00BF6EBB" w:rsidRDefault="00097757" w:rsidP="00097757">
      <w:pPr>
        <w:rPr>
          <w:b/>
          <w:bCs/>
        </w:rPr>
      </w:pPr>
      <w:r w:rsidRPr="00BF6EBB">
        <w:rPr>
          <w:b/>
          <w:bCs/>
        </w:rPr>
        <w:t>COMPANY-SPECIFIC GENERATING PERFORMANCE INCENTIVE FACTOR ISSUES</w:t>
      </w:r>
    </w:p>
    <w:p w:rsidR="00097757" w:rsidRDefault="00097757" w:rsidP="00097757">
      <w:pPr>
        <w:rPr>
          <w:b/>
          <w:bCs/>
        </w:rPr>
      </w:pPr>
    </w:p>
    <w:p w:rsidR="00097757" w:rsidRPr="00BF6EBB" w:rsidRDefault="00097757" w:rsidP="00097757">
      <w:pPr>
        <w:rPr>
          <w:b/>
          <w:bCs/>
        </w:rPr>
      </w:pPr>
      <w:r w:rsidRPr="00BF6EBB">
        <w:rPr>
          <w:b/>
          <w:bCs/>
        </w:rPr>
        <w:t>Duke Energy Florida, LLC.</w:t>
      </w:r>
    </w:p>
    <w:p w:rsidR="00097757" w:rsidRPr="00BF6EBB" w:rsidRDefault="00097757" w:rsidP="00097757">
      <w:pPr>
        <w:autoSpaceDE w:val="0"/>
        <w:autoSpaceDN w:val="0"/>
        <w:adjustRightInd w:val="0"/>
      </w:pPr>
    </w:p>
    <w:p w:rsidR="00097757" w:rsidRPr="00BF6EBB" w:rsidRDefault="00097757" w:rsidP="00097757">
      <w:pPr>
        <w:autoSpaceDE w:val="0"/>
        <w:autoSpaceDN w:val="0"/>
        <w:adjustRightInd w:val="0"/>
      </w:pPr>
      <w:r w:rsidRPr="00BF6EBB">
        <w:t>No company-specific GPIF issues for Duke Energy Florida, Inc. have been identified at this time. If such issues are identified, they shall be numbered 1</w:t>
      </w:r>
      <w:r>
        <w:t>1</w:t>
      </w:r>
      <w:r w:rsidRPr="00BF6EBB">
        <w:t>A, 1</w:t>
      </w:r>
      <w:r>
        <w:t>1</w:t>
      </w:r>
      <w:r w:rsidRPr="00BF6EBB">
        <w:t>B, 1</w:t>
      </w:r>
      <w:r>
        <w:t>1</w:t>
      </w:r>
      <w:r w:rsidRPr="00BF6EBB">
        <w:t>C, and so forth, as appropriate.</w:t>
      </w:r>
    </w:p>
    <w:p w:rsidR="00097757" w:rsidRDefault="00097757" w:rsidP="00097757">
      <w:pPr>
        <w:rPr>
          <w:b/>
          <w:bCs/>
        </w:rPr>
      </w:pPr>
    </w:p>
    <w:p w:rsidR="00097757" w:rsidRPr="00BF6EBB" w:rsidRDefault="00097757" w:rsidP="00097757">
      <w:pPr>
        <w:rPr>
          <w:b/>
          <w:bCs/>
        </w:rPr>
      </w:pPr>
      <w:r w:rsidRPr="00BF6EBB">
        <w:rPr>
          <w:b/>
          <w:bCs/>
        </w:rPr>
        <w:t>Florida Power &amp; Light Company</w:t>
      </w:r>
    </w:p>
    <w:p w:rsidR="00097757" w:rsidRPr="00BF6EBB" w:rsidRDefault="00097757" w:rsidP="00097757">
      <w:pPr>
        <w:autoSpaceDE w:val="0"/>
        <w:autoSpaceDN w:val="0"/>
        <w:adjustRightInd w:val="0"/>
      </w:pPr>
    </w:p>
    <w:p w:rsidR="00097757" w:rsidRDefault="00097757" w:rsidP="00097757">
      <w:pPr>
        <w:autoSpaceDE w:val="0"/>
        <w:autoSpaceDN w:val="0"/>
        <w:adjustRightInd w:val="0"/>
      </w:pPr>
      <w:r w:rsidRPr="00BF6EBB">
        <w:t>No company-specific GPIF issues for Florida Power and Light Company have been identified at this time. If such issues are identified, they shall be numbered 1</w:t>
      </w:r>
      <w:r>
        <w:t>2</w:t>
      </w:r>
      <w:r w:rsidRPr="00BF6EBB">
        <w:t>A, 1</w:t>
      </w:r>
      <w:r>
        <w:t>2</w:t>
      </w:r>
      <w:r w:rsidRPr="00BF6EBB">
        <w:t>B, 1</w:t>
      </w:r>
      <w:r>
        <w:t>2</w:t>
      </w:r>
      <w:r w:rsidRPr="00BF6EBB">
        <w:t>C, and so forth, as appropriate.</w:t>
      </w:r>
    </w:p>
    <w:p w:rsidR="00097757" w:rsidRPr="00BF6EBB" w:rsidRDefault="00097757" w:rsidP="00097757">
      <w:pPr>
        <w:autoSpaceDE w:val="0"/>
        <w:autoSpaceDN w:val="0"/>
        <w:adjustRightInd w:val="0"/>
      </w:pPr>
    </w:p>
    <w:p w:rsidR="00097757" w:rsidRDefault="00097757" w:rsidP="00097757">
      <w:pPr>
        <w:rPr>
          <w:b/>
          <w:bCs/>
        </w:rPr>
      </w:pPr>
      <w:r w:rsidRPr="00BF6EBB">
        <w:rPr>
          <w:b/>
          <w:bCs/>
        </w:rPr>
        <w:t>Gulf Power Company</w:t>
      </w:r>
    </w:p>
    <w:p w:rsidR="00097757" w:rsidRPr="00BF6EBB" w:rsidRDefault="00097757" w:rsidP="00097757">
      <w:pPr>
        <w:autoSpaceDE w:val="0"/>
        <w:autoSpaceDN w:val="0"/>
        <w:adjustRightInd w:val="0"/>
      </w:pPr>
      <w:r>
        <w:t>Any company-specific capacity issues for Gulf Power Company will be addressed under Florida Power &amp; Light Company above.</w:t>
      </w:r>
    </w:p>
    <w:p w:rsidR="00097757" w:rsidRPr="00BF6EBB" w:rsidRDefault="00097757" w:rsidP="00097757">
      <w:pPr>
        <w:autoSpaceDE w:val="0"/>
        <w:autoSpaceDN w:val="0"/>
        <w:adjustRightInd w:val="0"/>
      </w:pPr>
    </w:p>
    <w:p w:rsidR="00097757" w:rsidRPr="00BF6EBB" w:rsidRDefault="00097757" w:rsidP="00097757">
      <w:pPr>
        <w:rPr>
          <w:b/>
          <w:bCs/>
        </w:rPr>
      </w:pPr>
      <w:r w:rsidRPr="00BF6EBB">
        <w:rPr>
          <w:b/>
          <w:bCs/>
        </w:rPr>
        <w:t>Tampa Electric Company</w:t>
      </w:r>
    </w:p>
    <w:p w:rsidR="00097757" w:rsidRPr="00BF6EBB" w:rsidRDefault="00097757" w:rsidP="00097757">
      <w:pPr>
        <w:autoSpaceDE w:val="0"/>
        <w:autoSpaceDN w:val="0"/>
        <w:adjustRightInd w:val="0"/>
      </w:pPr>
    </w:p>
    <w:p w:rsidR="00097757" w:rsidRPr="00BF6EBB" w:rsidRDefault="00097757" w:rsidP="00097757">
      <w:pPr>
        <w:autoSpaceDE w:val="0"/>
        <w:autoSpaceDN w:val="0"/>
        <w:adjustRightInd w:val="0"/>
      </w:pPr>
      <w:r w:rsidRPr="00BF6EBB">
        <w:t>No company-specific GPIF issues for Tampa Electric Company have been identified at this time. If such issues are identified, they shall be numbered 1</w:t>
      </w:r>
      <w:r>
        <w:t>3</w:t>
      </w:r>
      <w:r w:rsidRPr="00BF6EBB">
        <w:t>A, 1</w:t>
      </w:r>
      <w:r>
        <w:t>3</w:t>
      </w:r>
      <w:r w:rsidRPr="00BF6EBB">
        <w:t>B, 1</w:t>
      </w:r>
      <w:r>
        <w:t>3</w:t>
      </w:r>
      <w:r w:rsidRPr="00BF6EBB">
        <w:t>C, and so forth, as appropriate.</w:t>
      </w:r>
    </w:p>
    <w:p w:rsidR="00097757" w:rsidRDefault="00097757" w:rsidP="00097757">
      <w:pPr>
        <w:rPr>
          <w:b/>
          <w:bCs/>
        </w:rPr>
      </w:pPr>
    </w:p>
    <w:p w:rsidR="00097757" w:rsidRPr="00BF6EBB" w:rsidRDefault="00097757" w:rsidP="00097757">
      <w:pPr>
        <w:rPr>
          <w:b/>
          <w:bCs/>
        </w:rPr>
      </w:pPr>
      <w:r w:rsidRPr="00BF6EBB">
        <w:rPr>
          <w:b/>
          <w:bCs/>
        </w:rPr>
        <w:t>GENERIC GPIF ISSUES</w:t>
      </w:r>
    </w:p>
    <w:p w:rsidR="00097757" w:rsidRPr="00BF6EBB" w:rsidRDefault="00097757" w:rsidP="00097757">
      <w:pPr>
        <w:autoSpaceDE w:val="0"/>
        <w:autoSpaceDN w:val="0"/>
        <w:adjustRightInd w:val="0"/>
      </w:pPr>
    </w:p>
    <w:p w:rsidR="00097757" w:rsidRPr="00BF6EBB" w:rsidRDefault="00097757" w:rsidP="00097757">
      <w:pPr>
        <w:autoSpaceDE w:val="0"/>
        <w:autoSpaceDN w:val="0"/>
        <w:adjustRightInd w:val="0"/>
        <w:ind w:left="1440" w:hanging="1440"/>
      </w:pPr>
      <w:r w:rsidRPr="00BF6EBB">
        <w:rPr>
          <w:b/>
          <w:bCs/>
          <w:u w:val="single"/>
        </w:rPr>
        <w:t>ISSUE 1</w:t>
      </w:r>
      <w:r>
        <w:rPr>
          <w:b/>
          <w:bCs/>
          <w:u w:val="single"/>
        </w:rPr>
        <w:t>4</w:t>
      </w:r>
      <w:r w:rsidRPr="00BF6EBB">
        <w:t>:</w:t>
      </w:r>
      <w:r w:rsidRPr="00BF6EBB">
        <w:tab/>
        <w:t xml:space="preserve">What is the appropriate GPIF reward or penalty for performance achieved during the period January </w:t>
      </w:r>
      <w:r>
        <w:t>2021</w:t>
      </w:r>
      <w:r w:rsidRPr="00BF6EBB">
        <w:t xml:space="preserve"> through December </w:t>
      </w:r>
      <w:r>
        <w:t>2021</w:t>
      </w:r>
      <w:r w:rsidRPr="00BF6EBB">
        <w:t xml:space="preserve"> for each investor-owned electric utility subject to the GPIF? </w:t>
      </w:r>
    </w:p>
    <w:p w:rsidR="00097757" w:rsidRDefault="00097757" w:rsidP="00097757"/>
    <w:p w:rsidR="00097757" w:rsidRDefault="00097757" w:rsidP="00097757">
      <w:pPr>
        <w:autoSpaceDE w:val="0"/>
        <w:autoSpaceDN w:val="0"/>
        <w:adjustRightInd w:val="0"/>
        <w:ind w:left="1440" w:hanging="1440"/>
      </w:pPr>
      <w:r>
        <w:rPr>
          <w:b/>
        </w:rPr>
        <w:t>Stipulation:</w:t>
      </w:r>
      <w:r>
        <w:rPr>
          <w:b/>
        </w:rPr>
        <w:tab/>
      </w:r>
    </w:p>
    <w:p w:rsidR="00097757" w:rsidRDefault="00097757" w:rsidP="00097757">
      <w:pPr>
        <w:ind w:left="1440" w:hanging="1440"/>
        <w:rPr>
          <w:bCs/>
        </w:rPr>
      </w:pPr>
      <w:r w:rsidRPr="00AA74BD">
        <w:rPr>
          <w:bCs/>
        </w:rPr>
        <w:t>DEF:</w:t>
      </w:r>
      <w:r>
        <w:rPr>
          <w:bCs/>
        </w:rPr>
        <w:tab/>
        <w:t>A penalty of $206,463.</w:t>
      </w:r>
    </w:p>
    <w:p w:rsidR="00097757" w:rsidRDefault="00097757" w:rsidP="00097757">
      <w:pPr>
        <w:ind w:left="1440" w:hanging="1440"/>
        <w:rPr>
          <w:bCs/>
        </w:rPr>
      </w:pPr>
    </w:p>
    <w:p w:rsidR="00097757" w:rsidRDefault="00097757" w:rsidP="00097757">
      <w:pPr>
        <w:ind w:left="1440" w:hanging="1440"/>
        <w:rPr>
          <w:bCs/>
        </w:rPr>
      </w:pPr>
      <w:r>
        <w:rPr>
          <w:bCs/>
        </w:rPr>
        <w:t>FPL:</w:t>
      </w:r>
      <w:r>
        <w:rPr>
          <w:bCs/>
        </w:rPr>
        <w:tab/>
        <w:t>A reward of $6,994,619.</w:t>
      </w:r>
    </w:p>
    <w:p w:rsidR="00097757" w:rsidRDefault="00097757" w:rsidP="00097757">
      <w:pPr>
        <w:ind w:left="1440" w:hanging="1440"/>
        <w:rPr>
          <w:bCs/>
        </w:rPr>
      </w:pPr>
    </w:p>
    <w:p w:rsidR="00097757" w:rsidRDefault="00097757" w:rsidP="00097757">
      <w:pPr>
        <w:ind w:left="1440" w:hanging="1440"/>
        <w:rPr>
          <w:bCs/>
        </w:rPr>
      </w:pPr>
      <w:r>
        <w:rPr>
          <w:bCs/>
        </w:rPr>
        <w:lastRenderedPageBreak/>
        <w:t>TECO:</w:t>
      </w:r>
      <w:r>
        <w:rPr>
          <w:bCs/>
        </w:rPr>
        <w:tab/>
        <w:t>A reward of $546,170.</w:t>
      </w:r>
    </w:p>
    <w:p w:rsidR="00097757" w:rsidRDefault="00097757" w:rsidP="00097757">
      <w:pPr>
        <w:rPr>
          <w:b/>
          <w:bCs/>
          <w:u w:val="single"/>
        </w:rPr>
      </w:pPr>
    </w:p>
    <w:p w:rsidR="00097757" w:rsidRDefault="00097757" w:rsidP="00097757">
      <w:pPr>
        <w:ind w:left="720" w:hanging="720"/>
      </w:pPr>
      <w:r w:rsidRPr="00BF6EBB">
        <w:rPr>
          <w:b/>
          <w:bCs/>
          <w:u w:val="single"/>
        </w:rPr>
        <w:t>ISSUE 1</w:t>
      </w:r>
      <w:r>
        <w:rPr>
          <w:b/>
          <w:bCs/>
          <w:u w:val="single"/>
        </w:rPr>
        <w:t>5</w:t>
      </w:r>
      <w:r w:rsidRPr="00BF6EBB">
        <w:t>:</w:t>
      </w:r>
      <w:r>
        <w:tab/>
      </w:r>
      <w:r w:rsidRPr="00BF6EBB">
        <w:t>What should the GPIF targets/ranges be for the period January 202</w:t>
      </w:r>
      <w:r>
        <w:t>3</w:t>
      </w:r>
      <w:r w:rsidRPr="00BF6EBB">
        <w:t xml:space="preserve"> through </w:t>
      </w:r>
      <w:r>
        <w:tab/>
      </w:r>
      <w:r w:rsidRPr="00BF6EBB">
        <w:t>December 202</w:t>
      </w:r>
      <w:r>
        <w:t xml:space="preserve">3 </w:t>
      </w:r>
      <w:r w:rsidRPr="00BF6EBB">
        <w:t>for each investor-owned electric utility subject to the GPIF?</w:t>
      </w:r>
    </w:p>
    <w:p w:rsidR="00097757" w:rsidRDefault="00097757" w:rsidP="007638B9">
      <w:pPr>
        <w:rPr>
          <w:b/>
        </w:rPr>
      </w:pPr>
      <w:r>
        <w:rPr>
          <w:b/>
        </w:rPr>
        <w:t>Stipulation:</w:t>
      </w:r>
      <w:r>
        <w:rPr>
          <w:b/>
        </w:rPr>
        <w:tab/>
      </w:r>
    </w:p>
    <w:p w:rsidR="007638B9" w:rsidRDefault="007638B9" w:rsidP="007638B9"/>
    <w:p w:rsidR="00097757" w:rsidRDefault="00097757" w:rsidP="00097757">
      <w:pPr>
        <w:ind w:left="1440" w:hanging="1440"/>
        <w:rPr>
          <w:bCs/>
        </w:rPr>
      </w:pPr>
      <w:r w:rsidRPr="00AA74BD">
        <w:rPr>
          <w:bCs/>
        </w:rPr>
        <w:t>DEF:</w:t>
      </w:r>
      <w:r>
        <w:rPr>
          <w:bCs/>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00"/>
        <w:gridCol w:w="1710"/>
        <w:gridCol w:w="900"/>
        <w:gridCol w:w="900"/>
        <w:gridCol w:w="1080"/>
        <w:gridCol w:w="1260"/>
        <w:gridCol w:w="1260"/>
        <w:gridCol w:w="1350"/>
      </w:tblGrid>
      <w:tr w:rsidR="00097757" w:rsidRPr="005D302F" w:rsidTr="00E5228C">
        <w:trPr>
          <w:trHeight w:val="300"/>
          <w:tblHeader/>
        </w:trPr>
        <w:tc>
          <w:tcPr>
            <w:tcW w:w="9360" w:type="dxa"/>
            <w:gridSpan w:val="8"/>
            <w:tcBorders>
              <w:top w:val="nil"/>
              <w:left w:val="nil"/>
              <w:bottom w:val="nil"/>
              <w:right w:val="nil"/>
            </w:tcBorders>
            <w:shd w:val="clear" w:color="auto" w:fill="FFFFFF" w:themeFill="background1"/>
            <w:noWrap/>
            <w:vAlign w:val="center"/>
          </w:tcPr>
          <w:p w:rsidR="00097757" w:rsidRPr="00A83F86" w:rsidRDefault="00097757" w:rsidP="00E5228C">
            <w:pPr>
              <w:jc w:val="center"/>
              <w:rPr>
                <w:rFonts w:ascii="Arial" w:hAnsi="Arial" w:cs="Arial"/>
                <w:b/>
              </w:rPr>
            </w:pPr>
            <w:bookmarkStart w:id="9" w:name="_Hlk40104337"/>
            <w:r w:rsidRPr="00A83F86">
              <w:rPr>
                <w:rFonts w:ascii="Arial" w:hAnsi="Arial" w:cs="Arial"/>
                <w:b/>
              </w:rPr>
              <w:t>Table 15-1</w:t>
            </w:r>
          </w:p>
        </w:tc>
      </w:tr>
      <w:tr w:rsidR="00097757" w:rsidRPr="005D302F" w:rsidTr="00E5228C">
        <w:trPr>
          <w:trHeight w:val="300"/>
          <w:tblHeader/>
        </w:trPr>
        <w:tc>
          <w:tcPr>
            <w:tcW w:w="9360" w:type="dxa"/>
            <w:gridSpan w:val="8"/>
            <w:tcBorders>
              <w:top w:val="nil"/>
              <w:left w:val="nil"/>
              <w:right w:val="nil"/>
            </w:tcBorders>
            <w:shd w:val="clear" w:color="auto" w:fill="FFFFFF" w:themeFill="background1"/>
            <w:noWrap/>
            <w:vAlign w:val="center"/>
          </w:tcPr>
          <w:p w:rsidR="00097757" w:rsidRPr="00A83F86" w:rsidRDefault="00097757" w:rsidP="00E5228C">
            <w:pPr>
              <w:jc w:val="center"/>
            </w:pPr>
            <w:r w:rsidRPr="00A83F86">
              <w:rPr>
                <w:rFonts w:ascii="Arial" w:hAnsi="Arial" w:cs="Arial"/>
                <w:b/>
              </w:rPr>
              <w:t>GPIF Targets/Ranges for the period January-December, 2023</w:t>
            </w:r>
          </w:p>
        </w:tc>
      </w:tr>
      <w:bookmarkEnd w:id="9"/>
      <w:tr w:rsidR="00097757" w:rsidRPr="005D302F" w:rsidTr="00E5228C">
        <w:trPr>
          <w:trHeight w:val="300"/>
        </w:trPr>
        <w:tc>
          <w:tcPr>
            <w:tcW w:w="900"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097757" w:rsidRPr="005D302F" w:rsidRDefault="00097757" w:rsidP="00E5228C">
            <w:pPr>
              <w:jc w:val="center"/>
              <w:rPr>
                <w:rFonts w:cstheme="minorHAnsi"/>
                <w:b/>
                <w:bCs/>
                <w:sz w:val="22"/>
                <w:szCs w:val="22"/>
              </w:rPr>
            </w:pPr>
            <w:r w:rsidRPr="005D302F">
              <w:rPr>
                <w:rFonts w:cstheme="minorHAnsi"/>
                <w:b/>
                <w:bCs/>
                <w:sz w:val="22"/>
                <w:szCs w:val="22"/>
              </w:rPr>
              <w:t>DEF</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7757" w:rsidRPr="005D302F" w:rsidRDefault="00097757" w:rsidP="00E5228C">
            <w:pPr>
              <w:jc w:val="center"/>
              <w:rPr>
                <w:rFonts w:cstheme="minorHAnsi"/>
                <w:sz w:val="22"/>
                <w:szCs w:val="22"/>
              </w:rPr>
            </w:pPr>
            <w:r w:rsidRPr="005D302F">
              <w:rPr>
                <w:rFonts w:cstheme="minorHAnsi"/>
                <w:sz w:val="22"/>
                <w:szCs w:val="22"/>
              </w:rPr>
              <w:t>Plant/Unit</w:t>
            </w:r>
          </w:p>
        </w:tc>
        <w:tc>
          <w:tcPr>
            <w:tcW w:w="288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097757" w:rsidRPr="005D302F" w:rsidRDefault="00097757" w:rsidP="00E5228C">
            <w:pPr>
              <w:jc w:val="center"/>
              <w:rPr>
                <w:rFonts w:cstheme="minorHAnsi"/>
                <w:sz w:val="22"/>
                <w:szCs w:val="22"/>
              </w:rPr>
            </w:pPr>
            <w:r w:rsidRPr="005D302F">
              <w:rPr>
                <w:rFonts w:cstheme="minorHAnsi"/>
                <w:sz w:val="22"/>
                <w:szCs w:val="22"/>
              </w:rPr>
              <w:t>EAF</w:t>
            </w:r>
          </w:p>
        </w:tc>
        <w:tc>
          <w:tcPr>
            <w:tcW w:w="387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7757" w:rsidRPr="005D302F" w:rsidRDefault="00097757" w:rsidP="00E5228C">
            <w:pPr>
              <w:jc w:val="center"/>
              <w:rPr>
                <w:rFonts w:cstheme="minorHAnsi"/>
                <w:sz w:val="22"/>
                <w:szCs w:val="22"/>
              </w:rPr>
            </w:pPr>
            <w:r w:rsidRPr="005D302F">
              <w:rPr>
                <w:rFonts w:cstheme="minorHAnsi"/>
                <w:sz w:val="22"/>
                <w:szCs w:val="22"/>
              </w:rPr>
              <w:t>ANOHR</w:t>
            </w:r>
          </w:p>
        </w:tc>
      </w:tr>
      <w:tr w:rsidR="00097757" w:rsidRPr="005D302F" w:rsidTr="00E5228C">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097757" w:rsidRPr="005D302F" w:rsidRDefault="00097757" w:rsidP="00E5228C">
            <w:pPr>
              <w:jc w:val="center"/>
              <w:rPr>
                <w:rFonts w:cstheme="minorHAnsi"/>
                <w:sz w:val="22"/>
                <w:szCs w:val="22"/>
              </w:rPr>
            </w:pPr>
          </w:p>
        </w:tc>
        <w:tc>
          <w:tcPr>
            <w:tcW w:w="1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757" w:rsidRPr="005D302F" w:rsidRDefault="00097757" w:rsidP="00E5228C">
            <w:pPr>
              <w:rPr>
                <w:rFonts w:cs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7757" w:rsidRPr="005D302F" w:rsidRDefault="00097757" w:rsidP="00E5228C">
            <w:pPr>
              <w:jc w:val="center"/>
              <w:rPr>
                <w:rFonts w:cstheme="minorHAnsi"/>
                <w:sz w:val="22"/>
                <w:szCs w:val="22"/>
              </w:rPr>
            </w:pPr>
            <w:r w:rsidRPr="005D302F">
              <w:rPr>
                <w:rFonts w:cstheme="minorHAnsi"/>
                <w:sz w:val="22"/>
                <w:szCs w:val="22"/>
              </w:rPr>
              <w:t>Target</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7757" w:rsidRPr="005D302F" w:rsidRDefault="00097757" w:rsidP="00E5228C">
            <w:pPr>
              <w:jc w:val="center"/>
              <w:rPr>
                <w:rFonts w:cstheme="minorHAnsi"/>
                <w:sz w:val="22"/>
                <w:szCs w:val="22"/>
              </w:rPr>
            </w:pPr>
            <w:r w:rsidRPr="005D302F">
              <w:rPr>
                <w:rFonts w:cstheme="minorHAnsi"/>
                <w:sz w:val="22"/>
                <w:szCs w:val="22"/>
              </w:rPr>
              <w:t>Maximum</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7757" w:rsidRPr="005D302F" w:rsidRDefault="00097757" w:rsidP="00E5228C">
            <w:pPr>
              <w:jc w:val="center"/>
              <w:rPr>
                <w:rFonts w:cstheme="minorHAnsi"/>
                <w:sz w:val="22"/>
                <w:szCs w:val="22"/>
              </w:rPr>
            </w:pPr>
            <w:r w:rsidRPr="005D302F">
              <w:rPr>
                <w:rFonts w:cstheme="minorHAnsi"/>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7757" w:rsidRPr="005D302F" w:rsidRDefault="00097757" w:rsidP="00E5228C">
            <w:pPr>
              <w:jc w:val="center"/>
              <w:rPr>
                <w:rFonts w:cstheme="minorHAnsi"/>
                <w:sz w:val="22"/>
                <w:szCs w:val="22"/>
              </w:rPr>
            </w:pPr>
            <w:r w:rsidRPr="005D302F">
              <w:rPr>
                <w:rFonts w:cstheme="minorHAnsi"/>
                <w:sz w:val="22"/>
                <w:szCs w:val="22"/>
              </w:rPr>
              <w:t>Maximum</w:t>
            </w:r>
          </w:p>
        </w:tc>
      </w:tr>
      <w:tr w:rsidR="00097757" w:rsidRPr="005D302F" w:rsidTr="00E5228C">
        <w:trPr>
          <w:trHeight w:val="610"/>
        </w:trPr>
        <w:tc>
          <w:tcPr>
            <w:tcW w:w="900" w:type="dxa"/>
            <w:vMerge/>
            <w:tcBorders>
              <w:left w:val="single" w:sz="4" w:space="0" w:color="auto"/>
              <w:right w:val="single" w:sz="4" w:space="0" w:color="auto"/>
            </w:tcBorders>
            <w:shd w:val="clear" w:color="auto" w:fill="FFFFFF" w:themeFill="background1"/>
            <w:vAlign w:val="center"/>
            <w:hideMark/>
          </w:tcPr>
          <w:p w:rsidR="00097757" w:rsidRPr="005D302F" w:rsidRDefault="00097757" w:rsidP="00E5228C">
            <w:pPr>
              <w:jc w:val="center"/>
              <w:rPr>
                <w:rFonts w:cstheme="minorHAnsi"/>
                <w:sz w:val="22"/>
                <w:szCs w:val="22"/>
              </w:rPr>
            </w:pPr>
          </w:p>
        </w:tc>
        <w:tc>
          <w:tcPr>
            <w:tcW w:w="1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757" w:rsidRPr="005D302F" w:rsidRDefault="00097757" w:rsidP="00E5228C">
            <w:pPr>
              <w:rPr>
                <w:rFonts w:cs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7757" w:rsidRPr="005D302F" w:rsidRDefault="00097757" w:rsidP="00E5228C">
            <w:pPr>
              <w:jc w:val="center"/>
              <w:rPr>
                <w:rFonts w:cstheme="minorHAnsi"/>
                <w:sz w:val="22"/>
                <w:szCs w:val="22"/>
              </w:rPr>
            </w:pPr>
            <w:r w:rsidRPr="005D302F">
              <w:rPr>
                <w:rFonts w:cstheme="minorHAnsi"/>
                <w:sz w:val="22"/>
                <w:szCs w:val="22"/>
              </w:rPr>
              <w:t>EAF</w:t>
            </w:r>
          </w:p>
          <w:p w:rsidR="00097757" w:rsidRPr="005D302F" w:rsidRDefault="00097757" w:rsidP="00E5228C">
            <w:pPr>
              <w:jc w:val="center"/>
              <w:rPr>
                <w:rFonts w:cstheme="minorHAnsi"/>
                <w:sz w:val="22"/>
                <w:szCs w:val="22"/>
              </w:rPr>
            </w:pPr>
            <w:r w:rsidRPr="005D302F">
              <w:rPr>
                <w:rFonts w:cstheme="minorHAnsi"/>
                <w:sz w:val="22"/>
                <w:szCs w:val="22"/>
              </w:rPr>
              <w:t>( %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7757" w:rsidRPr="005D302F" w:rsidRDefault="00097757" w:rsidP="00E5228C">
            <w:pPr>
              <w:jc w:val="center"/>
              <w:rPr>
                <w:rFonts w:cstheme="minorHAnsi"/>
                <w:sz w:val="22"/>
                <w:szCs w:val="22"/>
              </w:rPr>
            </w:pPr>
            <w:r w:rsidRPr="005D302F">
              <w:rPr>
                <w:rFonts w:cstheme="minorHAnsi"/>
                <w:sz w:val="22"/>
                <w:szCs w:val="22"/>
              </w:rPr>
              <w:t>EAF</w:t>
            </w:r>
          </w:p>
          <w:p w:rsidR="00097757" w:rsidRPr="005D302F" w:rsidRDefault="00097757" w:rsidP="00E5228C">
            <w:pPr>
              <w:jc w:val="center"/>
              <w:rPr>
                <w:rFonts w:cstheme="minorHAnsi"/>
                <w:sz w:val="22"/>
                <w:szCs w:val="22"/>
              </w:rPr>
            </w:pPr>
            <w:r w:rsidRPr="005D302F">
              <w:rPr>
                <w:rFonts w:cstheme="minorHAnsi"/>
                <w:sz w:val="22"/>
                <w:szCs w:val="22"/>
              </w:rPr>
              <w:t>( %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097757" w:rsidRPr="005D302F" w:rsidRDefault="00097757" w:rsidP="00E5228C">
            <w:pPr>
              <w:jc w:val="center"/>
              <w:rPr>
                <w:rFonts w:cstheme="minorHAnsi"/>
                <w:sz w:val="22"/>
                <w:szCs w:val="22"/>
              </w:rPr>
            </w:pPr>
            <w:r w:rsidRPr="005D302F">
              <w:rPr>
                <w:rFonts w:cstheme="minorHAnsi"/>
                <w:sz w:val="22"/>
                <w:szCs w:val="22"/>
              </w:rPr>
              <w:t>Savings</w:t>
            </w:r>
          </w:p>
          <w:p w:rsidR="00097757" w:rsidRPr="005D302F" w:rsidRDefault="00097757" w:rsidP="00E5228C">
            <w:pPr>
              <w:rPr>
                <w:rFonts w:cstheme="minorHAnsi"/>
                <w:sz w:val="22"/>
                <w:szCs w:val="22"/>
              </w:rPr>
            </w:pPr>
            <w:r w:rsidRPr="005D302F">
              <w:rPr>
                <w:rFonts w:cstheme="minorHAnsi"/>
                <w:sz w:val="22"/>
                <w:szCs w:val="22"/>
              </w:rPr>
              <w:t xml:space="preserve"> ($000's)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7757" w:rsidRPr="005D302F" w:rsidRDefault="00097757" w:rsidP="00E5228C">
            <w:pPr>
              <w:jc w:val="center"/>
              <w:rPr>
                <w:rFonts w:cstheme="minorHAnsi"/>
                <w:sz w:val="22"/>
                <w:szCs w:val="22"/>
              </w:rPr>
            </w:pPr>
            <w:r w:rsidRPr="005D302F">
              <w:rPr>
                <w:rFonts w:cstheme="minorHAnsi"/>
                <w:sz w:val="22"/>
                <w:szCs w:val="22"/>
              </w:rPr>
              <w:t>ANOHR</w:t>
            </w:r>
          </w:p>
          <w:p w:rsidR="00097757" w:rsidRPr="005D302F" w:rsidRDefault="00097757" w:rsidP="00E5228C">
            <w:pPr>
              <w:jc w:val="center"/>
              <w:rPr>
                <w:rFonts w:cstheme="minorHAnsi"/>
                <w:sz w:val="22"/>
                <w:szCs w:val="22"/>
              </w:rPr>
            </w:pPr>
            <w:r w:rsidRPr="005D302F">
              <w:rPr>
                <w:rFonts w:cstheme="minorHAnsi"/>
                <w:sz w:val="22"/>
                <w:szCs w:val="22"/>
              </w:rPr>
              <w:t>Btu/kWh</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7757" w:rsidRPr="005D302F" w:rsidRDefault="00097757" w:rsidP="00E5228C">
            <w:pPr>
              <w:jc w:val="center"/>
              <w:rPr>
                <w:rFonts w:cstheme="minorHAnsi"/>
                <w:sz w:val="22"/>
                <w:szCs w:val="22"/>
              </w:rPr>
            </w:pPr>
            <w:r w:rsidRPr="005D302F">
              <w:rPr>
                <w:rFonts w:cstheme="minorHAnsi"/>
                <w:sz w:val="22"/>
                <w:szCs w:val="22"/>
              </w:rPr>
              <w:t>ANOHR</w:t>
            </w:r>
          </w:p>
          <w:p w:rsidR="00097757" w:rsidRPr="005D302F" w:rsidRDefault="00097757" w:rsidP="00E5228C">
            <w:pPr>
              <w:jc w:val="center"/>
              <w:rPr>
                <w:rFonts w:cstheme="minorHAnsi"/>
                <w:sz w:val="22"/>
                <w:szCs w:val="22"/>
              </w:rPr>
            </w:pPr>
            <w:r w:rsidRPr="005D302F">
              <w:rPr>
                <w:rFonts w:cstheme="minorHAnsi"/>
                <w:sz w:val="22"/>
                <w:szCs w:val="22"/>
              </w:rPr>
              <w:t>Btu/kWh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7757" w:rsidRPr="005D302F" w:rsidRDefault="00097757" w:rsidP="00E5228C">
            <w:pPr>
              <w:jc w:val="center"/>
              <w:rPr>
                <w:rFonts w:cstheme="minorHAnsi"/>
                <w:sz w:val="22"/>
                <w:szCs w:val="22"/>
              </w:rPr>
            </w:pPr>
            <w:r w:rsidRPr="005D302F">
              <w:rPr>
                <w:rFonts w:cstheme="minorHAnsi"/>
                <w:sz w:val="22"/>
                <w:szCs w:val="22"/>
              </w:rPr>
              <w:t>Savings</w:t>
            </w:r>
          </w:p>
          <w:p w:rsidR="00097757" w:rsidRPr="005D302F" w:rsidRDefault="00097757" w:rsidP="00E5228C">
            <w:pPr>
              <w:jc w:val="center"/>
              <w:rPr>
                <w:rFonts w:cstheme="minorHAnsi"/>
                <w:sz w:val="22"/>
                <w:szCs w:val="22"/>
              </w:rPr>
            </w:pPr>
            <w:r w:rsidRPr="005D302F">
              <w:rPr>
                <w:rFonts w:cstheme="minorHAnsi"/>
                <w:sz w:val="22"/>
                <w:szCs w:val="22"/>
              </w:rPr>
              <w:t>($000's)</w:t>
            </w:r>
          </w:p>
        </w:tc>
      </w:tr>
      <w:tr w:rsidR="00097757" w:rsidRPr="005D302F" w:rsidTr="00E5228C">
        <w:trPr>
          <w:trHeight w:val="300"/>
        </w:trPr>
        <w:tc>
          <w:tcPr>
            <w:tcW w:w="900" w:type="dxa"/>
            <w:vMerge/>
            <w:tcBorders>
              <w:left w:val="single" w:sz="4" w:space="0" w:color="auto"/>
              <w:right w:val="single" w:sz="4" w:space="0" w:color="auto"/>
            </w:tcBorders>
            <w:shd w:val="clear" w:color="auto" w:fill="FFFFFF" w:themeFill="background1"/>
            <w:noWrap/>
            <w:vAlign w:val="center"/>
            <w:hideMark/>
          </w:tcPr>
          <w:p w:rsidR="00097757" w:rsidRPr="005D302F" w:rsidRDefault="00097757" w:rsidP="00E5228C">
            <w:pPr>
              <w:jc w:val="cente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7757" w:rsidRPr="00984C1C" w:rsidRDefault="00097757" w:rsidP="00E5228C">
            <w:pPr>
              <w:rPr>
                <w:rFonts w:cstheme="minorHAnsi"/>
                <w:sz w:val="22"/>
                <w:szCs w:val="22"/>
              </w:rPr>
            </w:pPr>
            <w:r w:rsidRPr="00984C1C">
              <w:rPr>
                <w:rFonts w:cstheme="minorHAnsi"/>
                <w:sz w:val="22"/>
                <w:szCs w:val="22"/>
              </w:rPr>
              <w:t>Bartow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8</w:t>
            </w:r>
            <w:r>
              <w:rPr>
                <w:rFonts w:cstheme="minorHAnsi"/>
                <w:sz w:val="22"/>
                <w:szCs w:val="22"/>
              </w:rPr>
              <w:t>4</w:t>
            </w:r>
            <w:r w:rsidRPr="00984C1C">
              <w:rPr>
                <w:rFonts w:cstheme="minorHAnsi"/>
                <w:sz w:val="22"/>
                <w:szCs w:val="22"/>
              </w:rPr>
              <w:t>.52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88.62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2,800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7,571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Pr>
                <w:rFonts w:cstheme="minorHAnsi"/>
                <w:sz w:val="22"/>
                <w:szCs w:val="22"/>
              </w:rPr>
              <w:t>7,928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Pr>
                <w:rFonts w:cstheme="minorHAnsi"/>
                <w:sz w:val="22"/>
                <w:szCs w:val="22"/>
              </w:rPr>
              <w:t>15,422</w:t>
            </w:r>
          </w:p>
        </w:tc>
      </w:tr>
      <w:tr w:rsidR="00097757" w:rsidRPr="005D302F" w:rsidTr="00E5228C">
        <w:trPr>
          <w:trHeight w:val="300"/>
        </w:trPr>
        <w:tc>
          <w:tcPr>
            <w:tcW w:w="900" w:type="dxa"/>
            <w:vMerge/>
            <w:tcBorders>
              <w:left w:val="single" w:sz="4" w:space="0" w:color="auto"/>
              <w:right w:val="single" w:sz="4" w:space="0" w:color="auto"/>
            </w:tcBorders>
            <w:shd w:val="clear" w:color="auto" w:fill="FFFFFF" w:themeFill="background1"/>
            <w:vAlign w:val="center"/>
          </w:tcPr>
          <w:p w:rsidR="00097757" w:rsidRPr="005D302F" w:rsidRDefault="00097757" w:rsidP="00E5228C">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rPr>
                <w:rFonts w:cstheme="minorHAnsi"/>
                <w:sz w:val="22"/>
                <w:szCs w:val="22"/>
              </w:rPr>
            </w:pPr>
            <w:r w:rsidRPr="00984C1C">
              <w:rPr>
                <w:rFonts w:cstheme="minorHAnsi"/>
                <w:sz w:val="22"/>
                <w:szCs w:val="22"/>
              </w:rPr>
              <w:t>Citrus County 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88.99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90.18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973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6,645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Pr>
                <w:rFonts w:cstheme="minorHAnsi"/>
                <w:sz w:val="22"/>
                <w:szCs w:val="22"/>
              </w:rPr>
              <w:t>6,770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Pr>
                <w:rFonts w:cstheme="minorHAnsi"/>
                <w:sz w:val="22"/>
                <w:szCs w:val="22"/>
              </w:rPr>
              <w:t>4,923</w:t>
            </w:r>
          </w:p>
        </w:tc>
      </w:tr>
      <w:tr w:rsidR="00097757" w:rsidRPr="005D302F" w:rsidTr="00E5228C">
        <w:trPr>
          <w:trHeight w:val="300"/>
        </w:trPr>
        <w:tc>
          <w:tcPr>
            <w:tcW w:w="900" w:type="dxa"/>
            <w:vMerge/>
            <w:tcBorders>
              <w:left w:val="single" w:sz="4" w:space="0" w:color="auto"/>
              <w:right w:val="single" w:sz="4" w:space="0" w:color="auto"/>
            </w:tcBorders>
            <w:shd w:val="clear" w:color="auto" w:fill="FFFFFF" w:themeFill="background1"/>
            <w:vAlign w:val="center"/>
          </w:tcPr>
          <w:p w:rsidR="00097757" w:rsidRPr="005D302F" w:rsidRDefault="00097757" w:rsidP="00E5228C">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rPr>
                <w:rFonts w:cstheme="minorHAnsi"/>
                <w:sz w:val="22"/>
                <w:szCs w:val="22"/>
              </w:rPr>
            </w:pPr>
            <w:r w:rsidRPr="00984C1C">
              <w:rPr>
                <w:rFonts w:cstheme="minorHAnsi"/>
                <w:sz w:val="22"/>
                <w:szCs w:val="22"/>
              </w:rPr>
              <w:t>Citrus County 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88.95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90.16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991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6,665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Pr>
                <w:rFonts w:cstheme="minorHAnsi"/>
                <w:sz w:val="22"/>
                <w:szCs w:val="22"/>
              </w:rPr>
              <w:t>6,785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Pr>
                <w:rFonts w:cstheme="minorHAnsi"/>
                <w:sz w:val="22"/>
                <w:szCs w:val="22"/>
              </w:rPr>
              <w:t>4,811</w:t>
            </w:r>
          </w:p>
        </w:tc>
      </w:tr>
      <w:tr w:rsidR="00097757" w:rsidRPr="005D302F" w:rsidTr="00E5228C">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097757" w:rsidRPr="005D302F" w:rsidRDefault="00097757" w:rsidP="00E5228C">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rPr>
                <w:rFonts w:cstheme="minorHAnsi"/>
                <w:sz w:val="22"/>
                <w:szCs w:val="22"/>
              </w:rPr>
            </w:pPr>
            <w:r w:rsidRPr="00984C1C">
              <w:rPr>
                <w:rFonts w:cstheme="minorHAnsi"/>
                <w:sz w:val="22"/>
                <w:szCs w:val="22"/>
              </w:rPr>
              <w:t>Crystal River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84.37</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91.42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1,794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10,972</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Pr>
                <w:rFonts w:cstheme="minorHAnsi"/>
                <w:sz w:val="22"/>
                <w:szCs w:val="22"/>
              </w:rPr>
              <w:t>11,674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Pr>
                <w:rFonts w:cstheme="minorHAnsi"/>
                <w:sz w:val="22"/>
                <w:szCs w:val="22"/>
              </w:rPr>
              <w:t>4,338</w:t>
            </w:r>
          </w:p>
        </w:tc>
      </w:tr>
      <w:tr w:rsidR="00097757" w:rsidRPr="005D302F" w:rsidTr="00E5228C">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097757" w:rsidRPr="005D302F" w:rsidRDefault="00097757" w:rsidP="00E5228C">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rPr>
                <w:rFonts w:cstheme="minorHAnsi"/>
                <w:sz w:val="22"/>
                <w:szCs w:val="22"/>
              </w:rPr>
            </w:pPr>
            <w:r w:rsidRPr="00984C1C">
              <w:rPr>
                <w:rFonts w:cstheme="minorHAnsi"/>
                <w:sz w:val="22"/>
                <w:szCs w:val="22"/>
              </w:rPr>
              <w:t>Hines 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center"/>
              <w:rPr>
                <w:rFonts w:cstheme="minorHAnsi"/>
                <w:sz w:val="22"/>
                <w:szCs w:val="22"/>
              </w:rPr>
            </w:pPr>
            <w:r w:rsidRPr="00984C1C">
              <w:rPr>
                <w:rFonts w:cstheme="minorHAnsi"/>
                <w:sz w:val="22"/>
                <w:szCs w:val="22"/>
              </w:rPr>
              <w:t xml:space="preserve">   81.52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83.63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791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7,368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Pr>
                <w:rFonts w:cstheme="minorHAnsi"/>
                <w:sz w:val="22"/>
                <w:szCs w:val="22"/>
              </w:rPr>
              <w:t>7,546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Pr>
                <w:rFonts w:cstheme="minorHAnsi"/>
                <w:sz w:val="22"/>
                <w:szCs w:val="22"/>
              </w:rPr>
              <w:t>3,168</w:t>
            </w:r>
          </w:p>
        </w:tc>
      </w:tr>
      <w:tr w:rsidR="00097757" w:rsidRPr="005D302F" w:rsidTr="00E5228C">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097757" w:rsidRPr="005D302F" w:rsidRDefault="00097757" w:rsidP="00E5228C">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rPr>
                <w:rFonts w:cstheme="minorHAnsi"/>
                <w:sz w:val="22"/>
                <w:szCs w:val="22"/>
              </w:rPr>
            </w:pPr>
            <w:r w:rsidRPr="00984C1C">
              <w:rPr>
                <w:rFonts w:cstheme="minorHAnsi"/>
                <w:sz w:val="22"/>
                <w:szCs w:val="22"/>
              </w:rPr>
              <w:t>Hines 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88.93</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89.63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256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7,624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Pr>
                <w:rFonts w:cstheme="minorHAnsi"/>
                <w:sz w:val="22"/>
                <w:szCs w:val="22"/>
              </w:rPr>
              <w:t>7,800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Pr>
                <w:rFonts w:cstheme="minorHAnsi"/>
                <w:sz w:val="22"/>
                <w:szCs w:val="22"/>
              </w:rPr>
              <w:t>2,426</w:t>
            </w:r>
          </w:p>
        </w:tc>
      </w:tr>
      <w:tr w:rsidR="00097757" w:rsidRPr="005D302F" w:rsidTr="00E5228C">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097757" w:rsidRPr="005D302F" w:rsidRDefault="00097757" w:rsidP="00E5228C">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rPr>
                <w:rFonts w:cstheme="minorHAnsi"/>
                <w:sz w:val="22"/>
                <w:szCs w:val="22"/>
              </w:rPr>
            </w:pPr>
            <w:r w:rsidRPr="00984C1C">
              <w:rPr>
                <w:rFonts w:cstheme="minorHAnsi"/>
                <w:sz w:val="22"/>
                <w:szCs w:val="22"/>
              </w:rPr>
              <w:t>Hines 3</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86.94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88.32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296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7,216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Pr>
                <w:rFonts w:cstheme="minorHAnsi"/>
                <w:sz w:val="22"/>
                <w:szCs w:val="22"/>
              </w:rPr>
              <w:t>7,377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Pr>
                <w:rFonts w:cstheme="minorHAnsi"/>
                <w:sz w:val="22"/>
                <w:szCs w:val="22"/>
              </w:rPr>
              <w:t>3,379</w:t>
            </w:r>
          </w:p>
        </w:tc>
      </w:tr>
      <w:tr w:rsidR="00097757" w:rsidRPr="005D302F" w:rsidTr="00E5228C">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097757" w:rsidRPr="005D302F" w:rsidRDefault="00097757" w:rsidP="00E5228C">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rPr>
                <w:rFonts w:cstheme="minorHAnsi"/>
                <w:sz w:val="22"/>
                <w:szCs w:val="22"/>
              </w:rPr>
            </w:pPr>
            <w:r w:rsidRPr="00984C1C">
              <w:rPr>
                <w:rFonts w:cstheme="minorHAnsi"/>
                <w:sz w:val="22"/>
                <w:szCs w:val="22"/>
              </w:rPr>
              <w:t>Hines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81.42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84.50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u w:val="single"/>
              </w:rPr>
            </w:pPr>
            <w:r w:rsidRPr="00984C1C">
              <w:rPr>
                <w:rFonts w:cstheme="minorHAnsi"/>
                <w:sz w:val="22"/>
                <w:szCs w:val="22"/>
                <w:u w:val="single"/>
              </w:rPr>
              <w:t>1,150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sidRPr="00984C1C">
              <w:rPr>
                <w:rFonts w:cstheme="minorHAnsi"/>
                <w:sz w:val="22"/>
                <w:szCs w:val="22"/>
              </w:rPr>
              <w:t>7,068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r>
              <w:rPr>
                <w:rFonts w:cstheme="minorHAnsi"/>
                <w:sz w:val="22"/>
                <w:szCs w:val="22"/>
              </w:rPr>
              <w:t>7,227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u w:val="single"/>
              </w:rPr>
            </w:pPr>
            <w:r>
              <w:rPr>
                <w:rFonts w:cstheme="minorHAnsi"/>
                <w:sz w:val="22"/>
                <w:szCs w:val="22"/>
                <w:u w:val="single"/>
              </w:rPr>
              <w:t>3,454</w:t>
            </w:r>
          </w:p>
        </w:tc>
      </w:tr>
      <w:tr w:rsidR="00097757" w:rsidRPr="005D302F" w:rsidTr="00E5228C">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097757" w:rsidRPr="005D302F" w:rsidRDefault="00097757" w:rsidP="00E5228C">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5D302F" w:rsidRDefault="00097757" w:rsidP="00E5228C">
            <w:pPr>
              <w:jc w:val="right"/>
              <w:rPr>
                <w:rFonts w:cstheme="minorHAnsi"/>
                <w:sz w:val="22"/>
                <w:szCs w:val="22"/>
              </w:rPr>
            </w:pPr>
            <w:r w:rsidRPr="005D302F">
              <w:rPr>
                <w:rFonts w:cstheme="minorHAnsi"/>
                <w:sz w:val="22"/>
                <w:szCs w:val="22"/>
              </w:rPr>
              <w:t>Totals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4A44BF" w:rsidRDefault="00097757" w:rsidP="00E5228C">
            <w:pPr>
              <w:jc w:val="right"/>
              <w:rPr>
                <w:rFonts w:cstheme="minorHAnsi"/>
                <w:sz w:val="22"/>
                <w:szCs w:val="22"/>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u w:val="double"/>
              </w:rPr>
            </w:pPr>
            <w:r w:rsidRPr="00984C1C">
              <w:rPr>
                <w:rFonts w:cstheme="minorHAnsi"/>
                <w:sz w:val="22"/>
                <w:szCs w:val="22"/>
                <w:u w:val="double"/>
              </w:rPr>
              <w:t>9,050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4A44BF" w:rsidRDefault="00097757" w:rsidP="00E5228C">
            <w:pPr>
              <w:jc w:val="right"/>
              <w:rPr>
                <w:rFonts w:cstheme="minorHAnsi"/>
                <w:sz w:val="22"/>
                <w:szCs w:val="22"/>
                <w:highlight w:val="yellow"/>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97757" w:rsidRPr="00984C1C" w:rsidRDefault="00097757" w:rsidP="00E5228C">
            <w:pPr>
              <w:jc w:val="right"/>
              <w:rPr>
                <w:rFonts w:cstheme="minorHAnsi"/>
                <w:sz w:val="22"/>
                <w:szCs w:val="22"/>
                <w:u w:val="double"/>
              </w:rPr>
            </w:pPr>
            <w:r>
              <w:rPr>
                <w:rFonts w:cstheme="minorHAnsi"/>
                <w:sz w:val="22"/>
                <w:szCs w:val="22"/>
                <w:u w:val="double"/>
              </w:rPr>
              <w:t>41,921</w:t>
            </w:r>
          </w:p>
        </w:tc>
      </w:tr>
    </w:tbl>
    <w:p w:rsidR="00097757" w:rsidRPr="005D302F" w:rsidRDefault="00097757" w:rsidP="00097757">
      <w:pPr>
        <w:autoSpaceDE w:val="0"/>
        <w:autoSpaceDN w:val="0"/>
        <w:adjustRightInd w:val="0"/>
        <w:ind w:left="1440" w:hanging="1440"/>
      </w:pPr>
      <w:r w:rsidRPr="005D302F">
        <w:t xml:space="preserve"> </w:t>
      </w:r>
      <w:r w:rsidRPr="00984C1C">
        <w:rPr>
          <w:sz w:val="22"/>
          <w:szCs w:val="22"/>
        </w:rPr>
        <w:t>Source: GPIF Target and Range Summary (Exhibit MIJ-1P, Page 4 of 85).</w:t>
      </w:r>
    </w:p>
    <w:p w:rsidR="00097757" w:rsidRDefault="00097757" w:rsidP="00097757"/>
    <w:p w:rsidR="00097757" w:rsidRDefault="00097757" w:rsidP="00097757">
      <w:pPr>
        <w:rPr>
          <w:bCs/>
        </w:rPr>
      </w:pPr>
      <w:r w:rsidRPr="005677B8">
        <w:t>FPL:</w:t>
      </w:r>
      <w:r w:rsidRPr="005677B8">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900"/>
        <w:gridCol w:w="900"/>
        <w:gridCol w:w="1080"/>
        <w:gridCol w:w="1260"/>
        <w:gridCol w:w="1260"/>
        <w:gridCol w:w="1350"/>
      </w:tblGrid>
      <w:tr w:rsidR="00097757" w:rsidRPr="005D302F" w:rsidTr="00E5228C">
        <w:trPr>
          <w:cantSplit/>
          <w:tblHeader/>
        </w:trPr>
        <w:tc>
          <w:tcPr>
            <w:tcW w:w="9360" w:type="dxa"/>
            <w:gridSpan w:val="8"/>
            <w:tcBorders>
              <w:top w:val="nil"/>
              <w:left w:val="nil"/>
              <w:bottom w:val="nil"/>
              <w:right w:val="nil"/>
            </w:tcBorders>
            <w:shd w:val="clear" w:color="auto" w:fill="auto"/>
            <w:vAlign w:val="center"/>
          </w:tcPr>
          <w:p w:rsidR="00097757" w:rsidRPr="00A83F86" w:rsidRDefault="00097757" w:rsidP="00E5228C">
            <w:pPr>
              <w:rPr>
                <w:rFonts w:ascii="Arial" w:hAnsi="Arial" w:cs="Arial"/>
                <w:b/>
              </w:rPr>
            </w:pPr>
          </w:p>
          <w:p w:rsidR="00097757" w:rsidRPr="00A83F86" w:rsidRDefault="00097757" w:rsidP="00E5228C">
            <w:pPr>
              <w:jc w:val="center"/>
            </w:pPr>
            <w:r w:rsidRPr="00A83F86">
              <w:rPr>
                <w:rFonts w:ascii="Arial" w:hAnsi="Arial" w:cs="Arial"/>
                <w:b/>
              </w:rPr>
              <w:t>Table 15-2</w:t>
            </w:r>
          </w:p>
        </w:tc>
      </w:tr>
      <w:tr w:rsidR="00097757" w:rsidRPr="005D302F" w:rsidTr="00E5228C">
        <w:trPr>
          <w:cantSplit/>
          <w:tblHeader/>
        </w:trPr>
        <w:tc>
          <w:tcPr>
            <w:tcW w:w="9360" w:type="dxa"/>
            <w:gridSpan w:val="8"/>
            <w:tcBorders>
              <w:top w:val="nil"/>
              <w:left w:val="nil"/>
              <w:right w:val="nil"/>
            </w:tcBorders>
            <w:shd w:val="clear" w:color="auto" w:fill="auto"/>
            <w:vAlign w:val="center"/>
          </w:tcPr>
          <w:p w:rsidR="00097757" w:rsidRPr="00A83F86" w:rsidRDefault="00097757" w:rsidP="00E5228C">
            <w:pPr>
              <w:jc w:val="center"/>
            </w:pPr>
            <w:r w:rsidRPr="00A83F86">
              <w:rPr>
                <w:rFonts w:ascii="Arial" w:hAnsi="Arial" w:cs="Arial"/>
                <w:b/>
              </w:rPr>
              <w:t>GPIF Targets/Ranges for the period January-December, 2023</w:t>
            </w:r>
          </w:p>
        </w:tc>
      </w:tr>
      <w:tr w:rsidR="00097757" w:rsidRPr="005D302F" w:rsidTr="00E5228C">
        <w:trPr>
          <w:cantSplit/>
          <w:tblHeader/>
        </w:trPr>
        <w:tc>
          <w:tcPr>
            <w:tcW w:w="900" w:type="dxa"/>
            <w:vMerge w:val="restart"/>
            <w:tcBorders>
              <w:top w:val="single" w:sz="4" w:space="0" w:color="auto"/>
              <w:left w:val="single" w:sz="4" w:space="0" w:color="auto"/>
              <w:right w:val="single" w:sz="4" w:space="0" w:color="auto"/>
            </w:tcBorders>
            <w:vAlign w:val="center"/>
            <w:hideMark/>
          </w:tcPr>
          <w:p w:rsidR="00097757" w:rsidRPr="00785F80" w:rsidRDefault="00097757" w:rsidP="00E5228C">
            <w:pPr>
              <w:rPr>
                <w:sz w:val="22"/>
                <w:szCs w:val="22"/>
              </w:rPr>
            </w:pPr>
          </w:p>
          <w:p w:rsidR="00097757" w:rsidRPr="00785F80" w:rsidRDefault="00097757" w:rsidP="00E5228C">
            <w:pPr>
              <w:jc w:val="center"/>
              <w:rPr>
                <w:b/>
                <w:bCs/>
                <w:sz w:val="22"/>
                <w:szCs w:val="22"/>
              </w:rPr>
            </w:pPr>
            <w:r w:rsidRPr="00785F80">
              <w:rPr>
                <w:b/>
                <w:bCs/>
                <w:sz w:val="22"/>
                <w:szCs w:val="22"/>
              </w:rPr>
              <w:t>FPL</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097757" w:rsidRPr="00785F80" w:rsidRDefault="00097757" w:rsidP="00E5228C">
            <w:pPr>
              <w:jc w:val="center"/>
              <w:rPr>
                <w:sz w:val="22"/>
                <w:szCs w:val="22"/>
              </w:rPr>
            </w:pPr>
            <w:r w:rsidRPr="00785F80">
              <w:rPr>
                <w:sz w:val="22"/>
                <w:szCs w:val="22"/>
              </w:rPr>
              <w:t>Plant/Unit</w:t>
            </w:r>
          </w:p>
        </w:tc>
        <w:tc>
          <w:tcPr>
            <w:tcW w:w="2880" w:type="dxa"/>
            <w:gridSpan w:val="3"/>
            <w:tcBorders>
              <w:top w:val="single" w:sz="4" w:space="0" w:color="auto"/>
              <w:left w:val="single" w:sz="4" w:space="0" w:color="auto"/>
              <w:bottom w:val="single" w:sz="4" w:space="0" w:color="auto"/>
              <w:right w:val="single" w:sz="4" w:space="0" w:color="auto"/>
            </w:tcBorders>
            <w:hideMark/>
          </w:tcPr>
          <w:p w:rsidR="00097757" w:rsidRPr="00785F80" w:rsidRDefault="00097757" w:rsidP="00E5228C">
            <w:pPr>
              <w:jc w:val="center"/>
              <w:rPr>
                <w:sz w:val="22"/>
                <w:szCs w:val="22"/>
              </w:rPr>
            </w:pPr>
            <w:r w:rsidRPr="00785F80">
              <w:rPr>
                <w:sz w:val="22"/>
                <w:szCs w:val="22"/>
              </w:rPr>
              <w:t>EAF</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rsidR="00097757" w:rsidRPr="00785F80" w:rsidRDefault="00097757" w:rsidP="00E5228C">
            <w:pPr>
              <w:jc w:val="center"/>
              <w:rPr>
                <w:sz w:val="22"/>
                <w:szCs w:val="22"/>
              </w:rPr>
            </w:pPr>
            <w:r w:rsidRPr="00785F80">
              <w:rPr>
                <w:sz w:val="22"/>
                <w:szCs w:val="22"/>
              </w:rPr>
              <w:t>ANOHR</w:t>
            </w:r>
          </w:p>
        </w:tc>
      </w:tr>
      <w:tr w:rsidR="00097757" w:rsidRPr="005D302F" w:rsidTr="00E5228C">
        <w:trPr>
          <w:cantSplit/>
          <w:tblHeader/>
        </w:trPr>
        <w:tc>
          <w:tcPr>
            <w:tcW w:w="900" w:type="dxa"/>
            <w:vMerge/>
            <w:tcBorders>
              <w:left w:val="single" w:sz="4" w:space="0" w:color="auto"/>
              <w:right w:val="single" w:sz="4" w:space="0" w:color="auto"/>
            </w:tcBorders>
            <w:vAlign w:val="center"/>
            <w:hideMark/>
          </w:tcPr>
          <w:p w:rsidR="00097757" w:rsidRPr="005D302F" w:rsidRDefault="00097757" w:rsidP="00E5228C">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097757" w:rsidRPr="005D302F" w:rsidRDefault="00097757" w:rsidP="00E5228C">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097757" w:rsidRPr="005D302F" w:rsidRDefault="00097757" w:rsidP="00E5228C">
            <w:pPr>
              <w:jc w:val="center"/>
              <w:rPr>
                <w:sz w:val="22"/>
                <w:szCs w:val="22"/>
              </w:rPr>
            </w:pPr>
            <w:r w:rsidRPr="005D302F">
              <w:rPr>
                <w:sz w:val="22"/>
                <w:szCs w:val="22"/>
              </w:rPr>
              <w:t>Target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097757" w:rsidRPr="005D302F" w:rsidRDefault="00097757" w:rsidP="00E5228C">
            <w:pPr>
              <w:jc w:val="center"/>
              <w:rPr>
                <w:sz w:val="22"/>
                <w:szCs w:val="22"/>
              </w:rPr>
            </w:pPr>
            <w:r w:rsidRPr="005D302F">
              <w:rPr>
                <w:sz w:val="22"/>
                <w:szCs w:val="22"/>
              </w:rPr>
              <w:t>Maximum</w:t>
            </w:r>
          </w:p>
        </w:tc>
        <w:tc>
          <w:tcPr>
            <w:tcW w:w="1260" w:type="dxa"/>
            <w:tcBorders>
              <w:top w:val="single" w:sz="4" w:space="0" w:color="auto"/>
              <w:left w:val="single" w:sz="4" w:space="0" w:color="auto"/>
              <w:bottom w:val="single" w:sz="4" w:space="0" w:color="auto"/>
              <w:right w:val="single" w:sz="4" w:space="0" w:color="auto"/>
            </w:tcBorders>
            <w:vAlign w:val="center"/>
            <w:hideMark/>
          </w:tcPr>
          <w:p w:rsidR="00097757" w:rsidRPr="005D302F" w:rsidRDefault="00097757" w:rsidP="00E5228C">
            <w:pPr>
              <w:jc w:val="center"/>
              <w:rPr>
                <w:sz w:val="22"/>
                <w:szCs w:val="22"/>
              </w:rPr>
            </w:pPr>
            <w:r w:rsidRPr="005D302F">
              <w:rPr>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rsidR="00097757" w:rsidRPr="005D302F" w:rsidRDefault="00097757" w:rsidP="00E5228C">
            <w:pPr>
              <w:jc w:val="center"/>
              <w:rPr>
                <w:sz w:val="22"/>
                <w:szCs w:val="22"/>
              </w:rPr>
            </w:pPr>
            <w:r w:rsidRPr="005D302F">
              <w:rPr>
                <w:sz w:val="22"/>
                <w:szCs w:val="22"/>
              </w:rPr>
              <w:t>Maximum</w:t>
            </w:r>
          </w:p>
        </w:tc>
      </w:tr>
      <w:tr w:rsidR="00097757" w:rsidRPr="005D302F" w:rsidTr="00E5228C">
        <w:trPr>
          <w:cantSplit/>
          <w:trHeight w:val="665"/>
          <w:tblHeader/>
        </w:trPr>
        <w:tc>
          <w:tcPr>
            <w:tcW w:w="900" w:type="dxa"/>
            <w:vMerge/>
            <w:tcBorders>
              <w:left w:val="single" w:sz="4" w:space="0" w:color="auto"/>
              <w:right w:val="single" w:sz="4" w:space="0" w:color="auto"/>
            </w:tcBorders>
            <w:vAlign w:val="center"/>
            <w:hideMark/>
          </w:tcPr>
          <w:p w:rsidR="00097757" w:rsidRPr="005D302F" w:rsidRDefault="00097757" w:rsidP="00E5228C">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097757" w:rsidRPr="005D302F" w:rsidRDefault="00097757" w:rsidP="00E5228C">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097757" w:rsidRPr="005D302F" w:rsidRDefault="00097757" w:rsidP="00E5228C">
            <w:pPr>
              <w:jc w:val="center"/>
              <w:rPr>
                <w:sz w:val="22"/>
                <w:szCs w:val="22"/>
              </w:rPr>
            </w:pPr>
            <w:r w:rsidRPr="005D302F">
              <w:rPr>
                <w:sz w:val="22"/>
                <w:szCs w:val="22"/>
              </w:rPr>
              <w:t>EAF</w:t>
            </w:r>
          </w:p>
          <w:p w:rsidR="00097757" w:rsidRPr="005D302F" w:rsidRDefault="00097757" w:rsidP="00E5228C">
            <w:pPr>
              <w:jc w:val="center"/>
              <w:rPr>
                <w:sz w:val="22"/>
                <w:szCs w:val="22"/>
              </w:rPr>
            </w:pPr>
            <w:r w:rsidRPr="005D302F">
              <w:rPr>
                <w:sz w:val="22"/>
                <w:szCs w:val="22"/>
              </w:rPr>
              <w:t>( % )</w:t>
            </w:r>
          </w:p>
        </w:tc>
        <w:tc>
          <w:tcPr>
            <w:tcW w:w="900" w:type="dxa"/>
            <w:tcBorders>
              <w:top w:val="single" w:sz="4" w:space="0" w:color="auto"/>
              <w:left w:val="single" w:sz="4" w:space="0" w:color="auto"/>
              <w:bottom w:val="single" w:sz="4" w:space="0" w:color="auto"/>
              <w:right w:val="single" w:sz="4" w:space="0" w:color="auto"/>
            </w:tcBorders>
            <w:vAlign w:val="center"/>
            <w:hideMark/>
          </w:tcPr>
          <w:p w:rsidR="00097757" w:rsidRPr="005D302F" w:rsidRDefault="00097757" w:rsidP="00E5228C">
            <w:pPr>
              <w:jc w:val="center"/>
              <w:rPr>
                <w:sz w:val="22"/>
                <w:szCs w:val="22"/>
              </w:rPr>
            </w:pPr>
            <w:r w:rsidRPr="005D302F">
              <w:rPr>
                <w:sz w:val="22"/>
                <w:szCs w:val="22"/>
              </w:rPr>
              <w:t>EAF</w:t>
            </w:r>
          </w:p>
          <w:p w:rsidR="00097757" w:rsidRPr="005D302F" w:rsidRDefault="00097757" w:rsidP="00E5228C">
            <w:pPr>
              <w:jc w:val="center"/>
              <w:rPr>
                <w:sz w:val="22"/>
                <w:szCs w:val="22"/>
              </w:rPr>
            </w:pPr>
            <w:r w:rsidRPr="005D302F">
              <w:rPr>
                <w:sz w:val="22"/>
                <w:szCs w:val="22"/>
              </w:rPr>
              <w:t>( % )</w:t>
            </w:r>
          </w:p>
        </w:tc>
        <w:tc>
          <w:tcPr>
            <w:tcW w:w="1080" w:type="dxa"/>
            <w:tcBorders>
              <w:top w:val="single" w:sz="4" w:space="0" w:color="auto"/>
              <w:left w:val="single" w:sz="4" w:space="0" w:color="auto"/>
              <w:bottom w:val="single" w:sz="4" w:space="0" w:color="auto"/>
              <w:right w:val="single" w:sz="4" w:space="0" w:color="auto"/>
            </w:tcBorders>
            <w:vAlign w:val="center"/>
            <w:hideMark/>
          </w:tcPr>
          <w:p w:rsidR="00097757" w:rsidRPr="005D302F" w:rsidRDefault="00097757" w:rsidP="00E5228C">
            <w:pPr>
              <w:jc w:val="center"/>
              <w:rPr>
                <w:sz w:val="22"/>
                <w:szCs w:val="22"/>
              </w:rPr>
            </w:pPr>
            <w:r w:rsidRPr="005D302F">
              <w:rPr>
                <w:sz w:val="22"/>
                <w:szCs w:val="22"/>
              </w:rPr>
              <w:t>Savings</w:t>
            </w:r>
          </w:p>
          <w:p w:rsidR="00097757" w:rsidRPr="005D302F" w:rsidRDefault="00097757" w:rsidP="00E5228C">
            <w:pPr>
              <w:jc w:val="center"/>
              <w:rPr>
                <w:sz w:val="22"/>
                <w:szCs w:val="22"/>
              </w:rPr>
            </w:pPr>
            <w:r w:rsidRPr="005D302F">
              <w:rPr>
                <w:sz w:val="22"/>
                <w:szCs w:val="22"/>
              </w:rPr>
              <w:t>($000's)</w:t>
            </w:r>
          </w:p>
        </w:tc>
        <w:tc>
          <w:tcPr>
            <w:tcW w:w="1260" w:type="dxa"/>
            <w:tcBorders>
              <w:top w:val="single" w:sz="4" w:space="0" w:color="auto"/>
              <w:left w:val="single" w:sz="4" w:space="0" w:color="auto"/>
              <w:bottom w:val="single" w:sz="4" w:space="0" w:color="auto"/>
              <w:right w:val="single" w:sz="4" w:space="0" w:color="auto"/>
            </w:tcBorders>
            <w:vAlign w:val="center"/>
            <w:hideMark/>
          </w:tcPr>
          <w:p w:rsidR="00097757" w:rsidRPr="005D302F" w:rsidRDefault="00097757" w:rsidP="00E5228C">
            <w:pPr>
              <w:jc w:val="center"/>
              <w:rPr>
                <w:sz w:val="22"/>
                <w:szCs w:val="22"/>
              </w:rPr>
            </w:pPr>
            <w:r w:rsidRPr="005D302F">
              <w:rPr>
                <w:sz w:val="22"/>
                <w:szCs w:val="22"/>
              </w:rPr>
              <w:t>ANOHR</w:t>
            </w:r>
          </w:p>
          <w:p w:rsidR="00097757" w:rsidRPr="005D302F" w:rsidRDefault="00097757" w:rsidP="00E5228C">
            <w:pPr>
              <w:jc w:val="center"/>
              <w:rPr>
                <w:sz w:val="22"/>
                <w:szCs w:val="22"/>
              </w:rPr>
            </w:pPr>
            <w:r w:rsidRPr="005D302F">
              <w:rPr>
                <w:sz w:val="22"/>
                <w:szCs w:val="22"/>
              </w:rPr>
              <w:t>Btu/kWh</w:t>
            </w:r>
          </w:p>
        </w:tc>
        <w:tc>
          <w:tcPr>
            <w:tcW w:w="1260" w:type="dxa"/>
            <w:tcBorders>
              <w:top w:val="single" w:sz="4" w:space="0" w:color="auto"/>
              <w:left w:val="single" w:sz="4" w:space="0" w:color="auto"/>
              <w:bottom w:val="single" w:sz="4" w:space="0" w:color="auto"/>
              <w:right w:val="single" w:sz="4" w:space="0" w:color="auto"/>
            </w:tcBorders>
            <w:vAlign w:val="center"/>
            <w:hideMark/>
          </w:tcPr>
          <w:p w:rsidR="00097757" w:rsidRPr="005D302F" w:rsidRDefault="00097757" w:rsidP="00E5228C">
            <w:pPr>
              <w:jc w:val="center"/>
              <w:rPr>
                <w:sz w:val="22"/>
                <w:szCs w:val="22"/>
              </w:rPr>
            </w:pPr>
            <w:r w:rsidRPr="005D302F">
              <w:rPr>
                <w:sz w:val="22"/>
                <w:szCs w:val="22"/>
              </w:rPr>
              <w:t>ANOHR</w:t>
            </w:r>
          </w:p>
          <w:p w:rsidR="00097757" w:rsidRPr="005D302F" w:rsidRDefault="00097757" w:rsidP="00E5228C">
            <w:pPr>
              <w:jc w:val="center"/>
              <w:rPr>
                <w:sz w:val="22"/>
                <w:szCs w:val="22"/>
              </w:rPr>
            </w:pPr>
            <w:r w:rsidRPr="005D302F">
              <w:rPr>
                <w:sz w:val="22"/>
                <w:szCs w:val="22"/>
              </w:rPr>
              <w:t>Btu/kWh</w:t>
            </w:r>
          </w:p>
        </w:tc>
        <w:tc>
          <w:tcPr>
            <w:tcW w:w="1350" w:type="dxa"/>
            <w:tcBorders>
              <w:top w:val="single" w:sz="4" w:space="0" w:color="auto"/>
              <w:left w:val="single" w:sz="4" w:space="0" w:color="auto"/>
              <w:bottom w:val="single" w:sz="4" w:space="0" w:color="auto"/>
              <w:right w:val="single" w:sz="4" w:space="0" w:color="auto"/>
            </w:tcBorders>
            <w:vAlign w:val="center"/>
            <w:hideMark/>
          </w:tcPr>
          <w:p w:rsidR="00097757" w:rsidRPr="005D302F" w:rsidRDefault="00097757" w:rsidP="00E5228C">
            <w:pPr>
              <w:jc w:val="center"/>
              <w:rPr>
                <w:sz w:val="22"/>
                <w:szCs w:val="22"/>
              </w:rPr>
            </w:pPr>
            <w:r w:rsidRPr="005D302F">
              <w:rPr>
                <w:sz w:val="22"/>
                <w:szCs w:val="22"/>
              </w:rPr>
              <w:t>Savings</w:t>
            </w:r>
          </w:p>
          <w:p w:rsidR="00097757" w:rsidRPr="005D302F" w:rsidRDefault="00097757" w:rsidP="00E5228C">
            <w:pPr>
              <w:jc w:val="center"/>
              <w:rPr>
                <w:sz w:val="22"/>
                <w:szCs w:val="22"/>
              </w:rPr>
            </w:pPr>
            <w:r w:rsidRPr="005D302F">
              <w:rPr>
                <w:sz w:val="22"/>
                <w:szCs w:val="22"/>
              </w:rPr>
              <w:t>($000's)</w:t>
            </w:r>
          </w:p>
        </w:tc>
      </w:tr>
      <w:tr w:rsidR="00097757" w:rsidRPr="005D302F" w:rsidTr="00E5228C">
        <w:trPr>
          <w:trHeight w:val="300"/>
        </w:trPr>
        <w:tc>
          <w:tcPr>
            <w:tcW w:w="900" w:type="dxa"/>
            <w:vMerge/>
            <w:tcBorders>
              <w:left w:val="single" w:sz="4" w:space="0" w:color="auto"/>
              <w:right w:val="single" w:sz="4" w:space="0" w:color="auto"/>
            </w:tcBorders>
            <w:noWrap/>
            <w:vAlign w:val="center"/>
            <w:hideMark/>
          </w:tcPr>
          <w:p w:rsidR="00097757" w:rsidRPr="005D302F" w:rsidRDefault="00097757" w:rsidP="00E5228C">
            <w:pPr>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7757" w:rsidRPr="005D302F" w:rsidRDefault="00097757" w:rsidP="00E5228C">
            <w:pPr>
              <w:rPr>
                <w:sz w:val="22"/>
                <w:szCs w:val="22"/>
              </w:rPr>
            </w:pPr>
            <w:r w:rsidRPr="005D302F">
              <w:rPr>
                <w:sz w:val="22"/>
                <w:szCs w:val="22"/>
              </w:rPr>
              <w:t>Canaveral 3</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5D302F" w:rsidRDefault="00097757" w:rsidP="00E5228C">
            <w:pPr>
              <w:jc w:val="right"/>
              <w:rPr>
                <w:sz w:val="22"/>
                <w:szCs w:val="22"/>
              </w:rPr>
            </w:pPr>
            <w:r>
              <w:rPr>
                <w:sz w:val="22"/>
                <w:szCs w:val="22"/>
              </w:rPr>
              <w:t>90.9</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5D302F" w:rsidRDefault="00097757" w:rsidP="00E5228C">
            <w:pPr>
              <w:jc w:val="right"/>
              <w:rPr>
                <w:sz w:val="22"/>
                <w:szCs w:val="22"/>
              </w:rPr>
            </w:pPr>
            <w:r>
              <w:rPr>
                <w:sz w:val="22"/>
                <w:szCs w:val="22"/>
              </w:rPr>
              <w:t>93.4</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5D302F" w:rsidRDefault="00097757" w:rsidP="00E5228C">
            <w:pPr>
              <w:jc w:val="right"/>
              <w:rPr>
                <w:sz w:val="22"/>
                <w:szCs w:val="22"/>
              </w:rPr>
            </w:pPr>
            <w:r>
              <w:rPr>
                <w:sz w:val="22"/>
                <w:szCs w:val="22"/>
              </w:rPr>
              <w:t>404</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5D302F" w:rsidRDefault="00097757" w:rsidP="00E5228C">
            <w:pPr>
              <w:jc w:val="right"/>
              <w:rPr>
                <w:sz w:val="22"/>
                <w:szCs w:val="22"/>
              </w:rPr>
            </w:pPr>
            <w:r>
              <w:rPr>
                <w:sz w:val="22"/>
                <w:szCs w:val="22"/>
              </w:rPr>
              <w:t>6,734</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5D302F" w:rsidRDefault="00097757" w:rsidP="00E5228C">
            <w:pPr>
              <w:jc w:val="right"/>
              <w:rPr>
                <w:sz w:val="22"/>
                <w:szCs w:val="22"/>
              </w:rPr>
            </w:pPr>
            <w:r>
              <w:rPr>
                <w:sz w:val="22"/>
                <w:szCs w:val="22"/>
              </w:rPr>
              <w:t>6,639</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5D302F" w:rsidRDefault="00097757" w:rsidP="00E5228C">
            <w:pPr>
              <w:jc w:val="right"/>
              <w:rPr>
                <w:sz w:val="22"/>
                <w:szCs w:val="22"/>
              </w:rPr>
            </w:pPr>
            <w:r>
              <w:rPr>
                <w:sz w:val="22"/>
                <w:szCs w:val="22"/>
              </w:rPr>
              <w:t>2,810</w:t>
            </w:r>
          </w:p>
        </w:tc>
      </w:tr>
      <w:tr w:rsidR="00097757" w:rsidRPr="005D302F" w:rsidTr="00E5228C">
        <w:trPr>
          <w:trHeight w:val="300"/>
        </w:trPr>
        <w:tc>
          <w:tcPr>
            <w:tcW w:w="900" w:type="dxa"/>
            <w:vMerge/>
            <w:tcBorders>
              <w:left w:val="single" w:sz="4" w:space="0" w:color="auto"/>
              <w:right w:val="single" w:sz="4" w:space="0" w:color="auto"/>
            </w:tcBorders>
            <w:vAlign w:val="center"/>
            <w:hideMark/>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7757" w:rsidRPr="00785F80" w:rsidRDefault="00097757" w:rsidP="00E5228C">
            <w:pPr>
              <w:rPr>
                <w:sz w:val="22"/>
                <w:szCs w:val="22"/>
              </w:rPr>
            </w:pPr>
            <w:r w:rsidRPr="00785F80">
              <w:rPr>
                <w:sz w:val="22"/>
                <w:szCs w:val="22"/>
              </w:rPr>
              <w:t>Ft. Myers 2</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88.4</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90.9</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396</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7,139</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7,020</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6,114</w:t>
            </w:r>
          </w:p>
        </w:tc>
      </w:tr>
      <w:tr w:rsidR="00097757" w:rsidRPr="005D302F" w:rsidTr="00E5228C">
        <w:trPr>
          <w:trHeight w:val="300"/>
        </w:trPr>
        <w:tc>
          <w:tcPr>
            <w:tcW w:w="900" w:type="dxa"/>
            <w:vMerge/>
            <w:tcBorders>
              <w:left w:val="single" w:sz="4" w:space="0" w:color="auto"/>
              <w:right w:val="single" w:sz="4" w:space="0" w:color="auto"/>
            </w:tcBorders>
            <w:vAlign w:val="center"/>
            <w:hideMark/>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rPr>
                <w:sz w:val="22"/>
                <w:szCs w:val="22"/>
              </w:rPr>
            </w:pPr>
            <w:r w:rsidRPr="00785F80">
              <w:rPr>
                <w:sz w:val="22"/>
                <w:szCs w:val="22"/>
              </w:rPr>
              <w:t>Manatee 3</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84.5</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87.0</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519</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6,935</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6,680</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9,852</w:t>
            </w:r>
          </w:p>
        </w:tc>
      </w:tr>
      <w:tr w:rsidR="00097757" w:rsidRPr="005D302F" w:rsidTr="00E5228C">
        <w:trPr>
          <w:trHeight w:val="300"/>
        </w:trPr>
        <w:tc>
          <w:tcPr>
            <w:tcW w:w="900" w:type="dxa"/>
            <w:vMerge/>
            <w:tcBorders>
              <w:left w:val="single" w:sz="4" w:space="0" w:color="auto"/>
              <w:right w:val="single" w:sz="4" w:space="0" w:color="auto"/>
            </w:tcBorders>
            <w:vAlign w:val="center"/>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rPr>
                <w:sz w:val="22"/>
                <w:szCs w:val="22"/>
              </w:rPr>
            </w:pPr>
            <w:r w:rsidRPr="00785F80">
              <w:rPr>
                <w:sz w:val="22"/>
                <w:szCs w:val="22"/>
              </w:rPr>
              <w:t>Martin 8</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82.3</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84.8</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414</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6,995</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6,882</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3,593</w:t>
            </w:r>
          </w:p>
        </w:tc>
      </w:tr>
      <w:tr w:rsidR="00097757" w:rsidRPr="005D302F" w:rsidTr="00E5228C">
        <w:trPr>
          <w:trHeight w:val="300"/>
        </w:trPr>
        <w:tc>
          <w:tcPr>
            <w:tcW w:w="900" w:type="dxa"/>
            <w:vMerge/>
            <w:tcBorders>
              <w:left w:val="single" w:sz="4" w:space="0" w:color="auto"/>
              <w:right w:val="single" w:sz="4" w:space="0" w:color="auto"/>
            </w:tcBorders>
            <w:vAlign w:val="center"/>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rPr>
                <w:sz w:val="22"/>
                <w:szCs w:val="22"/>
              </w:rPr>
            </w:pPr>
            <w:r w:rsidRPr="00785F80">
              <w:rPr>
                <w:sz w:val="22"/>
                <w:szCs w:val="22"/>
              </w:rPr>
              <w:t>Okeechobee</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90.8</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93.3</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741</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6,355</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6,268</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5,866</w:t>
            </w:r>
          </w:p>
        </w:tc>
      </w:tr>
      <w:tr w:rsidR="00097757" w:rsidRPr="005D302F" w:rsidTr="00E5228C">
        <w:trPr>
          <w:trHeight w:val="300"/>
        </w:trPr>
        <w:tc>
          <w:tcPr>
            <w:tcW w:w="900" w:type="dxa"/>
            <w:vMerge/>
            <w:tcBorders>
              <w:left w:val="single" w:sz="4" w:space="0" w:color="auto"/>
              <w:right w:val="single" w:sz="4" w:space="0" w:color="auto"/>
            </w:tcBorders>
            <w:vAlign w:val="center"/>
            <w:hideMark/>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7757" w:rsidRPr="00785F80" w:rsidRDefault="00097757" w:rsidP="00E5228C">
            <w:pPr>
              <w:rPr>
                <w:sz w:val="22"/>
                <w:szCs w:val="22"/>
              </w:rPr>
            </w:pPr>
            <w:r w:rsidRPr="00785F80">
              <w:rPr>
                <w:sz w:val="22"/>
                <w:szCs w:val="22"/>
              </w:rPr>
              <w:t>Port Everglades 5</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82.5</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85.0</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742</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6,675</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6,587</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3,501</w:t>
            </w:r>
          </w:p>
        </w:tc>
      </w:tr>
      <w:tr w:rsidR="00097757" w:rsidRPr="005D302F" w:rsidTr="00E5228C">
        <w:trPr>
          <w:trHeight w:val="300"/>
        </w:trPr>
        <w:tc>
          <w:tcPr>
            <w:tcW w:w="900" w:type="dxa"/>
            <w:vMerge/>
            <w:tcBorders>
              <w:left w:val="single" w:sz="4" w:space="0" w:color="auto"/>
              <w:right w:val="single" w:sz="4" w:space="0" w:color="auto"/>
            </w:tcBorders>
            <w:vAlign w:val="center"/>
            <w:hideMark/>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7757" w:rsidRPr="00785F80" w:rsidRDefault="00097757" w:rsidP="00E5228C">
            <w:pPr>
              <w:rPr>
                <w:sz w:val="22"/>
                <w:szCs w:val="22"/>
              </w:rPr>
            </w:pPr>
            <w:r w:rsidRPr="00785F80">
              <w:rPr>
                <w:sz w:val="22"/>
                <w:szCs w:val="22"/>
              </w:rPr>
              <w:t>Riviera 5</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89.8</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92.3</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422</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6,643</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6,557</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3,434</w:t>
            </w:r>
          </w:p>
        </w:tc>
      </w:tr>
      <w:tr w:rsidR="00097757" w:rsidRPr="005D302F" w:rsidTr="00E5228C">
        <w:trPr>
          <w:trHeight w:val="300"/>
        </w:trPr>
        <w:tc>
          <w:tcPr>
            <w:tcW w:w="900" w:type="dxa"/>
            <w:vMerge/>
            <w:tcBorders>
              <w:left w:val="single" w:sz="4" w:space="0" w:color="auto"/>
              <w:right w:val="single" w:sz="4" w:space="0" w:color="auto"/>
            </w:tcBorders>
            <w:vAlign w:val="center"/>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097757" w:rsidRPr="00785F80" w:rsidRDefault="00097757" w:rsidP="00E5228C">
            <w:pPr>
              <w:rPr>
                <w:sz w:val="22"/>
                <w:szCs w:val="22"/>
              </w:rPr>
            </w:pPr>
            <w:r w:rsidRPr="00785F80">
              <w:rPr>
                <w:sz w:val="22"/>
                <w:szCs w:val="22"/>
              </w:rPr>
              <w:t>St. Lucie 1</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93.6</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96.6</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9,115</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10,427</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10,333</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364</w:t>
            </w:r>
          </w:p>
        </w:tc>
      </w:tr>
      <w:tr w:rsidR="00097757" w:rsidRPr="005D302F" w:rsidTr="00E5228C">
        <w:trPr>
          <w:trHeight w:val="300"/>
        </w:trPr>
        <w:tc>
          <w:tcPr>
            <w:tcW w:w="900" w:type="dxa"/>
            <w:vMerge/>
            <w:tcBorders>
              <w:left w:val="single" w:sz="4" w:space="0" w:color="auto"/>
              <w:right w:val="single" w:sz="4" w:space="0" w:color="auto"/>
            </w:tcBorders>
            <w:vAlign w:val="center"/>
            <w:hideMark/>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7757" w:rsidRPr="00785F80" w:rsidRDefault="00097757" w:rsidP="00E5228C">
            <w:pPr>
              <w:rPr>
                <w:sz w:val="22"/>
                <w:szCs w:val="22"/>
              </w:rPr>
            </w:pPr>
            <w:r w:rsidRPr="00785F80">
              <w:rPr>
                <w:sz w:val="22"/>
                <w:szCs w:val="22"/>
              </w:rPr>
              <w:t>St. Lucie 2</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84.8</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87.8</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7,870</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10,307</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10,209</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281</w:t>
            </w:r>
          </w:p>
        </w:tc>
      </w:tr>
      <w:tr w:rsidR="00097757" w:rsidRPr="005D302F" w:rsidTr="00E5228C">
        <w:trPr>
          <w:trHeight w:val="300"/>
        </w:trPr>
        <w:tc>
          <w:tcPr>
            <w:tcW w:w="900" w:type="dxa"/>
            <w:vMerge/>
            <w:tcBorders>
              <w:left w:val="single" w:sz="4" w:space="0" w:color="auto"/>
              <w:right w:val="single" w:sz="4" w:space="0" w:color="auto"/>
            </w:tcBorders>
            <w:vAlign w:val="center"/>
            <w:hideMark/>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7757" w:rsidRPr="00785F80" w:rsidRDefault="00097757" w:rsidP="00E5228C">
            <w:pPr>
              <w:rPr>
                <w:sz w:val="22"/>
                <w:szCs w:val="22"/>
              </w:rPr>
            </w:pPr>
            <w:r w:rsidRPr="00785F80">
              <w:rPr>
                <w:sz w:val="22"/>
                <w:szCs w:val="22"/>
              </w:rPr>
              <w:t>Turkey Point 3</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82.8</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85.8</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7,635</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10,522</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10,363</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536</w:t>
            </w:r>
          </w:p>
        </w:tc>
      </w:tr>
      <w:tr w:rsidR="00097757" w:rsidRPr="005D302F" w:rsidTr="00E5228C">
        <w:trPr>
          <w:trHeight w:val="300"/>
        </w:trPr>
        <w:tc>
          <w:tcPr>
            <w:tcW w:w="900" w:type="dxa"/>
            <w:vMerge/>
            <w:tcBorders>
              <w:left w:val="single" w:sz="4" w:space="0" w:color="auto"/>
              <w:right w:val="single" w:sz="4" w:space="0" w:color="auto"/>
            </w:tcBorders>
            <w:vAlign w:val="center"/>
            <w:hideMark/>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7757" w:rsidRPr="00785F80" w:rsidRDefault="00097757" w:rsidP="00E5228C">
            <w:pPr>
              <w:rPr>
                <w:sz w:val="22"/>
                <w:szCs w:val="22"/>
              </w:rPr>
            </w:pPr>
            <w:r w:rsidRPr="00785F80">
              <w:rPr>
                <w:sz w:val="22"/>
                <w:szCs w:val="22"/>
              </w:rPr>
              <w:t>Turkey Point 4</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83.2</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86.2</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7,822</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10,807</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10,424</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1,271</w:t>
            </w:r>
          </w:p>
        </w:tc>
      </w:tr>
      <w:tr w:rsidR="00097757" w:rsidRPr="005D302F" w:rsidTr="00E5228C">
        <w:trPr>
          <w:trHeight w:val="300"/>
        </w:trPr>
        <w:tc>
          <w:tcPr>
            <w:tcW w:w="900" w:type="dxa"/>
            <w:vMerge/>
            <w:tcBorders>
              <w:left w:val="single" w:sz="4" w:space="0" w:color="auto"/>
              <w:right w:val="single" w:sz="4" w:space="0" w:color="auto"/>
            </w:tcBorders>
            <w:vAlign w:val="center"/>
            <w:hideMark/>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7757" w:rsidRPr="00785F80" w:rsidRDefault="00097757" w:rsidP="00E5228C">
            <w:pPr>
              <w:rPr>
                <w:sz w:val="22"/>
                <w:szCs w:val="22"/>
              </w:rPr>
            </w:pPr>
            <w:r w:rsidRPr="00785F80">
              <w:rPr>
                <w:sz w:val="22"/>
                <w:szCs w:val="22"/>
              </w:rPr>
              <w:t>Turkey Point 5</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85.3</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87.8</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450</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7,225</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7,127</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2,714</w:t>
            </w:r>
          </w:p>
        </w:tc>
      </w:tr>
      <w:tr w:rsidR="00097757" w:rsidRPr="005D302F" w:rsidTr="00E5228C">
        <w:trPr>
          <w:trHeight w:val="300"/>
        </w:trPr>
        <w:tc>
          <w:tcPr>
            <w:tcW w:w="900" w:type="dxa"/>
            <w:vMerge/>
            <w:tcBorders>
              <w:left w:val="single" w:sz="4" w:space="0" w:color="auto"/>
              <w:right w:val="single" w:sz="4" w:space="0" w:color="auto"/>
            </w:tcBorders>
            <w:vAlign w:val="center"/>
            <w:hideMark/>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7757" w:rsidRPr="00785F80" w:rsidRDefault="00097757" w:rsidP="00E5228C">
            <w:pPr>
              <w:rPr>
                <w:sz w:val="22"/>
                <w:szCs w:val="22"/>
              </w:rPr>
            </w:pPr>
            <w:r w:rsidRPr="00785F80">
              <w:rPr>
                <w:sz w:val="22"/>
                <w:szCs w:val="22"/>
              </w:rPr>
              <w:t>West County 1</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82.2</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85.2</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665</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7,058</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6,894</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5,685</w:t>
            </w:r>
          </w:p>
        </w:tc>
      </w:tr>
      <w:tr w:rsidR="00097757" w:rsidRPr="005D302F" w:rsidTr="00E5228C">
        <w:trPr>
          <w:trHeight w:val="300"/>
        </w:trPr>
        <w:tc>
          <w:tcPr>
            <w:tcW w:w="900" w:type="dxa"/>
            <w:vMerge/>
            <w:tcBorders>
              <w:left w:val="single" w:sz="4" w:space="0" w:color="auto"/>
              <w:right w:val="single" w:sz="4" w:space="0" w:color="auto"/>
            </w:tcBorders>
            <w:vAlign w:val="center"/>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rPr>
                <w:sz w:val="22"/>
                <w:szCs w:val="22"/>
              </w:rPr>
            </w:pPr>
            <w:r w:rsidRPr="00785F80">
              <w:rPr>
                <w:sz w:val="22"/>
                <w:szCs w:val="22"/>
              </w:rPr>
              <w:t>West County 2</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87.3</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89.8</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612</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6,867</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6,782</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3,797</w:t>
            </w:r>
          </w:p>
        </w:tc>
      </w:tr>
      <w:tr w:rsidR="00097757" w:rsidRPr="005D302F" w:rsidTr="00E5228C">
        <w:trPr>
          <w:trHeight w:val="300"/>
        </w:trPr>
        <w:tc>
          <w:tcPr>
            <w:tcW w:w="900" w:type="dxa"/>
            <w:vMerge/>
            <w:tcBorders>
              <w:left w:val="single" w:sz="4" w:space="0" w:color="auto"/>
              <w:right w:val="single" w:sz="4" w:space="0" w:color="auto"/>
            </w:tcBorders>
            <w:vAlign w:val="center"/>
            <w:hideMark/>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7757" w:rsidRPr="00785F80" w:rsidRDefault="00097757" w:rsidP="00E5228C">
            <w:pPr>
              <w:rPr>
                <w:sz w:val="22"/>
                <w:szCs w:val="22"/>
              </w:rPr>
            </w:pPr>
            <w:r w:rsidRPr="00785F80">
              <w:rPr>
                <w:sz w:val="22"/>
                <w:szCs w:val="22"/>
              </w:rPr>
              <w:t>West County 3</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73.1</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75.6</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094914" w:rsidRDefault="00097757" w:rsidP="00E5228C">
            <w:pPr>
              <w:jc w:val="right"/>
              <w:rPr>
                <w:sz w:val="22"/>
                <w:szCs w:val="22"/>
                <w:u w:val="single"/>
              </w:rPr>
            </w:pPr>
            <w:r w:rsidRPr="00094914">
              <w:rPr>
                <w:sz w:val="22"/>
                <w:szCs w:val="22"/>
                <w:u w:val="single"/>
              </w:rPr>
              <w:t>588</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r w:rsidRPr="00785F80">
              <w:rPr>
                <w:sz w:val="22"/>
                <w:szCs w:val="22"/>
              </w:rPr>
              <w:t>6,920</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46462" w:rsidRDefault="00097757" w:rsidP="00E5228C">
            <w:pPr>
              <w:jc w:val="right"/>
              <w:rPr>
                <w:sz w:val="22"/>
                <w:szCs w:val="22"/>
              </w:rPr>
            </w:pPr>
            <w:r w:rsidRPr="00346462">
              <w:rPr>
                <w:sz w:val="22"/>
                <w:szCs w:val="22"/>
              </w:rPr>
              <w:t>6,814</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094914" w:rsidRDefault="00097757" w:rsidP="00E5228C">
            <w:pPr>
              <w:jc w:val="right"/>
              <w:rPr>
                <w:sz w:val="22"/>
                <w:szCs w:val="22"/>
                <w:u w:val="single"/>
              </w:rPr>
            </w:pPr>
            <w:r w:rsidRPr="00094914">
              <w:rPr>
                <w:sz w:val="22"/>
                <w:szCs w:val="22"/>
                <w:u w:val="single"/>
              </w:rPr>
              <w:t>3,678</w:t>
            </w:r>
          </w:p>
        </w:tc>
      </w:tr>
      <w:tr w:rsidR="00097757" w:rsidRPr="005D302F" w:rsidTr="00E5228C">
        <w:trPr>
          <w:trHeight w:val="341"/>
        </w:trPr>
        <w:tc>
          <w:tcPr>
            <w:tcW w:w="900" w:type="dxa"/>
            <w:vMerge/>
            <w:tcBorders>
              <w:left w:val="single" w:sz="4" w:space="0" w:color="auto"/>
              <w:right w:val="single" w:sz="4" w:space="0" w:color="auto"/>
            </w:tcBorders>
            <w:vAlign w:val="center"/>
            <w:hideMark/>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097757" w:rsidRPr="00785F80" w:rsidRDefault="00097757" w:rsidP="00E5228C">
            <w:pPr>
              <w:rPr>
                <w:sz w:val="22"/>
                <w:szCs w:val="22"/>
              </w:rPr>
            </w:pPr>
            <w:r w:rsidRPr="00785F80">
              <w:rPr>
                <w:sz w:val="22"/>
                <w:szCs w:val="22"/>
              </w:rPr>
              <w:t>Totals*</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785F80" w:rsidRDefault="00097757" w:rsidP="00E5228C">
            <w:pPr>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094914" w:rsidRDefault="00097757" w:rsidP="00E5228C">
            <w:pPr>
              <w:jc w:val="right"/>
              <w:rPr>
                <w:sz w:val="22"/>
                <w:szCs w:val="22"/>
                <w:u w:val="double"/>
              </w:rPr>
            </w:pPr>
            <w:r w:rsidRPr="00094914">
              <w:rPr>
                <w:sz w:val="22"/>
                <w:szCs w:val="22"/>
                <w:u w:val="double"/>
              </w:rPr>
              <w:t>$38,395</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094914" w:rsidRDefault="00097757" w:rsidP="00E5228C">
            <w:pPr>
              <w:jc w:val="right"/>
              <w:rPr>
                <w:sz w:val="22"/>
                <w:szCs w:val="22"/>
                <w:highlight w:val="yellow"/>
                <w:u w:val="double"/>
              </w:rPr>
            </w:pP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094914" w:rsidRDefault="00097757" w:rsidP="00E5228C">
            <w:pPr>
              <w:jc w:val="right"/>
              <w:rPr>
                <w:sz w:val="22"/>
                <w:szCs w:val="22"/>
                <w:u w:val="double"/>
              </w:rPr>
            </w:pP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094914" w:rsidRDefault="00097757" w:rsidP="00E5228C">
            <w:pPr>
              <w:jc w:val="right"/>
              <w:rPr>
                <w:sz w:val="22"/>
                <w:szCs w:val="22"/>
                <w:u w:val="double"/>
              </w:rPr>
            </w:pPr>
            <w:r w:rsidRPr="00094914">
              <w:rPr>
                <w:sz w:val="22"/>
                <w:szCs w:val="22"/>
                <w:u w:val="double"/>
              </w:rPr>
              <w:t>$53,496</w:t>
            </w:r>
          </w:p>
        </w:tc>
      </w:tr>
      <w:tr w:rsidR="00097757" w:rsidRPr="005D302F" w:rsidTr="00E5228C">
        <w:trPr>
          <w:trHeight w:val="260"/>
        </w:trPr>
        <w:tc>
          <w:tcPr>
            <w:tcW w:w="900" w:type="dxa"/>
            <w:vMerge/>
            <w:tcBorders>
              <w:left w:val="single" w:sz="4" w:space="0" w:color="auto"/>
              <w:bottom w:val="single" w:sz="4" w:space="0" w:color="auto"/>
              <w:right w:val="single" w:sz="4" w:space="0" w:color="auto"/>
            </w:tcBorders>
            <w:vAlign w:val="center"/>
            <w:hideMark/>
          </w:tcPr>
          <w:p w:rsidR="00097757" w:rsidRPr="005D302F" w:rsidRDefault="00097757" w:rsidP="00E5228C">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097757" w:rsidRPr="004A44BF" w:rsidRDefault="00097757" w:rsidP="00E5228C">
            <w:pPr>
              <w:jc w:val="right"/>
              <w:rPr>
                <w:sz w:val="22"/>
                <w:szCs w:val="22"/>
                <w:highlight w:val="yellow"/>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4A44BF" w:rsidRDefault="00097757" w:rsidP="00E5228C">
            <w:pPr>
              <w:jc w:val="right"/>
              <w:rPr>
                <w:sz w:val="22"/>
                <w:szCs w:val="22"/>
                <w:highlight w:val="yellow"/>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4A44BF" w:rsidRDefault="00097757" w:rsidP="00E5228C">
            <w:pPr>
              <w:jc w:val="right"/>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4A44BF" w:rsidRDefault="00097757" w:rsidP="00E5228C">
            <w:pPr>
              <w:jc w:val="right"/>
              <w:rPr>
                <w:sz w:val="22"/>
                <w:szCs w:val="22"/>
                <w:highlight w:val="yellow"/>
                <w:u w:val="double"/>
              </w:rPr>
            </w:pP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4A44BF" w:rsidRDefault="00097757" w:rsidP="00E5228C">
            <w:pPr>
              <w:jc w:val="right"/>
              <w:rPr>
                <w:sz w:val="22"/>
                <w:szCs w:val="22"/>
                <w:highlight w:val="yellow"/>
              </w:rPr>
            </w:pP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4A44BF" w:rsidRDefault="00097757" w:rsidP="00E5228C">
            <w:pPr>
              <w:jc w:val="right"/>
              <w:rPr>
                <w:sz w:val="22"/>
                <w:szCs w:val="22"/>
                <w:highlight w:val="yellow"/>
              </w:rPr>
            </w:pP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4A44BF" w:rsidRDefault="00097757" w:rsidP="00E5228C">
            <w:pPr>
              <w:jc w:val="right"/>
              <w:rPr>
                <w:sz w:val="22"/>
                <w:szCs w:val="22"/>
                <w:highlight w:val="yellow"/>
                <w:u w:val="double"/>
              </w:rPr>
            </w:pPr>
          </w:p>
        </w:tc>
      </w:tr>
    </w:tbl>
    <w:p w:rsidR="00097757" w:rsidRPr="005D302F" w:rsidRDefault="00097757" w:rsidP="00097757">
      <w:pPr>
        <w:rPr>
          <w:sz w:val="22"/>
          <w:szCs w:val="22"/>
        </w:rPr>
      </w:pPr>
      <w:r w:rsidRPr="005D302F">
        <w:rPr>
          <w:sz w:val="22"/>
          <w:szCs w:val="22"/>
        </w:rPr>
        <w:t xml:space="preserve">    Source: GPIF Target and Range Summary (Exhibit CRR-</w:t>
      </w:r>
      <w:r>
        <w:rPr>
          <w:sz w:val="22"/>
          <w:szCs w:val="22"/>
        </w:rPr>
        <w:t>3, Pages 6-7</w:t>
      </w:r>
      <w:r w:rsidRPr="005D302F">
        <w:rPr>
          <w:sz w:val="22"/>
          <w:szCs w:val="22"/>
        </w:rPr>
        <w:t xml:space="preserve"> of 40).</w:t>
      </w:r>
    </w:p>
    <w:p w:rsidR="00097757" w:rsidRDefault="00097757" w:rsidP="00097757">
      <w:pPr>
        <w:rPr>
          <w:sz w:val="22"/>
          <w:szCs w:val="22"/>
        </w:rPr>
      </w:pPr>
      <w:r w:rsidRPr="005D302F">
        <w:rPr>
          <w:sz w:val="22"/>
          <w:szCs w:val="22"/>
        </w:rPr>
        <w:t xml:space="preserve">     *May not compute due to rounding.</w:t>
      </w:r>
    </w:p>
    <w:p w:rsidR="00097757" w:rsidRDefault="00097757" w:rsidP="00097757">
      <w:pPr>
        <w:rPr>
          <w:sz w:val="22"/>
          <w:szCs w:val="22"/>
        </w:rPr>
      </w:pPr>
    </w:p>
    <w:p w:rsidR="00097757" w:rsidRDefault="00097757" w:rsidP="00097757">
      <w:pPr>
        <w:rPr>
          <w:bCs/>
        </w:rPr>
      </w:pPr>
      <w:r>
        <w:rPr>
          <w:bCs/>
        </w:rPr>
        <w:t>TECO:</w:t>
      </w:r>
    </w:p>
    <w:p w:rsidR="00097757" w:rsidRDefault="00097757" w:rsidP="00097757">
      <w:pPr>
        <w:ind w:left="1440" w:hanging="1440"/>
        <w:rPr>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22"/>
        <w:gridCol w:w="918"/>
        <w:gridCol w:w="900"/>
        <w:gridCol w:w="1080"/>
        <w:gridCol w:w="1260"/>
        <w:gridCol w:w="1260"/>
        <w:gridCol w:w="1350"/>
      </w:tblGrid>
      <w:tr w:rsidR="00097757" w:rsidRPr="003212F9" w:rsidTr="00E5228C">
        <w:trPr>
          <w:trHeight w:val="300"/>
        </w:trPr>
        <w:tc>
          <w:tcPr>
            <w:tcW w:w="9360" w:type="dxa"/>
            <w:gridSpan w:val="8"/>
            <w:tcBorders>
              <w:top w:val="nil"/>
              <w:left w:val="nil"/>
              <w:bottom w:val="nil"/>
              <w:right w:val="nil"/>
            </w:tcBorders>
            <w:noWrap/>
            <w:vAlign w:val="center"/>
          </w:tcPr>
          <w:p w:rsidR="00097757" w:rsidRPr="003212F9" w:rsidRDefault="00097757" w:rsidP="00E5228C">
            <w:pPr>
              <w:jc w:val="center"/>
              <w:rPr>
                <w:rFonts w:ascii="Arial" w:hAnsi="Arial" w:cs="Arial"/>
                <w:b/>
              </w:rPr>
            </w:pPr>
            <w:r>
              <w:rPr>
                <w:rFonts w:ascii="Arial" w:hAnsi="Arial" w:cs="Arial"/>
                <w:b/>
              </w:rPr>
              <w:t>T</w:t>
            </w:r>
            <w:r w:rsidRPr="003212F9">
              <w:rPr>
                <w:rFonts w:ascii="Arial" w:hAnsi="Arial" w:cs="Arial"/>
                <w:b/>
              </w:rPr>
              <w:t>able 15-3</w:t>
            </w:r>
          </w:p>
        </w:tc>
      </w:tr>
      <w:tr w:rsidR="00097757" w:rsidRPr="003212F9" w:rsidTr="00E5228C">
        <w:trPr>
          <w:trHeight w:val="300"/>
        </w:trPr>
        <w:tc>
          <w:tcPr>
            <w:tcW w:w="9360" w:type="dxa"/>
            <w:gridSpan w:val="8"/>
            <w:tcBorders>
              <w:top w:val="nil"/>
              <w:left w:val="nil"/>
              <w:right w:val="nil"/>
            </w:tcBorders>
            <w:noWrap/>
            <w:vAlign w:val="center"/>
          </w:tcPr>
          <w:p w:rsidR="00097757" w:rsidRPr="003212F9" w:rsidRDefault="00097757" w:rsidP="00E5228C">
            <w:pPr>
              <w:jc w:val="center"/>
            </w:pPr>
            <w:r w:rsidRPr="003212F9">
              <w:rPr>
                <w:rFonts w:ascii="Arial" w:hAnsi="Arial" w:cs="Arial"/>
                <w:b/>
              </w:rPr>
              <w:t>GPIF Targets/Ranges for the period January-December, 2023</w:t>
            </w:r>
          </w:p>
        </w:tc>
      </w:tr>
      <w:tr w:rsidR="00097757" w:rsidRPr="003212F9" w:rsidTr="00E5228C">
        <w:trPr>
          <w:trHeight w:val="300"/>
        </w:trPr>
        <w:tc>
          <w:tcPr>
            <w:tcW w:w="1170" w:type="dxa"/>
            <w:vMerge w:val="restart"/>
            <w:tcBorders>
              <w:top w:val="single" w:sz="4" w:space="0" w:color="auto"/>
              <w:left w:val="single" w:sz="4" w:space="0" w:color="auto"/>
              <w:right w:val="single" w:sz="4" w:space="0" w:color="auto"/>
            </w:tcBorders>
            <w:noWrap/>
            <w:vAlign w:val="center"/>
          </w:tcPr>
          <w:p w:rsidR="00097757" w:rsidRPr="003212F9" w:rsidRDefault="00097757" w:rsidP="00E5228C">
            <w:pPr>
              <w:jc w:val="center"/>
              <w:rPr>
                <w:b/>
                <w:bCs/>
                <w:sz w:val="22"/>
                <w:szCs w:val="22"/>
              </w:rPr>
            </w:pPr>
            <w:r w:rsidRPr="003212F9">
              <w:rPr>
                <w:b/>
                <w:bCs/>
                <w:sz w:val="22"/>
                <w:szCs w:val="22"/>
              </w:rPr>
              <w:t>TECO</w:t>
            </w:r>
          </w:p>
        </w:tc>
        <w:tc>
          <w:tcPr>
            <w:tcW w:w="1422" w:type="dxa"/>
            <w:vMerge w:val="restart"/>
            <w:tcBorders>
              <w:top w:val="single" w:sz="4" w:space="0" w:color="auto"/>
              <w:left w:val="single" w:sz="4" w:space="0" w:color="auto"/>
              <w:bottom w:val="single" w:sz="4" w:space="0" w:color="auto"/>
              <w:right w:val="single" w:sz="4" w:space="0" w:color="auto"/>
            </w:tcBorders>
            <w:noWrap/>
            <w:vAlign w:val="center"/>
          </w:tcPr>
          <w:p w:rsidR="00097757" w:rsidRPr="003212F9" w:rsidRDefault="00097757" w:rsidP="00E5228C">
            <w:pPr>
              <w:jc w:val="center"/>
              <w:rPr>
                <w:sz w:val="22"/>
                <w:szCs w:val="22"/>
              </w:rPr>
            </w:pPr>
            <w:r w:rsidRPr="003212F9">
              <w:rPr>
                <w:sz w:val="22"/>
                <w:szCs w:val="22"/>
              </w:rPr>
              <w:t>Plant/Unit</w:t>
            </w:r>
          </w:p>
        </w:tc>
        <w:tc>
          <w:tcPr>
            <w:tcW w:w="918" w:type="dxa"/>
            <w:tcBorders>
              <w:top w:val="single" w:sz="4" w:space="0" w:color="auto"/>
              <w:left w:val="single" w:sz="4" w:space="0" w:color="auto"/>
              <w:bottom w:val="single" w:sz="4" w:space="0" w:color="auto"/>
              <w:right w:val="single" w:sz="4" w:space="0" w:color="auto"/>
            </w:tcBorders>
            <w:noWrap/>
            <w:vAlign w:val="center"/>
            <w:hideMark/>
          </w:tcPr>
          <w:p w:rsidR="00097757" w:rsidRPr="003212F9" w:rsidRDefault="00097757" w:rsidP="00E5228C">
            <w:pPr>
              <w:jc w:val="center"/>
              <w:rPr>
                <w:sz w:val="22"/>
                <w:szCs w:val="22"/>
              </w:rPr>
            </w:pPr>
            <w:r w:rsidRPr="003212F9">
              <w:rPr>
                <w:sz w:val="22"/>
                <w:szCs w:val="22"/>
              </w:rPr>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097757" w:rsidRPr="003212F9" w:rsidRDefault="00097757" w:rsidP="00E5228C">
            <w:pPr>
              <w:jc w:val="center"/>
              <w:rPr>
                <w:sz w:val="22"/>
                <w:szCs w:val="22"/>
              </w:rPr>
            </w:pPr>
            <w:r w:rsidRPr="003212F9">
              <w:rPr>
                <w:sz w:val="22"/>
                <w:szCs w:val="22"/>
              </w:rP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97757" w:rsidRPr="003212F9" w:rsidRDefault="00097757" w:rsidP="00E5228C">
            <w:pPr>
              <w:jc w:val="center"/>
              <w:rPr>
                <w:sz w:val="22"/>
                <w:szCs w:val="22"/>
              </w:rPr>
            </w:pPr>
            <w:r w:rsidRPr="003212F9">
              <w:rPr>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097757" w:rsidRPr="003212F9" w:rsidRDefault="00097757" w:rsidP="00E5228C">
            <w:pPr>
              <w:jc w:val="center"/>
              <w:rPr>
                <w:sz w:val="22"/>
                <w:szCs w:val="22"/>
              </w:rPr>
            </w:pPr>
            <w:r w:rsidRPr="003212F9">
              <w:rPr>
                <w:sz w:val="22"/>
                <w:szCs w:val="22"/>
              </w:rPr>
              <w:t>Maximum</w:t>
            </w:r>
          </w:p>
        </w:tc>
      </w:tr>
      <w:tr w:rsidR="00097757" w:rsidRPr="003212F9" w:rsidTr="00E5228C">
        <w:trPr>
          <w:trHeight w:val="610"/>
        </w:trPr>
        <w:tc>
          <w:tcPr>
            <w:tcW w:w="1170" w:type="dxa"/>
            <w:vMerge/>
            <w:tcBorders>
              <w:left w:val="single" w:sz="4" w:space="0" w:color="auto"/>
              <w:right w:val="single" w:sz="4" w:space="0" w:color="auto"/>
            </w:tcBorders>
            <w:vAlign w:val="center"/>
            <w:hideMark/>
          </w:tcPr>
          <w:p w:rsidR="00097757" w:rsidRPr="003212F9" w:rsidRDefault="00097757" w:rsidP="00E5228C">
            <w:pPr>
              <w:jc w:val="center"/>
              <w:rPr>
                <w:sz w:val="22"/>
                <w:szCs w:val="22"/>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097757" w:rsidRPr="003212F9" w:rsidRDefault="00097757" w:rsidP="00E5228C">
            <w:pPr>
              <w:rPr>
                <w:sz w:val="22"/>
                <w:szCs w:val="22"/>
              </w:rPr>
            </w:pPr>
          </w:p>
        </w:tc>
        <w:tc>
          <w:tcPr>
            <w:tcW w:w="918" w:type="dxa"/>
            <w:tcBorders>
              <w:top w:val="single" w:sz="4" w:space="0" w:color="auto"/>
              <w:left w:val="single" w:sz="4" w:space="0" w:color="auto"/>
              <w:bottom w:val="single" w:sz="4" w:space="0" w:color="auto"/>
              <w:right w:val="single" w:sz="4" w:space="0" w:color="auto"/>
            </w:tcBorders>
            <w:noWrap/>
            <w:vAlign w:val="center"/>
            <w:hideMark/>
          </w:tcPr>
          <w:p w:rsidR="00097757" w:rsidRPr="003212F9" w:rsidRDefault="00097757" w:rsidP="00E5228C">
            <w:pPr>
              <w:jc w:val="center"/>
              <w:rPr>
                <w:sz w:val="22"/>
                <w:szCs w:val="22"/>
              </w:rPr>
            </w:pPr>
            <w:r w:rsidRPr="003212F9">
              <w:rPr>
                <w:sz w:val="22"/>
                <w:szCs w:val="22"/>
              </w:rPr>
              <w:t>EAF</w:t>
            </w:r>
          </w:p>
          <w:p w:rsidR="00097757" w:rsidRPr="003212F9" w:rsidRDefault="00097757" w:rsidP="00E5228C">
            <w:pPr>
              <w:jc w:val="center"/>
              <w:rPr>
                <w:sz w:val="22"/>
                <w:szCs w:val="22"/>
              </w:rPr>
            </w:pPr>
            <w:r w:rsidRPr="003212F9">
              <w:rPr>
                <w:sz w:val="22"/>
                <w:szCs w:val="22"/>
              </w:rPr>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097757" w:rsidRPr="003212F9" w:rsidRDefault="00097757" w:rsidP="00E5228C">
            <w:pPr>
              <w:jc w:val="center"/>
              <w:rPr>
                <w:sz w:val="22"/>
                <w:szCs w:val="22"/>
              </w:rPr>
            </w:pPr>
            <w:r w:rsidRPr="003212F9">
              <w:rPr>
                <w:sz w:val="22"/>
                <w:szCs w:val="22"/>
              </w:rPr>
              <w:t>EAF</w:t>
            </w:r>
          </w:p>
          <w:p w:rsidR="00097757" w:rsidRPr="003212F9" w:rsidRDefault="00097757" w:rsidP="00E5228C">
            <w:pPr>
              <w:jc w:val="center"/>
              <w:rPr>
                <w:sz w:val="22"/>
                <w:szCs w:val="22"/>
              </w:rPr>
            </w:pPr>
            <w:r w:rsidRPr="003212F9">
              <w:rPr>
                <w:sz w:val="22"/>
                <w:szCs w:val="22"/>
              </w:rPr>
              <w:t>( % )</w:t>
            </w:r>
          </w:p>
        </w:tc>
        <w:tc>
          <w:tcPr>
            <w:tcW w:w="1080" w:type="dxa"/>
            <w:tcBorders>
              <w:top w:val="single" w:sz="4" w:space="0" w:color="auto"/>
              <w:left w:val="single" w:sz="4" w:space="0" w:color="auto"/>
              <w:bottom w:val="single" w:sz="4" w:space="0" w:color="auto"/>
              <w:right w:val="single" w:sz="4" w:space="0" w:color="auto"/>
            </w:tcBorders>
            <w:noWrap/>
            <w:hideMark/>
          </w:tcPr>
          <w:p w:rsidR="00097757" w:rsidRPr="003212F9" w:rsidRDefault="00097757" w:rsidP="00E5228C">
            <w:pPr>
              <w:jc w:val="center"/>
              <w:rPr>
                <w:sz w:val="22"/>
                <w:szCs w:val="22"/>
              </w:rPr>
            </w:pPr>
            <w:r w:rsidRPr="003212F9">
              <w:rPr>
                <w:sz w:val="22"/>
                <w:szCs w:val="22"/>
              </w:rPr>
              <w:t>Savings</w:t>
            </w:r>
          </w:p>
          <w:p w:rsidR="00097757" w:rsidRPr="003212F9" w:rsidRDefault="00097757" w:rsidP="00E5228C">
            <w:pPr>
              <w:rPr>
                <w:sz w:val="22"/>
                <w:szCs w:val="22"/>
              </w:rPr>
            </w:pPr>
            <w:r w:rsidRPr="003212F9">
              <w:rPr>
                <w:sz w:val="22"/>
                <w:szCs w:val="22"/>
              </w:rP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97757" w:rsidRPr="003212F9" w:rsidRDefault="00097757" w:rsidP="00E5228C">
            <w:pPr>
              <w:jc w:val="center"/>
              <w:rPr>
                <w:sz w:val="22"/>
                <w:szCs w:val="22"/>
              </w:rPr>
            </w:pPr>
            <w:r w:rsidRPr="003212F9">
              <w:rPr>
                <w:sz w:val="22"/>
                <w:szCs w:val="22"/>
              </w:rPr>
              <w:t>ANOHR</w:t>
            </w:r>
          </w:p>
          <w:p w:rsidR="00097757" w:rsidRPr="003212F9" w:rsidRDefault="00097757" w:rsidP="00E5228C">
            <w:pPr>
              <w:jc w:val="center"/>
              <w:rPr>
                <w:sz w:val="22"/>
                <w:szCs w:val="22"/>
              </w:rPr>
            </w:pPr>
            <w:r w:rsidRPr="003212F9">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97757" w:rsidRPr="003212F9" w:rsidRDefault="00097757" w:rsidP="00E5228C">
            <w:pPr>
              <w:jc w:val="center"/>
              <w:rPr>
                <w:sz w:val="22"/>
                <w:szCs w:val="22"/>
              </w:rPr>
            </w:pPr>
            <w:r w:rsidRPr="003212F9">
              <w:rPr>
                <w:sz w:val="22"/>
                <w:szCs w:val="22"/>
              </w:rPr>
              <w:t>ANOHR</w:t>
            </w:r>
          </w:p>
          <w:p w:rsidR="00097757" w:rsidRPr="003212F9" w:rsidRDefault="00097757" w:rsidP="00E5228C">
            <w:pPr>
              <w:jc w:val="center"/>
              <w:rPr>
                <w:sz w:val="22"/>
                <w:szCs w:val="22"/>
              </w:rPr>
            </w:pPr>
            <w:r w:rsidRPr="003212F9">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97757" w:rsidRPr="003212F9" w:rsidRDefault="00097757" w:rsidP="00E5228C">
            <w:pPr>
              <w:jc w:val="center"/>
              <w:rPr>
                <w:sz w:val="22"/>
                <w:szCs w:val="22"/>
              </w:rPr>
            </w:pPr>
            <w:r w:rsidRPr="003212F9">
              <w:rPr>
                <w:sz w:val="22"/>
                <w:szCs w:val="22"/>
              </w:rPr>
              <w:t>Savings</w:t>
            </w:r>
          </w:p>
          <w:p w:rsidR="00097757" w:rsidRPr="003212F9" w:rsidRDefault="00097757" w:rsidP="00E5228C">
            <w:pPr>
              <w:jc w:val="center"/>
              <w:rPr>
                <w:sz w:val="22"/>
                <w:szCs w:val="22"/>
              </w:rPr>
            </w:pPr>
            <w:r w:rsidRPr="003212F9">
              <w:rPr>
                <w:sz w:val="22"/>
                <w:szCs w:val="22"/>
              </w:rPr>
              <w:t>($000's)</w:t>
            </w:r>
          </w:p>
        </w:tc>
      </w:tr>
      <w:tr w:rsidR="00097757" w:rsidRPr="003212F9" w:rsidTr="00E5228C">
        <w:trPr>
          <w:trHeight w:val="300"/>
        </w:trPr>
        <w:tc>
          <w:tcPr>
            <w:tcW w:w="1170" w:type="dxa"/>
            <w:vMerge/>
            <w:tcBorders>
              <w:left w:val="single" w:sz="4" w:space="0" w:color="auto"/>
              <w:right w:val="single" w:sz="4" w:space="0" w:color="auto"/>
            </w:tcBorders>
            <w:vAlign w:val="center"/>
            <w:hideMark/>
          </w:tcPr>
          <w:p w:rsidR="00097757" w:rsidRPr="003212F9" w:rsidRDefault="00097757" w:rsidP="00E5228C">
            <w:pPr>
              <w:rPr>
                <w:sz w:val="22"/>
                <w:szCs w:val="22"/>
              </w:rPr>
            </w:pP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097757" w:rsidRPr="003212F9" w:rsidRDefault="00097757" w:rsidP="00E5228C">
            <w:pPr>
              <w:rPr>
                <w:sz w:val="22"/>
                <w:szCs w:val="22"/>
              </w:rPr>
            </w:pPr>
            <w:r w:rsidRPr="003212F9">
              <w:rPr>
                <w:sz w:val="22"/>
                <w:szCs w:val="22"/>
              </w:rPr>
              <w:t>Big Bend 4</w:t>
            </w:r>
          </w:p>
        </w:tc>
        <w:tc>
          <w:tcPr>
            <w:tcW w:w="918"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61.2</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66.1</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1,010</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10,777</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11,497</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4,734</w:t>
            </w:r>
          </w:p>
        </w:tc>
      </w:tr>
      <w:tr w:rsidR="00097757" w:rsidRPr="003212F9" w:rsidTr="00E5228C">
        <w:trPr>
          <w:trHeight w:val="300"/>
        </w:trPr>
        <w:tc>
          <w:tcPr>
            <w:tcW w:w="1170" w:type="dxa"/>
            <w:vMerge/>
            <w:tcBorders>
              <w:left w:val="single" w:sz="4" w:space="0" w:color="auto"/>
              <w:right w:val="single" w:sz="4" w:space="0" w:color="auto"/>
            </w:tcBorders>
            <w:vAlign w:val="center"/>
            <w:hideMark/>
          </w:tcPr>
          <w:p w:rsidR="00097757" w:rsidRPr="003212F9" w:rsidRDefault="00097757" w:rsidP="00E5228C">
            <w:pPr>
              <w:rPr>
                <w:sz w:val="22"/>
                <w:szCs w:val="22"/>
              </w:rPr>
            </w:pP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097757" w:rsidRPr="003212F9" w:rsidRDefault="00097757" w:rsidP="00E5228C">
            <w:pPr>
              <w:rPr>
                <w:sz w:val="22"/>
                <w:szCs w:val="22"/>
              </w:rPr>
            </w:pPr>
            <w:r w:rsidRPr="003212F9">
              <w:rPr>
                <w:sz w:val="22"/>
                <w:szCs w:val="22"/>
              </w:rPr>
              <w:t>Polk 2</w:t>
            </w:r>
          </w:p>
        </w:tc>
        <w:tc>
          <w:tcPr>
            <w:tcW w:w="918"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90.9</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92.1</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1,404</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7,279</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7,470</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5,090</w:t>
            </w:r>
          </w:p>
        </w:tc>
      </w:tr>
      <w:tr w:rsidR="00097757" w:rsidRPr="003212F9" w:rsidTr="00E5228C">
        <w:trPr>
          <w:trHeight w:val="300"/>
        </w:trPr>
        <w:tc>
          <w:tcPr>
            <w:tcW w:w="1170" w:type="dxa"/>
            <w:vMerge/>
            <w:tcBorders>
              <w:left w:val="single" w:sz="4" w:space="0" w:color="auto"/>
              <w:right w:val="single" w:sz="4" w:space="0" w:color="auto"/>
            </w:tcBorders>
            <w:vAlign w:val="center"/>
            <w:hideMark/>
          </w:tcPr>
          <w:p w:rsidR="00097757" w:rsidRPr="003212F9" w:rsidRDefault="00097757" w:rsidP="00E5228C">
            <w:pPr>
              <w:rPr>
                <w:sz w:val="22"/>
                <w:szCs w:val="22"/>
              </w:rPr>
            </w:pP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097757" w:rsidRPr="003212F9" w:rsidRDefault="00097757" w:rsidP="00E5228C">
            <w:pPr>
              <w:rPr>
                <w:sz w:val="22"/>
                <w:szCs w:val="22"/>
              </w:rPr>
            </w:pPr>
            <w:r w:rsidRPr="003212F9">
              <w:rPr>
                <w:sz w:val="22"/>
                <w:szCs w:val="22"/>
              </w:rPr>
              <w:t>Bayside 1</w:t>
            </w:r>
          </w:p>
        </w:tc>
        <w:tc>
          <w:tcPr>
            <w:tcW w:w="918"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90.0</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91.2</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1,059</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7,481</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7,655</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2,606</w:t>
            </w:r>
          </w:p>
        </w:tc>
      </w:tr>
      <w:tr w:rsidR="00097757" w:rsidRPr="003212F9" w:rsidTr="00E5228C">
        <w:trPr>
          <w:trHeight w:val="300"/>
        </w:trPr>
        <w:tc>
          <w:tcPr>
            <w:tcW w:w="1170" w:type="dxa"/>
            <w:vMerge/>
            <w:tcBorders>
              <w:left w:val="single" w:sz="4" w:space="0" w:color="auto"/>
              <w:right w:val="single" w:sz="4" w:space="0" w:color="auto"/>
            </w:tcBorders>
            <w:vAlign w:val="center"/>
            <w:hideMark/>
          </w:tcPr>
          <w:p w:rsidR="00097757" w:rsidRPr="003212F9" w:rsidRDefault="00097757" w:rsidP="00E5228C">
            <w:pPr>
              <w:rPr>
                <w:sz w:val="22"/>
                <w:szCs w:val="22"/>
              </w:rPr>
            </w:pP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097757" w:rsidRPr="003212F9" w:rsidRDefault="00097757" w:rsidP="00E5228C">
            <w:pPr>
              <w:rPr>
                <w:sz w:val="22"/>
                <w:szCs w:val="22"/>
              </w:rPr>
            </w:pPr>
            <w:r w:rsidRPr="003212F9">
              <w:rPr>
                <w:sz w:val="22"/>
                <w:szCs w:val="22"/>
              </w:rPr>
              <w:t>Bayside 2</w:t>
            </w:r>
          </w:p>
        </w:tc>
        <w:tc>
          <w:tcPr>
            <w:tcW w:w="918"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75.2</w:t>
            </w:r>
          </w:p>
        </w:tc>
        <w:tc>
          <w:tcPr>
            <w:tcW w:w="90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76.9</w:t>
            </w:r>
          </w:p>
        </w:tc>
        <w:tc>
          <w:tcPr>
            <w:tcW w:w="108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u w:val="single"/>
              </w:rPr>
            </w:pPr>
            <w:r w:rsidRPr="003212F9">
              <w:rPr>
                <w:sz w:val="22"/>
                <w:szCs w:val="22"/>
                <w:u w:val="single"/>
              </w:rPr>
              <w:t>202</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8,280</w:t>
            </w:r>
          </w:p>
        </w:tc>
        <w:tc>
          <w:tcPr>
            <w:tcW w:w="126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rPr>
            </w:pPr>
            <w:r w:rsidRPr="003212F9">
              <w:rPr>
                <w:sz w:val="22"/>
                <w:szCs w:val="22"/>
              </w:rPr>
              <w:t>8,582</w:t>
            </w:r>
          </w:p>
        </w:tc>
        <w:tc>
          <w:tcPr>
            <w:tcW w:w="1350" w:type="dxa"/>
            <w:tcBorders>
              <w:top w:val="single" w:sz="4" w:space="0" w:color="auto"/>
              <w:left w:val="single" w:sz="4" w:space="0" w:color="auto"/>
              <w:bottom w:val="single" w:sz="4" w:space="0" w:color="auto"/>
              <w:right w:val="single" w:sz="4" w:space="0" w:color="auto"/>
            </w:tcBorders>
            <w:noWrap/>
            <w:vAlign w:val="bottom"/>
          </w:tcPr>
          <w:p w:rsidR="00097757" w:rsidRPr="003212F9" w:rsidRDefault="00097757" w:rsidP="00E5228C">
            <w:pPr>
              <w:jc w:val="right"/>
              <w:rPr>
                <w:sz w:val="22"/>
                <w:szCs w:val="22"/>
                <w:u w:val="single"/>
              </w:rPr>
            </w:pPr>
            <w:r w:rsidRPr="003212F9">
              <w:rPr>
                <w:sz w:val="22"/>
                <w:szCs w:val="22"/>
                <w:u w:val="single"/>
              </w:rPr>
              <w:t>1,743</w:t>
            </w:r>
          </w:p>
        </w:tc>
      </w:tr>
      <w:tr w:rsidR="00097757" w:rsidRPr="003212F9" w:rsidTr="00E5228C">
        <w:trPr>
          <w:trHeight w:val="300"/>
        </w:trPr>
        <w:tc>
          <w:tcPr>
            <w:tcW w:w="1170" w:type="dxa"/>
            <w:vMerge/>
            <w:tcBorders>
              <w:left w:val="single" w:sz="4" w:space="0" w:color="auto"/>
              <w:bottom w:val="single" w:sz="4" w:space="0" w:color="auto"/>
              <w:right w:val="single" w:sz="4" w:space="0" w:color="auto"/>
            </w:tcBorders>
            <w:vAlign w:val="center"/>
            <w:hideMark/>
          </w:tcPr>
          <w:p w:rsidR="00097757" w:rsidRPr="003212F9" w:rsidRDefault="00097757" w:rsidP="00E5228C">
            <w:pPr>
              <w:rPr>
                <w:sz w:val="22"/>
                <w:szCs w:val="22"/>
              </w:rPr>
            </w:pPr>
          </w:p>
        </w:tc>
        <w:tc>
          <w:tcPr>
            <w:tcW w:w="1422" w:type="dxa"/>
            <w:tcBorders>
              <w:top w:val="single" w:sz="4" w:space="0" w:color="auto"/>
              <w:left w:val="single" w:sz="4" w:space="0" w:color="auto"/>
              <w:bottom w:val="single" w:sz="4" w:space="0" w:color="auto"/>
              <w:right w:val="single" w:sz="4" w:space="0" w:color="auto"/>
            </w:tcBorders>
            <w:noWrap/>
            <w:hideMark/>
          </w:tcPr>
          <w:p w:rsidR="00097757" w:rsidRPr="003212F9" w:rsidRDefault="00097757" w:rsidP="00E5228C">
            <w:pPr>
              <w:jc w:val="right"/>
              <w:rPr>
                <w:sz w:val="22"/>
                <w:szCs w:val="22"/>
              </w:rPr>
            </w:pPr>
            <w:r w:rsidRPr="003212F9">
              <w:rPr>
                <w:sz w:val="22"/>
                <w:szCs w:val="22"/>
              </w:rPr>
              <w:t>Totals</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097757" w:rsidRPr="003212F9" w:rsidRDefault="00097757" w:rsidP="00E5228C">
            <w:pPr>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097757" w:rsidRPr="003212F9" w:rsidRDefault="00097757" w:rsidP="00E5228C">
            <w:pPr>
              <w:jc w:val="right"/>
              <w:rPr>
                <w:sz w:val="22"/>
                <w:szCs w:val="22"/>
                <w:u w:val="double"/>
              </w:rPr>
            </w:pPr>
            <w:r w:rsidRPr="003212F9">
              <w:rPr>
                <w:sz w:val="22"/>
                <w:szCs w:val="22"/>
                <w:u w:val="double"/>
              </w:rPr>
              <w:t>$3,675</w:t>
            </w:r>
          </w:p>
        </w:tc>
        <w:tc>
          <w:tcPr>
            <w:tcW w:w="2520" w:type="dxa"/>
            <w:gridSpan w:val="2"/>
            <w:tcBorders>
              <w:top w:val="single" w:sz="4" w:space="0" w:color="auto"/>
              <w:left w:val="single" w:sz="4" w:space="0" w:color="auto"/>
              <w:bottom w:val="single" w:sz="4" w:space="0" w:color="auto"/>
              <w:right w:val="single" w:sz="4" w:space="0" w:color="auto"/>
            </w:tcBorders>
            <w:noWrap/>
            <w:vAlign w:val="center"/>
          </w:tcPr>
          <w:p w:rsidR="00097757" w:rsidRPr="003212F9" w:rsidRDefault="00097757" w:rsidP="00E5228C">
            <w:pPr>
              <w:jc w:val="right"/>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097757" w:rsidRPr="003212F9" w:rsidRDefault="00097757" w:rsidP="00E5228C">
            <w:pPr>
              <w:jc w:val="right"/>
              <w:rPr>
                <w:sz w:val="22"/>
                <w:szCs w:val="22"/>
                <w:u w:val="double"/>
              </w:rPr>
            </w:pPr>
            <w:r w:rsidRPr="003212F9">
              <w:rPr>
                <w:sz w:val="22"/>
                <w:szCs w:val="22"/>
                <w:u w:val="double"/>
              </w:rPr>
              <w:t>$14,173</w:t>
            </w:r>
          </w:p>
        </w:tc>
      </w:tr>
    </w:tbl>
    <w:p w:rsidR="00097757" w:rsidRPr="00B6375C" w:rsidRDefault="00097757" w:rsidP="00097757">
      <w:pPr>
        <w:rPr>
          <w:color w:val="FFFFFF" w:themeColor="background1"/>
        </w:rPr>
      </w:pPr>
      <w:r w:rsidRPr="003212F9">
        <w:rPr>
          <w:sz w:val="22"/>
          <w:szCs w:val="22"/>
        </w:rPr>
        <w:t xml:space="preserve">  Source: GPIF Target and Range Summary (Exhibit PAB-2, Document 1, Page 4 of 28).</w:t>
      </w:r>
    </w:p>
    <w:p w:rsidR="00097757" w:rsidRPr="00520C62" w:rsidRDefault="00097757" w:rsidP="00097757"/>
    <w:p w:rsidR="00097757" w:rsidRPr="00BF6EBB" w:rsidRDefault="00097757" w:rsidP="00097757">
      <w:pPr>
        <w:autoSpaceDE w:val="0"/>
        <w:autoSpaceDN w:val="0"/>
        <w:adjustRightInd w:val="0"/>
        <w:rPr>
          <w:b/>
          <w:bCs/>
        </w:rPr>
      </w:pPr>
      <w:r w:rsidRPr="00BF6EBB">
        <w:rPr>
          <w:b/>
          <w:bCs/>
          <w:caps/>
        </w:rPr>
        <w:t xml:space="preserve">Fuel Factor Calculation ISSUES </w:t>
      </w:r>
    </w:p>
    <w:p w:rsidR="00097757" w:rsidRPr="00BF6EBB" w:rsidRDefault="00097757" w:rsidP="00097757">
      <w:pPr>
        <w:autoSpaceDE w:val="0"/>
        <w:autoSpaceDN w:val="0"/>
        <w:adjustRightInd w:val="0"/>
        <w:rPr>
          <w:b/>
          <w:bCs/>
          <w:u w:val="single"/>
        </w:rPr>
      </w:pPr>
    </w:p>
    <w:p w:rsidR="00097757" w:rsidRPr="00BF6EBB" w:rsidRDefault="00097757" w:rsidP="00097757">
      <w:pPr>
        <w:autoSpaceDE w:val="0"/>
        <w:autoSpaceDN w:val="0"/>
        <w:adjustRightInd w:val="0"/>
        <w:ind w:left="1440" w:hanging="1440"/>
      </w:pPr>
      <w:r w:rsidRPr="00BF6EBB">
        <w:rPr>
          <w:b/>
          <w:bCs/>
          <w:u w:val="single"/>
        </w:rPr>
        <w:t>ISSUE 1</w:t>
      </w:r>
      <w:r>
        <w:rPr>
          <w:b/>
          <w:bCs/>
          <w:u w:val="single"/>
        </w:rPr>
        <w:t>6</w:t>
      </w:r>
      <w:r w:rsidRPr="00BF6EBB">
        <w:t>:</w:t>
      </w:r>
      <w:r w:rsidRPr="00BF6EBB">
        <w:tab/>
        <w:t>What are the appropriate projected net fuel and purchased power cost recovery and Generating Performance Incentive amounts to be included in the recovery factor for the period January 202</w:t>
      </w:r>
      <w:r>
        <w:t>3</w:t>
      </w:r>
      <w:r w:rsidRPr="00BF6EBB">
        <w:t xml:space="preserve"> through December 202</w:t>
      </w:r>
      <w:r>
        <w:t>3</w:t>
      </w:r>
      <w:r w:rsidRPr="00BF6EBB">
        <w:t xml:space="preserve">?                           </w:t>
      </w:r>
    </w:p>
    <w:p w:rsidR="00097757" w:rsidRDefault="00097757" w:rsidP="00097757"/>
    <w:p w:rsidR="00097757" w:rsidRDefault="00097757" w:rsidP="00097757">
      <w:pPr>
        <w:autoSpaceDE w:val="0"/>
        <w:autoSpaceDN w:val="0"/>
        <w:adjustRightInd w:val="0"/>
        <w:ind w:left="1440" w:hanging="1440"/>
      </w:pPr>
      <w:r>
        <w:rPr>
          <w:b/>
        </w:rPr>
        <w:t>Stipulation:</w:t>
      </w:r>
      <w:r>
        <w:rPr>
          <w:b/>
        </w:rPr>
        <w:tab/>
      </w:r>
    </w:p>
    <w:p w:rsidR="00097757" w:rsidRDefault="00097757" w:rsidP="00097757">
      <w:pPr>
        <w:ind w:left="1440" w:hanging="1440"/>
        <w:rPr>
          <w:bCs/>
        </w:rPr>
      </w:pPr>
      <w:r>
        <w:rPr>
          <w:bCs/>
        </w:rPr>
        <w:t>FPUC:</w:t>
      </w:r>
      <w:r>
        <w:rPr>
          <w:bCs/>
        </w:rPr>
        <w:tab/>
        <w:t>$75,491,471.</w:t>
      </w:r>
    </w:p>
    <w:p w:rsidR="00097757" w:rsidRPr="00520C62" w:rsidRDefault="00097757" w:rsidP="00097757"/>
    <w:p w:rsidR="00097757" w:rsidRDefault="00097757" w:rsidP="00097757">
      <w:pPr>
        <w:ind w:left="1440" w:hanging="1440"/>
        <w:rPr>
          <w:rStyle w:val="Strong"/>
        </w:rPr>
      </w:pPr>
      <w:r w:rsidRPr="00BF6EBB">
        <w:rPr>
          <w:rStyle w:val="Strong"/>
          <w:u w:val="single"/>
        </w:rPr>
        <w:lastRenderedPageBreak/>
        <w:t>ISSUE 1</w:t>
      </w:r>
      <w:r>
        <w:rPr>
          <w:rStyle w:val="Strong"/>
          <w:u w:val="single"/>
        </w:rPr>
        <w:t>7</w:t>
      </w:r>
      <w:r w:rsidRPr="00BF6EBB">
        <w:rPr>
          <w:rStyle w:val="Strong"/>
        </w:rPr>
        <w:t>:</w:t>
      </w:r>
      <w:r w:rsidRPr="00BF6EBB">
        <w:rPr>
          <w:rStyle w:val="Strong"/>
        </w:rPr>
        <w:tab/>
      </w:r>
      <w:r w:rsidRPr="00C8565F">
        <w:rPr>
          <w:rStyle w:val="Strong"/>
        </w:rPr>
        <w:t>What is the appropriate revenue tax factor to be applied in calculating each investor-owned electric utility’s levelized fuel factor for the projection period January 202</w:t>
      </w:r>
      <w:r>
        <w:rPr>
          <w:rStyle w:val="Strong"/>
        </w:rPr>
        <w:t>3</w:t>
      </w:r>
      <w:r w:rsidRPr="00C8565F">
        <w:rPr>
          <w:rStyle w:val="Strong"/>
        </w:rPr>
        <w:t xml:space="preserve"> through December 202</w:t>
      </w:r>
      <w:r>
        <w:rPr>
          <w:rStyle w:val="Strong"/>
        </w:rPr>
        <w:t>3</w:t>
      </w:r>
      <w:r w:rsidRPr="00C8565F">
        <w:rPr>
          <w:rStyle w:val="Strong"/>
        </w:rPr>
        <w:t xml:space="preserve">? </w:t>
      </w:r>
    </w:p>
    <w:p w:rsidR="00097757" w:rsidRDefault="00097757" w:rsidP="00097757">
      <w:pPr>
        <w:ind w:left="1440" w:hanging="1440"/>
        <w:rPr>
          <w:rStyle w:val="Strong"/>
        </w:rPr>
      </w:pPr>
    </w:p>
    <w:p w:rsidR="00097757" w:rsidRDefault="00097757" w:rsidP="00097757">
      <w:pPr>
        <w:autoSpaceDE w:val="0"/>
        <w:autoSpaceDN w:val="0"/>
        <w:adjustRightInd w:val="0"/>
        <w:ind w:left="1440" w:hanging="1440"/>
      </w:pPr>
      <w:r>
        <w:rPr>
          <w:b/>
        </w:rPr>
        <w:t>Stipulation:</w:t>
      </w:r>
      <w:r>
        <w:rPr>
          <w:b/>
        </w:rPr>
        <w:tab/>
      </w:r>
    </w:p>
    <w:p w:rsidR="00097757" w:rsidRDefault="00097757" w:rsidP="00097757">
      <w:pPr>
        <w:ind w:left="1440" w:hanging="1440"/>
        <w:rPr>
          <w:bCs/>
        </w:rPr>
      </w:pPr>
      <w:r w:rsidRPr="00AA74BD">
        <w:rPr>
          <w:bCs/>
        </w:rPr>
        <w:t>DEF:</w:t>
      </w:r>
      <w:r>
        <w:rPr>
          <w:bCs/>
        </w:rPr>
        <w:tab/>
        <w:t>N/A – applied with the Gross Receipts Tax.</w:t>
      </w:r>
    </w:p>
    <w:p w:rsidR="00097757" w:rsidRDefault="00097757" w:rsidP="00097757">
      <w:pPr>
        <w:ind w:left="1440" w:hanging="1440"/>
        <w:rPr>
          <w:bCs/>
        </w:rPr>
      </w:pPr>
    </w:p>
    <w:p w:rsidR="00097757" w:rsidRDefault="00097757" w:rsidP="00097757">
      <w:pPr>
        <w:ind w:left="1440" w:hanging="1440"/>
        <w:rPr>
          <w:bCs/>
        </w:rPr>
      </w:pPr>
      <w:r>
        <w:rPr>
          <w:bCs/>
        </w:rPr>
        <w:t>FPL:</w:t>
      </w:r>
      <w:r>
        <w:rPr>
          <w:bCs/>
        </w:rPr>
        <w:tab/>
        <w:t>N/A – applied with the Gross Receipts Tax.</w:t>
      </w:r>
    </w:p>
    <w:p w:rsidR="00097757" w:rsidRDefault="00097757" w:rsidP="00097757">
      <w:pPr>
        <w:ind w:left="1440" w:hanging="1440"/>
        <w:rPr>
          <w:bCs/>
        </w:rPr>
      </w:pPr>
    </w:p>
    <w:p w:rsidR="00097757" w:rsidRDefault="00097757" w:rsidP="00097757">
      <w:pPr>
        <w:ind w:left="1440" w:hanging="1440"/>
        <w:rPr>
          <w:bCs/>
        </w:rPr>
      </w:pPr>
      <w:r>
        <w:rPr>
          <w:bCs/>
        </w:rPr>
        <w:t>FPUC:</w:t>
      </w:r>
      <w:r>
        <w:rPr>
          <w:bCs/>
        </w:rPr>
        <w:tab/>
        <w:t>1.00072.</w:t>
      </w:r>
    </w:p>
    <w:p w:rsidR="00097757" w:rsidRDefault="00097757" w:rsidP="00097757">
      <w:pPr>
        <w:ind w:left="1440" w:hanging="1440"/>
        <w:rPr>
          <w:bCs/>
        </w:rPr>
      </w:pPr>
    </w:p>
    <w:p w:rsidR="00097757" w:rsidRDefault="00097757" w:rsidP="00097757">
      <w:pPr>
        <w:ind w:left="1440" w:hanging="1440"/>
        <w:rPr>
          <w:bCs/>
        </w:rPr>
      </w:pPr>
      <w:r>
        <w:rPr>
          <w:bCs/>
        </w:rPr>
        <w:t>TECO:</w:t>
      </w:r>
      <w:r>
        <w:rPr>
          <w:bCs/>
        </w:rPr>
        <w:tab/>
        <w:t>1.00072.</w:t>
      </w:r>
    </w:p>
    <w:p w:rsidR="00097757" w:rsidRPr="00520C62" w:rsidRDefault="00097757" w:rsidP="00097757">
      <w:r w:rsidRPr="00520C62">
        <w:t xml:space="preserve">                                                       </w:t>
      </w:r>
    </w:p>
    <w:p w:rsidR="00097757" w:rsidRPr="00BF6EBB" w:rsidRDefault="00097757" w:rsidP="00097757">
      <w:pPr>
        <w:autoSpaceDE w:val="0"/>
        <w:autoSpaceDN w:val="0"/>
        <w:adjustRightInd w:val="0"/>
        <w:ind w:left="1440" w:hanging="1440"/>
      </w:pPr>
      <w:r w:rsidRPr="00BF6EBB">
        <w:rPr>
          <w:b/>
          <w:bCs/>
          <w:u w:val="single"/>
        </w:rPr>
        <w:t xml:space="preserve">ISSUE </w:t>
      </w:r>
      <w:r>
        <w:rPr>
          <w:b/>
          <w:bCs/>
          <w:u w:val="single"/>
        </w:rPr>
        <w:t>18</w:t>
      </w:r>
      <w:r w:rsidRPr="00BF6EBB">
        <w:t>:</w:t>
      </w:r>
      <w:r w:rsidRPr="00BF6EBB">
        <w:tab/>
        <w:t>What are the appropriate levelized fuel cost recovery factors for the period January 202</w:t>
      </w:r>
      <w:r>
        <w:t>3</w:t>
      </w:r>
      <w:r w:rsidRPr="00BF6EBB">
        <w:t xml:space="preserve"> through December 202</w:t>
      </w:r>
      <w:r>
        <w:t>3</w:t>
      </w:r>
      <w:r w:rsidRPr="00BF6EBB">
        <w:t xml:space="preserve">?                                                          </w:t>
      </w:r>
    </w:p>
    <w:p w:rsidR="00097757" w:rsidRDefault="00097757" w:rsidP="00097757"/>
    <w:p w:rsidR="00097757" w:rsidRDefault="00097757" w:rsidP="00097757">
      <w:pPr>
        <w:autoSpaceDE w:val="0"/>
        <w:autoSpaceDN w:val="0"/>
        <w:adjustRightInd w:val="0"/>
        <w:ind w:left="1440" w:hanging="1440"/>
      </w:pPr>
      <w:r>
        <w:rPr>
          <w:b/>
        </w:rPr>
        <w:t>Stipulation:</w:t>
      </w:r>
      <w:r>
        <w:rPr>
          <w:b/>
        </w:rPr>
        <w:tab/>
      </w:r>
    </w:p>
    <w:p w:rsidR="00097757" w:rsidRDefault="00097757" w:rsidP="00097757">
      <w:pPr>
        <w:ind w:left="1440" w:hanging="1440"/>
        <w:rPr>
          <w:bCs/>
        </w:rPr>
      </w:pPr>
    </w:p>
    <w:p w:rsidR="00097757" w:rsidRDefault="00097757" w:rsidP="00097757">
      <w:pPr>
        <w:ind w:left="1440" w:hanging="1440"/>
        <w:rPr>
          <w:bCs/>
        </w:rPr>
      </w:pPr>
      <w:r>
        <w:rPr>
          <w:bCs/>
        </w:rPr>
        <w:t>FPUC:</w:t>
      </w:r>
      <w:r>
        <w:rPr>
          <w:bCs/>
        </w:rPr>
        <w:tab/>
        <w:t>8.976 cents per kWh.</w:t>
      </w:r>
    </w:p>
    <w:p w:rsidR="00097757" w:rsidRDefault="00097757" w:rsidP="00097757">
      <w:pPr>
        <w:ind w:left="1440" w:hanging="1440"/>
        <w:rPr>
          <w:bCs/>
        </w:rPr>
      </w:pPr>
    </w:p>
    <w:p w:rsidR="00097757" w:rsidRPr="00BF6EBB" w:rsidRDefault="00097757" w:rsidP="00097757">
      <w:pPr>
        <w:autoSpaceDE w:val="0"/>
        <w:autoSpaceDN w:val="0"/>
        <w:adjustRightInd w:val="0"/>
        <w:ind w:left="1440" w:hanging="1440"/>
        <w:rPr>
          <w:b/>
          <w:bCs/>
          <w:u w:val="single"/>
        </w:rPr>
      </w:pPr>
      <w:r w:rsidRPr="00BF6EBB">
        <w:rPr>
          <w:b/>
          <w:bCs/>
          <w:u w:val="single"/>
        </w:rPr>
        <w:t xml:space="preserve">ISSUE </w:t>
      </w:r>
      <w:r>
        <w:rPr>
          <w:b/>
          <w:bCs/>
          <w:u w:val="single"/>
        </w:rPr>
        <w:t>19</w:t>
      </w:r>
      <w:r w:rsidRPr="00BF6EBB">
        <w:t>:</w:t>
      </w:r>
      <w:r w:rsidRPr="00BF6EBB">
        <w:tab/>
        <w:t xml:space="preserve">What are the appropriate fuel recovery line loss multipliers to be used in calculating the fuel cost recovery factors charged to each rate class/delivery voltage level class?      </w:t>
      </w:r>
    </w:p>
    <w:p w:rsidR="00097757" w:rsidRDefault="00097757" w:rsidP="00097757">
      <w:pPr>
        <w:ind w:left="1440" w:hanging="1440"/>
        <w:rPr>
          <w:b/>
          <w:bCs/>
          <w:u w:val="single"/>
        </w:rPr>
      </w:pPr>
    </w:p>
    <w:p w:rsidR="00097757" w:rsidRDefault="00097757" w:rsidP="00097757">
      <w:pPr>
        <w:autoSpaceDE w:val="0"/>
        <w:autoSpaceDN w:val="0"/>
        <w:adjustRightInd w:val="0"/>
        <w:ind w:left="1440" w:hanging="1440"/>
      </w:pPr>
      <w:r>
        <w:rPr>
          <w:b/>
        </w:rPr>
        <w:t>Stipulation:</w:t>
      </w:r>
      <w:r>
        <w:rPr>
          <w:b/>
        </w:rPr>
        <w:tab/>
      </w:r>
    </w:p>
    <w:p w:rsidR="00097757" w:rsidRDefault="00097757" w:rsidP="00097757">
      <w:pPr>
        <w:ind w:left="1440" w:hanging="1440"/>
        <w:rPr>
          <w:bCs/>
        </w:rPr>
      </w:pPr>
      <w:r w:rsidRPr="00AA74BD">
        <w:rPr>
          <w:bCs/>
        </w:rPr>
        <w:t>DEF:</w:t>
      </w:r>
      <w:r>
        <w:rPr>
          <w:bCs/>
        </w:rPr>
        <w:tab/>
      </w:r>
    </w:p>
    <w:tbl>
      <w:tblPr>
        <w:tblStyle w:val="TableGrid"/>
        <w:tblW w:w="4846" w:type="pct"/>
        <w:jc w:val="center"/>
        <w:tblLook w:val="04A0" w:firstRow="1" w:lastRow="0" w:firstColumn="1" w:lastColumn="0" w:noHBand="0" w:noVBand="1"/>
      </w:tblPr>
      <w:tblGrid>
        <w:gridCol w:w="5745"/>
        <w:gridCol w:w="3536"/>
      </w:tblGrid>
      <w:tr w:rsidR="00097757" w:rsidRPr="00365493" w:rsidTr="00E5228C">
        <w:trPr>
          <w:tblHeader/>
          <w:jc w:val="center"/>
        </w:trPr>
        <w:tc>
          <w:tcPr>
            <w:tcW w:w="5000" w:type="pct"/>
            <w:gridSpan w:val="2"/>
            <w:tcBorders>
              <w:top w:val="nil"/>
              <w:left w:val="nil"/>
              <w:bottom w:val="nil"/>
              <w:right w:val="nil"/>
            </w:tcBorders>
          </w:tcPr>
          <w:p w:rsidR="00097757" w:rsidRPr="00365493" w:rsidRDefault="00097757" w:rsidP="00E5228C">
            <w:pPr>
              <w:jc w:val="center"/>
              <w:rPr>
                <w:rFonts w:ascii="Arial" w:hAnsi="Arial" w:cs="Arial"/>
                <w:b/>
              </w:rPr>
            </w:pPr>
            <w:r w:rsidRPr="00365493">
              <w:rPr>
                <w:rFonts w:ascii="Arial" w:hAnsi="Arial" w:cs="Arial"/>
                <w:b/>
              </w:rPr>
              <w:t>Table 19-1</w:t>
            </w:r>
          </w:p>
        </w:tc>
      </w:tr>
      <w:tr w:rsidR="00097757" w:rsidRPr="00365493" w:rsidTr="00E5228C">
        <w:trPr>
          <w:tblHeader/>
          <w:jc w:val="center"/>
        </w:trPr>
        <w:tc>
          <w:tcPr>
            <w:tcW w:w="5000" w:type="pct"/>
            <w:gridSpan w:val="2"/>
            <w:tcBorders>
              <w:top w:val="nil"/>
              <w:left w:val="nil"/>
              <w:bottom w:val="nil"/>
              <w:right w:val="nil"/>
            </w:tcBorders>
          </w:tcPr>
          <w:p w:rsidR="00097757" w:rsidRPr="00365493" w:rsidRDefault="00097757" w:rsidP="00E5228C">
            <w:pPr>
              <w:jc w:val="center"/>
              <w:rPr>
                <w:rFonts w:ascii="Arial" w:hAnsi="Arial" w:cs="Arial"/>
                <w:b/>
              </w:rPr>
            </w:pPr>
            <w:r w:rsidRPr="00365493">
              <w:rPr>
                <w:rFonts w:ascii="Arial" w:hAnsi="Arial" w:cs="Arial"/>
                <w:b/>
              </w:rPr>
              <w:t>DEF Fuel Recovery Line Loss Multipliers</w:t>
            </w:r>
          </w:p>
        </w:tc>
      </w:tr>
      <w:tr w:rsidR="00097757" w:rsidRPr="00365493" w:rsidTr="00E5228C">
        <w:trPr>
          <w:tblHeader/>
          <w:jc w:val="center"/>
        </w:trPr>
        <w:tc>
          <w:tcPr>
            <w:tcW w:w="5000" w:type="pct"/>
            <w:gridSpan w:val="2"/>
            <w:tcBorders>
              <w:top w:val="nil"/>
              <w:left w:val="nil"/>
              <w:bottom w:val="single" w:sz="4" w:space="0" w:color="auto"/>
              <w:right w:val="nil"/>
            </w:tcBorders>
          </w:tcPr>
          <w:p w:rsidR="00097757" w:rsidRPr="00365493" w:rsidRDefault="00097757" w:rsidP="00E5228C">
            <w:pPr>
              <w:jc w:val="center"/>
              <w:rPr>
                <w:rFonts w:ascii="Arial" w:hAnsi="Arial" w:cs="Arial"/>
                <w:b/>
              </w:rPr>
            </w:pPr>
            <w:r w:rsidRPr="00365493">
              <w:rPr>
                <w:rFonts w:ascii="Arial" w:hAnsi="Arial" w:cs="Arial"/>
                <w:b/>
              </w:rPr>
              <w:t>for the period January-December, 2023</w:t>
            </w:r>
          </w:p>
        </w:tc>
      </w:tr>
      <w:tr w:rsidR="00097757" w:rsidRPr="00365493" w:rsidTr="00E5228C">
        <w:trPr>
          <w:tblHeader/>
          <w:jc w:val="center"/>
        </w:trPr>
        <w:tc>
          <w:tcPr>
            <w:tcW w:w="3095" w:type="pct"/>
            <w:tcBorders>
              <w:top w:val="single" w:sz="4" w:space="0" w:color="auto"/>
              <w:left w:val="single" w:sz="4" w:space="0" w:color="auto"/>
              <w:bottom w:val="single" w:sz="4" w:space="0" w:color="auto"/>
              <w:right w:val="single" w:sz="4" w:space="0" w:color="auto"/>
            </w:tcBorders>
          </w:tcPr>
          <w:p w:rsidR="00097757" w:rsidRPr="00365493" w:rsidRDefault="00097757" w:rsidP="00E5228C">
            <w:pPr>
              <w:jc w:val="center"/>
            </w:pPr>
            <w:r w:rsidRPr="00365493">
              <w:t>Delivery Voltage Level</w:t>
            </w:r>
          </w:p>
        </w:tc>
        <w:tc>
          <w:tcPr>
            <w:tcW w:w="1905" w:type="pct"/>
            <w:tcBorders>
              <w:top w:val="single" w:sz="4" w:space="0" w:color="auto"/>
              <w:left w:val="single" w:sz="4" w:space="0" w:color="auto"/>
              <w:bottom w:val="single" w:sz="4" w:space="0" w:color="auto"/>
              <w:right w:val="single" w:sz="4" w:space="0" w:color="auto"/>
            </w:tcBorders>
            <w:hideMark/>
          </w:tcPr>
          <w:p w:rsidR="00097757" w:rsidRPr="00365493" w:rsidRDefault="00097757" w:rsidP="00E5228C">
            <w:pPr>
              <w:jc w:val="center"/>
            </w:pPr>
            <w:r w:rsidRPr="00365493">
              <w:t>Line Loss Multiplier</w:t>
            </w:r>
          </w:p>
        </w:tc>
      </w:tr>
      <w:tr w:rsidR="00097757" w:rsidRPr="00365493" w:rsidTr="00E5228C">
        <w:trPr>
          <w:jc w:val="center"/>
        </w:trPr>
        <w:tc>
          <w:tcPr>
            <w:tcW w:w="3095" w:type="pct"/>
            <w:tcBorders>
              <w:top w:val="single" w:sz="4" w:space="0" w:color="auto"/>
              <w:left w:val="single" w:sz="4" w:space="0" w:color="auto"/>
              <w:bottom w:val="single" w:sz="4" w:space="0" w:color="auto"/>
              <w:right w:val="single" w:sz="4" w:space="0" w:color="auto"/>
            </w:tcBorders>
          </w:tcPr>
          <w:p w:rsidR="00097757" w:rsidRPr="00365493" w:rsidRDefault="00097757" w:rsidP="00E5228C">
            <w:pPr>
              <w:jc w:val="center"/>
            </w:pPr>
            <w:r w:rsidRPr="00365493">
              <w:t>Transmission</w:t>
            </w:r>
          </w:p>
        </w:tc>
        <w:tc>
          <w:tcPr>
            <w:tcW w:w="1905" w:type="pct"/>
            <w:tcBorders>
              <w:top w:val="single" w:sz="4" w:space="0" w:color="auto"/>
              <w:left w:val="single" w:sz="4" w:space="0" w:color="auto"/>
              <w:bottom w:val="single" w:sz="4" w:space="0" w:color="auto"/>
              <w:right w:val="single" w:sz="4" w:space="0" w:color="auto"/>
            </w:tcBorders>
            <w:hideMark/>
          </w:tcPr>
          <w:p w:rsidR="00097757" w:rsidRPr="00365493" w:rsidRDefault="00097757" w:rsidP="00E5228C">
            <w:pPr>
              <w:jc w:val="center"/>
            </w:pPr>
            <w:r w:rsidRPr="00365493">
              <w:t>0.98</w:t>
            </w:r>
          </w:p>
        </w:tc>
      </w:tr>
      <w:tr w:rsidR="00097757" w:rsidRPr="00365493" w:rsidTr="00E5228C">
        <w:trPr>
          <w:jc w:val="center"/>
        </w:trPr>
        <w:tc>
          <w:tcPr>
            <w:tcW w:w="3095" w:type="pct"/>
            <w:tcBorders>
              <w:top w:val="single" w:sz="4" w:space="0" w:color="auto"/>
              <w:left w:val="single" w:sz="4" w:space="0" w:color="auto"/>
              <w:bottom w:val="single" w:sz="4" w:space="0" w:color="auto"/>
              <w:right w:val="single" w:sz="4" w:space="0" w:color="auto"/>
            </w:tcBorders>
          </w:tcPr>
          <w:p w:rsidR="00097757" w:rsidRPr="00365493" w:rsidRDefault="00097757" w:rsidP="00E5228C">
            <w:pPr>
              <w:jc w:val="center"/>
            </w:pPr>
            <w:r w:rsidRPr="00365493">
              <w:t>Distribution Primary</w:t>
            </w:r>
          </w:p>
        </w:tc>
        <w:tc>
          <w:tcPr>
            <w:tcW w:w="1905" w:type="pct"/>
            <w:tcBorders>
              <w:top w:val="single" w:sz="4" w:space="0" w:color="auto"/>
              <w:left w:val="single" w:sz="4" w:space="0" w:color="auto"/>
              <w:bottom w:val="single" w:sz="4" w:space="0" w:color="auto"/>
              <w:right w:val="single" w:sz="4" w:space="0" w:color="auto"/>
            </w:tcBorders>
          </w:tcPr>
          <w:p w:rsidR="00097757" w:rsidRPr="00365493" w:rsidRDefault="00097757" w:rsidP="00E5228C">
            <w:pPr>
              <w:jc w:val="center"/>
            </w:pPr>
            <w:r w:rsidRPr="00365493">
              <w:t>0.99</w:t>
            </w:r>
          </w:p>
        </w:tc>
      </w:tr>
      <w:tr w:rsidR="00097757" w:rsidRPr="00365493" w:rsidTr="00E5228C">
        <w:trPr>
          <w:jc w:val="center"/>
        </w:trPr>
        <w:tc>
          <w:tcPr>
            <w:tcW w:w="3095" w:type="pct"/>
            <w:tcBorders>
              <w:top w:val="single" w:sz="4" w:space="0" w:color="auto"/>
              <w:left w:val="single" w:sz="4" w:space="0" w:color="auto"/>
              <w:bottom w:val="single" w:sz="4" w:space="0" w:color="auto"/>
              <w:right w:val="single" w:sz="4" w:space="0" w:color="auto"/>
            </w:tcBorders>
          </w:tcPr>
          <w:p w:rsidR="00097757" w:rsidRPr="00365493" w:rsidRDefault="00097757" w:rsidP="00E5228C">
            <w:pPr>
              <w:jc w:val="center"/>
            </w:pPr>
            <w:r w:rsidRPr="00365493">
              <w:t>Distribution Secondary</w:t>
            </w:r>
          </w:p>
        </w:tc>
        <w:tc>
          <w:tcPr>
            <w:tcW w:w="1905" w:type="pct"/>
            <w:tcBorders>
              <w:top w:val="single" w:sz="4" w:space="0" w:color="auto"/>
              <w:left w:val="single" w:sz="4" w:space="0" w:color="auto"/>
              <w:bottom w:val="single" w:sz="4" w:space="0" w:color="auto"/>
              <w:right w:val="single" w:sz="4" w:space="0" w:color="auto"/>
            </w:tcBorders>
          </w:tcPr>
          <w:p w:rsidR="00097757" w:rsidRPr="00365493" w:rsidRDefault="00097757" w:rsidP="00E5228C">
            <w:pPr>
              <w:jc w:val="center"/>
            </w:pPr>
            <w:r w:rsidRPr="00365493">
              <w:t>1.00</w:t>
            </w:r>
          </w:p>
        </w:tc>
      </w:tr>
      <w:tr w:rsidR="00097757" w:rsidRPr="00365493" w:rsidTr="00E5228C">
        <w:trPr>
          <w:jc w:val="center"/>
        </w:trPr>
        <w:tc>
          <w:tcPr>
            <w:tcW w:w="3095" w:type="pct"/>
            <w:tcBorders>
              <w:top w:val="single" w:sz="4" w:space="0" w:color="auto"/>
              <w:left w:val="single" w:sz="4" w:space="0" w:color="auto"/>
              <w:bottom w:val="single" w:sz="4" w:space="0" w:color="auto"/>
              <w:right w:val="single" w:sz="4" w:space="0" w:color="auto"/>
            </w:tcBorders>
          </w:tcPr>
          <w:p w:rsidR="00097757" w:rsidRPr="00365493" w:rsidRDefault="00097757" w:rsidP="00E5228C">
            <w:pPr>
              <w:jc w:val="center"/>
            </w:pPr>
            <w:r w:rsidRPr="00365493">
              <w:t>Lighting Service</w:t>
            </w:r>
          </w:p>
        </w:tc>
        <w:tc>
          <w:tcPr>
            <w:tcW w:w="1905" w:type="pct"/>
            <w:tcBorders>
              <w:top w:val="single" w:sz="4" w:space="0" w:color="auto"/>
              <w:left w:val="single" w:sz="4" w:space="0" w:color="auto"/>
              <w:bottom w:val="single" w:sz="4" w:space="0" w:color="auto"/>
              <w:right w:val="single" w:sz="4" w:space="0" w:color="auto"/>
            </w:tcBorders>
            <w:hideMark/>
          </w:tcPr>
          <w:p w:rsidR="00097757" w:rsidRPr="00365493" w:rsidRDefault="00097757" w:rsidP="00E5228C">
            <w:pPr>
              <w:jc w:val="center"/>
            </w:pPr>
            <w:r w:rsidRPr="00365493">
              <w:t>1.00</w:t>
            </w:r>
          </w:p>
        </w:tc>
      </w:tr>
    </w:tbl>
    <w:p w:rsidR="00097757" w:rsidRPr="00A71CFB" w:rsidRDefault="00097757" w:rsidP="00097757">
      <w:pPr>
        <w:autoSpaceDE w:val="0"/>
        <w:autoSpaceDN w:val="0"/>
        <w:adjustRightInd w:val="0"/>
        <w:ind w:left="1440" w:hanging="1440"/>
      </w:pPr>
      <w:r w:rsidRPr="00365493">
        <w:t>Source: Schedule E1-</w:t>
      </w:r>
      <w:r>
        <w:t>D</w:t>
      </w:r>
      <w:r w:rsidRPr="00365493">
        <w:t>, Exhibit GPD-3, Part 2</w:t>
      </w:r>
      <w:r>
        <w:t>, Page 1 of 1</w:t>
      </w:r>
      <w:r w:rsidRPr="00365493">
        <w:t>.</w:t>
      </w:r>
    </w:p>
    <w:p w:rsidR="00097757" w:rsidRDefault="00097757" w:rsidP="00097757">
      <w:pPr>
        <w:ind w:left="1440" w:hanging="1440"/>
        <w:rPr>
          <w:bCs/>
        </w:rPr>
      </w:pPr>
    </w:p>
    <w:p w:rsidR="00097757" w:rsidRDefault="00097757" w:rsidP="00097757">
      <w:pPr>
        <w:ind w:left="1440" w:hanging="1440"/>
        <w:rPr>
          <w:bCs/>
        </w:rPr>
      </w:pPr>
      <w:r>
        <w:rPr>
          <w:bCs/>
        </w:rPr>
        <w:t>FPL:</w:t>
      </w:r>
      <w:r>
        <w:rPr>
          <w:bCs/>
        </w:rPr>
        <w:tab/>
      </w:r>
      <w:r w:rsidRPr="00210A7D">
        <w:t>The appropriate fuel recovery line loss multipliers to be used in calculating the fuel cost recovery factors charged to each rate class/delivery voltage level class ar</w:t>
      </w:r>
      <w:r w:rsidRPr="007446E1">
        <w:t>e shown in Issue No. 20.</w:t>
      </w:r>
    </w:p>
    <w:p w:rsidR="00097757" w:rsidRDefault="00097757" w:rsidP="00097757">
      <w:pPr>
        <w:ind w:left="1440" w:hanging="1440"/>
        <w:rPr>
          <w:bCs/>
        </w:rPr>
      </w:pPr>
    </w:p>
    <w:p w:rsidR="00097757" w:rsidRDefault="00097757" w:rsidP="00097757">
      <w:pPr>
        <w:ind w:left="1440" w:hanging="1440"/>
        <w:rPr>
          <w:bCs/>
        </w:rPr>
      </w:pPr>
      <w:r>
        <w:rPr>
          <w:bCs/>
        </w:rPr>
        <w:t>FPUC:</w:t>
      </w:r>
      <w:r>
        <w:rPr>
          <w:bCs/>
        </w:rPr>
        <w:tab/>
      </w:r>
      <w:r w:rsidRPr="00B573BF">
        <w:t>The appropriate fuel recovery line loss multiplier to be used in calculating the fuel cost recovery factors charged to each rate class/delivery voltage level c</w:t>
      </w:r>
      <w:r>
        <w:t>lass is 1.00000.</w:t>
      </w:r>
    </w:p>
    <w:p w:rsidR="00097757" w:rsidRDefault="00097757" w:rsidP="00097757">
      <w:pPr>
        <w:ind w:left="1440" w:hanging="1440"/>
        <w:rPr>
          <w:bCs/>
        </w:rPr>
      </w:pPr>
    </w:p>
    <w:p w:rsidR="00097757" w:rsidRDefault="00097757" w:rsidP="00097757">
      <w:pPr>
        <w:rPr>
          <w:bCs/>
        </w:rPr>
      </w:pPr>
      <w:r>
        <w:rPr>
          <w:bCs/>
        </w:rPr>
        <w:br w:type="page"/>
      </w:r>
    </w:p>
    <w:p w:rsidR="00097757" w:rsidRDefault="00097757" w:rsidP="00097757">
      <w:pPr>
        <w:ind w:left="1440" w:hanging="1440"/>
        <w:rPr>
          <w:bCs/>
        </w:rPr>
      </w:pPr>
      <w:r>
        <w:rPr>
          <w:bCs/>
        </w:rPr>
        <w:lastRenderedPageBreak/>
        <w:t>TECO:</w:t>
      </w:r>
      <w:r>
        <w:rPr>
          <w:bCs/>
        </w:rPr>
        <w:tab/>
      </w:r>
    </w:p>
    <w:tbl>
      <w:tblPr>
        <w:tblStyle w:val="TableGrid"/>
        <w:tblW w:w="8995" w:type="dxa"/>
        <w:jc w:val="center"/>
        <w:tblLook w:val="04A0" w:firstRow="1" w:lastRow="0" w:firstColumn="1" w:lastColumn="0" w:noHBand="0" w:noVBand="1"/>
      </w:tblPr>
      <w:tblGrid>
        <w:gridCol w:w="4495"/>
        <w:gridCol w:w="4500"/>
      </w:tblGrid>
      <w:tr w:rsidR="00097757" w:rsidRPr="00210A7D" w:rsidTr="00E5228C">
        <w:trPr>
          <w:jc w:val="center"/>
        </w:trPr>
        <w:tc>
          <w:tcPr>
            <w:tcW w:w="8995" w:type="dxa"/>
            <w:gridSpan w:val="2"/>
            <w:tcBorders>
              <w:top w:val="nil"/>
              <w:left w:val="nil"/>
              <w:bottom w:val="nil"/>
              <w:right w:val="nil"/>
            </w:tcBorders>
          </w:tcPr>
          <w:p w:rsidR="00097757" w:rsidRPr="00094914" w:rsidRDefault="00097757" w:rsidP="00E5228C">
            <w:pPr>
              <w:ind w:left="1440" w:hanging="1440"/>
              <w:jc w:val="center"/>
              <w:rPr>
                <w:rFonts w:ascii="Arial" w:hAnsi="Arial" w:cs="Arial"/>
                <w:b/>
              </w:rPr>
            </w:pPr>
            <w:r>
              <w:rPr>
                <w:rFonts w:ascii="Arial" w:hAnsi="Arial" w:cs="Arial"/>
                <w:b/>
              </w:rPr>
              <w:t xml:space="preserve">Table </w:t>
            </w:r>
            <w:r w:rsidRPr="00094914">
              <w:rPr>
                <w:rFonts w:ascii="Arial" w:hAnsi="Arial" w:cs="Arial"/>
                <w:b/>
              </w:rPr>
              <w:t>1</w:t>
            </w:r>
            <w:r>
              <w:rPr>
                <w:rFonts w:ascii="Arial" w:hAnsi="Arial" w:cs="Arial"/>
                <w:b/>
              </w:rPr>
              <w:t>9</w:t>
            </w:r>
            <w:r w:rsidRPr="00094914">
              <w:rPr>
                <w:rFonts w:ascii="Arial" w:hAnsi="Arial" w:cs="Arial"/>
                <w:b/>
              </w:rPr>
              <w:t>-2</w:t>
            </w:r>
          </w:p>
        </w:tc>
      </w:tr>
      <w:tr w:rsidR="00097757" w:rsidRPr="00210A7D" w:rsidTr="00E5228C">
        <w:trPr>
          <w:jc w:val="center"/>
        </w:trPr>
        <w:tc>
          <w:tcPr>
            <w:tcW w:w="8995" w:type="dxa"/>
            <w:gridSpan w:val="2"/>
            <w:tcBorders>
              <w:top w:val="nil"/>
              <w:left w:val="nil"/>
              <w:bottom w:val="nil"/>
              <w:right w:val="nil"/>
            </w:tcBorders>
          </w:tcPr>
          <w:p w:rsidR="00097757" w:rsidRPr="00094914" w:rsidRDefault="00097757" w:rsidP="00E5228C">
            <w:pPr>
              <w:jc w:val="center"/>
            </w:pPr>
            <w:r w:rsidRPr="00094914">
              <w:rPr>
                <w:rFonts w:ascii="Arial" w:hAnsi="Arial" w:cs="Arial"/>
                <w:b/>
              </w:rPr>
              <w:t>TECO Fuel Recovery Line Loss Multipliers</w:t>
            </w:r>
          </w:p>
        </w:tc>
      </w:tr>
      <w:tr w:rsidR="00097757" w:rsidRPr="00210A7D" w:rsidTr="00E5228C">
        <w:trPr>
          <w:jc w:val="center"/>
        </w:trPr>
        <w:tc>
          <w:tcPr>
            <w:tcW w:w="8995" w:type="dxa"/>
            <w:gridSpan w:val="2"/>
            <w:tcBorders>
              <w:top w:val="nil"/>
              <w:left w:val="nil"/>
              <w:bottom w:val="single" w:sz="4" w:space="0" w:color="auto"/>
              <w:right w:val="nil"/>
            </w:tcBorders>
          </w:tcPr>
          <w:p w:rsidR="00097757" w:rsidRPr="00094914" w:rsidRDefault="00097757" w:rsidP="00E5228C">
            <w:pPr>
              <w:jc w:val="center"/>
            </w:pPr>
            <w:r w:rsidRPr="00094914">
              <w:rPr>
                <w:rFonts w:ascii="Arial" w:hAnsi="Arial" w:cs="Arial"/>
                <w:b/>
              </w:rPr>
              <w:t>for t</w:t>
            </w:r>
            <w:r>
              <w:rPr>
                <w:rFonts w:ascii="Arial" w:hAnsi="Arial" w:cs="Arial"/>
                <w:b/>
              </w:rPr>
              <w:t>he period January-December, 2023</w:t>
            </w:r>
          </w:p>
        </w:tc>
      </w:tr>
      <w:tr w:rsidR="00097757" w:rsidRPr="00210A7D" w:rsidTr="00E5228C">
        <w:trPr>
          <w:jc w:val="center"/>
        </w:trPr>
        <w:tc>
          <w:tcPr>
            <w:tcW w:w="4495" w:type="dxa"/>
            <w:tcBorders>
              <w:top w:val="single" w:sz="4" w:space="0" w:color="auto"/>
              <w:left w:val="single" w:sz="4" w:space="0" w:color="auto"/>
              <w:bottom w:val="single" w:sz="4" w:space="0" w:color="auto"/>
              <w:right w:val="single" w:sz="4" w:space="0" w:color="auto"/>
            </w:tcBorders>
          </w:tcPr>
          <w:p w:rsidR="00097757" w:rsidRPr="00094914" w:rsidRDefault="00097757" w:rsidP="00E5228C">
            <w:pPr>
              <w:jc w:val="center"/>
            </w:pPr>
            <w:r w:rsidRPr="00094914">
              <w:t>Delivery Voltage Level</w:t>
            </w:r>
          </w:p>
        </w:tc>
        <w:tc>
          <w:tcPr>
            <w:tcW w:w="4500" w:type="dxa"/>
            <w:tcBorders>
              <w:top w:val="single" w:sz="4" w:space="0" w:color="auto"/>
              <w:left w:val="single" w:sz="4" w:space="0" w:color="auto"/>
              <w:bottom w:val="single" w:sz="4" w:space="0" w:color="auto"/>
              <w:right w:val="single" w:sz="4" w:space="0" w:color="auto"/>
            </w:tcBorders>
            <w:hideMark/>
          </w:tcPr>
          <w:p w:rsidR="00097757" w:rsidRPr="00094914" w:rsidRDefault="00097757" w:rsidP="00E5228C">
            <w:pPr>
              <w:jc w:val="center"/>
            </w:pPr>
            <w:r w:rsidRPr="00094914">
              <w:t>Line Loss Multiplier</w:t>
            </w:r>
          </w:p>
        </w:tc>
      </w:tr>
      <w:tr w:rsidR="00097757" w:rsidRPr="00210A7D" w:rsidTr="00E5228C">
        <w:trPr>
          <w:jc w:val="center"/>
        </w:trPr>
        <w:tc>
          <w:tcPr>
            <w:tcW w:w="4495" w:type="dxa"/>
            <w:tcBorders>
              <w:top w:val="single" w:sz="4" w:space="0" w:color="auto"/>
              <w:left w:val="single" w:sz="4" w:space="0" w:color="auto"/>
              <w:bottom w:val="single" w:sz="4" w:space="0" w:color="auto"/>
              <w:right w:val="single" w:sz="4" w:space="0" w:color="auto"/>
            </w:tcBorders>
          </w:tcPr>
          <w:p w:rsidR="00097757" w:rsidRPr="00094914" w:rsidRDefault="00097757" w:rsidP="00E5228C">
            <w:pPr>
              <w:jc w:val="center"/>
            </w:pPr>
            <w:r w:rsidRPr="00094914">
              <w:t>Transmission</w:t>
            </w:r>
          </w:p>
        </w:tc>
        <w:tc>
          <w:tcPr>
            <w:tcW w:w="4500" w:type="dxa"/>
            <w:tcBorders>
              <w:top w:val="single" w:sz="4" w:space="0" w:color="auto"/>
              <w:left w:val="single" w:sz="4" w:space="0" w:color="auto"/>
              <w:bottom w:val="single" w:sz="4" w:space="0" w:color="auto"/>
              <w:right w:val="single" w:sz="4" w:space="0" w:color="auto"/>
            </w:tcBorders>
            <w:hideMark/>
          </w:tcPr>
          <w:p w:rsidR="00097757" w:rsidRPr="00094914" w:rsidRDefault="00097757" w:rsidP="00E5228C">
            <w:pPr>
              <w:jc w:val="center"/>
            </w:pPr>
            <w:r w:rsidRPr="00094914">
              <w:t>0.98</w:t>
            </w:r>
          </w:p>
        </w:tc>
      </w:tr>
      <w:tr w:rsidR="00097757" w:rsidRPr="00210A7D" w:rsidTr="00E5228C">
        <w:trPr>
          <w:jc w:val="center"/>
        </w:trPr>
        <w:tc>
          <w:tcPr>
            <w:tcW w:w="4495" w:type="dxa"/>
            <w:tcBorders>
              <w:top w:val="single" w:sz="4" w:space="0" w:color="auto"/>
              <w:left w:val="single" w:sz="4" w:space="0" w:color="auto"/>
              <w:bottom w:val="single" w:sz="4" w:space="0" w:color="auto"/>
              <w:right w:val="single" w:sz="4" w:space="0" w:color="auto"/>
            </w:tcBorders>
          </w:tcPr>
          <w:p w:rsidR="00097757" w:rsidRPr="00094914" w:rsidRDefault="00097757" w:rsidP="00E5228C">
            <w:pPr>
              <w:jc w:val="center"/>
            </w:pPr>
            <w:r w:rsidRPr="00094914">
              <w:t>Distribution Primary</w:t>
            </w:r>
          </w:p>
        </w:tc>
        <w:tc>
          <w:tcPr>
            <w:tcW w:w="4500" w:type="dxa"/>
            <w:tcBorders>
              <w:top w:val="single" w:sz="4" w:space="0" w:color="auto"/>
              <w:left w:val="single" w:sz="4" w:space="0" w:color="auto"/>
              <w:bottom w:val="single" w:sz="4" w:space="0" w:color="auto"/>
              <w:right w:val="single" w:sz="4" w:space="0" w:color="auto"/>
            </w:tcBorders>
          </w:tcPr>
          <w:p w:rsidR="00097757" w:rsidRPr="00094914" w:rsidRDefault="00097757" w:rsidP="00E5228C">
            <w:pPr>
              <w:jc w:val="center"/>
            </w:pPr>
            <w:r w:rsidRPr="00094914">
              <w:t>0.99</w:t>
            </w:r>
          </w:p>
        </w:tc>
      </w:tr>
      <w:tr w:rsidR="00097757" w:rsidRPr="00094914" w:rsidTr="00E5228C">
        <w:trPr>
          <w:jc w:val="center"/>
        </w:trPr>
        <w:tc>
          <w:tcPr>
            <w:tcW w:w="4495" w:type="dxa"/>
            <w:tcBorders>
              <w:top w:val="single" w:sz="4" w:space="0" w:color="auto"/>
              <w:left w:val="single" w:sz="4" w:space="0" w:color="auto"/>
              <w:bottom w:val="single" w:sz="4" w:space="0" w:color="auto"/>
              <w:right w:val="single" w:sz="4" w:space="0" w:color="auto"/>
            </w:tcBorders>
          </w:tcPr>
          <w:p w:rsidR="00097757" w:rsidRPr="00094914" w:rsidRDefault="00097757" w:rsidP="00E5228C">
            <w:pPr>
              <w:jc w:val="center"/>
            </w:pPr>
            <w:r w:rsidRPr="00094914">
              <w:t>Distribution Secondary</w:t>
            </w:r>
          </w:p>
        </w:tc>
        <w:tc>
          <w:tcPr>
            <w:tcW w:w="4500" w:type="dxa"/>
            <w:tcBorders>
              <w:top w:val="single" w:sz="4" w:space="0" w:color="auto"/>
              <w:left w:val="single" w:sz="4" w:space="0" w:color="auto"/>
              <w:bottom w:val="single" w:sz="4" w:space="0" w:color="auto"/>
              <w:right w:val="single" w:sz="4" w:space="0" w:color="auto"/>
            </w:tcBorders>
          </w:tcPr>
          <w:p w:rsidR="00097757" w:rsidRPr="00094914" w:rsidRDefault="00097757" w:rsidP="00E5228C">
            <w:pPr>
              <w:jc w:val="center"/>
            </w:pPr>
            <w:r w:rsidRPr="00094914">
              <w:t>1.00</w:t>
            </w:r>
          </w:p>
        </w:tc>
      </w:tr>
      <w:tr w:rsidR="00097757" w:rsidRPr="00094914" w:rsidTr="00E5228C">
        <w:trPr>
          <w:jc w:val="center"/>
        </w:trPr>
        <w:tc>
          <w:tcPr>
            <w:tcW w:w="4495" w:type="dxa"/>
            <w:tcBorders>
              <w:top w:val="single" w:sz="4" w:space="0" w:color="auto"/>
              <w:left w:val="single" w:sz="4" w:space="0" w:color="auto"/>
              <w:bottom w:val="single" w:sz="4" w:space="0" w:color="auto"/>
              <w:right w:val="single" w:sz="4" w:space="0" w:color="auto"/>
            </w:tcBorders>
          </w:tcPr>
          <w:p w:rsidR="00097757" w:rsidRPr="00094914" w:rsidRDefault="00097757" w:rsidP="00E5228C">
            <w:pPr>
              <w:jc w:val="center"/>
            </w:pPr>
            <w:r w:rsidRPr="00094914">
              <w:t>Lighting Service</w:t>
            </w:r>
          </w:p>
        </w:tc>
        <w:tc>
          <w:tcPr>
            <w:tcW w:w="4500" w:type="dxa"/>
            <w:tcBorders>
              <w:top w:val="single" w:sz="4" w:space="0" w:color="auto"/>
              <w:left w:val="single" w:sz="4" w:space="0" w:color="auto"/>
              <w:bottom w:val="single" w:sz="4" w:space="0" w:color="auto"/>
              <w:right w:val="single" w:sz="4" w:space="0" w:color="auto"/>
            </w:tcBorders>
          </w:tcPr>
          <w:p w:rsidR="00097757" w:rsidRPr="00094914" w:rsidRDefault="00097757" w:rsidP="00E5228C">
            <w:pPr>
              <w:jc w:val="center"/>
            </w:pPr>
            <w:r w:rsidRPr="00094914">
              <w:t>1.00</w:t>
            </w:r>
          </w:p>
        </w:tc>
      </w:tr>
    </w:tbl>
    <w:p w:rsidR="00097757" w:rsidRDefault="00097757" w:rsidP="00097757">
      <w:pPr>
        <w:autoSpaceDE w:val="0"/>
        <w:autoSpaceDN w:val="0"/>
        <w:adjustRightInd w:val="0"/>
        <w:rPr>
          <w:sz w:val="22"/>
          <w:szCs w:val="22"/>
        </w:rPr>
      </w:pPr>
      <w:r>
        <w:rPr>
          <w:sz w:val="22"/>
          <w:szCs w:val="22"/>
        </w:rPr>
        <w:t xml:space="preserve">    Sources: Schedule E1-D and E1-E.</w:t>
      </w:r>
    </w:p>
    <w:p w:rsidR="00097757" w:rsidRDefault="00097757" w:rsidP="00097757">
      <w:pPr>
        <w:autoSpaceDE w:val="0"/>
        <w:autoSpaceDN w:val="0"/>
        <w:adjustRightInd w:val="0"/>
        <w:rPr>
          <w:bCs/>
        </w:rPr>
      </w:pPr>
    </w:p>
    <w:p w:rsidR="00097757" w:rsidRDefault="00097757" w:rsidP="00097757">
      <w:pPr>
        <w:ind w:left="1440" w:hanging="1440"/>
      </w:pPr>
      <w:r w:rsidRPr="00BF6EBB">
        <w:rPr>
          <w:b/>
          <w:bCs/>
          <w:u w:val="single"/>
        </w:rPr>
        <w:t>ISSUE 2</w:t>
      </w:r>
      <w:r>
        <w:rPr>
          <w:b/>
          <w:bCs/>
          <w:u w:val="single"/>
        </w:rPr>
        <w:t>0</w:t>
      </w:r>
      <w:r w:rsidRPr="00BF6EBB">
        <w:t>:</w:t>
      </w:r>
      <w:r w:rsidRPr="00BF6EBB">
        <w:tab/>
        <w:t xml:space="preserve">What are the appropriate fuel cost recovery factors for each rate class/delivery voltage level class adjusted for line losses? </w:t>
      </w:r>
    </w:p>
    <w:p w:rsidR="00097757" w:rsidRDefault="00097757" w:rsidP="00097757">
      <w:pPr>
        <w:ind w:left="1440" w:hanging="1440"/>
      </w:pPr>
    </w:p>
    <w:p w:rsidR="00097757" w:rsidRPr="00D84B14" w:rsidRDefault="00097757" w:rsidP="00097757">
      <w:pPr>
        <w:ind w:left="1440" w:hanging="1440"/>
      </w:pPr>
      <w:r w:rsidRPr="00D84B14">
        <w:t>FPUC:</w:t>
      </w:r>
      <w:r w:rsidRPr="00D84B14">
        <w:tab/>
        <w:t>The appropriate fuel cost recovery factors for each rate class/delivery voltage level class adjusted for line losses for the period January 2023 through December 2023, are shown in Tables 20-4, 20-5, and 20-6 below:</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4973"/>
      </w:tblGrid>
      <w:tr w:rsidR="00097757" w:rsidRPr="00D84B14" w:rsidTr="00E5228C">
        <w:trPr>
          <w:tblHeader/>
        </w:trPr>
        <w:tc>
          <w:tcPr>
            <w:tcW w:w="9468" w:type="dxa"/>
            <w:gridSpan w:val="2"/>
            <w:tcBorders>
              <w:top w:val="nil"/>
              <w:left w:val="nil"/>
              <w:bottom w:val="nil"/>
              <w:right w:val="nil"/>
            </w:tcBorders>
          </w:tcPr>
          <w:p w:rsidR="00097757" w:rsidRDefault="00097757" w:rsidP="00E5228C">
            <w:pPr>
              <w:jc w:val="center"/>
            </w:pPr>
            <w:r>
              <w:br w:type="page"/>
            </w:r>
          </w:p>
          <w:p w:rsidR="00097757" w:rsidRPr="00D84B14" w:rsidRDefault="00097757" w:rsidP="00E5228C">
            <w:pPr>
              <w:jc w:val="center"/>
              <w:rPr>
                <w:sz w:val="22"/>
                <w:szCs w:val="22"/>
              </w:rPr>
            </w:pPr>
            <w:r w:rsidRPr="00D84B14">
              <w:rPr>
                <w:rFonts w:ascii="Arial" w:hAnsi="Arial" w:cs="Arial"/>
                <w:b/>
              </w:rPr>
              <w:t>Table 20-4</w:t>
            </w:r>
          </w:p>
        </w:tc>
      </w:tr>
      <w:tr w:rsidR="00097757" w:rsidRPr="00D84B14" w:rsidTr="00E5228C">
        <w:trPr>
          <w:tblHeader/>
        </w:trPr>
        <w:tc>
          <w:tcPr>
            <w:tcW w:w="9468" w:type="dxa"/>
            <w:gridSpan w:val="2"/>
            <w:tcBorders>
              <w:top w:val="nil"/>
              <w:left w:val="nil"/>
              <w:right w:val="nil"/>
            </w:tcBorders>
          </w:tcPr>
          <w:p w:rsidR="00097757" w:rsidRPr="00D84B14" w:rsidRDefault="00097757" w:rsidP="00E5228C">
            <w:pPr>
              <w:jc w:val="center"/>
              <w:rPr>
                <w:sz w:val="22"/>
                <w:szCs w:val="22"/>
              </w:rPr>
            </w:pPr>
            <w:r w:rsidRPr="00D84B14">
              <w:rPr>
                <w:rFonts w:ascii="Arial" w:hAnsi="Arial" w:cs="Arial"/>
                <w:b/>
              </w:rPr>
              <w:t>FPUC Fuel Cost Recovery Factors for the period January-December 2023</w:t>
            </w:r>
          </w:p>
        </w:tc>
      </w:tr>
      <w:tr w:rsidR="00097757" w:rsidRPr="00D84B14" w:rsidTr="00E5228C">
        <w:trPr>
          <w:tblHeader/>
        </w:trPr>
        <w:tc>
          <w:tcPr>
            <w:tcW w:w="9468" w:type="dxa"/>
            <w:gridSpan w:val="2"/>
          </w:tcPr>
          <w:p w:rsidR="00097757" w:rsidRPr="00D84B14" w:rsidRDefault="00097757" w:rsidP="00E5228C">
            <w:pPr>
              <w:jc w:val="center"/>
              <w:rPr>
                <w:sz w:val="22"/>
                <w:szCs w:val="22"/>
              </w:rPr>
            </w:pPr>
            <w:r w:rsidRPr="00D84B14">
              <w:rPr>
                <w:sz w:val="22"/>
                <w:szCs w:val="22"/>
              </w:rPr>
              <w:t>Fuel Recovery Factors – By Rate Schedule Fuel Recovery Factors – By Rate Schedule</w:t>
            </w:r>
          </w:p>
        </w:tc>
      </w:tr>
      <w:tr w:rsidR="00097757" w:rsidRPr="00D84B14" w:rsidTr="00E5228C">
        <w:trPr>
          <w:tblHeader/>
        </w:trPr>
        <w:tc>
          <w:tcPr>
            <w:tcW w:w="4495" w:type="dxa"/>
            <w:vAlign w:val="center"/>
          </w:tcPr>
          <w:p w:rsidR="00097757" w:rsidRPr="00D84B14" w:rsidRDefault="00097757" w:rsidP="00E5228C">
            <w:pPr>
              <w:keepNext/>
              <w:keepLines/>
              <w:jc w:val="center"/>
              <w:rPr>
                <w:sz w:val="22"/>
                <w:szCs w:val="22"/>
              </w:rPr>
            </w:pPr>
            <w:r w:rsidRPr="00D84B14">
              <w:rPr>
                <w:sz w:val="22"/>
                <w:szCs w:val="22"/>
              </w:rPr>
              <w:t>Rate Schedule</w:t>
            </w:r>
          </w:p>
        </w:tc>
        <w:tc>
          <w:tcPr>
            <w:tcW w:w="4973" w:type="dxa"/>
          </w:tcPr>
          <w:p w:rsidR="00097757" w:rsidRPr="00D84B14" w:rsidRDefault="00097757" w:rsidP="00E5228C">
            <w:pPr>
              <w:keepNext/>
              <w:keepLines/>
              <w:jc w:val="center"/>
              <w:rPr>
                <w:sz w:val="22"/>
                <w:szCs w:val="22"/>
              </w:rPr>
            </w:pPr>
            <w:r w:rsidRPr="00D84B14">
              <w:rPr>
                <w:sz w:val="22"/>
                <w:szCs w:val="22"/>
              </w:rPr>
              <w:t>Levelized Adjustment (cents/kWh)</w:t>
            </w:r>
          </w:p>
        </w:tc>
      </w:tr>
      <w:tr w:rsidR="00097757" w:rsidRPr="00D84B14" w:rsidTr="00E5228C">
        <w:tc>
          <w:tcPr>
            <w:tcW w:w="4495" w:type="dxa"/>
          </w:tcPr>
          <w:p w:rsidR="00097757" w:rsidRPr="00D84B14" w:rsidRDefault="00097757" w:rsidP="00E5228C">
            <w:pPr>
              <w:keepNext/>
              <w:keepLines/>
              <w:rPr>
                <w:sz w:val="22"/>
                <w:szCs w:val="22"/>
              </w:rPr>
            </w:pPr>
            <w:r w:rsidRPr="00D84B14">
              <w:rPr>
                <w:sz w:val="22"/>
                <w:szCs w:val="22"/>
              </w:rPr>
              <w:t>RS</w:t>
            </w:r>
          </w:p>
        </w:tc>
        <w:tc>
          <w:tcPr>
            <w:tcW w:w="4973" w:type="dxa"/>
          </w:tcPr>
          <w:p w:rsidR="00097757" w:rsidRPr="00D84B14" w:rsidRDefault="00097757" w:rsidP="00E5228C">
            <w:pPr>
              <w:keepNext/>
              <w:keepLines/>
              <w:jc w:val="right"/>
              <w:rPr>
                <w:sz w:val="22"/>
                <w:szCs w:val="22"/>
              </w:rPr>
            </w:pPr>
            <w:r w:rsidRPr="00D84B14">
              <w:rPr>
                <w:sz w:val="22"/>
                <w:szCs w:val="22"/>
              </w:rPr>
              <w:t>11.753</w:t>
            </w:r>
          </w:p>
        </w:tc>
      </w:tr>
      <w:tr w:rsidR="00097757" w:rsidRPr="00D84B14" w:rsidTr="00E5228C">
        <w:tc>
          <w:tcPr>
            <w:tcW w:w="4495" w:type="dxa"/>
          </w:tcPr>
          <w:p w:rsidR="00097757" w:rsidRPr="00D84B14" w:rsidRDefault="00097757" w:rsidP="00E5228C">
            <w:pPr>
              <w:keepNext/>
              <w:keepLines/>
              <w:rPr>
                <w:sz w:val="22"/>
                <w:szCs w:val="22"/>
              </w:rPr>
            </w:pPr>
            <w:r w:rsidRPr="00D84B14">
              <w:rPr>
                <w:sz w:val="22"/>
                <w:szCs w:val="22"/>
              </w:rPr>
              <w:t>GS</w:t>
            </w:r>
          </w:p>
        </w:tc>
        <w:tc>
          <w:tcPr>
            <w:tcW w:w="4973" w:type="dxa"/>
          </w:tcPr>
          <w:p w:rsidR="00097757" w:rsidRPr="00D84B14" w:rsidRDefault="00097757" w:rsidP="00E5228C">
            <w:pPr>
              <w:keepNext/>
              <w:keepLines/>
              <w:jc w:val="right"/>
              <w:rPr>
                <w:sz w:val="22"/>
                <w:szCs w:val="22"/>
              </w:rPr>
            </w:pPr>
            <w:r w:rsidRPr="00D84B14">
              <w:rPr>
                <w:sz w:val="22"/>
                <w:szCs w:val="22"/>
              </w:rPr>
              <w:t>11.797</w:t>
            </w:r>
          </w:p>
        </w:tc>
      </w:tr>
      <w:tr w:rsidR="00097757" w:rsidRPr="00D84B14" w:rsidTr="00E5228C">
        <w:tc>
          <w:tcPr>
            <w:tcW w:w="4495" w:type="dxa"/>
          </w:tcPr>
          <w:p w:rsidR="00097757" w:rsidRPr="00D84B14" w:rsidRDefault="00097757" w:rsidP="00E5228C">
            <w:pPr>
              <w:keepNext/>
              <w:keepLines/>
              <w:rPr>
                <w:sz w:val="22"/>
                <w:szCs w:val="22"/>
              </w:rPr>
            </w:pPr>
            <w:r w:rsidRPr="00D84B14">
              <w:rPr>
                <w:sz w:val="22"/>
                <w:szCs w:val="22"/>
              </w:rPr>
              <w:t>GSD</w:t>
            </w:r>
          </w:p>
        </w:tc>
        <w:tc>
          <w:tcPr>
            <w:tcW w:w="4973" w:type="dxa"/>
          </w:tcPr>
          <w:p w:rsidR="00097757" w:rsidRPr="00D84B14" w:rsidRDefault="00097757" w:rsidP="00E5228C">
            <w:pPr>
              <w:keepNext/>
              <w:keepLines/>
              <w:jc w:val="right"/>
              <w:rPr>
                <w:sz w:val="22"/>
                <w:szCs w:val="22"/>
              </w:rPr>
            </w:pPr>
            <w:r w:rsidRPr="00D84B14">
              <w:rPr>
                <w:sz w:val="22"/>
                <w:szCs w:val="22"/>
              </w:rPr>
              <w:t>11.201</w:t>
            </w:r>
          </w:p>
        </w:tc>
      </w:tr>
      <w:tr w:rsidR="00097757" w:rsidRPr="00D84B14" w:rsidTr="00E5228C">
        <w:tc>
          <w:tcPr>
            <w:tcW w:w="4495" w:type="dxa"/>
          </w:tcPr>
          <w:p w:rsidR="00097757" w:rsidRPr="00D84B14" w:rsidRDefault="00097757" w:rsidP="00E5228C">
            <w:pPr>
              <w:keepNext/>
              <w:keepLines/>
              <w:rPr>
                <w:sz w:val="22"/>
                <w:szCs w:val="22"/>
              </w:rPr>
            </w:pPr>
            <w:r w:rsidRPr="00D84B14">
              <w:rPr>
                <w:sz w:val="22"/>
                <w:szCs w:val="22"/>
              </w:rPr>
              <w:t>GSLD</w:t>
            </w:r>
          </w:p>
        </w:tc>
        <w:tc>
          <w:tcPr>
            <w:tcW w:w="4973" w:type="dxa"/>
          </w:tcPr>
          <w:p w:rsidR="00097757" w:rsidRPr="00D84B14" w:rsidRDefault="00097757" w:rsidP="00E5228C">
            <w:pPr>
              <w:keepNext/>
              <w:keepLines/>
              <w:jc w:val="right"/>
              <w:rPr>
                <w:sz w:val="22"/>
                <w:szCs w:val="22"/>
              </w:rPr>
            </w:pPr>
            <w:r w:rsidRPr="00D84B14">
              <w:rPr>
                <w:sz w:val="22"/>
                <w:szCs w:val="22"/>
              </w:rPr>
              <w:t>10.937</w:t>
            </w:r>
          </w:p>
        </w:tc>
      </w:tr>
      <w:tr w:rsidR="00097757" w:rsidRPr="00D84B14" w:rsidTr="00E5228C">
        <w:tc>
          <w:tcPr>
            <w:tcW w:w="4495" w:type="dxa"/>
          </w:tcPr>
          <w:p w:rsidR="00097757" w:rsidRPr="00D84B14" w:rsidRDefault="00097757" w:rsidP="00E5228C">
            <w:pPr>
              <w:keepNext/>
              <w:keepLines/>
              <w:rPr>
                <w:sz w:val="22"/>
                <w:szCs w:val="22"/>
              </w:rPr>
            </w:pPr>
            <w:r w:rsidRPr="00D84B14">
              <w:rPr>
                <w:sz w:val="22"/>
                <w:szCs w:val="22"/>
              </w:rPr>
              <w:t>LS</w:t>
            </w:r>
          </w:p>
        </w:tc>
        <w:tc>
          <w:tcPr>
            <w:tcW w:w="4973" w:type="dxa"/>
          </w:tcPr>
          <w:p w:rsidR="00097757" w:rsidRPr="00D84B14" w:rsidRDefault="00097757" w:rsidP="00E5228C">
            <w:pPr>
              <w:keepNext/>
              <w:keepLines/>
              <w:jc w:val="right"/>
              <w:rPr>
                <w:sz w:val="22"/>
                <w:szCs w:val="22"/>
              </w:rPr>
            </w:pPr>
            <w:r w:rsidRPr="00D84B14">
              <w:rPr>
                <w:sz w:val="22"/>
                <w:szCs w:val="22"/>
              </w:rPr>
              <w:t>9.355</w:t>
            </w:r>
          </w:p>
        </w:tc>
      </w:tr>
    </w:tbl>
    <w:p w:rsidR="00097757" w:rsidRPr="00D84B14" w:rsidRDefault="00097757" w:rsidP="00097757">
      <w:r w:rsidRPr="00D84B14">
        <w:rPr>
          <w:sz w:val="22"/>
          <w:szCs w:val="22"/>
        </w:rPr>
        <w:t>Source: Schedule E1, Page 3 of 3 (Exhibit MDN-1, Page 3 of  8).</w:t>
      </w:r>
    </w:p>
    <w:p w:rsidR="00097757" w:rsidRDefault="00097757" w:rsidP="00097757">
      <w:pPr>
        <w:rPr>
          <w:highlight w:val="yell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5"/>
        <w:gridCol w:w="3083"/>
      </w:tblGrid>
      <w:tr w:rsidR="00097757" w:rsidRPr="00D84B14" w:rsidTr="00E5228C">
        <w:trPr>
          <w:tblHeader/>
        </w:trPr>
        <w:tc>
          <w:tcPr>
            <w:tcW w:w="9468" w:type="dxa"/>
            <w:gridSpan w:val="2"/>
            <w:tcBorders>
              <w:top w:val="nil"/>
              <w:left w:val="nil"/>
              <w:bottom w:val="nil"/>
              <w:right w:val="nil"/>
            </w:tcBorders>
          </w:tcPr>
          <w:p w:rsidR="00097757" w:rsidRPr="00D84B14" w:rsidRDefault="00097757" w:rsidP="00E5228C">
            <w:pPr>
              <w:jc w:val="center"/>
              <w:rPr>
                <w:rFonts w:ascii="Arial" w:hAnsi="Arial" w:cs="Arial"/>
                <w:b/>
              </w:rPr>
            </w:pPr>
            <w:r w:rsidRPr="00D84B14">
              <w:rPr>
                <w:rFonts w:ascii="Arial" w:hAnsi="Arial" w:cs="Arial"/>
                <w:b/>
              </w:rPr>
              <w:t>Table 20-5</w:t>
            </w:r>
          </w:p>
        </w:tc>
      </w:tr>
      <w:tr w:rsidR="00097757" w:rsidRPr="00D84B14" w:rsidTr="00E5228C">
        <w:trPr>
          <w:tblHeader/>
        </w:trPr>
        <w:tc>
          <w:tcPr>
            <w:tcW w:w="9468" w:type="dxa"/>
            <w:gridSpan w:val="2"/>
            <w:tcBorders>
              <w:top w:val="nil"/>
              <w:left w:val="nil"/>
              <w:bottom w:val="single" w:sz="4" w:space="0" w:color="auto"/>
              <w:right w:val="nil"/>
            </w:tcBorders>
          </w:tcPr>
          <w:p w:rsidR="00097757" w:rsidRPr="00D84B14" w:rsidRDefault="00097757" w:rsidP="00E5228C">
            <w:pPr>
              <w:jc w:val="center"/>
              <w:rPr>
                <w:rFonts w:ascii="Arial" w:hAnsi="Arial" w:cs="Arial"/>
                <w:b/>
              </w:rPr>
            </w:pPr>
            <w:r w:rsidRPr="00D84B14">
              <w:rPr>
                <w:rFonts w:ascii="Arial" w:hAnsi="Arial" w:cs="Arial"/>
                <w:b/>
              </w:rPr>
              <w:t>FPUC Fuel Cost Recovery Factors for the period January-December 2023</w:t>
            </w:r>
          </w:p>
        </w:tc>
      </w:tr>
      <w:tr w:rsidR="00097757" w:rsidRPr="00D84B14" w:rsidTr="00E5228C">
        <w:trPr>
          <w:tblHeader/>
        </w:trPr>
        <w:tc>
          <w:tcPr>
            <w:tcW w:w="9468" w:type="dxa"/>
            <w:gridSpan w:val="2"/>
          </w:tcPr>
          <w:p w:rsidR="00097757" w:rsidRPr="00D84B14" w:rsidRDefault="00097757" w:rsidP="00E5228C">
            <w:pPr>
              <w:jc w:val="center"/>
              <w:rPr>
                <w:sz w:val="22"/>
                <w:szCs w:val="22"/>
              </w:rPr>
            </w:pPr>
            <w:r w:rsidRPr="00D84B14">
              <w:rPr>
                <w:sz w:val="22"/>
                <w:szCs w:val="22"/>
              </w:rPr>
              <w:t>Step Rate Allocation For Residential Customers (RS Rate Schedule)</w:t>
            </w:r>
          </w:p>
        </w:tc>
      </w:tr>
      <w:tr w:rsidR="00097757" w:rsidRPr="00D84B14" w:rsidTr="00E5228C">
        <w:trPr>
          <w:tblHeader/>
        </w:trPr>
        <w:tc>
          <w:tcPr>
            <w:tcW w:w="6385" w:type="dxa"/>
            <w:vAlign w:val="center"/>
          </w:tcPr>
          <w:p w:rsidR="00097757" w:rsidRPr="00D84B14" w:rsidRDefault="00097757" w:rsidP="00E5228C">
            <w:pPr>
              <w:keepNext/>
              <w:keepLines/>
              <w:jc w:val="center"/>
              <w:rPr>
                <w:sz w:val="22"/>
                <w:szCs w:val="22"/>
              </w:rPr>
            </w:pPr>
            <w:r w:rsidRPr="00D84B14">
              <w:rPr>
                <w:sz w:val="22"/>
                <w:szCs w:val="22"/>
              </w:rPr>
              <w:t>Rate Schedule and Allocation</w:t>
            </w:r>
          </w:p>
        </w:tc>
        <w:tc>
          <w:tcPr>
            <w:tcW w:w="3083" w:type="dxa"/>
          </w:tcPr>
          <w:p w:rsidR="00097757" w:rsidRPr="00D84B14" w:rsidRDefault="00097757" w:rsidP="00E5228C">
            <w:pPr>
              <w:keepNext/>
              <w:keepLines/>
              <w:jc w:val="center"/>
              <w:rPr>
                <w:sz w:val="22"/>
                <w:szCs w:val="22"/>
              </w:rPr>
            </w:pPr>
            <w:r w:rsidRPr="00D84B14">
              <w:rPr>
                <w:sz w:val="22"/>
                <w:szCs w:val="22"/>
              </w:rPr>
              <w:t>Levelized Adjustment (cents/kWh)</w:t>
            </w:r>
          </w:p>
        </w:tc>
      </w:tr>
      <w:tr w:rsidR="00097757" w:rsidRPr="00D84B14" w:rsidTr="00E5228C">
        <w:tc>
          <w:tcPr>
            <w:tcW w:w="6385" w:type="dxa"/>
          </w:tcPr>
          <w:p w:rsidR="00097757" w:rsidRPr="00D84B14" w:rsidRDefault="00097757" w:rsidP="00E5228C">
            <w:pPr>
              <w:keepNext/>
              <w:keepLines/>
              <w:rPr>
                <w:sz w:val="22"/>
                <w:szCs w:val="22"/>
              </w:rPr>
            </w:pPr>
            <w:r w:rsidRPr="00D84B14">
              <w:rPr>
                <w:sz w:val="22"/>
                <w:szCs w:val="22"/>
              </w:rPr>
              <w:t>RS Rate Schedule – Sales Allocation</w:t>
            </w:r>
          </w:p>
        </w:tc>
        <w:tc>
          <w:tcPr>
            <w:tcW w:w="3083" w:type="dxa"/>
          </w:tcPr>
          <w:p w:rsidR="00097757" w:rsidRPr="00D84B14" w:rsidRDefault="00097757" w:rsidP="00E5228C">
            <w:pPr>
              <w:keepNext/>
              <w:keepLines/>
              <w:jc w:val="right"/>
              <w:rPr>
                <w:sz w:val="22"/>
                <w:szCs w:val="22"/>
              </w:rPr>
            </w:pPr>
            <w:r w:rsidRPr="00D84B14">
              <w:rPr>
                <w:sz w:val="22"/>
                <w:szCs w:val="22"/>
              </w:rPr>
              <w:t>11.753</w:t>
            </w:r>
          </w:p>
        </w:tc>
      </w:tr>
      <w:tr w:rsidR="00097757" w:rsidRPr="00D84B14" w:rsidTr="00E5228C">
        <w:tc>
          <w:tcPr>
            <w:tcW w:w="6385" w:type="dxa"/>
          </w:tcPr>
          <w:p w:rsidR="00097757" w:rsidRPr="00D84B14" w:rsidRDefault="00097757" w:rsidP="00E5228C">
            <w:pPr>
              <w:keepNext/>
              <w:keepLines/>
              <w:rPr>
                <w:sz w:val="22"/>
                <w:szCs w:val="22"/>
              </w:rPr>
            </w:pPr>
            <w:r w:rsidRPr="00D84B14">
              <w:rPr>
                <w:sz w:val="22"/>
                <w:szCs w:val="22"/>
              </w:rPr>
              <w:t>RS Rate Schedule with less than or equal to 1,000 kWh/month</w:t>
            </w:r>
          </w:p>
        </w:tc>
        <w:tc>
          <w:tcPr>
            <w:tcW w:w="3083" w:type="dxa"/>
          </w:tcPr>
          <w:p w:rsidR="00097757" w:rsidRPr="00D84B14" w:rsidRDefault="00097757" w:rsidP="00E5228C">
            <w:pPr>
              <w:keepNext/>
              <w:keepLines/>
              <w:jc w:val="right"/>
              <w:rPr>
                <w:sz w:val="22"/>
                <w:szCs w:val="22"/>
              </w:rPr>
            </w:pPr>
            <w:r w:rsidRPr="00D84B14">
              <w:rPr>
                <w:sz w:val="22"/>
                <w:szCs w:val="22"/>
              </w:rPr>
              <w:t>11.396</w:t>
            </w:r>
          </w:p>
        </w:tc>
      </w:tr>
      <w:tr w:rsidR="00097757" w:rsidRPr="00D84B14" w:rsidTr="00E5228C">
        <w:tc>
          <w:tcPr>
            <w:tcW w:w="6385" w:type="dxa"/>
          </w:tcPr>
          <w:p w:rsidR="00097757" w:rsidRPr="00D84B14" w:rsidRDefault="00097757" w:rsidP="00E5228C">
            <w:pPr>
              <w:keepNext/>
              <w:keepLines/>
              <w:rPr>
                <w:sz w:val="22"/>
                <w:szCs w:val="22"/>
              </w:rPr>
            </w:pPr>
            <w:r w:rsidRPr="00D84B14">
              <w:rPr>
                <w:sz w:val="22"/>
                <w:szCs w:val="22"/>
              </w:rPr>
              <w:t>RS Rate Schedule with greater than 1,000 kWh/month</w:t>
            </w:r>
          </w:p>
        </w:tc>
        <w:tc>
          <w:tcPr>
            <w:tcW w:w="3083" w:type="dxa"/>
          </w:tcPr>
          <w:p w:rsidR="00097757" w:rsidRPr="00D84B14" w:rsidRDefault="00097757" w:rsidP="00E5228C">
            <w:pPr>
              <w:keepNext/>
              <w:keepLines/>
              <w:jc w:val="right"/>
              <w:rPr>
                <w:sz w:val="22"/>
                <w:szCs w:val="22"/>
              </w:rPr>
            </w:pPr>
            <w:r w:rsidRPr="00D84B14">
              <w:rPr>
                <w:sz w:val="22"/>
                <w:szCs w:val="22"/>
              </w:rPr>
              <w:t>12.646</w:t>
            </w:r>
          </w:p>
        </w:tc>
      </w:tr>
    </w:tbl>
    <w:p w:rsidR="00097757" w:rsidRPr="00D84B14" w:rsidRDefault="00097757" w:rsidP="00097757">
      <w:pPr>
        <w:rPr>
          <w:sz w:val="22"/>
          <w:szCs w:val="22"/>
        </w:rPr>
      </w:pPr>
      <w:r w:rsidRPr="00D84B14">
        <w:rPr>
          <w:sz w:val="22"/>
          <w:szCs w:val="22"/>
        </w:rPr>
        <w:fldChar w:fldCharType="begin"/>
      </w:r>
      <w:r w:rsidRPr="00D84B14">
        <w:rPr>
          <w:sz w:val="22"/>
          <w:szCs w:val="22"/>
        </w:rPr>
        <w:instrText>ADVANCE \u3</w:instrText>
      </w:r>
      <w:r w:rsidRPr="00D84B14">
        <w:rPr>
          <w:sz w:val="22"/>
          <w:szCs w:val="22"/>
        </w:rPr>
        <w:fldChar w:fldCharType="end"/>
      </w:r>
      <w:r w:rsidRPr="00D84B14">
        <w:rPr>
          <w:sz w:val="22"/>
          <w:szCs w:val="22"/>
        </w:rPr>
        <w:t xml:space="preserve"> Source: Schedule E1, Page 3 of 3 (Exhibit MDN-3, Page 3 of  8).</w:t>
      </w:r>
    </w:p>
    <w:p w:rsidR="00097757" w:rsidRDefault="00097757" w:rsidP="00097757">
      <w:pPr>
        <w:rPr>
          <w:highlight w:val="yellow"/>
        </w:rPr>
      </w:pPr>
    </w:p>
    <w:p w:rsidR="00097757" w:rsidRDefault="00097757" w:rsidP="00097757">
      <w:pPr>
        <w:rPr>
          <w:highlight w:val="yellow"/>
        </w:rPr>
      </w:pPr>
      <w:r>
        <w:rPr>
          <w:highlight w:val="yellow"/>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340"/>
        <w:gridCol w:w="2520"/>
      </w:tblGrid>
      <w:tr w:rsidR="00097757" w:rsidRPr="00D84B14" w:rsidTr="00E5228C">
        <w:trPr>
          <w:tblHeader/>
        </w:trPr>
        <w:tc>
          <w:tcPr>
            <w:tcW w:w="9468" w:type="dxa"/>
            <w:gridSpan w:val="3"/>
            <w:tcBorders>
              <w:top w:val="nil"/>
              <w:left w:val="nil"/>
              <w:bottom w:val="nil"/>
              <w:right w:val="nil"/>
            </w:tcBorders>
          </w:tcPr>
          <w:p w:rsidR="00097757" w:rsidRPr="00D84B14" w:rsidRDefault="00097757" w:rsidP="00E5228C">
            <w:pPr>
              <w:jc w:val="center"/>
              <w:rPr>
                <w:rFonts w:ascii="Arial" w:hAnsi="Arial" w:cs="Arial"/>
                <w:b/>
              </w:rPr>
            </w:pPr>
            <w:r>
              <w:rPr>
                <w:highlight w:val="yellow"/>
              </w:rPr>
              <w:lastRenderedPageBreak/>
              <w:br w:type="page"/>
            </w:r>
            <w:r w:rsidRPr="00D84B14">
              <w:rPr>
                <w:rFonts w:ascii="Arial" w:hAnsi="Arial" w:cs="Arial"/>
                <w:b/>
              </w:rPr>
              <w:t>Table 20-6</w:t>
            </w:r>
          </w:p>
        </w:tc>
      </w:tr>
      <w:tr w:rsidR="00097757" w:rsidRPr="00D84B14" w:rsidTr="00E5228C">
        <w:trPr>
          <w:tblHeader/>
        </w:trPr>
        <w:tc>
          <w:tcPr>
            <w:tcW w:w="9468" w:type="dxa"/>
            <w:gridSpan w:val="3"/>
            <w:tcBorders>
              <w:top w:val="nil"/>
              <w:left w:val="nil"/>
              <w:bottom w:val="single" w:sz="4" w:space="0" w:color="auto"/>
              <w:right w:val="nil"/>
            </w:tcBorders>
          </w:tcPr>
          <w:p w:rsidR="00097757" w:rsidRPr="00D84B14" w:rsidRDefault="00097757" w:rsidP="00E5228C">
            <w:pPr>
              <w:jc w:val="center"/>
              <w:rPr>
                <w:rFonts w:ascii="Arial" w:hAnsi="Arial" w:cs="Arial"/>
                <w:b/>
              </w:rPr>
            </w:pPr>
            <w:r w:rsidRPr="00D84B14">
              <w:rPr>
                <w:rFonts w:ascii="Arial" w:hAnsi="Arial" w:cs="Arial"/>
                <w:b/>
              </w:rPr>
              <w:t>FPUC Fuel Cost Recovery Factors for the period January-December 2023</w:t>
            </w:r>
          </w:p>
        </w:tc>
      </w:tr>
      <w:tr w:rsidR="00097757" w:rsidRPr="00D84B14" w:rsidTr="00E5228C">
        <w:trPr>
          <w:tblHeader/>
        </w:trPr>
        <w:tc>
          <w:tcPr>
            <w:tcW w:w="9468" w:type="dxa"/>
            <w:gridSpan w:val="3"/>
          </w:tcPr>
          <w:p w:rsidR="00097757" w:rsidRPr="00D84B14" w:rsidRDefault="00097757" w:rsidP="00E5228C">
            <w:pPr>
              <w:jc w:val="center"/>
              <w:rPr>
                <w:sz w:val="22"/>
                <w:szCs w:val="22"/>
              </w:rPr>
            </w:pPr>
            <w:r w:rsidRPr="00D84B14">
              <w:rPr>
                <w:sz w:val="22"/>
                <w:szCs w:val="22"/>
              </w:rPr>
              <w:t>Fuel Recovery Factors for Time Of Use – By Rate Schedule</w:t>
            </w:r>
          </w:p>
        </w:tc>
      </w:tr>
      <w:tr w:rsidR="00097757" w:rsidRPr="00D84B14" w:rsidTr="00E5228C">
        <w:trPr>
          <w:tblHeader/>
        </w:trPr>
        <w:tc>
          <w:tcPr>
            <w:tcW w:w="4608" w:type="dxa"/>
            <w:vAlign w:val="center"/>
          </w:tcPr>
          <w:p w:rsidR="00097757" w:rsidRPr="00D84B14" w:rsidRDefault="00097757" w:rsidP="00E5228C">
            <w:pPr>
              <w:keepNext/>
              <w:keepLines/>
              <w:jc w:val="center"/>
              <w:rPr>
                <w:sz w:val="22"/>
                <w:szCs w:val="22"/>
              </w:rPr>
            </w:pPr>
            <w:r w:rsidRPr="00D84B14">
              <w:rPr>
                <w:sz w:val="22"/>
                <w:szCs w:val="22"/>
              </w:rPr>
              <w:t>Rate Schedule</w:t>
            </w:r>
          </w:p>
        </w:tc>
        <w:tc>
          <w:tcPr>
            <w:tcW w:w="2340" w:type="dxa"/>
            <w:vAlign w:val="center"/>
          </w:tcPr>
          <w:p w:rsidR="00097757" w:rsidRPr="00D84B14" w:rsidRDefault="00097757" w:rsidP="00E5228C">
            <w:pPr>
              <w:keepNext/>
              <w:keepLines/>
              <w:jc w:val="center"/>
              <w:rPr>
                <w:sz w:val="22"/>
                <w:szCs w:val="22"/>
              </w:rPr>
            </w:pPr>
            <w:r w:rsidRPr="00D84B14">
              <w:rPr>
                <w:sz w:val="22"/>
                <w:szCs w:val="22"/>
              </w:rPr>
              <w:t>Levelized Adjustment</w:t>
            </w:r>
          </w:p>
          <w:p w:rsidR="00097757" w:rsidRPr="00D84B14" w:rsidRDefault="00097757" w:rsidP="00E5228C">
            <w:pPr>
              <w:keepNext/>
              <w:keepLines/>
              <w:jc w:val="center"/>
              <w:rPr>
                <w:sz w:val="22"/>
                <w:szCs w:val="22"/>
              </w:rPr>
            </w:pPr>
            <w:r w:rsidRPr="00D84B14">
              <w:rPr>
                <w:sz w:val="22"/>
                <w:szCs w:val="22"/>
              </w:rPr>
              <w:t>On Peak (cents/kWh)</w:t>
            </w:r>
          </w:p>
        </w:tc>
        <w:tc>
          <w:tcPr>
            <w:tcW w:w="2520" w:type="dxa"/>
          </w:tcPr>
          <w:p w:rsidR="00097757" w:rsidRPr="00D84B14" w:rsidRDefault="00097757" w:rsidP="00E5228C">
            <w:pPr>
              <w:keepNext/>
              <w:keepLines/>
              <w:jc w:val="center"/>
              <w:rPr>
                <w:sz w:val="22"/>
                <w:szCs w:val="22"/>
              </w:rPr>
            </w:pPr>
            <w:r w:rsidRPr="00D84B14">
              <w:rPr>
                <w:sz w:val="22"/>
                <w:szCs w:val="22"/>
              </w:rPr>
              <w:t>Levelized</w:t>
            </w:r>
          </w:p>
          <w:p w:rsidR="00097757" w:rsidRPr="00D84B14" w:rsidRDefault="00097757" w:rsidP="00E5228C">
            <w:pPr>
              <w:keepNext/>
              <w:keepLines/>
              <w:jc w:val="center"/>
              <w:rPr>
                <w:sz w:val="22"/>
                <w:szCs w:val="22"/>
              </w:rPr>
            </w:pPr>
            <w:r w:rsidRPr="00D84B14">
              <w:rPr>
                <w:sz w:val="22"/>
                <w:szCs w:val="22"/>
              </w:rPr>
              <w:t xml:space="preserve">Adjustment </w:t>
            </w:r>
          </w:p>
          <w:p w:rsidR="00097757" w:rsidRPr="00D84B14" w:rsidRDefault="00097757" w:rsidP="00E5228C">
            <w:pPr>
              <w:keepNext/>
              <w:keepLines/>
              <w:jc w:val="center"/>
              <w:rPr>
                <w:sz w:val="22"/>
                <w:szCs w:val="22"/>
              </w:rPr>
            </w:pPr>
            <w:r w:rsidRPr="00D84B14">
              <w:rPr>
                <w:sz w:val="22"/>
                <w:szCs w:val="22"/>
              </w:rPr>
              <w:t>Off Peak (cents/kWh)</w:t>
            </w:r>
          </w:p>
        </w:tc>
      </w:tr>
      <w:tr w:rsidR="00097757" w:rsidRPr="00D84B14" w:rsidTr="00E5228C">
        <w:tc>
          <w:tcPr>
            <w:tcW w:w="4608" w:type="dxa"/>
          </w:tcPr>
          <w:p w:rsidR="00097757" w:rsidRPr="00D84B14" w:rsidRDefault="00097757" w:rsidP="00E5228C">
            <w:pPr>
              <w:keepNext/>
              <w:keepLines/>
              <w:rPr>
                <w:sz w:val="22"/>
                <w:szCs w:val="22"/>
              </w:rPr>
            </w:pPr>
            <w:r w:rsidRPr="00D84B14">
              <w:rPr>
                <w:sz w:val="22"/>
                <w:szCs w:val="22"/>
              </w:rPr>
              <w:t>RS</w:t>
            </w:r>
          </w:p>
        </w:tc>
        <w:tc>
          <w:tcPr>
            <w:tcW w:w="2340" w:type="dxa"/>
          </w:tcPr>
          <w:p w:rsidR="00097757" w:rsidRPr="00D84B14" w:rsidRDefault="00097757" w:rsidP="00E5228C">
            <w:pPr>
              <w:keepNext/>
              <w:keepLines/>
              <w:jc w:val="right"/>
              <w:rPr>
                <w:sz w:val="22"/>
                <w:szCs w:val="22"/>
              </w:rPr>
            </w:pPr>
            <w:r w:rsidRPr="00D84B14">
              <w:rPr>
                <w:sz w:val="22"/>
                <w:szCs w:val="22"/>
              </w:rPr>
              <w:t>19.796</w:t>
            </w:r>
          </w:p>
        </w:tc>
        <w:tc>
          <w:tcPr>
            <w:tcW w:w="2520" w:type="dxa"/>
          </w:tcPr>
          <w:p w:rsidR="00097757" w:rsidRPr="00D84B14" w:rsidRDefault="00097757" w:rsidP="00E5228C">
            <w:pPr>
              <w:keepNext/>
              <w:keepLines/>
              <w:jc w:val="right"/>
              <w:rPr>
                <w:sz w:val="22"/>
                <w:szCs w:val="22"/>
              </w:rPr>
            </w:pPr>
            <w:r w:rsidRPr="00D84B14">
              <w:rPr>
                <w:sz w:val="22"/>
                <w:szCs w:val="22"/>
              </w:rPr>
              <w:t>7.496</w:t>
            </w:r>
          </w:p>
        </w:tc>
      </w:tr>
      <w:tr w:rsidR="00097757" w:rsidRPr="00D84B14" w:rsidTr="00E5228C">
        <w:tc>
          <w:tcPr>
            <w:tcW w:w="4608" w:type="dxa"/>
          </w:tcPr>
          <w:p w:rsidR="00097757" w:rsidRPr="00D84B14" w:rsidRDefault="00097757" w:rsidP="00E5228C">
            <w:pPr>
              <w:keepNext/>
              <w:keepLines/>
              <w:rPr>
                <w:sz w:val="22"/>
                <w:szCs w:val="22"/>
              </w:rPr>
            </w:pPr>
            <w:r w:rsidRPr="00D84B14">
              <w:rPr>
                <w:sz w:val="22"/>
                <w:szCs w:val="22"/>
              </w:rPr>
              <w:t>GS</w:t>
            </w:r>
          </w:p>
        </w:tc>
        <w:tc>
          <w:tcPr>
            <w:tcW w:w="2340" w:type="dxa"/>
          </w:tcPr>
          <w:p w:rsidR="00097757" w:rsidRPr="00D84B14" w:rsidRDefault="00097757" w:rsidP="00E5228C">
            <w:pPr>
              <w:keepNext/>
              <w:keepLines/>
              <w:jc w:val="right"/>
              <w:rPr>
                <w:sz w:val="22"/>
                <w:szCs w:val="22"/>
              </w:rPr>
            </w:pPr>
            <w:r w:rsidRPr="00D84B14">
              <w:rPr>
                <w:sz w:val="22"/>
                <w:szCs w:val="22"/>
              </w:rPr>
              <w:t>15.797</w:t>
            </w:r>
          </w:p>
        </w:tc>
        <w:tc>
          <w:tcPr>
            <w:tcW w:w="2520" w:type="dxa"/>
          </w:tcPr>
          <w:p w:rsidR="00097757" w:rsidRPr="00D84B14" w:rsidRDefault="00097757" w:rsidP="00E5228C">
            <w:pPr>
              <w:keepNext/>
              <w:keepLines/>
              <w:jc w:val="right"/>
              <w:rPr>
                <w:sz w:val="22"/>
                <w:szCs w:val="22"/>
              </w:rPr>
            </w:pPr>
            <w:r w:rsidRPr="00D84B14">
              <w:rPr>
                <w:sz w:val="22"/>
                <w:szCs w:val="22"/>
              </w:rPr>
              <w:t>6.797</w:t>
            </w:r>
          </w:p>
        </w:tc>
      </w:tr>
      <w:tr w:rsidR="00097757" w:rsidRPr="00D84B14" w:rsidTr="00E5228C">
        <w:tc>
          <w:tcPr>
            <w:tcW w:w="4608" w:type="dxa"/>
          </w:tcPr>
          <w:p w:rsidR="00097757" w:rsidRPr="00D84B14" w:rsidRDefault="00097757" w:rsidP="00E5228C">
            <w:pPr>
              <w:keepNext/>
              <w:keepLines/>
              <w:rPr>
                <w:sz w:val="22"/>
                <w:szCs w:val="22"/>
              </w:rPr>
            </w:pPr>
            <w:r w:rsidRPr="00D84B14">
              <w:rPr>
                <w:sz w:val="22"/>
                <w:szCs w:val="22"/>
              </w:rPr>
              <w:t>GSD</w:t>
            </w:r>
          </w:p>
        </w:tc>
        <w:tc>
          <w:tcPr>
            <w:tcW w:w="2340" w:type="dxa"/>
          </w:tcPr>
          <w:p w:rsidR="00097757" w:rsidRPr="00D84B14" w:rsidRDefault="00097757" w:rsidP="00E5228C">
            <w:pPr>
              <w:keepNext/>
              <w:keepLines/>
              <w:jc w:val="right"/>
              <w:rPr>
                <w:sz w:val="22"/>
                <w:szCs w:val="22"/>
              </w:rPr>
            </w:pPr>
            <w:r w:rsidRPr="00D84B14">
              <w:rPr>
                <w:sz w:val="22"/>
                <w:szCs w:val="22"/>
              </w:rPr>
              <w:t>15.201</w:t>
            </w:r>
          </w:p>
        </w:tc>
        <w:tc>
          <w:tcPr>
            <w:tcW w:w="2520" w:type="dxa"/>
          </w:tcPr>
          <w:p w:rsidR="00097757" w:rsidRPr="00D84B14" w:rsidRDefault="00097757" w:rsidP="00E5228C">
            <w:pPr>
              <w:keepNext/>
              <w:keepLines/>
              <w:jc w:val="right"/>
              <w:rPr>
                <w:sz w:val="22"/>
                <w:szCs w:val="22"/>
              </w:rPr>
            </w:pPr>
            <w:r w:rsidRPr="00D84B14">
              <w:rPr>
                <w:sz w:val="22"/>
                <w:szCs w:val="22"/>
              </w:rPr>
              <w:t>7.951</w:t>
            </w:r>
          </w:p>
        </w:tc>
      </w:tr>
      <w:tr w:rsidR="00097757" w:rsidRPr="00D84B14" w:rsidTr="00E5228C">
        <w:tc>
          <w:tcPr>
            <w:tcW w:w="4608" w:type="dxa"/>
          </w:tcPr>
          <w:p w:rsidR="00097757" w:rsidRPr="00D84B14" w:rsidRDefault="00097757" w:rsidP="00E5228C">
            <w:pPr>
              <w:keepNext/>
              <w:keepLines/>
              <w:rPr>
                <w:sz w:val="22"/>
                <w:szCs w:val="22"/>
              </w:rPr>
            </w:pPr>
            <w:r w:rsidRPr="00D84B14">
              <w:rPr>
                <w:sz w:val="22"/>
                <w:szCs w:val="22"/>
              </w:rPr>
              <w:t>GSLD</w:t>
            </w:r>
          </w:p>
        </w:tc>
        <w:tc>
          <w:tcPr>
            <w:tcW w:w="2340" w:type="dxa"/>
          </w:tcPr>
          <w:p w:rsidR="00097757" w:rsidRPr="00D84B14" w:rsidRDefault="00097757" w:rsidP="00E5228C">
            <w:pPr>
              <w:keepNext/>
              <w:keepLines/>
              <w:jc w:val="right"/>
              <w:rPr>
                <w:sz w:val="22"/>
                <w:szCs w:val="22"/>
              </w:rPr>
            </w:pPr>
            <w:r w:rsidRPr="00D84B14">
              <w:rPr>
                <w:sz w:val="22"/>
                <w:szCs w:val="22"/>
              </w:rPr>
              <w:t>16.937</w:t>
            </w:r>
          </w:p>
        </w:tc>
        <w:tc>
          <w:tcPr>
            <w:tcW w:w="2520" w:type="dxa"/>
          </w:tcPr>
          <w:p w:rsidR="00097757" w:rsidRPr="00D84B14" w:rsidRDefault="00097757" w:rsidP="00E5228C">
            <w:pPr>
              <w:keepNext/>
              <w:keepLines/>
              <w:jc w:val="right"/>
              <w:rPr>
                <w:sz w:val="22"/>
                <w:szCs w:val="22"/>
              </w:rPr>
            </w:pPr>
            <w:r w:rsidRPr="00D84B14">
              <w:rPr>
                <w:sz w:val="22"/>
                <w:szCs w:val="22"/>
              </w:rPr>
              <w:t>7.937</w:t>
            </w:r>
          </w:p>
        </w:tc>
      </w:tr>
      <w:tr w:rsidR="00097757" w:rsidRPr="00D84B14" w:rsidTr="00E5228C">
        <w:tc>
          <w:tcPr>
            <w:tcW w:w="4608" w:type="dxa"/>
          </w:tcPr>
          <w:p w:rsidR="00097757" w:rsidRPr="00D84B14" w:rsidRDefault="00097757" w:rsidP="00E5228C">
            <w:pPr>
              <w:keepNext/>
              <w:keepLines/>
              <w:rPr>
                <w:sz w:val="22"/>
                <w:szCs w:val="22"/>
              </w:rPr>
            </w:pPr>
            <w:r w:rsidRPr="00D84B14">
              <w:rPr>
                <w:sz w:val="22"/>
                <w:szCs w:val="22"/>
              </w:rPr>
              <w:t>Interruptible</w:t>
            </w:r>
          </w:p>
        </w:tc>
        <w:tc>
          <w:tcPr>
            <w:tcW w:w="2340" w:type="dxa"/>
          </w:tcPr>
          <w:p w:rsidR="00097757" w:rsidRPr="00D84B14" w:rsidRDefault="00097757" w:rsidP="00E5228C">
            <w:pPr>
              <w:keepNext/>
              <w:keepLines/>
              <w:jc w:val="right"/>
              <w:rPr>
                <w:sz w:val="22"/>
                <w:szCs w:val="22"/>
              </w:rPr>
            </w:pPr>
            <w:r w:rsidRPr="00D84B14">
              <w:rPr>
                <w:sz w:val="22"/>
                <w:szCs w:val="22"/>
              </w:rPr>
              <w:t>9.437</w:t>
            </w:r>
          </w:p>
        </w:tc>
        <w:tc>
          <w:tcPr>
            <w:tcW w:w="2520" w:type="dxa"/>
          </w:tcPr>
          <w:p w:rsidR="00097757" w:rsidRPr="00D84B14" w:rsidRDefault="00097757" w:rsidP="00E5228C">
            <w:pPr>
              <w:keepNext/>
              <w:keepLines/>
              <w:jc w:val="right"/>
              <w:rPr>
                <w:sz w:val="22"/>
                <w:szCs w:val="22"/>
              </w:rPr>
            </w:pPr>
            <w:r w:rsidRPr="00D84B14">
              <w:rPr>
                <w:sz w:val="22"/>
                <w:szCs w:val="22"/>
              </w:rPr>
              <w:t>10.937</w:t>
            </w:r>
          </w:p>
        </w:tc>
      </w:tr>
    </w:tbl>
    <w:p w:rsidR="00097757" w:rsidRPr="001D32F3" w:rsidRDefault="00097757" w:rsidP="00097757">
      <w:pPr>
        <w:rPr>
          <w:sz w:val="22"/>
          <w:szCs w:val="22"/>
        </w:rPr>
      </w:pPr>
      <w:r w:rsidRPr="00D84B14">
        <w:rPr>
          <w:sz w:val="22"/>
          <w:szCs w:val="22"/>
        </w:rPr>
        <w:fldChar w:fldCharType="begin"/>
      </w:r>
      <w:r w:rsidRPr="00D84B14">
        <w:rPr>
          <w:sz w:val="22"/>
          <w:szCs w:val="22"/>
        </w:rPr>
        <w:instrText>ADVANCE \u3</w:instrText>
      </w:r>
      <w:r w:rsidRPr="00D84B14">
        <w:rPr>
          <w:sz w:val="22"/>
          <w:szCs w:val="22"/>
        </w:rPr>
        <w:fldChar w:fldCharType="end"/>
      </w:r>
      <w:r w:rsidRPr="00D84B14">
        <w:rPr>
          <w:sz w:val="22"/>
          <w:szCs w:val="22"/>
        </w:rPr>
        <w:t xml:space="preserve"> Source: Schedule E1, Page 3 of 3 (Exhibit MDN-3, Page 3 of  8).</w:t>
      </w:r>
    </w:p>
    <w:p w:rsidR="00097757" w:rsidRDefault="00097757" w:rsidP="00097757">
      <w:pPr>
        <w:ind w:left="1440" w:hanging="1440"/>
      </w:pPr>
    </w:p>
    <w:p w:rsidR="00097757" w:rsidRPr="004849A5" w:rsidRDefault="00097757" w:rsidP="00097757">
      <w:pPr>
        <w:rPr>
          <w:b/>
          <w:u w:val="single"/>
        </w:rPr>
      </w:pPr>
      <w:r w:rsidRPr="004849A5">
        <w:rPr>
          <w:b/>
        </w:rPr>
        <w:t>II.</w:t>
      </w:r>
      <w:r w:rsidRPr="004849A5">
        <w:rPr>
          <w:b/>
        </w:rPr>
        <w:tab/>
      </w:r>
      <w:r w:rsidRPr="004849A5">
        <w:rPr>
          <w:b/>
          <w:u w:val="single"/>
        </w:rPr>
        <w:t>CAPACITY ISSUES</w:t>
      </w:r>
      <w:r w:rsidRPr="004849A5">
        <w:rPr>
          <w:b/>
          <w:u w:val="single"/>
        </w:rPr>
        <w:tab/>
      </w:r>
    </w:p>
    <w:p w:rsidR="00097757" w:rsidRPr="00BF6EBB" w:rsidRDefault="00097757" w:rsidP="00097757">
      <w:pPr>
        <w:autoSpaceDE w:val="0"/>
        <w:autoSpaceDN w:val="0"/>
        <w:adjustRightInd w:val="0"/>
        <w:rPr>
          <w:b/>
          <w:bCs/>
        </w:rPr>
      </w:pPr>
    </w:p>
    <w:p w:rsidR="00097757" w:rsidRPr="00BF6EBB" w:rsidRDefault="00097757" w:rsidP="00097757">
      <w:pPr>
        <w:autoSpaceDE w:val="0"/>
        <w:autoSpaceDN w:val="0"/>
        <w:adjustRightInd w:val="0"/>
        <w:rPr>
          <w:b/>
          <w:bCs/>
        </w:rPr>
      </w:pPr>
      <w:r w:rsidRPr="00BF6EBB">
        <w:rPr>
          <w:b/>
          <w:bCs/>
        </w:rPr>
        <w:t>COMPANY-SPECIFIC CAPACITY COST RECOVERY FACTOR ISSUES</w:t>
      </w:r>
    </w:p>
    <w:p w:rsidR="00097757" w:rsidRDefault="00097757" w:rsidP="00097757">
      <w:pPr>
        <w:autoSpaceDE w:val="0"/>
        <w:autoSpaceDN w:val="0"/>
        <w:adjustRightInd w:val="0"/>
        <w:rPr>
          <w:b/>
          <w:bCs/>
        </w:rPr>
      </w:pPr>
    </w:p>
    <w:p w:rsidR="00097757" w:rsidRDefault="00097757" w:rsidP="00097757">
      <w:pPr>
        <w:autoSpaceDE w:val="0"/>
        <w:autoSpaceDN w:val="0"/>
        <w:adjustRightInd w:val="0"/>
        <w:rPr>
          <w:b/>
          <w:bCs/>
        </w:rPr>
      </w:pPr>
      <w:r w:rsidRPr="00BF6EBB">
        <w:rPr>
          <w:b/>
          <w:bCs/>
        </w:rPr>
        <w:t>Duke Energy Florida, LLC.</w:t>
      </w:r>
    </w:p>
    <w:p w:rsidR="00097757" w:rsidRDefault="00097757" w:rsidP="00097757">
      <w:pPr>
        <w:autoSpaceDE w:val="0"/>
        <w:autoSpaceDN w:val="0"/>
        <w:adjustRightInd w:val="0"/>
        <w:rPr>
          <w:b/>
          <w:bCs/>
        </w:rPr>
      </w:pPr>
    </w:p>
    <w:p w:rsidR="00097757" w:rsidRDefault="00097757" w:rsidP="00097757">
      <w:pPr>
        <w:autoSpaceDE w:val="0"/>
        <w:autoSpaceDN w:val="0"/>
        <w:adjustRightInd w:val="0"/>
        <w:ind w:left="1440" w:hanging="1440"/>
      </w:pPr>
      <w:r>
        <w:rPr>
          <w:b/>
          <w:u w:val="single"/>
        </w:rPr>
        <w:t>ISSUE 21A</w:t>
      </w:r>
      <w:r>
        <w:rPr>
          <w:b/>
        </w:rPr>
        <w:t>:</w:t>
      </w:r>
      <w:r>
        <w:rPr>
          <w:b/>
        </w:rPr>
        <w:tab/>
      </w:r>
      <w:r>
        <w:t>What is the appropriate amount of costs for the Independent Spent Fuel Storage Installation (ISFSI) that DEF should be allowed to recover through the capacity cost recovery clause pursuant to DEF’s 2017 Settlement?</w:t>
      </w:r>
    </w:p>
    <w:p w:rsidR="00097757" w:rsidRDefault="00097757" w:rsidP="00097757">
      <w:pPr>
        <w:autoSpaceDE w:val="0"/>
        <w:autoSpaceDN w:val="0"/>
        <w:adjustRightInd w:val="0"/>
        <w:ind w:left="1440" w:hanging="1440"/>
      </w:pPr>
    </w:p>
    <w:p w:rsidR="00097757" w:rsidRPr="007F3409" w:rsidRDefault="00097757" w:rsidP="00097757">
      <w:pPr>
        <w:autoSpaceDE w:val="0"/>
        <w:autoSpaceDN w:val="0"/>
        <w:adjustRightInd w:val="0"/>
        <w:ind w:left="1440" w:hanging="1440"/>
      </w:pPr>
      <w:r>
        <w:rPr>
          <w:b/>
        </w:rPr>
        <w:t>Stipulation:</w:t>
      </w:r>
      <w:r>
        <w:rPr>
          <w:b/>
        </w:rPr>
        <w:tab/>
      </w:r>
      <w:r>
        <w:t>$6,879,837.</w:t>
      </w:r>
    </w:p>
    <w:p w:rsidR="00097757" w:rsidRDefault="00097757" w:rsidP="00097757">
      <w:pPr>
        <w:autoSpaceDE w:val="0"/>
        <w:autoSpaceDN w:val="0"/>
        <w:adjustRightInd w:val="0"/>
        <w:ind w:left="1440" w:hanging="1440"/>
      </w:pPr>
    </w:p>
    <w:p w:rsidR="00097757" w:rsidRPr="00246BD4" w:rsidRDefault="00097757" w:rsidP="00097757">
      <w:pPr>
        <w:autoSpaceDE w:val="0"/>
        <w:autoSpaceDN w:val="0"/>
        <w:adjustRightInd w:val="0"/>
        <w:ind w:left="1440" w:hanging="1440"/>
      </w:pPr>
      <w:r>
        <w:rPr>
          <w:b/>
          <w:u w:val="single"/>
        </w:rPr>
        <w:t>ISSUE 21B</w:t>
      </w:r>
      <w:r>
        <w:rPr>
          <w:b/>
        </w:rPr>
        <w:t>:</w:t>
      </w:r>
      <w:r>
        <w:tab/>
        <w:t>What adjustment amounts should the Commission approve to be refunded through the capacity clause associated with the Duette SoBRA III project in Docket No. 20200245-EI?</w:t>
      </w:r>
    </w:p>
    <w:p w:rsidR="00097757" w:rsidRDefault="00097757" w:rsidP="00097757">
      <w:pPr>
        <w:autoSpaceDE w:val="0"/>
        <w:autoSpaceDN w:val="0"/>
        <w:adjustRightInd w:val="0"/>
        <w:ind w:left="1440" w:hanging="1440"/>
        <w:rPr>
          <w:b/>
        </w:rPr>
      </w:pPr>
    </w:p>
    <w:p w:rsidR="00097757" w:rsidRPr="007F3409" w:rsidRDefault="00097757" w:rsidP="00097757">
      <w:pPr>
        <w:autoSpaceDE w:val="0"/>
        <w:autoSpaceDN w:val="0"/>
        <w:adjustRightInd w:val="0"/>
        <w:ind w:left="1440" w:hanging="1440"/>
      </w:pPr>
      <w:r>
        <w:rPr>
          <w:b/>
        </w:rPr>
        <w:t>Stipulation:</w:t>
      </w:r>
      <w:r>
        <w:rPr>
          <w:b/>
        </w:rPr>
        <w:tab/>
      </w:r>
      <w:r>
        <w:t>A credit of $1,144,593.</w:t>
      </w:r>
    </w:p>
    <w:p w:rsidR="00097757" w:rsidRDefault="00097757" w:rsidP="00097757">
      <w:pPr>
        <w:autoSpaceDE w:val="0"/>
        <w:autoSpaceDN w:val="0"/>
        <w:adjustRightInd w:val="0"/>
        <w:ind w:left="1440" w:hanging="1440"/>
        <w:rPr>
          <w:b/>
        </w:rPr>
      </w:pPr>
    </w:p>
    <w:p w:rsidR="00097757" w:rsidRPr="00246BD4" w:rsidRDefault="00097757" w:rsidP="00097757">
      <w:pPr>
        <w:autoSpaceDE w:val="0"/>
        <w:autoSpaceDN w:val="0"/>
        <w:adjustRightInd w:val="0"/>
        <w:ind w:left="1440" w:hanging="1440"/>
      </w:pPr>
      <w:r>
        <w:rPr>
          <w:b/>
          <w:u w:val="single"/>
        </w:rPr>
        <w:t>ISSUE 21C</w:t>
      </w:r>
      <w:r>
        <w:rPr>
          <w:b/>
        </w:rPr>
        <w:t>:</w:t>
      </w:r>
      <w:r>
        <w:rPr>
          <w:b/>
        </w:rPr>
        <w:tab/>
      </w:r>
      <w:r>
        <w:t xml:space="preserve">What DOE Settlement Spent Fuel Claim amount should the Commission approve to be recovered through the capacity clause? </w:t>
      </w:r>
    </w:p>
    <w:p w:rsidR="00097757" w:rsidRDefault="00097757" w:rsidP="00097757">
      <w:pPr>
        <w:autoSpaceDE w:val="0"/>
        <w:autoSpaceDN w:val="0"/>
        <w:adjustRightInd w:val="0"/>
        <w:ind w:left="1440" w:hanging="1440"/>
        <w:rPr>
          <w:b/>
        </w:rPr>
      </w:pPr>
    </w:p>
    <w:p w:rsidR="00097757" w:rsidRPr="007F3409" w:rsidRDefault="00097757" w:rsidP="00097757">
      <w:pPr>
        <w:autoSpaceDE w:val="0"/>
        <w:autoSpaceDN w:val="0"/>
        <w:adjustRightInd w:val="0"/>
        <w:ind w:left="1440" w:hanging="1440"/>
      </w:pPr>
      <w:r>
        <w:rPr>
          <w:b/>
        </w:rPr>
        <w:t>Stipulation:</w:t>
      </w:r>
      <w:r>
        <w:rPr>
          <w:b/>
        </w:rPr>
        <w:tab/>
      </w:r>
      <w:r>
        <w:t>$19,328,945.</w:t>
      </w:r>
    </w:p>
    <w:p w:rsidR="00097757" w:rsidRDefault="00097757" w:rsidP="00097757">
      <w:pPr>
        <w:autoSpaceDE w:val="0"/>
        <w:autoSpaceDN w:val="0"/>
        <w:adjustRightInd w:val="0"/>
        <w:ind w:left="1440" w:hanging="1440"/>
      </w:pPr>
    </w:p>
    <w:p w:rsidR="00097757" w:rsidRPr="00BF6EBB" w:rsidRDefault="00097757" w:rsidP="00097757">
      <w:pPr>
        <w:autoSpaceDE w:val="0"/>
        <w:autoSpaceDN w:val="0"/>
        <w:adjustRightInd w:val="0"/>
        <w:ind w:left="1440" w:hanging="1440"/>
        <w:rPr>
          <w:b/>
          <w:bCs/>
        </w:rPr>
      </w:pPr>
      <w:r w:rsidRPr="00BF6EBB">
        <w:rPr>
          <w:b/>
          <w:bCs/>
        </w:rPr>
        <w:t>Florida Power &amp; Light Company</w:t>
      </w:r>
    </w:p>
    <w:p w:rsidR="00097757" w:rsidRDefault="00097757" w:rsidP="00097757"/>
    <w:p w:rsidR="00097757" w:rsidRDefault="00097757" w:rsidP="00097757">
      <w:r w:rsidRPr="00BF6EBB">
        <w:t xml:space="preserve">No company-specific capacity cost recovery factor issues for </w:t>
      </w:r>
      <w:r>
        <w:t xml:space="preserve">Florida Power &amp; Light </w:t>
      </w:r>
      <w:r w:rsidRPr="00BF6EBB">
        <w:t>Company have been identified at this time. If such issues are identified, they will be numbered 2</w:t>
      </w:r>
      <w:r>
        <w:t>2</w:t>
      </w:r>
      <w:r w:rsidRPr="00BF6EBB">
        <w:t>A, 2</w:t>
      </w:r>
      <w:r>
        <w:t>2</w:t>
      </w:r>
      <w:r w:rsidRPr="00BF6EBB">
        <w:t>B, 2</w:t>
      </w:r>
      <w:r>
        <w:t>2</w:t>
      </w:r>
      <w:r w:rsidRPr="00BF6EBB">
        <w:t>C, and so forth, as appropriate.</w:t>
      </w:r>
    </w:p>
    <w:p w:rsidR="00097757" w:rsidRPr="00520C62" w:rsidRDefault="00097757" w:rsidP="00097757"/>
    <w:p w:rsidR="00097757" w:rsidRPr="00BF6EBB" w:rsidRDefault="00097757" w:rsidP="00097757">
      <w:pPr>
        <w:autoSpaceDE w:val="0"/>
        <w:autoSpaceDN w:val="0"/>
        <w:adjustRightInd w:val="0"/>
        <w:ind w:left="1440" w:hanging="1440"/>
        <w:rPr>
          <w:b/>
          <w:bCs/>
        </w:rPr>
      </w:pPr>
      <w:r w:rsidRPr="00BF6EBB">
        <w:rPr>
          <w:b/>
          <w:bCs/>
        </w:rPr>
        <w:t>Gulf Power Company</w:t>
      </w:r>
    </w:p>
    <w:p w:rsidR="00097757" w:rsidRPr="00BF6EBB" w:rsidRDefault="00097757" w:rsidP="00097757">
      <w:pPr>
        <w:autoSpaceDE w:val="0"/>
        <w:autoSpaceDN w:val="0"/>
        <w:adjustRightInd w:val="0"/>
      </w:pPr>
    </w:p>
    <w:p w:rsidR="00097757" w:rsidRPr="00BF6EBB" w:rsidRDefault="00097757" w:rsidP="00097757">
      <w:pPr>
        <w:autoSpaceDE w:val="0"/>
        <w:autoSpaceDN w:val="0"/>
        <w:adjustRightInd w:val="0"/>
      </w:pPr>
      <w:r>
        <w:t>Any company-specific capacity issues for Gulf Power Company will be addressed under Florida Power &amp; Light Company above.</w:t>
      </w:r>
    </w:p>
    <w:p w:rsidR="00097757" w:rsidRPr="00BF6EBB" w:rsidRDefault="00097757" w:rsidP="00097757">
      <w:pPr>
        <w:rPr>
          <w:b/>
          <w:bCs/>
        </w:rPr>
      </w:pPr>
      <w:r w:rsidRPr="00BF6EBB">
        <w:rPr>
          <w:b/>
          <w:bCs/>
        </w:rPr>
        <w:lastRenderedPageBreak/>
        <w:t>Tampa Electric Company</w:t>
      </w:r>
    </w:p>
    <w:p w:rsidR="00097757" w:rsidRPr="00BF6EBB" w:rsidRDefault="00097757" w:rsidP="00097757">
      <w:pPr>
        <w:autoSpaceDE w:val="0"/>
        <w:autoSpaceDN w:val="0"/>
        <w:adjustRightInd w:val="0"/>
      </w:pPr>
    </w:p>
    <w:p w:rsidR="00097757" w:rsidRPr="00BF6EBB" w:rsidRDefault="00097757" w:rsidP="00097757">
      <w:pPr>
        <w:autoSpaceDE w:val="0"/>
        <w:autoSpaceDN w:val="0"/>
        <w:adjustRightInd w:val="0"/>
      </w:pPr>
      <w:r w:rsidRPr="00BF6EBB">
        <w:t>No company-specific capacity cost recovery factor issues for Tampa Electric Company have been identified at this time. If such issues are identified, they will be numbered 2</w:t>
      </w:r>
      <w:r>
        <w:t>3</w:t>
      </w:r>
      <w:r w:rsidRPr="00BF6EBB">
        <w:t>A, 2</w:t>
      </w:r>
      <w:r>
        <w:t>3</w:t>
      </w:r>
      <w:r w:rsidRPr="00BF6EBB">
        <w:t>B, 2</w:t>
      </w:r>
      <w:r>
        <w:t>3</w:t>
      </w:r>
      <w:r w:rsidRPr="00BF6EBB">
        <w:t>C, and so forth, as appropriate.</w:t>
      </w:r>
    </w:p>
    <w:p w:rsidR="00097757" w:rsidRPr="00BF6EBB" w:rsidRDefault="00097757" w:rsidP="00097757">
      <w:pPr>
        <w:rPr>
          <w:b/>
          <w:bCs/>
        </w:rPr>
      </w:pPr>
    </w:p>
    <w:p w:rsidR="00097757" w:rsidRPr="00BF6EBB" w:rsidRDefault="00097757" w:rsidP="00097757">
      <w:pPr>
        <w:rPr>
          <w:b/>
          <w:bCs/>
        </w:rPr>
      </w:pPr>
      <w:r w:rsidRPr="00BF6EBB">
        <w:rPr>
          <w:b/>
          <w:bCs/>
        </w:rPr>
        <w:t>GENERIC CAPACITY COST RECOVERY FACTOR ISSUES</w:t>
      </w:r>
    </w:p>
    <w:p w:rsidR="00097757" w:rsidRPr="00BF6EBB" w:rsidRDefault="00097757" w:rsidP="00097757">
      <w:pPr>
        <w:autoSpaceDE w:val="0"/>
        <w:autoSpaceDN w:val="0"/>
        <w:adjustRightInd w:val="0"/>
      </w:pPr>
    </w:p>
    <w:p w:rsidR="00097757" w:rsidRDefault="00097757" w:rsidP="00097757">
      <w:pPr>
        <w:autoSpaceDE w:val="0"/>
        <w:autoSpaceDN w:val="0"/>
        <w:adjustRightInd w:val="0"/>
        <w:ind w:left="1440" w:hanging="1440"/>
      </w:pPr>
      <w:r w:rsidRPr="00BF6EBB">
        <w:rPr>
          <w:b/>
          <w:bCs/>
          <w:u w:val="single"/>
        </w:rPr>
        <w:t>ISSUE 2</w:t>
      </w:r>
      <w:r>
        <w:rPr>
          <w:b/>
          <w:bCs/>
          <w:u w:val="single"/>
        </w:rPr>
        <w:t>4</w:t>
      </w:r>
      <w:r w:rsidRPr="00BF6EBB">
        <w:rPr>
          <w:b/>
          <w:bCs/>
          <w:u w:val="single"/>
        </w:rPr>
        <w:t>:</w:t>
      </w:r>
      <w:r w:rsidRPr="00BF6EBB">
        <w:tab/>
        <w:t xml:space="preserve">What are the appropriate final capacity cost recovery true-up amounts for the period January </w:t>
      </w:r>
      <w:r>
        <w:t>2021</w:t>
      </w:r>
      <w:r w:rsidRPr="00BF6EBB">
        <w:t xml:space="preserve"> through December </w:t>
      </w:r>
      <w:r>
        <w:t>2021</w:t>
      </w:r>
      <w:r w:rsidRPr="00BF6EBB">
        <w:t xml:space="preserve">? </w:t>
      </w:r>
    </w:p>
    <w:p w:rsidR="00097757" w:rsidRPr="00BF6EBB" w:rsidRDefault="00097757" w:rsidP="00097757">
      <w:pPr>
        <w:autoSpaceDE w:val="0"/>
        <w:autoSpaceDN w:val="0"/>
        <w:adjustRightInd w:val="0"/>
        <w:ind w:left="1440" w:hanging="1440"/>
      </w:pPr>
    </w:p>
    <w:p w:rsidR="00097757" w:rsidRPr="007F3409" w:rsidRDefault="00097757" w:rsidP="00097757">
      <w:pPr>
        <w:autoSpaceDE w:val="0"/>
        <w:autoSpaceDN w:val="0"/>
        <w:adjustRightInd w:val="0"/>
        <w:ind w:left="1440" w:hanging="1440"/>
      </w:pPr>
      <w:r>
        <w:rPr>
          <w:b/>
        </w:rPr>
        <w:t>Stipulation:</w:t>
      </w:r>
      <w:r>
        <w:rPr>
          <w:b/>
        </w:rPr>
        <w:tab/>
      </w:r>
    </w:p>
    <w:p w:rsidR="00097757" w:rsidRDefault="00097757" w:rsidP="00097757">
      <w:pPr>
        <w:ind w:left="1440" w:hanging="1440"/>
        <w:rPr>
          <w:bCs/>
        </w:rPr>
      </w:pPr>
      <w:r w:rsidRPr="00AA74BD">
        <w:rPr>
          <w:bCs/>
        </w:rPr>
        <w:t>DEF:</w:t>
      </w:r>
      <w:r>
        <w:rPr>
          <w:bCs/>
        </w:rPr>
        <w:tab/>
        <w:t>An over-recovery of $2,850,425.</w:t>
      </w:r>
    </w:p>
    <w:p w:rsidR="00097757" w:rsidRDefault="00097757" w:rsidP="00097757">
      <w:pPr>
        <w:ind w:left="1440" w:hanging="1440"/>
        <w:rPr>
          <w:bCs/>
        </w:rPr>
      </w:pPr>
    </w:p>
    <w:p w:rsidR="00097757" w:rsidRDefault="00097757" w:rsidP="00097757">
      <w:pPr>
        <w:ind w:left="1440" w:hanging="1440"/>
        <w:rPr>
          <w:bCs/>
        </w:rPr>
      </w:pPr>
      <w:r>
        <w:rPr>
          <w:bCs/>
        </w:rPr>
        <w:t>FPL:</w:t>
      </w:r>
      <w:r>
        <w:rPr>
          <w:bCs/>
        </w:rPr>
        <w:tab/>
        <w:t>An under-recovery of $303,310.</w:t>
      </w:r>
    </w:p>
    <w:p w:rsidR="00097757" w:rsidRDefault="00097757" w:rsidP="00097757">
      <w:pPr>
        <w:ind w:left="1440" w:hanging="1440"/>
        <w:rPr>
          <w:bCs/>
        </w:rPr>
      </w:pPr>
    </w:p>
    <w:p w:rsidR="00097757" w:rsidRDefault="00097757" w:rsidP="00097757">
      <w:pPr>
        <w:ind w:left="1440" w:hanging="1440"/>
        <w:rPr>
          <w:bCs/>
        </w:rPr>
      </w:pPr>
      <w:r>
        <w:rPr>
          <w:bCs/>
        </w:rPr>
        <w:t>TECO:</w:t>
      </w:r>
      <w:r>
        <w:rPr>
          <w:bCs/>
        </w:rPr>
        <w:tab/>
        <w:t>$0.</w:t>
      </w:r>
    </w:p>
    <w:p w:rsidR="00097757" w:rsidRPr="00520C62" w:rsidRDefault="00097757" w:rsidP="00097757"/>
    <w:p w:rsidR="00097757" w:rsidRPr="00BF6EBB" w:rsidRDefault="00097757" w:rsidP="00097757">
      <w:pPr>
        <w:autoSpaceDE w:val="0"/>
        <w:autoSpaceDN w:val="0"/>
        <w:adjustRightInd w:val="0"/>
        <w:ind w:left="1440" w:hanging="1440"/>
      </w:pPr>
      <w:r w:rsidRPr="00BF6EBB">
        <w:rPr>
          <w:b/>
          <w:bCs/>
          <w:u w:val="single"/>
        </w:rPr>
        <w:t>ISSUE 2</w:t>
      </w:r>
      <w:r>
        <w:rPr>
          <w:b/>
          <w:bCs/>
          <w:u w:val="single"/>
        </w:rPr>
        <w:t>5</w:t>
      </w:r>
      <w:r w:rsidRPr="00BF6EBB">
        <w:t>:</w:t>
      </w:r>
      <w:r w:rsidRPr="00BF6EBB">
        <w:tab/>
        <w:t>What are the appropriate capacity cost recovery actual/estimated true-up amounts for the period January 202</w:t>
      </w:r>
      <w:r>
        <w:t>2</w:t>
      </w:r>
      <w:r w:rsidRPr="00BF6EBB">
        <w:t xml:space="preserve"> through December 202</w:t>
      </w:r>
      <w:r>
        <w:t>2</w:t>
      </w:r>
      <w:r w:rsidRPr="00BF6EBB">
        <w:t xml:space="preserve">? </w:t>
      </w:r>
    </w:p>
    <w:p w:rsidR="00097757" w:rsidRDefault="00097757" w:rsidP="00097757"/>
    <w:p w:rsidR="00097757" w:rsidRDefault="00097757" w:rsidP="00097757">
      <w:r>
        <w:rPr>
          <w:b/>
        </w:rPr>
        <w:t>Stipulation:</w:t>
      </w:r>
    </w:p>
    <w:p w:rsidR="00097757" w:rsidRDefault="00097757" w:rsidP="00097757">
      <w:pPr>
        <w:ind w:left="1440" w:hanging="1440"/>
        <w:rPr>
          <w:bCs/>
        </w:rPr>
      </w:pPr>
      <w:r w:rsidRPr="00AA74BD">
        <w:rPr>
          <w:bCs/>
        </w:rPr>
        <w:t>DEF:</w:t>
      </w:r>
      <w:r>
        <w:rPr>
          <w:bCs/>
        </w:rPr>
        <w:tab/>
        <w:t>An over-recovery of $3,896,674.</w:t>
      </w:r>
    </w:p>
    <w:p w:rsidR="00097757" w:rsidRDefault="00097757" w:rsidP="00097757">
      <w:pPr>
        <w:ind w:left="1440" w:hanging="1440"/>
        <w:rPr>
          <w:bCs/>
        </w:rPr>
      </w:pPr>
    </w:p>
    <w:p w:rsidR="00097757" w:rsidRDefault="00097757" w:rsidP="00097757">
      <w:pPr>
        <w:ind w:left="1440" w:hanging="1440"/>
        <w:rPr>
          <w:bCs/>
        </w:rPr>
      </w:pPr>
      <w:r>
        <w:rPr>
          <w:bCs/>
        </w:rPr>
        <w:t>FPL:</w:t>
      </w:r>
      <w:r>
        <w:rPr>
          <w:bCs/>
        </w:rPr>
        <w:tab/>
        <w:t>An under-recovery of $2,922,069.</w:t>
      </w:r>
    </w:p>
    <w:p w:rsidR="00097757" w:rsidRDefault="00097757" w:rsidP="00097757">
      <w:pPr>
        <w:ind w:left="1440" w:hanging="1440"/>
        <w:rPr>
          <w:bCs/>
        </w:rPr>
      </w:pPr>
    </w:p>
    <w:p w:rsidR="00097757" w:rsidRDefault="00097757" w:rsidP="00097757">
      <w:pPr>
        <w:ind w:left="1440" w:hanging="1440"/>
        <w:rPr>
          <w:bCs/>
        </w:rPr>
      </w:pPr>
      <w:r>
        <w:rPr>
          <w:bCs/>
        </w:rPr>
        <w:t>TECO:</w:t>
      </w:r>
      <w:r>
        <w:rPr>
          <w:bCs/>
        </w:rPr>
        <w:tab/>
        <w:t>An over-recovery of $3,967,826.</w:t>
      </w:r>
    </w:p>
    <w:p w:rsidR="00097757" w:rsidRPr="00520C62" w:rsidRDefault="00097757" w:rsidP="00097757"/>
    <w:p w:rsidR="00097757" w:rsidRDefault="00097757" w:rsidP="00097757">
      <w:pPr>
        <w:autoSpaceDE w:val="0"/>
        <w:autoSpaceDN w:val="0"/>
        <w:adjustRightInd w:val="0"/>
        <w:ind w:left="1440" w:hanging="1440"/>
      </w:pPr>
      <w:r w:rsidRPr="00BF6EBB">
        <w:rPr>
          <w:b/>
          <w:bCs/>
          <w:u w:val="single"/>
        </w:rPr>
        <w:t>ISSUE 2</w:t>
      </w:r>
      <w:r>
        <w:rPr>
          <w:b/>
          <w:bCs/>
          <w:u w:val="single"/>
        </w:rPr>
        <w:t>6</w:t>
      </w:r>
      <w:r w:rsidRPr="00BF6EBB">
        <w:t>:</w:t>
      </w:r>
      <w:r w:rsidRPr="00BF6EBB">
        <w:tab/>
        <w:t>What are the appropriate total capacity cost recovery true-up amounts to be collected/refunded during the period January 202</w:t>
      </w:r>
      <w:r>
        <w:t>3</w:t>
      </w:r>
      <w:r w:rsidRPr="00BF6EBB">
        <w:t xml:space="preserve"> through December 202</w:t>
      </w:r>
      <w:r>
        <w:t>3</w:t>
      </w:r>
      <w:r w:rsidRPr="00BF6EBB">
        <w:t xml:space="preserve">?  </w:t>
      </w:r>
    </w:p>
    <w:p w:rsidR="007638B9" w:rsidRPr="00BF6EBB" w:rsidRDefault="007638B9" w:rsidP="00097757">
      <w:pPr>
        <w:autoSpaceDE w:val="0"/>
        <w:autoSpaceDN w:val="0"/>
        <w:adjustRightInd w:val="0"/>
        <w:ind w:left="1440" w:hanging="1440"/>
      </w:pPr>
    </w:p>
    <w:p w:rsidR="00097757" w:rsidRDefault="00097757" w:rsidP="00097757">
      <w:pPr>
        <w:rPr>
          <w:b/>
        </w:rPr>
      </w:pPr>
      <w:r>
        <w:rPr>
          <w:b/>
        </w:rPr>
        <w:t>Stipulation:</w:t>
      </w:r>
    </w:p>
    <w:p w:rsidR="00097757" w:rsidRDefault="00097757" w:rsidP="00097757">
      <w:pPr>
        <w:ind w:left="1440" w:hanging="1440"/>
        <w:rPr>
          <w:bCs/>
        </w:rPr>
      </w:pPr>
      <w:r w:rsidRPr="00AA74BD">
        <w:rPr>
          <w:bCs/>
        </w:rPr>
        <w:t>DEF:</w:t>
      </w:r>
      <w:r>
        <w:rPr>
          <w:bCs/>
        </w:rPr>
        <w:tab/>
        <w:t>An over-recovery of $6,747,100.</w:t>
      </w:r>
    </w:p>
    <w:p w:rsidR="00097757" w:rsidRDefault="00097757" w:rsidP="00097757">
      <w:pPr>
        <w:ind w:left="1440" w:hanging="1440"/>
        <w:rPr>
          <w:bCs/>
        </w:rPr>
      </w:pPr>
    </w:p>
    <w:p w:rsidR="00097757" w:rsidRDefault="00097757" w:rsidP="00097757">
      <w:pPr>
        <w:ind w:left="1440" w:hanging="1440"/>
        <w:rPr>
          <w:bCs/>
        </w:rPr>
      </w:pPr>
      <w:r>
        <w:rPr>
          <w:bCs/>
        </w:rPr>
        <w:t>FPL:</w:t>
      </w:r>
      <w:r>
        <w:rPr>
          <w:bCs/>
        </w:rPr>
        <w:tab/>
        <w:t>An under-recovery of $3,225,379.</w:t>
      </w:r>
    </w:p>
    <w:p w:rsidR="00097757" w:rsidRDefault="00097757" w:rsidP="00097757">
      <w:pPr>
        <w:ind w:left="1440" w:hanging="1440"/>
        <w:rPr>
          <w:bCs/>
        </w:rPr>
      </w:pPr>
    </w:p>
    <w:p w:rsidR="00097757" w:rsidRDefault="00097757" w:rsidP="00097757">
      <w:pPr>
        <w:ind w:left="1440" w:hanging="1440"/>
        <w:rPr>
          <w:bCs/>
        </w:rPr>
      </w:pPr>
      <w:r>
        <w:rPr>
          <w:bCs/>
        </w:rPr>
        <w:t>TECO:</w:t>
      </w:r>
      <w:r>
        <w:rPr>
          <w:bCs/>
        </w:rPr>
        <w:tab/>
        <w:t>An over-recovery of $3,967,826.</w:t>
      </w:r>
    </w:p>
    <w:p w:rsidR="00097757" w:rsidRPr="00520C62" w:rsidRDefault="00097757" w:rsidP="00097757"/>
    <w:p w:rsidR="00097757" w:rsidRPr="00BF6EBB" w:rsidRDefault="00097757" w:rsidP="00097757">
      <w:pPr>
        <w:autoSpaceDE w:val="0"/>
        <w:autoSpaceDN w:val="0"/>
        <w:adjustRightInd w:val="0"/>
        <w:ind w:left="1440" w:hanging="1440"/>
      </w:pPr>
      <w:r w:rsidRPr="00BF6EBB">
        <w:rPr>
          <w:b/>
          <w:bCs/>
          <w:caps/>
          <w:u w:val="single"/>
        </w:rPr>
        <w:t>Issue</w:t>
      </w:r>
      <w:r w:rsidRPr="00BF6EBB">
        <w:rPr>
          <w:b/>
          <w:bCs/>
          <w:u w:val="single"/>
        </w:rPr>
        <w:t xml:space="preserve"> </w:t>
      </w:r>
      <w:r>
        <w:rPr>
          <w:b/>
          <w:bCs/>
          <w:u w:val="single"/>
        </w:rPr>
        <w:t>27</w:t>
      </w:r>
      <w:r w:rsidRPr="00BF6EBB">
        <w:rPr>
          <w:b/>
          <w:bCs/>
        </w:rPr>
        <w:t>:</w:t>
      </w:r>
      <w:r w:rsidRPr="00BF6EBB">
        <w:tab/>
        <w:t>What are the appropriate projected total capacity cost recovery amounts for the period January 202</w:t>
      </w:r>
      <w:r>
        <w:t>3</w:t>
      </w:r>
      <w:r w:rsidRPr="00BF6EBB">
        <w:t xml:space="preserve"> through December 202</w:t>
      </w:r>
      <w:r>
        <w:t>3</w:t>
      </w:r>
      <w:r w:rsidRPr="00BF6EBB">
        <w:t xml:space="preserve">?                                              </w:t>
      </w:r>
    </w:p>
    <w:p w:rsidR="00097757" w:rsidRDefault="00097757" w:rsidP="00097757"/>
    <w:p w:rsidR="00097757" w:rsidRDefault="00097757" w:rsidP="00097757">
      <w:pPr>
        <w:rPr>
          <w:b/>
        </w:rPr>
      </w:pPr>
      <w:r>
        <w:rPr>
          <w:b/>
        </w:rPr>
        <w:t>Stipulation:</w:t>
      </w:r>
    </w:p>
    <w:p w:rsidR="00097757" w:rsidRDefault="00097757" w:rsidP="00097757">
      <w:pPr>
        <w:ind w:left="1440" w:hanging="1440"/>
        <w:rPr>
          <w:bCs/>
        </w:rPr>
      </w:pPr>
      <w:r w:rsidRPr="00AA74BD">
        <w:rPr>
          <w:bCs/>
        </w:rPr>
        <w:t>DEF:</w:t>
      </w:r>
      <w:r>
        <w:rPr>
          <w:bCs/>
        </w:rPr>
        <w:tab/>
        <w:t>$458,620,998.</w:t>
      </w:r>
    </w:p>
    <w:p w:rsidR="00097757" w:rsidRDefault="00097757" w:rsidP="00097757">
      <w:pPr>
        <w:ind w:left="1440" w:hanging="1440"/>
        <w:rPr>
          <w:bCs/>
        </w:rPr>
      </w:pPr>
    </w:p>
    <w:p w:rsidR="00097757" w:rsidRDefault="00097757" w:rsidP="00097757">
      <w:pPr>
        <w:ind w:left="1440" w:hanging="1440"/>
        <w:rPr>
          <w:bCs/>
        </w:rPr>
      </w:pPr>
      <w:r>
        <w:rPr>
          <w:bCs/>
        </w:rPr>
        <w:t>FPL:</w:t>
      </w:r>
      <w:r>
        <w:rPr>
          <w:bCs/>
        </w:rPr>
        <w:tab/>
        <w:t>$245,356,422.</w:t>
      </w:r>
    </w:p>
    <w:p w:rsidR="00097757" w:rsidRDefault="00097757" w:rsidP="00097757">
      <w:pPr>
        <w:ind w:left="1440" w:hanging="1440"/>
        <w:rPr>
          <w:bCs/>
        </w:rPr>
      </w:pPr>
    </w:p>
    <w:p w:rsidR="00097757" w:rsidRDefault="00097757" w:rsidP="00097757">
      <w:pPr>
        <w:ind w:left="1440" w:hanging="1440"/>
        <w:rPr>
          <w:bCs/>
        </w:rPr>
      </w:pPr>
      <w:r>
        <w:rPr>
          <w:bCs/>
        </w:rPr>
        <w:t>TECO:</w:t>
      </w:r>
      <w:r>
        <w:rPr>
          <w:bCs/>
        </w:rPr>
        <w:tab/>
        <w:t>$846,862.</w:t>
      </w:r>
    </w:p>
    <w:p w:rsidR="00097757" w:rsidRPr="00520C62" w:rsidRDefault="00097757" w:rsidP="00097757"/>
    <w:p w:rsidR="00097757" w:rsidRPr="00BF6EBB" w:rsidRDefault="00097757" w:rsidP="00097757">
      <w:r w:rsidRPr="00BF6EBB">
        <w:rPr>
          <w:b/>
          <w:bCs/>
          <w:u w:val="single"/>
        </w:rPr>
        <w:t xml:space="preserve">ISSUE </w:t>
      </w:r>
      <w:r>
        <w:rPr>
          <w:b/>
          <w:bCs/>
          <w:u w:val="single"/>
        </w:rPr>
        <w:t>28</w:t>
      </w:r>
      <w:r w:rsidRPr="00BF6EBB">
        <w:t>:</w:t>
      </w:r>
      <w:r w:rsidRPr="00BF6EBB">
        <w:tab/>
        <w:t>What are the appropriate projected net purchased power capacity cost recovery amounts to be included in the recovery factor for the period January 202</w:t>
      </w:r>
      <w:r>
        <w:t>3</w:t>
      </w:r>
      <w:r w:rsidRPr="00BF6EBB">
        <w:t xml:space="preserve"> through December 202</w:t>
      </w:r>
      <w:r>
        <w:t>3</w:t>
      </w:r>
      <w:r w:rsidRPr="00BF6EBB">
        <w:t xml:space="preserve">?                                                                                </w:t>
      </w:r>
    </w:p>
    <w:p w:rsidR="00097757" w:rsidRDefault="00097757" w:rsidP="00097757">
      <w:pPr>
        <w:rPr>
          <w:b/>
        </w:rPr>
      </w:pPr>
    </w:p>
    <w:p w:rsidR="00097757" w:rsidRDefault="00097757" w:rsidP="00097757">
      <w:pPr>
        <w:rPr>
          <w:b/>
        </w:rPr>
      </w:pPr>
      <w:r>
        <w:rPr>
          <w:b/>
        </w:rPr>
        <w:t>Stipulation:</w:t>
      </w:r>
    </w:p>
    <w:p w:rsidR="00097757" w:rsidRDefault="00097757" w:rsidP="00097757">
      <w:pPr>
        <w:ind w:left="1440" w:hanging="1440"/>
        <w:rPr>
          <w:bCs/>
        </w:rPr>
      </w:pPr>
      <w:r w:rsidRPr="00AA74BD">
        <w:rPr>
          <w:bCs/>
        </w:rPr>
        <w:t>DEF:</w:t>
      </w:r>
      <w:r>
        <w:rPr>
          <w:bCs/>
        </w:rPr>
        <w:tab/>
        <w:t>$458,753,735.</w:t>
      </w:r>
    </w:p>
    <w:p w:rsidR="00097757" w:rsidRDefault="00097757" w:rsidP="00097757">
      <w:pPr>
        <w:ind w:left="1440" w:hanging="1440"/>
        <w:rPr>
          <w:bCs/>
        </w:rPr>
      </w:pPr>
    </w:p>
    <w:p w:rsidR="00097757" w:rsidRDefault="00097757" w:rsidP="00097757">
      <w:pPr>
        <w:ind w:left="1440" w:hanging="1440"/>
        <w:rPr>
          <w:bCs/>
        </w:rPr>
      </w:pPr>
      <w:r>
        <w:rPr>
          <w:bCs/>
        </w:rPr>
        <w:t>FPL:</w:t>
      </w:r>
      <w:r>
        <w:rPr>
          <w:bCs/>
        </w:rPr>
        <w:tab/>
        <w:t>$248,581,801, as filed.</w:t>
      </w:r>
    </w:p>
    <w:p w:rsidR="00097757" w:rsidRDefault="00097757" w:rsidP="00097757">
      <w:pPr>
        <w:ind w:left="1440" w:hanging="1440"/>
        <w:rPr>
          <w:bCs/>
        </w:rPr>
      </w:pPr>
    </w:p>
    <w:p w:rsidR="00097757" w:rsidRDefault="00097757" w:rsidP="00097757">
      <w:pPr>
        <w:ind w:left="1440" w:hanging="1440"/>
        <w:rPr>
          <w:bCs/>
        </w:rPr>
      </w:pPr>
      <w:r>
        <w:rPr>
          <w:bCs/>
        </w:rPr>
        <w:t>TECO:</w:t>
      </w:r>
      <w:r>
        <w:rPr>
          <w:bCs/>
        </w:rPr>
        <w:tab/>
        <w:t>($3,123,211).</w:t>
      </w:r>
    </w:p>
    <w:p w:rsidR="00097757" w:rsidRPr="00520C62" w:rsidRDefault="00097757" w:rsidP="00097757"/>
    <w:p w:rsidR="00097757" w:rsidRDefault="00097757" w:rsidP="00097757">
      <w:pPr>
        <w:autoSpaceDE w:val="0"/>
        <w:autoSpaceDN w:val="0"/>
        <w:adjustRightInd w:val="0"/>
        <w:ind w:left="1440" w:hanging="1440"/>
      </w:pPr>
      <w:r w:rsidRPr="00BF6EBB">
        <w:rPr>
          <w:b/>
          <w:bCs/>
          <w:u w:val="single"/>
        </w:rPr>
        <w:t xml:space="preserve">ISSUE </w:t>
      </w:r>
      <w:r>
        <w:rPr>
          <w:b/>
          <w:bCs/>
          <w:u w:val="single"/>
        </w:rPr>
        <w:t>29</w:t>
      </w:r>
      <w:r w:rsidRPr="00BF6EBB">
        <w:t>:</w:t>
      </w:r>
      <w:r w:rsidRPr="00BF6EBB">
        <w:tab/>
        <w:t>What are the appropriate jurisdictional separation factors for capacity revenues and costs to be included in the recovery factor for the period January 202</w:t>
      </w:r>
      <w:r>
        <w:t>3</w:t>
      </w:r>
      <w:r w:rsidRPr="00BF6EBB">
        <w:t xml:space="preserve"> through December 202</w:t>
      </w:r>
      <w:r>
        <w:t>3</w:t>
      </w:r>
      <w:r w:rsidRPr="00BF6EBB">
        <w:t xml:space="preserve">? </w:t>
      </w:r>
    </w:p>
    <w:p w:rsidR="00097757"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rPr>
          <w:b/>
        </w:rPr>
      </w:pPr>
      <w:r>
        <w:rPr>
          <w:b/>
        </w:rPr>
        <w:t>Stipulation:</w:t>
      </w:r>
    </w:p>
    <w:p w:rsidR="00097757" w:rsidRDefault="00097757" w:rsidP="00097757">
      <w:pPr>
        <w:ind w:left="1440" w:hanging="1440"/>
      </w:pPr>
      <w:r>
        <w:t>D</w:t>
      </w:r>
      <w:r w:rsidRPr="00260B45">
        <w:t>EF:</w:t>
      </w:r>
      <w:r w:rsidRPr="00260B45">
        <w:tab/>
        <w:t>Base: 97.403 percent, Intermediate: 92.637 percent, and Peaking: 95.110 percent.</w:t>
      </w:r>
    </w:p>
    <w:p w:rsidR="00097757" w:rsidRDefault="00097757" w:rsidP="00097757">
      <w:pPr>
        <w:ind w:left="1440" w:hanging="1440"/>
      </w:pPr>
    </w:p>
    <w:p w:rsidR="00097757" w:rsidRPr="007A2754" w:rsidRDefault="00097757" w:rsidP="00097757">
      <w:pPr>
        <w:ind w:left="1440" w:hanging="1440"/>
      </w:pPr>
      <w:r w:rsidRPr="007A2754">
        <w:t>FPL:</w:t>
      </w:r>
      <w:r w:rsidRPr="007A2754">
        <w:tab/>
        <w:t>Demand: Transmission 89.9282 percent, Base/Solar 96.0478 percent, Intermediate 95.4028 percent, Peaking 95.3285 percent, Distribution 100 percent.</w:t>
      </w:r>
    </w:p>
    <w:p w:rsidR="00097757" w:rsidRPr="007A2754" w:rsidRDefault="00097757" w:rsidP="00097757">
      <w:pPr>
        <w:ind w:left="1440" w:hanging="1440"/>
      </w:pPr>
    </w:p>
    <w:p w:rsidR="00097757" w:rsidRPr="007A2754" w:rsidRDefault="00097757" w:rsidP="00097757">
      <w:pPr>
        <w:ind w:left="1440"/>
      </w:pPr>
      <w:r w:rsidRPr="007A2754">
        <w:t>Energy: Base/Solar 95.8159 percent, Intermediate 94.5063 percent, Peaking 95.7054 percent.</w:t>
      </w:r>
    </w:p>
    <w:p w:rsidR="00097757" w:rsidRPr="00AA3EFF" w:rsidRDefault="00097757" w:rsidP="00097757">
      <w:pPr>
        <w:ind w:left="1440" w:hanging="1440"/>
        <w:rPr>
          <w:highlight w:val="yellow"/>
        </w:rPr>
      </w:pPr>
    </w:p>
    <w:p w:rsidR="00097757" w:rsidRPr="00A71CFB" w:rsidRDefault="00097757" w:rsidP="00097757">
      <w:pPr>
        <w:ind w:left="1440"/>
      </w:pPr>
      <w:r w:rsidRPr="007A2754">
        <w:t>General Plant: Labor 96.7270 percent.</w:t>
      </w:r>
    </w:p>
    <w:p w:rsidR="00097757" w:rsidRDefault="00097757" w:rsidP="00097757">
      <w:pPr>
        <w:ind w:left="1440" w:hanging="1440"/>
      </w:pPr>
    </w:p>
    <w:p w:rsidR="00097757" w:rsidRDefault="00097757" w:rsidP="00097757">
      <w:r>
        <w:t>TECO:</w:t>
      </w:r>
      <w:r>
        <w:rPr>
          <w:b/>
        </w:rPr>
        <w:tab/>
      </w:r>
      <w:r>
        <w:rPr>
          <w:b/>
        </w:rPr>
        <w:tab/>
      </w:r>
      <w:r w:rsidRPr="002252E1">
        <w:rPr>
          <w:bCs/>
        </w:rPr>
        <w:t>The appropriate jurisdictional separation factor is 1.00</w:t>
      </w:r>
      <w:r>
        <w:t>.</w:t>
      </w:r>
    </w:p>
    <w:p w:rsidR="00097757" w:rsidRPr="00520C62" w:rsidRDefault="00097757" w:rsidP="00097757">
      <w:r w:rsidRPr="00520C62">
        <w:t xml:space="preserve">                                                                        </w:t>
      </w:r>
    </w:p>
    <w:p w:rsidR="00097757" w:rsidRPr="00520C62" w:rsidRDefault="00097757" w:rsidP="00097757">
      <w:pPr>
        <w:ind w:left="1440" w:hanging="1440"/>
      </w:pPr>
      <w:r w:rsidRPr="00520C62">
        <w:rPr>
          <w:b/>
          <w:bCs/>
          <w:u w:val="single"/>
        </w:rPr>
        <w:t>ISSUE 3</w:t>
      </w:r>
      <w:r>
        <w:rPr>
          <w:b/>
          <w:bCs/>
          <w:u w:val="single"/>
        </w:rPr>
        <w:t>0</w:t>
      </w:r>
      <w:r w:rsidRPr="00520C62">
        <w:t>:</w:t>
      </w:r>
      <w:r w:rsidRPr="00520C62">
        <w:tab/>
        <w:t>What are the appropriate capacity cost recovery factors for the period January 202</w:t>
      </w:r>
      <w:r>
        <w:t>3</w:t>
      </w:r>
      <w:r w:rsidRPr="00520C62">
        <w:t xml:space="preserve"> through December 202</w:t>
      </w:r>
      <w:r>
        <w:t>3</w:t>
      </w:r>
      <w:r w:rsidRPr="00520C62">
        <w:t>?</w:t>
      </w:r>
    </w:p>
    <w:p w:rsidR="00097757" w:rsidRDefault="00097757" w:rsidP="00097757">
      <w:r w:rsidRPr="00520C62">
        <w:t xml:space="preserve">                              </w:t>
      </w:r>
    </w:p>
    <w:p w:rsidR="00097757" w:rsidRDefault="00097757" w:rsidP="00097757">
      <w:pPr>
        <w:autoSpaceDE w:val="0"/>
        <w:autoSpaceDN w:val="0"/>
        <w:adjustRightInd w:val="0"/>
        <w:ind w:left="1440" w:hanging="1440"/>
        <w:rPr>
          <w:b/>
        </w:rPr>
      </w:pPr>
      <w:r>
        <w:rPr>
          <w:b/>
        </w:rPr>
        <w:t>Stipulation:</w:t>
      </w:r>
    </w:p>
    <w:p w:rsidR="00097757" w:rsidRDefault="00097757" w:rsidP="00097757">
      <w:r>
        <w:t>D</w:t>
      </w:r>
      <w:r w:rsidRPr="00260B45">
        <w:t>EF:</w:t>
      </w:r>
    </w:p>
    <w:p w:rsidR="00097757" w:rsidRDefault="00097757" w:rsidP="00097757">
      <w:pPr>
        <w:ind w:left="1440" w:hanging="1440"/>
        <w:rPr>
          <w:bCs/>
        </w:rPr>
      </w:pPr>
      <w:r>
        <w:tab/>
      </w:r>
      <w:r w:rsidRPr="00B573BF">
        <w:t>The appropriate capacity cost recovery factors for the period January 202</w:t>
      </w:r>
      <w:r>
        <w:t>3</w:t>
      </w:r>
      <w:r w:rsidRPr="00B573BF">
        <w:t xml:space="preserve"> through December 202</w:t>
      </w:r>
      <w:r>
        <w:t>3</w:t>
      </w:r>
      <w:r w:rsidRPr="00B573BF">
        <w:t xml:space="preserve"> </w:t>
      </w:r>
      <w:r>
        <w:t>is</w:t>
      </w:r>
      <w:r w:rsidRPr="00B573BF">
        <w:t xml:space="preserve"> shown in </w:t>
      </w:r>
      <w:r w:rsidRPr="00B573BF">
        <w:rPr>
          <w:bCs/>
        </w:rPr>
        <w:t>Table 3</w:t>
      </w:r>
      <w:r>
        <w:rPr>
          <w:bCs/>
        </w:rPr>
        <w:t>0</w:t>
      </w:r>
      <w:r w:rsidRPr="00B573BF">
        <w:rPr>
          <w:bCs/>
        </w:rPr>
        <w:t>-</w:t>
      </w:r>
      <w:r>
        <w:rPr>
          <w:bCs/>
        </w:rPr>
        <w:t>1</w:t>
      </w:r>
      <w:r w:rsidRPr="00B573BF">
        <w:rPr>
          <w:bCs/>
        </w:rPr>
        <w:t xml:space="preserve"> below</w:t>
      </w:r>
      <w:r>
        <w:rPr>
          <w:bCs/>
        </w:rPr>
        <w:t>:</w:t>
      </w:r>
    </w:p>
    <w:p w:rsidR="00097757" w:rsidRDefault="00097757" w:rsidP="00097757">
      <w:r>
        <w:br w:type="page"/>
      </w:r>
    </w:p>
    <w:p w:rsidR="00097757" w:rsidRPr="00B573BF" w:rsidRDefault="00097757" w:rsidP="00097757">
      <w:pPr>
        <w:ind w:left="1440" w:hanging="1440"/>
        <w:jc w:val="center"/>
        <w:rPr>
          <w:rFonts w:ascii="Arial" w:hAnsi="Arial" w:cs="Arial"/>
          <w:b/>
        </w:rPr>
      </w:pPr>
      <w:r w:rsidRPr="00B573BF">
        <w:rPr>
          <w:rFonts w:ascii="Arial" w:hAnsi="Arial" w:cs="Arial"/>
          <w:b/>
        </w:rPr>
        <w:lastRenderedPageBreak/>
        <w:t>Table 3</w:t>
      </w:r>
      <w:r>
        <w:rPr>
          <w:rFonts w:ascii="Arial" w:hAnsi="Arial" w:cs="Arial"/>
          <w:b/>
        </w:rPr>
        <w:t>0</w:t>
      </w:r>
      <w:r w:rsidRPr="00B573BF">
        <w:rPr>
          <w:rFonts w:ascii="Arial" w:hAnsi="Arial" w:cs="Arial"/>
          <w:b/>
        </w:rPr>
        <w:t>-1</w:t>
      </w:r>
    </w:p>
    <w:p w:rsidR="00097757" w:rsidRPr="00B573BF" w:rsidRDefault="00097757" w:rsidP="00097757">
      <w:pPr>
        <w:keepNext/>
        <w:keepLines/>
        <w:jc w:val="center"/>
      </w:pPr>
      <w:r w:rsidRPr="00B573BF">
        <w:rPr>
          <w:rFonts w:ascii="Arial" w:hAnsi="Arial" w:cs="Arial"/>
          <w:b/>
        </w:rPr>
        <w:t>DEF Capacity Cost Recovery Factors for the period January</w:t>
      </w:r>
      <w:r>
        <w:rPr>
          <w:rFonts w:ascii="Arial" w:hAnsi="Arial" w:cs="Arial"/>
          <w:b/>
        </w:rPr>
        <w:t xml:space="preserve"> – December</w:t>
      </w:r>
      <w:r w:rsidRPr="00B573BF">
        <w:rPr>
          <w:rFonts w:ascii="Arial" w:hAnsi="Arial" w:cs="Arial"/>
          <w:b/>
        </w:rPr>
        <w:t xml:space="preserve"> 202</w:t>
      </w:r>
      <w:r>
        <w:rPr>
          <w:rFonts w:ascii="Arial" w:hAnsi="Arial" w:cs="Arial"/>
          <w:b/>
        </w:rPr>
        <w:t>3</w:t>
      </w:r>
    </w:p>
    <w:tbl>
      <w:tblPr>
        <w:tblStyle w:val="TableGrid"/>
        <w:tblW w:w="0" w:type="auto"/>
        <w:tblLook w:val="04A0" w:firstRow="1" w:lastRow="0" w:firstColumn="1" w:lastColumn="0" w:noHBand="0" w:noVBand="1"/>
      </w:tblPr>
      <w:tblGrid>
        <w:gridCol w:w="1622"/>
        <w:gridCol w:w="4443"/>
        <w:gridCol w:w="1588"/>
        <w:gridCol w:w="1697"/>
      </w:tblGrid>
      <w:tr w:rsidR="00097757" w:rsidRPr="00AA3EFF" w:rsidTr="00E5228C">
        <w:tc>
          <w:tcPr>
            <w:tcW w:w="606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autoSpaceDE w:val="0"/>
              <w:autoSpaceDN w:val="0"/>
              <w:adjustRightInd w:val="0"/>
              <w:jc w:val="center"/>
              <w:rPr>
                <w:b/>
                <w:bCs/>
              </w:rPr>
            </w:pPr>
            <w:r w:rsidRPr="00F203F8">
              <w:rPr>
                <w:b/>
                <w:bCs/>
              </w:rPr>
              <w:t>Rate Class</w:t>
            </w:r>
          </w:p>
        </w:tc>
        <w:tc>
          <w:tcPr>
            <w:tcW w:w="3285" w:type="dxa"/>
            <w:gridSpan w:val="2"/>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jc w:val="center"/>
              <w:rPr>
                <w:b/>
                <w:bCs/>
              </w:rPr>
            </w:pPr>
            <w:r w:rsidRPr="00F203F8">
              <w:rPr>
                <w:b/>
                <w:bCs/>
              </w:rPr>
              <w:t>Capacity and ISFSI</w:t>
            </w:r>
          </w:p>
          <w:p w:rsidR="00097757" w:rsidRPr="00F203F8" w:rsidRDefault="00097757" w:rsidP="00E5228C">
            <w:pPr>
              <w:autoSpaceDE w:val="0"/>
              <w:autoSpaceDN w:val="0"/>
              <w:adjustRightInd w:val="0"/>
              <w:jc w:val="center"/>
              <w:rPr>
                <w:b/>
                <w:bCs/>
              </w:rPr>
            </w:pPr>
            <w:r w:rsidRPr="00F203F8">
              <w:rPr>
                <w:b/>
                <w:bCs/>
              </w:rPr>
              <w:t>Cost Recovery Factors</w:t>
            </w:r>
          </w:p>
        </w:tc>
      </w:tr>
      <w:tr w:rsidR="00097757" w:rsidRPr="00AA3EFF" w:rsidTr="00E5228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jc w:val="center"/>
              <w:rPr>
                <w:b/>
                <w:bCs/>
              </w:rPr>
            </w:pP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097757" w:rsidRPr="00F203F8" w:rsidRDefault="00097757" w:rsidP="00E5228C">
            <w:pPr>
              <w:autoSpaceDE w:val="0"/>
              <w:autoSpaceDN w:val="0"/>
              <w:adjustRightInd w:val="0"/>
              <w:jc w:val="center"/>
              <w:rPr>
                <w:bCs/>
              </w:rPr>
            </w:pPr>
            <w:r w:rsidRPr="00F203F8">
              <w:rPr>
                <w:bCs/>
              </w:rPr>
              <w:t>¢/kWh</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097757" w:rsidRPr="00F203F8" w:rsidRDefault="00097757" w:rsidP="00E5228C">
            <w:pPr>
              <w:autoSpaceDE w:val="0"/>
              <w:autoSpaceDN w:val="0"/>
              <w:adjustRightInd w:val="0"/>
              <w:jc w:val="center"/>
              <w:rPr>
                <w:bCs/>
              </w:rPr>
            </w:pPr>
            <w:r w:rsidRPr="00F203F8">
              <w:rPr>
                <w:bCs/>
              </w:rPr>
              <w:t>$/kW-month</w:t>
            </w:r>
          </w:p>
        </w:tc>
      </w:tr>
      <w:tr w:rsidR="00097757" w:rsidRPr="00AA3EFF" w:rsidTr="00E5228C">
        <w:tc>
          <w:tcPr>
            <w:tcW w:w="6065" w:type="dxa"/>
            <w:gridSpan w:val="2"/>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Residential (RS-1, RST-1, RSL-1, RSL-2, RSS-1)</w:t>
            </w:r>
          </w:p>
          <w:p w:rsidR="00097757" w:rsidRPr="00F203F8" w:rsidRDefault="00097757" w:rsidP="00E5228C">
            <w:pPr>
              <w:autoSpaceDE w:val="0"/>
              <w:autoSpaceDN w:val="0"/>
              <w:adjustRightInd w:val="0"/>
              <w:rPr>
                <w:bCs/>
              </w:rPr>
            </w:pPr>
            <w:r w:rsidRPr="00F203F8">
              <w:rPr>
                <w:bCs/>
              </w:rPr>
              <w:t xml:space="preserve">At Secondary Voltage </w:t>
            </w:r>
          </w:p>
        </w:tc>
        <w:tc>
          <w:tcPr>
            <w:tcW w:w="1588" w:type="dxa"/>
            <w:tcBorders>
              <w:top w:val="single" w:sz="4" w:space="0" w:color="auto"/>
              <w:left w:val="single" w:sz="4" w:space="0" w:color="auto"/>
              <w:bottom w:val="single" w:sz="4" w:space="0" w:color="auto"/>
              <w:right w:val="single" w:sz="4" w:space="0" w:color="auto"/>
            </w:tcBorders>
            <w:vAlign w:val="bottom"/>
            <w:hideMark/>
          </w:tcPr>
          <w:p w:rsidR="00097757" w:rsidRPr="00F203F8" w:rsidRDefault="00097757" w:rsidP="00E5228C">
            <w:pPr>
              <w:autoSpaceDE w:val="0"/>
              <w:autoSpaceDN w:val="0"/>
              <w:adjustRightInd w:val="0"/>
              <w:jc w:val="right"/>
              <w:rPr>
                <w:bCs/>
              </w:rPr>
            </w:pPr>
            <w:r w:rsidRPr="00F203F8">
              <w:rPr>
                <w:bCs/>
              </w:rPr>
              <w:t>1.328</w:t>
            </w:r>
          </w:p>
        </w:tc>
        <w:tc>
          <w:tcPr>
            <w:tcW w:w="1697" w:type="dxa"/>
            <w:vMerge w:val="restart"/>
            <w:tcBorders>
              <w:top w:val="single" w:sz="4" w:space="0" w:color="auto"/>
              <w:left w:val="single" w:sz="4" w:space="0" w:color="auto"/>
              <w:bottom w:val="single" w:sz="4" w:space="0" w:color="auto"/>
              <w:right w:val="single" w:sz="4" w:space="0" w:color="auto"/>
            </w:tcBorders>
            <w:vAlign w:val="center"/>
          </w:tcPr>
          <w:p w:rsidR="00097757" w:rsidRPr="00F203F8" w:rsidRDefault="00097757" w:rsidP="00E5228C">
            <w:pPr>
              <w:autoSpaceDE w:val="0"/>
              <w:autoSpaceDN w:val="0"/>
              <w:adjustRightInd w:val="0"/>
              <w:jc w:val="center"/>
              <w:rPr>
                <w:bCs/>
              </w:rPr>
            </w:pPr>
          </w:p>
        </w:tc>
      </w:tr>
      <w:tr w:rsidR="00097757" w:rsidRPr="00AA3EFF" w:rsidTr="00E5228C">
        <w:tc>
          <w:tcPr>
            <w:tcW w:w="6065" w:type="dxa"/>
            <w:gridSpan w:val="2"/>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General Service Non-Demand (GS-1, GST-1)</w:t>
            </w:r>
          </w:p>
        </w:tc>
        <w:tc>
          <w:tcPr>
            <w:tcW w:w="1588"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cente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r>
      <w:tr w:rsidR="00097757" w:rsidRPr="00AA3EFF" w:rsidTr="00E5228C">
        <w:tc>
          <w:tcPr>
            <w:tcW w:w="1622" w:type="dxa"/>
            <w:vMerge w:val="restart"/>
            <w:tcBorders>
              <w:top w:val="single" w:sz="4" w:space="0" w:color="auto"/>
              <w:left w:val="single" w:sz="4" w:space="0" w:color="auto"/>
              <w:bottom w:val="single" w:sz="4" w:space="0" w:color="auto"/>
              <w:right w:val="single" w:sz="4" w:space="0" w:color="auto"/>
            </w:tcBorders>
            <w:vAlign w:val="center"/>
          </w:tcPr>
          <w:p w:rsidR="00097757" w:rsidRPr="00F203F8" w:rsidRDefault="00097757" w:rsidP="00E5228C">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Secondary Voltage</w:t>
            </w:r>
          </w:p>
        </w:tc>
        <w:tc>
          <w:tcPr>
            <w:tcW w:w="1588"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jc w:val="right"/>
              <w:rPr>
                <w:bCs/>
              </w:rPr>
            </w:pPr>
            <w:r w:rsidRPr="00F203F8">
              <w:rPr>
                <w:bCs/>
              </w:rPr>
              <w:t>1.173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r>
      <w:tr w:rsidR="00097757" w:rsidRPr="00AA3EFF" w:rsidTr="00E5228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Primary Voltage</w:t>
            </w:r>
          </w:p>
        </w:tc>
        <w:tc>
          <w:tcPr>
            <w:tcW w:w="1588"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jc w:val="right"/>
              <w:rPr>
                <w:bCs/>
              </w:rPr>
            </w:pPr>
            <w:r w:rsidRPr="00F203F8">
              <w:rPr>
                <w:bCs/>
              </w:rPr>
              <w:t>1.161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r>
      <w:tr w:rsidR="00097757" w:rsidRPr="00AA3EFF" w:rsidTr="00E5228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Transmission Voltage</w:t>
            </w:r>
          </w:p>
        </w:tc>
        <w:tc>
          <w:tcPr>
            <w:tcW w:w="1588"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jc w:val="right"/>
              <w:rPr>
                <w:bCs/>
              </w:rPr>
            </w:pPr>
            <w:r w:rsidRPr="00F203F8">
              <w:rPr>
                <w:bCs/>
              </w:rPr>
              <w:t xml:space="preserve">1.150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r>
      <w:tr w:rsidR="00097757" w:rsidRPr="00AA3EFF" w:rsidTr="00E5228C">
        <w:tc>
          <w:tcPr>
            <w:tcW w:w="6065" w:type="dxa"/>
            <w:gridSpan w:val="2"/>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General Service (GS-2)</w:t>
            </w:r>
          </w:p>
        </w:tc>
        <w:tc>
          <w:tcPr>
            <w:tcW w:w="1588"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jc w:val="right"/>
              <w:rPr>
                <w:bCs/>
              </w:rPr>
            </w:pPr>
            <w:r w:rsidRPr="00F203F8">
              <w:rPr>
                <w:bCs/>
              </w:rPr>
              <w:t>0.822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r>
      <w:tr w:rsidR="00097757" w:rsidRPr="00AA3EFF" w:rsidTr="00E5228C">
        <w:tc>
          <w:tcPr>
            <w:tcW w:w="6065" w:type="dxa"/>
            <w:gridSpan w:val="2"/>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rPr>
                <w:bCs/>
              </w:rPr>
            </w:pPr>
            <w:r w:rsidRPr="00F203F8">
              <w:rPr>
                <w:bCs/>
              </w:rPr>
              <w:t>Lighting (LS-1)</w:t>
            </w:r>
          </w:p>
        </w:tc>
        <w:tc>
          <w:tcPr>
            <w:tcW w:w="1588"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0.341</w:t>
            </w:r>
          </w:p>
        </w:tc>
        <w:tc>
          <w:tcPr>
            <w:tcW w:w="0" w:type="auto"/>
            <w:tcBorders>
              <w:top w:val="single" w:sz="4" w:space="0" w:color="auto"/>
              <w:left w:val="single" w:sz="4" w:space="0" w:color="auto"/>
              <w:bottom w:val="single" w:sz="4" w:space="0" w:color="auto"/>
              <w:right w:val="single" w:sz="4" w:space="0" w:color="auto"/>
            </w:tcBorders>
            <w:vAlign w:val="center"/>
          </w:tcPr>
          <w:p w:rsidR="00097757" w:rsidRPr="00F203F8" w:rsidRDefault="00097757" w:rsidP="00E5228C">
            <w:pPr>
              <w:rPr>
                <w:bCs/>
              </w:rPr>
            </w:pPr>
          </w:p>
        </w:tc>
      </w:tr>
      <w:tr w:rsidR="00097757" w:rsidRPr="00AA3EFF" w:rsidTr="00E5228C">
        <w:tc>
          <w:tcPr>
            <w:tcW w:w="9350" w:type="dxa"/>
            <w:gridSpan w:val="4"/>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General Service Demand (GSD-1, GSDT-1, SS-1)</w:t>
            </w:r>
          </w:p>
        </w:tc>
      </w:tr>
      <w:tr w:rsidR="00097757" w:rsidRPr="00AA3EFF" w:rsidTr="00E5228C">
        <w:tc>
          <w:tcPr>
            <w:tcW w:w="1622" w:type="dxa"/>
            <w:vMerge w:val="restart"/>
            <w:tcBorders>
              <w:top w:val="single" w:sz="4" w:space="0" w:color="auto"/>
              <w:left w:val="single" w:sz="4" w:space="0" w:color="auto"/>
              <w:bottom w:val="single" w:sz="4" w:space="0" w:color="auto"/>
              <w:right w:val="single" w:sz="4" w:space="0" w:color="auto"/>
            </w:tcBorders>
            <w:vAlign w:val="center"/>
          </w:tcPr>
          <w:p w:rsidR="00097757" w:rsidRPr="00F203F8" w:rsidRDefault="00097757" w:rsidP="00E5228C">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097757" w:rsidRPr="00F203F8" w:rsidRDefault="00097757" w:rsidP="00E5228C">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3.37</w:t>
            </w:r>
          </w:p>
        </w:tc>
      </w:tr>
      <w:tr w:rsidR="00097757" w:rsidRPr="00AA3EFF" w:rsidTr="00E5228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1697"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3.34</w:t>
            </w:r>
          </w:p>
        </w:tc>
      </w:tr>
      <w:tr w:rsidR="00097757" w:rsidRPr="00AA3EFF" w:rsidTr="00E5228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1697"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3.30</w:t>
            </w:r>
          </w:p>
        </w:tc>
      </w:tr>
      <w:tr w:rsidR="00097757" w:rsidRPr="00AA3EFF" w:rsidTr="00E5228C">
        <w:tc>
          <w:tcPr>
            <w:tcW w:w="9350" w:type="dxa"/>
            <w:gridSpan w:val="4"/>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Curtailable (CS-2, CST-2, CS-3, CST-3, SS-3)</w:t>
            </w:r>
          </w:p>
        </w:tc>
      </w:tr>
      <w:tr w:rsidR="00097757" w:rsidRPr="00AA3EFF" w:rsidTr="00E5228C">
        <w:tc>
          <w:tcPr>
            <w:tcW w:w="1622" w:type="dxa"/>
            <w:vMerge w:val="restart"/>
            <w:tcBorders>
              <w:top w:val="single" w:sz="4" w:space="0" w:color="auto"/>
              <w:left w:val="single" w:sz="4" w:space="0" w:color="auto"/>
              <w:bottom w:val="single" w:sz="4" w:space="0" w:color="auto"/>
              <w:right w:val="single" w:sz="4" w:space="0" w:color="auto"/>
            </w:tcBorders>
            <w:vAlign w:val="center"/>
          </w:tcPr>
          <w:p w:rsidR="00097757" w:rsidRPr="00F203F8" w:rsidRDefault="00097757" w:rsidP="00E5228C">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097757" w:rsidRPr="00F203F8" w:rsidRDefault="00097757" w:rsidP="00E5228C">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1.67</w:t>
            </w:r>
          </w:p>
        </w:tc>
      </w:tr>
      <w:tr w:rsidR="00097757" w:rsidRPr="00AA3EFF" w:rsidTr="00E5228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1697"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1.65</w:t>
            </w:r>
          </w:p>
        </w:tc>
      </w:tr>
      <w:tr w:rsidR="00097757" w:rsidRPr="00AA3EFF" w:rsidTr="00E5228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1697"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1.64</w:t>
            </w:r>
          </w:p>
        </w:tc>
      </w:tr>
      <w:tr w:rsidR="00097757" w:rsidRPr="00AA3EFF" w:rsidTr="00E5228C">
        <w:tc>
          <w:tcPr>
            <w:tcW w:w="9350" w:type="dxa"/>
            <w:gridSpan w:val="4"/>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Interruptible (IS-2, IST-2, SS-2)</w:t>
            </w:r>
          </w:p>
        </w:tc>
      </w:tr>
      <w:tr w:rsidR="00097757" w:rsidRPr="00AA3EFF" w:rsidTr="00E5228C">
        <w:tc>
          <w:tcPr>
            <w:tcW w:w="1622" w:type="dxa"/>
            <w:vMerge w:val="restart"/>
            <w:tcBorders>
              <w:top w:val="single" w:sz="4" w:space="0" w:color="auto"/>
              <w:left w:val="single" w:sz="4" w:space="0" w:color="auto"/>
              <w:bottom w:val="single" w:sz="4" w:space="0" w:color="auto"/>
              <w:right w:val="single" w:sz="4" w:space="0" w:color="auto"/>
            </w:tcBorders>
            <w:vAlign w:val="center"/>
          </w:tcPr>
          <w:p w:rsidR="00097757" w:rsidRPr="00F203F8" w:rsidRDefault="00097757" w:rsidP="00E5228C">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097757" w:rsidRPr="00F203F8" w:rsidRDefault="00097757" w:rsidP="00E5228C">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2.69</w:t>
            </w:r>
          </w:p>
        </w:tc>
      </w:tr>
      <w:tr w:rsidR="00097757" w:rsidRPr="00AA3EFF" w:rsidTr="00E5228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1697"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2.66</w:t>
            </w:r>
          </w:p>
        </w:tc>
      </w:tr>
      <w:tr w:rsidR="00097757" w:rsidRPr="00AA3EFF" w:rsidTr="00E5228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1697"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2.64</w:t>
            </w:r>
          </w:p>
        </w:tc>
      </w:tr>
      <w:tr w:rsidR="00097757" w:rsidRPr="00AA3EFF" w:rsidTr="00E5228C">
        <w:tc>
          <w:tcPr>
            <w:tcW w:w="9350" w:type="dxa"/>
            <w:gridSpan w:val="4"/>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Standby Monthly (SS-1, 2, 3)</w:t>
            </w:r>
          </w:p>
        </w:tc>
      </w:tr>
      <w:tr w:rsidR="00097757" w:rsidRPr="00AA3EFF" w:rsidTr="00E5228C">
        <w:tc>
          <w:tcPr>
            <w:tcW w:w="1622" w:type="dxa"/>
            <w:vMerge w:val="restart"/>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097757" w:rsidRPr="00F203F8" w:rsidRDefault="00097757" w:rsidP="00E5228C">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0.325</w:t>
            </w:r>
          </w:p>
        </w:tc>
      </w:tr>
      <w:tr w:rsidR="00097757" w:rsidRPr="00AA3EFF" w:rsidTr="00E5228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1697"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0.322</w:t>
            </w:r>
          </w:p>
        </w:tc>
      </w:tr>
      <w:tr w:rsidR="00097757" w:rsidRPr="00AA3EFF" w:rsidTr="00E5228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1697"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0.319</w:t>
            </w:r>
          </w:p>
        </w:tc>
      </w:tr>
      <w:tr w:rsidR="00097757" w:rsidRPr="00AA3EFF" w:rsidTr="00E5228C">
        <w:tc>
          <w:tcPr>
            <w:tcW w:w="9350" w:type="dxa"/>
            <w:gridSpan w:val="4"/>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Standby Daily (SS-1, 2, 3)</w:t>
            </w:r>
          </w:p>
        </w:tc>
      </w:tr>
      <w:tr w:rsidR="00097757" w:rsidRPr="00AA3EFF" w:rsidTr="00E5228C">
        <w:tc>
          <w:tcPr>
            <w:tcW w:w="1622" w:type="dxa"/>
            <w:vMerge w:val="restart"/>
            <w:tcBorders>
              <w:top w:val="single" w:sz="4" w:space="0" w:color="auto"/>
              <w:left w:val="single" w:sz="4" w:space="0" w:color="auto"/>
              <w:bottom w:val="single" w:sz="4" w:space="0" w:color="auto"/>
              <w:right w:val="single" w:sz="4" w:space="0" w:color="auto"/>
            </w:tcBorders>
            <w:vAlign w:val="center"/>
          </w:tcPr>
          <w:p w:rsidR="00097757" w:rsidRPr="00F203F8" w:rsidRDefault="00097757" w:rsidP="00E5228C">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097757" w:rsidRPr="00F203F8" w:rsidRDefault="00097757" w:rsidP="00E5228C">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0.155</w:t>
            </w:r>
          </w:p>
        </w:tc>
      </w:tr>
      <w:tr w:rsidR="00097757" w:rsidRPr="00AA3EFF" w:rsidTr="00E5228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1697"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0.153</w:t>
            </w:r>
          </w:p>
        </w:tc>
      </w:tr>
      <w:tr w:rsidR="00097757" w:rsidRPr="00095C4B" w:rsidTr="00E5228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4443" w:type="dxa"/>
            <w:tcBorders>
              <w:top w:val="single" w:sz="4" w:space="0" w:color="auto"/>
              <w:left w:val="single" w:sz="4" w:space="0" w:color="auto"/>
              <w:bottom w:val="single" w:sz="4" w:space="0" w:color="auto"/>
              <w:right w:val="single" w:sz="4" w:space="0" w:color="auto"/>
            </w:tcBorders>
            <w:hideMark/>
          </w:tcPr>
          <w:p w:rsidR="00097757" w:rsidRPr="00F203F8" w:rsidRDefault="00097757" w:rsidP="00E5228C">
            <w:pPr>
              <w:autoSpaceDE w:val="0"/>
              <w:autoSpaceDN w:val="0"/>
              <w:adjustRightInd w:val="0"/>
              <w:rPr>
                <w:bCs/>
              </w:rPr>
            </w:pPr>
            <w:r w:rsidRPr="00F203F8">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757" w:rsidRPr="00F203F8" w:rsidRDefault="00097757" w:rsidP="00E5228C">
            <w:pPr>
              <w:rPr>
                <w:bCs/>
              </w:rPr>
            </w:pPr>
          </w:p>
        </w:tc>
        <w:tc>
          <w:tcPr>
            <w:tcW w:w="1697" w:type="dxa"/>
            <w:tcBorders>
              <w:top w:val="single" w:sz="4" w:space="0" w:color="auto"/>
              <w:left w:val="single" w:sz="4" w:space="0" w:color="auto"/>
              <w:bottom w:val="single" w:sz="4" w:space="0" w:color="auto"/>
              <w:right w:val="single" w:sz="4" w:space="0" w:color="auto"/>
            </w:tcBorders>
          </w:tcPr>
          <w:p w:rsidR="00097757" w:rsidRPr="00F203F8" w:rsidRDefault="00097757" w:rsidP="00E5228C">
            <w:pPr>
              <w:autoSpaceDE w:val="0"/>
              <w:autoSpaceDN w:val="0"/>
              <w:adjustRightInd w:val="0"/>
              <w:jc w:val="right"/>
              <w:rPr>
                <w:bCs/>
              </w:rPr>
            </w:pPr>
            <w:r w:rsidRPr="00F203F8">
              <w:rPr>
                <w:bCs/>
              </w:rPr>
              <w:t>0.152</w:t>
            </w:r>
          </w:p>
        </w:tc>
      </w:tr>
    </w:tbl>
    <w:p w:rsidR="00097757" w:rsidRDefault="00097757" w:rsidP="00097757">
      <w:pPr>
        <w:ind w:left="1440" w:hanging="1440"/>
      </w:pPr>
      <w:r w:rsidRPr="00095C4B">
        <w:rPr>
          <w:sz w:val="22"/>
          <w:szCs w:val="22"/>
        </w:rPr>
        <w:t xml:space="preserve">  Sou</w:t>
      </w:r>
      <w:r>
        <w:rPr>
          <w:sz w:val="22"/>
          <w:szCs w:val="22"/>
        </w:rPr>
        <w:t>rce: Schedule E12-E (Exhibit GPD-3, Part 3, Page 1</w:t>
      </w:r>
      <w:r w:rsidRPr="00095C4B">
        <w:rPr>
          <w:sz w:val="22"/>
          <w:szCs w:val="22"/>
        </w:rPr>
        <w:t xml:space="preserve"> of </w:t>
      </w:r>
      <w:r>
        <w:rPr>
          <w:sz w:val="22"/>
          <w:szCs w:val="22"/>
        </w:rPr>
        <w:t>1</w:t>
      </w:r>
      <w:r w:rsidRPr="00095C4B">
        <w:rPr>
          <w:sz w:val="22"/>
          <w:szCs w:val="22"/>
        </w:rPr>
        <w:t>)</w:t>
      </w:r>
    </w:p>
    <w:p w:rsidR="00097757" w:rsidRDefault="00097757" w:rsidP="00097757">
      <w:pPr>
        <w:ind w:left="1440" w:hanging="1440"/>
      </w:pPr>
    </w:p>
    <w:p w:rsidR="00097757" w:rsidRDefault="00097757" w:rsidP="00097757">
      <w:pPr>
        <w:autoSpaceDE w:val="0"/>
        <w:autoSpaceDN w:val="0"/>
        <w:adjustRightInd w:val="0"/>
        <w:ind w:left="1440" w:hanging="1440"/>
      </w:pPr>
      <w:r>
        <w:t>FPL:</w:t>
      </w:r>
      <w:r>
        <w:tab/>
      </w:r>
      <w:r w:rsidRPr="00591645">
        <w:t xml:space="preserve">If FPL’s Amended Petition to Approve Refund and Rate Reduction Resulting from Implementation of Inflation </w:t>
      </w:r>
      <w:r>
        <w:t>Reduction Act, filed in Docket 20220165-EI, is approved, FPL’s capacity cost recovery factors for January 2023 should reflect the one-time refund to customers as set forth in that Docket (Sixtieth Revised Sheet No. 8.030) and the capacity cost recovery factors for the period February 2023 through December 2023 set forth in Table 30-2.</w:t>
      </w:r>
    </w:p>
    <w:p w:rsidR="00097757"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rPr>
          <w:bCs/>
        </w:rPr>
      </w:pPr>
      <w:r>
        <w:tab/>
        <w:t xml:space="preserve">If FPL’s </w:t>
      </w:r>
      <w:r w:rsidRPr="00591645">
        <w:t xml:space="preserve">Amended Petition to Approve Refund and Rate Reduction Resulting from Implementation of Inflation </w:t>
      </w:r>
      <w:r>
        <w:t xml:space="preserve">Reduction Act, filed in Docket 20220165-EI, is </w:t>
      </w:r>
      <w:r>
        <w:lastRenderedPageBreak/>
        <w:t>denied, FPL’s capacity cost recovery factors for the period January 2023 through December 2023 are set forth in FPL Table 30-2.</w:t>
      </w:r>
    </w:p>
    <w:p w:rsidR="00097757" w:rsidRDefault="00097757" w:rsidP="00097757">
      <w:pPr>
        <w:autoSpaceDE w:val="0"/>
        <w:autoSpaceDN w:val="0"/>
        <w:adjustRightInd w:val="0"/>
        <w:ind w:left="1440" w:hanging="1440"/>
        <w:rPr>
          <w:bCs/>
        </w:rPr>
      </w:pPr>
      <w:r>
        <w:rPr>
          <w:bCs/>
        </w:rPr>
        <w:tab/>
      </w:r>
    </w:p>
    <w:p w:rsidR="00097757" w:rsidRPr="00E95C46" w:rsidRDefault="00097757" w:rsidP="00097757">
      <w:pPr>
        <w:autoSpaceDE w:val="0"/>
        <w:autoSpaceDN w:val="0"/>
        <w:adjustRightInd w:val="0"/>
        <w:ind w:left="1440" w:hanging="1440"/>
        <w:jc w:val="center"/>
        <w:rPr>
          <w:b/>
          <w:bCs/>
          <w:u w:val="single"/>
        </w:rPr>
      </w:pPr>
      <w:r w:rsidRPr="00E95C46">
        <w:rPr>
          <w:b/>
          <w:bCs/>
          <w:u w:val="single"/>
        </w:rPr>
        <w:t>TABLE 30-2</w:t>
      </w:r>
    </w:p>
    <w:p w:rsidR="00097757" w:rsidRPr="00E95C46" w:rsidRDefault="00097757" w:rsidP="00097757">
      <w:pPr>
        <w:autoSpaceDE w:val="0"/>
        <w:autoSpaceDN w:val="0"/>
        <w:adjustRightInd w:val="0"/>
        <w:ind w:left="1440" w:hanging="1440"/>
        <w:jc w:val="center"/>
        <w:rPr>
          <w:b/>
          <w:bCs/>
        </w:rPr>
      </w:pPr>
    </w:p>
    <w:p w:rsidR="00097757" w:rsidRDefault="00097757" w:rsidP="00097757">
      <w:r>
        <w:rPr>
          <w:noProof/>
        </w:rPr>
        <w:drawing>
          <wp:inline distT="0" distB="0" distL="0" distR="0" wp14:anchorId="2B50E6D4" wp14:editId="59B41ED8">
            <wp:extent cx="4471670" cy="325691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1670" cy="3256915"/>
                    </a:xfrm>
                    <a:prstGeom prst="rect">
                      <a:avLst/>
                    </a:prstGeom>
                    <a:noFill/>
                    <a:ln>
                      <a:noFill/>
                    </a:ln>
                  </pic:spPr>
                </pic:pic>
              </a:graphicData>
            </a:graphic>
          </wp:inline>
        </w:drawing>
      </w:r>
      <w:r>
        <w:rPr>
          <w:b/>
        </w:rPr>
        <w:tab/>
      </w:r>
      <w:r>
        <w:rPr>
          <w:b/>
        </w:rPr>
        <w:tab/>
      </w:r>
      <w:r>
        <w:rPr>
          <w:b/>
        </w:rPr>
        <w:tab/>
      </w:r>
      <w:r>
        <w:t>(Deaton)</w:t>
      </w:r>
    </w:p>
    <w:p w:rsidR="00097757" w:rsidRDefault="00097757" w:rsidP="00097757"/>
    <w:p w:rsidR="00097757" w:rsidRDefault="00097757" w:rsidP="00097757">
      <w:pPr>
        <w:rPr>
          <w:bCs/>
        </w:rPr>
      </w:pPr>
      <w:r>
        <w:t>TECO:</w:t>
      </w:r>
      <w:r>
        <w:rPr>
          <w:b/>
        </w:rPr>
        <w:tab/>
      </w:r>
      <w:r w:rsidRPr="00B573BF">
        <w:t>The appropriate capacity cost recovery factors for the period January 202</w:t>
      </w:r>
      <w:r>
        <w:t>3</w:t>
      </w:r>
      <w:r w:rsidRPr="00B573BF">
        <w:t xml:space="preserve"> through December 202</w:t>
      </w:r>
      <w:r>
        <w:t>3</w:t>
      </w:r>
      <w:r w:rsidRPr="00B573BF">
        <w:t xml:space="preserve"> </w:t>
      </w:r>
      <w:r>
        <w:t>is</w:t>
      </w:r>
      <w:r w:rsidRPr="00B573BF">
        <w:t xml:space="preserve"> shown in </w:t>
      </w:r>
      <w:r w:rsidRPr="00B573BF">
        <w:rPr>
          <w:bCs/>
        </w:rPr>
        <w:t>Table 3</w:t>
      </w:r>
      <w:r>
        <w:rPr>
          <w:bCs/>
        </w:rPr>
        <w:t>0</w:t>
      </w:r>
      <w:r w:rsidRPr="00B573BF">
        <w:rPr>
          <w:bCs/>
        </w:rPr>
        <w:t>-</w:t>
      </w:r>
      <w:r>
        <w:rPr>
          <w:bCs/>
        </w:rPr>
        <w:t>3</w:t>
      </w:r>
      <w:r w:rsidRPr="00B573BF">
        <w:rPr>
          <w:bCs/>
        </w:rPr>
        <w:t xml:space="preserve"> below</w:t>
      </w:r>
      <w:r>
        <w:rPr>
          <w:bCs/>
        </w:rPr>
        <w:t>:</w:t>
      </w:r>
    </w:p>
    <w:p w:rsidR="00097757" w:rsidRDefault="00097757" w:rsidP="00097757">
      <w:pPr>
        <w:ind w:left="1440" w:hanging="1440"/>
      </w:pPr>
    </w:p>
    <w:p w:rsidR="00097757" w:rsidRDefault="00097757">
      <w:r>
        <w:br w:type="page"/>
      </w:r>
    </w:p>
    <w:p w:rsidR="00097757" w:rsidRDefault="00097757" w:rsidP="00097757">
      <w:pPr>
        <w:ind w:left="1440" w:hanging="1440"/>
      </w:pPr>
    </w:p>
    <w:p w:rsidR="00097757" w:rsidRPr="00994B44" w:rsidRDefault="00097757" w:rsidP="00097757">
      <w:pPr>
        <w:ind w:left="1440" w:hanging="1440"/>
        <w:jc w:val="center"/>
        <w:rPr>
          <w:rFonts w:ascii="Arial" w:hAnsi="Arial" w:cs="Arial"/>
          <w:b/>
        </w:rPr>
      </w:pPr>
      <w:r>
        <w:rPr>
          <w:rFonts w:ascii="Arial" w:hAnsi="Arial" w:cs="Arial"/>
          <w:b/>
        </w:rPr>
        <w:t>Table 30-3</w:t>
      </w:r>
    </w:p>
    <w:p w:rsidR="00097757" w:rsidRPr="00994B44" w:rsidRDefault="00097757" w:rsidP="00097757">
      <w:pPr>
        <w:keepNext/>
        <w:keepLines/>
        <w:jc w:val="center"/>
      </w:pPr>
      <w:r w:rsidRPr="00994B44">
        <w:rPr>
          <w:rFonts w:ascii="Arial" w:hAnsi="Arial" w:cs="Arial"/>
          <w:b/>
        </w:rPr>
        <w:t>TECO Capacity Cost Recovery Factors for the period January-December, 2023</w:t>
      </w:r>
    </w:p>
    <w:tbl>
      <w:tblPr>
        <w:tblStyle w:val="TableGrid"/>
        <w:tblW w:w="0" w:type="auto"/>
        <w:tblLook w:val="04A0" w:firstRow="1" w:lastRow="0" w:firstColumn="1" w:lastColumn="0" w:noHBand="0" w:noVBand="1"/>
      </w:tblPr>
      <w:tblGrid>
        <w:gridCol w:w="4417"/>
        <w:gridCol w:w="2495"/>
        <w:gridCol w:w="2664"/>
      </w:tblGrid>
      <w:tr w:rsidR="00097757" w:rsidRPr="00994B44" w:rsidTr="00E5228C">
        <w:tc>
          <w:tcPr>
            <w:tcW w:w="4077" w:type="dxa"/>
            <w:vMerge w:val="restart"/>
            <w:vAlign w:val="center"/>
          </w:tcPr>
          <w:p w:rsidR="00097757" w:rsidRPr="00994B44" w:rsidRDefault="00097757" w:rsidP="00E5228C">
            <w:pPr>
              <w:autoSpaceDE w:val="0"/>
              <w:autoSpaceDN w:val="0"/>
              <w:adjustRightInd w:val="0"/>
              <w:jc w:val="center"/>
              <w:rPr>
                <w:b/>
                <w:bCs/>
              </w:rPr>
            </w:pPr>
            <w:r w:rsidRPr="00994B44">
              <w:rPr>
                <w:b/>
                <w:bCs/>
              </w:rPr>
              <w:t>Rate Class and Metering Voltage</w:t>
            </w:r>
          </w:p>
        </w:tc>
        <w:tc>
          <w:tcPr>
            <w:tcW w:w="5273" w:type="dxa"/>
            <w:gridSpan w:val="2"/>
          </w:tcPr>
          <w:p w:rsidR="00097757" w:rsidRPr="00994B44" w:rsidRDefault="00097757" w:rsidP="00E5228C">
            <w:pPr>
              <w:autoSpaceDE w:val="0"/>
              <w:autoSpaceDN w:val="0"/>
              <w:adjustRightInd w:val="0"/>
              <w:jc w:val="center"/>
              <w:rPr>
                <w:b/>
                <w:bCs/>
              </w:rPr>
            </w:pPr>
            <w:r w:rsidRPr="00994B44">
              <w:rPr>
                <w:b/>
                <w:bCs/>
              </w:rPr>
              <w:t xml:space="preserve">2023 Capacity Cost Recovery Factors </w:t>
            </w:r>
          </w:p>
        </w:tc>
      </w:tr>
      <w:tr w:rsidR="00097757" w:rsidRPr="00994B44" w:rsidTr="00E5228C">
        <w:tc>
          <w:tcPr>
            <w:tcW w:w="4077" w:type="dxa"/>
            <w:vMerge/>
          </w:tcPr>
          <w:p w:rsidR="00097757" w:rsidRPr="00994B44" w:rsidRDefault="00097757" w:rsidP="00E5228C">
            <w:pPr>
              <w:autoSpaceDE w:val="0"/>
              <w:autoSpaceDN w:val="0"/>
              <w:adjustRightInd w:val="0"/>
              <w:jc w:val="center"/>
              <w:rPr>
                <w:b/>
                <w:bCs/>
                <w:u w:val="single"/>
              </w:rPr>
            </w:pPr>
          </w:p>
        </w:tc>
        <w:tc>
          <w:tcPr>
            <w:tcW w:w="2543" w:type="dxa"/>
          </w:tcPr>
          <w:p w:rsidR="00097757" w:rsidRPr="00994B44" w:rsidRDefault="00097757" w:rsidP="00E5228C">
            <w:pPr>
              <w:autoSpaceDE w:val="0"/>
              <w:autoSpaceDN w:val="0"/>
              <w:adjustRightInd w:val="0"/>
              <w:jc w:val="center"/>
              <w:rPr>
                <w:bCs/>
              </w:rPr>
            </w:pPr>
            <w:r w:rsidRPr="00994B44">
              <w:rPr>
                <w:bCs/>
              </w:rPr>
              <w:t>$/kWh</w:t>
            </w:r>
          </w:p>
        </w:tc>
        <w:tc>
          <w:tcPr>
            <w:tcW w:w="2730" w:type="dxa"/>
          </w:tcPr>
          <w:p w:rsidR="00097757" w:rsidRPr="00994B44" w:rsidRDefault="00097757" w:rsidP="00E5228C">
            <w:pPr>
              <w:autoSpaceDE w:val="0"/>
              <w:autoSpaceDN w:val="0"/>
              <w:adjustRightInd w:val="0"/>
              <w:jc w:val="center"/>
              <w:rPr>
                <w:bCs/>
              </w:rPr>
            </w:pPr>
            <w:r w:rsidRPr="00994B44">
              <w:rPr>
                <w:bCs/>
              </w:rPr>
              <w:t>$/kW</w:t>
            </w:r>
          </w:p>
        </w:tc>
      </w:tr>
      <w:tr w:rsidR="00097757" w:rsidRPr="00994B44" w:rsidTr="00E5228C">
        <w:tc>
          <w:tcPr>
            <w:tcW w:w="4077" w:type="dxa"/>
          </w:tcPr>
          <w:p w:rsidR="00097757" w:rsidRPr="00994B44" w:rsidRDefault="00097757" w:rsidP="00E5228C">
            <w:pPr>
              <w:autoSpaceDE w:val="0"/>
              <w:autoSpaceDN w:val="0"/>
              <w:adjustRightInd w:val="0"/>
              <w:jc w:val="center"/>
              <w:rPr>
                <w:bCs/>
              </w:rPr>
            </w:pPr>
            <w:r w:rsidRPr="00994B44">
              <w:rPr>
                <w:bCs/>
              </w:rPr>
              <w:t>RS</w:t>
            </w:r>
          </w:p>
        </w:tc>
        <w:tc>
          <w:tcPr>
            <w:tcW w:w="2543" w:type="dxa"/>
          </w:tcPr>
          <w:p w:rsidR="00097757" w:rsidRPr="00994B44" w:rsidRDefault="00097757" w:rsidP="00E5228C">
            <w:pPr>
              <w:autoSpaceDE w:val="0"/>
              <w:autoSpaceDN w:val="0"/>
              <w:adjustRightInd w:val="0"/>
              <w:jc w:val="right"/>
              <w:rPr>
                <w:bCs/>
              </w:rPr>
            </w:pPr>
            <w:r w:rsidRPr="00994B44">
              <w:rPr>
                <w:bCs/>
              </w:rPr>
              <w:t>(0.00018)</w:t>
            </w:r>
          </w:p>
        </w:tc>
        <w:tc>
          <w:tcPr>
            <w:tcW w:w="2730" w:type="dxa"/>
            <w:vMerge w:val="restart"/>
            <w:vAlign w:val="center"/>
          </w:tcPr>
          <w:p w:rsidR="00097757" w:rsidRPr="00994B44" w:rsidRDefault="00097757" w:rsidP="00E5228C">
            <w:pPr>
              <w:autoSpaceDE w:val="0"/>
              <w:autoSpaceDN w:val="0"/>
              <w:adjustRightInd w:val="0"/>
              <w:jc w:val="right"/>
              <w:rPr>
                <w:bCs/>
              </w:rPr>
            </w:pPr>
            <w:r w:rsidRPr="00994B44">
              <w:rPr>
                <w:bCs/>
              </w:rPr>
              <w:t>-</w:t>
            </w:r>
          </w:p>
        </w:tc>
      </w:tr>
      <w:tr w:rsidR="00097757" w:rsidRPr="00994B44" w:rsidTr="00E5228C">
        <w:tc>
          <w:tcPr>
            <w:tcW w:w="4077" w:type="dxa"/>
          </w:tcPr>
          <w:p w:rsidR="00097757" w:rsidRPr="00994B44" w:rsidRDefault="00097757" w:rsidP="00E5228C">
            <w:pPr>
              <w:autoSpaceDE w:val="0"/>
              <w:autoSpaceDN w:val="0"/>
              <w:adjustRightInd w:val="0"/>
              <w:jc w:val="center"/>
              <w:rPr>
                <w:bCs/>
              </w:rPr>
            </w:pPr>
            <w:r w:rsidRPr="00994B44">
              <w:rPr>
                <w:bCs/>
              </w:rPr>
              <w:t>GS and CS</w:t>
            </w:r>
          </w:p>
        </w:tc>
        <w:tc>
          <w:tcPr>
            <w:tcW w:w="2543" w:type="dxa"/>
          </w:tcPr>
          <w:p w:rsidR="00097757" w:rsidRPr="00994B44" w:rsidRDefault="00097757" w:rsidP="00E5228C">
            <w:pPr>
              <w:autoSpaceDE w:val="0"/>
              <w:autoSpaceDN w:val="0"/>
              <w:adjustRightInd w:val="0"/>
              <w:jc w:val="right"/>
              <w:rPr>
                <w:bCs/>
              </w:rPr>
            </w:pPr>
            <w:r w:rsidRPr="00994B44">
              <w:rPr>
                <w:bCs/>
              </w:rPr>
              <w:t>(0.00017)</w:t>
            </w:r>
          </w:p>
        </w:tc>
        <w:tc>
          <w:tcPr>
            <w:tcW w:w="2730" w:type="dxa"/>
            <w:vMerge/>
          </w:tcPr>
          <w:p w:rsidR="00097757" w:rsidRPr="00994B44" w:rsidRDefault="00097757" w:rsidP="00E5228C">
            <w:pPr>
              <w:autoSpaceDE w:val="0"/>
              <w:autoSpaceDN w:val="0"/>
              <w:adjustRightInd w:val="0"/>
              <w:jc w:val="right"/>
              <w:rPr>
                <w:bCs/>
              </w:rPr>
            </w:pPr>
          </w:p>
        </w:tc>
      </w:tr>
      <w:tr w:rsidR="00097757" w:rsidRPr="00994B44" w:rsidTr="00E5228C">
        <w:tc>
          <w:tcPr>
            <w:tcW w:w="6620" w:type="dxa"/>
            <w:gridSpan w:val="2"/>
          </w:tcPr>
          <w:p w:rsidR="00097757" w:rsidRPr="00994B44" w:rsidRDefault="00097757" w:rsidP="00E5228C">
            <w:pPr>
              <w:autoSpaceDE w:val="0"/>
              <w:autoSpaceDN w:val="0"/>
              <w:adjustRightInd w:val="0"/>
              <w:rPr>
                <w:bCs/>
              </w:rPr>
            </w:pPr>
            <w:r w:rsidRPr="00994B44">
              <w:rPr>
                <w:bCs/>
              </w:rPr>
              <w:t>GSD, RSD</w:t>
            </w:r>
          </w:p>
        </w:tc>
        <w:tc>
          <w:tcPr>
            <w:tcW w:w="2730" w:type="dxa"/>
          </w:tcPr>
          <w:p w:rsidR="00097757" w:rsidRPr="00994B44" w:rsidRDefault="00097757" w:rsidP="00E5228C">
            <w:pPr>
              <w:autoSpaceDE w:val="0"/>
              <w:autoSpaceDN w:val="0"/>
              <w:adjustRightInd w:val="0"/>
              <w:jc w:val="right"/>
              <w:rPr>
                <w:bCs/>
              </w:rPr>
            </w:pPr>
          </w:p>
        </w:tc>
      </w:tr>
      <w:tr w:rsidR="00097757" w:rsidRPr="00994B44" w:rsidTr="00E5228C">
        <w:tc>
          <w:tcPr>
            <w:tcW w:w="4077" w:type="dxa"/>
          </w:tcPr>
          <w:p w:rsidR="00097757" w:rsidRPr="00994B44" w:rsidRDefault="00097757" w:rsidP="00E5228C">
            <w:pPr>
              <w:autoSpaceDE w:val="0"/>
              <w:autoSpaceDN w:val="0"/>
              <w:adjustRightInd w:val="0"/>
              <w:jc w:val="center"/>
              <w:rPr>
                <w:bCs/>
              </w:rPr>
            </w:pPr>
            <w:r w:rsidRPr="00994B44">
              <w:rPr>
                <w:bCs/>
              </w:rPr>
              <w:t>Secondary</w:t>
            </w:r>
          </w:p>
        </w:tc>
        <w:tc>
          <w:tcPr>
            <w:tcW w:w="2543" w:type="dxa"/>
            <w:vMerge w:val="restart"/>
            <w:vAlign w:val="center"/>
          </w:tcPr>
          <w:p w:rsidR="00097757" w:rsidRPr="00994B44" w:rsidRDefault="00097757" w:rsidP="00E5228C">
            <w:pPr>
              <w:autoSpaceDE w:val="0"/>
              <w:autoSpaceDN w:val="0"/>
              <w:adjustRightInd w:val="0"/>
              <w:jc w:val="right"/>
              <w:rPr>
                <w:bCs/>
              </w:rPr>
            </w:pPr>
            <w:r w:rsidRPr="00994B44">
              <w:rPr>
                <w:bCs/>
              </w:rPr>
              <w:t>-</w:t>
            </w:r>
          </w:p>
        </w:tc>
        <w:tc>
          <w:tcPr>
            <w:tcW w:w="2730" w:type="dxa"/>
          </w:tcPr>
          <w:p w:rsidR="00097757" w:rsidRPr="00994B44" w:rsidRDefault="00097757" w:rsidP="00E5228C">
            <w:pPr>
              <w:autoSpaceDE w:val="0"/>
              <w:autoSpaceDN w:val="0"/>
              <w:adjustRightInd w:val="0"/>
              <w:jc w:val="right"/>
              <w:rPr>
                <w:bCs/>
              </w:rPr>
            </w:pPr>
            <w:r w:rsidRPr="00994B44">
              <w:rPr>
                <w:bCs/>
              </w:rPr>
              <w:t>(0.06)</w:t>
            </w:r>
          </w:p>
        </w:tc>
      </w:tr>
      <w:tr w:rsidR="00097757" w:rsidRPr="00994B44" w:rsidTr="00E5228C">
        <w:tc>
          <w:tcPr>
            <w:tcW w:w="4077" w:type="dxa"/>
          </w:tcPr>
          <w:p w:rsidR="00097757" w:rsidRPr="00994B44" w:rsidRDefault="00097757" w:rsidP="00E5228C">
            <w:pPr>
              <w:autoSpaceDE w:val="0"/>
              <w:autoSpaceDN w:val="0"/>
              <w:adjustRightInd w:val="0"/>
              <w:jc w:val="center"/>
              <w:rPr>
                <w:bCs/>
              </w:rPr>
            </w:pPr>
            <w:r w:rsidRPr="00994B44">
              <w:rPr>
                <w:bCs/>
              </w:rPr>
              <w:t>Primary</w:t>
            </w:r>
          </w:p>
        </w:tc>
        <w:tc>
          <w:tcPr>
            <w:tcW w:w="2543" w:type="dxa"/>
            <w:vMerge/>
          </w:tcPr>
          <w:p w:rsidR="00097757" w:rsidRPr="00994B44" w:rsidRDefault="00097757" w:rsidP="00E5228C">
            <w:pPr>
              <w:autoSpaceDE w:val="0"/>
              <w:autoSpaceDN w:val="0"/>
              <w:adjustRightInd w:val="0"/>
              <w:jc w:val="center"/>
              <w:rPr>
                <w:bCs/>
              </w:rPr>
            </w:pPr>
          </w:p>
        </w:tc>
        <w:tc>
          <w:tcPr>
            <w:tcW w:w="2730" w:type="dxa"/>
          </w:tcPr>
          <w:p w:rsidR="00097757" w:rsidRPr="00994B44" w:rsidRDefault="00097757" w:rsidP="00E5228C">
            <w:pPr>
              <w:jc w:val="right"/>
            </w:pPr>
            <w:r w:rsidRPr="00994B44">
              <w:rPr>
                <w:bCs/>
              </w:rPr>
              <w:t>(0.06)</w:t>
            </w:r>
          </w:p>
        </w:tc>
      </w:tr>
      <w:tr w:rsidR="00097757" w:rsidRPr="00994B44" w:rsidTr="00E5228C">
        <w:tc>
          <w:tcPr>
            <w:tcW w:w="4077" w:type="dxa"/>
          </w:tcPr>
          <w:p w:rsidR="00097757" w:rsidRPr="00994B44" w:rsidRDefault="00097757" w:rsidP="00E5228C">
            <w:pPr>
              <w:autoSpaceDE w:val="0"/>
              <w:autoSpaceDN w:val="0"/>
              <w:adjustRightInd w:val="0"/>
              <w:jc w:val="center"/>
              <w:rPr>
                <w:bCs/>
              </w:rPr>
            </w:pPr>
            <w:r w:rsidRPr="00994B44">
              <w:rPr>
                <w:bCs/>
              </w:rPr>
              <w:t>Transmission</w:t>
            </w:r>
          </w:p>
        </w:tc>
        <w:tc>
          <w:tcPr>
            <w:tcW w:w="2543" w:type="dxa"/>
            <w:vMerge/>
          </w:tcPr>
          <w:p w:rsidR="00097757" w:rsidRPr="00994B44" w:rsidRDefault="00097757" w:rsidP="00E5228C">
            <w:pPr>
              <w:autoSpaceDE w:val="0"/>
              <w:autoSpaceDN w:val="0"/>
              <w:adjustRightInd w:val="0"/>
              <w:jc w:val="center"/>
              <w:rPr>
                <w:bCs/>
              </w:rPr>
            </w:pPr>
          </w:p>
        </w:tc>
        <w:tc>
          <w:tcPr>
            <w:tcW w:w="2730" w:type="dxa"/>
          </w:tcPr>
          <w:p w:rsidR="00097757" w:rsidRPr="00994B44" w:rsidRDefault="00097757" w:rsidP="00E5228C">
            <w:pPr>
              <w:jc w:val="right"/>
            </w:pPr>
            <w:r w:rsidRPr="00994B44">
              <w:rPr>
                <w:bCs/>
              </w:rPr>
              <w:t>(0.06)</w:t>
            </w:r>
          </w:p>
        </w:tc>
      </w:tr>
      <w:tr w:rsidR="00097757" w:rsidRPr="00994B44" w:rsidTr="00E5228C">
        <w:tc>
          <w:tcPr>
            <w:tcW w:w="6620" w:type="dxa"/>
            <w:gridSpan w:val="2"/>
          </w:tcPr>
          <w:p w:rsidR="00097757" w:rsidRPr="00994B44" w:rsidRDefault="00097757" w:rsidP="00E5228C">
            <w:pPr>
              <w:tabs>
                <w:tab w:val="left" w:pos="312"/>
                <w:tab w:val="center" w:pos="3197"/>
              </w:tabs>
              <w:autoSpaceDE w:val="0"/>
              <w:autoSpaceDN w:val="0"/>
              <w:adjustRightInd w:val="0"/>
              <w:rPr>
                <w:bCs/>
              </w:rPr>
            </w:pPr>
            <w:r w:rsidRPr="00994B44">
              <w:rPr>
                <w:bCs/>
              </w:rPr>
              <w:t>GSD Optional</w:t>
            </w:r>
          </w:p>
        </w:tc>
        <w:tc>
          <w:tcPr>
            <w:tcW w:w="2730" w:type="dxa"/>
          </w:tcPr>
          <w:p w:rsidR="00097757" w:rsidRPr="00994B44" w:rsidRDefault="00097757" w:rsidP="00E5228C">
            <w:pPr>
              <w:autoSpaceDE w:val="0"/>
              <w:autoSpaceDN w:val="0"/>
              <w:adjustRightInd w:val="0"/>
              <w:jc w:val="right"/>
              <w:rPr>
                <w:bCs/>
              </w:rPr>
            </w:pPr>
          </w:p>
        </w:tc>
      </w:tr>
      <w:tr w:rsidR="00097757" w:rsidRPr="00994B44" w:rsidTr="00E5228C">
        <w:tc>
          <w:tcPr>
            <w:tcW w:w="4077" w:type="dxa"/>
          </w:tcPr>
          <w:p w:rsidR="00097757" w:rsidRPr="00994B44" w:rsidRDefault="00097757" w:rsidP="00E5228C">
            <w:pPr>
              <w:autoSpaceDE w:val="0"/>
              <w:autoSpaceDN w:val="0"/>
              <w:adjustRightInd w:val="0"/>
              <w:jc w:val="center"/>
              <w:rPr>
                <w:bCs/>
              </w:rPr>
            </w:pPr>
            <w:r w:rsidRPr="00994B44">
              <w:rPr>
                <w:bCs/>
              </w:rPr>
              <w:t>Secondary</w:t>
            </w:r>
          </w:p>
        </w:tc>
        <w:tc>
          <w:tcPr>
            <w:tcW w:w="2543" w:type="dxa"/>
          </w:tcPr>
          <w:p w:rsidR="00097757" w:rsidRPr="00994B44" w:rsidRDefault="00097757" w:rsidP="00E5228C">
            <w:pPr>
              <w:autoSpaceDE w:val="0"/>
              <w:autoSpaceDN w:val="0"/>
              <w:adjustRightInd w:val="0"/>
              <w:jc w:val="right"/>
              <w:rPr>
                <w:bCs/>
              </w:rPr>
            </w:pPr>
            <w:r w:rsidRPr="00994B44">
              <w:rPr>
                <w:bCs/>
              </w:rPr>
              <w:t>(0.00014)</w:t>
            </w:r>
          </w:p>
        </w:tc>
        <w:tc>
          <w:tcPr>
            <w:tcW w:w="2730" w:type="dxa"/>
            <w:vMerge w:val="restart"/>
            <w:vAlign w:val="center"/>
          </w:tcPr>
          <w:p w:rsidR="00097757" w:rsidRPr="00994B44" w:rsidRDefault="00097757" w:rsidP="00E5228C">
            <w:pPr>
              <w:autoSpaceDE w:val="0"/>
              <w:autoSpaceDN w:val="0"/>
              <w:adjustRightInd w:val="0"/>
              <w:jc w:val="right"/>
              <w:rPr>
                <w:bCs/>
              </w:rPr>
            </w:pPr>
            <w:r w:rsidRPr="00994B44">
              <w:rPr>
                <w:bCs/>
              </w:rPr>
              <w:t>-</w:t>
            </w:r>
          </w:p>
        </w:tc>
      </w:tr>
      <w:tr w:rsidR="00097757" w:rsidRPr="00994B44" w:rsidTr="00E5228C">
        <w:tc>
          <w:tcPr>
            <w:tcW w:w="4077" w:type="dxa"/>
          </w:tcPr>
          <w:p w:rsidR="00097757" w:rsidRPr="00994B44" w:rsidRDefault="00097757" w:rsidP="00E5228C">
            <w:pPr>
              <w:autoSpaceDE w:val="0"/>
              <w:autoSpaceDN w:val="0"/>
              <w:adjustRightInd w:val="0"/>
              <w:jc w:val="center"/>
              <w:rPr>
                <w:bCs/>
              </w:rPr>
            </w:pPr>
            <w:r w:rsidRPr="00994B44">
              <w:rPr>
                <w:bCs/>
              </w:rPr>
              <w:t>Primary</w:t>
            </w:r>
          </w:p>
        </w:tc>
        <w:tc>
          <w:tcPr>
            <w:tcW w:w="2543" w:type="dxa"/>
          </w:tcPr>
          <w:p w:rsidR="00097757" w:rsidRPr="00994B44" w:rsidRDefault="00097757" w:rsidP="00E5228C">
            <w:pPr>
              <w:jc w:val="right"/>
            </w:pPr>
            <w:r w:rsidRPr="00994B44">
              <w:rPr>
                <w:bCs/>
              </w:rPr>
              <w:t>(0.00014)</w:t>
            </w:r>
          </w:p>
        </w:tc>
        <w:tc>
          <w:tcPr>
            <w:tcW w:w="2730" w:type="dxa"/>
            <w:vMerge/>
          </w:tcPr>
          <w:p w:rsidR="00097757" w:rsidRPr="00994B44" w:rsidRDefault="00097757" w:rsidP="00E5228C">
            <w:pPr>
              <w:autoSpaceDE w:val="0"/>
              <w:autoSpaceDN w:val="0"/>
              <w:adjustRightInd w:val="0"/>
              <w:jc w:val="right"/>
              <w:rPr>
                <w:bCs/>
              </w:rPr>
            </w:pPr>
          </w:p>
        </w:tc>
      </w:tr>
      <w:tr w:rsidR="00097757" w:rsidRPr="00994B44" w:rsidTr="00E5228C">
        <w:tc>
          <w:tcPr>
            <w:tcW w:w="4077" w:type="dxa"/>
          </w:tcPr>
          <w:p w:rsidR="00097757" w:rsidRPr="00994B44" w:rsidRDefault="00097757" w:rsidP="00E5228C">
            <w:pPr>
              <w:autoSpaceDE w:val="0"/>
              <w:autoSpaceDN w:val="0"/>
              <w:adjustRightInd w:val="0"/>
              <w:jc w:val="center"/>
              <w:rPr>
                <w:bCs/>
              </w:rPr>
            </w:pPr>
            <w:r w:rsidRPr="00994B44">
              <w:rPr>
                <w:bCs/>
              </w:rPr>
              <w:t>Transmission</w:t>
            </w:r>
          </w:p>
        </w:tc>
        <w:tc>
          <w:tcPr>
            <w:tcW w:w="2543" w:type="dxa"/>
          </w:tcPr>
          <w:p w:rsidR="00097757" w:rsidRPr="00994B44" w:rsidRDefault="00097757" w:rsidP="00E5228C">
            <w:pPr>
              <w:jc w:val="right"/>
            </w:pPr>
            <w:r w:rsidRPr="00994B44">
              <w:rPr>
                <w:bCs/>
              </w:rPr>
              <w:t>(0.00014)</w:t>
            </w:r>
          </w:p>
        </w:tc>
        <w:tc>
          <w:tcPr>
            <w:tcW w:w="2730" w:type="dxa"/>
            <w:tcBorders>
              <w:bottom w:val="single" w:sz="4" w:space="0" w:color="auto"/>
            </w:tcBorders>
          </w:tcPr>
          <w:p w:rsidR="00097757" w:rsidRPr="00994B44" w:rsidRDefault="00097757" w:rsidP="00E5228C">
            <w:pPr>
              <w:autoSpaceDE w:val="0"/>
              <w:autoSpaceDN w:val="0"/>
              <w:adjustRightInd w:val="0"/>
              <w:jc w:val="right"/>
              <w:rPr>
                <w:bCs/>
              </w:rPr>
            </w:pPr>
          </w:p>
        </w:tc>
      </w:tr>
      <w:tr w:rsidR="00097757" w:rsidRPr="00994B44" w:rsidTr="00E5228C">
        <w:tc>
          <w:tcPr>
            <w:tcW w:w="4077" w:type="dxa"/>
          </w:tcPr>
          <w:p w:rsidR="00097757" w:rsidRPr="00994B44" w:rsidRDefault="00097757" w:rsidP="00E5228C">
            <w:pPr>
              <w:autoSpaceDE w:val="0"/>
              <w:autoSpaceDN w:val="0"/>
              <w:adjustRightInd w:val="0"/>
              <w:rPr>
                <w:bCs/>
              </w:rPr>
            </w:pPr>
            <w:r w:rsidRPr="00994B44">
              <w:rPr>
                <w:bCs/>
              </w:rPr>
              <w:t>GSLDPR/GSLDTPR/SBLDPR/SBLDTPR</w:t>
            </w:r>
          </w:p>
        </w:tc>
        <w:tc>
          <w:tcPr>
            <w:tcW w:w="2543" w:type="dxa"/>
            <w:vMerge w:val="restart"/>
            <w:vAlign w:val="center"/>
          </w:tcPr>
          <w:p w:rsidR="00097757" w:rsidRPr="00994B44" w:rsidRDefault="00097757" w:rsidP="00E5228C">
            <w:pPr>
              <w:autoSpaceDE w:val="0"/>
              <w:autoSpaceDN w:val="0"/>
              <w:adjustRightInd w:val="0"/>
              <w:jc w:val="right"/>
              <w:rPr>
                <w:bCs/>
              </w:rPr>
            </w:pPr>
            <w:r w:rsidRPr="00994B44">
              <w:rPr>
                <w:bCs/>
              </w:rPr>
              <w:t>-</w:t>
            </w:r>
          </w:p>
        </w:tc>
        <w:tc>
          <w:tcPr>
            <w:tcW w:w="2730" w:type="dxa"/>
          </w:tcPr>
          <w:p w:rsidR="00097757" w:rsidRPr="00994B44" w:rsidRDefault="00097757" w:rsidP="00E5228C">
            <w:pPr>
              <w:autoSpaceDE w:val="0"/>
              <w:autoSpaceDN w:val="0"/>
              <w:adjustRightInd w:val="0"/>
              <w:jc w:val="right"/>
              <w:rPr>
                <w:bCs/>
              </w:rPr>
            </w:pPr>
            <w:r w:rsidRPr="00994B44">
              <w:rPr>
                <w:bCs/>
              </w:rPr>
              <w:t>(0.05)</w:t>
            </w:r>
          </w:p>
        </w:tc>
      </w:tr>
      <w:tr w:rsidR="00097757" w:rsidRPr="00994B44" w:rsidTr="00E5228C">
        <w:tc>
          <w:tcPr>
            <w:tcW w:w="4077" w:type="dxa"/>
          </w:tcPr>
          <w:p w:rsidR="00097757" w:rsidRPr="00994B44" w:rsidRDefault="00097757" w:rsidP="00E5228C">
            <w:pPr>
              <w:autoSpaceDE w:val="0"/>
              <w:autoSpaceDN w:val="0"/>
              <w:adjustRightInd w:val="0"/>
              <w:rPr>
                <w:bCs/>
              </w:rPr>
            </w:pPr>
            <w:r w:rsidRPr="00994B44">
              <w:rPr>
                <w:bCs/>
              </w:rPr>
              <w:t>GSLDSU/GSLDTSU/SBLDSU/SBLDTSU</w:t>
            </w:r>
          </w:p>
        </w:tc>
        <w:tc>
          <w:tcPr>
            <w:tcW w:w="2543" w:type="dxa"/>
            <w:vMerge/>
          </w:tcPr>
          <w:p w:rsidR="00097757" w:rsidRPr="00994B44" w:rsidRDefault="00097757" w:rsidP="00E5228C">
            <w:pPr>
              <w:autoSpaceDE w:val="0"/>
              <w:autoSpaceDN w:val="0"/>
              <w:adjustRightInd w:val="0"/>
              <w:jc w:val="center"/>
              <w:rPr>
                <w:bCs/>
              </w:rPr>
            </w:pPr>
          </w:p>
        </w:tc>
        <w:tc>
          <w:tcPr>
            <w:tcW w:w="2730" w:type="dxa"/>
          </w:tcPr>
          <w:p w:rsidR="00097757" w:rsidRPr="00994B44" w:rsidRDefault="00097757" w:rsidP="00E5228C">
            <w:pPr>
              <w:autoSpaceDE w:val="0"/>
              <w:autoSpaceDN w:val="0"/>
              <w:adjustRightInd w:val="0"/>
              <w:jc w:val="right"/>
              <w:rPr>
                <w:bCs/>
              </w:rPr>
            </w:pPr>
            <w:r w:rsidRPr="00994B44">
              <w:rPr>
                <w:bCs/>
              </w:rPr>
              <w:t>(0.04)</w:t>
            </w:r>
          </w:p>
        </w:tc>
      </w:tr>
      <w:tr w:rsidR="00097757" w:rsidRPr="00994B44" w:rsidTr="00E5228C">
        <w:tc>
          <w:tcPr>
            <w:tcW w:w="4077" w:type="dxa"/>
          </w:tcPr>
          <w:p w:rsidR="00097757" w:rsidRPr="00994B44" w:rsidRDefault="00097757" w:rsidP="00E5228C">
            <w:pPr>
              <w:autoSpaceDE w:val="0"/>
              <w:autoSpaceDN w:val="0"/>
              <w:adjustRightInd w:val="0"/>
              <w:rPr>
                <w:bCs/>
              </w:rPr>
            </w:pPr>
            <w:r w:rsidRPr="00994B44">
              <w:rPr>
                <w:bCs/>
              </w:rPr>
              <w:t>LS-1</w:t>
            </w:r>
          </w:p>
        </w:tc>
        <w:tc>
          <w:tcPr>
            <w:tcW w:w="2543" w:type="dxa"/>
          </w:tcPr>
          <w:p w:rsidR="00097757" w:rsidRPr="00994B44" w:rsidRDefault="00097757" w:rsidP="00E5228C">
            <w:pPr>
              <w:autoSpaceDE w:val="0"/>
              <w:autoSpaceDN w:val="0"/>
              <w:adjustRightInd w:val="0"/>
              <w:jc w:val="right"/>
              <w:rPr>
                <w:bCs/>
              </w:rPr>
            </w:pPr>
            <w:r w:rsidRPr="00994B44">
              <w:rPr>
                <w:bCs/>
              </w:rPr>
              <w:t>(0.00003)</w:t>
            </w:r>
          </w:p>
        </w:tc>
        <w:tc>
          <w:tcPr>
            <w:tcW w:w="2730" w:type="dxa"/>
          </w:tcPr>
          <w:p w:rsidR="00097757" w:rsidRPr="00994B44" w:rsidRDefault="00097757" w:rsidP="00E5228C">
            <w:pPr>
              <w:autoSpaceDE w:val="0"/>
              <w:autoSpaceDN w:val="0"/>
              <w:adjustRightInd w:val="0"/>
              <w:jc w:val="right"/>
              <w:rPr>
                <w:bCs/>
              </w:rPr>
            </w:pPr>
            <w:r w:rsidRPr="00994B44">
              <w:rPr>
                <w:bCs/>
              </w:rPr>
              <w:t>-</w:t>
            </w:r>
          </w:p>
        </w:tc>
      </w:tr>
    </w:tbl>
    <w:p w:rsidR="00097757" w:rsidRDefault="00097757" w:rsidP="00097757">
      <w:r w:rsidRPr="00994B44">
        <w:rPr>
          <w:color w:val="FF0000"/>
          <w:sz w:val="22"/>
          <w:szCs w:val="22"/>
        </w:rPr>
        <w:t xml:space="preserve">   </w:t>
      </w:r>
      <w:r w:rsidRPr="00994B44">
        <w:rPr>
          <w:sz w:val="22"/>
          <w:szCs w:val="22"/>
        </w:rPr>
        <w:t>Source: Exhibit MAS-3, Document Number 1, Page 3 of 4.</w:t>
      </w:r>
    </w:p>
    <w:p w:rsidR="00097757" w:rsidRPr="00520C62" w:rsidRDefault="00097757" w:rsidP="00097757">
      <w:r w:rsidRPr="00520C62">
        <w:t xml:space="preserve">                             </w:t>
      </w:r>
    </w:p>
    <w:p w:rsidR="00097757" w:rsidRPr="00BF6EBB" w:rsidRDefault="00097757" w:rsidP="0009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bCs/>
          <w:caps/>
          <w:u w:val="single"/>
        </w:rPr>
      </w:pPr>
      <w:r w:rsidRPr="00734911">
        <w:rPr>
          <w:b/>
          <w:bCs/>
          <w:caps/>
        </w:rPr>
        <w:t>III.</w:t>
      </w:r>
      <w:r w:rsidRPr="00BF6EBB">
        <w:rPr>
          <w:b/>
          <w:bCs/>
          <w:caps/>
        </w:rPr>
        <w:tab/>
      </w:r>
      <w:r w:rsidRPr="00BF6EBB">
        <w:rPr>
          <w:b/>
          <w:bCs/>
          <w:caps/>
          <w:u w:val="single"/>
        </w:rPr>
        <w:t>Effective Date</w:t>
      </w:r>
    </w:p>
    <w:p w:rsidR="00097757" w:rsidRPr="00BF6EBB" w:rsidRDefault="00097757" w:rsidP="0009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caps/>
        </w:rPr>
      </w:pPr>
    </w:p>
    <w:p w:rsidR="00097757" w:rsidRPr="00BF6EBB" w:rsidRDefault="00097757" w:rsidP="00097757">
      <w:pPr>
        <w:autoSpaceDE w:val="0"/>
        <w:autoSpaceDN w:val="0"/>
        <w:adjustRightInd w:val="0"/>
        <w:ind w:left="1440" w:hanging="1440"/>
      </w:pPr>
      <w:r w:rsidRPr="00BF6EBB">
        <w:rPr>
          <w:b/>
          <w:bCs/>
          <w:u w:val="single"/>
        </w:rPr>
        <w:t>ISSUE 3</w:t>
      </w:r>
      <w:r>
        <w:rPr>
          <w:b/>
          <w:bCs/>
          <w:u w:val="single"/>
        </w:rPr>
        <w:t>1</w:t>
      </w:r>
      <w:r w:rsidRPr="00BF6EBB">
        <w:t>:</w:t>
      </w:r>
      <w:r w:rsidRPr="00BF6EBB">
        <w:tab/>
        <w:t xml:space="preserve">What should be the effective date of the fuel adjustment factors and capacity cost recovery factors for billing purposes?                                                                </w:t>
      </w:r>
    </w:p>
    <w:p w:rsidR="00097757" w:rsidRDefault="00097757" w:rsidP="00097757"/>
    <w:p w:rsidR="00097757" w:rsidRDefault="00097757" w:rsidP="00097757">
      <w:pPr>
        <w:ind w:left="1440" w:hanging="1440"/>
        <w:rPr>
          <w:b/>
        </w:rPr>
      </w:pPr>
      <w:r>
        <w:rPr>
          <w:b/>
        </w:rPr>
        <w:t>Stipulation:</w:t>
      </w:r>
      <w:r>
        <w:rPr>
          <w:b/>
        </w:rPr>
        <w:tab/>
      </w:r>
      <w:r w:rsidRPr="00AF5A8E">
        <w:t>The new factors</w:t>
      </w:r>
      <w:r>
        <w:t xml:space="preserve"> should be effective with the first billing cycle for January 2023 through the last billing cycle for December 2023.  The first billing cycle may start before January 1, 2023, and the last cycle may be read after December 31, 2023, so that each customer is billed for twelve months regardless of when the recovery factors became effective.  The new factors shall continue in effect until modified by the Commission.</w:t>
      </w:r>
    </w:p>
    <w:p w:rsidR="00097757" w:rsidRPr="002D0D64" w:rsidRDefault="00097757" w:rsidP="00097757">
      <w:pPr>
        <w:rPr>
          <w:b/>
        </w:rPr>
      </w:pPr>
    </w:p>
    <w:p w:rsidR="00097757" w:rsidRDefault="00097757" w:rsidP="00097757">
      <w:pPr>
        <w:autoSpaceDE w:val="0"/>
        <w:autoSpaceDN w:val="0"/>
        <w:adjustRightInd w:val="0"/>
        <w:ind w:left="1440" w:hanging="1440"/>
      </w:pPr>
      <w:r w:rsidRPr="00BF6EBB">
        <w:rPr>
          <w:b/>
          <w:u w:val="single"/>
        </w:rPr>
        <w:t>ISSUE 3</w:t>
      </w:r>
      <w:r>
        <w:rPr>
          <w:b/>
          <w:u w:val="single"/>
        </w:rPr>
        <w:t>2</w:t>
      </w:r>
      <w:r w:rsidRPr="00BF6EBB">
        <w:rPr>
          <w:b/>
          <w:u w:val="single"/>
        </w:rPr>
        <w:t>:</w:t>
      </w:r>
      <w:r w:rsidRPr="00BF6EBB">
        <w:rPr>
          <w:b/>
        </w:rPr>
        <w:tab/>
      </w:r>
      <w:r w:rsidRPr="00BF6EBB">
        <w:t xml:space="preserve">Should the Commission approve revised tariffs reflecting the fuel adjustment factors and capacity cost recovery factors determined to be appropriate in this proceeding? </w:t>
      </w:r>
    </w:p>
    <w:p w:rsidR="00097757" w:rsidRDefault="00097757" w:rsidP="00097757">
      <w:pPr>
        <w:autoSpaceDE w:val="0"/>
        <w:autoSpaceDN w:val="0"/>
        <w:adjustRightInd w:val="0"/>
        <w:ind w:left="1440" w:hanging="1440"/>
      </w:pPr>
    </w:p>
    <w:p w:rsidR="00097757" w:rsidRPr="00D35D4E" w:rsidRDefault="00097757" w:rsidP="00097757">
      <w:pPr>
        <w:autoSpaceDE w:val="0"/>
        <w:autoSpaceDN w:val="0"/>
        <w:adjustRightInd w:val="0"/>
        <w:ind w:left="1440" w:hanging="1440"/>
      </w:pPr>
      <w:r>
        <w:rPr>
          <w:b/>
        </w:rPr>
        <w:t>Stipulation:</w:t>
      </w:r>
      <w:r>
        <w:rPr>
          <w:b/>
        </w:rPr>
        <w:tab/>
      </w:r>
      <w:r>
        <w:t>Yes.  The Commission should approve revised tariffs reflecting the fuel adjustment factors and capacity cost recovery factors determined to be reasonable in this proceeding.  The Commission should direct staff to verify that the revised tariffs are consistent with the Commission decision.</w:t>
      </w:r>
    </w:p>
    <w:p w:rsidR="00097757" w:rsidRDefault="00097757" w:rsidP="00097757">
      <w:pPr>
        <w:rPr>
          <w:b/>
          <w:u w:val="single"/>
        </w:rPr>
      </w:pPr>
    </w:p>
    <w:p w:rsidR="00097757" w:rsidRDefault="00097757" w:rsidP="00097757">
      <w:pPr>
        <w:autoSpaceDE w:val="0"/>
        <w:autoSpaceDN w:val="0"/>
        <w:adjustRightInd w:val="0"/>
        <w:ind w:left="1440" w:hanging="1440"/>
      </w:pPr>
      <w:r>
        <w:rPr>
          <w:b/>
          <w:u w:val="single"/>
        </w:rPr>
        <w:t>ISSUE 33</w:t>
      </w:r>
      <w:r>
        <w:rPr>
          <w:b/>
        </w:rPr>
        <w:t>:</w:t>
      </w:r>
      <w:r>
        <w:rPr>
          <w:b/>
        </w:rPr>
        <w:tab/>
      </w:r>
      <w:r w:rsidRPr="00C8681D">
        <w:t>Should this docket be closed</w:t>
      </w:r>
    </w:p>
    <w:p w:rsidR="00097757" w:rsidRDefault="00097757" w:rsidP="00097757">
      <w:pPr>
        <w:autoSpaceDE w:val="0"/>
        <w:autoSpaceDN w:val="0"/>
        <w:adjustRightInd w:val="0"/>
        <w:ind w:left="1440" w:hanging="1440"/>
      </w:pPr>
    </w:p>
    <w:p w:rsidR="00097757" w:rsidRDefault="00097757" w:rsidP="00097757">
      <w:pPr>
        <w:autoSpaceDE w:val="0"/>
        <w:autoSpaceDN w:val="0"/>
        <w:adjustRightInd w:val="0"/>
        <w:ind w:left="1440" w:hanging="1440"/>
      </w:pPr>
      <w:r>
        <w:rPr>
          <w:b/>
        </w:rPr>
        <w:t>Stipulation:</w:t>
      </w:r>
      <w:r>
        <w:rPr>
          <w:b/>
        </w:rPr>
        <w:tab/>
      </w:r>
      <w:r>
        <w:t>No, this is a continuing docket and should remain open.</w:t>
      </w:r>
    </w:p>
    <w:sectPr w:rsidR="00097757">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706" w:rsidRDefault="00AE2706">
      <w:r>
        <w:separator/>
      </w:r>
    </w:p>
  </w:endnote>
  <w:endnote w:type="continuationSeparator" w:id="0">
    <w:p w:rsidR="00AE2706" w:rsidRDefault="00AE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706" w:rsidRDefault="00AE2706">
    <w:pPr>
      <w:pStyle w:val="Footer"/>
    </w:pPr>
  </w:p>
  <w:p w:rsidR="00AE2706" w:rsidRDefault="00AE2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706" w:rsidRDefault="00AE2706">
      <w:r>
        <w:separator/>
      </w:r>
    </w:p>
  </w:footnote>
  <w:footnote w:type="continuationSeparator" w:id="0">
    <w:p w:rsidR="00AE2706" w:rsidRDefault="00AE2706">
      <w:r>
        <w:continuationSeparator/>
      </w:r>
    </w:p>
  </w:footnote>
  <w:footnote w:id="1">
    <w:p w:rsidR="00AE2706" w:rsidRDefault="00AE2706" w:rsidP="00A76C91">
      <w:pPr>
        <w:pStyle w:val="FootnoteText"/>
      </w:pPr>
      <w:r>
        <w:rPr>
          <w:rStyle w:val="FootnoteReference"/>
        </w:rPr>
        <w:footnoteRef/>
      </w:r>
      <w:r>
        <w:t xml:space="preserve"> Order No. PSC-2022-0390-PHO-EI, issued November 14, 2022, in Docket No. 20220001-EI, </w:t>
      </w:r>
      <w:r>
        <w:rPr>
          <w:i/>
        </w:rPr>
        <w:t xml:space="preserve">In re: Fuel and purchased power cost recovery clause with generating performance incentive factor, </w:t>
      </w:r>
      <w:r>
        <w:t xml:space="preserve">at page 60. </w:t>
      </w:r>
    </w:p>
  </w:footnote>
  <w:footnote w:id="2">
    <w:p w:rsidR="00AE2706" w:rsidRPr="00A84E6B" w:rsidRDefault="00AE2706">
      <w:pPr>
        <w:pStyle w:val="FootnoteText"/>
        <w:rPr>
          <w:i/>
        </w:rPr>
      </w:pPr>
      <w:r>
        <w:rPr>
          <w:rStyle w:val="FootnoteReference"/>
        </w:rPr>
        <w:footnoteRef/>
      </w:r>
      <w:r>
        <w:t xml:space="preserve"> </w:t>
      </w:r>
      <w:r>
        <w:rPr>
          <w:i/>
        </w:rPr>
        <w:t xml:space="preserve">Chris Thompson, P.A. v. GEICO Indemnity Company, </w:t>
      </w:r>
      <w:r>
        <w:t>349 So. 3d 447, 448-9 (Fla. 4</w:t>
      </w:r>
      <w:r w:rsidRPr="00A84E6B">
        <w:rPr>
          <w:vertAlign w:val="superscript"/>
        </w:rPr>
        <w:t>th</w:t>
      </w:r>
      <w:r>
        <w:t xml:space="preserve"> DCA 2022).</w:t>
      </w:r>
      <w:r>
        <w:rPr>
          <w:i/>
        </w:rPr>
        <w:t xml:space="preserve"> </w:t>
      </w:r>
    </w:p>
  </w:footnote>
  <w:footnote w:id="3">
    <w:p w:rsidR="00AE2706" w:rsidRDefault="00AE2706">
      <w:pPr>
        <w:pStyle w:val="FootnoteText"/>
      </w:pPr>
      <w:r>
        <w:rPr>
          <w:rStyle w:val="FootnoteReference"/>
        </w:rPr>
        <w:footnoteRef/>
      </w:r>
      <w:r>
        <w:t xml:space="preserve"> Order No. PSC-2021-0425-FOF-EI, issued on November 16, 2021, in Docket No. 20210158-EI, </w:t>
      </w:r>
      <w:r>
        <w:rPr>
          <w:i/>
        </w:rPr>
        <w:t>In re: Limited proceeding to consider Duke Energy Florida, LLC’s unopposed motion to approve rate mitigation agreement.</w:t>
      </w:r>
      <w:r>
        <w:t xml:space="preserve"> </w:t>
      </w:r>
    </w:p>
  </w:footnote>
  <w:footnote w:id="4">
    <w:p w:rsidR="00AE2706" w:rsidRPr="00840EE1" w:rsidRDefault="00AE2706">
      <w:pPr>
        <w:pStyle w:val="FootnoteText"/>
        <w:rPr>
          <w:i/>
        </w:rPr>
      </w:pPr>
      <w:r>
        <w:rPr>
          <w:rStyle w:val="FootnoteReference"/>
        </w:rPr>
        <w:footnoteRef/>
      </w:r>
      <w:r>
        <w:t xml:space="preserve"> Order No. PSC-0061-PCO-EI, issued on February 17, 2022, in Docket No. 20220001-EI, </w:t>
      </w:r>
      <w:r w:rsidRPr="00840EE1">
        <w:rPr>
          <w:i/>
        </w:rPr>
        <w:t>In re: Fuel and purchased power cost recovery clause with generating performance incentive factor.</w:t>
      </w:r>
    </w:p>
  </w:footnote>
  <w:footnote w:id="5">
    <w:p w:rsidR="00AE2706" w:rsidRDefault="00AE2706">
      <w:pPr>
        <w:pStyle w:val="FootnoteText"/>
      </w:pPr>
      <w:r>
        <w:rPr>
          <w:rStyle w:val="FootnoteReference"/>
        </w:rPr>
        <w:footnoteRef/>
      </w:r>
      <w:r>
        <w:t xml:space="preserve"> Order No. PSC-2022-0052-PCO-EI, issued February 7, 2022, in Docket No. 20220001-EI, </w:t>
      </w:r>
      <w:r w:rsidRPr="00840EE1">
        <w:rPr>
          <w:i/>
        </w:rPr>
        <w:t>In re: Fuel and purchased power cost recovery clause with generating performance incentive factor.</w:t>
      </w:r>
    </w:p>
  </w:footnote>
  <w:footnote w:id="6">
    <w:p w:rsidR="00AE2706" w:rsidRDefault="00AE2706">
      <w:pPr>
        <w:pStyle w:val="FootnoteText"/>
      </w:pPr>
      <w:r>
        <w:rPr>
          <w:rStyle w:val="FootnoteReference"/>
        </w:rPr>
        <w:footnoteRef/>
      </w:r>
      <w:r>
        <w:t xml:space="preserve"> DEF – Letter dated March 29, 2022, Document No. 021134-2022; FPL – Letter dated April 15, 2022, Document No. 02477-2022; TECO – Letter dated April 21, 2022, Document No. 02571-2022.</w:t>
      </w:r>
    </w:p>
  </w:footnote>
  <w:footnote w:id="7">
    <w:p w:rsidR="00AE2706" w:rsidRPr="00150D65" w:rsidRDefault="00AE2706" w:rsidP="007F7003">
      <w:pPr>
        <w:pStyle w:val="FootnoteText"/>
        <w:rPr>
          <w:i/>
        </w:rPr>
      </w:pPr>
      <w:r>
        <w:rPr>
          <w:rStyle w:val="FootnoteReference"/>
        </w:rPr>
        <w:footnoteRef/>
      </w:r>
      <w:r>
        <w:t>Order No. PSC-2022-0052-PCO-EI, issued February 7, 2022, in Docket No. 20220001-EI,</w:t>
      </w:r>
      <w:r w:rsidRPr="00150D65">
        <w:rPr>
          <w:i/>
        </w:rPr>
        <w:t xml:space="preserve"> In </w:t>
      </w:r>
      <w:r>
        <w:rPr>
          <w:i/>
        </w:rPr>
        <w:t>re: Fuel and purchased power cost recovery clause with generating performance incentive factor.</w:t>
      </w:r>
    </w:p>
  </w:footnote>
  <w:footnote w:id="8">
    <w:p w:rsidR="00AE2706" w:rsidRPr="00B50475" w:rsidRDefault="00AE2706" w:rsidP="007F7003">
      <w:pPr>
        <w:pStyle w:val="FootnoteText"/>
      </w:pPr>
      <w:r>
        <w:rPr>
          <w:rStyle w:val="FootnoteReference"/>
        </w:rPr>
        <w:footnoteRef/>
      </w:r>
      <w:r>
        <w:t xml:space="preserve"> </w:t>
      </w:r>
      <w:r>
        <w:rPr>
          <w:i/>
        </w:rPr>
        <w:t xml:space="preserve">Id. </w:t>
      </w:r>
      <w:r>
        <w:t>at pp. 10-11.</w:t>
      </w:r>
    </w:p>
  </w:footnote>
  <w:footnote w:id="9">
    <w:p w:rsidR="00AE2706" w:rsidRDefault="00AE2706" w:rsidP="00097757">
      <w:pPr>
        <w:pStyle w:val="FootnoteText"/>
      </w:pPr>
      <w:r>
        <w:rPr>
          <w:rStyle w:val="FootnoteReference"/>
        </w:rPr>
        <w:footnoteRef/>
      </w:r>
      <w:r>
        <w:t xml:space="preserve"> A Type 2 stipulation occurs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 </w:t>
      </w:r>
    </w:p>
    <w:p w:rsidR="00AE2706" w:rsidRDefault="00AE2706" w:rsidP="00097757">
      <w:pPr>
        <w:pStyle w:val="FootnoteText"/>
      </w:pPr>
    </w:p>
  </w:footnote>
  <w:footnote w:id="10">
    <w:p w:rsidR="00AE2706" w:rsidRPr="008D4991" w:rsidRDefault="00AE2706" w:rsidP="00097757">
      <w:pPr>
        <w:rPr>
          <w:sz w:val="20"/>
          <w:szCs w:val="20"/>
        </w:rPr>
      </w:pPr>
      <w:r>
        <w:rPr>
          <w:rStyle w:val="FootnoteReference"/>
        </w:rPr>
        <w:footnoteRef/>
      </w:r>
      <w:r>
        <w:t xml:space="preserve"> </w:t>
      </w:r>
      <w:r w:rsidRPr="008D4991">
        <w:rPr>
          <w:sz w:val="20"/>
          <w:szCs w:val="20"/>
        </w:rPr>
        <w:t xml:space="preserve">The OPC position </w:t>
      </w:r>
      <w:r>
        <w:rPr>
          <w:sz w:val="20"/>
          <w:szCs w:val="20"/>
        </w:rPr>
        <w:t xml:space="preserve">and the FRF position </w:t>
      </w:r>
      <w:r w:rsidRPr="008D4991">
        <w:rPr>
          <w:sz w:val="20"/>
          <w:szCs w:val="20"/>
        </w:rPr>
        <w:t xml:space="preserve">on each Type 2 stipulation stated </w:t>
      </w:r>
      <w:r>
        <w:rPr>
          <w:sz w:val="20"/>
          <w:szCs w:val="20"/>
        </w:rPr>
        <w:t xml:space="preserve">herein </w:t>
      </w:r>
      <w:r w:rsidRPr="008D4991">
        <w:rPr>
          <w:sz w:val="20"/>
          <w:szCs w:val="20"/>
        </w:rPr>
        <w:t>is as follows:</w:t>
      </w:r>
    </w:p>
    <w:p w:rsidR="00AE2706" w:rsidRDefault="00AE2706" w:rsidP="00097757">
      <w:pPr>
        <w:pStyle w:val="FootnoteText"/>
      </w:pPr>
      <w:r>
        <w:tab/>
      </w:r>
      <w:r w:rsidRPr="008D4991">
        <w:t xml:space="preserve">OPC </w:t>
      </w:r>
      <w:r>
        <w:t xml:space="preserve">and FRF </w:t>
      </w:r>
      <w:r w:rsidRPr="008D4991">
        <w:t>take no position on these issues nor do</w:t>
      </w:r>
      <w:r>
        <w:t xml:space="preserve"> they</w:t>
      </w:r>
      <w:r w:rsidRPr="008D4991">
        <w:t xml:space="preserve"> have the burden of proof related</w:t>
      </w:r>
      <w:r>
        <w:t xml:space="preserve"> </w:t>
      </w:r>
      <w:r w:rsidRPr="008D4991">
        <w:t xml:space="preserve">to them. As such, the OPC </w:t>
      </w:r>
      <w:r>
        <w:t xml:space="preserve">and FRF </w:t>
      </w:r>
      <w:r w:rsidRPr="008D4991">
        <w:t>represent that t</w:t>
      </w:r>
      <w:r>
        <w:t>hey</w:t>
      </w:r>
      <w:r w:rsidRPr="008D4991">
        <w:t xml:space="preserve"> will not contest or oppose the</w:t>
      </w:r>
      <w:r>
        <w:t xml:space="preserve"> </w:t>
      </w:r>
      <w:r w:rsidRPr="008D4991">
        <w:t>Commission taking action approving a proposed stipulation between the</w:t>
      </w:r>
      <w:r>
        <w:t xml:space="preserve"> </w:t>
      </w:r>
      <w:r w:rsidRPr="008D4991">
        <w:t>Company and another party or staff as a final resolution of these issues. No</w:t>
      </w:r>
      <w:r>
        <w:t xml:space="preserve"> </w:t>
      </w:r>
      <w:r w:rsidRPr="008D4991">
        <w:t xml:space="preserve">person is authorized to state that the OPC </w:t>
      </w:r>
      <w:r>
        <w:t xml:space="preserve">or FRF </w:t>
      </w:r>
      <w:r w:rsidRPr="008D4991">
        <w:t>is a participant in, or party to, a</w:t>
      </w:r>
      <w:r>
        <w:t xml:space="preserve"> </w:t>
      </w:r>
      <w:r w:rsidRPr="008D4991">
        <w:t>stipulation on these issues, either in this docket, in an order of the Commission or</w:t>
      </w:r>
      <w:r>
        <w:t xml:space="preserve"> </w:t>
      </w:r>
      <w:r w:rsidRPr="008D4991">
        <w:t>in a representation to a Court.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706" w:rsidRDefault="00AE2706">
    <w:pPr>
      <w:pStyle w:val="OrderHeader"/>
    </w:pPr>
    <w:r>
      <w:t xml:space="preserve">ORDER NO. </w:t>
    </w:r>
    <w:fldSimple w:instr=" REF OrderNo0026 ">
      <w:r w:rsidR="007F45E3">
        <w:t>PSC-2023-0026-FOF-EI</w:t>
      </w:r>
    </w:fldSimple>
  </w:p>
  <w:p w:rsidR="00AE2706" w:rsidRDefault="00AE2706">
    <w:pPr>
      <w:pStyle w:val="OrderHeader"/>
    </w:pPr>
    <w:bookmarkStart w:id="10" w:name="HeaderDocketNo"/>
    <w:bookmarkEnd w:id="10"/>
    <w:r>
      <w:t>DOCKET NO. 202</w:t>
    </w:r>
    <w:r w:rsidR="000D69A9">
      <w:t>3</w:t>
    </w:r>
    <w:r>
      <w:t>0001-EI</w:t>
    </w:r>
  </w:p>
  <w:p w:rsidR="00AE2706" w:rsidRDefault="00AE27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45E3">
      <w:rPr>
        <w:rStyle w:val="PageNumber"/>
        <w:noProof/>
      </w:rPr>
      <w:t>14</w:t>
    </w:r>
    <w:r>
      <w:rPr>
        <w:rStyle w:val="PageNumber"/>
      </w:rPr>
      <w:fldChar w:fldCharType="end"/>
    </w:r>
  </w:p>
  <w:p w:rsidR="00AE2706" w:rsidRDefault="00AE2706">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7B3FA4"/>
    <w:rsid w:val="00000837"/>
    <w:rsid w:val="000022B8"/>
    <w:rsid w:val="00003883"/>
    <w:rsid w:val="00011251"/>
    <w:rsid w:val="00017759"/>
    <w:rsid w:val="00025C2A"/>
    <w:rsid w:val="00025C9D"/>
    <w:rsid w:val="0003433F"/>
    <w:rsid w:val="00035A8C"/>
    <w:rsid w:val="0003681D"/>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0F1B"/>
    <w:rsid w:val="00092F01"/>
    <w:rsid w:val="00093F8A"/>
    <w:rsid w:val="00096507"/>
    <w:rsid w:val="00097757"/>
    <w:rsid w:val="000A38E7"/>
    <w:rsid w:val="000A774F"/>
    <w:rsid w:val="000B5332"/>
    <w:rsid w:val="000B6078"/>
    <w:rsid w:val="000B783E"/>
    <w:rsid w:val="000B7D81"/>
    <w:rsid w:val="000C1994"/>
    <w:rsid w:val="000C6926"/>
    <w:rsid w:val="000C6935"/>
    <w:rsid w:val="000C6BE9"/>
    <w:rsid w:val="000D02B8"/>
    <w:rsid w:val="000D06E8"/>
    <w:rsid w:val="000D52C1"/>
    <w:rsid w:val="000D69A9"/>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17041"/>
    <w:rsid w:val="001212A9"/>
    <w:rsid w:val="00121957"/>
    <w:rsid w:val="0012387E"/>
    <w:rsid w:val="001259EC"/>
    <w:rsid w:val="00126593"/>
    <w:rsid w:val="001321B6"/>
    <w:rsid w:val="00134177"/>
    <w:rsid w:val="00136087"/>
    <w:rsid w:val="00142A96"/>
    <w:rsid w:val="00150D65"/>
    <w:rsid w:val="001513DE"/>
    <w:rsid w:val="00154A71"/>
    <w:rsid w:val="001655D4"/>
    <w:rsid w:val="00165803"/>
    <w:rsid w:val="00171BAF"/>
    <w:rsid w:val="001836E9"/>
    <w:rsid w:val="0018661C"/>
    <w:rsid w:val="00187E32"/>
    <w:rsid w:val="00194A97"/>
    <w:rsid w:val="00194E81"/>
    <w:rsid w:val="001A14D8"/>
    <w:rsid w:val="001A15E7"/>
    <w:rsid w:val="001A33C9"/>
    <w:rsid w:val="001A58F3"/>
    <w:rsid w:val="001B034E"/>
    <w:rsid w:val="001C2847"/>
    <w:rsid w:val="001C3BB5"/>
    <w:rsid w:val="001C3F8C"/>
    <w:rsid w:val="001C6097"/>
    <w:rsid w:val="001C7126"/>
    <w:rsid w:val="001D008A"/>
    <w:rsid w:val="001D1B2F"/>
    <w:rsid w:val="001D4E74"/>
    <w:rsid w:val="001E0152"/>
    <w:rsid w:val="001E0FF5"/>
    <w:rsid w:val="001F0095"/>
    <w:rsid w:val="001F1CFA"/>
    <w:rsid w:val="001F36B0"/>
    <w:rsid w:val="001F4CA3"/>
    <w:rsid w:val="001F59E0"/>
    <w:rsid w:val="002002ED"/>
    <w:rsid w:val="002044DD"/>
    <w:rsid w:val="00211FF5"/>
    <w:rsid w:val="00215116"/>
    <w:rsid w:val="002170E5"/>
    <w:rsid w:val="00220D57"/>
    <w:rsid w:val="00223B99"/>
    <w:rsid w:val="00224A35"/>
    <w:rsid w:val="00225885"/>
    <w:rsid w:val="0022721A"/>
    <w:rsid w:val="00230BB9"/>
    <w:rsid w:val="00241CEF"/>
    <w:rsid w:val="0025124E"/>
    <w:rsid w:val="00252B30"/>
    <w:rsid w:val="00255291"/>
    <w:rsid w:val="002613E4"/>
    <w:rsid w:val="00262C43"/>
    <w:rsid w:val="00264E97"/>
    <w:rsid w:val="0026544B"/>
    <w:rsid w:val="00270F89"/>
    <w:rsid w:val="00276CDC"/>
    <w:rsid w:val="00277655"/>
    <w:rsid w:val="002824B7"/>
    <w:rsid w:val="00282AC4"/>
    <w:rsid w:val="00293DC9"/>
    <w:rsid w:val="00297C37"/>
    <w:rsid w:val="002A0140"/>
    <w:rsid w:val="002A11AC"/>
    <w:rsid w:val="002A6F30"/>
    <w:rsid w:val="002B074D"/>
    <w:rsid w:val="002B3111"/>
    <w:rsid w:val="002B799A"/>
    <w:rsid w:val="002C118E"/>
    <w:rsid w:val="002C2096"/>
    <w:rsid w:val="002C6693"/>
    <w:rsid w:val="002C7908"/>
    <w:rsid w:val="002D391B"/>
    <w:rsid w:val="002D4B1F"/>
    <w:rsid w:val="002D7D15"/>
    <w:rsid w:val="002E1B2E"/>
    <w:rsid w:val="002E27EB"/>
    <w:rsid w:val="002E40C0"/>
    <w:rsid w:val="002E4EF4"/>
    <w:rsid w:val="002E64D3"/>
    <w:rsid w:val="002F0F1C"/>
    <w:rsid w:val="002F2A9D"/>
    <w:rsid w:val="002F31C2"/>
    <w:rsid w:val="002F7BF6"/>
    <w:rsid w:val="00303FDE"/>
    <w:rsid w:val="00313C5B"/>
    <w:rsid w:val="003140E8"/>
    <w:rsid w:val="003231C7"/>
    <w:rsid w:val="00323839"/>
    <w:rsid w:val="003270C4"/>
    <w:rsid w:val="00331ED0"/>
    <w:rsid w:val="0033227A"/>
    <w:rsid w:val="00332B0A"/>
    <w:rsid w:val="00333A41"/>
    <w:rsid w:val="00341036"/>
    <w:rsid w:val="00345434"/>
    <w:rsid w:val="00351C22"/>
    <w:rsid w:val="00352376"/>
    <w:rsid w:val="0035495B"/>
    <w:rsid w:val="00355A93"/>
    <w:rsid w:val="00361522"/>
    <w:rsid w:val="0037196E"/>
    <w:rsid w:val="003744F5"/>
    <w:rsid w:val="00377277"/>
    <w:rsid w:val="00382C6A"/>
    <w:rsid w:val="003875A9"/>
    <w:rsid w:val="00387BDE"/>
    <w:rsid w:val="00390DD8"/>
    <w:rsid w:val="00391B13"/>
    <w:rsid w:val="00394DC6"/>
    <w:rsid w:val="003967E4"/>
    <w:rsid w:val="00397C3E"/>
    <w:rsid w:val="003A7C5A"/>
    <w:rsid w:val="003B1A09"/>
    <w:rsid w:val="003B1B4B"/>
    <w:rsid w:val="003B38D2"/>
    <w:rsid w:val="003B6F02"/>
    <w:rsid w:val="003C0431"/>
    <w:rsid w:val="003C29BB"/>
    <w:rsid w:val="003D2B26"/>
    <w:rsid w:val="003D3989"/>
    <w:rsid w:val="003D4CCA"/>
    <w:rsid w:val="003D52A6"/>
    <w:rsid w:val="003D6416"/>
    <w:rsid w:val="003E0477"/>
    <w:rsid w:val="003E1D48"/>
    <w:rsid w:val="003E711F"/>
    <w:rsid w:val="003F1D2B"/>
    <w:rsid w:val="003F49A6"/>
    <w:rsid w:val="003F518F"/>
    <w:rsid w:val="003F6BA7"/>
    <w:rsid w:val="003F7445"/>
    <w:rsid w:val="00411DF2"/>
    <w:rsid w:val="00411E8F"/>
    <w:rsid w:val="00414706"/>
    <w:rsid w:val="004156A1"/>
    <w:rsid w:val="00423FD1"/>
    <w:rsid w:val="004247F5"/>
    <w:rsid w:val="0042527B"/>
    <w:rsid w:val="00425A86"/>
    <w:rsid w:val="00427EAC"/>
    <w:rsid w:val="00437D6B"/>
    <w:rsid w:val="004431B4"/>
    <w:rsid w:val="0045537F"/>
    <w:rsid w:val="00457DC7"/>
    <w:rsid w:val="004640B3"/>
    <w:rsid w:val="00472BCC"/>
    <w:rsid w:val="00474CB1"/>
    <w:rsid w:val="0047537F"/>
    <w:rsid w:val="00477699"/>
    <w:rsid w:val="004A1F26"/>
    <w:rsid w:val="004A25CD"/>
    <w:rsid w:val="004A26CC"/>
    <w:rsid w:val="004B2108"/>
    <w:rsid w:val="004B3A2B"/>
    <w:rsid w:val="004B70D3"/>
    <w:rsid w:val="004C20BE"/>
    <w:rsid w:val="004C312D"/>
    <w:rsid w:val="004D0F29"/>
    <w:rsid w:val="004D2D1B"/>
    <w:rsid w:val="004D425D"/>
    <w:rsid w:val="004D5067"/>
    <w:rsid w:val="004D6838"/>
    <w:rsid w:val="004D72BC"/>
    <w:rsid w:val="004E469D"/>
    <w:rsid w:val="004E7F4F"/>
    <w:rsid w:val="004F2DDE"/>
    <w:rsid w:val="004F5A55"/>
    <w:rsid w:val="004F7826"/>
    <w:rsid w:val="0050097F"/>
    <w:rsid w:val="005046C9"/>
    <w:rsid w:val="0050763E"/>
    <w:rsid w:val="0051309B"/>
    <w:rsid w:val="00514B1F"/>
    <w:rsid w:val="00523C5C"/>
    <w:rsid w:val="00524884"/>
    <w:rsid w:val="00525E93"/>
    <w:rsid w:val="0052671D"/>
    <w:rsid w:val="005300C0"/>
    <w:rsid w:val="00533EF6"/>
    <w:rsid w:val="00536A96"/>
    <w:rsid w:val="00540E6B"/>
    <w:rsid w:val="00540F6D"/>
    <w:rsid w:val="0054109E"/>
    <w:rsid w:val="005470D8"/>
    <w:rsid w:val="0055595D"/>
    <w:rsid w:val="00556A10"/>
    <w:rsid w:val="00557F50"/>
    <w:rsid w:val="00571D3D"/>
    <w:rsid w:val="0058264B"/>
    <w:rsid w:val="0058586A"/>
    <w:rsid w:val="00586368"/>
    <w:rsid w:val="005868AA"/>
    <w:rsid w:val="00590845"/>
    <w:rsid w:val="005963C2"/>
    <w:rsid w:val="005A0D69"/>
    <w:rsid w:val="005A18C3"/>
    <w:rsid w:val="005A31F4"/>
    <w:rsid w:val="005A5D59"/>
    <w:rsid w:val="005A73EA"/>
    <w:rsid w:val="005B45F7"/>
    <w:rsid w:val="005B63EA"/>
    <w:rsid w:val="005C15CA"/>
    <w:rsid w:val="005C1A88"/>
    <w:rsid w:val="005C2FD4"/>
    <w:rsid w:val="005C3606"/>
    <w:rsid w:val="005C49A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475C"/>
    <w:rsid w:val="006254EC"/>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43A3"/>
    <w:rsid w:val="006965A0"/>
    <w:rsid w:val="006A0BF3"/>
    <w:rsid w:val="006B0036"/>
    <w:rsid w:val="006B0DA6"/>
    <w:rsid w:val="006B3FA9"/>
    <w:rsid w:val="006C547E"/>
    <w:rsid w:val="006D2B51"/>
    <w:rsid w:val="006D5575"/>
    <w:rsid w:val="006D7191"/>
    <w:rsid w:val="006E09DD"/>
    <w:rsid w:val="006E21C4"/>
    <w:rsid w:val="006E42BE"/>
    <w:rsid w:val="006E5D4D"/>
    <w:rsid w:val="006E6D16"/>
    <w:rsid w:val="006F05EC"/>
    <w:rsid w:val="00701A82"/>
    <w:rsid w:val="00703F2A"/>
    <w:rsid w:val="007046D4"/>
    <w:rsid w:val="00704C5D"/>
    <w:rsid w:val="007072BC"/>
    <w:rsid w:val="00710A5F"/>
    <w:rsid w:val="00714E88"/>
    <w:rsid w:val="00715275"/>
    <w:rsid w:val="00721B44"/>
    <w:rsid w:val="007232A2"/>
    <w:rsid w:val="00726366"/>
    <w:rsid w:val="00727C5D"/>
    <w:rsid w:val="00731AB6"/>
    <w:rsid w:val="00733B6B"/>
    <w:rsid w:val="00740808"/>
    <w:rsid w:val="007467C4"/>
    <w:rsid w:val="00755F92"/>
    <w:rsid w:val="0076170F"/>
    <w:rsid w:val="007638B9"/>
    <w:rsid w:val="007657FA"/>
    <w:rsid w:val="0076669C"/>
    <w:rsid w:val="00766E46"/>
    <w:rsid w:val="007729D5"/>
    <w:rsid w:val="00772B14"/>
    <w:rsid w:val="00772CCB"/>
    <w:rsid w:val="00777727"/>
    <w:rsid w:val="0078166A"/>
    <w:rsid w:val="00782B79"/>
    <w:rsid w:val="00783811"/>
    <w:rsid w:val="007865E9"/>
    <w:rsid w:val="0079237D"/>
    <w:rsid w:val="00792383"/>
    <w:rsid w:val="0079362E"/>
    <w:rsid w:val="00794D5A"/>
    <w:rsid w:val="00794DD9"/>
    <w:rsid w:val="007A060F"/>
    <w:rsid w:val="007A615B"/>
    <w:rsid w:val="007B1C5E"/>
    <w:rsid w:val="007B350E"/>
    <w:rsid w:val="007B3FA4"/>
    <w:rsid w:val="007C0FBC"/>
    <w:rsid w:val="007C29C9"/>
    <w:rsid w:val="007C35B8"/>
    <w:rsid w:val="007C36E3"/>
    <w:rsid w:val="007C3ABB"/>
    <w:rsid w:val="007C7134"/>
    <w:rsid w:val="007C7ECF"/>
    <w:rsid w:val="007D3D20"/>
    <w:rsid w:val="007D44F9"/>
    <w:rsid w:val="007D742E"/>
    <w:rsid w:val="007E18D6"/>
    <w:rsid w:val="007E3AFD"/>
    <w:rsid w:val="007F13E1"/>
    <w:rsid w:val="007F37BC"/>
    <w:rsid w:val="007F45E3"/>
    <w:rsid w:val="007F7003"/>
    <w:rsid w:val="00801DAD"/>
    <w:rsid w:val="00802248"/>
    <w:rsid w:val="00803189"/>
    <w:rsid w:val="00804E7A"/>
    <w:rsid w:val="00805FBB"/>
    <w:rsid w:val="0080753E"/>
    <w:rsid w:val="00814183"/>
    <w:rsid w:val="00814292"/>
    <w:rsid w:val="008169A4"/>
    <w:rsid w:val="00816FF5"/>
    <w:rsid w:val="008203B1"/>
    <w:rsid w:val="0082108F"/>
    <w:rsid w:val="008278FE"/>
    <w:rsid w:val="008302E6"/>
    <w:rsid w:val="00832598"/>
    <w:rsid w:val="0083397E"/>
    <w:rsid w:val="0083534B"/>
    <w:rsid w:val="00840EE1"/>
    <w:rsid w:val="00842035"/>
    <w:rsid w:val="00842602"/>
    <w:rsid w:val="008449F0"/>
    <w:rsid w:val="00846F11"/>
    <w:rsid w:val="00847B45"/>
    <w:rsid w:val="00863A66"/>
    <w:rsid w:val="00864CD2"/>
    <w:rsid w:val="008703D7"/>
    <w:rsid w:val="008729AE"/>
    <w:rsid w:val="00874429"/>
    <w:rsid w:val="00875D22"/>
    <w:rsid w:val="00883D9A"/>
    <w:rsid w:val="008919EF"/>
    <w:rsid w:val="00892B20"/>
    <w:rsid w:val="008931BC"/>
    <w:rsid w:val="0089695B"/>
    <w:rsid w:val="00897740"/>
    <w:rsid w:val="008A12EC"/>
    <w:rsid w:val="008B14BE"/>
    <w:rsid w:val="008B19A6"/>
    <w:rsid w:val="008B1DBA"/>
    <w:rsid w:val="008B4EFB"/>
    <w:rsid w:val="008C21C8"/>
    <w:rsid w:val="008C6375"/>
    <w:rsid w:val="008C6A5B"/>
    <w:rsid w:val="008D441D"/>
    <w:rsid w:val="008D491E"/>
    <w:rsid w:val="008D498D"/>
    <w:rsid w:val="008D6D36"/>
    <w:rsid w:val="008E0693"/>
    <w:rsid w:val="008E26A5"/>
    <w:rsid w:val="008E42D2"/>
    <w:rsid w:val="008E6328"/>
    <w:rsid w:val="008F05C2"/>
    <w:rsid w:val="008F578F"/>
    <w:rsid w:val="008F5D04"/>
    <w:rsid w:val="009040EE"/>
    <w:rsid w:val="009057FD"/>
    <w:rsid w:val="00906FBA"/>
    <w:rsid w:val="009163E8"/>
    <w:rsid w:val="00921BD3"/>
    <w:rsid w:val="009222FC"/>
    <w:rsid w:val="009228C7"/>
    <w:rsid w:val="00922A7F"/>
    <w:rsid w:val="00923A5E"/>
    <w:rsid w:val="00924FE7"/>
    <w:rsid w:val="00925024"/>
    <w:rsid w:val="00926E27"/>
    <w:rsid w:val="00927A24"/>
    <w:rsid w:val="00931C8C"/>
    <w:rsid w:val="00943D21"/>
    <w:rsid w:val="0094504B"/>
    <w:rsid w:val="0095719B"/>
    <w:rsid w:val="00964A38"/>
    <w:rsid w:val="00966A9D"/>
    <w:rsid w:val="0096742B"/>
    <w:rsid w:val="00967C64"/>
    <w:rsid w:val="009718C5"/>
    <w:rsid w:val="00976AFF"/>
    <w:rsid w:val="00982F89"/>
    <w:rsid w:val="00986AED"/>
    <w:rsid w:val="009924CF"/>
    <w:rsid w:val="00994100"/>
    <w:rsid w:val="009A04B7"/>
    <w:rsid w:val="009A6B17"/>
    <w:rsid w:val="009B052E"/>
    <w:rsid w:val="009B1081"/>
    <w:rsid w:val="009D4C29"/>
    <w:rsid w:val="009D58A8"/>
    <w:rsid w:val="009D6423"/>
    <w:rsid w:val="009E19A6"/>
    <w:rsid w:val="009E58E9"/>
    <w:rsid w:val="009E6803"/>
    <w:rsid w:val="009E743D"/>
    <w:rsid w:val="009F6AD2"/>
    <w:rsid w:val="009F7C1B"/>
    <w:rsid w:val="00A00B5B"/>
    <w:rsid w:val="00A00D8D"/>
    <w:rsid w:val="00A01BB6"/>
    <w:rsid w:val="00A05D00"/>
    <w:rsid w:val="00A108A7"/>
    <w:rsid w:val="00A13B61"/>
    <w:rsid w:val="00A22B28"/>
    <w:rsid w:val="00A26704"/>
    <w:rsid w:val="00A3351E"/>
    <w:rsid w:val="00A4214A"/>
    <w:rsid w:val="00A4303C"/>
    <w:rsid w:val="00A46CAF"/>
    <w:rsid w:val="00A470FD"/>
    <w:rsid w:val="00A501CE"/>
    <w:rsid w:val="00A50B5E"/>
    <w:rsid w:val="00A62DAB"/>
    <w:rsid w:val="00A6757A"/>
    <w:rsid w:val="00A726A6"/>
    <w:rsid w:val="00A74842"/>
    <w:rsid w:val="00A76C91"/>
    <w:rsid w:val="00A8269A"/>
    <w:rsid w:val="00A84E6B"/>
    <w:rsid w:val="00A86A50"/>
    <w:rsid w:val="00A902DC"/>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E2706"/>
    <w:rsid w:val="00AE5F2F"/>
    <w:rsid w:val="00AF6E74"/>
    <w:rsid w:val="00B019C1"/>
    <w:rsid w:val="00B02001"/>
    <w:rsid w:val="00B0254B"/>
    <w:rsid w:val="00B03C50"/>
    <w:rsid w:val="00B0777D"/>
    <w:rsid w:val="00B11576"/>
    <w:rsid w:val="00B1195F"/>
    <w:rsid w:val="00B14D10"/>
    <w:rsid w:val="00B209C7"/>
    <w:rsid w:val="00B3644F"/>
    <w:rsid w:val="00B4057A"/>
    <w:rsid w:val="00B40894"/>
    <w:rsid w:val="00B41039"/>
    <w:rsid w:val="00B42987"/>
    <w:rsid w:val="00B444AE"/>
    <w:rsid w:val="00B45E75"/>
    <w:rsid w:val="00B50475"/>
    <w:rsid w:val="00B50876"/>
    <w:rsid w:val="00B51074"/>
    <w:rsid w:val="00B54DAA"/>
    <w:rsid w:val="00B552E0"/>
    <w:rsid w:val="00B55AB0"/>
    <w:rsid w:val="00B55EE5"/>
    <w:rsid w:val="00B56A17"/>
    <w:rsid w:val="00B61D42"/>
    <w:rsid w:val="00B67A43"/>
    <w:rsid w:val="00B71D1F"/>
    <w:rsid w:val="00B72CFF"/>
    <w:rsid w:val="00B73DE6"/>
    <w:rsid w:val="00B761CD"/>
    <w:rsid w:val="00B76B66"/>
    <w:rsid w:val="00B86EF0"/>
    <w:rsid w:val="00B94F09"/>
    <w:rsid w:val="00B96969"/>
    <w:rsid w:val="00B97900"/>
    <w:rsid w:val="00BA1229"/>
    <w:rsid w:val="00BA44A8"/>
    <w:rsid w:val="00BA49C5"/>
    <w:rsid w:val="00BB0182"/>
    <w:rsid w:val="00BB1A38"/>
    <w:rsid w:val="00BB2F4A"/>
    <w:rsid w:val="00BC786E"/>
    <w:rsid w:val="00BD5C92"/>
    <w:rsid w:val="00BE50E6"/>
    <w:rsid w:val="00BE7A0C"/>
    <w:rsid w:val="00BF2928"/>
    <w:rsid w:val="00BF5D60"/>
    <w:rsid w:val="00BF6691"/>
    <w:rsid w:val="00C028FC"/>
    <w:rsid w:val="00C037F2"/>
    <w:rsid w:val="00C0386D"/>
    <w:rsid w:val="00C065A1"/>
    <w:rsid w:val="00C10ED5"/>
    <w:rsid w:val="00C11C15"/>
    <w:rsid w:val="00C12574"/>
    <w:rsid w:val="00C151A6"/>
    <w:rsid w:val="00C24098"/>
    <w:rsid w:val="00C30A4E"/>
    <w:rsid w:val="00C411F3"/>
    <w:rsid w:val="00C431EE"/>
    <w:rsid w:val="00C44105"/>
    <w:rsid w:val="00C523EC"/>
    <w:rsid w:val="00C55A33"/>
    <w:rsid w:val="00C55FFA"/>
    <w:rsid w:val="00C64D49"/>
    <w:rsid w:val="00C66692"/>
    <w:rsid w:val="00C673B5"/>
    <w:rsid w:val="00C7063D"/>
    <w:rsid w:val="00C72339"/>
    <w:rsid w:val="00C830BC"/>
    <w:rsid w:val="00C8524D"/>
    <w:rsid w:val="00C90904"/>
    <w:rsid w:val="00C91123"/>
    <w:rsid w:val="00C94C08"/>
    <w:rsid w:val="00CA71FF"/>
    <w:rsid w:val="00CB2393"/>
    <w:rsid w:val="00CB5276"/>
    <w:rsid w:val="00CB5BFC"/>
    <w:rsid w:val="00CB68D7"/>
    <w:rsid w:val="00CB785B"/>
    <w:rsid w:val="00CC7E68"/>
    <w:rsid w:val="00CD3D74"/>
    <w:rsid w:val="00CD7132"/>
    <w:rsid w:val="00CE0E6F"/>
    <w:rsid w:val="00CE3B21"/>
    <w:rsid w:val="00CE56FC"/>
    <w:rsid w:val="00CE7A4D"/>
    <w:rsid w:val="00CF0455"/>
    <w:rsid w:val="00CF183D"/>
    <w:rsid w:val="00CF32D2"/>
    <w:rsid w:val="00CF4CFE"/>
    <w:rsid w:val="00D00E8E"/>
    <w:rsid w:val="00D02E0F"/>
    <w:rsid w:val="00D03EE8"/>
    <w:rsid w:val="00D04874"/>
    <w:rsid w:val="00D100B5"/>
    <w:rsid w:val="00D13535"/>
    <w:rsid w:val="00D15497"/>
    <w:rsid w:val="00D17B79"/>
    <w:rsid w:val="00D205F5"/>
    <w:rsid w:val="00D23FEA"/>
    <w:rsid w:val="00D269CA"/>
    <w:rsid w:val="00D30B48"/>
    <w:rsid w:val="00D3122F"/>
    <w:rsid w:val="00D3168A"/>
    <w:rsid w:val="00D350D1"/>
    <w:rsid w:val="00D44857"/>
    <w:rsid w:val="00D45791"/>
    <w:rsid w:val="00D46FAA"/>
    <w:rsid w:val="00D47A40"/>
    <w:rsid w:val="00D51D33"/>
    <w:rsid w:val="00D57BB2"/>
    <w:rsid w:val="00D57E57"/>
    <w:rsid w:val="00D70752"/>
    <w:rsid w:val="00D80E2D"/>
    <w:rsid w:val="00D81055"/>
    <w:rsid w:val="00D84D5E"/>
    <w:rsid w:val="00D8560E"/>
    <w:rsid w:val="00D8758F"/>
    <w:rsid w:val="00D902F6"/>
    <w:rsid w:val="00DA4EDD"/>
    <w:rsid w:val="00DA6B78"/>
    <w:rsid w:val="00DB122B"/>
    <w:rsid w:val="00DB1BD6"/>
    <w:rsid w:val="00DC1D94"/>
    <w:rsid w:val="00DC42CF"/>
    <w:rsid w:val="00DC738A"/>
    <w:rsid w:val="00DD382A"/>
    <w:rsid w:val="00DD592E"/>
    <w:rsid w:val="00DD7994"/>
    <w:rsid w:val="00DE057F"/>
    <w:rsid w:val="00DE2082"/>
    <w:rsid w:val="00DE2289"/>
    <w:rsid w:val="00DF09A7"/>
    <w:rsid w:val="00DF2B51"/>
    <w:rsid w:val="00DF596F"/>
    <w:rsid w:val="00E001D6"/>
    <w:rsid w:val="00E03A76"/>
    <w:rsid w:val="00E04410"/>
    <w:rsid w:val="00E07484"/>
    <w:rsid w:val="00E11351"/>
    <w:rsid w:val="00E24F7F"/>
    <w:rsid w:val="00E2664A"/>
    <w:rsid w:val="00E33F44"/>
    <w:rsid w:val="00E3773A"/>
    <w:rsid w:val="00E37D48"/>
    <w:rsid w:val="00E4225C"/>
    <w:rsid w:val="00E44879"/>
    <w:rsid w:val="00E5228C"/>
    <w:rsid w:val="00E72914"/>
    <w:rsid w:val="00E74121"/>
    <w:rsid w:val="00E75AE0"/>
    <w:rsid w:val="00E83C1F"/>
    <w:rsid w:val="00E85684"/>
    <w:rsid w:val="00E8794B"/>
    <w:rsid w:val="00E97656"/>
    <w:rsid w:val="00EA004A"/>
    <w:rsid w:val="00EA172C"/>
    <w:rsid w:val="00EA259B"/>
    <w:rsid w:val="00EA35A3"/>
    <w:rsid w:val="00EA3E6A"/>
    <w:rsid w:val="00EB18EF"/>
    <w:rsid w:val="00EB58F4"/>
    <w:rsid w:val="00EB7951"/>
    <w:rsid w:val="00ED43E8"/>
    <w:rsid w:val="00ED6A79"/>
    <w:rsid w:val="00EE11E4"/>
    <w:rsid w:val="00EE17DF"/>
    <w:rsid w:val="00EE2EBC"/>
    <w:rsid w:val="00EE6FD3"/>
    <w:rsid w:val="00EF1482"/>
    <w:rsid w:val="00EF2861"/>
    <w:rsid w:val="00EF4621"/>
    <w:rsid w:val="00EF4D52"/>
    <w:rsid w:val="00EF6312"/>
    <w:rsid w:val="00EF6BBB"/>
    <w:rsid w:val="00F038B0"/>
    <w:rsid w:val="00F05F34"/>
    <w:rsid w:val="00F07410"/>
    <w:rsid w:val="00F22B27"/>
    <w:rsid w:val="00F234A7"/>
    <w:rsid w:val="00F277B6"/>
    <w:rsid w:val="00F27DA5"/>
    <w:rsid w:val="00F31A6A"/>
    <w:rsid w:val="00F37E07"/>
    <w:rsid w:val="00F4182A"/>
    <w:rsid w:val="00F52CD4"/>
    <w:rsid w:val="00F54380"/>
    <w:rsid w:val="00F54B47"/>
    <w:rsid w:val="00F61247"/>
    <w:rsid w:val="00F61F61"/>
    <w:rsid w:val="00F63191"/>
    <w:rsid w:val="00F6702E"/>
    <w:rsid w:val="00F70E84"/>
    <w:rsid w:val="00F80685"/>
    <w:rsid w:val="00F92FB3"/>
    <w:rsid w:val="00F94968"/>
    <w:rsid w:val="00F968EE"/>
    <w:rsid w:val="00FA092B"/>
    <w:rsid w:val="00FA4F6C"/>
    <w:rsid w:val="00FA6EFD"/>
    <w:rsid w:val="00FA7585"/>
    <w:rsid w:val="00FB3086"/>
    <w:rsid w:val="00FB3791"/>
    <w:rsid w:val="00FB6780"/>
    <w:rsid w:val="00FB74C8"/>
    <w:rsid w:val="00FB74EA"/>
    <w:rsid w:val="00FC23D5"/>
    <w:rsid w:val="00FD0ADB"/>
    <w:rsid w:val="00FD2C9E"/>
    <w:rsid w:val="00FD4786"/>
    <w:rsid w:val="00FD616C"/>
    <w:rsid w:val="00FE53F2"/>
    <w:rsid w:val="00FF046F"/>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outlineLvl w:val="0"/>
    </w:pPr>
    <w:rPr>
      <w:rFonts w:cs="Arial"/>
      <w:bCs/>
      <w:kern w:val="32"/>
      <w:szCs w:val="32"/>
    </w:rPr>
  </w:style>
  <w:style w:type="paragraph" w:styleId="Heading2">
    <w:name w:val="heading 2"/>
    <w:basedOn w:val="Normal"/>
    <w:next w:val="BodyText"/>
    <w:link w:val="Heading2Char"/>
    <w:qFormat/>
    <w:rsid w:val="00CD7132"/>
    <w:pPr>
      <w:keepNext/>
      <w:spacing w:after="240"/>
      <w:outlineLvl w:val="1"/>
    </w:pPr>
    <w:rPr>
      <w:rFonts w:cs="Arial"/>
      <w:bCs/>
      <w:iCs/>
      <w:szCs w:val="28"/>
    </w:rPr>
  </w:style>
  <w:style w:type="paragraph" w:styleId="Heading3">
    <w:name w:val="heading 3"/>
    <w:basedOn w:val="BodyText"/>
    <w:next w:val="BodyText"/>
    <w:link w:val="Heading3Char"/>
    <w:qFormat/>
    <w:rsid w:val="00CD7132"/>
    <w:pPr>
      <w:spacing w:after="240"/>
      <w:ind w:firstLine="720"/>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pPr>
    <w:rPr>
      <w:szCs w:val="20"/>
    </w:rPr>
  </w:style>
  <w:style w:type="paragraph" w:customStyle="1" w:styleId="OrderHanging2">
    <w:name w:val="Order Hanging 2"/>
    <w:basedOn w:val="Normal"/>
    <w:rsid w:val="00CD7132"/>
    <w:pPr>
      <w:ind w:left="2880" w:hanging="2880"/>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E74121"/>
  </w:style>
  <w:style w:type="paragraph" w:customStyle="1" w:styleId="IssueHeading">
    <w:name w:val="Issue Heading"/>
    <w:basedOn w:val="Heading1"/>
    <w:next w:val="BodyText"/>
    <w:link w:val="IssueHeadingChar"/>
    <w:rsid w:val="001836E9"/>
    <w:pPr>
      <w:keepNext w:val="0"/>
    </w:pPr>
  </w:style>
  <w:style w:type="character" w:customStyle="1" w:styleId="IssueHeadingChar">
    <w:name w:val="Issue Heading Char"/>
    <w:basedOn w:val="DefaultParagraphFont"/>
    <w:link w:val="IssueHeading"/>
    <w:rsid w:val="001836E9"/>
    <w:rPr>
      <w:rFonts w:cs="Arial"/>
      <w:bCs/>
      <w:kern w:val="32"/>
      <w:sz w:val="24"/>
      <w:szCs w:val="32"/>
    </w:rPr>
  </w:style>
  <w:style w:type="character" w:customStyle="1" w:styleId="term1">
    <w:name w:val="term1"/>
    <w:basedOn w:val="DefaultParagraphFont"/>
    <w:rsid w:val="001836E9"/>
    <w:rPr>
      <w:b/>
      <w:bCs/>
    </w:rPr>
  </w:style>
  <w:style w:type="character" w:customStyle="1" w:styleId="FooterChar">
    <w:name w:val="Footer Char"/>
    <w:link w:val="Footer"/>
    <w:rsid w:val="0003681D"/>
    <w:rPr>
      <w:sz w:val="24"/>
      <w:szCs w:val="24"/>
    </w:rPr>
  </w:style>
  <w:style w:type="character" w:styleId="Strong">
    <w:name w:val="Strong"/>
    <w:basedOn w:val="DefaultParagraphFont"/>
    <w:uiPriority w:val="22"/>
    <w:qFormat/>
    <w:rsid w:val="00097757"/>
    <w:rPr>
      <w:b/>
      <w:bCs/>
    </w:rPr>
  </w:style>
  <w:style w:type="paragraph" w:styleId="BalloonText">
    <w:name w:val="Balloon Text"/>
    <w:basedOn w:val="Normal"/>
    <w:link w:val="BalloonTextChar"/>
    <w:semiHidden/>
    <w:unhideWhenUsed/>
    <w:rsid w:val="00A26704"/>
    <w:rPr>
      <w:rFonts w:ascii="Segoe UI" w:hAnsi="Segoe UI" w:cs="Segoe UI"/>
      <w:sz w:val="18"/>
      <w:szCs w:val="18"/>
    </w:rPr>
  </w:style>
  <w:style w:type="character" w:customStyle="1" w:styleId="BalloonTextChar">
    <w:name w:val="Balloon Text Char"/>
    <w:basedOn w:val="DefaultParagraphFont"/>
    <w:link w:val="BalloonText"/>
    <w:semiHidden/>
    <w:rsid w:val="00A267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C9537-4EC7-4B3F-AC9A-88B92DC64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29</Pages>
  <Words>8309</Words>
  <Characters>47366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2023-01-06T17:38:00Z</dcterms:created>
  <dcterms:modified xsi:type="dcterms:W3CDTF">2023-01-06T17:44:00Z</dcterms:modified>
</cp:coreProperties>
</file>