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7273"/>
      </w:tblGrid>
      <w:tr w:rsidR="008F68E3" w:rsidRPr="00465833" w:rsidTr="00EF65A6">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8F68E3" w:rsidRPr="00465833" w:rsidRDefault="008F68E3" w:rsidP="00EF65A6">
            <w:pPr>
              <w:jc w:val="center"/>
              <w:rPr>
                <w:b/>
                <w:sz w:val="28"/>
                <w:szCs w:val="28"/>
              </w:rPr>
            </w:pPr>
            <w:r w:rsidRPr="00465833">
              <w:rPr>
                <w:b/>
                <w:sz w:val="28"/>
                <w:szCs w:val="28"/>
              </w:rPr>
              <w:t>State of Florida</w:t>
            </w:r>
          </w:p>
          <w:p w:rsidR="008F68E3" w:rsidRPr="00465833" w:rsidRDefault="008F68E3" w:rsidP="00EF65A6">
            <w:pPr>
              <w:jc w:val="center"/>
            </w:pPr>
            <w:r>
              <w:rPr>
                <w:noProof/>
              </w:rPr>
              <w:drawing>
                <wp:inline distT="0" distB="0" distL="0" distR="0" wp14:anchorId="3EAB77B5" wp14:editId="531C2BD3">
                  <wp:extent cx="922020" cy="914400"/>
                  <wp:effectExtent l="0" t="0" r="0" b="0"/>
                  <wp:docPr id="3" name="Picture 3"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F68E3" w:rsidRPr="00465833" w:rsidRDefault="008F68E3" w:rsidP="00EF65A6"/>
        </w:tc>
        <w:tc>
          <w:tcPr>
            <w:tcW w:w="7273" w:type="dxa"/>
            <w:tcBorders>
              <w:top w:val="nil"/>
              <w:left w:val="nil"/>
              <w:bottom w:val="single" w:sz="24" w:space="0" w:color="auto"/>
              <w:right w:val="nil"/>
            </w:tcBorders>
            <w:shd w:val="clear" w:color="auto" w:fill="auto"/>
            <w:vAlign w:val="bottom"/>
          </w:tcPr>
          <w:p w:rsidR="008F68E3" w:rsidRPr="00465833" w:rsidRDefault="008F68E3" w:rsidP="00EF65A6">
            <w:pPr>
              <w:jc w:val="center"/>
              <w:rPr>
                <w:b/>
                <w:sz w:val="48"/>
                <w:szCs w:val="48"/>
              </w:rPr>
            </w:pPr>
            <w:r w:rsidRPr="00465833">
              <w:rPr>
                <w:b/>
                <w:sz w:val="48"/>
                <w:szCs w:val="48"/>
              </w:rPr>
              <w:t>Public Service Commission</w:t>
            </w:r>
          </w:p>
          <w:p w:rsidR="008F68E3" w:rsidRPr="00465833" w:rsidRDefault="008F68E3" w:rsidP="00EF65A6">
            <w:pPr>
              <w:spacing w:after="200"/>
              <w:jc w:val="center"/>
              <w:rPr>
                <w:b/>
                <w:smallCaps/>
                <w:sz w:val="20"/>
                <w:szCs w:val="20"/>
              </w:rPr>
            </w:pPr>
            <w:r w:rsidRPr="00465833">
              <w:rPr>
                <w:b/>
                <w:smallCaps/>
                <w:sz w:val="20"/>
                <w:szCs w:val="20"/>
              </w:rPr>
              <w:t>Capital Circle Office Center ● 2540 Shumard Oak Boulevard</w:t>
            </w:r>
            <w:r w:rsidRPr="00465833">
              <w:rPr>
                <w:b/>
                <w:smallCaps/>
                <w:sz w:val="20"/>
                <w:szCs w:val="20"/>
              </w:rPr>
              <w:br/>
              <w:t>Tallahassee, Florida 32399-0850</w:t>
            </w:r>
          </w:p>
          <w:p w:rsidR="008F68E3" w:rsidRPr="00465833" w:rsidRDefault="008F68E3" w:rsidP="00EF65A6">
            <w:pPr>
              <w:jc w:val="center"/>
              <w:rPr>
                <w:b/>
                <w:sz w:val="28"/>
                <w:szCs w:val="28"/>
              </w:rPr>
            </w:pPr>
            <w:r w:rsidRPr="00465833">
              <w:rPr>
                <w:b/>
                <w:sz w:val="28"/>
                <w:szCs w:val="28"/>
              </w:rPr>
              <w:t>-M-E-M-O-R-A-N-D-U-M-</w:t>
            </w:r>
          </w:p>
          <w:p w:rsidR="008F68E3" w:rsidRPr="00465833" w:rsidRDefault="008F68E3" w:rsidP="00EF65A6">
            <w:pPr>
              <w:jc w:val="both"/>
            </w:pPr>
          </w:p>
        </w:tc>
      </w:tr>
      <w:tr w:rsidR="008F68E3" w:rsidRPr="00465833" w:rsidTr="00EF65A6">
        <w:tc>
          <w:tcPr>
            <w:tcW w:w="1254" w:type="dxa"/>
            <w:tcBorders>
              <w:top w:val="single" w:sz="24" w:space="0" w:color="auto"/>
              <w:left w:val="nil"/>
              <w:bottom w:val="nil"/>
              <w:right w:val="nil"/>
            </w:tcBorders>
            <w:shd w:val="clear" w:color="auto" w:fill="auto"/>
            <w:tcMar>
              <w:top w:w="288" w:type="dxa"/>
              <w:bottom w:w="0" w:type="dxa"/>
              <w:right w:w="0" w:type="dxa"/>
            </w:tcMar>
          </w:tcPr>
          <w:p w:rsidR="008F68E3" w:rsidRPr="00465833" w:rsidRDefault="008F68E3" w:rsidP="00EF65A6">
            <w:pPr>
              <w:jc w:val="both"/>
              <w:rPr>
                <w:rFonts w:ascii="Arial" w:hAnsi="Arial"/>
                <w:b/>
              </w:rPr>
            </w:pPr>
            <w:r w:rsidRPr="00465833">
              <w:rPr>
                <w:rFonts w:ascii="Arial" w:hAnsi="Arial"/>
                <w:b/>
              </w:rPr>
              <w:t>DATE:</w:t>
            </w:r>
          </w:p>
        </w:tc>
        <w:tc>
          <w:tcPr>
            <w:tcW w:w="8221" w:type="dxa"/>
            <w:gridSpan w:val="2"/>
            <w:tcBorders>
              <w:top w:val="single" w:sz="24" w:space="0" w:color="auto"/>
              <w:left w:val="nil"/>
              <w:bottom w:val="nil"/>
              <w:right w:val="nil"/>
            </w:tcBorders>
            <w:shd w:val="clear" w:color="auto" w:fill="auto"/>
            <w:tcMar>
              <w:bottom w:w="0" w:type="dxa"/>
            </w:tcMar>
          </w:tcPr>
          <w:p w:rsidR="008F68E3" w:rsidRPr="00465833" w:rsidRDefault="008F68E3" w:rsidP="00EF65A6">
            <w:pPr>
              <w:jc w:val="both"/>
            </w:pPr>
            <w:bookmarkStart w:id="0" w:name="currentDate"/>
            <w:bookmarkEnd w:id="0"/>
            <w:r>
              <w:t>March 23, 2023</w:t>
            </w:r>
          </w:p>
        </w:tc>
      </w:tr>
      <w:tr w:rsidR="008F68E3" w:rsidRPr="00465833" w:rsidTr="00EF65A6">
        <w:tc>
          <w:tcPr>
            <w:tcW w:w="1254" w:type="dxa"/>
            <w:tcBorders>
              <w:top w:val="nil"/>
              <w:left w:val="nil"/>
              <w:bottom w:val="nil"/>
              <w:right w:val="nil"/>
            </w:tcBorders>
            <w:shd w:val="clear" w:color="auto" w:fill="auto"/>
            <w:tcMar>
              <w:top w:w="288" w:type="dxa"/>
              <w:bottom w:w="0" w:type="dxa"/>
              <w:right w:w="0" w:type="dxa"/>
            </w:tcMar>
          </w:tcPr>
          <w:p w:rsidR="008F68E3" w:rsidRPr="00465833" w:rsidRDefault="008F68E3" w:rsidP="00EF65A6">
            <w:pPr>
              <w:jc w:val="both"/>
              <w:rPr>
                <w:rFonts w:ascii="Arial" w:hAnsi="Arial"/>
                <w:b/>
              </w:rPr>
            </w:pPr>
            <w:r w:rsidRPr="00465833">
              <w:rPr>
                <w:rFonts w:ascii="Arial" w:hAnsi="Arial"/>
                <w:b/>
              </w:rPr>
              <w:t>TO:</w:t>
            </w:r>
          </w:p>
        </w:tc>
        <w:tc>
          <w:tcPr>
            <w:tcW w:w="8221" w:type="dxa"/>
            <w:gridSpan w:val="2"/>
            <w:tcBorders>
              <w:top w:val="nil"/>
              <w:left w:val="nil"/>
              <w:bottom w:val="nil"/>
              <w:right w:val="nil"/>
            </w:tcBorders>
            <w:shd w:val="clear" w:color="auto" w:fill="auto"/>
            <w:tcMar>
              <w:top w:w="288" w:type="dxa"/>
              <w:bottom w:w="0" w:type="dxa"/>
            </w:tcMar>
          </w:tcPr>
          <w:p w:rsidR="008F68E3" w:rsidRPr="00465833" w:rsidRDefault="008F68E3" w:rsidP="00EF65A6">
            <w:pPr>
              <w:jc w:val="both"/>
            </w:pPr>
            <w:bookmarkStart w:id="1" w:name="startTo"/>
            <w:bookmarkEnd w:id="1"/>
            <w:r>
              <w:t>Adam J. Teitzman, Commission Clerk, Office of Commission Clerk</w:t>
            </w:r>
          </w:p>
        </w:tc>
      </w:tr>
      <w:tr w:rsidR="008F68E3" w:rsidRPr="00465833" w:rsidTr="00EF65A6">
        <w:tc>
          <w:tcPr>
            <w:tcW w:w="1254" w:type="dxa"/>
            <w:tcBorders>
              <w:top w:val="nil"/>
              <w:left w:val="nil"/>
              <w:bottom w:val="nil"/>
              <w:right w:val="nil"/>
            </w:tcBorders>
            <w:shd w:val="clear" w:color="auto" w:fill="auto"/>
            <w:tcMar>
              <w:top w:w="288" w:type="dxa"/>
              <w:right w:w="0" w:type="dxa"/>
            </w:tcMar>
          </w:tcPr>
          <w:p w:rsidR="008F68E3" w:rsidRPr="00465833" w:rsidRDefault="008F68E3" w:rsidP="00EF65A6">
            <w:pPr>
              <w:jc w:val="both"/>
              <w:rPr>
                <w:rFonts w:ascii="Arial" w:hAnsi="Arial"/>
                <w:b/>
              </w:rPr>
            </w:pPr>
            <w:r w:rsidRPr="00465833">
              <w:rPr>
                <w:rFonts w:ascii="Arial" w:hAnsi="Arial"/>
                <w:b/>
              </w:rPr>
              <w:t>FROM:</w:t>
            </w:r>
          </w:p>
        </w:tc>
        <w:tc>
          <w:tcPr>
            <w:tcW w:w="8221" w:type="dxa"/>
            <w:gridSpan w:val="2"/>
            <w:tcBorders>
              <w:top w:val="nil"/>
              <w:left w:val="nil"/>
              <w:bottom w:val="nil"/>
              <w:right w:val="nil"/>
            </w:tcBorders>
            <w:shd w:val="clear" w:color="auto" w:fill="auto"/>
            <w:tcMar>
              <w:top w:w="288" w:type="dxa"/>
              <w:bottom w:w="0" w:type="dxa"/>
            </w:tcMar>
          </w:tcPr>
          <w:p w:rsidR="008F68E3" w:rsidRPr="00465833" w:rsidRDefault="008F68E3" w:rsidP="00EF65A6">
            <w:pPr>
              <w:jc w:val="both"/>
            </w:pPr>
            <w:bookmarkStart w:id="2" w:name="startFrom"/>
            <w:bookmarkEnd w:id="2"/>
            <w:r>
              <w:t>Marissa Ramos, Public Utilities Supervisor, Division of Engineering</w:t>
            </w:r>
          </w:p>
        </w:tc>
      </w:tr>
      <w:tr w:rsidR="008F68E3" w:rsidRPr="00465833" w:rsidTr="00EF65A6">
        <w:tc>
          <w:tcPr>
            <w:tcW w:w="1254" w:type="dxa"/>
            <w:tcBorders>
              <w:top w:val="nil"/>
              <w:left w:val="nil"/>
              <w:bottom w:val="single" w:sz="24" w:space="0" w:color="auto"/>
              <w:right w:val="nil"/>
            </w:tcBorders>
            <w:shd w:val="clear" w:color="auto" w:fill="auto"/>
            <w:tcMar>
              <w:top w:w="288" w:type="dxa"/>
              <w:right w:w="0" w:type="dxa"/>
            </w:tcMar>
          </w:tcPr>
          <w:p w:rsidR="008F68E3" w:rsidRPr="00465833" w:rsidRDefault="008F68E3" w:rsidP="00EF65A6">
            <w:pPr>
              <w:jc w:val="both"/>
              <w:rPr>
                <w:rFonts w:ascii="Arial" w:hAnsi="Arial"/>
                <w:b/>
              </w:rPr>
            </w:pPr>
            <w:r w:rsidRPr="00465833">
              <w:rPr>
                <w:rFonts w:ascii="Arial" w:hAnsi="Arial"/>
                <w:b/>
              </w:rPr>
              <w:t>RE:</w:t>
            </w:r>
          </w:p>
        </w:tc>
        <w:tc>
          <w:tcPr>
            <w:tcW w:w="8221" w:type="dxa"/>
            <w:gridSpan w:val="2"/>
            <w:tcBorders>
              <w:top w:val="nil"/>
              <w:left w:val="nil"/>
              <w:bottom w:val="single" w:sz="24" w:space="0" w:color="auto"/>
              <w:right w:val="nil"/>
            </w:tcBorders>
            <w:shd w:val="clear" w:color="auto" w:fill="auto"/>
            <w:tcMar>
              <w:top w:w="288" w:type="dxa"/>
            </w:tcMar>
          </w:tcPr>
          <w:p w:rsidR="008F68E3" w:rsidRPr="00465833" w:rsidRDefault="008F68E3" w:rsidP="00EF65A6">
            <w:pPr>
              <w:tabs>
                <w:tab w:val="left" w:pos="2520"/>
                <w:tab w:val="left" w:pos="2736"/>
              </w:tabs>
              <w:jc w:val="both"/>
            </w:pPr>
            <w:bookmarkStart w:id="3" w:name="startRE"/>
            <w:bookmarkEnd w:id="3"/>
            <w:r>
              <w:t>DN 20210189-WU - Application for transfer of water facilities of Camachee Island Company, Inc. d/b/a Camachee Cove Yacht Harbor Utility and Certificate No. 647-W to Windward Camachee Marina Owner LLC d/b/a Camachee Cove Yacht Harbor Utility, in St. Johns County.</w:t>
            </w:r>
          </w:p>
        </w:tc>
      </w:tr>
    </w:tbl>
    <w:p w:rsidR="008F68E3" w:rsidRPr="001355F5" w:rsidRDefault="008F68E3" w:rsidP="008F68E3"/>
    <w:p w:rsidR="008F68E3" w:rsidRDefault="008F68E3" w:rsidP="008F68E3">
      <w:pPr>
        <w:jc w:val="both"/>
      </w:pPr>
      <w:r>
        <w:t xml:space="preserve">Please find attached a REVISED Recommendation for the above mentioned docket. </w:t>
      </w:r>
      <w:r w:rsidRPr="009A03C2">
        <w:t>The revisions were necessary</w:t>
      </w:r>
      <w:r>
        <w:t xml:space="preserve"> due to staff receiving updated information from the Company. In addition to revising the filing and agenda conference dates, revisions were made to pages two and three only.</w:t>
      </w:r>
    </w:p>
    <w:p w:rsidR="008F68E3" w:rsidRDefault="008F68E3"/>
    <w:p w:rsidR="008F68E3" w:rsidRDefault="008F68E3"/>
    <w:p w:rsidR="008F68E3" w:rsidRDefault="008F68E3">
      <w:pPr>
        <w:sectPr w:rsidR="008F68E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8F68E3" w:rsidRDefault="008F68E3"/>
    <w:p w:rsidR="008F68E3" w:rsidRDefault="008F68E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DE1B88" w:rsidTr="00EF65A6">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DE1B88" w:rsidRDefault="00DE1B88" w:rsidP="00EF65A6">
            <w:pPr>
              <w:pStyle w:val="MastHeadState"/>
            </w:pPr>
            <w:r>
              <w:lastRenderedPageBreak/>
              <w:t>State of Florida</w:t>
            </w:r>
          </w:p>
          <w:p w:rsidR="00DE1B88" w:rsidRDefault="00DE1B88" w:rsidP="00EF65A6">
            <w:pPr>
              <w:jc w:val="center"/>
            </w:pPr>
            <w:r>
              <w:rPr>
                <w:noProof/>
              </w:rPr>
              <w:drawing>
                <wp:inline distT="0" distB="0" distL="0" distR="0" wp14:anchorId="1E7E734D" wp14:editId="741A00A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DE1B88" w:rsidRDefault="00DE1B88" w:rsidP="00EF65A6"/>
        </w:tc>
        <w:tc>
          <w:tcPr>
            <w:tcW w:w="7273" w:type="dxa"/>
            <w:gridSpan w:val="2"/>
            <w:tcBorders>
              <w:top w:val="nil"/>
              <w:left w:val="nil"/>
              <w:bottom w:val="single" w:sz="24" w:space="0" w:color="auto"/>
              <w:right w:val="nil"/>
            </w:tcBorders>
            <w:shd w:val="clear" w:color="auto" w:fill="auto"/>
            <w:vAlign w:val="bottom"/>
          </w:tcPr>
          <w:p w:rsidR="00DE1B88" w:rsidRDefault="00DE1B88" w:rsidP="00EF65A6">
            <w:pPr>
              <w:pStyle w:val="MastHeadPSC"/>
            </w:pPr>
            <w:r>
              <w:t>Public Service Commission</w:t>
            </w:r>
          </w:p>
          <w:p w:rsidR="00DE1B88" w:rsidRDefault="00DE1B88" w:rsidP="00EF65A6">
            <w:pPr>
              <w:pStyle w:val="MastHeadAddress"/>
            </w:pPr>
            <w:r>
              <w:t>Capital Circle Office Center ● 2540 Shumard Oak Boulevard</w:t>
            </w:r>
            <w:r>
              <w:br/>
              <w:t>Tallahassee, Florida 32399-0850</w:t>
            </w:r>
          </w:p>
          <w:p w:rsidR="00DE1B88" w:rsidRDefault="00DE1B88" w:rsidP="00EF65A6">
            <w:pPr>
              <w:pStyle w:val="MastHeadMemorandum"/>
            </w:pPr>
            <w:r>
              <w:t>-M-E-M-O-R-A-N-D-U-M-</w:t>
            </w:r>
          </w:p>
          <w:p w:rsidR="00DE1B88" w:rsidRDefault="00DE1B88" w:rsidP="00EF65A6">
            <w:pPr>
              <w:pStyle w:val="MemoHeading"/>
            </w:pPr>
          </w:p>
        </w:tc>
      </w:tr>
      <w:tr w:rsidR="00DE1B88" w:rsidTr="00EF65A6">
        <w:tc>
          <w:tcPr>
            <w:tcW w:w="1254" w:type="dxa"/>
            <w:tcBorders>
              <w:top w:val="single" w:sz="24" w:space="0" w:color="auto"/>
              <w:left w:val="nil"/>
              <w:bottom w:val="nil"/>
              <w:right w:val="nil"/>
            </w:tcBorders>
            <w:shd w:val="clear" w:color="auto" w:fill="auto"/>
            <w:tcMar>
              <w:top w:w="288" w:type="dxa"/>
              <w:bottom w:w="0" w:type="dxa"/>
              <w:right w:w="0" w:type="dxa"/>
            </w:tcMar>
          </w:tcPr>
          <w:p w:rsidR="00DE1B88" w:rsidRDefault="00DE1B88" w:rsidP="00EF65A6">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DE1B88" w:rsidRDefault="00266C44" w:rsidP="00EF65A6">
            <w:pPr>
              <w:pStyle w:val="MemoHeading"/>
            </w:pPr>
            <w:bookmarkStart w:id="6" w:name="FilingDate"/>
            <w:r w:rsidRPr="00266C44">
              <w:rPr>
                <w:strike/>
              </w:rPr>
              <w:t>February 23, 2023</w:t>
            </w:r>
            <w:r>
              <w:t xml:space="preserve"> </w:t>
            </w:r>
            <w:r w:rsidR="00DE1B88" w:rsidRPr="00266C44">
              <w:rPr>
                <w:u w:val="single"/>
              </w:rPr>
              <w:t>March 23, 2023</w:t>
            </w:r>
            <w:bookmarkEnd w:id="6"/>
          </w:p>
        </w:tc>
      </w:tr>
      <w:tr w:rsidR="00DE1B88" w:rsidTr="00EF65A6">
        <w:tc>
          <w:tcPr>
            <w:tcW w:w="1254" w:type="dxa"/>
            <w:tcBorders>
              <w:top w:val="nil"/>
              <w:left w:val="nil"/>
              <w:bottom w:val="nil"/>
              <w:right w:val="nil"/>
            </w:tcBorders>
            <w:shd w:val="clear" w:color="auto" w:fill="auto"/>
            <w:tcMar>
              <w:top w:w="288" w:type="dxa"/>
              <w:bottom w:w="0" w:type="dxa"/>
              <w:right w:w="0" w:type="dxa"/>
            </w:tcMar>
          </w:tcPr>
          <w:p w:rsidR="00DE1B88" w:rsidRDefault="00DE1B88" w:rsidP="00EF65A6">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DE1B88" w:rsidRDefault="00DE1B88" w:rsidP="00EF65A6">
            <w:pPr>
              <w:pStyle w:val="MemoHeading"/>
            </w:pPr>
            <w:r>
              <w:t>Office of Commission Clerk (Teitzman)</w:t>
            </w:r>
          </w:p>
        </w:tc>
      </w:tr>
      <w:tr w:rsidR="00DE1B88" w:rsidTr="00EF65A6">
        <w:tc>
          <w:tcPr>
            <w:tcW w:w="1254" w:type="dxa"/>
            <w:tcBorders>
              <w:top w:val="nil"/>
              <w:left w:val="nil"/>
              <w:bottom w:val="nil"/>
              <w:right w:val="nil"/>
            </w:tcBorders>
            <w:shd w:val="clear" w:color="auto" w:fill="auto"/>
            <w:tcMar>
              <w:top w:w="288" w:type="dxa"/>
              <w:right w:w="0" w:type="dxa"/>
            </w:tcMar>
          </w:tcPr>
          <w:p w:rsidR="00DE1B88" w:rsidRDefault="00DE1B88" w:rsidP="00EF65A6">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E1B88" w:rsidRDefault="00DE1B88" w:rsidP="00EF65A6">
            <w:pPr>
              <w:pStyle w:val="MemoHeading"/>
            </w:pPr>
            <w:bookmarkStart w:id="7" w:name="From"/>
            <w:r>
              <w:t>Division of Engineering (Lewis, Ramos)</w:t>
            </w:r>
          </w:p>
          <w:p w:rsidR="00DE1B88" w:rsidRDefault="00DE1B88" w:rsidP="00EF65A6">
            <w:pPr>
              <w:pStyle w:val="MemoHeading"/>
            </w:pPr>
            <w:r>
              <w:t>Division of Accounting and Finance (Cicchetti, Fletcher, Sewards, Veaughn)</w:t>
            </w:r>
          </w:p>
          <w:p w:rsidR="00DE1B88" w:rsidRDefault="00DE1B88" w:rsidP="00EF65A6">
            <w:pPr>
              <w:pStyle w:val="MemoHeading"/>
            </w:pPr>
            <w:r>
              <w:t>Division of Economics (Bethea, Hudson)</w:t>
            </w:r>
          </w:p>
          <w:p w:rsidR="00DE1B88" w:rsidRDefault="00DE1B88" w:rsidP="00247897">
            <w:pPr>
              <w:pStyle w:val="MemoHeading"/>
            </w:pPr>
            <w:r>
              <w:t>Office of t</w:t>
            </w:r>
            <w:bookmarkStart w:id="8" w:name="_GoBack"/>
            <w:bookmarkEnd w:id="8"/>
            <w:r>
              <w:t>he General Counsel (Sandy)</w:t>
            </w:r>
            <w:bookmarkEnd w:id="7"/>
          </w:p>
        </w:tc>
      </w:tr>
      <w:tr w:rsidR="00DE1B88" w:rsidTr="00EF65A6">
        <w:tc>
          <w:tcPr>
            <w:tcW w:w="1254" w:type="dxa"/>
            <w:tcBorders>
              <w:top w:val="nil"/>
              <w:left w:val="nil"/>
              <w:bottom w:val="nil"/>
              <w:right w:val="nil"/>
            </w:tcBorders>
            <w:shd w:val="clear" w:color="auto" w:fill="auto"/>
            <w:tcMar>
              <w:top w:w="288" w:type="dxa"/>
              <w:right w:w="0" w:type="dxa"/>
            </w:tcMar>
          </w:tcPr>
          <w:p w:rsidR="00DE1B88" w:rsidRDefault="00DE1B88" w:rsidP="00EF65A6">
            <w:pPr>
              <w:pStyle w:val="MemoHeadingLabel"/>
            </w:pPr>
            <w:r>
              <w:t>RE:</w:t>
            </w:r>
          </w:p>
        </w:tc>
        <w:tc>
          <w:tcPr>
            <w:tcW w:w="8221" w:type="dxa"/>
            <w:gridSpan w:val="3"/>
            <w:tcBorders>
              <w:top w:val="nil"/>
              <w:left w:val="nil"/>
              <w:bottom w:val="nil"/>
              <w:right w:val="nil"/>
            </w:tcBorders>
            <w:shd w:val="clear" w:color="auto" w:fill="auto"/>
            <w:tcMar>
              <w:top w:w="288" w:type="dxa"/>
            </w:tcMar>
          </w:tcPr>
          <w:p w:rsidR="00DE1B88" w:rsidRDefault="00DE1B88" w:rsidP="00EF65A6">
            <w:pPr>
              <w:pStyle w:val="MemoHeadingRe"/>
            </w:pPr>
            <w:bookmarkStart w:id="9" w:name="Re"/>
            <w:r>
              <w:t>Docket No. 20210189-WU – Application for transfer of water facilities of Camachee Island Company, Inc. d/b/a Camachee Cove Yacht Harbor Utility and Certificate No. 647-W to Windward Camachee Marina Owner LLC d/b/a Camachee Cove Yacht Harbor Utility, in St. Johns County.</w:t>
            </w:r>
            <w:bookmarkEnd w:id="9"/>
          </w:p>
        </w:tc>
      </w:tr>
      <w:tr w:rsidR="00DE1B88" w:rsidTr="00EF65A6">
        <w:tc>
          <w:tcPr>
            <w:tcW w:w="1254" w:type="dxa"/>
            <w:tcBorders>
              <w:top w:val="nil"/>
              <w:left w:val="nil"/>
              <w:bottom w:val="nil"/>
              <w:right w:val="nil"/>
            </w:tcBorders>
            <w:shd w:val="clear" w:color="auto" w:fill="auto"/>
            <w:tcMar>
              <w:top w:w="288" w:type="dxa"/>
              <w:bottom w:w="0" w:type="dxa"/>
              <w:right w:w="0" w:type="dxa"/>
            </w:tcMar>
          </w:tcPr>
          <w:p w:rsidR="00DE1B88" w:rsidRDefault="00DE1B88" w:rsidP="00EF65A6">
            <w:pPr>
              <w:pStyle w:val="MemoHeadingLabel"/>
            </w:pPr>
            <w:r>
              <w:t>AGENDA:</w:t>
            </w:r>
          </w:p>
        </w:tc>
        <w:tc>
          <w:tcPr>
            <w:tcW w:w="8221" w:type="dxa"/>
            <w:gridSpan w:val="3"/>
            <w:tcBorders>
              <w:top w:val="nil"/>
              <w:left w:val="nil"/>
              <w:bottom w:val="nil"/>
              <w:right w:val="nil"/>
            </w:tcBorders>
            <w:shd w:val="clear" w:color="auto" w:fill="auto"/>
            <w:tcMar>
              <w:top w:w="288" w:type="dxa"/>
            </w:tcMar>
          </w:tcPr>
          <w:p w:rsidR="00DE1B88" w:rsidRDefault="00266C44" w:rsidP="00EF65A6">
            <w:pPr>
              <w:pStyle w:val="MemoHeading"/>
            </w:pPr>
            <w:bookmarkStart w:id="10" w:name="AgendaDate"/>
            <w:r w:rsidRPr="00266C44">
              <w:rPr>
                <w:strike/>
              </w:rPr>
              <w:t>03/07</w:t>
            </w:r>
            <w:r w:rsidR="00DE1B88" w:rsidRPr="00266C44">
              <w:rPr>
                <w:strike/>
              </w:rPr>
              <w:t>/23</w:t>
            </w:r>
            <w:bookmarkEnd w:id="10"/>
            <w:r>
              <w:t xml:space="preserve"> </w:t>
            </w:r>
            <w:r w:rsidRPr="00266C44">
              <w:rPr>
                <w:u w:val="single"/>
              </w:rPr>
              <w:t>04/04/23</w:t>
            </w:r>
            <w:r w:rsidR="00DE1B88">
              <w:t xml:space="preserve"> – </w:t>
            </w:r>
            <w:bookmarkStart w:id="11" w:name="PermittedStatus"/>
            <w:r w:rsidR="00DE1B88">
              <w:t>Regular Agenda – Interested Persons May Participate</w:t>
            </w:r>
            <w:bookmarkEnd w:id="11"/>
          </w:p>
        </w:tc>
      </w:tr>
      <w:tr w:rsidR="00DE1B88" w:rsidTr="00EF65A6">
        <w:tc>
          <w:tcPr>
            <w:tcW w:w="3690" w:type="dxa"/>
            <w:gridSpan w:val="3"/>
            <w:tcBorders>
              <w:top w:val="nil"/>
              <w:left w:val="nil"/>
              <w:bottom w:val="nil"/>
              <w:right w:val="nil"/>
            </w:tcBorders>
            <w:shd w:val="clear" w:color="auto" w:fill="auto"/>
            <w:tcMar>
              <w:top w:w="288" w:type="dxa"/>
              <w:bottom w:w="0" w:type="dxa"/>
              <w:right w:w="0" w:type="dxa"/>
            </w:tcMar>
          </w:tcPr>
          <w:p w:rsidR="00DE1B88" w:rsidRDefault="00DE1B88" w:rsidP="00EF65A6">
            <w:pPr>
              <w:pStyle w:val="MemoHeadingLabel"/>
            </w:pPr>
            <w:r>
              <w:t>COMMISSIONERS ASSIGNED:</w:t>
            </w:r>
          </w:p>
        </w:tc>
        <w:tc>
          <w:tcPr>
            <w:tcW w:w="5785" w:type="dxa"/>
            <w:tcBorders>
              <w:top w:val="nil"/>
              <w:left w:val="nil"/>
              <w:bottom w:val="nil"/>
              <w:right w:val="nil"/>
            </w:tcBorders>
            <w:shd w:val="clear" w:color="auto" w:fill="auto"/>
          </w:tcPr>
          <w:p w:rsidR="00DE1B88" w:rsidRDefault="00DE1B88" w:rsidP="00EF65A6">
            <w:pPr>
              <w:pStyle w:val="MemoHeading"/>
            </w:pPr>
            <w:bookmarkStart w:id="12" w:name="CommissionersAssigned"/>
            <w:r>
              <w:t>All Commissioners</w:t>
            </w:r>
            <w:bookmarkEnd w:id="12"/>
          </w:p>
        </w:tc>
      </w:tr>
      <w:tr w:rsidR="00DE1B88" w:rsidTr="00EF65A6">
        <w:tc>
          <w:tcPr>
            <w:tcW w:w="3690" w:type="dxa"/>
            <w:gridSpan w:val="3"/>
            <w:tcBorders>
              <w:top w:val="nil"/>
              <w:left w:val="nil"/>
              <w:bottom w:val="nil"/>
              <w:right w:val="nil"/>
            </w:tcBorders>
            <w:shd w:val="clear" w:color="auto" w:fill="auto"/>
            <w:tcMar>
              <w:top w:w="288" w:type="dxa"/>
              <w:bottom w:w="0" w:type="dxa"/>
              <w:right w:w="0" w:type="dxa"/>
            </w:tcMar>
          </w:tcPr>
          <w:p w:rsidR="00DE1B88" w:rsidRDefault="00DE1B88" w:rsidP="00EF65A6">
            <w:pPr>
              <w:pStyle w:val="MemoHeadingLabel"/>
            </w:pPr>
            <w:r>
              <w:t>PREHEARING OFFICER:</w:t>
            </w:r>
          </w:p>
        </w:tc>
        <w:tc>
          <w:tcPr>
            <w:tcW w:w="5785" w:type="dxa"/>
            <w:tcBorders>
              <w:top w:val="nil"/>
              <w:left w:val="nil"/>
              <w:bottom w:val="nil"/>
              <w:right w:val="nil"/>
            </w:tcBorders>
            <w:shd w:val="clear" w:color="auto" w:fill="auto"/>
          </w:tcPr>
          <w:p w:rsidR="00DE1B88" w:rsidRDefault="00DE1B88" w:rsidP="00EF65A6">
            <w:pPr>
              <w:pStyle w:val="MemoHeading"/>
            </w:pPr>
            <w:bookmarkStart w:id="13" w:name="PrehearingOfficer"/>
            <w:r>
              <w:t>Graham</w:t>
            </w:r>
            <w:bookmarkEnd w:id="13"/>
          </w:p>
        </w:tc>
      </w:tr>
      <w:tr w:rsidR="00DE1B88" w:rsidTr="00EF65A6">
        <w:tc>
          <w:tcPr>
            <w:tcW w:w="3690" w:type="dxa"/>
            <w:gridSpan w:val="3"/>
            <w:tcBorders>
              <w:top w:val="nil"/>
              <w:left w:val="nil"/>
              <w:bottom w:val="nil"/>
              <w:right w:val="nil"/>
            </w:tcBorders>
            <w:shd w:val="clear" w:color="auto" w:fill="auto"/>
            <w:tcMar>
              <w:top w:w="288" w:type="dxa"/>
              <w:bottom w:w="0" w:type="dxa"/>
              <w:right w:w="0" w:type="dxa"/>
            </w:tcMar>
          </w:tcPr>
          <w:p w:rsidR="00DE1B88" w:rsidRDefault="00DE1B88" w:rsidP="00EF65A6">
            <w:pPr>
              <w:pStyle w:val="MemoHeadingLabel"/>
            </w:pPr>
            <w:bookmarkStart w:id="14" w:name="CriticalDatesLabel"/>
            <w:r>
              <w:t>CRITICAL DATES:</w:t>
            </w:r>
            <w:bookmarkEnd w:id="14"/>
          </w:p>
        </w:tc>
        <w:tc>
          <w:tcPr>
            <w:tcW w:w="5785" w:type="dxa"/>
            <w:tcBorders>
              <w:top w:val="nil"/>
              <w:left w:val="nil"/>
              <w:bottom w:val="nil"/>
              <w:right w:val="nil"/>
            </w:tcBorders>
            <w:shd w:val="clear" w:color="auto" w:fill="auto"/>
          </w:tcPr>
          <w:p w:rsidR="00DE1B88" w:rsidRDefault="00DE1B88" w:rsidP="00EF65A6">
            <w:pPr>
              <w:pStyle w:val="MemoHeading"/>
            </w:pPr>
            <w:bookmarkStart w:id="15" w:name="CriticalDates"/>
            <w:r>
              <w:t>None</w:t>
            </w:r>
            <w:bookmarkEnd w:id="15"/>
          </w:p>
        </w:tc>
      </w:tr>
      <w:tr w:rsidR="00DE1B88" w:rsidTr="00EF65A6">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DE1B88" w:rsidRDefault="00DE1B88" w:rsidP="00EF65A6">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DE1B88" w:rsidRDefault="00DE1B88" w:rsidP="00EF65A6">
            <w:pPr>
              <w:pStyle w:val="MemoHeading"/>
            </w:pPr>
            <w:bookmarkStart w:id="16" w:name="SpecialInstructions"/>
            <w:r>
              <w:t>None</w:t>
            </w:r>
            <w:bookmarkEnd w:id="16"/>
          </w:p>
        </w:tc>
      </w:tr>
    </w:tbl>
    <w:p w:rsidR="007C0528" w:rsidRDefault="007C0528">
      <w:pPr>
        <w:pStyle w:val="BodyText"/>
      </w:pPr>
    </w:p>
    <w:p w:rsidR="007C0528" w:rsidRDefault="007C0528">
      <w:pPr>
        <w:pStyle w:val="RecommendationMajorSectionHeading"/>
      </w:pPr>
      <w:bookmarkStart w:id="17" w:name="RecToC"/>
      <w:bookmarkEnd w:id="17"/>
      <w:r>
        <w:t xml:space="preserve"> </w:t>
      </w:r>
      <w:bookmarkStart w:id="18" w:name="CaseBackground"/>
      <w:r>
        <w:t>Case Background</w:t>
      </w:r>
      <w:r>
        <w:fldChar w:fldCharType="begin"/>
      </w:r>
      <w:r>
        <w:instrText xml:space="preserve"> TC  "</w:instrText>
      </w:r>
      <w:r>
        <w:tab/>
      </w:r>
      <w:bookmarkStart w:id="19" w:name="_Toc94516455"/>
      <w:r>
        <w:instrText>Case Background</w:instrText>
      </w:r>
      <w:bookmarkEnd w:id="19"/>
      <w:r>
        <w:instrText xml:space="preserve">" \l 1 </w:instrText>
      </w:r>
      <w:r>
        <w:fldChar w:fldCharType="end"/>
      </w:r>
    </w:p>
    <w:p w:rsidR="00DE1B88" w:rsidRDefault="00DE1B88" w:rsidP="00DE1B88">
      <w:pPr>
        <w:spacing w:after="240"/>
        <w:jc w:val="both"/>
        <w:rPr>
          <w:rFonts w:eastAsia="Calibri"/>
          <w:szCs w:val="22"/>
        </w:rPr>
        <w:sectPr w:rsidR="00DE1B88" w:rsidSect="00D117AC">
          <w:headerReference w:type="default" r:id="rId10"/>
          <w:footerReference w:type="default" r:id="rId11"/>
          <w:type w:val="continuous"/>
          <w:pgSz w:w="12240" w:h="15840" w:code="1"/>
          <w:pgMar w:top="1584" w:right="1440" w:bottom="1440" w:left="1440" w:header="720" w:footer="720" w:gutter="0"/>
          <w:pgNumType w:start="0"/>
          <w:cols w:space="720"/>
          <w:formProt w:val="0"/>
          <w:docGrid w:linePitch="360"/>
        </w:sectPr>
      </w:pPr>
      <w:r w:rsidRPr="00644050">
        <w:rPr>
          <w:rFonts w:eastAsia="Calibri"/>
          <w:szCs w:val="22"/>
        </w:rPr>
        <w:t xml:space="preserve">Camachee Island Company, Inc. d/b/a Camachee Cove Yacht Harbor Utility (Camachee or Seller) is a Class C water utility providing </w:t>
      </w:r>
      <w:r>
        <w:rPr>
          <w:rFonts w:eastAsia="Calibri"/>
          <w:szCs w:val="22"/>
        </w:rPr>
        <w:t xml:space="preserve">water </w:t>
      </w:r>
      <w:r w:rsidRPr="00644050">
        <w:rPr>
          <w:rFonts w:eastAsia="Calibri"/>
          <w:szCs w:val="22"/>
        </w:rPr>
        <w:t>service to approximately 68 residential and 28 general service customers in St. Johns County. The Utility is located in the St. Johns River Water Management District (SJRWMD)</w:t>
      </w:r>
      <w:r>
        <w:rPr>
          <w:rFonts w:eastAsia="Calibri"/>
          <w:szCs w:val="22"/>
        </w:rPr>
        <w:t xml:space="preserve"> and is</w:t>
      </w:r>
      <w:r w:rsidRPr="00644050">
        <w:rPr>
          <w:rFonts w:eastAsia="Calibri"/>
          <w:szCs w:val="22"/>
        </w:rPr>
        <w:t xml:space="preserve"> in the Water Resource Caution Area.</w:t>
      </w:r>
      <w:r w:rsidRPr="00644050">
        <w:rPr>
          <w:rFonts w:eastAsia="Calibri"/>
          <w:szCs w:val="22"/>
          <w:lang w:val="en-CA"/>
        </w:rPr>
        <w:fldChar w:fldCharType="begin"/>
      </w:r>
      <w:r w:rsidRPr="00644050">
        <w:rPr>
          <w:rFonts w:eastAsia="Calibri"/>
          <w:szCs w:val="22"/>
          <w:lang w:val="en-CA"/>
        </w:rPr>
        <w:instrText xml:space="preserve"> SEQ CHAPTER \h \r 1</w:instrText>
      </w:r>
      <w:r w:rsidRPr="00644050">
        <w:rPr>
          <w:rFonts w:eastAsia="Calibri"/>
          <w:szCs w:val="22"/>
        </w:rPr>
        <w:fldChar w:fldCharType="end"/>
      </w:r>
      <w:r w:rsidRPr="00644050">
        <w:rPr>
          <w:rFonts w:eastAsia="Calibri"/>
          <w:szCs w:val="22"/>
        </w:rPr>
        <w:t xml:space="preserve"> Wastewater service is provided by the City of St. Augustine. In its 202</w:t>
      </w:r>
      <w:r>
        <w:rPr>
          <w:rFonts w:eastAsia="Calibri"/>
          <w:szCs w:val="22"/>
        </w:rPr>
        <w:t>1</w:t>
      </w:r>
      <w:r w:rsidRPr="00644050">
        <w:rPr>
          <w:rFonts w:eastAsia="Calibri"/>
          <w:szCs w:val="22"/>
        </w:rPr>
        <w:t xml:space="preserve"> Annual Report, Camachee reported operating revenues of</w:t>
      </w:r>
      <w:r>
        <w:rPr>
          <w:rFonts w:eastAsia="Calibri"/>
          <w:szCs w:val="22"/>
        </w:rPr>
        <w:t xml:space="preserve"> </w:t>
      </w:r>
      <w:r w:rsidRPr="00644050">
        <w:rPr>
          <w:rFonts w:eastAsia="Calibri"/>
          <w:szCs w:val="22"/>
        </w:rPr>
        <w:t>$</w:t>
      </w:r>
      <w:r>
        <w:rPr>
          <w:rFonts w:eastAsia="Calibri"/>
          <w:szCs w:val="22"/>
        </w:rPr>
        <w:t>166,837</w:t>
      </w:r>
      <w:r w:rsidRPr="00644050">
        <w:rPr>
          <w:rFonts w:eastAsia="Calibri"/>
          <w:szCs w:val="22"/>
        </w:rPr>
        <w:t xml:space="preserve"> and</w:t>
      </w:r>
      <w:r>
        <w:rPr>
          <w:rFonts w:eastAsia="Calibri"/>
          <w:szCs w:val="22"/>
        </w:rPr>
        <w:t xml:space="preserve"> a net operating loss of $20,837</w:t>
      </w:r>
      <w:r w:rsidRPr="00644050">
        <w:rPr>
          <w:rFonts w:eastAsia="Calibri"/>
          <w:szCs w:val="22"/>
        </w:rPr>
        <w:t>.</w:t>
      </w:r>
    </w:p>
    <w:p w:rsidR="00877A60" w:rsidRDefault="00877A60" w:rsidP="0068481F"/>
    <w:p w:rsidR="00877A60" w:rsidRPr="00644050" w:rsidRDefault="00877A60" w:rsidP="00877A60">
      <w:pPr>
        <w:spacing w:after="240"/>
        <w:jc w:val="both"/>
        <w:rPr>
          <w:rFonts w:eastAsia="Calibri"/>
          <w:szCs w:val="22"/>
        </w:rPr>
      </w:pPr>
      <w:r>
        <w:rPr>
          <w:rFonts w:eastAsia="Calibri"/>
          <w:szCs w:val="22"/>
        </w:rPr>
        <w:lastRenderedPageBreak/>
        <w:t>Camachee</w:t>
      </w:r>
      <w:r w:rsidRPr="00644050">
        <w:rPr>
          <w:rFonts w:eastAsia="Calibri"/>
          <w:szCs w:val="22"/>
        </w:rPr>
        <w:t xml:space="preserve"> began operations in 1977. Camachee was granted an original certificate to operate a water utility in St. Johns County in 1988, subsequent to the county turning jurisdiction over to </w:t>
      </w:r>
      <w:r>
        <w:rPr>
          <w:rFonts w:eastAsia="Calibri"/>
          <w:szCs w:val="22"/>
        </w:rPr>
        <w:t>the Florida Public Service Commission (Commission)</w:t>
      </w:r>
      <w:r w:rsidRPr="00644050">
        <w:rPr>
          <w:rFonts w:eastAsia="Calibri"/>
          <w:szCs w:val="22"/>
        </w:rPr>
        <w:t xml:space="preserve">. The county rescinded our jurisdiction in 1989. The </w:t>
      </w:r>
      <w:r w:rsidRPr="00644050">
        <w:rPr>
          <w:rFonts w:eastAsia="Calibri"/>
          <w:color w:val="000000"/>
          <w:szCs w:val="22"/>
        </w:rPr>
        <w:t xml:space="preserve">Commission granted a grandfather water certificate to </w:t>
      </w:r>
      <w:r w:rsidRPr="00644050">
        <w:rPr>
          <w:rFonts w:eastAsia="Calibri"/>
          <w:szCs w:val="22"/>
        </w:rPr>
        <w:t xml:space="preserve">Camachee </w:t>
      </w:r>
      <w:r w:rsidRPr="00644050">
        <w:rPr>
          <w:rFonts w:eastAsia="Calibri"/>
          <w:color w:val="000000"/>
          <w:szCs w:val="22"/>
        </w:rPr>
        <w:t>in 2009</w:t>
      </w:r>
      <w:r>
        <w:rPr>
          <w:rFonts w:eastAsia="Calibri"/>
          <w:color w:val="000000"/>
          <w:szCs w:val="22"/>
        </w:rPr>
        <w:t>, after the county transferred jurisdiction back to the Commission</w:t>
      </w:r>
      <w:r w:rsidRPr="00644050">
        <w:rPr>
          <w:rFonts w:eastAsia="Calibri"/>
          <w:color w:val="000000"/>
          <w:szCs w:val="22"/>
        </w:rPr>
        <w:t>.</w:t>
      </w:r>
      <w:r w:rsidRPr="00644050">
        <w:rPr>
          <w:rFonts w:eastAsia="Calibri"/>
          <w:szCs w:val="22"/>
          <w:vertAlign w:val="superscript"/>
        </w:rPr>
        <w:footnoteReference w:id="1"/>
      </w:r>
      <w:r w:rsidRPr="00644050">
        <w:rPr>
          <w:rFonts w:eastAsia="Calibri"/>
          <w:color w:val="000000"/>
          <w:szCs w:val="22"/>
        </w:rPr>
        <w:t xml:space="preserve"> </w:t>
      </w:r>
      <w:r w:rsidRPr="00644050">
        <w:rPr>
          <w:rFonts w:eastAsia="Calibri"/>
          <w:szCs w:val="22"/>
        </w:rPr>
        <w:t xml:space="preserve">The </w:t>
      </w:r>
      <w:r>
        <w:rPr>
          <w:rFonts w:eastAsia="Calibri"/>
          <w:szCs w:val="22"/>
        </w:rPr>
        <w:t>Utility’s last</w:t>
      </w:r>
      <w:r w:rsidRPr="00644050">
        <w:rPr>
          <w:rFonts w:eastAsia="Calibri"/>
          <w:szCs w:val="22"/>
        </w:rPr>
        <w:t xml:space="preserve"> rate increase </w:t>
      </w:r>
      <w:r>
        <w:rPr>
          <w:rFonts w:eastAsia="Calibri"/>
          <w:szCs w:val="22"/>
        </w:rPr>
        <w:t xml:space="preserve">was </w:t>
      </w:r>
      <w:r w:rsidRPr="00644050">
        <w:rPr>
          <w:rFonts w:eastAsia="Calibri"/>
          <w:szCs w:val="22"/>
        </w:rPr>
        <w:t>in 2017</w:t>
      </w:r>
      <w:r>
        <w:rPr>
          <w:rFonts w:eastAsia="Calibri"/>
          <w:szCs w:val="22"/>
        </w:rPr>
        <w:t xml:space="preserve"> through a limited revenue proceeding</w:t>
      </w:r>
      <w:r w:rsidRPr="00644050">
        <w:rPr>
          <w:rFonts w:eastAsia="Calibri"/>
          <w:szCs w:val="22"/>
        </w:rPr>
        <w:t>.</w:t>
      </w:r>
      <w:r w:rsidRPr="00644050">
        <w:rPr>
          <w:rFonts w:eastAsia="Calibri"/>
          <w:szCs w:val="22"/>
          <w:vertAlign w:val="superscript"/>
        </w:rPr>
        <w:footnoteReference w:id="2"/>
      </w:r>
      <w:r w:rsidRPr="00644050">
        <w:rPr>
          <w:rFonts w:eastAsia="Calibri"/>
          <w:szCs w:val="22"/>
        </w:rPr>
        <w:t xml:space="preserve"> </w:t>
      </w:r>
    </w:p>
    <w:p w:rsidR="00877A60" w:rsidRPr="00D42411" w:rsidRDefault="00877A60" w:rsidP="00877A60">
      <w:pPr>
        <w:spacing w:after="240"/>
        <w:jc w:val="both"/>
        <w:rPr>
          <w:rFonts w:eastAsia="Calibri"/>
          <w:szCs w:val="22"/>
        </w:rPr>
      </w:pPr>
      <w:r w:rsidRPr="00644050">
        <w:rPr>
          <w:rFonts w:eastAsia="Calibri"/>
          <w:szCs w:val="22"/>
        </w:rPr>
        <w:t xml:space="preserve">On December 1, 2021, Windward Camachee Marina Owner LLC </w:t>
      </w:r>
      <w:r w:rsidRPr="007678AD">
        <w:t>d/b/a Camachee Cove Yacht Harbor Utility</w:t>
      </w:r>
      <w:r w:rsidRPr="00644050">
        <w:rPr>
          <w:rFonts w:eastAsia="Calibri"/>
          <w:szCs w:val="22"/>
        </w:rPr>
        <w:t xml:space="preserve"> (Windward, Utility, or Buyer) filed an application </w:t>
      </w:r>
      <w:r w:rsidRPr="00644050">
        <w:rPr>
          <w:rFonts w:eastAsia="Calibri"/>
          <w:color w:val="000000"/>
          <w:szCs w:val="22"/>
        </w:rPr>
        <w:t xml:space="preserve">with the Commission </w:t>
      </w:r>
      <w:r w:rsidRPr="00644050">
        <w:rPr>
          <w:rFonts w:eastAsia="Calibri"/>
          <w:szCs w:val="22"/>
        </w:rPr>
        <w:t>for the transfer of Certificate No. 647-W from Camachee to Windward in St. Johns County</w:t>
      </w:r>
      <w:r>
        <w:rPr>
          <w:rFonts w:eastAsia="Calibri"/>
          <w:szCs w:val="22"/>
        </w:rPr>
        <w:t xml:space="preserve">, pursuant to </w:t>
      </w:r>
      <w:r>
        <w:t>Rule 25-30.037(2)</w:t>
      </w:r>
      <w:r w:rsidRPr="00644050">
        <w:t>,</w:t>
      </w:r>
      <w:r>
        <w:t xml:space="preserve"> Florida Administrative Code</w:t>
      </w:r>
      <w:r w:rsidRPr="00644050">
        <w:t xml:space="preserve"> </w:t>
      </w:r>
      <w:r>
        <w:t>(</w:t>
      </w:r>
      <w:r w:rsidRPr="00644050">
        <w:t>F.A.C.</w:t>
      </w:r>
      <w:r>
        <w:t>)</w:t>
      </w:r>
      <w:r w:rsidRPr="00644050">
        <w:rPr>
          <w:rFonts w:eastAsia="Calibri"/>
          <w:szCs w:val="22"/>
        </w:rPr>
        <w:t>.</w:t>
      </w:r>
      <w:r>
        <w:rPr>
          <w:rFonts w:eastAsia="Calibri"/>
          <w:szCs w:val="22"/>
        </w:rPr>
        <w:t xml:space="preserve"> After the buyer’s application was filed with the Commission, the Office of Public Counsel communicated its concerns with the Utility’s transfer application in writing and during an informal meeting with the Utility, and Commission staff.</w:t>
      </w:r>
      <w:r>
        <w:rPr>
          <w:rStyle w:val="FootnoteReference"/>
          <w:rFonts w:eastAsia="Calibri"/>
          <w:szCs w:val="22"/>
        </w:rPr>
        <w:footnoteReference w:id="3"/>
      </w:r>
      <w:r>
        <w:rPr>
          <w:rFonts w:eastAsia="Calibri"/>
          <w:szCs w:val="22"/>
        </w:rPr>
        <w:t xml:space="preserve"> As a result, on November 22, 2022, the Utility provided Commission staff with a survey, consisting of a map</w:t>
      </w:r>
      <w:r w:rsidRPr="001248B0">
        <w:rPr>
          <w:rFonts w:eastAsia="Calibri"/>
          <w:szCs w:val="22"/>
        </w:rPr>
        <w:t xml:space="preserve"> and description</w:t>
      </w:r>
      <w:r>
        <w:rPr>
          <w:rFonts w:eastAsia="Calibri"/>
          <w:szCs w:val="22"/>
        </w:rPr>
        <w:t xml:space="preserve"> </w:t>
      </w:r>
      <w:r w:rsidRPr="001248B0">
        <w:rPr>
          <w:rFonts w:eastAsia="Calibri"/>
          <w:szCs w:val="22"/>
        </w:rPr>
        <w:t>of</w:t>
      </w:r>
      <w:r>
        <w:rPr>
          <w:rFonts w:eastAsia="Calibri"/>
          <w:szCs w:val="22"/>
        </w:rPr>
        <w:t xml:space="preserve"> </w:t>
      </w:r>
      <w:r w:rsidRPr="001248B0">
        <w:rPr>
          <w:rFonts w:eastAsia="Calibri"/>
          <w:szCs w:val="22"/>
        </w:rPr>
        <w:t>a</w:t>
      </w:r>
      <w:r>
        <w:rPr>
          <w:rFonts w:eastAsia="Calibri"/>
          <w:szCs w:val="22"/>
        </w:rPr>
        <w:t xml:space="preserve"> recorded </w:t>
      </w:r>
      <w:r w:rsidRPr="001248B0">
        <w:rPr>
          <w:rFonts w:eastAsia="Calibri"/>
          <w:szCs w:val="22"/>
        </w:rPr>
        <w:t>water utility easement</w:t>
      </w:r>
      <w:r>
        <w:rPr>
          <w:rFonts w:eastAsia="Calibri"/>
          <w:szCs w:val="22"/>
        </w:rPr>
        <w:t xml:space="preserve"> utilized by Buyer, and the mortgage release executed by the Buyer’s lender as requested by Commission staff, in order to process the Utility’s application.</w:t>
      </w:r>
      <w:r>
        <w:rPr>
          <w:rStyle w:val="FootnoteReference"/>
          <w:rFonts w:eastAsia="Calibri"/>
          <w:szCs w:val="22"/>
        </w:rPr>
        <w:footnoteReference w:id="4"/>
      </w:r>
      <w:r>
        <w:rPr>
          <w:rFonts w:eastAsia="Calibri"/>
          <w:szCs w:val="22"/>
        </w:rPr>
        <w:t xml:space="preserve"> </w:t>
      </w:r>
      <w:r w:rsidRPr="00D42411">
        <w:rPr>
          <w:rFonts w:eastAsia="Calibri"/>
          <w:szCs w:val="22"/>
          <w:u w:val="single"/>
        </w:rPr>
        <w:t>By letter dated March 8, 2023, the Buyer clarified that there was a scrivener’s error within the previous filing of the recorded easement and that the land upon which the water treatment plant is located is indeed owned by the Buyer pursuant to the recorded special warranty deed filed as part of its original application.</w:t>
      </w:r>
      <w:r w:rsidRPr="00D42411">
        <w:rPr>
          <w:rFonts w:eastAsia="Calibri"/>
          <w:szCs w:val="22"/>
          <w:highlight w:val="yellow"/>
          <w:u w:val="single"/>
        </w:rPr>
        <w:t xml:space="preserve"> </w:t>
      </w:r>
    </w:p>
    <w:p w:rsidR="00DE1B88" w:rsidRDefault="00877A60" w:rsidP="00877A60">
      <w:pPr>
        <w:jc w:val="both"/>
      </w:pPr>
      <w:r w:rsidRPr="00644050">
        <w:rPr>
          <w:rFonts w:eastAsia="Calibri"/>
          <w:szCs w:val="22"/>
        </w:rPr>
        <w:t>This recommendation addresses the transfer of the water system and Certificate No. 647-W and the appropriate net book value of the water system for transfer purposes</w:t>
      </w:r>
      <w:r>
        <w:rPr>
          <w:rFonts w:eastAsia="Calibri"/>
          <w:szCs w:val="22"/>
        </w:rPr>
        <w:t>, and the revision of certain miscellaneous service charges</w:t>
      </w:r>
      <w:r w:rsidRPr="00644050">
        <w:rPr>
          <w:rFonts w:eastAsia="Calibri"/>
          <w:szCs w:val="22"/>
        </w:rPr>
        <w:t>. The Commission has jurisdiction pursuant to Section 367.071, Florida Statutes (F.S.).</w:t>
      </w:r>
    </w:p>
    <w:p w:rsidR="00877A60" w:rsidRDefault="00877A60" w:rsidP="0068481F"/>
    <w:bookmarkEnd w:id="18"/>
    <w:p w:rsidR="00877A60" w:rsidRDefault="00877A60" w:rsidP="00877A60">
      <w:pPr>
        <w:pStyle w:val="BodyText"/>
      </w:pPr>
    </w:p>
    <w:p w:rsidR="00877A60" w:rsidRPr="00877A60" w:rsidRDefault="00877A60" w:rsidP="00877A60">
      <w:pPr>
        <w:pStyle w:val="BodyText"/>
        <w:sectPr w:rsidR="00877A60" w:rsidRPr="00877A60" w:rsidSect="00716357">
          <w:headerReference w:type="default" r:id="rId12"/>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20" w:name="DiscussionOfIssues"/>
      <w:r>
        <w:lastRenderedPageBreak/>
        <w:t>Discussion of Issues</w:t>
      </w:r>
    </w:p>
    <w:bookmarkEnd w:id="20"/>
    <w:p w:rsidR="005B5B5F" w:rsidRDefault="005B5B5F" w:rsidP="005B5B5F">
      <w:pPr>
        <w:pStyle w:val="IssueHeading"/>
        <w:rPr>
          <w:vanish/>
          <w:specVanish/>
        </w:rPr>
      </w:pPr>
      <w:r w:rsidRPr="004C3641">
        <w:t xml:space="preserve">Issue </w:t>
      </w:r>
      <w:r w:rsidR="002D4AF2">
        <w:fldChar w:fldCharType="begin"/>
      </w:r>
      <w:r w:rsidR="002D4AF2">
        <w:instrText xml:space="preserve"> SEQ Issue \* MERGEFORMAT </w:instrText>
      </w:r>
      <w:r w:rsidR="002D4AF2">
        <w:fldChar w:fldCharType="separate"/>
      </w:r>
      <w:r>
        <w:rPr>
          <w:noProof/>
        </w:rPr>
        <w:t>1</w:t>
      </w:r>
      <w:r w:rsidR="002D4AF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5B5B5F" w:rsidRDefault="005B5B5F" w:rsidP="005B5B5F">
      <w:pPr>
        <w:pStyle w:val="BodyText"/>
      </w:pPr>
      <w:r>
        <w:t> </w:t>
      </w:r>
      <w:r w:rsidRPr="00B95C94">
        <w:t>Should</w:t>
      </w:r>
      <w:r>
        <w:t xml:space="preserve"> the transfer of Certificate No</w:t>
      </w:r>
      <w:r w:rsidRPr="00B95C94">
        <w:t xml:space="preserve">. </w:t>
      </w:r>
      <w:r>
        <w:t>647-W</w:t>
      </w:r>
      <w:r w:rsidRPr="00B95C94">
        <w:t xml:space="preserve"> in </w:t>
      </w:r>
      <w:r>
        <w:t>St. Johns</w:t>
      </w:r>
      <w:r w:rsidRPr="00B95C94">
        <w:t xml:space="preserve"> County from </w:t>
      </w:r>
      <w:r w:rsidRPr="002D04D2">
        <w:rPr>
          <w:rFonts w:eastAsia="Calibri"/>
          <w:szCs w:val="22"/>
        </w:rPr>
        <w:t>Camachee Island Company, Inc. d/b/a Camachee Cove Yacht Harbor Utility</w:t>
      </w:r>
      <w:r w:rsidRPr="00B95C94">
        <w:t xml:space="preserve"> to </w:t>
      </w:r>
      <w:r w:rsidRPr="002D04D2">
        <w:rPr>
          <w:rFonts w:eastAsia="Calibri"/>
          <w:szCs w:val="22"/>
        </w:rPr>
        <w:t>Windward Camachee Marina Owner LLC</w:t>
      </w:r>
      <w:r>
        <w:rPr>
          <w:rFonts w:eastAsia="Calibri"/>
          <w:szCs w:val="22"/>
        </w:rPr>
        <w:t xml:space="preserve"> </w:t>
      </w:r>
      <w:r w:rsidRPr="007678AD">
        <w:t>d/b/a Camachee Cove Yacht Harbor Utility</w:t>
      </w:r>
      <w:r>
        <w:rPr>
          <w:rFonts w:eastAsia="Calibri"/>
          <w:szCs w:val="22"/>
        </w:rPr>
        <w:t>,</w:t>
      </w:r>
      <w:r w:rsidRPr="00B95C94">
        <w:t xml:space="preserve"> be approved</w:t>
      </w:r>
      <w:r w:rsidRPr="00707EE4">
        <w:t>?</w:t>
      </w:r>
    </w:p>
    <w:p w:rsidR="005B5B5F" w:rsidRPr="004C3641" w:rsidRDefault="005B5B5F" w:rsidP="005B5B5F">
      <w:pPr>
        <w:pStyle w:val="IssueSubsectionHeading"/>
        <w:rPr>
          <w:vanish/>
          <w:specVanish/>
        </w:rPr>
      </w:pPr>
      <w:r w:rsidRPr="004C3641">
        <w:t>Recommendation: </w:t>
      </w:r>
    </w:p>
    <w:p w:rsidR="005B5B5F" w:rsidRPr="00644050" w:rsidRDefault="005B5B5F" w:rsidP="005B5B5F">
      <w:pPr>
        <w:pStyle w:val="BodyText"/>
      </w:pPr>
      <w:r>
        <w:t> </w:t>
      </w:r>
      <w:r w:rsidRPr="00644050">
        <w:t xml:space="preserve">Yes. The transfer of the water system and Certificate No. 647-W is in the public interest and should be approved effective the date that the sale becomes final. The resultant Order should serve as the Buyer’s certificate and should be retained by the Buyer. </w:t>
      </w:r>
      <w:r>
        <w:t>T</w:t>
      </w:r>
      <w:r w:rsidRPr="00F21D3D">
        <w:rPr>
          <w:rFonts w:eastAsiaTheme="minorHAnsi" w:cstheme="minorBidi"/>
          <w:szCs w:val="22"/>
        </w:rPr>
        <w:t>he Utility’s existing rates and late payment c</w:t>
      </w:r>
      <w:r>
        <w:rPr>
          <w:rFonts w:eastAsiaTheme="minorHAnsi" w:cstheme="minorBidi"/>
          <w:szCs w:val="22"/>
        </w:rPr>
        <w:t>harge, as shown on Schedule No. 3</w:t>
      </w:r>
      <w:r w:rsidRPr="00F21D3D">
        <w:rPr>
          <w:rFonts w:eastAsiaTheme="minorHAnsi" w:cstheme="minorBidi"/>
          <w:szCs w:val="22"/>
        </w:rPr>
        <w:t xml:space="preserve">, should remain in effect until a </w:t>
      </w:r>
      <w:r w:rsidRPr="00F00732">
        <w:rPr>
          <w:rFonts w:eastAsiaTheme="minorHAnsi" w:cstheme="minorBidi"/>
          <w:szCs w:val="22"/>
        </w:rPr>
        <w:t>change</w:t>
      </w:r>
      <w:r w:rsidRPr="00F21D3D">
        <w:rPr>
          <w:rFonts w:eastAsiaTheme="minorHAnsi" w:cstheme="minorBidi"/>
          <w:szCs w:val="22"/>
        </w:rPr>
        <w:t xml:space="preserve"> is authorized by </w:t>
      </w:r>
      <w:r>
        <w:rPr>
          <w:rFonts w:eastAsiaTheme="minorHAnsi" w:cstheme="minorBidi"/>
          <w:szCs w:val="22"/>
        </w:rPr>
        <w:t>the</w:t>
      </w:r>
      <w:r w:rsidRPr="00F21D3D">
        <w:rPr>
          <w:rFonts w:eastAsiaTheme="minorHAnsi" w:cstheme="minorBidi"/>
          <w:szCs w:val="22"/>
        </w:rPr>
        <w:t xml:space="preserve"> Commission in a subsequent proceeding.</w:t>
      </w:r>
      <w:r>
        <w:rPr>
          <w:rFonts w:eastAsiaTheme="minorHAnsi" w:cstheme="minorBidi"/>
          <w:szCs w:val="22"/>
        </w:rPr>
        <w:t xml:space="preserve"> </w:t>
      </w:r>
      <w:r w:rsidRPr="00644050">
        <w:t xml:space="preserve">The tariff pages reflecting the transfer should be effective on or after the stamped approval date on the tariff sheet, pursuant to Rule 25-30.475(1), F.A.C. The </w:t>
      </w:r>
      <w:r>
        <w:t>Utility</w:t>
      </w:r>
      <w:r w:rsidRPr="00644050">
        <w:t xml:space="preserve"> is current with respect to regulatory assessment fees (RAFs)</w:t>
      </w:r>
      <w:r>
        <w:t xml:space="preserve"> and annual reports and should be </w:t>
      </w:r>
      <w:r w:rsidRPr="00644050">
        <w:t>responsible for filing annual reports and paying RAFs for all future years.</w:t>
      </w:r>
      <w:r w:rsidRPr="00644050">
        <w:rPr>
          <w:color w:val="FF0000"/>
        </w:rPr>
        <w:t xml:space="preserve"> </w:t>
      </w:r>
      <w:r w:rsidRPr="00644050">
        <w:t>(</w:t>
      </w:r>
      <w:r>
        <w:t>Lewis</w:t>
      </w:r>
      <w:r w:rsidRPr="00644050">
        <w:t xml:space="preserve">, </w:t>
      </w:r>
      <w:r>
        <w:t>Veaughn</w:t>
      </w:r>
      <w:r w:rsidRPr="00644050">
        <w:t xml:space="preserve">, </w:t>
      </w:r>
      <w:r>
        <w:t>Bethea</w:t>
      </w:r>
      <w:r w:rsidRPr="00644050">
        <w:t>)</w:t>
      </w:r>
    </w:p>
    <w:p w:rsidR="005B5B5F" w:rsidRPr="004C3641" w:rsidRDefault="005B5B5F" w:rsidP="005B5B5F">
      <w:pPr>
        <w:pStyle w:val="IssueSubsectionHeading"/>
        <w:rPr>
          <w:vanish/>
          <w:specVanish/>
        </w:rPr>
      </w:pPr>
      <w:r w:rsidRPr="00644050">
        <w:t>Staff Analysis:</w:t>
      </w:r>
      <w:r w:rsidRPr="001C7E08">
        <w:t xml:space="preserve"> </w:t>
      </w:r>
    </w:p>
    <w:p w:rsidR="005B5B5F" w:rsidRPr="00644050" w:rsidRDefault="005B5B5F" w:rsidP="005B5B5F">
      <w:pPr>
        <w:spacing w:after="240"/>
        <w:jc w:val="both"/>
      </w:pPr>
      <w:r>
        <w:t> </w:t>
      </w:r>
      <w:r w:rsidRPr="00644050">
        <w:t xml:space="preserve">On </w:t>
      </w:r>
      <w:r w:rsidRPr="00644050">
        <w:rPr>
          <w:rFonts w:eastAsia="Calibri"/>
          <w:szCs w:val="22"/>
        </w:rPr>
        <w:t>December 1, 2021</w:t>
      </w:r>
      <w:r w:rsidRPr="00644050">
        <w:t xml:space="preserve">, Windward filed an application for the transfer of Certificate No. 647-W from </w:t>
      </w:r>
      <w:r w:rsidRPr="00644050">
        <w:rPr>
          <w:rFonts w:eastAsia="Calibri"/>
          <w:szCs w:val="22"/>
        </w:rPr>
        <w:t>Camachee</w:t>
      </w:r>
      <w:r w:rsidRPr="00644050">
        <w:t xml:space="preserve"> to Windward in St. Johns County. The application complies with Section 367.071, F.S., and Commission rules concerning applications for transfer of certificates. The sale to the Buyer occurred on August 31, 2021, contingent upon </w:t>
      </w:r>
      <w:r>
        <w:t xml:space="preserve">the </w:t>
      </w:r>
      <w:r w:rsidRPr="00644050">
        <w:t>Commission’s approval, pursuant to Section 367.071(1), F.S.</w:t>
      </w:r>
    </w:p>
    <w:p w:rsidR="005B5B5F" w:rsidRPr="00644050" w:rsidRDefault="005B5B5F" w:rsidP="005B5B5F">
      <w:pPr>
        <w:jc w:val="both"/>
        <w:rPr>
          <w:rFonts w:ascii="Arial" w:hAnsi="Arial" w:cs="Arial"/>
          <w:b/>
          <w:bCs/>
        </w:rPr>
      </w:pPr>
      <w:r w:rsidRPr="00644050">
        <w:rPr>
          <w:rFonts w:ascii="Arial" w:hAnsi="Arial" w:cs="Arial"/>
          <w:b/>
          <w:bCs/>
        </w:rPr>
        <w:t>Noticing, Territory, and Land Ownership</w:t>
      </w:r>
    </w:p>
    <w:p w:rsidR="005B5B5F" w:rsidRPr="00D42411" w:rsidRDefault="005B5B5F" w:rsidP="005B5B5F">
      <w:pPr>
        <w:jc w:val="both"/>
      </w:pPr>
      <w:r w:rsidRPr="00644050">
        <w:t>Windward provided notice of the application pursuant to Section 367.071, F.S., and Rule 25-30.030, F.A.C. No objections to the transfer were filed, and the time for doing so has expired. The application contains a description of the service territory, which is appended to this recommendation as Attachment A</w:t>
      </w:r>
      <w:r w:rsidRPr="00D42411">
        <w:t xml:space="preserve">. </w:t>
      </w:r>
      <w:r w:rsidRPr="00D42411">
        <w:rPr>
          <w:strike/>
        </w:rPr>
        <w:t xml:space="preserve">Windward provided a copy of a recorded utility easement on November 22, 2022, as evidence that </w:t>
      </w:r>
      <w:r w:rsidRPr="00D42411">
        <w:t xml:space="preserve"> </w:t>
      </w:r>
      <w:r w:rsidRPr="00D42411">
        <w:rPr>
          <w:u w:val="single"/>
        </w:rPr>
        <w:t>As part of its application,</w:t>
      </w:r>
      <w:r w:rsidRPr="00D42411">
        <w:t xml:space="preserve"> Windward </w:t>
      </w:r>
      <w:r w:rsidRPr="00D42411">
        <w:rPr>
          <w:u w:val="single"/>
        </w:rPr>
        <w:t>provided a copy of a recorded special warranty deed demonstrating that it owns the land upon which the treatment facilities are located, and therefore, meets the requirements of</w:t>
      </w:r>
      <w:r w:rsidRPr="00D42411">
        <w:t xml:space="preserve"> </w:t>
      </w:r>
      <w:r w:rsidRPr="00D42411">
        <w:rPr>
          <w:strike/>
        </w:rPr>
        <w:t>has rights to long-term use of the land upon which the treatment facilities are located pursuant to</w:t>
      </w:r>
      <w:r w:rsidRPr="00D42411">
        <w:t xml:space="preserve"> Rule 25-30.037(2)(s), F.A.C.</w:t>
      </w:r>
    </w:p>
    <w:p w:rsidR="005B5B5F" w:rsidRPr="00D42411" w:rsidRDefault="005B5B5F" w:rsidP="005B5B5F">
      <w:pPr>
        <w:jc w:val="both"/>
      </w:pPr>
    </w:p>
    <w:p w:rsidR="005B5B5F" w:rsidRDefault="005B5B5F" w:rsidP="005B5B5F">
      <w:pPr>
        <w:pStyle w:val="First-LevelSubheading"/>
      </w:pPr>
      <w:r>
        <w:t>Purchase Agreement and Financing</w:t>
      </w:r>
    </w:p>
    <w:p w:rsidR="005B5B5F" w:rsidRDefault="005B5B5F" w:rsidP="005B5B5F">
      <w:pPr>
        <w:pStyle w:val="BodyText"/>
        <w:rPr>
          <w:rFonts w:ascii="TimesNewRomanPSMT" w:hAnsi="TimesNewRomanPSMT" w:cs="TimesNewRomanPSMT"/>
        </w:rPr>
      </w:pPr>
      <w:r>
        <w:t xml:space="preserve">Pursuant to Rule 25-30.037(2)(g),(h) and (i), F.A.C., the application contains a statement regarding financing and a copy of the Purchase Agreement, which included the purchase price, terms of payment, and a list of the assets purchased. There are no customer deposits, guaranteed revenue contracts, developer’s agreements, customer advances, leases, or debt of </w:t>
      </w:r>
      <w:r>
        <w:rPr>
          <w:sz w:val="23"/>
          <w:szCs w:val="23"/>
        </w:rPr>
        <w:t xml:space="preserve">Camachee that must be disposed of with regard to the transfer. </w:t>
      </w:r>
      <w:r>
        <w:rPr>
          <w:rFonts w:ascii="TimesNewRomanPSMT" w:hAnsi="TimesNewRomanPSMT" w:cs="TimesNewRomanPSMT"/>
        </w:rPr>
        <w:t>According to the Purchase Agreement, the total purchase price for the entire marina, including the water utility assets, is $32,885,000</w:t>
      </w:r>
      <w:r w:rsidRPr="00E24748">
        <w:rPr>
          <w:rFonts w:ascii="TimesNewRomanPSMT" w:hAnsi="TimesNewRomanPSMT" w:cs="TimesNewRomanPSMT"/>
        </w:rPr>
        <w:t>.</w:t>
      </w:r>
      <w:r>
        <w:rPr>
          <w:rFonts w:ascii="TimesNewRomanPSMT" w:hAnsi="TimesNewRomanPSMT" w:cs="TimesNewRomanPSMT"/>
        </w:rPr>
        <w:t xml:space="preserve"> On November 14, 2022</w:t>
      </w:r>
      <w:r w:rsidRPr="00E24748">
        <w:rPr>
          <w:rFonts w:ascii="TimesNewRomanPSMT" w:hAnsi="TimesNewRomanPSMT" w:cs="TimesNewRomanPSMT"/>
        </w:rPr>
        <w:t>, the Buyer stated the specific purchase price of the water</w:t>
      </w:r>
      <w:r>
        <w:rPr>
          <w:rFonts w:ascii="TimesNewRomanPSMT" w:hAnsi="TimesNewRomanPSMT" w:cs="TimesNewRomanPSMT"/>
        </w:rPr>
        <w:t xml:space="preserve"> utility</w:t>
      </w:r>
      <w:r w:rsidRPr="00E24748">
        <w:rPr>
          <w:rFonts w:ascii="TimesNewRomanPSMT" w:hAnsi="TimesNewRomanPSMT" w:cs="TimesNewRomanPSMT"/>
        </w:rPr>
        <w:t xml:space="preserve"> assets should be set equal to the </w:t>
      </w:r>
      <w:r>
        <w:rPr>
          <w:rFonts w:ascii="TimesNewRomanPSMT" w:hAnsi="TimesNewRomanPSMT" w:cs="TimesNewRomanPSMT"/>
        </w:rPr>
        <w:t>net book value (NBV)</w:t>
      </w:r>
      <w:r w:rsidRPr="00E24748">
        <w:rPr>
          <w:rFonts w:ascii="TimesNewRomanPSMT" w:hAnsi="TimesNewRomanPSMT" w:cs="TimesNewRomanPSMT"/>
        </w:rPr>
        <w:t xml:space="preserve"> as established by </w:t>
      </w:r>
      <w:r>
        <w:rPr>
          <w:rFonts w:ascii="TimesNewRomanPSMT" w:hAnsi="TimesNewRomanPSMT" w:cs="TimesNewRomanPSMT"/>
        </w:rPr>
        <w:t>the</w:t>
      </w:r>
      <w:r w:rsidRPr="00E24748">
        <w:rPr>
          <w:rFonts w:ascii="TimesNewRomanPSMT" w:hAnsi="TimesNewRomanPSMT" w:cs="TimesNewRomanPSMT"/>
        </w:rPr>
        <w:t xml:space="preserve"> Commission.</w:t>
      </w:r>
      <w:r>
        <w:rPr>
          <w:rStyle w:val="FootnoteReference"/>
          <w:rFonts w:ascii="TimesNewRomanPSMT" w:hAnsi="TimesNewRomanPSMT" w:cs="TimesNewRomanPSMT"/>
        </w:rPr>
        <w:footnoteReference w:id="5"/>
      </w:r>
      <w:r>
        <w:rPr>
          <w:rFonts w:ascii="TimesNewRomanPSMT" w:hAnsi="TimesNewRomanPSMT" w:cs="TimesNewRomanPSMT"/>
        </w:rPr>
        <w:t xml:space="preserve"> As discussed in Issue 2, staff has calculated a NBV of $228,846 for the water system. Therefore, staff recommends a purchase price of $228,846 for the water utility assets should be recognized.</w:t>
      </w:r>
    </w:p>
    <w:p w:rsidR="005B5B5F" w:rsidRPr="00FB719E" w:rsidRDefault="005B5B5F" w:rsidP="00FB719E"/>
    <w:p w:rsidR="005B5B5F" w:rsidRPr="00FB719E" w:rsidRDefault="005B5B5F" w:rsidP="00FB719E"/>
    <w:p w:rsidR="005B5B5F" w:rsidRPr="00644050" w:rsidRDefault="005B5B5F" w:rsidP="005B5B5F">
      <w:pPr>
        <w:jc w:val="both"/>
        <w:rPr>
          <w:rFonts w:ascii="Arial" w:hAnsi="Arial" w:cs="Arial"/>
          <w:b/>
          <w:bCs/>
        </w:rPr>
      </w:pPr>
      <w:r w:rsidRPr="00644050">
        <w:rPr>
          <w:rFonts w:ascii="Arial" w:hAnsi="Arial" w:cs="Arial"/>
          <w:b/>
          <w:bCs/>
        </w:rPr>
        <w:t>Facility Description and Compliance</w:t>
      </w:r>
    </w:p>
    <w:p w:rsidR="005B5B5F" w:rsidRPr="00644050" w:rsidRDefault="005B5B5F" w:rsidP="005B5B5F">
      <w:pPr>
        <w:spacing w:after="240"/>
        <w:jc w:val="both"/>
      </w:pPr>
      <w:r w:rsidRPr="00644050">
        <w:t xml:space="preserve">The Utility’s water treatment plant is rated at 70,977 </w:t>
      </w:r>
      <w:r>
        <w:t>gallons per day (</w:t>
      </w:r>
      <w:r w:rsidRPr="00644050">
        <w:t>gpd</w:t>
      </w:r>
      <w:r>
        <w:t>). Raw water is drawn from two</w:t>
      </w:r>
      <w:r w:rsidRPr="00644050">
        <w:t xml:space="preserve"> ground wells and treated by reverse osmosis, aeration, and chlorination. Water is stored in a 24,000</w:t>
      </w:r>
      <w:r>
        <w:t>-gallon ground tank and a 264-</w:t>
      </w:r>
      <w:r w:rsidRPr="00644050">
        <w:t>gallon bladder tank before distribution. The Florida Department of Environmental Protection (DEP) conducted an inspection of the water treat</w:t>
      </w:r>
      <w:r>
        <w:t>ment facilities on June 14, 2021,</w:t>
      </w:r>
      <w:r w:rsidRPr="00644050">
        <w:t xml:space="preserve"> and it was found to be in compliance with the DEP’s rules and regulations</w:t>
      </w:r>
      <w:r>
        <w:t>, including primary and secondary standards</w:t>
      </w:r>
      <w:r w:rsidRPr="00644050">
        <w:t xml:space="preserve">. </w:t>
      </w:r>
    </w:p>
    <w:p w:rsidR="005B5B5F" w:rsidRPr="00644050" w:rsidRDefault="005B5B5F" w:rsidP="005B5B5F">
      <w:pPr>
        <w:jc w:val="both"/>
        <w:outlineLvl w:val="2"/>
        <w:rPr>
          <w:rFonts w:ascii="Arial" w:hAnsi="Arial" w:cs="Arial"/>
          <w:b/>
          <w:bCs/>
          <w:iCs/>
          <w:szCs w:val="28"/>
        </w:rPr>
      </w:pPr>
      <w:r w:rsidRPr="00644050">
        <w:rPr>
          <w:rFonts w:ascii="Arial" w:hAnsi="Arial" w:cs="Arial"/>
          <w:b/>
          <w:bCs/>
          <w:iCs/>
          <w:szCs w:val="28"/>
        </w:rPr>
        <w:t>Technical and Financial Ability</w:t>
      </w:r>
    </w:p>
    <w:p w:rsidR="005B5B5F" w:rsidRDefault="005B5B5F" w:rsidP="005B5B5F">
      <w:pPr>
        <w:spacing w:after="240"/>
        <w:jc w:val="both"/>
      </w:pPr>
      <w:r w:rsidRPr="00644050">
        <w:t xml:space="preserve">Pursuant to Rule 25-30.037(2)(l) and (m), F.A.C., the application contains statements describing the technical and financial ability of the Buyer to provide service to the proposed service area. As referenced in the transfer application, the Buyer will fulfill the commitments, obligations, and representation of the Seller with regards to </w:t>
      </w:r>
      <w:r>
        <w:t xml:space="preserve">utility matters. The Buyer indicated that it has no experience in the water or wastewater industry; however, Windward </w:t>
      </w:r>
      <w:r w:rsidRPr="00644050">
        <w:t xml:space="preserve">retained the existing plant operators and office personnel to ensure the continued operation of the </w:t>
      </w:r>
      <w:r>
        <w:t>water facilities</w:t>
      </w:r>
      <w:r w:rsidRPr="00644050">
        <w:t>.</w:t>
      </w:r>
      <w:r w:rsidRPr="00AB410B">
        <w:t xml:space="preserve"> </w:t>
      </w:r>
    </w:p>
    <w:p w:rsidR="005B5B5F" w:rsidRDefault="005B5B5F" w:rsidP="005B5B5F">
      <w:pPr>
        <w:spacing w:after="240"/>
        <w:jc w:val="both"/>
      </w:pPr>
      <w:r>
        <w:t>Furthermore, t</w:t>
      </w:r>
      <w:r w:rsidRPr="00AB410B">
        <w:t>he Buyer has stated that it will use its sister company</w:t>
      </w:r>
      <w:r>
        <w:t>,</w:t>
      </w:r>
      <w:r w:rsidRPr="00AB410B">
        <w:t xml:space="preserve"> Windward Marina St. Augustine</w:t>
      </w:r>
      <w:r>
        <w:t>,</w:t>
      </w:r>
      <w:r w:rsidRPr="00AB410B">
        <w:t xml:space="preserve"> to provide funding to the Utility. Staff reviewed the financial statement of Windward Marina St. Augustine, and believes the Buyer has documented adequate resources to support the Utility’s operations.</w:t>
      </w:r>
      <w:r>
        <w:t xml:space="preserve"> </w:t>
      </w:r>
      <w:r w:rsidRPr="00644050">
        <w:t>Based on the above, staff recommends that the Buyer has demonstrated the technical and financial ability to provide service to the existing service territory.</w:t>
      </w:r>
    </w:p>
    <w:p w:rsidR="005B5B5F" w:rsidRPr="000316EB" w:rsidRDefault="005B5B5F" w:rsidP="005B5B5F">
      <w:pPr>
        <w:pStyle w:val="SCparagraph"/>
        <w:spacing w:after="0"/>
        <w:ind w:firstLine="0"/>
        <w:rPr>
          <w:rFonts w:ascii="Arial" w:hAnsi="Arial" w:cs="Arial"/>
          <w:b/>
        </w:rPr>
      </w:pPr>
      <w:r>
        <w:rPr>
          <w:rFonts w:ascii="Arial" w:hAnsi="Arial" w:cs="Arial"/>
          <w:b/>
        </w:rPr>
        <w:t>Rates and Charges</w:t>
      </w:r>
    </w:p>
    <w:p w:rsidR="005B5B5F" w:rsidRDefault="005B5B5F" w:rsidP="005B5B5F">
      <w:pPr>
        <w:spacing w:after="240"/>
        <w:jc w:val="both"/>
        <w:rPr>
          <w:rFonts w:eastAsiaTheme="minorHAnsi" w:cstheme="minorBidi"/>
          <w:szCs w:val="22"/>
        </w:rPr>
      </w:pPr>
      <w:r w:rsidRPr="00F21D3D">
        <w:rPr>
          <w:rFonts w:eastAsiaTheme="minorHAnsi" w:cstheme="minorBidi"/>
          <w:szCs w:val="22"/>
        </w:rPr>
        <w:t>The Utility’s rates were last approved in a 2017 limited proceeding rate case for water.</w:t>
      </w:r>
      <w:r w:rsidRPr="00F21D3D">
        <w:rPr>
          <w:rFonts w:eastAsiaTheme="minorHAnsi" w:cstheme="minorBidi"/>
          <w:szCs w:val="22"/>
          <w:vertAlign w:val="superscript"/>
        </w:rPr>
        <w:footnoteReference w:id="6"/>
      </w:r>
      <w:r w:rsidRPr="00F21D3D">
        <w:rPr>
          <w:rFonts w:eastAsiaTheme="minorHAnsi" w:cstheme="minorBidi"/>
          <w:szCs w:val="22"/>
        </w:rPr>
        <w:t xml:space="preserve"> Subsequently, the rates have been amended by four price index rate adjustments with the last one being in 2020. The Utility ha</w:t>
      </w:r>
      <w:r>
        <w:rPr>
          <w:rFonts w:eastAsiaTheme="minorHAnsi" w:cstheme="minorBidi"/>
          <w:szCs w:val="22"/>
        </w:rPr>
        <w:t xml:space="preserve">s no initial customer deposits, </w:t>
      </w:r>
      <w:r w:rsidRPr="00F21D3D">
        <w:rPr>
          <w:rFonts w:eastAsiaTheme="minorHAnsi" w:cstheme="minorBidi"/>
          <w:szCs w:val="22"/>
        </w:rPr>
        <w:t>no service availability charges</w:t>
      </w:r>
      <w:r>
        <w:rPr>
          <w:rFonts w:eastAsiaTheme="minorHAnsi" w:cstheme="minorBidi"/>
          <w:szCs w:val="22"/>
        </w:rPr>
        <w:t xml:space="preserve">, and the Utility is built out. </w:t>
      </w:r>
      <w:r w:rsidRPr="00F21D3D">
        <w:rPr>
          <w:rFonts w:eastAsiaTheme="minorHAnsi" w:cstheme="minorBidi"/>
          <w:szCs w:val="22"/>
        </w:rPr>
        <w:t>The late payment charge was approved in 2009.</w:t>
      </w:r>
      <w:r w:rsidRPr="00F21D3D">
        <w:rPr>
          <w:rFonts w:eastAsiaTheme="minorHAnsi" w:cstheme="minorBidi"/>
          <w:szCs w:val="22"/>
          <w:vertAlign w:val="superscript"/>
        </w:rPr>
        <w:footnoteReference w:id="7"/>
      </w:r>
      <w:r w:rsidRPr="00F21D3D">
        <w:rPr>
          <w:rFonts w:eastAsiaTheme="minorHAnsi" w:cstheme="minorBidi"/>
          <w:szCs w:val="22"/>
        </w:rPr>
        <w:t xml:space="preserve"> Rule 25-9.044(1), F.A.C., provides that, in the case of a change of ownership or control of a Utility, the rates, classifications, and regulations of the former owner must continue unless authorized</w:t>
      </w:r>
      <w:r>
        <w:rPr>
          <w:rFonts w:eastAsiaTheme="minorHAnsi" w:cstheme="minorBidi"/>
          <w:szCs w:val="22"/>
        </w:rPr>
        <w:t xml:space="preserve"> to change by this Commission. </w:t>
      </w:r>
    </w:p>
    <w:p w:rsidR="00FB719E" w:rsidRDefault="005B5B5F" w:rsidP="00FB719E">
      <w:pPr>
        <w:spacing w:after="240"/>
        <w:jc w:val="both"/>
        <w:rPr>
          <w:rFonts w:eastAsiaTheme="minorHAnsi" w:cstheme="minorBidi"/>
          <w:szCs w:val="22"/>
        </w:rPr>
      </w:pPr>
      <w:r w:rsidRPr="00F21D3D">
        <w:rPr>
          <w:rFonts w:eastAsiaTheme="minorHAnsi" w:cstheme="minorBidi"/>
          <w:szCs w:val="22"/>
        </w:rPr>
        <w:t>In addition, the Utility has miscellaneous service charges, whi</w:t>
      </w:r>
      <w:r>
        <w:rPr>
          <w:rFonts w:eastAsiaTheme="minorHAnsi" w:cstheme="minorBidi"/>
          <w:szCs w:val="22"/>
        </w:rPr>
        <w:t xml:space="preserve">ch were also approved in 2009. </w:t>
      </w:r>
      <w:r w:rsidRPr="00F21D3D">
        <w:rPr>
          <w:rFonts w:eastAsiaTheme="minorHAnsi" w:cstheme="minorBidi"/>
          <w:szCs w:val="22"/>
        </w:rPr>
        <w:t>However, the miscellaneous service charges do not conform to Rule 25-30.460, F.A.C.,</w:t>
      </w:r>
      <w:r>
        <w:rPr>
          <w:rFonts w:eastAsiaTheme="minorHAnsi" w:cstheme="minorBidi"/>
          <w:szCs w:val="22"/>
        </w:rPr>
        <w:t xml:space="preserve"> and are discussed in Issue 3. </w:t>
      </w:r>
      <w:r w:rsidRPr="00F21D3D">
        <w:rPr>
          <w:rFonts w:eastAsiaTheme="minorHAnsi" w:cstheme="minorBidi"/>
          <w:szCs w:val="22"/>
        </w:rPr>
        <w:t>Therefore, staff recommends that the Utility’s existing rates and late payment c</w:t>
      </w:r>
      <w:r>
        <w:rPr>
          <w:rFonts w:eastAsiaTheme="minorHAnsi" w:cstheme="minorBidi"/>
          <w:szCs w:val="22"/>
        </w:rPr>
        <w:t>harge as shown on Schedule No. 3</w:t>
      </w:r>
      <w:r w:rsidRPr="00F21D3D">
        <w:rPr>
          <w:rFonts w:eastAsiaTheme="minorHAnsi" w:cstheme="minorBidi"/>
          <w:szCs w:val="22"/>
        </w:rPr>
        <w:t>, should remain in effect, unti</w:t>
      </w:r>
      <w:r>
        <w:rPr>
          <w:rFonts w:eastAsiaTheme="minorHAnsi" w:cstheme="minorBidi"/>
          <w:szCs w:val="22"/>
        </w:rPr>
        <w:t>l a change is authorized by the</w:t>
      </w:r>
      <w:r w:rsidRPr="00F21D3D">
        <w:rPr>
          <w:rFonts w:eastAsiaTheme="minorHAnsi" w:cstheme="minorBidi"/>
          <w:szCs w:val="22"/>
        </w:rPr>
        <w:t xml:space="preserve"> Commission in a subsequent proceeding. The tariff pages reflecting the transfer should be effective on or after the stamped approval date on the tariff sheets pursuant to Rule 25-30.475(1), F.A.C.</w:t>
      </w:r>
    </w:p>
    <w:p w:rsidR="00FB719E" w:rsidRDefault="00FB719E" w:rsidP="00FB719E">
      <w:pPr>
        <w:spacing w:after="240"/>
        <w:jc w:val="both"/>
        <w:rPr>
          <w:rFonts w:eastAsiaTheme="minorHAnsi" w:cstheme="minorBidi"/>
          <w:szCs w:val="22"/>
        </w:rPr>
      </w:pPr>
    </w:p>
    <w:p w:rsidR="005B5B5F" w:rsidRPr="00644050" w:rsidRDefault="005B5B5F" w:rsidP="00FB719E">
      <w:pPr>
        <w:spacing w:after="240"/>
        <w:jc w:val="both"/>
        <w:rPr>
          <w:rFonts w:ascii="Arial" w:hAnsi="Arial" w:cs="Arial"/>
          <w:b/>
          <w:bCs/>
          <w:iCs/>
          <w:szCs w:val="28"/>
        </w:rPr>
      </w:pPr>
      <w:r w:rsidRPr="00644050">
        <w:rPr>
          <w:rFonts w:ascii="Arial" w:hAnsi="Arial" w:cs="Arial"/>
          <w:b/>
          <w:bCs/>
          <w:iCs/>
          <w:szCs w:val="28"/>
        </w:rPr>
        <w:lastRenderedPageBreak/>
        <w:t>Regulatory Assessment Fees and Annual Report</w:t>
      </w:r>
    </w:p>
    <w:p w:rsidR="005B5B5F" w:rsidRDefault="005B5B5F" w:rsidP="005B5B5F">
      <w:pPr>
        <w:spacing w:after="240"/>
        <w:jc w:val="both"/>
      </w:pPr>
      <w:r>
        <w:t>In its application, the Buyer indicated that it will be responsible for paying the Utility’s RAFs and filing its annual reports for the year of transfer and subsequent years. The Seller fulfilled the Utility’s RAF and annual report requirements for 2020 and the Buyer fulfilled these requirements for 2021. The Buyer is responsible for the Utility’s 2022 RAFs and annual report, which are due by March 31, 2023. Based on the above, s</w:t>
      </w:r>
      <w:r w:rsidRPr="00644050">
        <w:t>taff has verified that the Utility is current w</w:t>
      </w:r>
      <w:r>
        <w:t>ith respect to its RAFs and annual reports.</w:t>
      </w:r>
    </w:p>
    <w:p w:rsidR="005B5B5F" w:rsidRDefault="005B5B5F" w:rsidP="005B5B5F">
      <w:pPr>
        <w:jc w:val="both"/>
        <w:rPr>
          <w:rFonts w:ascii="Arial" w:hAnsi="Arial" w:cs="Arial"/>
          <w:b/>
          <w:bCs/>
          <w:iCs/>
          <w:szCs w:val="28"/>
        </w:rPr>
      </w:pPr>
      <w:r w:rsidRPr="00644050">
        <w:rPr>
          <w:rFonts w:ascii="Arial" w:hAnsi="Arial" w:cs="Arial"/>
          <w:b/>
          <w:bCs/>
          <w:iCs/>
          <w:szCs w:val="28"/>
        </w:rPr>
        <w:t>Conclusion</w:t>
      </w:r>
    </w:p>
    <w:p w:rsidR="005B5B5F" w:rsidRDefault="005B5B5F" w:rsidP="005B5B5F">
      <w:pPr>
        <w:jc w:val="both"/>
      </w:pPr>
      <w:r w:rsidRPr="00644050">
        <w:t xml:space="preserve">Based on the foregoing, </w:t>
      </w:r>
      <w:r>
        <w:t>the transfer of the water system and Certificate No. 647-W is in the public interest and should be approved effective the date that the sale becomes final. The resultant Order should serve as the Buyer’s certificate and should be retained by the Buyer. The Utility’s existing rates and late payment charge, as shown on Schedule No. 3, should remain in effect until a change is authorized by the Commission in a subsequent proceeding. The tariff pages reflecting the transfer should be effective on or after the stamped approval date on the tariff sheet, pursuant to Rule 25-30.475(1), F.A.C. The Utility is current with respect to regulatory assessment fees (RAFs) and annual reports and should be responsible for filing annual reports and paying RAFs for all future years.</w:t>
      </w:r>
    </w:p>
    <w:p w:rsidR="005B5B5F" w:rsidRPr="00FB719E" w:rsidRDefault="005B5B5F" w:rsidP="00FB719E"/>
    <w:p w:rsidR="00576813" w:rsidRDefault="00F95901" w:rsidP="00576813">
      <w:pPr>
        <w:pStyle w:val="IssueHeading"/>
        <w:rPr>
          <w:vanish/>
          <w:specVanish/>
        </w:rPr>
      </w:pPr>
      <w:r w:rsidRPr="004C3641">
        <w:rPr>
          <w:b w:val="0"/>
          <w:i w:val="0"/>
        </w:rPr>
        <w:br w:type="page"/>
      </w:r>
      <w:r w:rsidR="00576813" w:rsidRPr="004C3641">
        <w:lastRenderedPageBreak/>
        <w:t xml:space="preserve">Issue </w:t>
      </w:r>
      <w:r w:rsidR="002D4AF2">
        <w:fldChar w:fldCharType="begin"/>
      </w:r>
      <w:r w:rsidR="002D4AF2">
        <w:instrText xml:space="preserve"> SEQ Issue \* MERGEFORMAT </w:instrText>
      </w:r>
      <w:r w:rsidR="002D4AF2">
        <w:fldChar w:fldCharType="separate"/>
      </w:r>
      <w:r w:rsidR="00576813">
        <w:rPr>
          <w:noProof/>
        </w:rPr>
        <w:t>2</w:t>
      </w:r>
      <w:r w:rsidR="002D4AF2">
        <w:rPr>
          <w:noProof/>
        </w:rPr>
        <w:fldChar w:fldCharType="end"/>
      </w:r>
      <w:r w:rsidR="00576813" w:rsidRPr="004C3641">
        <w:t>:</w:t>
      </w:r>
      <w:r w:rsidR="00576813">
        <w:fldChar w:fldCharType="begin"/>
      </w:r>
      <w:r w:rsidR="00576813">
        <w:instrText xml:space="preserve"> TC "</w:instrText>
      </w:r>
      <w:r w:rsidR="00576813">
        <w:fldChar w:fldCharType="begin"/>
      </w:r>
      <w:r w:rsidR="00576813">
        <w:instrText xml:space="preserve"> SEQ issue \c </w:instrText>
      </w:r>
      <w:r w:rsidR="00576813">
        <w:fldChar w:fldCharType="separate"/>
      </w:r>
      <w:r w:rsidR="00576813">
        <w:rPr>
          <w:noProof/>
        </w:rPr>
        <w:instrText>2</w:instrText>
      </w:r>
      <w:r w:rsidR="00576813">
        <w:fldChar w:fldCharType="end"/>
      </w:r>
      <w:r w:rsidR="00576813">
        <w:tab/>
        <w:instrText xml:space="preserve">" \l 1 </w:instrText>
      </w:r>
      <w:r w:rsidR="00576813">
        <w:fldChar w:fldCharType="end"/>
      </w:r>
      <w:r w:rsidR="00576813">
        <w:t> </w:t>
      </w:r>
    </w:p>
    <w:p w:rsidR="00576813" w:rsidRPr="00155F88" w:rsidRDefault="00576813" w:rsidP="00576813">
      <w:pPr>
        <w:pStyle w:val="BodyText"/>
      </w:pPr>
      <w:r>
        <w:t> What is the appropriate net book value for the Windward Camachee Marina Owner LLC d/b/a Camachee Cove Yacht Harbor Utility water system for transfer purposes, and should an acquisition adjustment be approved?</w:t>
      </w:r>
    </w:p>
    <w:p w:rsidR="00576813" w:rsidRPr="004C3641" w:rsidRDefault="00576813" w:rsidP="00576813">
      <w:pPr>
        <w:pStyle w:val="IssueSubsectionHeading"/>
        <w:rPr>
          <w:vanish/>
          <w:specVanish/>
        </w:rPr>
      </w:pPr>
      <w:r w:rsidRPr="004C3641">
        <w:t>Recommendation: </w:t>
      </w:r>
    </w:p>
    <w:p w:rsidR="00576813" w:rsidRDefault="00576813" w:rsidP="00576813">
      <w:pPr>
        <w:pStyle w:val="BodyText"/>
      </w:pPr>
      <w:r>
        <w:t xml:space="preserve"> The appropriate net book value (NBV) of the water system for transfer purposes is $228,846, as of August 31, 2021. No acquisition adjustment is warranted as the purchase price is equal to NBV. Within 90 days of the date of the final order, the Utility should be required to notify the Commission in writing that it has adjusted its books in accordance with the Commission’s decision. The adjustments should be reflected in the Utility’s 2022 Annual Report when filed. (Veaughn) </w:t>
      </w:r>
    </w:p>
    <w:p w:rsidR="00576813" w:rsidRPr="004C3641" w:rsidRDefault="00576813" w:rsidP="00576813">
      <w:pPr>
        <w:pStyle w:val="IssueSubsectionHeading"/>
        <w:rPr>
          <w:vanish/>
          <w:specVanish/>
        </w:rPr>
      </w:pPr>
      <w:r w:rsidRPr="004C3641">
        <w:t>Staff Analysis: </w:t>
      </w:r>
    </w:p>
    <w:p w:rsidR="00576813" w:rsidRDefault="00576813" w:rsidP="00576813">
      <w:pPr>
        <w:pStyle w:val="BodyText"/>
      </w:pPr>
      <w:r>
        <w:t> </w:t>
      </w:r>
      <w:r w:rsidRPr="00DE52F9">
        <w:t xml:space="preserve">Rate base was last established for the Utility </w:t>
      </w:r>
      <w:r>
        <w:t>as of December 31, 2008</w:t>
      </w:r>
      <w:r w:rsidRPr="00DE52F9">
        <w:t>.</w:t>
      </w:r>
      <w:r w:rsidRPr="00DE52F9">
        <w:rPr>
          <w:rStyle w:val="FootnoteReference"/>
          <w:rFonts w:ascii="TimesNewRomanPSMT" w:hAnsi="TimesNewRomanPSMT" w:cs="TimesNewRomanPSMT"/>
        </w:rPr>
        <w:footnoteReference w:id="8"/>
      </w:r>
      <w:r w:rsidRPr="00DE52F9">
        <w:t xml:space="preserve"> The purpose of establishing NBV for transfers is to determine whether an acquisition adjustment should be approved. The NBV does not include normal ratemaking adjustments for used and useful plant or working capital. The Utility’s NBV has been updated to reflect balances as of August 31, 2021. Staff’s recommended NBV is shown on Schedule No. 1.</w:t>
      </w:r>
    </w:p>
    <w:p w:rsidR="00576813" w:rsidRDefault="00576813" w:rsidP="00576813">
      <w:pPr>
        <w:pStyle w:val="First-LevelSubheading"/>
      </w:pPr>
      <w:r>
        <w:t>Utility Plant in Service (UPIS)</w:t>
      </w:r>
    </w:p>
    <w:p w:rsidR="00576813" w:rsidRDefault="00576813" w:rsidP="00576813">
      <w:pPr>
        <w:pStyle w:val="First-LevelSubheading"/>
        <w:rPr>
          <w:rFonts w:ascii="Times New Roman" w:hAnsi="Times New Roman" w:cs="Times New Roman"/>
          <w:b w:val="0"/>
          <w:bCs w:val="0"/>
          <w:iCs w:val="0"/>
          <w:szCs w:val="24"/>
        </w:rPr>
      </w:pPr>
      <w:r w:rsidRPr="00E34597">
        <w:rPr>
          <w:rFonts w:ascii="Times New Roman" w:hAnsi="Times New Roman" w:cs="Times New Roman"/>
          <w:b w:val="0"/>
          <w:bCs w:val="0"/>
          <w:iCs w:val="0"/>
          <w:szCs w:val="24"/>
        </w:rPr>
        <w:t>The Utility reflect</w:t>
      </w:r>
      <w:r>
        <w:rPr>
          <w:rFonts w:ascii="Times New Roman" w:hAnsi="Times New Roman" w:cs="Times New Roman"/>
          <w:b w:val="0"/>
          <w:bCs w:val="0"/>
          <w:iCs w:val="0"/>
          <w:szCs w:val="24"/>
        </w:rPr>
        <w:t>ed</w:t>
      </w:r>
      <w:r w:rsidRPr="00E34597">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a UPIS balance</w:t>
      </w:r>
      <w:r w:rsidRPr="00E34597">
        <w:rPr>
          <w:rFonts w:ascii="Times New Roman" w:hAnsi="Times New Roman" w:cs="Times New Roman"/>
          <w:b w:val="0"/>
          <w:bCs w:val="0"/>
          <w:iCs w:val="0"/>
          <w:szCs w:val="24"/>
        </w:rPr>
        <w:t xml:space="preserve"> of $573,206 as of August 31, 2021. </w:t>
      </w:r>
      <w:r>
        <w:rPr>
          <w:rFonts w:ascii="Times New Roman" w:hAnsi="Times New Roman" w:cs="Times New Roman"/>
          <w:b w:val="0"/>
          <w:bCs w:val="0"/>
          <w:iCs w:val="0"/>
          <w:szCs w:val="24"/>
        </w:rPr>
        <w:t>Audit staff determined the S</w:t>
      </w:r>
      <w:r w:rsidRPr="00E34597">
        <w:rPr>
          <w:rFonts w:ascii="Times New Roman" w:hAnsi="Times New Roman" w:cs="Times New Roman"/>
          <w:b w:val="0"/>
          <w:bCs w:val="0"/>
          <w:iCs w:val="0"/>
          <w:szCs w:val="24"/>
        </w:rPr>
        <w:t xml:space="preserve">eller did not make the Commission ordered adjustments </w:t>
      </w:r>
      <w:r>
        <w:rPr>
          <w:rFonts w:ascii="Times New Roman" w:hAnsi="Times New Roman" w:cs="Times New Roman"/>
          <w:b w:val="0"/>
          <w:bCs w:val="0"/>
          <w:iCs w:val="0"/>
          <w:szCs w:val="24"/>
        </w:rPr>
        <w:t>established in Order No. PSC-10-1026-PAA-WU to reflect</w:t>
      </w:r>
      <w:r w:rsidRPr="00E34597">
        <w:rPr>
          <w:rFonts w:ascii="Times New Roman" w:hAnsi="Times New Roman" w:cs="Times New Roman"/>
          <w:b w:val="0"/>
          <w:bCs w:val="0"/>
          <w:iCs w:val="0"/>
          <w:szCs w:val="24"/>
        </w:rPr>
        <w:t xml:space="preserve"> the correct plant balance as of December 31, 2008</w:t>
      </w:r>
      <w:r>
        <w:rPr>
          <w:rFonts w:ascii="Times New Roman" w:hAnsi="Times New Roman" w:cs="Times New Roman"/>
          <w:b w:val="0"/>
          <w:bCs w:val="0"/>
          <w:iCs w:val="0"/>
          <w:szCs w:val="24"/>
        </w:rPr>
        <w:t>. Using staff’s work papers from the last rate case</w:t>
      </w:r>
      <w:r w:rsidRPr="00E34597">
        <w:rPr>
          <w:rFonts w:ascii="Times New Roman" w:hAnsi="Times New Roman" w:cs="Times New Roman"/>
          <w:b w:val="0"/>
          <w:bCs w:val="0"/>
          <w:iCs w:val="0"/>
          <w:szCs w:val="24"/>
        </w:rPr>
        <w:t xml:space="preserve"> </w:t>
      </w:r>
      <w:r>
        <w:rPr>
          <w:rFonts w:ascii="Times New Roman" w:hAnsi="Times New Roman" w:cs="Times New Roman"/>
          <w:b w:val="0"/>
          <w:bCs w:val="0"/>
          <w:iCs w:val="0"/>
          <w:szCs w:val="24"/>
        </w:rPr>
        <w:t xml:space="preserve">to establish the beginning balances, and supporting invoices for plant additions, audit staff calculated a UPIS balance of $554,392 as of August 31, 2021. </w:t>
      </w:r>
      <w:r w:rsidRPr="00E34597">
        <w:rPr>
          <w:rFonts w:ascii="Times New Roman" w:hAnsi="Times New Roman" w:cs="Times New Roman"/>
          <w:b w:val="0"/>
          <w:bCs w:val="0"/>
          <w:iCs w:val="0"/>
          <w:szCs w:val="24"/>
        </w:rPr>
        <w:t xml:space="preserve">Therefore, staff recommends </w:t>
      </w:r>
      <w:r>
        <w:rPr>
          <w:rFonts w:ascii="Times New Roman" w:hAnsi="Times New Roman" w:cs="Times New Roman"/>
          <w:b w:val="0"/>
          <w:bCs w:val="0"/>
          <w:iCs w:val="0"/>
          <w:szCs w:val="24"/>
        </w:rPr>
        <w:t xml:space="preserve">a </w:t>
      </w:r>
      <w:r w:rsidRPr="00E34597">
        <w:rPr>
          <w:rFonts w:ascii="Times New Roman" w:hAnsi="Times New Roman" w:cs="Times New Roman"/>
          <w:b w:val="0"/>
          <w:bCs w:val="0"/>
          <w:iCs w:val="0"/>
          <w:szCs w:val="24"/>
        </w:rPr>
        <w:t>UPIS balance of $554,392 as of August 31, 2021.</w:t>
      </w:r>
    </w:p>
    <w:p w:rsidR="00576813" w:rsidRPr="00605D02" w:rsidRDefault="00576813" w:rsidP="00576813"/>
    <w:p w:rsidR="00576813" w:rsidRDefault="00576813" w:rsidP="00576813">
      <w:pPr>
        <w:pStyle w:val="First-LevelSubheading"/>
      </w:pPr>
      <w:r>
        <w:t>Land</w:t>
      </w:r>
    </w:p>
    <w:p w:rsidR="00576813" w:rsidRDefault="00576813" w:rsidP="00576813">
      <w:pPr>
        <w:pStyle w:val="BodyText"/>
      </w:pPr>
      <w:r>
        <w:t>The Utility reflected a land balance of $10,000 as of August 31, 2021. Camachee’s land balance was established in Order No. PSC-2010-1026-PAA-WU. There have been no additions to land since December 31, 2008. Therefore, staff recommends a land balance of $10,000 as of August 31, 2021.</w:t>
      </w:r>
    </w:p>
    <w:p w:rsidR="00576813" w:rsidRDefault="00576813" w:rsidP="00576813">
      <w:pPr>
        <w:pStyle w:val="First-LevelSubheading"/>
      </w:pPr>
      <w:r>
        <w:t>Accumulated Deprecation</w:t>
      </w:r>
    </w:p>
    <w:p w:rsidR="00576813" w:rsidRDefault="00576813" w:rsidP="00576813">
      <w:pPr>
        <w:pStyle w:val="BodyText"/>
      </w:pPr>
      <w:r w:rsidRPr="00E34597">
        <w:t>The Utility reflect</w:t>
      </w:r>
      <w:r>
        <w:t>ed</w:t>
      </w:r>
      <w:r w:rsidRPr="00E34597">
        <w:t xml:space="preserve"> an accumulated depreciation balance of $339,350 as of August 31, 2021. </w:t>
      </w:r>
      <w:r>
        <w:t xml:space="preserve">Camachee recorded accumulated depreciation as a grand total; it was not broken down by plant account. Staff auditors recalculated depreciation accruals for all water accounts since the last rate case through August 31, 2021, using the audited UPIS balances and the depreciation rates established by Rule 25-30.140, F.A.C. As a result, staff recommends that the accumulated depreciation balance be decreased by $3,805. Accordingly, </w:t>
      </w:r>
      <w:r w:rsidRPr="00E34597">
        <w:t xml:space="preserve">staff recommends </w:t>
      </w:r>
      <w:r>
        <w:t xml:space="preserve">a total </w:t>
      </w:r>
      <w:r w:rsidRPr="00E34597">
        <w:t xml:space="preserve">accumulated depreciation </w:t>
      </w:r>
      <w:r>
        <w:t xml:space="preserve">balance of </w:t>
      </w:r>
      <w:r w:rsidRPr="00E34597">
        <w:t>$335,545 as of August 31, 2021.</w:t>
      </w:r>
    </w:p>
    <w:p w:rsidR="00576813" w:rsidRPr="00FB719E" w:rsidRDefault="00576813" w:rsidP="00FB719E"/>
    <w:p w:rsidR="00576813" w:rsidRDefault="00576813" w:rsidP="00576813">
      <w:pPr>
        <w:pStyle w:val="BodyText"/>
      </w:pPr>
    </w:p>
    <w:p w:rsidR="00576813" w:rsidRPr="00BA5ED1" w:rsidRDefault="00576813" w:rsidP="00576813">
      <w:pPr>
        <w:autoSpaceDE w:val="0"/>
        <w:autoSpaceDN w:val="0"/>
        <w:adjustRightInd w:val="0"/>
        <w:jc w:val="both"/>
        <w:rPr>
          <w:rFonts w:ascii="Arial-BoldMT" w:hAnsi="Arial-BoldMT" w:cs="Arial-BoldMT"/>
          <w:b/>
          <w:bCs/>
        </w:rPr>
      </w:pPr>
      <w:r>
        <w:rPr>
          <w:rFonts w:ascii="Arial-BoldMT" w:hAnsi="Arial-BoldMT" w:cs="Arial-BoldMT"/>
          <w:b/>
          <w:bCs/>
        </w:rPr>
        <w:lastRenderedPageBreak/>
        <w:t xml:space="preserve">Contributions-in-Aid-of-Construction (CIAC) and Accumulated Amortization of </w:t>
      </w:r>
      <w:r w:rsidRPr="00BA5ED1">
        <w:rPr>
          <w:rFonts w:ascii="Arial-BoldMT" w:hAnsi="Arial-BoldMT" w:cs="Arial-BoldMT"/>
          <w:b/>
        </w:rPr>
        <w:t>CIAC</w:t>
      </w:r>
    </w:p>
    <w:p w:rsidR="00576813" w:rsidRPr="00427BA6" w:rsidRDefault="00576813" w:rsidP="00576813">
      <w:pPr>
        <w:pStyle w:val="BodyText"/>
      </w:pPr>
      <w:r>
        <w:t xml:space="preserve">The Utility reflected CIAC and </w:t>
      </w:r>
      <w:r w:rsidRPr="00E34597">
        <w:t>accumulated amortization of CIAC balances of $0 as of August 31, 2021.</w:t>
      </w:r>
      <w:r>
        <w:t xml:space="preserve"> The Utility has no authorized service availability charges, and has not received any donated property. </w:t>
      </w:r>
      <w:r w:rsidRPr="00E34597">
        <w:t xml:space="preserve">Therefore, staff recommends a CIAC balance of </w:t>
      </w:r>
      <w:r>
        <w:t xml:space="preserve">$0, and accumulated amortization </w:t>
      </w:r>
      <w:r w:rsidRPr="00E34597">
        <w:t>of CIAC balance</w:t>
      </w:r>
      <w:r>
        <w:t>s</w:t>
      </w:r>
      <w:r w:rsidRPr="00E34597">
        <w:t xml:space="preserve"> of $0, as of August 31, 2021.</w:t>
      </w:r>
    </w:p>
    <w:p w:rsidR="00576813" w:rsidRDefault="00576813" w:rsidP="00576813">
      <w:pPr>
        <w:pStyle w:val="First-LevelSubheading"/>
      </w:pPr>
      <w:r>
        <w:t>Net Book Value</w:t>
      </w:r>
    </w:p>
    <w:p w:rsidR="00576813" w:rsidRDefault="00576813" w:rsidP="00576813">
      <w:pPr>
        <w:pStyle w:val="BodyText"/>
      </w:pPr>
      <w:r w:rsidRPr="006431B7">
        <w:t>The Utility reflect</w:t>
      </w:r>
      <w:r>
        <w:t>ed</w:t>
      </w:r>
      <w:r w:rsidRPr="006431B7">
        <w:t xml:space="preserve"> a NBV of $243,855 as of August 31, 2021. </w:t>
      </w:r>
      <w:r>
        <w:t xml:space="preserve">Based on the adjustments described above, </w:t>
      </w:r>
      <w:r w:rsidRPr="006431B7">
        <w:t>staff recommends a NBV of $228,846. Staff’s recommended NBV and the National Association of Regulatory Utility Commissioners, Uniform System of Accounts balances for UPIS and accumulated depreciation are shown on Schedule No</w:t>
      </w:r>
      <w:r>
        <w:t>s</w:t>
      </w:r>
      <w:r w:rsidRPr="006431B7">
        <w:t>. 1</w:t>
      </w:r>
      <w:r>
        <w:t xml:space="preserve"> and 2</w:t>
      </w:r>
      <w:r w:rsidRPr="006431B7">
        <w:t>, as of August 31, 2021.</w:t>
      </w:r>
    </w:p>
    <w:p w:rsidR="00576813" w:rsidRDefault="00576813" w:rsidP="00576813">
      <w:pPr>
        <w:pStyle w:val="First-LevelSubheading"/>
      </w:pPr>
      <w:r>
        <w:t>Acquisition Adjustment</w:t>
      </w:r>
    </w:p>
    <w:p w:rsidR="00576813" w:rsidRDefault="00576813" w:rsidP="00576813">
      <w:pPr>
        <w:pStyle w:val="BodyText"/>
      </w:pPr>
      <w:r>
        <w:t>Under Rule 25-30.0371, F.A.C., a</w:t>
      </w:r>
      <w:r w:rsidRPr="006431B7">
        <w:t xml:space="preserve">n acquisition adjustment results when the purchase price differs from the NBV of the assets at the time of the acquisition. </w:t>
      </w:r>
      <w:r>
        <w:t>As discussed in Issue 1,</w:t>
      </w:r>
      <w:r w:rsidRPr="00193077">
        <w:rPr>
          <w:rFonts w:ascii="TimesNewRomanPSMT" w:hAnsi="TimesNewRomanPSMT" w:cs="TimesNewRomanPSMT"/>
        </w:rPr>
        <w:t xml:space="preserve"> </w:t>
      </w:r>
      <w:r w:rsidRPr="00E24748">
        <w:rPr>
          <w:rFonts w:ascii="TimesNewRomanPSMT" w:hAnsi="TimesNewRomanPSMT" w:cs="TimesNewRomanPSMT"/>
        </w:rPr>
        <w:t>the Buyer stated the purchase price of the water</w:t>
      </w:r>
      <w:r>
        <w:rPr>
          <w:rFonts w:ascii="TimesNewRomanPSMT" w:hAnsi="TimesNewRomanPSMT" w:cs="TimesNewRomanPSMT"/>
        </w:rPr>
        <w:t xml:space="preserve"> utility</w:t>
      </w:r>
      <w:r w:rsidRPr="00E24748">
        <w:rPr>
          <w:rFonts w:ascii="TimesNewRomanPSMT" w:hAnsi="TimesNewRomanPSMT" w:cs="TimesNewRomanPSMT"/>
        </w:rPr>
        <w:t xml:space="preserve"> </w:t>
      </w:r>
      <w:r>
        <w:rPr>
          <w:rFonts w:ascii="TimesNewRomanPSMT" w:hAnsi="TimesNewRomanPSMT" w:cs="TimesNewRomanPSMT"/>
        </w:rPr>
        <w:t xml:space="preserve">and its </w:t>
      </w:r>
      <w:r w:rsidRPr="00E24748">
        <w:rPr>
          <w:rFonts w:ascii="TimesNewRomanPSMT" w:hAnsi="TimesNewRomanPSMT" w:cs="TimesNewRomanPSMT"/>
        </w:rPr>
        <w:t xml:space="preserve">assets should be set equal to the </w:t>
      </w:r>
      <w:r>
        <w:rPr>
          <w:rFonts w:ascii="TimesNewRomanPSMT" w:hAnsi="TimesNewRomanPSMT" w:cs="TimesNewRomanPSMT"/>
        </w:rPr>
        <w:t>NBV</w:t>
      </w:r>
      <w:r w:rsidRPr="00E24748">
        <w:rPr>
          <w:rFonts w:ascii="TimesNewRomanPSMT" w:hAnsi="TimesNewRomanPSMT" w:cs="TimesNewRomanPSMT"/>
        </w:rPr>
        <w:t xml:space="preserve"> established by </w:t>
      </w:r>
      <w:r>
        <w:rPr>
          <w:rFonts w:ascii="TimesNewRomanPSMT" w:hAnsi="TimesNewRomanPSMT" w:cs="TimesNewRomanPSMT"/>
        </w:rPr>
        <w:t>the</w:t>
      </w:r>
      <w:r w:rsidRPr="00E24748">
        <w:rPr>
          <w:rFonts w:ascii="TimesNewRomanPSMT" w:hAnsi="TimesNewRomanPSMT" w:cs="TimesNewRomanPSMT"/>
        </w:rPr>
        <w:t xml:space="preserve"> Commission</w:t>
      </w:r>
      <w:r>
        <w:t>. Because</w:t>
      </w:r>
      <w:r w:rsidRPr="006431B7">
        <w:t xml:space="preserve"> the </w:t>
      </w:r>
      <w:r>
        <w:t>NBV</w:t>
      </w:r>
      <w:r w:rsidRPr="006431B7">
        <w:t xml:space="preserve"> for this Utility at the time of transfer is </w:t>
      </w:r>
      <w:r>
        <w:t>equal to</w:t>
      </w:r>
      <w:r w:rsidRPr="006431B7">
        <w:t xml:space="preserve"> the purchase price</w:t>
      </w:r>
      <w:r>
        <w:t>, an acquisition adjustment is not warranted.</w:t>
      </w:r>
    </w:p>
    <w:p w:rsidR="00576813" w:rsidRDefault="00576813" w:rsidP="00576813">
      <w:pPr>
        <w:pStyle w:val="First-LevelSubheading"/>
      </w:pPr>
      <w:r>
        <w:t>Conclusion</w:t>
      </w:r>
    </w:p>
    <w:p w:rsidR="00576813" w:rsidRDefault="00576813" w:rsidP="00576813">
      <w:pPr>
        <w:pStyle w:val="BodyText"/>
      </w:pPr>
      <w:r w:rsidRPr="006431B7">
        <w:t>Based on the above, staff recommends a NBV of $228,846, as of August 31, 2021. No acquisition adjustment should be included in rate base. Within 90 days of the date of</w:t>
      </w:r>
      <w:r>
        <w:t xml:space="preserve"> the consummating order, the B</w:t>
      </w:r>
      <w:r w:rsidRPr="006431B7">
        <w:t>uyer should be required to notify the Commission in writing that it has adjusted its books in accordance with the Commission’s decision. The adjustments should be reflected in the Utility’s 202</w:t>
      </w:r>
      <w:r>
        <w:t>2</w:t>
      </w:r>
      <w:r w:rsidRPr="006431B7">
        <w:t xml:space="preserve"> Annual Report when filed.</w:t>
      </w:r>
    </w:p>
    <w:p w:rsidR="00576813" w:rsidRPr="00576813" w:rsidRDefault="00576813" w:rsidP="00576813">
      <w:pPr>
        <w:pStyle w:val="BodyText"/>
      </w:pPr>
    </w:p>
    <w:p w:rsidR="00861BE4" w:rsidRDefault="00F95901" w:rsidP="00861BE4">
      <w:pPr>
        <w:pStyle w:val="IssueHeading"/>
        <w:rPr>
          <w:vanish/>
          <w:specVanish/>
        </w:rPr>
      </w:pPr>
      <w:r w:rsidRPr="004C3641">
        <w:rPr>
          <w:b w:val="0"/>
          <w:i w:val="0"/>
        </w:rPr>
        <w:br w:type="page"/>
      </w:r>
      <w:r w:rsidR="00861BE4" w:rsidRPr="004C3641">
        <w:lastRenderedPageBreak/>
        <w:t xml:space="preserve">Issue </w:t>
      </w:r>
      <w:r w:rsidR="002D4AF2">
        <w:fldChar w:fldCharType="begin"/>
      </w:r>
      <w:r w:rsidR="002D4AF2">
        <w:instrText xml:space="preserve"> SEQ Issue \* MERGEFORMAT </w:instrText>
      </w:r>
      <w:r w:rsidR="002D4AF2">
        <w:fldChar w:fldCharType="separate"/>
      </w:r>
      <w:r w:rsidR="00861BE4">
        <w:rPr>
          <w:noProof/>
        </w:rPr>
        <w:t>3</w:t>
      </w:r>
      <w:r w:rsidR="002D4AF2">
        <w:rPr>
          <w:noProof/>
        </w:rPr>
        <w:fldChar w:fldCharType="end"/>
      </w:r>
      <w:r w:rsidR="00861BE4" w:rsidRPr="004C3641">
        <w:t>:</w:t>
      </w:r>
      <w:r w:rsidR="00861BE4">
        <w:fldChar w:fldCharType="begin"/>
      </w:r>
      <w:r w:rsidR="00861BE4">
        <w:instrText xml:space="preserve"> TC "</w:instrText>
      </w:r>
      <w:r w:rsidR="00861BE4">
        <w:fldChar w:fldCharType="begin"/>
      </w:r>
      <w:r w:rsidR="00861BE4">
        <w:instrText xml:space="preserve"> SEQ issue \c </w:instrText>
      </w:r>
      <w:r w:rsidR="00861BE4">
        <w:fldChar w:fldCharType="separate"/>
      </w:r>
      <w:r w:rsidR="00861BE4">
        <w:rPr>
          <w:noProof/>
        </w:rPr>
        <w:instrText>3</w:instrText>
      </w:r>
      <w:r w:rsidR="00861BE4">
        <w:fldChar w:fldCharType="end"/>
      </w:r>
      <w:r w:rsidR="00861BE4">
        <w:tab/>
        <w:instrText xml:space="preserve">Miscellaneous Service Charges(Bethea)" \l 1 </w:instrText>
      </w:r>
      <w:r w:rsidR="00861BE4">
        <w:fldChar w:fldCharType="end"/>
      </w:r>
      <w:r w:rsidR="00861BE4">
        <w:t> </w:t>
      </w:r>
    </w:p>
    <w:p w:rsidR="00861BE4" w:rsidRDefault="00861BE4" w:rsidP="00861BE4">
      <w:pPr>
        <w:pStyle w:val="BodyText"/>
      </w:pPr>
      <w:r>
        <w:t> Should Windward Camachee Marina Owner LLC</w:t>
      </w:r>
      <w:r w:rsidRPr="007678AD">
        <w:t xml:space="preserve"> d/b/a Camachee Cove Yacht Harbor Utility</w:t>
      </w:r>
      <w:r>
        <w:t>'s miscellaneous service charges be revised to conform to amended Rule 25-30.460, F.A.C.?</w:t>
      </w:r>
    </w:p>
    <w:p w:rsidR="00861BE4" w:rsidRPr="004C3641" w:rsidRDefault="00861BE4" w:rsidP="00861BE4">
      <w:pPr>
        <w:pStyle w:val="IssueSubsectionHeading"/>
        <w:rPr>
          <w:vanish/>
          <w:specVanish/>
        </w:rPr>
      </w:pPr>
      <w:r w:rsidRPr="004C3641">
        <w:t>Recommendation: </w:t>
      </w:r>
    </w:p>
    <w:p w:rsidR="00861BE4" w:rsidRDefault="00861BE4" w:rsidP="00861BE4">
      <w:pPr>
        <w:pStyle w:val="BodyText"/>
      </w:pPr>
      <w:r>
        <w:t> </w:t>
      </w:r>
      <w:r w:rsidRPr="007678AD">
        <w:t xml:space="preserve">Yes. </w:t>
      </w:r>
      <w:r>
        <w:t>T</w:t>
      </w:r>
      <w:r w:rsidRPr="007678AD">
        <w:t xml:space="preserve">he miscellaneous service charges </w:t>
      </w:r>
      <w:r>
        <w:t xml:space="preserve">should </w:t>
      </w:r>
      <w:r w:rsidRPr="007678AD">
        <w:t>be revised to conform to the recent amendment to Rule 25-30.460, F.A.C. The tariff should be revised to reflect the removal of</w:t>
      </w:r>
      <w:r>
        <w:t xml:space="preserve"> the</w:t>
      </w:r>
      <w:r w:rsidRPr="007678AD">
        <w:t xml:space="preserve"> initial connection and normal reconnection charges. Windward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w:t>
      </w:r>
      <w:r>
        <w:t xml:space="preserve"> after the date of the notice. </w:t>
      </w:r>
      <w:r w:rsidRPr="007678AD">
        <w:t>Windward should be required to charge the approved miscellaneous services charges until authorized to change them by the Commission in a subsequent proceeding.</w:t>
      </w:r>
      <w:r>
        <w:t xml:space="preserve"> (Bethea)</w:t>
      </w:r>
    </w:p>
    <w:p w:rsidR="00861BE4" w:rsidRPr="004C3641" w:rsidRDefault="00861BE4" w:rsidP="00861BE4">
      <w:pPr>
        <w:pStyle w:val="IssueSubsectionHeading"/>
        <w:rPr>
          <w:vanish/>
          <w:specVanish/>
        </w:rPr>
      </w:pPr>
      <w:r w:rsidRPr="004C3641">
        <w:t>Staff Analysis: </w:t>
      </w:r>
    </w:p>
    <w:p w:rsidR="00861BE4" w:rsidRPr="007678AD" w:rsidRDefault="00861BE4" w:rsidP="00861BE4">
      <w:pPr>
        <w:spacing w:after="240"/>
        <w:jc w:val="both"/>
      </w:pPr>
      <w:r>
        <w:t> </w:t>
      </w:r>
      <w:r w:rsidRPr="007678AD">
        <w:t>Effective June 4, 2021, Rule 25-30.460, F.A.C., was amended to remove initial connection and normal reconnection charges.</w:t>
      </w:r>
      <w:r w:rsidRPr="007678AD">
        <w:rPr>
          <w:vertAlign w:val="superscript"/>
        </w:rPr>
        <w:footnoteReference w:id="9"/>
      </w:r>
      <w:r w:rsidRPr="007678AD">
        <w:t xml:space="preserve"> The definitions for initial connection charges and normal reconnection charges were subsumed in the definition of the premises visit charge. The Utility’s miscellaneous service charges consist of initial connection and normal reconnection charges. The normal reconnection charge is more than the premises visit charge. Since the premises visit entails a broader range of tasks, staff believes the premises visit charge should reflect the amount of the normal reconnection charge of $30. Therefore, staff recommends that the initial connection and normal reconnection charges be removed, the premises visit charge should be revised to $30, and the definition for the premises visit charge be updated to comply with amended Rule 25-30.460, F.A.C. The Utility’s existing and staff’s recommended miscellaneous service c</w:t>
      </w:r>
      <w:r>
        <w:t>harges are shown below in Table</w:t>
      </w:r>
      <w:r w:rsidRPr="007678AD">
        <w:t xml:space="preserve"> </w:t>
      </w:r>
      <w:r>
        <w:t>3</w:t>
      </w:r>
      <w:r w:rsidRPr="007678AD">
        <w:t>-1.</w:t>
      </w:r>
    </w:p>
    <w:p w:rsidR="00861BE4" w:rsidRPr="007678AD" w:rsidRDefault="00861BE4" w:rsidP="00861BE4">
      <w:pPr>
        <w:keepNext/>
        <w:spacing w:before="240"/>
        <w:jc w:val="center"/>
        <w:rPr>
          <w:rFonts w:ascii="Arial" w:hAnsi="Arial"/>
          <w:b/>
        </w:rPr>
      </w:pPr>
      <w:r>
        <w:rPr>
          <w:rFonts w:ascii="Arial" w:hAnsi="Arial"/>
          <w:b/>
        </w:rPr>
        <w:t>Table 3</w:t>
      </w:r>
      <w:r w:rsidRPr="007678AD">
        <w:rPr>
          <w:rFonts w:ascii="Arial" w:hAnsi="Arial"/>
          <w:b/>
        </w:rPr>
        <w:t>-1</w:t>
      </w:r>
    </w:p>
    <w:p w:rsidR="00861BE4" w:rsidRPr="007678AD" w:rsidRDefault="00861BE4" w:rsidP="00861BE4">
      <w:pPr>
        <w:jc w:val="center"/>
      </w:pPr>
      <w:r w:rsidRPr="007678AD">
        <w:rPr>
          <w:rFonts w:ascii="Arial" w:hAnsi="Arial"/>
          <w:b/>
        </w:rPr>
        <w:t>Utility Existing</w:t>
      </w:r>
      <w:r>
        <w:rPr>
          <w:rFonts w:ascii="Arial" w:hAnsi="Arial"/>
          <w:b/>
        </w:rPr>
        <w:t xml:space="preserve"> and Staff Recommended</w:t>
      </w:r>
      <w:r w:rsidRPr="007678AD">
        <w:rPr>
          <w:rFonts w:ascii="Arial" w:hAnsi="Arial"/>
          <w:b/>
        </w:rPr>
        <w:t xml:space="preserve"> Miscellaneous Service Charges</w:t>
      </w:r>
    </w:p>
    <w:tbl>
      <w:tblPr>
        <w:tblStyle w:val="TableGrid12"/>
        <w:tblW w:w="0" w:type="auto"/>
        <w:jc w:val="center"/>
        <w:tblLook w:val="04A0" w:firstRow="1" w:lastRow="0" w:firstColumn="1" w:lastColumn="0" w:noHBand="0" w:noVBand="1"/>
      </w:tblPr>
      <w:tblGrid>
        <w:gridCol w:w="4248"/>
        <w:gridCol w:w="2118"/>
        <w:gridCol w:w="3210"/>
      </w:tblGrid>
      <w:tr w:rsidR="00861BE4" w:rsidRPr="007678AD" w:rsidTr="00EF65A6">
        <w:trPr>
          <w:trHeight w:val="276"/>
          <w:jc w:val="center"/>
        </w:trPr>
        <w:tc>
          <w:tcPr>
            <w:tcW w:w="4248" w:type="dxa"/>
          </w:tcPr>
          <w:p w:rsidR="00861BE4" w:rsidRPr="007678AD" w:rsidRDefault="00861BE4" w:rsidP="00EF65A6">
            <w:pPr>
              <w:rPr>
                <w:rFonts w:ascii="Times New Roman" w:hAnsi="Times New Roman" w:cs="Times New Roman"/>
              </w:rPr>
            </w:pPr>
          </w:p>
        </w:tc>
        <w:tc>
          <w:tcPr>
            <w:tcW w:w="2118" w:type="dxa"/>
          </w:tcPr>
          <w:p w:rsidR="00861BE4" w:rsidRPr="007678AD" w:rsidRDefault="00861BE4" w:rsidP="00EF65A6">
            <w:pPr>
              <w:jc w:val="center"/>
              <w:rPr>
                <w:rFonts w:ascii="Times New Roman" w:hAnsi="Times New Roman" w:cs="Times New Roman"/>
                <w:u w:val="single"/>
              </w:rPr>
            </w:pPr>
            <w:r>
              <w:rPr>
                <w:rFonts w:ascii="Times New Roman" w:hAnsi="Times New Roman" w:cs="Times New Roman"/>
                <w:u w:val="single"/>
              </w:rPr>
              <w:t>Utility Existing</w:t>
            </w:r>
          </w:p>
        </w:tc>
        <w:tc>
          <w:tcPr>
            <w:tcW w:w="3210" w:type="dxa"/>
          </w:tcPr>
          <w:p w:rsidR="00861BE4" w:rsidRPr="00C70734" w:rsidRDefault="00861BE4" w:rsidP="00EF65A6">
            <w:pPr>
              <w:jc w:val="center"/>
              <w:rPr>
                <w:rFonts w:ascii="Times New Roman" w:hAnsi="Times New Roman" w:cs="Times New Roman"/>
                <w:u w:val="single"/>
              </w:rPr>
            </w:pPr>
            <w:r>
              <w:rPr>
                <w:rFonts w:ascii="Times New Roman" w:hAnsi="Times New Roman" w:cs="Times New Roman"/>
                <w:u w:val="single"/>
              </w:rPr>
              <w:t>Staff Recommended</w:t>
            </w:r>
          </w:p>
        </w:tc>
      </w:tr>
      <w:tr w:rsidR="00861BE4" w:rsidRPr="007678AD" w:rsidTr="00EF65A6">
        <w:trPr>
          <w:trHeight w:val="276"/>
          <w:jc w:val="center"/>
        </w:trPr>
        <w:tc>
          <w:tcPr>
            <w:tcW w:w="4248" w:type="dxa"/>
          </w:tcPr>
          <w:p w:rsidR="00861BE4" w:rsidRPr="007678AD" w:rsidRDefault="00861BE4" w:rsidP="00EF65A6">
            <w:pPr>
              <w:rPr>
                <w:rFonts w:ascii="Times New Roman" w:hAnsi="Times New Roman" w:cs="Times New Roman"/>
              </w:rPr>
            </w:pPr>
            <w:r w:rsidRPr="007678AD">
              <w:rPr>
                <w:rFonts w:ascii="Times New Roman" w:hAnsi="Times New Roman" w:cs="Times New Roman"/>
              </w:rPr>
              <w:t>Initial Connection Charge</w:t>
            </w:r>
          </w:p>
        </w:tc>
        <w:tc>
          <w:tcPr>
            <w:tcW w:w="2118" w:type="dxa"/>
          </w:tcPr>
          <w:p w:rsidR="00861BE4" w:rsidRPr="007678AD" w:rsidRDefault="00861BE4" w:rsidP="00EF65A6">
            <w:pPr>
              <w:jc w:val="center"/>
              <w:rPr>
                <w:rFonts w:ascii="Times New Roman" w:hAnsi="Times New Roman" w:cs="Times New Roman"/>
              </w:rPr>
            </w:pPr>
            <w:r w:rsidRPr="007678AD">
              <w:rPr>
                <w:rFonts w:ascii="Times New Roman" w:hAnsi="Times New Roman" w:cs="Times New Roman"/>
              </w:rPr>
              <w:t>$25.00</w:t>
            </w:r>
          </w:p>
        </w:tc>
        <w:tc>
          <w:tcPr>
            <w:tcW w:w="3210" w:type="dxa"/>
          </w:tcPr>
          <w:p w:rsidR="00861BE4" w:rsidRPr="007678AD" w:rsidRDefault="00861BE4" w:rsidP="00EF65A6">
            <w:pPr>
              <w:jc w:val="center"/>
            </w:pPr>
            <w:r>
              <w:t>-</w:t>
            </w:r>
          </w:p>
        </w:tc>
      </w:tr>
      <w:tr w:rsidR="00861BE4" w:rsidRPr="007678AD" w:rsidTr="00EF65A6">
        <w:trPr>
          <w:trHeight w:val="276"/>
          <w:jc w:val="center"/>
        </w:trPr>
        <w:tc>
          <w:tcPr>
            <w:tcW w:w="4248" w:type="dxa"/>
          </w:tcPr>
          <w:p w:rsidR="00861BE4" w:rsidRPr="007678AD" w:rsidRDefault="00861BE4" w:rsidP="00EF65A6">
            <w:pPr>
              <w:rPr>
                <w:rFonts w:ascii="Times New Roman" w:hAnsi="Times New Roman" w:cs="Times New Roman"/>
              </w:rPr>
            </w:pPr>
            <w:r w:rsidRPr="007678AD">
              <w:rPr>
                <w:rFonts w:ascii="Times New Roman" w:hAnsi="Times New Roman" w:cs="Times New Roman"/>
              </w:rPr>
              <w:t>Normal Reconnection Charge</w:t>
            </w:r>
          </w:p>
        </w:tc>
        <w:tc>
          <w:tcPr>
            <w:tcW w:w="2118" w:type="dxa"/>
          </w:tcPr>
          <w:p w:rsidR="00861BE4" w:rsidRPr="007678AD" w:rsidRDefault="00861BE4" w:rsidP="00EF65A6">
            <w:pPr>
              <w:jc w:val="center"/>
              <w:rPr>
                <w:rFonts w:ascii="Times New Roman" w:hAnsi="Times New Roman" w:cs="Times New Roman"/>
              </w:rPr>
            </w:pPr>
            <w:r w:rsidRPr="007678AD">
              <w:rPr>
                <w:rFonts w:ascii="Times New Roman" w:hAnsi="Times New Roman" w:cs="Times New Roman"/>
              </w:rPr>
              <w:t>$30.00</w:t>
            </w:r>
          </w:p>
        </w:tc>
        <w:tc>
          <w:tcPr>
            <w:tcW w:w="3210" w:type="dxa"/>
          </w:tcPr>
          <w:p w:rsidR="00861BE4" w:rsidRPr="007678AD" w:rsidRDefault="00861BE4" w:rsidP="00EF65A6">
            <w:pPr>
              <w:jc w:val="center"/>
            </w:pPr>
            <w:r>
              <w:t>-</w:t>
            </w:r>
          </w:p>
        </w:tc>
      </w:tr>
      <w:tr w:rsidR="00861BE4" w:rsidRPr="007678AD" w:rsidTr="00EF65A6">
        <w:trPr>
          <w:trHeight w:val="276"/>
          <w:jc w:val="center"/>
        </w:trPr>
        <w:tc>
          <w:tcPr>
            <w:tcW w:w="4248" w:type="dxa"/>
          </w:tcPr>
          <w:p w:rsidR="00861BE4" w:rsidRPr="007678AD" w:rsidRDefault="00861BE4" w:rsidP="00EF65A6">
            <w:pPr>
              <w:rPr>
                <w:rFonts w:ascii="Times New Roman" w:hAnsi="Times New Roman" w:cs="Times New Roman"/>
              </w:rPr>
            </w:pPr>
            <w:r w:rsidRPr="007678AD">
              <w:rPr>
                <w:rFonts w:ascii="Times New Roman" w:hAnsi="Times New Roman" w:cs="Times New Roman"/>
              </w:rPr>
              <w:t>Violation Reconnection Charge</w:t>
            </w:r>
          </w:p>
        </w:tc>
        <w:tc>
          <w:tcPr>
            <w:tcW w:w="2118" w:type="dxa"/>
          </w:tcPr>
          <w:p w:rsidR="00861BE4" w:rsidRPr="007678AD" w:rsidRDefault="00861BE4" w:rsidP="00EF65A6">
            <w:pPr>
              <w:jc w:val="center"/>
              <w:rPr>
                <w:rFonts w:ascii="Times New Roman" w:hAnsi="Times New Roman" w:cs="Times New Roman"/>
              </w:rPr>
            </w:pPr>
            <w:r w:rsidRPr="007678AD">
              <w:rPr>
                <w:rFonts w:ascii="Times New Roman" w:hAnsi="Times New Roman" w:cs="Times New Roman"/>
              </w:rPr>
              <w:t>$30.00</w:t>
            </w:r>
          </w:p>
        </w:tc>
        <w:tc>
          <w:tcPr>
            <w:tcW w:w="3210" w:type="dxa"/>
          </w:tcPr>
          <w:p w:rsidR="00861BE4" w:rsidRPr="00C70734" w:rsidRDefault="00861BE4" w:rsidP="00EF65A6">
            <w:pPr>
              <w:jc w:val="center"/>
              <w:rPr>
                <w:rFonts w:ascii="Times New Roman" w:hAnsi="Times New Roman" w:cs="Times New Roman"/>
              </w:rPr>
            </w:pPr>
            <w:r w:rsidRPr="00C70734">
              <w:rPr>
                <w:rFonts w:ascii="Times New Roman" w:hAnsi="Times New Roman" w:cs="Times New Roman"/>
              </w:rPr>
              <w:t>$30.00</w:t>
            </w:r>
          </w:p>
        </w:tc>
      </w:tr>
      <w:tr w:rsidR="00861BE4" w:rsidRPr="007678AD" w:rsidTr="00EF65A6">
        <w:trPr>
          <w:trHeight w:val="276"/>
          <w:jc w:val="center"/>
        </w:trPr>
        <w:tc>
          <w:tcPr>
            <w:tcW w:w="4248" w:type="dxa"/>
          </w:tcPr>
          <w:p w:rsidR="00861BE4" w:rsidRPr="007678AD" w:rsidRDefault="00861BE4" w:rsidP="00EF65A6">
            <w:pPr>
              <w:rPr>
                <w:rFonts w:ascii="Times New Roman" w:hAnsi="Times New Roman" w:cs="Times New Roman"/>
              </w:rPr>
            </w:pPr>
            <w:r w:rsidRPr="007678AD">
              <w:rPr>
                <w:rFonts w:ascii="Times New Roman" w:hAnsi="Times New Roman" w:cs="Times New Roman"/>
              </w:rPr>
              <w:t>Premises Visit Charge</w:t>
            </w:r>
          </w:p>
        </w:tc>
        <w:tc>
          <w:tcPr>
            <w:tcW w:w="2118" w:type="dxa"/>
          </w:tcPr>
          <w:p w:rsidR="00861BE4" w:rsidRPr="007678AD" w:rsidRDefault="00861BE4" w:rsidP="00EF65A6">
            <w:pPr>
              <w:jc w:val="center"/>
              <w:rPr>
                <w:rFonts w:ascii="Times New Roman" w:hAnsi="Times New Roman" w:cs="Times New Roman"/>
              </w:rPr>
            </w:pPr>
            <w:r w:rsidRPr="007678AD">
              <w:rPr>
                <w:rFonts w:ascii="Times New Roman" w:hAnsi="Times New Roman" w:cs="Times New Roman"/>
              </w:rPr>
              <w:t>$15.00</w:t>
            </w:r>
          </w:p>
        </w:tc>
        <w:tc>
          <w:tcPr>
            <w:tcW w:w="3210" w:type="dxa"/>
          </w:tcPr>
          <w:p w:rsidR="00861BE4" w:rsidRPr="00C70734" w:rsidRDefault="00861BE4" w:rsidP="00EF65A6">
            <w:pPr>
              <w:jc w:val="center"/>
              <w:rPr>
                <w:rFonts w:ascii="Times New Roman" w:hAnsi="Times New Roman" w:cs="Times New Roman"/>
              </w:rPr>
            </w:pPr>
            <w:r w:rsidRPr="00C70734">
              <w:rPr>
                <w:rFonts w:ascii="Times New Roman" w:hAnsi="Times New Roman" w:cs="Times New Roman"/>
              </w:rPr>
              <w:t>$30.00</w:t>
            </w:r>
          </w:p>
        </w:tc>
      </w:tr>
    </w:tbl>
    <w:p w:rsidR="00861BE4" w:rsidRDefault="00861BE4" w:rsidP="00861BE4"/>
    <w:p w:rsidR="00861BE4" w:rsidRPr="007678AD" w:rsidRDefault="00861BE4" w:rsidP="00861BE4"/>
    <w:p w:rsidR="00861BE4" w:rsidRPr="007678AD" w:rsidRDefault="00861BE4" w:rsidP="00861BE4">
      <w:pPr>
        <w:rPr>
          <w:rFonts w:ascii="Arial" w:hAnsi="Arial" w:cs="Arial"/>
          <w:b/>
          <w:bCs/>
        </w:rPr>
      </w:pPr>
      <w:r w:rsidRPr="007678AD">
        <w:rPr>
          <w:rFonts w:ascii="Arial" w:hAnsi="Arial" w:cs="Arial"/>
          <w:b/>
          <w:bCs/>
        </w:rPr>
        <w:t>Conclusion</w:t>
      </w:r>
    </w:p>
    <w:p w:rsidR="00861BE4" w:rsidRDefault="00861BE4" w:rsidP="00474FE7">
      <w:pPr>
        <w:pStyle w:val="IssueHeading"/>
        <w:rPr>
          <w:rFonts w:ascii="Times New Roman" w:hAnsi="Times New Roman" w:cs="Times New Roman"/>
          <w:b w:val="0"/>
          <w:bCs w:val="0"/>
          <w:i w:val="0"/>
          <w:kern w:val="0"/>
          <w:szCs w:val="24"/>
        </w:rPr>
      </w:pPr>
      <w:r w:rsidRPr="00861BE4">
        <w:rPr>
          <w:rFonts w:ascii="Times New Roman" w:hAnsi="Times New Roman" w:cs="Times New Roman"/>
          <w:b w:val="0"/>
          <w:bCs w:val="0"/>
          <w:i w:val="0"/>
          <w:kern w:val="0"/>
          <w:szCs w:val="24"/>
        </w:rPr>
        <w:t>Based on the above, staff recommends the miscellaneous service charges should be revised to conform to the recent amendment to Rule 25-30.460, F.A.C. The tariff should be revised to reflect the removal of the initial connection and normal reconnection charges. Windward should be required to file a proposed customer notice to reflect the Commission-approved charges. The approved charges should be effective on or after the stamped approval date on the tariff sheet</w:t>
      </w:r>
      <w:r>
        <w:rPr>
          <w:rFonts w:ascii="Times New Roman" w:hAnsi="Times New Roman" w:cs="Times New Roman"/>
          <w:b w:val="0"/>
          <w:bCs w:val="0"/>
          <w:i w:val="0"/>
          <w:kern w:val="0"/>
          <w:szCs w:val="24"/>
        </w:rPr>
        <w:t xml:space="preserve"> </w:t>
      </w:r>
      <w:r w:rsidRPr="00861BE4">
        <w:rPr>
          <w:rFonts w:ascii="Times New Roman" w:hAnsi="Times New Roman" w:cs="Times New Roman"/>
          <w:b w:val="0"/>
          <w:bCs w:val="0"/>
          <w:i w:val="0"/>
          <w:kern w:val="0"/>
          <w:szCs w:val="24"/>
        </w:rPr>
        <w:lastRenderedPageBreak/>
        <w:t>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 Windward should be required to charge the approved miscellaneous services charges until authorized to change them by the Commission in a subsequent proceeding.</w:t>
      </w:r>
    </w:p>
    <w:p w:rsidR="00474FE7" w:rsidRPr="00474FE7" w:rsidRDefault="00474FE7" w:rsidP="00474FE7"/>
    <w:p w:rsidR="00474FE7" w:rsidRPr="00474FE7" w:rsidRDefault="00474FE7" w:rsidP="00474FE7"/>
    <w:p w:rsidR="00AF2923" w:rsidRDefault="00F95901" w:rsidP="00AF2923">
      <w:pPr>
        <w:pStyle w:val="IssueHeading"/>
        <w:rPr>
          <w:vanish/>
          <w:specVanish/>
        </w:rPr>
      </w:pPr>
      <w:r w:rsidRPr="00861BE4">
        <w:br w:type="page"/>
      </w:r>
      <w:r w:rsidR="00AF2923" w:rsidRPr="004C3641">
        <w:lastRenderedPageBreak/>
        <w:t xml:space="preserve">Issue </w:t>
      </w:r>
      <w:r w:rsidR="002D4AF2">
        <w:fldChar w:fldCharType="begin"/>
      </w:r>
      <w:r w:rsidR="002D4AF2">
        <w:instrText xml:space="preserve"> SEQ Issue \* MERGEFORMAT </w:instrText>
      </w:r>
      <w:r w:rsidR="002D4AF2">
        <w:fldChar w:fldCharType="separate"/>
      </w:r>
      <w:r w:rsidR="00AF2923">
        <w:rPr>
          <w:noProof/>
        </w:rPr>
        <w:t>4</w:t>
      </w:r>
      <w:r w:rsidR="002D4AF2">
        <w:rPr>
          <w:noProof/>
        </w:rPr>
        <w:fldChar w:fldCharType="end"/>
      </w:r>
      <w:r w:rsidR="00AF2923" w:rsidRPr="004C3641">
        <w:t>:</w:t>
      </w:r>
      <w:r w:rsidR="00AF2923">
        <w:fldChar w:fldCharType="begin"/>
      </w:r>
      <w:r w:rsidR="00AF2923">
        <w:instrText xml:space="preserve"> TC "</w:instrText>
      </w:r>
      <w:r w:rsidR="00AF2923">
        <w:fldChar w:fldCharType="begin"/>
      </w:r>
      <w:r w:rsidR="00AF2923">
        <w:instrText xml:space="preserve"> SEQ issue \c </w:instrText>
      </w:r>
      <w:r w:rsidR="00AF2923">
        <w:fldChar w:fldCharType="separate"/>
      </w:r>
      <w:r w:rsidR="00AF2923">
        <w:rPr>
          <w:noProof/>
        </w:rPr>
        <w:instrText>4</w:instrText>
      </w:r>
      <w:r w:rsidR="00AF2923">
        <w:fldChar w:fldCharType="end"/>
      </w:r>
      <w:r w:rsidR="00AF2923">
        <w:tab/>
        <w:instrText xml:space="preserve">" \l 1 </w:instrText>
      </w:r>
      <w:r w:rsidR="00AF2923">
        <w:fldChar w:fldCharType="end"/>
      </w:r>
      <w:r w:rsidR="00AF2923">
        <w:t> </w:t>
      </w:r>
    </w:p>
    <w:p w:rsidR="00AF2923" w:rsidRDefault="00AF2923" w:rsidP="00AF2923">
      <w:pPr>
        <w:pStyle w:val="BodyText"/>
      </w:pPr>
      <w:r>
        <w:t> Should this docket be closed?</w:t>
      </w:r>
    </w:p>
    <w:p w:rsidR="00474FE7" w:rsidRPr="004C3641" w:rsidRDefault="00474FE7" w:rsidP="00474FE7">
      <w:pPr>
        <w:pStyle w:val="IssueSubsectionHeading"/>
        <w:rPr>
          <w:vanish/>
          <w:specVanish/>
        </w:rPr>
      </w:pPr>
      <w:r w:rsidRPr="004C3641">
        <w:t>Recommendation: </w:t>
      </w:r>
    </w:p>
    <w:p w:rsidR="00474FE7" w:rsidRDefault="00474FE7" w:rsidP="00474FE7">
      <w:pPr>
        <w:pStyle w:val="BodyText"/>
      </w:pPr>
      <w:r>
        <w:t> </w:t>
      </w:r>
      <w:r w:rsidRPr="00425779">
        <w:t>Yes.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 the Commission’s decision, and proof that appropriate noticing has been done pursuant to Rule 25-30.4345, F.A.C.</w:t>
      </w:r>
      <w:r>
        <w:t xml:space="preserve"> (</w:t>
      </w:r>
      <w:r w:rsidRPr="009300AB">
        <w:t>Sandy</w:t>
      </w:r>
      <w:r>
        <w:t xml:space="preserve">) </w:t>
      </w:r>
    </w:p>
    <w:p w:rsidR="00474FE7" w:rsidRPr="004C3641" w:rsidRDefault="00474FE7" w:rsidP="00474FE7">
      <w:pPr>
        <w:pStyle w:val="IssueSubsectionHeading"/>
        <w:rPr>
          <w:vanish/>
          <w:specVanish/>
        </w:rPr>
      </w:pPr>
      <w:r w:rsidRPr="004C3641">
        <w:t>Staff Analysis: </w:t>
      </w:r>
    </w:p>
    <w:p w:rsidR="00474FE7" w:rsidRDefault="00474FE7" w:rsidP="00474FE7">
      <w:pPr>
        <w:pStyle w:val="BodyText"/>
      </w:pPr>
      <w:r>
        <w:t> </w:t>
      </w:r>
      <w:r w:rsidRPr="004235BF">
        <w:t>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 the Commission’s decision, and proof that appropriate noticing has been done pursuant to Rule 25-30.4345, F.A.C.</w:t>
      </w:r>
    </w:p>
    <w:p w:rsidR="00E06484" w:rsidRDefault="00E06484" w:rsidP="00474FE7"/>
    <w:p w:rsidR="00F95901" w:rsidRDefault="00F95901" w:rsidP="00E275D8">
      <w:pPr>
        <w:pStyle w:val="BodyText"/>
      </w:pPr>
    </w:p>
    <w:p w:rsidR="00F95901" w:rsidRDefault="00F95901" w:rsidP="00E275D8">
      <w:pPr>
        <w:pStyle w:val="BodyText"/>
        <w:sectPr w:rsidR="00F95901"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p w:rsidR="00816009" w:rsidRDefault="00816009" w:rsidP="00816009">
      <w:pPr>
        <w:pStyle w:val="BodyText"/>
        <w:spacing w:after="0"/>
        <w:jc w:val="center"/>
        <w:rPr>
          <w:u w:val="single"/>
        </w:rPr>
      </w:pPr>
      <w:r>
        <w:rPr>
          <w:u w:val="single"/>
        </w:rPr>
        <w:lastRenderedPageBreak/>
        <w:t>Windward Camachee Marina Owner LLC</w:t>
      </w:r>
    </w:p>
    <w:p w:rsidR="00816009" w:rsidRDefault="00816009" w:rsidP="00816009">
      <w:pPr>
        <w:pStyle w:val="BodyText"/>
        <w:spacing w:after="0"/>
        <w:jc w:val="center"/>
        <w:rPr>
          <w:u w:val="single"/>
        </w:rPr>
      </w:pPr>
      <w:r>
        <w:rPr>
          <w:u w:val="single"/>
        </w:rPr>
        <w:t>d/b/a Camachee Cove Yacht Harbor Utility</w:t>
      </w:r>
    </w:p>
    <w:p w:rsidR="00816009" w:rsidRDefault="00816009" w:rsidP="00816009">
      <w:pPr>
        <w:pStyle w:val="Default"/>
        <w:jc w:val="center"/>
        <w:rPr>
          <w:rFonts w:ascii="Times New Roman" w:hAnsi="Times New Roman" w:cs="Times New Roman"/>
          <w:u w:val="single"/>
        </w:rPr>
      </w:pPr>
    </w:p>
    <w:p w:rsidR="00816009" w:rsidRDefault="00816009" w:rsidP="00816009">
      <w:pPr>
        <w:pStyle w:val="Default"/>
        <w:jc w:val="center"/>
        <w:rPr>
          <w:rFonts w:ascii="Times New Roman" w:hAnsi="Times New Roman" w:cs="Times New Roman"/>
          <w:u w:val="single"/>
        </w:rPr>
      </w:pPr>
      <w:r>
        <w:rPr>
          <w:rFonts w:ascii="Times New Roman" w:hAnsi="Times New Roman" w:cs="Times New Roman"/>
          <w:u w:val="single"/>
        </w:rPr>
        <w:t>Water Service Area</w:t>
      </w:r>
    </w:p>
    <w:p w:rsidR="00816009" w:rsidRDefault="00816009" w:rsidP="00816009">
      <w:pPr>
        <w:pStyle w:val="Default"/>
        <w:jc w:val="center"/>
        <w:rPr>
          <w:rFonts w:ascii="Times New Roman" w:hAnsi="Times New Roman" w:cs="Times New Roman"/>
          <w:u w:val="single"/>
        </w:rPr>
      </w:pPr>
      <w:smartTag w:uri="urn:schemas-microsoft-com:office:smarttags" w:element="place">
        <w:smartTag w:uri="urn:schemas-microsoft-com:office:smarttags" w:element="PlaceName">
          <w:r>
            <w:rPr>
              <w:rFonts w:ascii="Times New Roman" w:hAnsi="Times New Roman" w:cs="Times New Roman"/>
              <w:u w:val="single"/>
            </w:rPr>
            <w:t>St. Johns</w:t>
          </w:r>
        </w:smartTag>
        <w:r>
          <w:rPr>
            <w:rFonts w:ascii="Times New Roman" w:hAnsi="Times New Roman" w:cs="Times New Roman"/>
            <w:u w:val="single"/>
          </w:rPr>
          <w:t xml:space="preserve"> </w:t>
        </w:r>
        <w:smartTag w:uri="urn:schemas-microsoft-com:office:smarttags" w:element="PlaceType">
          <w:r>
            <w:rPr>
              <w:rFonts w:ascii="Times New Roman" w:hAnsi="Times New Roman" w:cs="Times New Roman"/>
              <w:u w:val="single"/>
            </w:rPr>
            <w:t>County</w:t>
          </w:r>
        </w:smartTag>
      </w:smartTag>
    </w:p>
    <w:p w:rsidR="00816009" w:rsidRDefault="00816009" w:rsidP="00816009">
      <w:pPr>
        <w:pStyle w:val="Default"/>
        <w:jc w:val="center"/>
        <w:rPr>
          <w:rFonts w:ascii="Times New Roman" w:hAnsi="Times New Roman" w:cs="Times New Roman"/>
          <w:u w:val="single"/>
        </w:rPr>
      </w:pPr>
    </w:p>
    <w:p w:rsidR="00816009" w:rsidRDefault="00816009" w:rsidP="00816009">
      <w:pPr>
        <w:pStyle w:val="Default"/>
        <w:rPr>
          <w:rFonts w:ascii="Times New Roman" w:hAnsi="Times New Roman" w:cs="Times New Roman"/>
          <w:u w:val="single"/>
        </w:rPr>
      </w:pPr>
    </w:p>
    <w:p w:rsidR="00816009" w:rsidRDefault="00816009" w:rsidP="00816009">
      <w:pPr>
        <w:jc w:val="both"/>
        <w:rPr>
          <w:u w:val="single"/>
        </w:rPr>
      </w:pPr>
      <w:r>
        <w:rPr>
          <w:u w:val="single"/>
        </w:rPr>
        <w:t>Township 7 South, Range 30 East</w:t>
      </w:r>
    </w:p>
    <w:p w:rsidR="00816009" w:rsidRDefault="00816009" w:rsidP="00816009">
      <w:pPr>
        <w:jc w:val="both"/>
        <w:rPr>
          <w:b/>
        </w:rPr>
      </w:pPr>
    </w:p>
    <w:p w:rsidR="00816009" w:rsidRDefault="00816009" w:rsidP="00816009">
      <w:pPr>
        <w:jc w:val="both"/>
      </w:pPr>
      <w:r>
        <w:t>Sections 5 and 8</w:t>
      </w:r>
    </w:p>
    <w:p w:rsidR="00816009" w:rsidRDefault="00816009" w:rsidP="00816009">
      <w:pPr>
        <w:jc w:val="both"/>
      </w:pPr>
    </w:p>
    <w:p w:rsidR="00816009" w:rsidRDefault="00816009" w:rsidP="00816009">
      <w:pPr>
        <w:jc w:val="both"/>
      </w:pPr>
      <w:r>
        <w:t xml:space="preserve">Territory description of portions of Sections 5 and 8, Township 7 South, Range 30 East, </w:t>
      </w:r>
      <w:smartTag w:uri="urn:schemas-microsoft-com:office:smarttags" w:element="place">
        <w:smartTag w:uri="urn:schemas-microsoft-com:office:smarttags" w:element="City">
          <w:r>
            <w:t>St. Johns County</w:t>
          </w:r>
        </w:smartTag>
        <w:r>
          <w:t xml:space="preserve">, </w:t>
        </w:r>
        <w:smartTag w:uri="urn:schemas-microsoft-com:office:smarttags" w:element="State">
          <w:r>
            <w:t>Florida</w:t>
          </w:r>
        </w:smartTag>
      </w:smartTag>
      <w:r>
        <w:t>, Being more fully described as follows:</w:t>
      </w:r>
    </w:p>
    <w:p w:rsidR="00816009" w:rsidRDefault="00816009" w:rsidP="00816009">
      <w:pPr>
        <w:jc w:val="both"/>
      </w:pPr>
    </w:p>
    <w:p w:rsidR="00816009" w:rsidRDefault="00816009" w:rsidP="00816009">
      <w:pPr>
        <w:pStyle w:val="BodyText"/>
      </w:pPr>
      <w:r>
        <w:t>For point of reference, commence at an old red cedar post found by previous surveys and described in deeds as marking the Southwest corner of said Government Lot 3, Section 5, Township 7 South, Range 30 East, also being the Point of Beginning; thence North 21˚03'00" West, 686.19'; thence North 60˚12'45" East, 6.66'; thence North 31˚46'56" West, 669.00'; thence North 24˚31'19" West, 1434.26'; thence North 03˚52'55" West, 1638.13'; thence North 08˚52'55" West, 557.00'; thence North 30˚51'32" East, 60.46'; thence North 16˚38'00" West, 70.00'; thence North 03˚38'00" West, 462.00'; thence South 27˚38'00" East, 1452.00'; thence South 02˚38'00" East, 1320.00'; thence South 22˚08'00" East, 462.00'; thence South 73˚38'00" East, 130.00'; thence South 30˚56'51" East, 515.05'; thence South 18˚00'36" West, 478.81'; thence South 38˚34'49" East, 613.35'; thence North 57˚27'21" East, 173.28'; thence North 21˚12'24" West, 76.64'; thence South 75˚55'59" East, 126.55'; thence South 30˚55'59" East, 50.00'; thence South 29˚04'01" West, 70.00'; thence South 16˚39'00" East, 133.08'; thence North 85˚12'32" East, 75.94' to the intersection with a curve being concave to the South, having a radius of 50.00' and Delta of 33˚33'37"; thence along the chord of said curve, North 86˚13'12" East, 28.87'; thence North 07˚10'06" West, 228.78'; thence North 63˚02'16" East, 157' more or less to the mean highwater line; thence Southeasterly, meandering along the mean highwater line, 1200' more or less; thence South 25˚01'07" West, 110.00'; thence South 22˚57'00" East, 24.24'; thence South 67˚03'00" West, 115.75'; thence South 00˚31'00" East, 718.29' to the intersection with a curve being concave to the Southeast having a radius of 2392.00' and Delta of 02˚42'18", said curve also being the Northerly right-of-way line of State Road A-1-A; thence Southwesterly along said curve an arc length distance of 112.93' to the Point of Curvature of said curve; thence South 48˚31'00" West, along said Northerly right-of-way line, 381.63'; thence North 21˚03'00" West, 1022.21' to the Point of Beginning.</w:t>
      </w:r>
    </w:p>
    <w:p w:rsidR="00816009" w:rsidRDefault="00816009" w:rsidP="00816009">
      <w:pPr>
        <w:pStyle w:val="BodyText"/>
      </w:pPr>
    </w:p>
    <w:p w:rsidR="00816009" w:rsidRDefault="00816009" w:rsidP="00816009">
      <w:pPr>
        <w:pStyle w:val="BodyText"/>
        <w:sectPr w:rsidR="00816009" w:rsidSect="0068481F">
          <w:headerReference w:type="default" r:id="rId16"/>
          <w:footerReference w:type="default" r:id="rId17"/>
          <w:pgSz w:w="12240" w:h="15840" w:code="1"/>
          <w:pgMar w:top="1584" w:right="1440" w:bottom="1440" w:left="1440" w:header="720" w:footer="720" w:gutter="0"/>
          <w:cols w:space="720"/>
          <w:formProt w:val="0"/>
          <w:docGrid w:linePitch="360"/>
        </w:sectPr>
      </w:pPr>
    </w:p>
    <w:p w:rsidR="00816009" w:rsidRDefault="00816009" w:rsidP="00816009">
      <w:pPr>
        <w:pStyle w:val="BodyText"/>
      </w:pPr>
    </w:p>
    <w:p w:rsidR="00816009" w:rsidRDefault="00816009" w:rsidP="00816009">
      <w:pPr>
        <w:jc w:val="center"/>
        <w:rPr>
          <w:b/>
        </w:rPr>
      </w:pPr>
      <w:smartTag w:uri="urn:schemas-microsoft-com:office:smarttags" w:element="State">
        <w:smartTag w:uri="urn:schemas-microsoft-com:office:smarttags" w:element="place">
          <w:r>
            <w:rPr>
              <w:b/>
            </w:rPr>
            <w:t>FLORIDA</w:t>
          </w:r>
        </w:smartTag>
      </w:smartTag>
      <w:r>
        <w:rPr>
          <w:b/>
        </w:rPr>
        <w:t xml:space="preserve"> PUBLIC SERVICE COMMISSION</w:t>
      </w:r>
    </w:p>
    <w:p w:rsidR="00816009" w:rsidRDefault="00816009" w:rsidP="00816009">
      <w:pPr>
        <w:jc w:val="center"/>
        <w:rPr>
          <w:b/>
        </w:rPr>
      </w:pPr>
    </w:p>
    <w:p w:rsidR="00816009" w:rsidRDefault="00816009" w:rsidP="00816009">
      <w:pPr>
        <w:jc w:val="center"/>
        <w:rPr>
          <w:b/>
        </w:rPr>
      </w:pPr>
      <w:r>
        <w:rPr>
          <w:b/>
        </w:rPr>
        <w:t>Authorizes</w:t>
      </w:r>
    </w:p>
    <w:p w:rsidR="00816009" w:rsidRDefault="00816009" w:rsidP="00816009">
      <w:pPr>
        <w:jc w:val="center"/>
        <w:rPr>
          <w:b/>
        </w:rPr>
      </w:pPr>
    </w:p>
    <w:p w:rsidR="00816009" w:rsidRPr="009425A4" w:rsidRDefault="00816009" w:rsidP="00816009">
      <w:pPr>
        <w:jc w:val="center"/>
        <w:rPr>
          <w:b/>
        </w:rPr>
      </w:pPr>
      <w:r w:rsidRPr="009425A4">
        <w:rPr>
          <w:b/>
        </w:rPr>
        <w:t>Win</w:t>
      </w:r>
      <w:r>
        <w:rPr>
          <w:b/>
        </w:rPr>
        <w:t>d</w:t>
      </w:r>
      <w:r w:rsidRPr="009425A4">
        <w:rPr>
          <w:b/>
        </w:rPr>
        <w:t>ward Camachee Marina Owner LLC</w:t>
      </w:r>
    </w:p>
    <w:p w:rsidR="00816009" w:rsidRDefault="00816009" w:rsidP="00816009">
      <w:pPr>
        <w:jc w:val="center"/>
        <w:rPr>
          <w:b/>
        </w:rPr>
      </w:pPr>
      <w:r w:rsidRPr="009425A4">
        <w:rPr>
          <w:b/>
        </w:rPr>
        <w:t>d/b/a Camachee Cove Yacht Harbor Utility</w:t>
      </w:r>
    </w:p>
    <w:p w:rsidR="00816009" w:rsidRDefault="00816009" w:rsidP="00816009">
      <w:pPr>
        <w:jc w:val="center"/>
        <w:rPr>
          <w:b/>
        </w:rPr>
      </w:pPr>
    </w:p>
    <w:p w:rsidR="00816009" w:rsidRDefault="00816009" w:rsidP="00816009">
      <w:pPr>
        <w:jc w:val="center"/>
        <w:rPr>
          <w:b/>
        </w:rPr>
      </w:pPr>
      <w:r>
        <w:rPr>
          <w:b/>
        </w:rPr>
        <w:t xml:space="preserve">pursuant to </w:t>
      </w:r>
    </w:p>
    <w:p w:rsidR="00816009" w:rsidRDefault="00816009" w:rsidP="00816009">
      <w:pPr>
        <w:jc w:val="center"/>
        <w:rPr>
          <w:b/>
        </w:rPr>
      </w:pPr>
      <w:r>
        <w:rPr>
          <w:b/>
        </w:rPr>
        <w:t>Certificate Number 647-W</w:t>
      </w:r>
    </w:p>
    <w:p w:rsidR="00816009" w:rsidRDefault="00816009" w:rsidP="00816009">
      <w:pPr>
        <w:jc w:val="both"/>
      </w:pPr>
    </w:p>
    <w:p w:rsidR="00816009" w:rsidRDefault="00816009" w:rsidP="00816009">
      <w:pPr>
        <w:jc w:val="both"/>
      </w:pPr>
      <w:r>
        <w:t xml:space="preserve">to provide water service in St. Johns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816009" w:rsidRDefault="00816009" w:rsidP="00816009"/>
    <w:p w:rsidR="00816009" w:rsidRDefault="00816009" w:rsidP="00816009">
      <w:r>
        <w:rPr>
          <w:u w:val="single"/>
        </w:rPr>
        <w:t>Order Number</w:t>
      </w:r>
      <w:r>
        <w:tab/>
      </w:r>
      <w:r>
        <w:tab/>
      </w:r>
      <w:r>
        <w:tab/>
      </w:r>
      <w:r>
        <w:rPr>
          <w:u w:val="single"/>
        </w:rPr>
        <w:t>Date Issued</w:t>
      </w:r>
      <w:r>
        <w:tab/>
      </w:r>
      <w:r>
        <w:rPr>
          <w:u w:val="single"/>
        </w:rPr>
        <w:t>Docket Number</w:t>
      </w:r>
      <w:r>
        <w:tab/>
      </w:r>
      <w:r>
        <w:rPr>
          <w:u w:val="single"/>
        </w:rPr>
        <w:t>Filing Type</w:t>
      </w:r>
    </w:p>
    <w:p w:rsidR="00816009" w:rsidRDefault="00816009" w:rsidP="00816009"/>
    <w:p w:rsidR="00816009" w:rsidRDefault="00816009" w:rsidP="00816009">
      <w:r>
        <w:t>PSC-09-0752-PAA-WU</w:t>
      </w:r>
      <w:r>
        <w:rPr>
          <w:b/>
        </w:rPr>
        <w:tab/>
      </w:r>
      <w:r>
        <w:t>11/16/09</w:t>
      </w:r>
      <w:r>
        <w:rPr>
          <w:b/>
        </w:rPr>
        <w:tab/>
      </w:r>
      <w:r>
        <w:t>20090185-WS</w:t>
      </w:r>
      <w:r>
        <w:tab/>
      </w:r>
      <w:r>
        <w:tab/>
        <w:t>Grandfather Certificate</w:t>
      </w:r>
    </w:p>
    <w:p w:rsidR="00816009" w:rsidRDefault="00816009" w:rsidP="00816009">
      <w:pPr>
        <w:rPr>
          <w:b/>
        </w:rPr>
      </w:pPr>
      <w:r>
        <w:t>*</w:t>
      </w:r>
      <w:r>
        <w:tab/>
      </w:r>
      <w:r>
        <w:tab/>
      </w:r>
      <w:r>
        <w:tab/>
      </w:r>
      <w:r>
        <w:tab/>
        <w:t>*</w:t>
      </w:r>
      <w:r>
        <w:tab/>
      </w:r>
      <w:r>
        <w:tab/>
        <w:t>20210189-WU</w:t>
      </w:r>
      <w:r>
        <w:tab/>
      </w:r>
      <w:r>
        <w:tab/>
        <w:t>Transfer</w:t>
      </w:r>
    </w:p>
    <w:p w:rsidR="00816009" w:rsidRDefault="00816009" w:rsidP="00816009">
      <w:pPr>
        <w:rPr>
          <w:b/>
        </w:rPr>
      </w:pPr>
    </w:p>
    <w:p w:rsidR="00816009" w:rsidRDefault="00816009" w:rsidP="00816009">
      <w:pPr>
        <w:rPr>
          <w:b/>
        </w:rPr>
      </w:pPr>
    </w:p>
    <w:p w:rsidR="00816009" w:rsidRDefault="00816009" w:rsidP="00816009">
      <w:pPr>
        <w:pStyle w:val="BodyText"/>
        <w:rPr>
          <w:b/>
        </w:rPr>
      </w:pPr>
      <w:r>
        <w:rPr>
          <w:b/>
        </w:rPr>
        <w:t>*Order Number and date to be provided at time of issuance.</w:t>
      </w:r>
    </w:p>
    <w:p w:rsidR="00816009" w:rsidRDefault="00816009" w:rsidP="00816009">
      <w:pPr>
        <w:pStyle w:val="BodyText"/>
        <w:rPr>
          <w:b/>
        </w:rPr>
      </w:pPr>
    </w:p>
    <w:p w:rsidR="00816009" w:rsidRDefault="00816009" w:rsidP="00816009">
      <w:pPr>
        <w:pStyle w:val="BodyText"/>
        <w:sectPr w:rsidR="00816009" w:rsidSect="0068481F">
          <w:headerReference w:type="default" r:id="rId18"/>
          <w:footerReference w:type="default" r:id="rId19"/>
          <w:pgSz w:w="12240" w:h="15840" w:code="1"/>
          <w:pgMar w:top="1584" w:right="1440" w:bottom="1440" w:left="1440" w:header="720" w:footer="720" w:gutter="0"/>
          <w:cols w:space="720"/>
          <w:formProt w:val="0"/>
          <w:docGrid w:linePitch="360"/>
        </w:sectPr>
      </w:pPr>
    </w:p>
    <w:p w:rsidR="00816009" w:rsidRDefault="00816009" w:rsidP="00816009">
      <w:pPr>
        <w:pStyle w:val="BodyText"/>
      </w:pPr>
    </w:p>
    <w:p w:rsidR="00816009" w:rsidRDefault="00816009" w:rsidP="00816009">
      <w:pPr>
        <w:jc w:val="center"/>
        <w:rPr>
          <w:rFonts w:ascii="Arial" w:hAnsi="Arial" w:cs="Arial"/>
          <w:b/>
        </w:rPr>
      </w:pPr>
      <w:r w:rsidRPr="00B321C4">
        <w:rPr>
          <w:rFonts w:ascii="Arial" w:hAnsi="Arial" w:cs="Arial"/>
          <w:b/>
        </w:rPr>
        <w:t>Windward Camachee Marina Owner LLC</w:t>
      </w:r>
    </w:p>
    <w:p w:rsidR="00816009" w:rsidRDefault="00816009" w:rsidP="00816009">
      <w:pPr>
        <w:jc w:val="center"/>
        <w:rPr>
          <w:rFonts w:ascii="Arial" w:hAnsi="Arial" w:cs="Arial"/>
          <w:b/>
        </w:rPr>
      </w:pPr>
      <w:r w:rsidRPr="006E15F0">
        <w:rPr>
          <w:rFonts w:ascii="Arial" w:hAnsi="Arial" w:cs="Arial"/>
          <w:b/>
        </w:rPr>
        <w:t xml:space="preserve"> d/b/a Camachee Cove Yacht Harbor Utility</w:t>
      </w:r>
    </w:p>
    <w:p w:rsidR="00816009" w:rsidRPr="004B0404" w:rsidRDefault="00816009" w:rsidP="00816009">
      <w:pPr>
        <w:jc w:val="center"/>
        <w:rPr>
          <w:rFonts w:ascii="Arial" w:hAnsi="Arial" w:cs="Arial"/>
          <w:b/>
        </w:rPr>
      </w:pPr>
    </w:p>
    <w:p w:rsidR="00816009" w:rsidRPr="004B0404" w:rsidRDefault="00816009" w:rsidP="00816009">
      <w:pPr>
        <w:jc w:val="center"/>
        <w:rPr>
          <w:rFonts w:ascii="Arial" w:hAnsi="Arial" w:cs="Arial"/>
          <w:b/>
        </w:rPr>
      </w:pPr>
      <w:r w:rsidRPr="004B0404">
        <w:rPr>
          <w:rFonts w:ascii="Arial" w:hAnsi="Arial" w:cs="Arial"/>
          <w:b/>
        </w:rPr>
        <w:t>Schedu</w:t>
      </w:r>
      <w:r>
        <w:rPr>
          <w:rFonts w:ascii="Arial" w:hAnsi="Arial" w:cs="Arial"/>
          <w:b/>
        </w:rPr>
        <w:t>le of Net Book Value as of August</w:t>
      </w:r>
      <w:r w:rsidRPr="004B0404">
        <w:rPr>
          <w:rFonts w:ascii="Arial" w:hAnsi="Arial" w:cs="Arial"/>
          <w:b/>
        </w:rPr>
        <w:t xml:space="preserve"> </w:t>
      </w:r>
      <w:r>
        <w:rPr>
          <w:rFonts w:ascii="Arial" w:hAnsi="Arial" w:cs="Arial"/>
          <w:b/>
        </w:rPr>
        <w:t>31, 2021</w:t>
      </w:r>
    </w:p>
    <w:p w:rsidR="00816009" w:rsidRPr="004B0404" w:rsidRDefault="00816009" w:rsidP="00816009">
      <w:pPr>
        <w:jc w:val="center"/>
        <w:rPr>
          <w:b/>
        </w:rPr>
      </w:pPr>
    </w:p>
    <w:tbl>
      <w:tblPr>
        <w:tblW w:w="8610" w:type="dxa"/>
        <w:jc w:val="center"/>
        <w:tblLook w:val="04A0" w:firstRow="1" w:lastRow="0" w:firstColumn="1" w:lastColumn="0" w:noHBand="0" w:noVBand="1"/>
      </w:tblPr>
      <w:tblGrid>
        <w:gridCol w:w="3568"/>
        <w:gridCol w:w="1545"/>
        <w:gridCol w:w="1794"/>
        <w:gridCol w:w="1703"/>
      </w:tblGrid>
      <w:tr w:rsidR="00816009" w:rsidRPr="004B0404" w:rsidTr="00EF65A6">
        <w:trPr>
          <w:trHeight w:val="290"/>
          <w:jc w:val="center"/>
        </w:trPr>
        <w:tc>
          <w:tcPr>
            <w:tcW w:w="3568" w:type="dxa"/>
            <w:shd w:val="clear" w:color="auto" w:fill="auto"/>
            <w:noWrap/>
            <w:vAlign w:val="bottom"/>
            <w:hideMark/>
          </w:tcPr>
          <w:p w:rsidR="00816009" w:rsidRPr="004B0404" w:rsidRDefault="00816009" w:rsidP="00EF65A6">
            <w:pPr>
              <w:jc w:val="center"/>
            </w:pPr>
            <w:r w:rsidRPr="004B0404">
              <w:rPr>
                <w:b/>
                <w:bCs/>
                <w:u w:val="single"/>
              </w:rPr>
              <w:t>Description</w:t>
            </w:r>
          </w:p>
        </w:tc>
        <w:tc>
          <w:tcPr>
            <w:tcW w:w="1545" w:type="dxa"/>
            <w:shd w:val="clear" w:color="auto" w:fill="auto"/>
            <w:noWrap/>
            <w:vAlign w:val="bottom"/>
            <w:hideMark/>
          </w:tcPr>
          <w:p w:rsidR="00816009" w:rsidRPr="004B0404" w:rsidRDefault="00816009" w:rsidP="00EF65A6">
            <w:pPr>
              <w:jc w:val="center"/>
              <w:rPr>
                <w:b/>
                <w:bCs/>
                <w:color w:val="000000"/>
              </w:rPr>
            </w:pPr>
            <w:r w:rsidRPr="004B0404">
              <w:rPr>
                <w:b/>
                <w:bCs/>
                <w:color w:val="000000"/>
              </w:rPr>
              <w:t xml:space="preserve">Balance </w:t>
            </w:r>
          </w:p>
          <w:p w:rsidR="00816009" w:rsidRPr="004B0404" w:rsidRDefault="00816009" w:rsidP="00EF65A6">
            <w:pPr>
              <w:jc w:val="center"/>
              <w:rPr>
                <w:color w:val="000000"/>
              </w:rPr>
            </w:pPr>
            <w:r w:rsidRPr="004B0404">
              <w:rPr>
                <w:b/>
                <w:bCs/>
                <w:color w:val="000000"/>
                <w:u w:val="single"/>
              </w:rPr>
              <w:t>Per Utility</w:t>
            </w:r>
          </w:p>
        </w:tc>
        <w:tc>
          <w:tcPr>
            <w:tcW w:w="1794" w:type="dxa"/>
            <w:shd w:val="clear" w:color="auto" w:fill="auto"/>
            <w:noWrap/>
            <w:vAlign w:val="bottom"/>
            <w:hideMark/>
          </w:tcPr>
          <w:p w:rsidR="00816009" w:rsidRPr="004B0404" w:rsidRDefault="00816009" w:rsidP="00EF65A6">
            <w:pPr>
              <w:jc w:val="center"/>
              <w:rPr>
                <w:b/>
                <w:bCs/>
                <w:color w:val="000000"/>
                <w:u w:val="single"/>
              </w:rPr>
            </w:pPr>
          </w:p>
          <w:p w:rsidR="00816009" w:rsidRPr="004B0404" w:rsidRDefault="00816009" w:rsidP="00EF65A6">
            <w:pPr>
              <w:jc w:val="center"/>
              <w:rPr>
                <w:b/>
                <w:bCs/>
                <w:color w:val="000000"/>
                <w:u w:val="single"/>
              </w:rPr>
            </w:pPr>
            <w:r w:rsidRPr="004B0404">
              <w:rPr>
                <w:b/>
                <w:bCs/>
                <w:color w:val="000000"/>
                <w:u w:val="single"/>
              </w:rPr>
              <w:t>Adjustments</w:t>
            </w:r>
          </w:p>
        </w:tc>
        <w:tc>
          <w:tcPr>
            <w:tcW w:w="1703" w:type="dxa"/>
            <w:shd w:val="clear" w:color="auto" w:fill="auto"/>
            <w:noWrap/>
            <w:vAlign w:val="bottom"/>
            <w:hideMark/>
          </w:tcPr>
          <w:p w:rsidR="00816009" w:rsidRPr="004B0404" w:rsidRDefault="00816009" w:rsidP="00EF65A6">
            <w:pPr>
              <w:jc w:val="center"/>
              <w:rPr>
                <w:b/>
                <w:bCs/>
                <w:color w:val="000000"/>
                <w:u w:val="single"/>
              </w:rPr>
            </w:pPr>
            <w:r w:rsidRPr="004B0404">
              <w:rPr>
                <w:b/>
                <w:bCs/>
                <w:color w:val="000000"/>
                <w:u w:val="single"/>
              </w:rPr>
              <w:t>Staff</w:t>
            </w:r>
          </w:p>
        </w:tc>
      </w:tr>
      <w:tr w:rsidR="00816009" w:rsidRPr="004B0404" w:rsidTr="00EF65A6">
        <w:trPr>
          <w:trHeight w:val="290"/>
          <w:jc w:val="center"/>
        </w:trPr>
        <w:tc>
          <w:tcPr>
            <w:tcW w:w="3568" w:type="dxa"/>
            <w:shd w:val="clear" w:color="auto" w:fill="auto"/>
            <w:noWrap/>
            <w:vAlign w:val="bottom"/>
          </w:tcPr>
          <w:p w:rsidR="00816009" w:rsidRPr="004B0404" w:rsidRDefault="00816009" w:rsidP="00EF65A6">
            <w:pPr>
              <w:rPr>
                <w:color w:val="000000"/>
              </w:rPr>
            </w:pPr>
          </w:p>
        </w:tc>
        <w:tc>
          <w:tcPr>
            <w:tcW w:w="1545" w:type="dxa"/>
            <w:shd w:val="clear" w:color="auto" w:fill="auto"/>
            <w:noWrap/>
            <w:vAlign w:val="bottom"/>
          </w:tcPr>
          <w:p w:rsidR="00816009" w:rsidRPr="004B0404" w:rsidRDefault="00816009" w:rsidP="00EF65A6">
            <w:pPr>
              <w:jc w:val="right"/>
              <w:rPr>
                <w:color w:val="000000"/>
              </w:rPr>
            </w:pPr>
          </w:p>
        </w:tc>
        <w:tc>
          <w:tcPr>
            <w:tcW w:w="1794" w:type="dxa"/>
            <w:shd w:val="clear" w:color="auto" w:fill="auto"/>
            <w:noWrap/>
            <w:vAlign w:val="bottom"/>
          </w:tcPr>
          <w:p w:rsidR="00816009" w:rsidRPr="004B0404" w:rsidRDefault="00816009" w:rsidP="00EF65A6">
            <w:pPr>
              <w:jc w:val="right"/>
              <w:rPr>
                <w:color w:val="000000"/>
              </w:rPr>
            </w:pPr>
          </w:p>
        </w:tc>
        <w:tc>
          <w:tcPr>
            <w:tcW w:w="1703" w:type="dxa"/>
            <w:shd w:val="clear" w:color="auto" w:fill="auto"/>
            <w:noWrap/>
            <w:vAlign w:val="bottom"/>
          </w:tcPr>
          <w:p w:rsidR="00816009" w:rsidRPr="004B0404" w:rsidRDefault="00816009" w:rsidP="00EF65A6">
            <w:pPr>
              <w:jc w:val="right"/>
              <w:rPr>
                <w:color w:val="000000"/>
              </w:rPr>
            </w:pPr>
          </w:p>
        </w:tc>
      </w:tr>
      <w:tr w:rsidR="00816009" w:rsidRPr="004B0404" w:rsidTr="00EF65A6">
        <w:trPr>
          <w:trHeight w:val="290"/>
          <w:jc w:val="center"/>
        </w:trPr>
        <w:tc>
          <w:tcPr>
            <w:tcW w:w="3568" w:type="dxa"/>
            <w:shd w:val="clear" w:color="auto" w:fill="auto"/>
            <w:noWrap/>
            <w:vAlign w:val="bottom"/>
            <w:hideMark/>
          </w:tcPr>
          <w:p w:rsidR="00816009" w:rsidRPr="004B0404" w:rsidRDefault="00816009" w:rsidP="00EF65A6">
            <w:pPr>
              <w:rPr>
                <w:color w:val="000000"/>
              </w:rPr>
            </w:pPr>
            <w:r w:rsidRPr="004B0404">
              <w:rPr>
                <w:color w:val="000000"/>
              </w:rPr>
              <w:t xml:space="preserve"> Utility Plant in Service </w:t>
            </w:r>
          </w:p>
        </w:tc>
        <w:tc>
          <w:tcPr>
            <w:tcW w:w="1545" w:type="dxa"/>
            <w:noWrap/>
            <w:hideMark/>
          </w:tcPr>
          <w:p w:rsidR="00816009" w:rsidRPr="004B0404" w:rsidRDefault="00816009" w:rsidP="00EF65A6">
            <w:pPr>
              <w:jc w:val="right"/>
              <w:rPr>
                <w:color w:val="000000"/>
              </w:rPr>
            </w:pPr>
            <w:r>
              <w:t>$573,205</w:t>
            </w:r>
          </w:p>
        </w:tc>
        <w:tc>
          <w:tcPr>
            <w:tcW w:w="1794" w:type="dxa"/>
            <w:noWrap/>
            <w:hideMark/>
          </w:tcPr>
          <w:p w:rsidR="00816009" w:rsidRPr="004B0404" w:rsidRDefault="00816009" w:rsidP="00EF65A6">
            <w:pPr>
              <w:jc w:val="right"/>
              <w:rPr>
                <w:color w:val="000000"/>
              </w:rPr>
            </w:pPr>
            <w:r>
              <w:t>($18,814)</w:t>
            </w:r>
          </w:p>
        </w:tc>
        <w:tc>
          <w:tcPr>
            <w:tcW w:w="1703" w:type="dxa"/>
            <w:noWrap/>
            <w:hideMark/>
          </w:tcPr>
          <w:p w:rsidR="00816009" w:rsidRPr="004B0404" w:rsidRDefault="00816009" w:rsidP="00EF65A6">
            <w:pPr>
              <w:jc w:val="right"/>
              <w:rPr>
                <w:color w:val="000000"/>
              </w:rPr>
            </w:pPr>
            <w:r w:rsidRPr="004B0404">
              <w:t>$</w:t>
            </w:r>
            <w:r>
              <w:rPr>
                <w:color w:val="000000"/>
              </w:rPr>
              <w:t>554,392</w:t>
            </w:r>
          </w:p>
        </w:tc>
      </w:tr>
      <w:tr w:rsidR="00816009" w:rsidRPr="004B0404" w:rsidTr="00EF65A6">
        <w:trPr>
          <w:trHeight w:val="290"/>
          <w:jc w:val="center"/>
        </w:trPr>
        <w:tc>
          <w:tcPr>
            <w:tcW w:w="3568" w:type="dxa"/>
            <w:shd w:val="clear" w:color="auto" w:fill="auto"/>
            <w:noWrap/>
            <w:vAlign w:val="bottom"/>
            <w:hideMark/>
          </w:tcPr>
          <w:p w:rsidR="00816009" w:rsidRPr="004B0404" w:rsidRDefault="00816009" w:rsidP="00EF65A6">
            <w:pPr>
              <w:rPr>
                <w:color w:val="000000"/>
              </w:rPr>
            </w:pPr>
            <w:r w:rsidRPr="004B0404">
              <w:rPr>
                <w:color w:val="000000"/>
              </w:rPr>
              <w:t xml:space="preserve"> Land &amp; Land Rights </w:t>
            </w:r>
          </w:p>
        </w:tc>
        <w:tc>
          <w:tcPr>
            <w:tcW w:w="1545" w:type="dxa"/>
            <w:noWrap/>
            <w:hideMark/>
          </w:tcPr>
          <w:p w:rsidR="00816009" w:rsidRPr="004B0404" w:rsidRDefault="00816009" w:rsidP="00EF65A6">
            <w:pPr>
              <w:jc w:val="right"/>
              <w:rPr>
                <w:color w:val="000000"/>
              </w:rPr>
            </w:pPr>
            <w:r>
              <w:t>10,000</w:t>
            </w:r>
          </w:p>
        </w:tc>
        <w:tc>
          <w:tcPr>
            <w:tcW w:w="1794" w:type="dxa"/>
            <w:noWrap/>
            <w:hideMark/>
          </w:tcPr>
          <w:p w:rsidR="00816009" w:rsidRPr="004B0404" w:rsidRDefault="00816009" w:rsidP="00EF65A6">
            <w:pPr>
              <w:jc w:val="right"/>
              <w:rPr>
                <w:color w:val="000000"/>
              </w:rPr>
            </w:pPr>
            <w:r w:rsidRPr="004B0404">
              <w:rPr>
                <w:color w:val="000000"/>
              </w:rPr>
              <w:t>0</w:t>
            </w:r>
          </w:p>
        </w:tc>
        <w:tc>
          <w:tcPr>
            <w:tcW w:w="1703" w:type="dxa"/>
            <w:noWrap/>
            <w:hideMark/>
          </w:tcPr>
          <w:p w:rsidR="00816009" w:rsidRPr="004B0404" w:rsidRDefault="00816009" w:rsidP="00EF65A6">
            <w:pPr>
              <w:jc w:val="right"/>
              <w:rPr>
                <w:color w:val="000000"/>
              </w:rPr>
            </w:pPr>
            <w:r>
              <w:t>10,000</w:t>
            </w:r>
          </w:p>
        </w:tc>
      </w:tr>
      <w:tr w:rsidR="00816009" w:rsidRPr="004B0404" w:rsidTr="00EF65A6">
        <w:trPr>
          <w:trHeight w:val="290"/>
          <w:jc w:val="center"/>
        </w:trPr>
        <w:tc>
          <w:tcPr>
            <w:tcW w:w="3568" w:type="dxa"/>
            <w:shd w:val="clear" w:color="auto" w:fill="auto"/>
            <w:noWrap/>
            <w:vAlign w:val="bottom"/>
            <w:hideMark/>
          </w:tcPr>
          <w:p w:rsidR="00816009" w:rsidRPr="004B0404" w:rsidRDefault="00816009" w:rsidP="00EF65A6">
            <w:pPr>
              <w:rPr>
                <w:color w:val="000000"/>
              </w:rPr>
            </w:pPr>
            <w:r w:rsidRPr="004B0404">
              <w:rPr>
                <w:color w:val="000000"/>
              </w:rPr>
              <w:t xml:space="preserve"> Accumulated Depreciation </w:t>
            </w:r>
          </w:p>
        </w:tc>
        <w:tc>
          <w:tcPr>
            <w:tcW w:w="1545" w:type="dxa"/>
            <w:noWrap/>
            <w:hideMark/>
          </w:tcPr>
          <w:p w:rsidR="00816009" w:rsidRPr="004B0404" w:rsidRDefault="00816009" w:rsidP="00EF65A6">
            <w:pPr>
              <w:jc w:val="right"/>
              <w:rPr>
                <w:color w:val="000000"/>
              </w:rPr>
            </w:pPr>
            <w:r>
              <w:t>(339,350</w:t>
            </w:r>
            <w:r w:rsidRPr="004B0404">
              <w:t>)</w:t>
            </w:r>
          </w:p>
        </w:tc>
        <w:tc>
          <w:tcPr>
            <w:tcW w:w="1794" w:type="dxa"/>
            <w:noWrap/>
            <w:hideMark/>
          </w:tcPr>
          <w:p w:rsidR="00816009" w:rsidRPr="004B0404" w:rsidRDefault="00816009" w:rsidP="00EF65A6">
            <w:pPr>
              <w:jc w:val="right"/>
              <w:rPr>
                <w:color w:val="000000"/>
              </w:rPr>
            </w:pPr>
            <w:r>
              <w:t>3,805</w:t>
            </w:r>
          </w:p>
        </w:tc>
        <w:tc>
          <w:tcPr>
            <w:tcW w:w="1703" w:type="dxa"/>
            <w:noWrap/>
            <w:hideMark/>
          </w:tcPr>
          <w:p w:rsidR="00816009" w:rsidRPr="004B0404" w:rsidRDefault="00816009" w:rsidP="00EF65A6">
            <w:pPr>
              <w:jc w:val="right"/>
              <w:rPr>
                <w:color w:val="000000"/>
              </w:rPr>
            </w:pPr>
            <w:r>
              <w:t>(335,545</w:t>
            </w:r>
            <w:r w:rsidRPr="004B0404">
              <w:t>)</w:t>
            </w:r>
          </w:p>
        </w:tc>
      </w:tr>
      <w:tr w:rsidR="00816009" w:rsidRPr="004B0404" w:rsidTr="00EF65A6">
        <w:trPr>
          <w:trHeight w:val="290"/>
          <w:jc w:val="center"/>
        </w:trPr>
        <w:tc>
          <w:tcPr>
            <w:tcW w:w="3568" w:type="dxa"/>
            <w:shd w:val="clear" w:color="auto" w:fill="auto"/>
            <w:noWrap/>
            <w:vAlign w:val="bottom"/>
            <w:hideMark/>
          </w:tcPr>
          <w:p w:rsidR="00816009" w:rsidRPr="004B0404" w:rsidRDefault="00816009" w:rsidP="00EF65A6">
            <w:pPr>
              <w:rPr>
                <w:color w:val="000000"/>
              </w:rPr>
            </w:pPr>
            <w:r w:rsidRPr="004B0404">
              <w:rPr>
                <w:color w:val="000000"/>
              </w:rPr>
              <w:t xml:space="preserve"> CIAC </w:t>
            </w:r>
          </w:p>
        </w:tc>
        <w:tc>
          <w:tcPr>
            <w:tcW w:w="1545" w:type="dxa"/>
            <w:noWrap/>
            <w:hideMark/>
          </w:tcPr>
          <w:p w:rsidR="00816009" w:rsidRPr="004B0404" w:rsidRDefault="00816009" w:rsidP="00EF65A6">
            <w:pPr>
              <w:jc w:val="right"/>
              <w:rPr>
                <w:color w:val="000000"/>
              </w:rPr>
            </w:pPr>
            <w:r>
              <w:t>0</w:t>
            </w:r>
          </w:p>
        </w:tc>
        <w:tc>
          <w:tcPr>
            <w:tcW w:w="1794" w:type="dxa"/>
            <w:noWrap/>
            <w:hideMark/>
          </w:tcPr>
          <w:p w:rsidR="00816009" w:rsidRPr="004B0404" w:rsidRDefault="00816009" w:rsidP="00EF65A6">
            <w:pPr>
              <w:jc w:val="right"/>
              <w:rPr>
                <w:color w:val="000000"/>
              </w:rPr>
            </w:pPr>
            <w:r w:rsidRPr="004B0404">
              <w:t>0</w:t>
            </w:r>
          </w:p>
        </w:tc>
        <w:tc>
          <w:tcPr>
            <w:tcW w:w="1703" w:type="dxa"/>
            <w:noWrap/>
            <w:hideMark/>
          </w:tcPr>
          <w:p w:rsidR="00816009" w:rsidRPr="004B0404" w:rsidRDefault="00816009" w:rsidP="00EF65A6">
            <w:pPr>
              <w:jc w:val="right"/>
              <w:rPr>
                <w:color w:val="000000"/>
              </w:rPr>
            </w:pPr>
            <w:r>
              <w:t>0</w:t>
            </w:r>
          </w:p>
        </w:tc>
      </w:tr>
      <w:tr w:rsidR="00816009" w:rsidRPr="004B0404" w:rsidTr="00EF65A6">
        <w:trPr>
          <w:trHeight w:val="301"/>
          <w:jc w:val="center"/>
        </w:trPr>
        <w:tc>
          <w:tcPr>
            <w:tcW w:w="3568" w:type="dxa"/>
            <w:shd w:val="clear" w:color="auto" w:fill="auto"/>
            <w:noWrap/>
            <w:vAlign w:val="bottom"/>
            <w:hideMark/>
          </w:tcPr>
          <w:p w:rsidR="00816009" w:rsidRPr="004B0404" w:rsidRDefault="00816009" w:rsidP="00EF65A6">
            <w:pPr>
              <w:rPr>
                <w:color w:val="000000"/>
              </w:rPr>
            </w:pPr>
            <w:r w:rsidRPr="004B0404">
              <w:rPr>
                <w:color w:val="000000"/>
              </w:rPr>
              <w:t xml:space="preserve"> A</w:t>
            </w:r>
            <w:r>
              <w:rPr>
                <w:color w:val="000000"/>
              </w:rPr>
              <w:t>A</w:t>
            </w:r>
            <w:r w:rsidRPr="004B0404">
              <w:rPr>
                <w:color w:val="000000"/>
              </w:rPr>
              <w:t xml:space="preserve"> of CIAC </w:t>
            </w:r>
          </w:p>
        </w:tc>
        <w:tc>
          <w:tcPr>
            <w:tcW w:w="1545" w:type="dxa"/>
            <w:noWrap/>
            <w:hideMark/>
          </w:tcPr>
          <w:p w:rsidR="00816009" w:rsidRPr="004B0404" w:rsidRDefault="00816009" w:rsidP="00EF65A6">
            <w:pPr>
              <w:jc w:val="right"/>
              <w:rPr>
                <w:color w:val="000000"/>
                <w:u w:val="single"/>
              </w:rPr>
            </w:pPr>
            <w:r>
              <w:rPr>
                <w:u w:val="single"/>
              </w:rPr>
              <w:t>0</w:t>
            </w:r>
          </w:p>
        </w:tc>
        <w:tc>
          <w:tcPr>
            <w:tcW w:w="1794" w:type="dxa"/>
            <w:noWrap/>
            <w:hideMark/>
          </w:tcPr>
          <w:p w:rsidR="00816009" w:rsidRPr="004B0404" w:rsidRDefault="00816009" w:rsidP="00EF65A6">
            <w:pPr>
              <w:jc w:val="right"/>
              <w:rPr>
                <w:color w:val="000000"/>
                <w:u w:val="single"/>
              </w:rPr>
            </w:pPr>
            <w:r w:rsidRPr="004B0404">
              <w:rPr>
                <w:u w:val="single"/>
              </w:rPr>
              <w:t>0</w:t>
            </w:r>
          </w:p>
        </w:tc>
        <w:tc>
          <w:tcPr>
            <w:tcW w:w="1703" w:type="dxa"/>
            <w:noWrap/>
            <w:hideMark/>
          </w:tcPr>
          <w:p w:rsidR="00816009" w:rsidRPr="004B0404" w:rsidRDefault="00816009" w:rsidP="00EF65A6">
            <w:pPr>
              <w:jc w:val="right"/>
              <w:rPr>
                <w:color w:val="000000"/>
                <w:u w:val="single"/>
              </w:rPr>
            </w:pPr>
            <w:r>
              <w:rPr>
                <w:color w:val="000000"/>
                <w:u w:val="single"/>
              </w:rPr>
              <w:t>0</w:t>
            </w:r>
          </w:p>
        </w:tc>
      </w:tr>
      <w:tr w:rsidR="00816009" w:rsidRPr="004B0404" w:rsidTr="00EF65A6">
        <w:trPr>
          <w:trHeight w:val="301"/>
          <w:jc w:val="center"/>
        </w:trPr>
        <w:tc>
          <w:tcPr>
            <w:tcW w:w="3568" w:type="dxa"/>
            <w:shd w:val="clear" w:color="auto" w:fill="auto"/>
            <w:noWrap/>
            <w:vAlign w:val="bottom"/>
          </w:tcPr>
          <w:p w:rsidR="00816009" w:rsidRPr="004B0404" w:rsidRDefault="00816009" w:rsidP="00EF65A6">
            <w:pPr>
              <w:rPr>
                <w:color w:val="000000"/>
              </w:rPr>
            </w:pPr>
          </w:p>
        </w:tc>
        <w:tc>
          <w:tcPr>
            <w:tcW w:w="1545" w:type="dxa"/>
            <w:noWrap/>
          </w:tcPr>
          <w:p w:rsidR="00816009" w:rsidRPr="004B0404" w:rsidRDefault="00816009" w:rsidP="00EF65A6">
            <w:pPr>
              <w:jc w:val="right"/>
              <w:rPr>
                <w:color w:val="000000"/>
              </w:rPr>
            </w:pPr>
          </w:p>
        </w:tc>
        <w:tc>
          <w:tcPr>
            <w:tcW w:w="1794" w:type="dxa"/>
            <w:noWrap/>
          </w:tcPr>
          <w:p w:rsidR="00816009" w:rsidRPr="004B0404" w:rsidRDefault="00816009" w:rsidP="00EF65A6">
            <w:pPr>
              <w:jc w:val="right"/>
              <w:rPr>
                <w:color w:val="000000"/>
              </w:rPr>
            </w:pPr>
          </w:p>
        </w:tc>
        <w:tc>
          <w:tcPr>
            <w:tcW w:w="1703" w:type="dxa"/>
            <w:noWrap/>
          </w:tcPr>
          <w:p w:rsidR="00816009" w:rsidRPr="004B0404" w:rsidRDefault="00816009" w:rsidP="00EF65A6">
            <w:pPr>
              <w:jc w:val="right"/>
              <w:rPr>
                <w:color w:val="000000"/>
              </w:rPr>
            </w:pPr>
          </w:p>
        </w:tc>
      </w:tr>
      <w:tr w:rsidR="00816009" w:rsidRPr="004B0404" w:rsidTr="00EF65A6">
        <w:trPr>
          <w:trHeight w:val="301"/>
          <w:jc w:val="center"/>
        </w:trPr>
        <w:tc>
          <w:tcPr>
            <w:tcW w:w="3568" w:type="dxa"/>
            <w:shd w:val="clear" w:color="auto" w:fill="auto"/>
            <w:noWrap/>
            <w:vAlign w:val="bottom"/>
            <w:hideMark/>
          </w:tcPr>
          <w:p w:rsidR="00816009" w:rsidRPr="004B0404" w:rsidRDefault="00816009" w:rsidP="00EF65A6">
            <w:pPr>
              <w:rPr>
                <w:color w:val="000000"/>
              </w:rPr>
            </w:pPr>
            <w:r w:rsidRPr="004B0404">
              <w:rPr>
                <w:color w:val="000000"/>
              </w:rPr>
              <w:t>Total</w:t>
            </w:r>
          </w:p>
        </w:tc>
        <w:tc>
          <w:tcPr>
            <w:tcW w:w="1545" w:type="dxa"/>
            <w:noWrap/>
            <w:hideMark/>
          </w:tcPr>
          <w:p w:rsidR="00816009" w:rsidRPr="004B0404" w:rsidRDefault="00816009" w:rsidP="00EF65A6">
            <w:pPr>
              <w:jc w:val="right"/>
              <w:rPr>
                <w:color w:val="000000"/>
                <w:u w:val="double"/>
              </w:rPr>
            </w:pPr>
            <w:r>
              <w:rPr>
                <w:u w:val="double"/>
              </w:rPr>
              <w:t>$243,855</w:t>
            </w:r>
          </w:p>
        </w:tc>
        <w:tc>
          <w:tcPr>
            <w:tcW w:w="1794" w:type="dxa"/>
            <w:noWrap/>
            <w:hideMark/>
          </w:tcPr>
          <w:p w:rsidR="00816009" w:rsidRPr="004B0404" w:rsidRDefault="00816009" w:rsidP="00EF65A6">
            <w:pPr>
              <w:jc w:val="right"/>
              <w:rPr>
                <w:color w:val="000000"/>
                <w:u w:val="double"/>
              </w:rPr>
            </w:pPr>
            <w:r>
              <w:rPr>
                <w:u w:val="double"/>
              </w:rPr>
              <w:t>($15,009)</w:t>
            </w:r>
          </w:p>
        </w:tc>
        <w:tc>
          <w:tcPr>
            <w:tcW w:w="1703" w:type="dxa"/>
            <w:noWrap/>
            <w:hideMark/>
          </w:tcPr>
          <w:p w:rsidR="00816009" w:rsidRPr="004B0404" w:rsidRDefault="00816009" w:rsidP="00EF65A6">
            <w:pPr>
              <w:jc w:val="right"/>
              <w:rPr>
                <w:color w:val="000000"/>
                <w:u w:val="double"/>
              </w:rPr>
            </w:pPr>
            <w:r>
              <w:rPr>
                <w:u w:val="double"/>
              </w:rPr>
              <w:t>$228,846</w:t>
            </w:r>
          </w:p>
        </w:tc>
      </w:tr>
    </w:tbl>
    <w:p w:rsidR="00816009" w:rsidRDefault="00816009" w:rsidP="00816009">
      <w:pPr>
        <w:pStyle w:val="BodyText"/>
      </w:pPr>
    </w:p>
    <w:p w:rsidR="00816009" w:rsidRDefault="00816009" w:rsidP="00816009">
      <w:pPr>
        <w:pStyle w:val="BodyText"/>
      </w:pPr>
    </w:p>
    <w:p w:rsidR="00816009" w:rsidRDefault="00816009" w:rsidP="00816009">
      <w:pPr>
        <w:pStyle w:val="BodyText"/>
        <w:sectPr w:rsidR="00816009" w:rsidSect="0068481F">
          <w:headerReference w:type="default" r:id="rId20"/>
          <w:footerReference w:type="default" r:id="rId21"/>
          <w:pgSz w:w="12240" w:h="15840" w:code="1"/>
          <w:pgMar w:top="1584" w:right="1440" w:bottom="1440" w:left="1440" w:header="720" w:footer="720" w:gutter="0"/>
          <w:cols w:space="720"/>
          <w:formProt w:val="0"/>
          <w:docGrid w:linePitch="360"/>
        </w:sectPr>
      </w:pPr>
    </w:p>
    <w:p w:rsidR="00816009" w:rsidRDefault="00816009" w:rsidP="00816009">
      <w:pPr>
        <w:pStyle w:val="BodyText"/>
      </w:pPr>
    </w:p>
    <w:p w:rsidR="00816009" w:rsidRDefault="00816009" w:rsidP="00816009">
      <w:pPr>
        <w:jc w:val="center"/>
        <w:rPr>
          <w:rFonts w:ascii="Arial" w:hAnsi="Arial" w:cs="Arial"/>
          <w:b/>
        </w:rPr>
      </w:pPr>
      <w:r w:rsidRPr="00B321C4">
        <w:rPr>
          <w:rFonts w:ascii="Arial" w:hAnsi="Arial" w:cs="Arial"/>
          <w:b/>
        </w:rPr>
        <w:t>Windward Camachee Marina Owner LLC</w:t>
      </w:r>
    </w:p>
    <w:p w:rsidR="00816009" w:rsidRDefault="00816009" w:rsidP="00816009">
      <w:pPr>
        <w:jc w:val="center"/>
        <w:rPr>
          <w:rFonts w:ascii="Arial" w:hAnsi="Arial" w:cs="Arial"/>
          <w:b/>
        </w:rPr>
      </w:pPr>
      <w:r w:rsidRPr="006E15F0">
        <w:rPr>
          <w:rFonts w:ascii="Arial" w:hAnsi="Arial" w:cs="Arial"/>
          <w:b/>
        </w:rPr>
        <w:t>d/b/a Camachee Cove Yacht Harbor Utility</w:t>
      </w:r>
      <w:r>
        <w:rPr>
          <w:rFonts w:ascii="Arial" w:hAnsi="Arial" w:cs="Arial"/>
          <w:b/>
        </w:rPr>
        <w:t xml:space="preserve"> </w:t>
      </w:r>
    </w:p>
    <w:p w:rsidR="00816009" w:rsidRDefault="00816009" w:rsidP="00816009">
      <w:pPr>
        <w:pStyle w:val="BodyText"/>
        <w:spacing w:after="0"/>
        <w:jc w:val="center"/>
        <w:rPr>
          <w:rFonts w:ascii="Arial" w:hAnsi="Arial" w:cs="Arial"/>
          <w:b/>
        </w:rPr>
      </w:pPr>
    </w:p>
    <w:p w:rsidR="00816009" w:rsidRDefault="00816009" w:rsidP="00816009">
      <w:pPr>
        <w:jc w:val="center"/>
        <w:rPr>
          <w:rFonts w:ascii="Arial" w:hAnsi="Arial" w:cs="Arial"/>
          <w:b/>
        </w:rPr>
      </w:pPr>
      <w:r>
        <w:rPr>
          <w:rFonts w:ascii="Arial" w:hAnsi="Arial" w:cs="Arial"/>
          <w:b/>
        </w:rPr>
        <w:t>Schedule of Staff Recommended Account Balances as of August 31, 2021</w:t>
      </w:r>
    </w:p>
    <w:p w:rsidR="00816009" w:rsidRDefault="00816009" w:rsidP="00816009"/>
    <w:p w:rsidR="00816009" w:rsidRDefault="00816009" w:rsidP="0081600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870"/>
        <w:gridCol w:w="2214"/>
        <w:gridCol w:w="2394"/>
      </w:tblGrid>
      <w:tr w:rsidR="00816009" w:rsidTr="00EF65A6">
        <w:tc>
          <w:tcPr>
            <w:tcW w:w="1098" w:type="dxa"/>
            <w:vAlign w:val="bottom"/>
            <w:hideMark/>
          </w:tcPr>
          <w:p w:rsidR="00816009" w:rsidRDefault="00816009" w:rsidP="00EF65A6">
            <w:pPr>
              <w:jc w:val="center"/>
              <w:rPr>
                <w:b/>
                <w:bCs/>
              </w:rPr>
            </w:pPr>
            <w:r>
              <w:rPr>
                <w:b/>
                <w:bCs/>
              </w:rPr>
              <w:t>Account</w:t>
            </w:r>
          </w:p>
          <w:p w:rsidR="00816009" w:rsidRDefault="00816009" w:rsidP="00EF65A6">
            <w:pPr>
              <w:jc w:val="center"/>
              <w:rPr>
                <w:b/>
                <w:bCs/>
              </w:rPr>
            </w:pPr>
            <w:r>
              <w:rPr>
                <w:b/>
                <w:bCs/>
              </w:rPr>
              <w:t>No.</w:t>
            </w:r>
          </w:p>
        </w:tc>
        <w:tc>
          <w:tcPr>
            <w:tcW w:w="3870" w:type="dxa"/>
            <w:vAlign w:val="bottom"/>
            <w:hideMark/>
          </w:tcPr>
          <w:p w:rsidR="00816009" w:rsidRDefault="00816009" w:rsidP="00EF65A6">
            <w:pPr>
              <w:jc w:val="center"/>
              <w:rPr>
                <w:b/>
                <w:bCs/>
              </w:rPr>
            </w:pPr>
            <w:r>
              <w:rPr>
                <w:b/>
                <w:bCs/>
              </w:rPr>
              <w:t>Description</w:t>
            </w:r>
          </w:p>
        </w:tc>
        <w:tc>
          <w:tcPr>
            <w:tcW w:w="2214" w:type="dxa"/>
            <w:vAlign w:val="bottom"/>
            <w:hideMark/>
          </w:tcPr>
          <w:p w:rsidR="00816009" w:rsidRDefault="00816009" w:rsidP="00EF65A6">
            <w:pPr>
              <w:jc w:val="center"/>
              <w:rPr>
                <w:b/>
                <w:bCs/>
              </w:rPr>
            </w:pPr>
            <w:r>
              <w:rPr>
                <w:b/>
                <w:bCs/>
              </w:rPr>
              <w:t>UPIS</w:t>
            </w:r>
          </w:p>
        </w:tc>
        <w:tc>
          <w:tcPr>
            <w:tcW w:w="2394" w:type="dxa"/>
            <w:vAlign w:val="bottom"/>
            <w:hideMark/>
          </w:tcPr>
          <w:p w:rsidR="00816009" w:rsidRDefault="00816009" w:rsidP="00EF65A6">
            <w:pPr>
              <w:jc w:val="center"/>
              <w:rPr>
                <w:b/>
                <w:bCs/>
              </w:rPr>
            </w:pPr>
            <w:r>
              <w:rPr>
                <w:b/>
                <w:bCs/>
              </w:rPr>
              <w:t>Accumulated Depreciation</w:t>
            </w:r>
          </w:p>
        </w:tc>
      </w:tr>
      <w:tr w:rsidR="00816009" w:rsidTr="00EF65A6">
        <w:tc>
          <w:tcPr>
            <w:tcW w:w="1098" w:type="dxa"/>
            <w:vAlign w:val="bottom"/>
            <w:hideMark/>
          </w:tcPr>
          <w:p w:rsidR="00816009" w:rsidRDefault="00816009" w:rsidP="00EF65A6">
            <w:pPr>
              <w:jc w:val="center"/>
              <w:rPr>
                <w:bCs/>
              </w:rPr>
            </w:pPr>
            <w:r>
              <w:rPr>
                <w:bCs/>
              </w:rPr>
              <w:t>304</w:t>
            </w:r>
          </w:p>
        </w:tc>
        <w:tc>
          <w:tcPr>
            <w:tcW w:w="3870" w:type="dxa"/>
            <w:vAlign w:val="bottom"/>
            <w:hideMark/>
          </w:tcPr>
          <w:p w:rsidR="00816009" w:rsidRDefault="00816009" w:rsidP="00EF65A6">
            <w:pPr>
              <w:rPr>
                <w:bCs/>
              </w:rPr>
            </w:pPr>
            <w:r>
              <w:rPr>
                <w:bCs/>
              </w:rPr>
              <w:t xml:space="preserve">Structures &amp; Improvements </w:t>
            </w:r>
          </w:p>
        </w:tc>
        <w:tc>
          <w:tcPr>
            <w:tcW w:w="2214" w:type="dxa"/>
            <w:vAlign w:val="bottom"/>
            <w:hideMark/>
          </w:tcPr>
          <w:p w:rsidR="00816009" w:rsidRDefault="00816009" w:rsidP="00EF65A6">
            <w:pPr>
              <w:jc w:val="right"/>
              <w:rPr>
                <w:bCs/>
              </w:rPr>
            </w:pPr>
            <w:r>
              <w:rPr>
                <w:bCs/>
              </w:rPr>
              <w:t>$204,210</w:t>
            </w:r>
          </w:p>
        </w:tc>
        <w:tc>
          <w:tcPr>
            <w:tcW w:w="2394" w:type="dxa"/>
            <w:vAlign w:val="bottom"/>
          </w:tcPr>
          <w:p w:rsidR="00816009" w:rsidRPr="00427BA6" w:rsidRDefault="00816009" w:rsidP="00EF65A6">
            <w:pPr>
              <w:pStyle w:val="ListParagraph"/>
              <w:jc w:val="right"/>
              <w:rPr>
                <w:bCs/>
              </w:rPr>
            </w:pPr>
            <w:r>
              <w:rPr>
                <w:bCs/>
              </w:rPr>
              <w:t xml:space="preserve">           ($103,170)</w:t>
            </w:r>
          </w:p>
        </w:tc>
      </w:tr>
      <w:tr w:rsidR="00816009" w:rsidTr="00EF65A6">
        <w:tc>
          <w:tcPr>
            <w:tcW w:w="1098" w:type="dxa"/>
            <w:vAlign w:val="bottom"/>
          </w:tcPr>
          <w:p w:rsidR="00816009" w:rsidRDefault="00816009" w:rsidP="00EF65A6">
            <w:pPr>
              <w:jc w:val="center"/>
              <w:rPr>
                <w:bCs/>
              </w:rPr>
            </w:pPr>
            <w:r>
              <w:rPr>
                <w:bCs/>
              </w:rPr>
              <w:t>307</w:t>
            </w:r>
          </w:p>
        </w:tc>
        <w:tc>
          <w:tcPr>
            <w:tcW w:w="3870" w:type="dxa"/>
            <w:vAlign w:val="bottom"/>
          </w:tcPr>
          <w:p w:rsidR="00816009" w:rsidRDefault="00816009" w:rsidP="00EF65A6">
            <w:pPr>
              <w:rPr>
                <w:bCs/>
              </w:rPr>
            </w:pPr>
            <w:r>
              <w:rPr>
                <w:bCs/>
              </w:rPr>
              <w:t xml:space="preserve">Wells and Springs </w:t>
            </w:r>
          </w:p>
        </w:tc>
        <w:tc>
          <w:tcPr>
            <w:tcW w:w="2214" w:type="dxa"/>
            <w:vAlign w:val="bottom"/>
          </w:tcPr>
          <w:p w:rsidR="00816009" w:rsidRDefault="00816009" w:rsidP="00EF65A6">
            <w:pPr>
              <w:jc w:val="right"/>
              <w:rPr>
                <w:bCs/>
              </w:rPr>
            </w:pPr>
            <w:r>
              <w:rPr>
                <w:bCs/>
              </w:rPr>
              <w:t>41,910</w:t>
            </w:r>
          </w:p>
        </w:tc>
        <w:tc>
          <w:tcPr>
            <w:tcW w:w="2394" w:type="dxa"/>
            <w:vAlign w:val="bottom"/>
          </w:tcPr>
          <w:p w:rsidR="00816009" w:rsidRDefault="00816009" w:rsidP="00EF65A6">
            <w:pPr>
              <w:pStyle w:val="ListParagraph"/>
              <w:jc w:val="right"/>
              <w:rPr>
                <w:bCs/>
              </w:rPr>
            </w:pPr>
            <w:r>
              <w:rPr>
                <w:bCs/>
              </w:rPr>
              <w:t xml:space="preserve">          (41,910)</w:t>
            </w:r>
          </w:p>
        </w:tc>
      </w:tr>
      <w:tr w:rsidR="00816009" w:rsidTr="00EF65A6">
        <w:tc>
          <w:tcPr>
            <w:tcW w:w="1098" w:type="dxa"/>
            <w:vAlign w:val="bottom"/>
          </w:tcPr>
          <w:p w:rsidR="00816009" w:rsidRDefault="00816009" w:rsidP="00EF65A6">
            <w:pPr>
              <w:jc w:val="center"/>
              <w:rPr>
                <w:bCs/>
              </w:rPr>
            </w:pPr>
            <w:r>
              <w:rPr>
                <w:bCs/>
              </w:rPr>
              <w:t>309</w:t>
            </w:r>
          </w:p>
        </w:tc>
        <w:tc>
          <w:tcPr>
            <w:tcW w:w="3870" w:type="dxa"/>
            <w:vAlign w:val="bottom"/>
          </w:tcPr>
          <w:p w:rsidR="00816009" w:rsidRDefault="00816009" w:rsidP="00EF65A6">
            <w:pPr>
              <w:rPr>
                <w:bCs/>
              </w:rPr>
            </w:pPr>
            <w:r>
              <w:rPr>
                <w:bCs/>
              </w:rPr>
              <w:t>Supply Mains</w:t>
            </w:r>
          </w:p>
        </w:tc>
        <w:tc>
          <w:tcPr>
            <w:tcW w:w="2214" w:type="dxa"/>
            <w:vAlign w:val="bottom"/>
          </w:tcPr>
          <w:p w:rsidR="00816009" w:rsidRDefault="00816009" w:rsidP="00EF65A6">
            <w:pPr>
              <w:jc w:val="right"/>
              <w:rPr>
                <w:bCs/>
              </w:rPr>
            </w:pPr>
            <w:r>
              <w:rPr>
                <w:bCs/>
              </w:rPr>
              <w:t>14,771</w:t>
            </w:r>
          </w:p>
        </w:tc>
        <w:tc>
          <w:tcPr>
            <w:tcW w:w="2394" w:type="dxa"/>
            <w:vAlign w:val="bottom"/>
          </w:tcPr>
          <w:p w:rsidR="00816009" w:rsidRDefault="00816009" w:rsidP="00EF65A6">
            <w:pPr>
              <w:pStyle w:val="ListParagraph"/>
              <w:jc w:val="right"/>
              <w:rPr>
                <w:bCs/>
              </w:rPr>
            </w:pPr>
            <w:r>
              <w:rPr>
                <w:bCs/>
              </w:rPr>
              <w:t xml:space="preserve">           (3,343)</w:t>
            </w:r>
          </w:p>
        </w:tc>
      </w:tr>
      <w:tr w:rsidR="00816009" w:rsidTr="00EF65A6">
        <w:tc>
          <w:tcPr>
            <w:tcW w:w="1098" w:type="dxa"/>
            <w:hideMark/>
          </w:tcPr>
          <w:p w:rsidR="00816009" w:rsidRDefault="00816009" w:rsidP="00EF65A6">
            <w:pPr>
              <w:jc w:val="center"/>
            </w:pPr>
            <w:r>
              <w:t>310</w:t>
            </w:r>
          </w:p>
        </w:tc>
        <w:tc>
          <w:tcPr>
            <w:tcW w:w="3870" w:type="dxa"/>
            <w:hideMark/>
          </w:tcPr>
          <w:p w:rsidR="00816009" w:rsidRDefault="00816009" w:rsidP="00EF65A6">
            <w:r>
              <w:t>Power Generation Equipment</w:t>
            </w:r>
          </w:p>
        </w:tc>
        <w:tc>
          <w:tcPr>
            <w:tcW w:w="2214" w:type="dxa"/>
            <w:hideMark/>
          </w:tcPr>
          <w:p w:rsidR="00816009" w:rsidRDefault="00816009" w:rsidP="00EF65A6">
            <w:pPr>
              <w:jc w:val="right"/>
            </w:pPr>
            <w:r>
              <w:t>24,827</w:t>
            </w:r>
          </w:p>
        </w:tc>
        <w:tc>
          <w:tcPr>
            <w:tcW w:w="2394" w:type="dxa"/>
            <w:hideMark/>
          </w:tcPr>
          <w:p w:rsidR="00816009" w:rsidRDefault="00816009" w:rsidP="00EF65A6">
            <w:pPr>
              <w:jc w:val="right"/>
            </w:pPr>
            <w:r>
              <w:t>(4,250)</w:t>
            </w:r>
          </w:p>
        </w:tc>
      </w:tr>
      <w:tr w:rsidR="00816009" w:rsidTr="00EF65A6">
        <w:tc>
          <w:tcPr>
            <w:tcW w:w="1098" w:type="dxa"/>
          </w:tcPr>
          <w:p w:rsidR="00816009" w:rsidRDefault="00816009" w:rsidP="00EF65A6">
            <w:pPr>
              <w:jc w:val="center"/>
            </w:pPr>
            <w:r>
              <w:t>311</w:t>
            </w:r>
          </w:p>
        </w:tc>
        <w:tc>
          <w:tcPr>
            <w:tcW w:w="3870" w:type="dxa"/>
          </w:tcPr>
          <w:p w:rsidR="00816009" w:rsidRDefault="00816009" w:rsidP="00EF65A6">
            <w:r>
              <w:t>Pumping Equip</w:t>
            </w:r>
          </w:p>
        </w:tc>
        <w:tc>
          <w:tcPr>
            <w:tcW w:w="2214" w:type="dxa"/>
          </w:tcPr>
          <w:p w:rsidR="00816009" w:rsidRDefault="00816009" w:rsidP="00EF65A6">
            <w:pPr>
              <w:jc w:val="right"/>
            </w:pPr>
            <w:r>
              <w:t>19,850</w:t>
            </w:r>
          </w:p>
        </w:tc>
        <w:tc>
          <w:tcPr>
            <w:tcW w:w="2394" w:type="dxa"/>
          </w:tcPr>
          <w:p w:rsidR="00816009" w:rsidRDefault="00816009" w:rsidP="00EF65A6">
            <w:pPr>
              <w:jc w:val="right"/>
            </w:pPr>
            <w:r>
              <w:t>(11,103)</w:t>
            </w:r>
          </w:p>
        </w:tc>
      </w:tr>
      <w:tr w:rsidR="00816009" w:rsidTr="00EF65A6">
        <w:tc>
          <w:tcPr>
            <w:tcW w:w="1098" w:type="dxa"/>
            <w:hideMark/>
          </w:tcPr>
          <w:p w:rsidR="00816009" w:rsidRDefault="00816009" w:rsidP="00EF65A6">
            <w:pPr>
              <w:jc w:val="center"/>
            </w:pPr>
            <w:r>
              <w:t>320</w:t>
            </w:r>
          </w:p>
        </w:tc>
        <w:tc>
          <w:tcPr>
            <w:tcW w:w="3870" w:type="dxa"/>
            <w:hideMark/>
          </w:tcPr>
          <w:p w:rsidR="00816009" w:rsidRDefault="00816009" w:rsidP="00EF65A6">
            <w:r>
              <w:t>Water Treatment Equipment</w:t>
            </w:r>
          </w:p>
        </w:tc>
        <w:tc>
          <w:tcPr>
            <w:tcW w:w="2214" w:type="dxa"/>
            <w:hideMark/>
          </w:tcPr>
          <w:p w:rsidR="00816009" w:rsidRDefault="00816009" w:rsidP="00EF65A6">
            <w:pPr>
              <w:jc w:val="right"/>
            </w:pPr>
            <w:r>
              <w:t>68,385</w:t>
            </w:r>
          </w:p>
        </w:tc>
        <w:tc>
          <w:tcPr>
            <w:tcW w:w="2394" w:type="dxa"/>
            <w:hideMark/>
          </w:tcPr>
          <w:p w:rsidR="00816009" w:rsidRDefault="00816009" w:rsidP="00EF65A6">
            <w:pPr>
              <w:jc w:val="right"/>
            </w:pPr>
            <w:r>
              <w:t>(66,559)</w:t>
            </w:r>
          </w:p>
        </w:tc>
      </w:tr>
      <w:tr w:rsidR="00816009" w:rsidTr="00EF65A6">
        <w:tc>
          <w:tcPr>
            <w:tcW w:w="1098" w:type="dxa"/>
          </w:tcPr>
          <w:p w:rsidR="00816009" w:rsidRDefault="00816009" w:rsidP="00EF65A6">
            <w:pPr>
              <w:jc w:val="center"/>
            </w:pPr>
            <w:r>
              <w:t>330</w:t>
            </w:r>
          </w:p>
        </w:tc>
        <w:tc>
          <w:tcPr>
            <w:tcW w:w="3870" w:type="dxa"/>
          </w:tcPr>
          <w:p w:rsidR="00816009" w:rsidRDefault="00816009" w:rsidP="00EF65A6">
            <w:r>
              <w:t xml:space="preserve">Distribution Reservoirs </w:t>
            </w:r>
          </w:p>
        </w:tc>
        <w:tc>
          <w:tcPr>
            <w:tcW w:w="2214" w:type="dxa"/>
          </w:tcPr>
          <w:p w:rsidR="00816009" w:rsidRDefault="00816009" w:rsidP="00EF65A6">
            <w:pPr>
              <w:jc w:val="right"/>
            </w:pPr>
            <w:r>
              <w:t>80,515</w:t>
            </w:r>
          </w:p>
        </w:tc>
        <w:tc>
          <w:tcPr>
            <w:tcW w:w="2394" w:type="dxa"/>
          </w:tcPr>
          <w:p w:rsidR="00816009" w:rsidRDefault="00816009" w:rsidP="00EF65A6">
            <w:pPr>
              <w:jc w:val="right"/>
            </w:pPr>
            <w:r>
              <w:t>(34,158)</w:t>
            </w:r>
          </w:p>
        </w:tc>
      </w:tr>
      <w:tr w:rsidR="00816009" w:rsidTr="00EF65A6">
        <w:tc>
          <w:tcPr>
            <w:tcW w:w="1098" w:type="dxa"/>
            <w:hideMark/>
          </w:tcPr>
          <w:p w:rsidR="00816009" w:rsidRDefault="00816009" w:rsidP="00EF65A6">
            <w:pPr>
              <w:jc w:val="center"/>
            </w:pPr>
            <w:r>
              <w:t>331</w:t>
            </w:r>
          </w:p>
        </w:tc>
        <w:tc>
          <w:tcPr>
            <w:tcW w:w="3870" w:type="dxa"/>
            <w:hideMark/>
          </w:tcPr>
          <w:p w:rsidR="00816009" w:rsidRDefault="00816009" w:rsidP="00EF65A6">
            <w:r>
              <w:t>Transmission and Distribution Mains</w:t>
            </w:r>
          </w:p>
        </w:tc>
        <w:tc>
          <w:tcPr>
            <w:tcW w:w="2214" w:type="dxa"/>
            <w:hideMark/>
          </w:tcPr>
          <w:p w:rsidR="00816009" w:rsidRDefault="00816009" w:rsidP="00EF65A6">
            <w:pPr>
              <w:jc w:val="right"/>
            </w:pPr>
            <w:r>
              <w:t>85,131</w:t>
            </w:r>
          </w:p>
        </w:tc>
        <w:tc>
          <w:tcPr>
            <w:tcW w:w="2394" w:type="dxa"/>
            <w:hideMark/>
          </w:tcPr>
          <w:p w:rsidR="00816009" w:rsidRDefault="00816009" w:rsidP="00EF65A6">
            <w:pPr>
              <w:jc w:val="right"/>
            </w:pPr>
            <w:r>
              <w:t>(61,990)</w:t>
            </w:r>
          </w:p>
        </w:tc>
      </w:tr>
      <w:tr w:rsidR="00816009" w:rsidTr="00EF65A6">
        <w:tc>
          <w:tcPr>
            <w:tcW w:w="1098" w:type="dxa"/>
            <w:hideMark/>
          </w:tcPr>
          <w:p w:rsidR="00816009" w:rsidRDefault="00816009" w:rsidP="00EF65A6">
            <w:pPr>
              <w:jc w:val="center"/>
            </w:pPr>
            <w:r>
              <w:t>334</w:t>
            </w:r>
          </w:p>
        </w:tc>
        <w:tc>
          <w:tcPr>
            <w:tcW w:w="3870" w:type="dxa"/>
            <w:hideMark/>
          </w:tcPr>
          <w:p w:rsidR="00816009" w:rsidRDefault="00816009" w:rsidP="00EF65A6">
            <w:r>
              <w:t>Meter and Meter Install.</w:t>
            </w:r>
          </w:p>
        </w:tc>
        <w:tc>
          <w:tcPr>
            <w:tcW w:w="2214" w:type="dxa"/>
            <w:hideMark/>
          </w:tcPr>
          <w:p w:rsidR="00816009" w:rsidRDefault="00816009" w:rsidP="00EF65A6">
            <w:pPr>
              <w:jc w:val="right"/>
            </w:pPr>
            <w:r>
              <w:t>10,241</w:t>
            </w:r>
          </w:p>
        </w:tc>
        <w:tc>
          <w:tcPr>
            <w:tcW w:w="2394" w:type="dxa"/>
            <w:hideMark/>
          </w:tcPr>
          <w:p w:rsidR="00816009" w:rsidRDefault="00816009" w:rsidP="00EF65A6">
            <w:pPr>
              <w:jc w:val="right"/>
            </w:pPr>
            <w:r>
              <w:t>(6,391)</w:t>
            </w:r>
          </w:p>
        </w:tc>
      </w:tr>
      <w:tr w:rsidR="00816009" w:rsidTr="00EF65A6">
        <w:tc>
          <w:tcPr>
            <w:tcW w:w="1098" w:type="dxa"/>
            <w:hideMark/>
          </w:tcPr>
          <w:p w:rsidR="00816009" w:rsidRDefault="00816009" w:rsidP="00EF65A6">
            <w:pPr>
              <w:jc w:val="center"/>
            </w:pPr>
            <w:r>
              <w:t>340</w:t>
            </w:r>
          </w:p>
        </w:tc>
        <w:tc>
          <w:tcPr>
            <w:tcW w:w="3870" w:type="dxa"/>
            <w:hideMark/>
          </w:tcPr>
          <w:p w:rsidR="00816009" w:rsidRDefault="00816009" w:rsidP="00EF65A6">
            <w:r>
              <w:t>Office Furniture &amp; Equip.</w:t>
            </w:r>
          </w:p>
        </w:tc>
        <w:tc>
          <w:tcPr>
            <w:tcW w:w="2214" w:type="dxa"/>
            <w:hideMark/>
          </w:tcPr>
          <w:p w:rsidR="00816009" w:rsidRPr="00600C76" w:rsidRDefault="00816009" w:rsidP="00EF65A6">
            <w:pPr>
              <w:jc w:val="right"/>
            </w:pPr>
            <w:r w:rsidRPr="00600C76">
              <w:t>377</w:t>
            </w:r>
          </w:p>
        </w:tc>
        <w:tc>
          <w:tcPr>
            <w:tcW w:w="2394" w:type="dxa"/>
            <w:hideMark/>
          </w:tcPr>
          <w:p w:rsidR="00816009" w:rsidRPr="00600C76" w:rsidRDefault="00816009" w:rsidP="00EF65A6">
            <w:pPr>
              <w:jc w:val="right"/>
            </w:pPr>
            <w:r>
              <w:t>(</w:t>
            </w:r>
            <w:r w:rsidRPr="00600C76">
              <w:t>377</w:t>
            </w:r>
            <w:r>
              <w:t>)</w:t>
            </w:r>
          </w:p>
        </w:tc>
      </w:tr>
      <w:tr w:rsidR="00816009" w:rsidTr="00EF65A6">
        <w:tc>
          <w:tcPr>
            <w:tcW w:w="1098" w:type="dxa"/>
          </w:tcPr>
          <w:p w:rsidR="00816009" w:rsidRDefault="00816009" w:rsidP="00EF65A6">
            <w:pPr>
              <w:jc w:val="center"/>
            </w:pPr>
            <w:r>
              <w:t>347</w:t>
            </w:r>
          </w:p>
        </w:tc>
        <w:tc>
          <w:tcPr>
            <w:tcW w:w="3870" w:type="dxa"/>
          </w:tcPr>
          <w:p w:rsidR="00816009" w:rsidRDefault="00816009" w:rsidP="00EF65A6">
            <w:r>
              <w:t>Misc. Equip</w:t>
            </w:r>
          </w:p>
        </w:tc>
        <w:tc>
          <w:tcPr>
            <w:tcW w:w="2214" w:type="dxa"/>
          </w:tcPr>
          <w:p w:rsidR="00816009" w:rsidRPr="005027B2" w:rsidRDefault="00816009" w:rsidP="00EF65A6">
            <w:pPr>
              <w:jc w:val="right"/>
              <w:rPr>
                <w:u w:val="single"/>
              </w:rPr>
            </w:pPr>
            <w:r w:rsidRPr="005027B2">
              <w:rPr>
                <w:u w:val="single"/>
              </w:rPr>
              <w:t>4,175</w:t>
            </w:r>
          </w:p>
        </w:tc>
        <w:tc>
          <w:tcPr>
            <w:tcW w:w="2394" w:type="dxa"/>
          </w:tcPr>
          <w:p w:rsidR="00816009" w:rsidRPr="005027B2" w:rsidRDefault="00816009" w:rsidP="00EF65A6">
            <w:pPr>
              <w:jc w:val="right"/>
              <w:rPr>
                <w:u w:val="single"/>
              </w:rPr>
            </w:pPr>
            <w:r w:rsidRPr="005027B2">
              <w:rPr>
                <w:u w:val="single"/>
              </w:rPr>
              <w:t>(2,296)</w:t>
            </w:r>
          </w:p>
        </w:tc>
      </w:tr>
      <w:tr w:rsidR="00816009" w:rsidTr="00EF65A6">
        <w:tc>
          <w:tcPr>
            <w:tcW w:w="1098" w:type="dxa"/>
          </w:tcPr>
          <w:p w:rsidR="00816009" w:rsidRDefault="00816009" w:rsidP="00EF65A6">
            <w:pPr>
              <w:jc w:val="center"/>
            </w:pPr>
          </w:p>
        </w:tc>
        <w:tc>
          <w:tcPr>
            <w:tcW w:w="3870" w:type="dxa"/>
          </w:tcPr>
          <w:p w:rsidR="00816009" w:rsidRDefault="00816009" w:rsidP="00EF65A6">
            <w:pPr>
              <w:jc w:val="right"/>
              <w:rPr>
                <w:b/>
                <w:bCs/>
              </w:rPr>
            </w:pPr>
            <w:r>
              <w:rPr>
                <w:b/>
                <w:bCs/>
              </w:rPr>
              <w:t>Total</w:t>
            </w:r>
          </w:p>
        </w:tc>
        <w:tc>
          <w:tcPr>
            <w:tcW w:w="2214" w:type="dxa"/>
            <w:hideMark/>
          </w:tcPr>
          <w:p w:rsidR="00816009" w:rsidRPr="00600C76" w:rsidRDefault="00816009" w:rsidP="00EF65A6">
            <w:pPr>
              <w:jc w:val="right"/>
              <w:rPr>
                <w:b/>
                <w:u w:val="double"/>
              </w:rPr>
            </w:pPr>
            <w:r w:rsidRPr="00600C76">
              <w:rPr>
                <w:b/>
                <w:u w:val="double"/>
              </w:rPr>
              <w:t>$554,392</w:t>
            </w:r>
          </w:p>
        </w:tc>
        <w:tc>
          <w:tcPr>
            <w:tcW w:w="2394" w:type="dxa"/>
            <w:hideMark/>
          </w:tcPr>
          <w:p w:rsidR="00816009" w:rsidRPr="00600C76" w:rsidRDefault="00816009" w:rsidP="00EF65A6">
            <w:pPr>
              <w:jc w:val="right"/>
              <w:rPr>
                <w:b/>
                <w:u w:val="double"/>
              </w:rPr>
            </w:pPr>
            <w:r>
              <w:rPr>
                <w:b/>
                <w:u w:val="double"/>
              </w:rPr>
              <w:t>($335,547)</w:t>
            </w:r>
          </w:p>
        </w:tc>
      </w:tr>
    </w:tbl>
    <w:p w:rsidR="00816009" w:rsidRDefault="00816009" w:rsidP="00816009">
      <w:pPr>
        <w:pStyle w:val="BodyText"/>
      </w:pPr>
    </w:p>
    <w:p w:rsidR="00816009" w:rsidRDefault="00816009" w:rsidP="00816009">
      <w:pPr>
        <w:pStyle w:val="BodyText"/>
        <w:sectPr w:rsidR="00816009" w:rsidSect="0068481F">
          <w:headerReference w:type="default" r:id="rId22"/>
          <w:pgSz w:w="12240" w:h="15840" w:code="1"/>
          <w:pgMar w:top="1584" w:right="1440" w:bottom="1440" w:left="1440" w:header="720" w:footer="720" w:gutter="0"/>
          <w:cols w:space="720"/>
          <w:formProt w:val="0"/>
          <w:docGrid w:linePitch="360"/>
        </w:sectPr>
      </w:pPr>
    </w:p>
    <w:p w:rsidR="00816009" w:rsidRPr="00AB69A9" w:rsidRDefault="00816009" w:rsidP="00816009">
      <w:pPr>
        <w:jc w:val="center"/>
        <w:rPr>
          <w:rFonts w:ascii="Arial" w:hAnsi="Arial" w:cs="Arial"/>
          <w:b/>
        </w:rPr>
      </w:pPr>
      <w:r w:rsidRPr="00AB69A9">
        <w:rPr>
          <w:rFonts w:ascii="Arial" w:hAnsi="Arial" w:cs="Arial"/>
          <w:b/>
        </w:rPr>
        <w:lastRenderedPageBreak/>
        <w:t>Win</w:t>
      </w:r>
      <w:r>
        <w:rPr>
          <w:rFonts w:ascii="Arial" w:hAnsi="Arial" w:cs="Arial"/>
          <w:b/>
        </w:rPr>
        <w:t>d</w:t>
      </w:r>
      <w:r w:rsidRPr="00AB69A9">
        <w:rPr>
          <w:rFonts w:ascii="Arial" w:hAnsi="Arial" w:cs="Arial"/>
          <w:b/>
        </w:rPr>
        <w:t>ward Camachee Marina Owner LLC</w:t>
      </w:r>
    </w:p>
    <w:p w:rsidR="00816009" w:rsidRDefault="00816009" w:rsidP="00816009">
      <w:pPr>
        <w:jc w:val="center"/>
        <w:rPr>
          <w:rFonts w:ascii="Arial" w:hAnsi="Arial" w:cs="Arial"/>
          <w:b/>
        </w:rPr>
      </w:pPr>
      <w:r w:rsidRPr="00AB69A9">
        <w:rPr>
          <w:rFonts w:ascii="Arial" w:hAnsi="Arial" w:cs="Arial"/>
          <w:b/>
        </w:rPr>
        <w:t>d/b/a Camachee Cove Yacht Harbor Utility</w:t>
      </w:r>
    </w:p>
    <w:p w:rsidR="00816009" w:rsidRPr="00E71689" w:rsidRDefault="00816009" w:rsidP="00816009">
      <w:pPr>
        <w:jc w:val="center"/>
        <w:rPr>
          <w:rFonts w:ascii="Arial" w:hAnsi="Arial" w:cs="Arial"/>
          <w:b/>
        </w:rPr>
      </w:pPr>
    </w:p>
    <w:p w:rsidR="00816009" w:rsidRPr="00E71689" w:rsidRDefault="00816009" w:rsidP="00816009">
      <w:pPr>
        <w:jc w:val="center"/>
        <w:rPr>
          <w:rFonts w:ascii="Arial" w:hAnsi="Arial" w:cs="Arial"/>
          <w:b/>
        </w:rPr>
      </w:pPr>
      <w:r w:rsidRPr="00E71689">
        <w:rPr>
          <w:rFonts w:ascii="Arial" w:hAnsi="Arial" w:cs="Arial"/>
          <w:b/>
        </w:rPr>
        <w:t>Monthly Water Rates</w:t>
      </w:r>
    </w:p>
    <w:p w:rsidR="00816009" w:rsidRPr="00E71689" w:rsidRDefault="00816009" w:rsidP="0081600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10044" w:type="dxa"/>
        <w:tblInd w:w="-72" w:type="dxa"/>
        <w:tblLook w:val="01E0" w:firstRow="1" w:lastRow="1" w:firstColumn="1" w:lastColumn="1" w:noHBand="0" w:noVBand="0"/>
      </w:tblPr>
      <w:tblGrid>
        <w:gridCol w:w="4985"/>
        <w:gridCol w:w="1701"/>
        <w:gridCol w:w="3358"/>
      </w:tblGrid>
      <w:tr w:rsidR="00816009" w:rsidRPr="00E71689" w:rsidTr="00EF65A6">
        <w:trPr>
          <w:trHeight w:val="126"/>
        </w:trPr>
        <w:tc>
          <w:tcPr>
            <w:tcW w:w="4985" w:type="dxa"/>
            <w:hideMark/>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E71689">
              <w:rPr>
                <w:rFonts w:ascii="Arial" w:hAnsi="Arial" w:cs="Arial"/>
                <w:b/>
              </w:rPr>
              <w:t>Residential and General Service</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816009" w:rsidRPr="00E71689" w:rsidTr="00EF65A6">
        <w:trPr>
          <w:trHeight w:val="274"/>
        </w:trPr>
        <w:tc>
          <w:tcPr>
            <w:tcW w:w="4985" w:type="dxa"/>
            <w:hideMark/>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u w:val="single"/>
              </w:rPr>
            </w:pPr>
            <w:r w:rsidRPr="00E71689">
              <w:rPr>
                <w:u w:val="single"/>
              </w:rPr>
              <w:t>Base Facility Charge by Meter Size</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hideMark/>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16009" w:rsidRPr="00E71689" w:rsidTr="00EF65A6">
        <w:trPr>
          <w:trHeight w:val="274"/>
        </w:trPr>
        <w:tc>
          <w:tcPr>
            <w:tcW w:w="4985" w:type="dxa"/>
          </w:tcPr>
          <w:p w:rsidR="00816009" w:rsidRPr="00E71689" w:rsidRDefault="00816009" w:rsidP="00EF65A6">
            <w:r w:rsidRPr="00E71689">
              <w:t>5/8” x 3/4"</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 xml:space="preserve">$21.35   </w:t>
            </w:r>
          </w:p>
        </w:tc>
      </w:tr>
      <w:tr w:rsidR="00816009" w:rsidRPr="00E71689" w:rsidTr="00EF65A6">
        <w:trPr>
          <w:trHeight w:val="274"/>
        </w:trPr>
        <w:tc>
          <w:tcPr>
            <w:tcW w:w="4985" w:type="dxa"/>
          </w:tcPr>
          <w:p w:rsidR="00816009" w:rsidRPr="00E71689" w:rsidRDefault="00816009" w:rsidP="00EF65A6">
            <w:r w:rsidRPr="00E71689">
              <w:t>3/4"</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$32.03</w:t>
            </w:r>
          </w:p>
        </w:tc>
      </w:tr>
      <w:tr w:rsidR="00816009" w:rsidRPr="00E71689" w:rsidTr="00EF65A6">
        <w:trPr>
          <w:trHeight w:val="274"/>
        </w:trPr>
        <w:tc>
          <w:tcPr>
            <w:tcW w:w="4985" w:type="dxa"/>
          </w:tcPr>
          <w:p w:rsidR="00816009" w:rsidRPr="00E71689" w:rsidRDefault="00816009" w:rsidP="00EF65A6">
            <w:r w:rsidRPr="00E71689">
              <w:t>1”</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$53.38</w:t>
            </w:r>
          </w:p>
        </w:tc>
      </w:tr>
      <w:tr w:rsidR="00816009" w:rsidRPr="00E71689" w:rsidTr="00EF65A6">
        <w:trPr>
          <w:trHeight w:val="274"/>
        </w:trPr>
        <w:tc>
          <w:tcPr>
            <w:tcW w:w="4985" w:type="dxa"/>
          </w:tcPr>
          <w:p w:rsidR="00816009" w:rsidRPr="00E71689" w:rsidRDefault="00816009" w:rsidP="00EF65A6">
            <w:r w:rsidRPr="00E71689">
              <w:t>1-1/2”</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$106.75</w:t>
            </w:r>
          </w:p>
        </w:tc>
      </w:tr>
      <w:tr w:rsidR="00816009" w:rsidRPr="00E71689" w:rsidTr="00EF65A6">
        <w:trPr>
          <w:trHeight w:val="274"/>
        </w:trPr>
        <w:tc>
          <w:tcPr>
            <w:tcW w:w="4985"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E71689">
              <w:t>2”</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$170.80</w:t>
            </w:r>
          </w:p>
        </w:tc>
      </w:tr>
      <w:tr w:rsidR="00816009" w:rsidRPr="00E71689" w:rsidTr="00EF65A6">
        <w:trPr>
          <w:trHeight w:val="274"/>
        </w:trPr>
        <w:tc>
          <w:tcPr>
            <w:tcW w:w="4985" w:type="dxa"/>
          </w:tcPr>
          <w:p w:rsidR="00816009" w:rsidRPr="00E71689" w:rsidRDefault="00816009" w:rsidP="00EF65A6">
            <w:r w:rsidRPr="00E71689">
              <w:t>3”</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$341.60</w:t>
            </w:r>
          </w:p>
        </w:tc>
      </w:tr>
      <w:tr w:rsidR="00816009" w:rsidRPr="00E71689" w:rsidTr="00EF65A6">
        <w:trPr>
          <w:trHeight w:val="274"/>
        </w:trPr>
        <w:tc>
          <w:tcPr>
            <w:tcW w:w="4985" w:type="dxa"/>
          </w:tcPr>
          <w:p w:rsidR="00816009" w:rsidRPr="00E71689" w:rsidRDefault="00816009" w:rsidP="00EF65A6">
            <w:r w:rsidRPr="00E71689">
              <w:t>4”</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$533.75</w:t>
            </w:r>
          </w:p>
        </w:tc>
      </w:tr>
      <w:tr w:rsidR="00816009" w:rsidRPr="00E71689" w:rsidTr="00EF65A6">
        <w:trPr>
          <w:trHeight w:val="274"/>
        </w:trPr>
        <w:tc>
          <w:tcPr>
            <w:tcW w:w="4985" w:type="dxa"/>
          </w:tcPr>
          <w:p w:rsidR="00816009" w:rsidRPr="00E71689" w:rsidRDefault="00816009" w:rsidP="00EF65A6">
            <w:r w:rsidRPr="00E71689">
              <w:t>6”</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$1,067.50</w:t>
            </w:r>
          </w:p>
        </w:tc>
      </w:tr>
      <w:tr w:rsidR="00816009" w:rsidRPr="00E71689" w:rsidTr="00EF65A6">
        <w:trPr>
          <w:trHeight w:val="274"/>
        </w:trPr>
        <w:tc>
          <w:tcPr>
            <w:tcW w:w="4985"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16009" w:rsidRPr="00E71689" w:rsidTr="00EF65A6">
        <w:trPr>
          <w:trHeight w:val="289"/>
        </w:trPr>
        <w:tc>
          <w:tcPr>
            <w:tcW w:w="4985" w:type="dxa"/>
            <w:hideMark/>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E71689">
              <w:t>Charge Per 1,000 gallons – Residential</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hideMark/>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16009" w:rsidRPr="00E71689" w:rsidTr="00EF65A6">
        <w:trPr>
          <w:trHeight w:val="289"/>
        </w:trPr>
        <w:tc>
          <w:tcPr>
            <w:tcW w:w="4985" w:type="dxa"/>
          </w:tcPr>
          <w:p w:rsidR="00816009" w:rsidRPr="00E71689" w:rsidRDefault="00816009" w:rsidP="00EF65A6">
            <w:r w:rsidRPr="00E71689">
              <w:t>0 – 3,000 gallons</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$3.48</w:t>
            </w:r>
          </w:p>
        </w:tc>
      </w:tr>
      <w:tr w:rsidR="00816009" w:rsidRPr="00E71689" w:rsidTr="00EF65A6">
        <w:trPr>
          <w:trHeight w:val="289"/>
        </w:trPr>
        <w:tc>
          <w:tcPr>
            <w:tcW w:w="4985" w:type="dxa"/>
          </w:tcPr>
          <w:p w:rsidR="00816009" w:rsidRPr="00E71689" w:rsidRDefault="00816009" w:rsidP="00EF65A6">
            <w:r w:rsidRPr="00E71689">
              <w:t>3,001 – 6,000 gallons</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$10.37</w:t>
            </w:r>
          </w:p>
        </w:tc>
      </w:tr>
      <w:tr w:rsidR="00816009" w:rsidRPr="00E71689" w:rsidTr="00EF65A6">
        <w:trPr>
          <w:trHeight w:val="289"/>
        </w:trPr>
        <w:tc>
          <w:tcPr>
            <w:tcW w:w="4985" w:type="dxa"/>
          </w:tcPr>
          <w:p w:rsidR="00816009" w:rsidRPr="00E71689" w:rsidRDefault="00816009" w:rsidP="00EF65A6">
            <w:r w:rsidRPr="00E71689">
              <w:t>6,001 – 12,000 gallons</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$15.57</w:t>
            </w:r>
          </w:p>
        </w:tc>
      </w:tr>
      <w:tr w:rsidR="00816009" w:rsidRPr="00E71689" w:rsidTr="00EF65A6">
        <w:trPr>
          <w:trHeight w:val="289"/>
        </w:trPr>
        <w:tc>
          <w:tcPr>
            <w:tcW w:w="4985" w:type="dxa"/>
          </w:tcPr>
          <w:p w:rsidR="00816009" w:rsidRPr="00E71689" w:rsidRDefault="00816009" w:rsidP="00EF65A6">
            <w:r w:rsidRPr="00E71689">
              <w:t>Over 12,000 gallons</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$20.74</w:t>
            </w:r>
          </w:p>
        </w:tc>
      </w:tr>
      <w:tr w:rsidR="00816009" w:rsidRPr="00E71689" w:rsidTr="00EF65A6">
        <w:trPr>
          <w:trHeight w:val="289"/>
        </w:trPr>
        <w:tc>
          <w:tcPr>
            <w:tcW w:w="4985"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16009" w:rsidRPr="00E71689" w:rsidTr="00EF65A6">
        <w:trPr>
          <w:trHeight w:val="289"/>
        </w:trPr>
        <w:tc>
          <w:tcPr>
            <w:tcW w:w="4985"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E71689">
              <w:t>Charge Per 1,000 gallons – General Service</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71689">
              <w:t>$13.89</w:t>
            </w:r>
          </w:p>
        </w:tc>
      </w:tr>
      <w:tr w:rsidR="00816009" w:rsidRPr="00E71689" w:rsidTr="00EF65A6">
        <w:trPr>
          <w:trHeight w:val="289"/>
        </w:trPr>
        <w:tc>
          <w:tcPr>
            <w:tcW w:w="4985"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16009" w:rsidRPr="00E71689" w:rsidTr="00EF65A6">
        <w:trPr>
          <w:trHeight w:val="289"/>
        </w:trPr>
        <w:tc>
          <w:tcPr>
            <w:tcW w:w="4985"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E71689">
              <w:t>Flat Rate – General Service</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E71689">
              <w:t>$109.72</w:t>
            </w:r>
          </w:p>
        </w:tc>
      </w:tr>
      <w:tr w:rsidR="00816009" w:rsidRPr="00E71689" w:rsidTr="00EF65A6">
        <w:trPr>
          <w:trHeight w:val="289"/>
        </w:trPr>
        <w:tc>
          <w:tcPr>
            <w:tcW w:w="4985"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16009" w:rsidRPr="00E71689" w:rsidTr="00EF65A6">
        <w:trPr>
          <w:trHeight w:val="289"/>
        </w:trPr>
        <w:tc>
          <w:tcPr>
            <w:tcW w:w="4985" w:type="dxa"/>
          </w:tcPr>
          <w:p w:rsidR="00816009" w:rsidRPr="00EE1697"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sidRPr="00EE1697">
              <w:rPr>
                <w:rFonts w:ascii="Arial" w:hAnsi="Arial" w:cs="Arial"/>
                <w:b/>
              </w:rPr>
              <w:t xml:space="preserve">Private Fire Protection </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16009" w:rsidRPr="00E71689" w:rsidTr="00EF65A6">
        <w:trPr>
          <w:trHeight w:val="289"/>
        </w:trPr>
        <w:tc>
          <w:tcPr>
            <w:tcW w:w="4985" w:type="dxa"/>
          </w:tcPr>
          <w:p w:rsidR="00816009" w:rsidRPr="00EE1697"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u w:val="single"/>
              </w:rPr>
            </w:pPr>
            <w:r w:rsidRPr="00EE1697">
              <w:rPr>
                <w:u w:val="single"/>
              </w:rPr>
              <w:t>Base Facility Charge by Meter Size</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816009" w:rsidRPr="00E71689" w:rsidTr="00EF65A6">
        <w:trPr>
          <w:trHeight w:val="289"/>
        </w:trPr>
        <w:tc>
          <w:tcPr>
            <w:tcW w:w="4985" w:type="dxa"/>
          </w:tcPr>
          <w:p w:rsidR="00816009" w:rsidRPr="00E71689" w:rsidRDefault="00816009" w:rsidP="00EF65A6">
            <w:r w:rsidRPr="00E71689">
              <w:t>5/8” x 3/4”</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$1.78</w:t>
            </w:r>
          </w:p>
        </w:tc>
      </w:tr>
      <w:tr w:rsidR="00816009" w:rsidRPr="00E71689" w:rsidTr="00EF65A6">
        <w:trPr>
          <w:trHeight w:val="289"/>
        </w:trPr>
        <w:tc>
          <w:tcPr>
            <w:tcW w:w="4985" w:type="dxa"/>
          </w:tcPr>
          <w:p w:rsidR="00816009" w:rsidRPr="00E71689" w:rsidRDefault="00816009" w:rsidP="00EF65A6">
            <w:r w:rsidRPr="00E71689">
              <w:t>3/4”</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$2.67</w:t>
            </w:r>
          </w:p>
        </w:tc>
      </w:tr>
      <w:tr w:rsidR="00816009" w:rsidRPr="00E71689" w:rsidTr="00EF65A6">
        <w:trPr>
          <w:trHeight w:val="289"/>
        </w:trPr>
        <w:tc>
          <w:tcPr>
            <w:tcW w:w="4985" w:type="dxa"/>
          </w:tcPr>
          <w:p w:rsidR="00816009" w:rsidRPr="00E71689" w:rsidRDefault="00816009" w:rsidP="00EF65A6">
            <w:r w:rsidRPr="00E71689">
              <w:t>1”</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$4.45</w:t>
            </w:r>
          </w:p>
        </w:tc>
      </w:tr>
      <w:tr w:rsidR="00816009" w:rsidRPr="00E71689" w:rsidTr="00EF65A6">
        <w:trPr>
          <w:trHeight w:val="289"/>
        </w:trPr>
        <w:tc>
          <w:tcPr>
            <w:tcW w:w="4985" w:type="dxa"/>
          </w:tcPr>
          <w:p w:rsidR="00816009" w:rsidRPr="00E71689" w:rsidRDefault="00816009" w:rsidP="00EF65A6">
            <w:r w:rsidRPr="00E71689">
              <w:t>1 1/2"</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$8.90</w:t>
            </w:r>
          </w:p>
        </w:tc>
      </w:tr>
      <w:tr w:rsidR="00816009" w:rsidRPr="00E71689" w:rsidTr="00EF65A6">
        <w:trPr>
          <w:trHeight w:val="289"/>
        </w:trPr>
        <w:tc>
          <w:tcPr>
            <w:tcW w:w="4985" w:type="dxa"/>
          </w:tcPr>
          <w:p w:rsidR="00816009" w:rsidRPr="00E71689" w:rsidRDefault="00816009" w:rsidP="00EF65A6">
            <w:r w:rsidRPr="00E71689">
              <w:t>2”</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$14.23</w:t>
            </w:r>
          </w:p>
        </w:tc>
      </w:tr>
      <w:tr w:rsidR="00816009" w:rsidRPr="00E71689" w:rsidTr="00EF65A6">
        <w:trPr>
          <w:trHeight w:val="289"/>
        </w:trPr>
        <w:tc>
          <w:tcPr>
            <w:tcW w:w="4985" w:type="dxa"/>
          </w:tcPr>
          <w:p w:rsidR="00816009" w:rsidRPr="00E71689" w:rsidRDefault="00816009" w:rsidP="00EF65A6">
            <w:r w:rsidRPr="00E71689">
              <w:t>3”</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$28.47</w:t>
            </w:r>
          </w:p>
        </w:tc>
      </w:tr>
      <w:tr w:rsidR="00816009" w:rsidRPr="00E71689" w:rsidTr="00EF65A6">
        <w:trPr>
          <w:trHeight w:val="289"/>
        </w:trPr>
        <w:tc>
          <w:tcPr>
            <w:tcW w:w="4985" w:type="dxa"/>
          </w:tcPr>
          <w:p w:rsidR="00816009" w:rsidRPr="00E71689" w:rsidRDefault="00816009" w:rsidP="00EF65A6">
            <w:r w:rsidRPr="00E71689">
              <w:t>4”</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$44.48</w:t>
            </w:r>
          </w:p>
        </w:tc>
      </w:tr>
      <w:tr w:rsidR="00816009" w:rsidRPr="00E71689" w:rsidTr="00EF65A6">
        <w:trPr>
          <w:trHeight w:val="289"/>
        </w:trPr>
        <w:tc>
          <w:tcPr>
            <w:tcW w:w="4985" w:type="dxa"/>
          </w:tcPr>
          <w:p w:rsidR="00816009" w:rsidRPr="00E71689" w:rsidRDefault="00816009" w:rsidP="00EF65A6">
            <w:r w:rsidRPr="00E71689">
              <w:t>6”</w:t>
            </w:r>
          </w:p>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jc w:val="right"/>
            </w:pPr>
            <w:r w:rsidRPr="00E71689">
              <w:t>$88.96</w:t>
            </w:r>
          </w:p>
        </w:tc>
      </w:tr>
      <w:tr w:rsidR="00816009" w:rsidRPr="00E71689" w:rsidTr="00EF65A6">
        <w:trPr>
          <w:trHeight w:val="289"/>
        </w:trPr>
        <w:tc>
          <w:tcPr>
            <w:tcW w:w="4985" w:type="dxa"/>
          </w:tcPr>
          <w:p w:rsidR="00816009" w:rsidRPr="00E71689" w:rsidRDefault="00816009" w:rsidP="00EF65A6"/>
        </w:tc>
        <w:tc>
          <w:tcPr>
            <w:tcW w:w="1701"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tcPr>
          <w:p w:rsidR="00816009" w:rsidRPr="00E71689" w:rsidRDefault="00816009" w:rsidP="00EF6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816009" w:rsidRPr="00E71689" w:rsidRDefault="00816009" w:rsidP="00816009"/>
    <w:p w:rsidR="00816009" w:rsidRPr="00E71689" w:rsidRDefault="00816009" w:rsidP="00816009"/>
    <w:p w:rsidR="00816009" w:rsidRPr="00E71689" w:rsidRDefault="00816009" w:rsidP="00816009">
      <w:pPr>
        <w:jc w:val="center"/>
        <w:rPr>
          <w:b/>
          <w:bCs/>
          <w:u w:val="single"/>
        </w:rPr>
      </w:pPr>
      <w:r w:rsidRPr="00E71689">
        <w:rPr>
          <w:rFonts w:ascii="Arial" w:hAnsi="Arial"/>
          <w:b/>
        </w:rPr>
        <w:t>Miscellaneous Service Charges</w:t>
      </w:r>
    </w:p>
    <w:tbl>
      <w:tblPr>
        <w:tblStyle w:val="TableGrid12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017"/>
      </w:tblGrid>
      <w:tr w:rsidR="00816009" w:rsidRPr="00E71689" w:rsidTr="00EF65A6">
        <w:trPr>
          <w:trHeight w:val="382"/>
          <w:jc w:val="center"/>
        </w:trPr>
        <w:tc>
          <w:tcPr>
            <w:tcW w:w="4165" w:type="dxa"/>
          </w:tcPr>
          <w:p w:rsidR="00816009" w:rsidRPr="00E71689" w:rsidRDefault="00816009" w:rsidP="00EF65A6"/>
        </w:tc>
        <w:tc>
          <w:tcPr>
            <w:tcW w:w="5017" w:type="dxa"/>
          </w:tcPr>
          <w:p w:rsidR="00816009" w:rsidRPr="00E71689" w:rsidRDefault="00816009" w:rsidP="00EF65A6">
            <w:pPr>
              <w:jc w:val="center"/>
              <w:rPr>
                <w:u w:val="single"/>
              </w:rPr>
            </w:pPr>
          </w:p>
        </w:tc>
      </w:tr>
      <w:tr w:rsidR="00816009" w:rsidRPr="00E71689" w:rsidTr="00EF65A6">
        <w:trPr>
          <w:trHeight w:val="341"/>
          <w:jc w:val="center"/>
        </w:trPr>
        <w:tc>
          <w:tcPr>
            <w:tcW w:w="4165" w:type="dxa"/>
            <w:hideMark/>
          </w:tcPr>
          <w:p w:rsidR="00816009" w:rsidRPr="00E71689" w:rsidRDefault="00816009" w:rsidP="00EF65A6">
            <w:pPr>
              <w:rPr>
                <w:rFonts w:ascii="Times New Roman" w:hAnsi="Times New Roman"/>
              </w:rPr>
            </w:pPr>
            <w:r w:rsidRPr="00E71689">
              <w:rPr>
                <w:rFonts w:ascii="Times New Roman" w:hAnsi="Times New Roman"/>
              </w:rPr>
              <w:t>Late Payment Charge</w:t>
            </w:r>
          </w:p>
        </w:tc>
        <w:tc>
          <w:tcPr>
            <w:tcW w:w="5017" w:type="dxa"/>
            <w:hideMark/>
          </w:tcPr>
          <w:p w:rsidR="00816009" w:rsidRPr="00E71689" w:rsidRDefault="00816009" w:rsidP="00EF65A6">
            <w:pPr>
              <w:jc w:val="right"/>
              <w:rPr>
                <w:rFonts w:ascii="Times New Roman" w:hAnsi="Times New Roman"/>
              </w:rPr>
            </w:pPr>
            <w:r w:rsidRPr="00E71689">
              <w:rPr>
                <w:rFonts w:ascii="Times New Roman" w:hAnsi="Times New Roman"/>
              </w:rPr>
              <w:t xml:space="preserve">                              $5.00</w:t>
            </w:r>
          </w:p>
        </w:tc>
      </w:tr>
    </w:tbl>
    <w:p w:rsidR="00816009" w:rsidRPr="00E71689" w:rsidRDefault="00816009" w:rsidP="00816009"/>
    <w:p w:rsidR="00F95901" w:rsidRDefault="00F95901" w:rsidP="00E275D8">
      <w:pPr>
        <w:pStyle w:val="BodyText"/>
      </w:pPr>
    </w:p>
    <w:sectPr w:rsidR="00F95901">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AF2" w:rsidRDefault="002D4AF2">
      <w:r>
        <w:separator/>
      </w:r>
    </w:p>
  </w:endnote>
  <w:endnote w:type="continuationSeparator" w:id="0">
    <w:p w:rsidR="002D4AF2" w:rsidRDefault="002D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E1B88">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B88" w:rsidRDefault="00DE1B88">
    <w:pPr>
      <w:pStyle w:val="Footer"/>
      <w:tabs>
        <w:tab w:val="clear" w:pos="4320"/>
        <w:tab w:val="clear" w:pos="8640"/>
        <w:tab w:val="center" w:pos="4674"/>
        <w:tab w:val="right" w:pos="9360"/>
      </w:tabs>
    </w:pPr>
    <w:r>
      <w:tab/>
      <w:t xml:space="preserve">- </w:t>
    </w:r>
    <w:r>
      <w:fldChar w:fldCharType="begin"/>
    </w:r>
    <w:r>
      <w:instrText xml:space="preserve"> PAGE   \* MERGEFORMAT </w:instrText>
    </w:r>
    <w:r>
      <w:fldChar w:fldCharType="separate"/>
    </w:r>
    <w:r w:rsidR="00247897">
      <w:rPr>
        <w:noProof/>
      </w:rPr>
      <w:t>1</w:t>
    </w:r>
    <w:r>
      <w:rPr>
        <w:noProof/>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09" w:rsidRDefault="0081600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47897">
      <w:rPr>
        <w:rStyle w:val="PageNumber"/>
        <w:noProof/>
      </w:rPr>
      <w:t>11</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09" w:rsidRDefault="0081600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47897">
      <w:rPr>
        <w:rStyle w:val="PageNumber"/>
        <w:noProof/>
      </w:rPr>
      <w:t>12</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09" w:rsidRDefault="0081600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47897">
      <w:rPr>
        <w:rStyle w:val="PageNumber"/>
        <w:noProof/>
      </w:rPr>
      <w:t>15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AF2" w:rsidRDefault="002D4AF2">
      <w:r>
        <w:separator/>
      </w:r>
    </w:p>
  </w:footnote>
  <w:footnote w:type="continuationSeparator" w:id="0">
    <w:p w:rsidR="002D4AF2" w:rsidRDefault="002D4AF2">
      <w:r>
        <w:continuationSeparator/>
      </w:r>
    </w:p>
  </w:footnote>
  <w:footnote w:id="1">
    <w:p w:rsidR="00877A60" w:rsidRPr="003654A3" w:rsidRDefault="00877A60" w:rsidP="00877A60">
      <w:pPr>
        <w:pStyle w:val="FootnoteText"/>
      </w:pPr>
      <w:r>
        <w:rPr>
          <w:rStyle w:val="FootnoteReference"/>
        </w:rPr>
        <w:footnoteRef/>
      </w:r>
      <w:r>
        <w:t xml:space="preserve"> Order No. PSC-09-0752-PAA-WU, issued November 16, 2009, in Docket No. 20090185</w:t>
      </w:r>
      <w:r w:rsidRPr="00551152">
        <w:t>-W</w:t>
      </w:r>
      <w:r>
        <w:t>U</w:t>
      </w:r>
      <w:r w:rsidRPr="00551152">
        <w:t>,</w:t>
      </w:r>
      <w:r w:rsidRPr="003654A3">
        <w:t xml:space="preserve"> </w:t>
      </w:r>
      <w:r>
        <w:rPr>
          <w:i/>
        </w:rPr>
        <w:t>In r</w:t>
      </w:r>
      <w:r w:rsidRPr="003654A3">
        <w:rPr>
          <w:i/>
        </w:rPr>
        <w:t xml:space="preserve">e: Application </w:t>
      </w:r>
      <w:r>
        <w:rPr>
          <w:i/>
        </w:rPr>
        <w:t>for grandfather certificate to operate water utility in St. Johns</w:t>
      </w:r>
      <w:r w:rsidRPr="003654A3">
        <w:rPr>
          <w:i/>
        </w:rPr>
        <w:t xml:space="preserve"> County</w:t>
      </w:r>
      <w:r>
        <w:rPr>
          <w:i/>
        </w:rPr>
        <w:t xml:space="preserve"> by Camachee Island Company, Inc</w:t>
      </w:r>
      <w:r w:rsidRPr="003654A3">
        <w:rPr>
          <w:i/>
        </w:rPr>
        <w:t>.</w:t>
      </w:r>
      <w:r>
        <w:rPr>
          <w:i/>
        </w:rPr>
        <w:t xml:space="preserve"> d/b/a Camachee Cove Yacht Harbor Utility.</w:t>
      </w:r>
    </w:p>
  </w:footnote>
  <w:footnote w:id="2">
    <w:p w:rsidR="00877A60" w:rsidRDefault="00877A60" w:rsidP="00877A60">
      <w:pPr>
        <w:pStyle w:val="FootnoteText"/>
      </w:pPr>
      <w:r>
        <w:rPr>
          <w:rStyle w:val="FootnoteReference"/>
        </w:rPr>
        <w:footnoteRef/>
      </w:r>
      <w:r>
        <w:t xml:space="preserve"> Order No. PSC-17-0108-PAA-WU, issued March 27, 2017, in Docket No. 20160145-WU, </w:t>
      </w:r>
      <w:r w:rsidRPr="00457B2A">
        <w:rPr>
          <w:i/>
        </w:rPr>
        <w:t>In re: Application for limited revenue proceeding in St. Johns County, by Camachee Island Company, Inc. d/b/a Camachee Cove Yacht Harbor Utility.</w:t>
      </w:r>
    </w:p>
  </w:footnote>
  <w:footnote w:id="3">
    <w:p w:rsidR="00877A60" w:rsidRDefault="00877A60" w:rsidP="00877A60">
      <w:pPr>
        <w:pStyle w:val="FootnoteText"/>
      </w:pPr>
      <w:r>
        <w:rPr>
          <w:rStyle w:val="FootnoteReference"/>
        </w:rPr>
        <w:footnoteRef/>
      </w:r>
      <w:r>
        <w:t xml:space="preserve"> Document Nos. 02085-2022, filed March 24, 2022 and 02313-2022, filed April 7, 2022.</w:t>
      </w:r>
    </w:p>
  </w:footnote>
  <w:footnote w:id="4">
    <w:p w:rsidR="00877A60" w:rsidRDefault="00877A60" w:rsidP="00877A60">
      <w:pPr>
        <w:pStyle w:val="FootnoteText"/>
      </w:pPr>
      <w:r>
        <w:rPr>
          <w:rStyle w:val="FootnoteReference"/>
        </w:rPr>
        <w:footnoteRef/>
      </w:r>
      <w:r>
        <w:t xml:space="preserve"> Document No. 11758-2022, filed November 29, 2022.</w:t>
      </w:r>
    </w:p>
  </w:footnote>
  <w:footnote w:id="5">
    <w:p w:rsidR="005B5B5F" w:rsidRDefault="005B5B5F" w:rsidP="005B5B5F">
      <w:pPr>
        <w:pStyle w:val="FootnoteText"/>
      </w:pPr>
      <w:r>
        <w:rPr>
          <w:rStyle w:val="FootnoteReference"/>
        </w:rPr>
        <w:footnoteRef/>
      </w:r>
      <w:r>
        <w:t xml:space="preserve"> Document No. 11556-2022.</w:t>
      </w:r>
    </w:p>
  </w:footnote>
  <w:footnote w:id="6">
    <w:p w:rsidR="005B5B5F" w:rsidRDefault="005B5B5F" w:rsidP="005B5B5F">
      <w:pPr>
        <w:pStyle w:val="FootnoteText"/>
      </w:pPr>
      <w:r>
        <w:rPr>
          <w:rStyle w:val="FootnoteReference"/>
        </w:rPr>
        <w:footnoteRef/>
      </w:r>
      <w:r>
        <w:t xml:space="preserve"> Order No. PSC-17-0108-PAA-WS, issued March 27, 2017, in Docket No. 20160145-WU, </w:t>
      </w:r>
      <w:r>
        <w:rPr>
          <w:i/>
        </w:rPr>
        <w:t xml:space="preserve">In re: </w:t>
      </w:r>
      <w:r w:rsidRPr="00735C91">
        <w:rPr>
          <w:i/>
        </w:rPr>
        <w:t>Application for limited revenue proceeding in St. Johns County, by Camachee Island Company, Inc. d/b/a Camachee Cove Yacht Harbor Utility</w:t>
      </w:r>
      <w:r>
        <w:rPr>
          <w:i/>
        </w:rPr>
        <w:t>.</w:t>
      </w:r>
    </w:p>
  </w:footnote>
  <w:footnote w:id="7">
    <w:p w:rsidR="005B5B5F" w:rsidRDefault="005B5B5F" w:rsidP="005B5B5F">
      <w:pPr>
        <w:pStyle w:val="FootnoteText"/>
      </w:pPr>
      <w:r>
        <w:rPr>
          <w:rStyle w:val="FootnoteReference"/>
        </w:rPr>
        <w:footnoteRef/>
      </w:r>
      <w:r>
        <w:t xml:space="preserve"> Order No. PSC-09-0752-PAA-WU, issued November 16, 2009, in Docket No. 20090185-WU, </w:t>
      </w:r>
      <w:r>
        <w:rPr>
          <w:i/>
        </w:rPr>
        <w:t xml:space="preserve">In re: </w:t>
      </w:r>
      <w:r w:rsidRPr="00F2460F">
        <w:rPr>
          <w:i/>
        </w:rPr>
        <w:t>Application for grandfather certificate to operate water utility in St. Johns County by Camachee Island Company, Inc. d/b/a Camachee Cove Yacht Harbor Utility</w:t>
      </w:r>
      <w:r>
        <w:t>.</w:t>
      </w:r>
    </w:p>
  </w:footnote>
  <w:footnote w:id="8">
    <w:p w:rsidR="00576813" w:rsidRPr="00DE52F9" w:rsidRDefault="00576813" w:rsidP="00576813">
      <w:pPr>
        <w:pStyle w:val="FootnoteText"/>
        <w:rPr>
          <w:i/>
          <w:iCs/>
        </w:rPr>
      </w:pPr>
      <w:r>
        <w:rPr>
          <w:rStyle w:val="FootnoteReference"/>
        </w:rPr>
        <w:footnoteRef/>
      </w:r>
      <w:r>
        <w:t xml:space="preserve"> Order No. PSC-10-0126-PAA-WU, issued March 3, 2010, in Docket No. 20090230-WU, </w:t>
      </w:r>
      <w:r>
        <w:rPr>
          <w:i/>
          <w:iCs/>
        </w:rPr>
        <w:t>In re: Application for staff-assisted rate case in St. Johns County by Camachee Island Company, Inc. d/b/a/ Camachee Cove Yacht Harbor Utility.</w:t>
      </w:r>
    </w:p>
  </w:footnote>
  <w:footnote w:id="9">
    <w:p w:rsidR="00861BE4" w:rsidRDefault="00861BE4" w:rsidP="00861BE4">
      <w:pPr>
        <w:pStyle w:val="FootnoteText"/>
      </w:pPr>
      <w:r>
        <w:rPr>
          <w:rStyle w:val="FootnoteReference"/>
        </w:rPr>
        <w:footnoteRef/>
      </w:r>
      <w:r>
        <w:t xml:space="preserve"> Order No. PSC-2021-0201-FOF-WS, issued June 4, 2021,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F95901" w:rsidP="00220732">
    <w:pPr>
      <w:pStyle w:val="Header"/>
      <w:tabs>
        <w:tab w:val="clear" w:pos="4320"/>
        <w:tab w:val="clear" w:pos="8640"/>
        <w:tab w:val="right" w:pos="9360"/>
      </w:tabs>
    </w:pPr>
    <w:bookmarkStart w:id="4" w:name="DocketLabel"/>
    <w:r>
      <w:t>Docket No.</w:t>
    </w:r>
    <w:bookmarkEnd w:id="4"/>
    <w:r w:rsidR="00BC402E">
      <w:t xml:space="preserve"> </w:t>
    </w:r>
    <w:bookmarkStart w:id="5" w:name="DocketList"/>
    <w:r>
      <w:t>20210189-WU</w:t>
    </w:r>
    <w:bookmarkEnd w:id="5"/>
  </w:p>
  <w:p w:rsidR="00BC402E" w:rsidRDefault="00BC402E">
    <w:pPr>
      <w:pStyle w:val="Header"/>
    </w:pPr>
    <w:r>
      <w:t xml:space="preserve">Date: </w:t>
    </w:r>
    <w:r w:rsidR="002D4AF2">
      <w:fldChar w:fldCharType="begin"/>
    </w:r>
    <w:r w:rsidR="002D4AF2">
      <w:instrText xml:space="preserve"> REF FilingDate </w:instrText>
    </w:r>
    <w:r w:rsidR="002D4AF2">
      <w:fldChar w:fldCharType="separate"/>
    </w:r>
    <w:r w:rsidR="00F95901">
      <w:t>March 23, 2023</w:t>
    </w:r>
    <w:r w:rsidR="002D4AF2">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2EF" w:rsidRDefault="0096169A" w:rsidP="00AB69A9">
    <w:pPr>
      <w:pStyle w:val="Header"/>
      <w:tabs>
        <w:tab w:val="clear" w:pos="4320"/>
        <w:tab w:val="clear" w:pos="8640"/>
        <w:tab w:val="right" w:pos="9360"/>
      </w:tabs>
    </w:pPr>
    <w:r>
      <w:t>Docket No. 20210189-WU</w:t>
    </w:r>
    <w:r>
      <w:tab/>
      <w:t>Schedule No. 3</w:t>
    </w:r>
  </w:p>
  <w:p w:rsidR="000742EF" w:rsidRDefault="0096169A" w:rsidP="00AB69A9">
    <w:pPr>
      <w:pStyle w:val="Header"/>
      <w:tabs>
        <w:tab w:val="clear" w:pos="8640"/>
      </w:tabs>
    </w:pPr>
    <w:r>
      <w:t>Date</w:t>
    </w:r>
    <w:r w:rsidRPr="00D42411">
      <w:t xml:space="preserve">: </w:t>
    </w:r>
    <w:r w:rsidRPr="00D42411">
      <w:rPr>
        <w:strike/>
      </w:rPr>
      <w:t>February 23, 2023</w:t>
    </w:r>
    <w:r w:rsidRPr="00D42411">
      <w:rPr>
        <w:u w:val="single"/>
      </w:rPr>
      <w:t xml:space="preserve"> March 23, 2023</w:t>
    </w:r>
    <w:r>
      <w:tab/>
    </w:r>
    <w:r>
      <w:tab/>
    </w:r>
    <w:r>
      <w:tab/>
    </w:r>
    <w:r>
      <w:tab/>
    </w:r>
    <w:r>
      <w:tab/>
    </w:r>
    <w:r>
      <w:tab/>
      <w:t xml:space="preserve">     Page 1 of 1</w:t>
    </w:r>
  </w:p>
  <w:p w:rsidR="000742EF" w:rsidRPr="00F21D3D" w:rsidRDefault="002D4AF2" w:rsidP="00AB6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B88" w:rsidRPr="00D42411" w:rsidRDefault="00DE1B88" w:rsidP="00D117AC">
    <w:pPr>
      <w:pStyle w:val="Header"/>
      <w:jc w:val="center"/>
    </w:pPr>
    <w:r w:rsidRPr="00D42411">
      <w:t>REVISED 03-23-2023</w:t>
    </w:r>
  </w:p>
  <w:p w:rsidR="00DE1B88" w:rsidRPr="00D117AC" w:rsidRDefault="00DE1B88" w:rsidP="00D117AC">
    <w:pPr>
      <w:pStyle w:val="Header"/>
    </w:pPr>
    <w:r w:rsidRPr="00D117A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A60" w:rsidRDefault="00877A60" w:rsidP="00877A60">
    <w:pPr>
      <w:pStyle w:val="Header"/>
      <w:tabs>
        <w:tab w:val="clear" w:pos="4320"/>
        <w:tab w:val="clear" w:pos="8640"/>
        <w:tab w:val="right" w:pos="9360"/>
      </w:tabs>
    </w:pPr>
    <w:r>
      <w:t>Docket No. 20210189-WU</w:t>
    </w:r>
  </w:p>
  <w:p w:rsidR="00877A60" w:rsidRPr="00D117AC" w:rsidRDefault="00877A60" w:rsidP="00877A60">
    <w:pPr>
      <w:pStyle w:val="Header"/>
    </w:pPr>
    <w:r>
      <w:t xml:space="preserve">Date: </w:t>
    </w:r>
    <w:r w:rsidRPr="00D42411">
      <w:rPr>
        <w:strike/>
      </w:rPr>
      <w:t>February 23, 2023</w:t>
    </w:r>
    <w:r w:rsidRPr="00D42411">
      <w:rPr>
        <w:u w:val="single"/>
      </w:rPr>
      <w:t xml:space="preserve"> March 23, 2023</w:t>
    </w:r>
    <w:r w:rsidRPr="00D42411">
      <w:t xml:space="preserve"> </w:t>
    </w:r>
    <w:r w:rsidRPr="00D117AC">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53F63">
      <w:t>Docket No.</w:t>
    </w:r>
    <w:r>
      <w:fldChar w:fldCharType="end"/>
    </w:r>
    <w:r>
      <w:t xml:space="preserve"> </w:t>
    </w:r>
    <w:r>
      <w:fldChar w:fldCharType="begin"/>
    </w:r>
    <w:r>
      <w:instrText xml:space="preserve"> REF DocketList</w:instrText>
    </w:r>
    <w:r>
      <w:fldChar w:fldCharType="separate"/>
    </w:r>
    <w:r w:rsidR="00A53F63">
      <w:t>20210189-WU</w:t>
    </w:r>
    <w:r>
      <w:fldChar w:fldCharType="end"/>
    </w:r>
    <w:r>
      <w:tab/>
      <w:t xml:space="preserve">Issue </w:t>
    </w:r>
    <w:r w:rsidR="002D4AF2">
      <w:fldChar w:fldCharType="begin"/>
    </w:r>
    <w:r w:rsidR="002D4AF2">
      <w:instrText xml:space="preserve"> Seq Issue \c \* Arabic </w:instrText>
    </w:r>
    <w:r w:rsidR="002D4AF2">
      <w:fldChar w:fldCharType="separate"/>
    </w:r>
    <w:r w:rsidR="00247897">
      <w:rPr>
        <w:noProof/>
      </w:rPr>
      <w:t>4</w:t>
    </w:r>
    <w:r w:rsidR="002D4AF2">
      <w:rPr>
        <w:noProof/>
      </w:rPr>
      <w:fldChar w:fldCharType="end"/>
    </w:r>
  </w:p>
  <w:p w:rsidR="00BC402E" w:rsidRDefault="00816009" w:rsidP="00816009">
    <w:pPr>
      <w:pStyle w:val="Header"/>
    </w:pPr>
    <w:r w:rsidRPr="00D42411">
      <w:t xml:space="preserve">Date: </w:t>
    </w:r>
    <w:r w:rsidRPr="00D42411">
      <w:rPr>
        <w:strike/>
      </w:rPr>
      <w:t>February 23, 2023</w:t>
    </w:r>
    <w:r w:rsidRPr="00D42411">
      <w:t xml:space="preserve"> </w:t>
    </w:r>
    <w:r w:rsidRPr="00D42411">
      <w:rPr>
        <w:u w:val="single"/>
      </w:rPr>
      <w:t>March 23, 2023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09" w:rsidRPr="00D42411" w:rsidRDefault="00816009" w:rsidP="00220732">
    <w:pPr>
      <w:pStyle w:val="Header"/>
      <w:tabs>
        <w:tab w:val="clear" w:pos="4320"/>
        <w:tab w:val="clear" w:pos="8640"/>
        <w:tab w:val="right" w:pos="9360"/>
      </w:tabs>
    </w:pPr>
    <w:r>
      <w:t>Docket No. 20210189-WU</w:t>
    </w:r>
    <w:r w:rsidRPr="00D42411">
      <w:tab/>
      <w:t>Attachment A</w:t>
    </w:r>
  </w:p>
  <w:p w:rsidR="00816009" w:rsidRDefault="00816009" w:rsidP="002C76FC">
    <w:pPr>
      <w:pStyle w:val="Header"/>
      <w:tabs>
        <w:tab w:val="clear" w:pos="8640"/>
      </w:tabs>
    </w:pPr>
    <w:r w:rsidRPr="00D42411">
      <w:t xml:space="preserve">Date: </w:t>
    </w:r>
    <w:r w:rsidRPr="00D42411">
      <w:rPr>
        <w:strike/>
      </w:rPr>
      <w:t>February 23, 2023</w:t>
    </w:r>
    <w:r w:rsidRPr="00D42411">
      <w:t xml:space="preserve"> </w:t>
    </w:r>
    <w:r w:rsidRPr="00D42411">
      <w:rPr>
        <w:u w:val="single"/>
      </w:rPr>
      <w:t>March 23, 2023</w:t>
    </w:r>
    <w:r>
      <w:tab/>
    </w:r>
    <w:r>
      <w:tab/>
    </w:r>
    <w:r>
      <w:tab/>
    </w:r>
    <w:r>
      <w:tab/>
    </w:r>
    <w:r>
      <w:tab/>
    </w:r>
    <w:r>
      <w:tab/>
      <w:t xml:space="preserve">     Page 1 of 2</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09" w:rsidRDefault="00816009" w:rsidP="00220732">
    <w:pPr>
      <w:pStyle w:val="Header"/>
      <w:tabs>
        <w:tab w:val="clear" w:pos="4320"/>
        <w:tab w:val="clear" w:pos="8640"/>
        <w:tab w:val="right" w:pos="9360"/>
      </w:tabs>
    </w:pPr>
    <w:r>
      <w:t>Docket No. 20210189-WU</w:t>
    </w:r>
    <w:r>
      <w:tab/>
      <w:t>Attachment A</w:t>
    </w:r>
  </w:p>
  <w:p w:rsidR="00816009" w:rsidRDefault="00816009" w:rsidP="002C76FC">
    <w:pPr>
      <w:pStyle w:val="Header"/>
      <w:tabs>
        <w:tab w:val="clear" w:pos="8640"/>
      </w:tabs>
    </w:pPr>
    <w:r w:rsidRPr="00D42411">
      <w:t xml:space="preserve">Date: </w:t>
    </w:r>
    <w:r w:rsidRPr="00D42411">
      <w:rPr>
        <w:strike/>
      </w:rPr>
      <w:t>February 23, 2023</w:t>
    </w:r>
    <w:r w:rsidRPr="00D42411">
      <w:rPr>
        <w:u w:val="single"/>
      </w:rPr>
      <w:t xml:space="preserve"> March 23, 2023</w:t>
    </w:r>
    <w:r w:rsidRPr="00D42411">
      <w:tab/>
    </w:r>
    <w:r w:rsidRPr="00D42411">
      <w:tab/>
    </w:r>
    <w:r>
      <w:tab/>
    </w:r>
    <w:r>
      <w:tab/>
    </w:r>
    <w:r>
      <w:tab/>
    </w:r>
    <w:r>
      <w:tab/>
      <w:t xml:space="preserve">     Page 2 of 2</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09" w:rsidRDefault="00816009" w:rsidP="00220732">
    <w:pPr>
      <w:pStyle w:val="Header"/>
      <w:tabs>
        <w:tab w:val="clear" w:pos="4320"/>
        <w:tab w:val="clear" w:pos="8640"/>
        <w:tab w:val="right" w:pos="9360"/>
      </w:tabs>
    </w:pPr>
    <w:r>
      <w:t>Docket No. 20210189-WU</w:t>
    </w:r>
    <w:r>
      <w:tab/>
      <w:t>Schedule No. 1</w:t>
    </w:r>
  </w:p>
  <w:p w:rsidR="00816009" w:rsidRDefault="00816009" w:rsidP="002C76FC">
    <w:pPr>
      <w:pStyle w:val="Header"/>
      <w:tabs>
        <w:tab w:val="clear" w:pos="8640"/>
      </w:tabs>
    </w:pPr>
    <w:r>
      <w:t xml:space="preserve">Date: </w:t>
    </w:r>
    <w:r w:rsidRPr="00D42411">
      <w:rPr>
        <w:strike/>
      </w:rPr>
      <w:t>February 23, 2023</w:t>
    </w:r>
    <w:r w:rsidRPr="00D42411">
      <w:rPr>
        <w:u w:val="single"/>
      </w:rPr>
      <w:t xml:space="preserve"> March 23, 2023</w:t>
    </w:r>
    <w:r w:rsidRPr="00D42411">
      <w:tab/>
    </w:r>
    <w:r>
      <w:tab/>
    </w:r>
    <w:r>
      <w:tab/>
    </w:r>
    <w:r>
      <w:tab/>
    </w:r>
    <w:r>
      <w:tab/>
    </w:r>
    <w:r>
      <w:tab/>
      <w:t xml:space="preserve">     Page 1 of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09" w:rsidRDefault="00816009" w:rsidP="00220732">
    <w:pPr>
      <w:pStyle w:val="Header"/>
      <w:tabs>
        <w:tab w:val="clear" w:pos="4320"/>
        <w:tab w:val="clear" w:pos="8640"/>
        <w:tab w:val="right" w:pos="9360"/>
      </w:tabs>
    </w:pPr>
    <w:r>
      <w:t>Docket No. 20210189-WU</w:t>
    </w:r>
    <w:r>
      <w:tab/>
      <w:t>Schedule No. 2</w:t>
    </w:r>
  </w:p>
  <w:p w:rsidR="00816009" w:rsidRDefault="00816009" w:rsidP="002C76FC">
    <w:pPr>
      <w:pStyle w:val="Header"/>
      <w:tabs>
        <w:tab w:val="clear" w:pos="8640"/>
      </w:tabs>
    </w:pPr>
    <w:r>
      <w:t>Date</w:t>
    </w:r>
    <w:r w:rsidRPr="00D42411">
      <w:t xml:space="preserve">: </w:t>
    </w:r>
    <w:r w:rsidRPr="00D42411">
      <w:rPr>
        <w:strike/>
      </w:rPr>
      <w:t>February 23, 2023</w:t>
    </w:r>
    <w:r w:rsidRPr="00D42411">
      <w:rPr>
        <w:u w:val="single"/>
      </w:rPr>
      <w:t xml:space="preserve"> March 23, 2023</w:t>
    </w:r>
    <w:r w:rsidRPr="00D42411">
      <w:tab/>
    </w:r>
    <w:r>
      <w:tab/>
    </w:r>
    <w:r>
      <w:tab/>
    </w:r>
    <w:r>
      <w:tab/>
    </w:r>
    <w:r>
      <w:tab/>
    </w:r>
    <w:r>
      <w:tab/>
      <w:t xml:space="preserve">     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95901"/>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82835"/>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7897"/>
    <w:rsid w:val="00263D44"/>
    <w:rsid w:val="00266C44"/>
    <w:rsid w:val="002702AD"/>
    <w:rsid w:val="00281EB4"/>
    <w:rsid w:val="00292D82"/>
    <w:rsid w:val="00293EE7"/>
    <w:rsid w:val="002963CB"/>
    <w:rsid w:val="002B2DAC"/>
    <w:rsid w:val="002B4A01"/>
    <w:rsid w:val="002C291B"/>
    <w:rsid w:val="002C746A"/>
    <w:rsid w:val="002C7E4E"/>
    <w:rsid w:val="002D226D"/>
    <w:rsid w:val="002D4AF2"/>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4FD9"/>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66F"/>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1CBA"/>
    <w:rsid w:val="004242E6"/>
    <w:rsid w:val="00427B35"/>
    <w:rsid w:val="00431598"/>
    <w:rsid w:val="004319AD"/>
    <w:rsid w:val="004426B8"/>
    <w:rsid w:val="00444432"/>
    <w:rsid w:val="00447D5C"/>
    <w:rsid w:val="00450202"/>
    <w:rsid w:val="004502B2"/>
    <w:rsid w:val="00455499"/>
    <w:rsid w:val="004649A7"/>
    <w:rsid w:val="00471860"/>
    <w:rsid w:val="00474FE7"/>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3335"/>
    <w:rsid w:val="0055529B"/>
    <w:rsid w:val="00560FF0"/>
    <w:rsid w:val="005614BD"/>
    <w:rsid w:val="0057154F"/>
    <w:rsid w:val="00576813"/>
    <w:rsid w:val="00580F69"/>
    <w:rsid w:val="00581CA3"/>
    <w:rsid w:val="00585031"/>
    <w:rsid w:val="00586E8B"/>
    <w:rsid w:val="00587A44"/>
    <w:rsid w:val="00597730"/>
    <w:rsid w:val="005977EC"/>
    <w:rsid w:val="00597DE7"/>
    <w:rsid w:val="005A4AA2"/>
    <w:rsid w:val="005B34B6"/>
    <w:rsid w:val="005B5B5F"/>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6357"/>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009"/>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61BE4"/>
    <w:rsid w:val="008731AB"/>
    <w:rsid w:val="00874344"/>
    <w:rsid w:val="0087505D"/>
    <w:rsid w:val="00877703"/>
    <w:rsid w:val="00877A60"/>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D52BA"/>
    <w:rsid w:val="008E1F19"/>
    <w:rsid w:val="008F2262"/>
    <w:rsid w:val="008F4D2B"/>
    <w:rsid w:val="008F5B91"/>
    <w:rsid w:val="008F68E3"/>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169A"/>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3F63"/>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2923"/>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1DA9"/>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0233"/>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1B88"/>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0790"/>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95901"/>
    <w:rsid w:val="00FA17AC"/>
    <w:rsid w:val="00FA32DE"/>
    <w:rsid w:val="00FA3382"/>
    <w:rsid w:val="00FA59CD"/>
    <w:rsid w:val="00FB0CDC"/>
    <w:rsid w:val="00FB1740"/>
    <w:rsid w:val="00FB4235"/>
    <w:rsid w:val="00FB719E"/>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274741E6-AF01-4ABE-B8F5-6797D130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Default">
    <w:name w:val="Default"/>
    <w:rsid w:val="008160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16009"/>
    <w:pPr>
      <w:ind w:left="720"/>
      <w:contextualSpacing/>
    </w:pPr>
  </w:style>
  <w:style w:type="table" w:customStyle="1" w:styleId="TableGrid121">
    <w:name w:val="Table Grid121"/>
    <w:basedOn w:val="TableNormal"/>
    <w:uiPriority w:val="59"/>
    <w:rsid w:val="0081600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816009"/>
    <w:rPr>
      <w:sz w:val="24"/>
      <w:szCs w:val="24"/>
    </w:rPr>
  </w:style>
  <w:style w:type="character" w:styleId="FootnoteReference">
    <w:name w:val="footnote reference"/>
    <w:basedOn w:val="DefaultParagraphFont"/>
    <w:uiPriority w:val="99"/>
    <w:unhideWhenUsed/>
    <w:rsid w:val="005B5B5F"/>
    <w:rPr>
      <w:vertAlign w:val="superscript"/>
    </w:rPr>
  </w:style>
  <w:style w:type="character" w:customStyle="1" w:styleId="FootnoteTextChar">
    <w:name w:val="Footnote Text Char"/>
    <w:basedOn w:val="DefaultParagraphFont"/>
    <w:link w:val="FootnoteText"/>
    <w:rsid w:val="005B5B5F"/>
  </w:style>
  <w:style w:type="paragraph" w:customStyle="1" w:styleId="SCparagraph">
    <w:name w:val="SCparagraph"/>
    <w:basedOn w:val="Normal"/>
    <w:rsid w:val="005B5B5F"/>
    <w:pPr>
      <w:spacing w:after="240"/>
      <w:ind w:firstLine="720"/>
      <w:jc w:val="both"/>
    </w:pPr>
  </w:style>
  <w:style w:type="table" w:customStyle="1" w:styleId="TableGrid12">
    <w:name w:val="Table Grid12"/>
    <w:basedOn w:val="TableNormal"/>
    <w:next w:val="TableGrid"/>
    <w:uiPriority w:val="59"/>
    <w:rsid w:val="00861B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16</Pages>
  <Words>3905</Words>
  <Characters>22264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Joe Cipriani</dc:creator>
  <cp:lastModifiedBy>Brian Schultz</cp:lastModifiedBy>
  <cp:revision>3</cp:revision>
  <cp:lastPrinted>2004-01-27T20:32:00Z</cp:lastPrinted>
  <dcterms:created xsi:type="dcterms:W3CDTF">2023-03-23T17:29:00Z</dcterms:created>
  <dcterms:modified xsi:type="dcterms:W3CDTF">2023-03-23T17:43:00Z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20210189-WU</vt:lpwstr>
  </property>
  <property fmtid="{D5CDD505-2E9C-101B-9397-08002B2CF9AE}" pid="3" name="MasterDocument">
    <vt:bool>false</vt:bool>
  </property>
</Properties>
</file>