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0685806"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07450A25" w14:textId="77777777" w:rsidR="007C0528" w:rsidRDefault="007C0528" w:rsidP="00532DFB">
            <w:pPr>
              <w:pStyle w:val="MastHeadState"/>
            </w:pPr>
            <w:bookmarkStart w:id="0" w:name="_GoBack"/>
            <w:bookmarkEnd w:id="0"/>
            <w:r>
              <w:t>State of Florida</w:t>
            </w:r>
          </w:p>
          <w:p w14:paraId="7EA2D5AD" w14:textId="77777777" w:rsidR="007C0528" w:rsidRDefault="00072CCA">
            <w:pPr>
              <w:jc w:val="center"/>
            </w:pPr>
            <w:r>
              <w:rPr>
                <w:noProof/>
              </w:rPr>
              <w:drawing>
                <wp:inline distT="0" distB="0" distL="0" distR="0" wp14:anchorId="08901D22" wp14:editId="1BBA5A4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47EC3C71"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CD798C9" w14:textId="77777777" w:rsidR="007C0528" w:rsidRDefault="007C0528">
            <w:pPr>
              <w:pStyle w:val="MastHeadPSC"/>
            </w:pPr>
            <w:r>
              <w:t>Public Service Commission</w:t>
            </w:r>
          </w:p>
          <w:p w14:paraId="060D39C7" w14:textId="77777777" w:rsidR="007C0528" w:rsidRDefault="007C0528">
            <w:pPr>
              <w:pStyle w:val="MastHeadAddress"/>
            </w:pPr>
            <w:r>
              <w:t>Capital Circle Office Center ● 2540 Shumard Oak Boulevard</w:t>
            </w:r>
            <w:r>
              <w:br/>
              <w:t>Tallahassee, Florida 32399-0850</w:t>
            </w:r>
          </w:p>
          <w:p w14:paraId="446E4A34" w14:textId="77777777" w:rsidR="007C0528" w:rsidRDefault="007C0528">
            <w:pPr>
              <w:pStyle w:val="MastHeadMemorandum"/>
            </w:pPr>
            <w:r>
              <w:t>-M-E-M-O-R-A-N-D-U-M-</w:t>
            </w:r>
          </w:p>
          <w:p w14:paraId="56218E99" w14:textId="77777777" w:rsidR="007C0528" w:rsidRDefault="007C0528">
            <w:pPr>
              <w:pStyle w:val="MemoHeading"/>
            </w:pPr>
          </w:p>
        </w:tc>
      </w:tr>
      <w:tr w:rsidR="007C0528" w14:paraId="63C0E01C"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1E05D338"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6084DA8B" w14:textId="77777777" w:rsidR="007C0528" w:rsidRDefault="00FD4164">
            <w:pPr>
              <w:pStyle w:val="MemoHeading"/>
            </w:pPr>
            <w:bookmarkStart w:id="1" w:name="FilingDate"/>
            <w:r>
              <w:t>April 14, 2023</w:t>
            </w:r>
            <w:bookmarkEnd w:id="1"/>
          </w:p>
        </w:tc>
      </w:tr>
      <w:tr w:rsidR="007C0528" w14:paraId="5D31DCD2" w14:textId="77777777">
        <w:tc>
          <w:tcPr>
            <w:tcW w:w="1254" w:type="dxa"/>
            <w:tcBorders>
              <w:top w:val="nil"/>
              <w:left w:val="nil"/>
              <w:bottom w:val="nil"/>
              <w:right w:val="nil"/>
            </w:tcBorders>
            <w:shd w:val="clear" w:color="auto" w:fill="auto"/>
            <w:tcMar>
              <w:top w:w="288" w:type="dxa"/>
              <w:bottom w:w="0" w:type="dxa"/>
              <w:right w:w="0" w:type="dxa"/>
            </w:tcMar>
          </w:tcPr>
          <w:p w14:paraId="7962754C"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513AF0B9" w14:textId="77777777" w:rsidR="007C0528" w:rsidRDefault="007C0528" w:rsidP="0093658B">
            <w:pPr>
              <w:pStyle w:val="MemoHeading"/>
            </w:pPr>
            <w:r>
              <w:t>Office of Commission Clerk (</w:t>
            </w:r>
            <w:r w:rsidR="004E69B5">
              <w:t>Teitzman</w:t>
            </w:r>
            <w:r>
              <w:t>)</w:t>
            </w:r>
          </w:p>
        </w:tc>
      </w:tr>
      <w:tr w:rsidR="007C0528" w14:paraId="173C3EEF" w14:textId="77777777">
        <w:tc>
          <w:tcPr>
            <w:tcW w:w="1254" w:type="dxa"/>
            <w:tcBorders>
              <w:top w:val="nil"/>
              <w:left w:val="nil"/>
              <w:bottom w:val="nil"/>
              <w:right w:val="nil"/>
            </w:tcBorders>
            <w:shd w:val="clear" w:color="auto" w:fill="auto"/>
            <w:tcMar>
              <w:top w:w="288" w:type="dxa"/>
              <w:right w:w="0" w:type="dxa"/>
            </w:tcMar>
          </w:tcPr>
          <w:p w14:paraId="5CF1488B"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F78D7AF" w14:textId="77777777" w:rsidR="002929FD" w:rsidRDefault="002929FD" w:rsidP="002929FD">
            <w:pPr>
              <w:pStyle w:val="MemoHeading"/>
            </w:pPr>
            <w:bookmarkStart w:id="2" w:name="From"/>
            <w:r>
              <w:t>Division of Economics (Hampson</w:t>
            </w:r>
            <w:r w:rsidR="00CB0D57">
              <w:t>, Draper</w:t>
            </w:r>
            <w:r>
              <w:t>)</w:t>
            </w:r>
          </w:p>
          <w:p w14:paraId="49F73096" w14:textId="77777777" w:rsidR="00FD4164" w:rsidRDefault="00FD4164">
            <w:pPr>
              <w:pStyle w:val="MemoHeading"/>
            </w:pPr>
            <w:r>
              <w:t>Division of Accounting and Finance (Norris)</w:t>
            </w:r>
          </w:p>
          <w:p w14:paraId="2B0FC66E" w14:textId="77777777" w:rsidR="007C0528" w:rsidRDefault="00FD4164">
            <w:pPr>
              <w:pStyle w:val="MemoHeading"/>
            </w:pPr>
            <w:r>
              <w:t>Office of the General Counsel (Harper, Sparks)</w:t>
            </w:r>
            <w:bookmarkEnd w:id="2"/>
          </w:p>
        </w:tc>
      </w:tr>
      <w:tr w:rsidR="007C0528" w14:paraId="06E9596E" w14:textId="77777777">
        <w:tc>
          <w:tcPr>
            <w:tcW w:w="1254" w:type="dxa"/>
            <w:tcBorders>
              <w:top w:val="nil"/>
              <w:left w:val="nil"/>
              <w:bottom w:val="nil"/>
              <w:right w:val="nil"/>
            </w:tcBorders>
            <w:shd w:val="clear" w:color="auto" w:fill="auto"/>
            <w:tcMar>
              <w:top w:w="288" w:type="dxa"/>
              <w:right w:w="0" w:type="dxa"/>
            </w:tcMar>
          </w:tcPr>
          <w:p w14:paraId="7D47098C"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9463EF1" w14:textId="77777777" w:rsidR="007C0528" w:rsidRDefault="00FD4164">
            <w:pPr>
              <w:pStyle w:val="MemoHeadingRe"/>
            </w:pPr>
            <w:bookmarkStart w:id="3" w:name="Re"/>
            <w:r>
              <w:t>Docket No. 20220069-GU – Petition for rate increase by Florida City Gas.</w:t>
            </w:r>
            <w:bookmarkEnd w:id="3"/>
          </w:p>
        </w:tc>
      </w:tr>
      <w:tr w:rsidR="007C0528" w14:paraId="3D086D3A" w14:textId="77777777">
        <w:tc>
          <w:tcPr>
            <w:tcW w:w="1254" w:type="dxa"/>
            <w:tcBorders>
              <w:top w:val="nil"/>
              <w:left w:val="nil"/>
              <w:bottom w:val="nil"/>
              <w:right w:val="nil"/>
            </w:tcBorders>
            <w:shd w:val="clear" w:color="auto" w:fill="auto"/>
            <w:tcMar>
              <w:top w:w="288" w:type="dxa"/>
              <w:bottom w:w="0" w:type="dxa"/>
              <w:right w:w="0" w:type="dxa"/>
            </w:tcMar>
          </w:tcPr>
          <w:p w14:paraId="41187514"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625048DF" w14:textId="77777777" w:rsidR="007C0528" w:rsidRDefault="00FD4164">
            <w:pPr>
              <w:pStyle w:val="MemoHeading"/>
            </w:pPr>
            <w:bookmarkStart w:id="4" w:name="AgendaDate"/>
            <w:r>
              <w:t>04/25/23</w:t>
            </w:r>
            <w:bookmarkEnd w:id="4"/>
            <w:r w:rsidR="007C0528">
              <w:t xml:space="preserve"> – </w:t>
            </w:r>
            <w:bookmarkStart w:id="5" w:name="PermittedStatus"/>
            <w:r>
              <w:t>Regular Agenda – Post-Hearing Decision – Participation is Limited to Commissioners and Staff</w:t>
            </w:r>
            <w:bookmarkEnd w:id="5"/>
          </w:p>
        </w:tc>
      </w:tr>
      <w:tr w:rsidR="007C0528" w14:paraId="1C8D3CE0" w14:textId="77777777">
        <w:tc>
          <w:tcPr>
            <w:tcW w:w="3690" w:type="dxa"/>
            <w:gridSpan w:val="3"/>
            <w:tcBorders>
              <w:top w:val="nil"/>
              <w:left w:val="nil"/>
              <w:bottom w:val="nil"/>
              <w:right w:val="nil"/>
            </w:tcBorders>
            <w:shd w:val="clear" w:color="auto" w:fill="auto"/>
            <w:tcMar>
              <w:top w:w="288" w:type="dxa"/>
              <w:bottom w:w="0" w:type="dxa"/>
              <w:right w:w="0" w:type="dxa"/>
            </w:tcMar>
          </w:tcPr>
          <w:p w14:paraId="07531839"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19D5077E" w14:textId="77777777" w:rsidR="007C0528" w:rsidRDefault="00FD4164">
            <w:pPr>
              <w:pStyle w:val="MemoHeading"/>
            </w:pPr>
            <w:bookmarkStart w:id="6" w:name="CommissionersAssigned"/>
            <w:r>
              <w:t>Fay, Passidomo, La Rosa</w:t>
            </w:r>
            <w:bookmarkEnd w:id="6"/>
          </w:p>
        </w:tc>
      </w:tr>
      <w:tr w:rsidR="007C0528" w14:paraId="26C08A62" w14:textId="77777777">
        <w:tc>
          <w:tcPr>
            <w:tcW w:w="3690" w:type="dxa"/>
            <w:gridSpan w:val="3"/>
            <w:tcBorders>
              <w:top w:val="nil"/>
              <w:left w:val="nil"/>
              <w:bottom w:val="nil"/>
              <w:right w:val="nil"/>
            </w:tcBorders>
            <w:shd w:val="clear" w:color="auto" w:fill="auto"/>
            <w:tcMar>
              <w:top w:w="288" w:type="dxa"/>
              <w:bottom w:w="0" w:type="dxa"/>
              <w:right w:w="0" w:type="dxa"/>
            </w:tcMar>
          </w:tcPr>
          <w:p w14:paraId="71651784"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E44215B" w14:textId="77777777" w:rsidR="007C0528" w:rsidRDefault="00FD4164">
            <w:pPr>
              <w:pStyle w:val="MemoHeading"/>
            </w:pPr>
            <w:bookmarkStart w:id="7" w:name="PrehearingOfficer"/>
            <w:r>
              <w:t>Fay</w:t>
            </w:r>
            <w:bookmarkEnd w:id="7"/>
          </w:p>
        </w:tc>
      </w:tr>
      <w:tr w:rsidR="007C0528" w14:paraId="0D5239B4"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4389A1C6"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2101069" w14:textId="6F3B6942" w:rsidR="007C0528" w:rsidRDefault="008F641B" w:rsidP="00FD4164">
            <w:pPr>
              <w:pStyle w:val="MemoHeading"/>
            </w:pPr>
            <w:bookmarkStart w:id="9" w:name="CriticalDates"/>
            <w:r>
              <w:t>05/31/23</w:t>
            </w:r>
            <w:r w:rsidR="00FD4164">
              <w:t xml:space="preserve"> (12-Month Effective Date)</w:t>
            </w:r>
            <w:bookmarkEnd w:id="9"/>
          </w:p>
        </w:tc>
      </w:tr>
      <w:tr w:rsidR="007C0528" w14:paraId="39FCF1B0"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267C72A7"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0F47365B" w14:textId="77777777" w:rsidR="007C0528" w:rsidRDefault="00FD4164">
            <w:pPr>
              <w:pStyle w:val="MemoHeading"/>
            </w:pPr>
            <w:bookmarkStart w:id="10" w:name="SpecialInstructions"/>
            <w:r>
              <w:t>None</w:t>
            </w:r>
            <w:bookmarkEnd w:id="10"/>
          </w:p>
        </w:tc>
      </w:tr>
    </w:tbl>
    <w:p w14:paraId="37D0C25B" w14:textId="77777777" w:rsidR="007C0528" w:rsidRDefault="007C0528">
      <w:pPr>
        <w:pStyle w:val="BodyText"/>
      </w:pPr>
    </w:p>
    <w:p w14:paraId="5EBCF998"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12C02293" w14:textId="77777777" w:rsidR="007C0528" w:rsidRDefault="00C40465" w:rsidP="002018CC">
      <w:pPr>
        <w:jc w:val="both"/>
      </w:pPr>
      <w:r>
        <w:t xml:space="preserve">On May 31, 2022, Florida City Gas (FCG or Company) filed a petition seeking the Florida Public Service Commission’s (Commission) approval of a rate increase and associated </w:t>
      </w:r>
      <w:proofErr w:type="gramStart"/>
      <w:r>
        <w:t>depreciation</w:t>
      </w:r>
      <w:proofErr w:type="gramEnd"/>
      <w:r>
        <w:t xml:space="preserve"> rates. FCG is a natural gas local distribution company providing sales and transportation of natural gas, and is a public utility subject to this Commission’s regulatory jurisdiction under Section 366.02, Florida Statutes (F.S.). FCG currently serves approximately 116,000 residential, commercial, and industrial natural gas customers in Miami-Dade, Broward, St. Lucie, Indian River, Brevard, Palm Beach, Hendry, and Martin counties.</w:t>
      </w:r>
    </w:p>
    <w:p w14:paraId="6FFB1985" w14:textId="77777777" w:rsidR="00092071" w:rsidRDefault="00092071" w:rsidP="002018CC">
      <w:pPr>
        <w:jc w:val="both"/>
      </w:pPr>
    </w:p>
    <w:p w14:paraId="0F0F0565" w14:textId="26A9B5FF" w:rsidR="00C40465" w:rsidRDefault="00C40465" w:rsidP="002018CC">
      <w:pPr>
        <w:jc w:val="both"/>
      </w:pPr>
      <w:r>
        <w:t xml:space="preserve">An administrative hearing was held </w:t>
      </w:r>
      <w:r w:rsidR="00101634">
        <w:t xml:space="preserve">on </w:t>
      </w:r>
      <w:r>
        <w:t>December 12-13, 2022. At the hearing, the Commission approved the following stipulated issues:</w:t>
      </w:r>
      <w:r w:rsidRPr="00354593">
        <w:t xml:space="preserve"> </w:t>
      </w:r>
      <w:r>
        <w:t>10, 14, 16, 18, 20, 21, 30, 32, 33, 37, 43, 44, 48, 56, 63, 64, 69, 70, 72 and 73.</w:t>
      </w:r>
      <w:r w:rsidR="00033A99">
        <w:t xml:space="preserve"> At the March 28, 2023 Special Agenda Conference, the Commission </w:t>
      </w:r>
      <w:r w:rsidR="002929FD">
        <w:lastRenderedPageBreak/>
        <w:t>approved</w:t>
      </w:r>
      <w:r w:rsidR="00E2041D">
        <w:t xml:space="preserve"> a</w:t>
      </w:r>
      <w:r w:rsidR="00033A99">
        <w:t xml:space="preserve">n </w:t>
      </w:r>
      <w:r w:rsidR="00E52596">
        <w:t xml:space="preserve">incremental </w:t>
      </w:r>
      <w:r w:rsidR="002929FD">
        <w:t>increase</w:t>
      </w:r>
      <w:r w:rsidR="00033A99">
        <w:t xml:space="preserve"> </w:t>
      </w:r>
      <w:r w:rsidR="00E52596">
        <w:t>in</w:t>
      </w:r>
      <w:r w:rsidR="00033A99">
        <w:t xml:space="preserve"> operating revenues of $</w:t>
      </w:r>
      <w:r w:rsidR="00E2041D">
        <w:t>14,149,121</w:t>
      </w:r>
      <w:r w:rsidR="00033A99">
        <w:t>.</w:t>
      </w:r>
      <w:r w:rsidR="00940AFF">
        <w:rPr>
          <w:rStyle w:val="FootnoteReference"/>
        </w:rPr>
        <w:footnoteReference w:id="1"/>
      </w:r>
      <w:r w:rsidR="00033A99">
        <w:t xml:space="preserve"> The total Company target revenues, including other operating revenues, is $</w:t>
      </w:r>
      <w:r w:rsidR="00E2041D">
        <w:t>88,033,271</w:t>
      </w:r>
      <w:r w:rsidR="00033A99">
        <w:t>.</w:t>
      </w:r>
      <w:r w:rsidR="0086517B">
        <w:rPr>
          <w:rStyle w:val="FootnoteReference"/>
        </w:rPr>
        <w:footnoteReference w:id="2"/>
      </w:r>
      <w:r w:rsidR="00033A99">
        <w:t xml:space="preserve"> The staff-calculated final revenue requirement calculation</w:t>
      </w:r>
      <w:r w:rsidR="003C5221">
        <w:t>s</w:t>
      </w:r>
      <w:r w:rsidR="00033A99">
        <w:t xml:space="preserve"> that reflect the Commission-approved increase to operating revenues </w:t>
      </w:r>
      <w:r w:rsidR="003C5221">
        <w:t>are</w:t>
      </w:r>
      <w:r w:rsidR="00033A99">
        <w:t xml:space="preserve"> contained in Attachment A to the recommendation</w:t>
      </w:r>
      <w:r w:rsidR="00E2041D">
        <w:t>.</w:t>
      </w:r>
    </w:p>
    <w:p w14:paraId="4E4EB3C1" w14:textId="77777777" w:rsidR="00324F1B" w:rsidRDefault="00324F1B" w:rsidP="002018CC">
      <w:pPr>
        <w:jc w:val="both"/>
      </w:pPr>
    </w:p>
    <w:p w14:paraId="3C52D891" w14:textId="27E911EC" w:rsidR="00324F1B" w:rsidRPr="00BB45C5" w:rsidRDefault="00324F1B" w:rsidP="002018CC">
      <w:pPr>
        <w:jc w:val="both"/>
      </w:pPr>
      <w:r>
        <w:t xml:space="preserve">At </w:t>
      </w:r>
      <w:r w:rsidRPr="00BB45C5">
        <w:t>the March 28, 2023 Special Agenda Conference, the Commission approved the Company’s cost of service study in Issue 58</w:t>
      </w:r>
      <w:r w:rsidR="00033A99" w:rsidRPr="00BB45C5">
        <w:t xml:space="preserve"> and the revenue increase allocation to the rate classes in Issue 59</w:t>
      </w:r>
      <w:r w:rsidRPr="00BB45C5">
        <w:t>.</w:t>
      </w:r>
      <w:r w:rsidR="00033A99" w:rsidRPr="00BB45C5">
        <w:t xml:space="preserve"> This recommendation addresses the iss</w:t>
      </w:r>
      <w:r w:rsidR="00092071" w:rsidRPr="00BB45C5">
        <w:t>u</w:t>
      </w:r>
      <w:r w:rsidR="00033A99" w:rsidRPr="00BB45C5">
        <w:t>es that were not addressed at the March 28, 2023 Special Agenda Conference: Issue 60 (customer charges), Issue 61 (distribution charges), Issue 62 (demand charges),</w:t>
      </w:r>
      <w:r w:rsidR="006B5289">
        <w:t xml:space="preserve"> Issue 65 (effective date), </w:t>
      </w:r>
      <w:r w:rsidR="00033A99" w:rsidRPr="00BB45C5">
        <w:t>Issue 66 (approval of tariffs)</w:t>
      </w:r>
      <w:r w:rsidR="006B5289">
        <w:t>, and Issue 73 (close docket)</w:t>
      </w:r>
      <w:r w:rsidR="00033A99" w:rsidRPr="00BB45C5">
        <w:t xml:space="preserve">. </w:t>
      </w:r>
    </w:p>
    <w:p w14:paraId="514B0A44" w14:textId="77777777" w:rsidR="00033A99" w:rsidRPr="00BB45C5" w:rsidRDefault="00033A99" w:rsidP="002018CC">
      <w:pPr>
        <w:jc w:val="both"/>
      </w:pPr>
    </w:p>
    <w:p w14:paraId="46D5B981" w14:textId="707381F4" w:rsidR="00033A99" w:rsidRPr="00BB45C5" w:rsidRDefault="00101634" w:rsidP="002018CC">
      <w:pPr>
        <w:jc w:val="both"/>
      </w:pPr>
      <w:r w:rsidRPr="00BB45C5">
        <w:t>On April 7, 2023</w:t>
      </w:r>
      <w:r w:rsidR="00033A99" w:rsidRPr="00BB45C5">
        <w:t>, the Company filed a revised cost of service study and associated tariffs reflecting the final Commission-approved revenue requirement.</w:t>
      </w:r>
      <w:r w:rsidRPr="00BB45C5">
        <w:rPr>
          <w:rStyle w:val="FootnoteReference"/>
        </w:rPr>
        <w:footnoteReference w:id="3"/>
      </w:r>
      <w:r w:rsidR="00033A99" w:rsidRPr="00BB45C5">
        <w:t xml:space="preserve"> The proposed customer, distribution, and demand charges are calculated in the revised cost of service study and shown in the attached tariffs. </w:t>
      </w:r>
      <w:r w:rsidR="00092071" w:rsidRPr="00BB45C5">
        <w:t xml:space="preserve">The tariffs are included in </w:t>
      </w:r>
      <w:r w:rsidR="002929FD" w:rsidRPr="00BB45C5">
        <w:t>Attachment</w:t>
      </w:r>
      <w:r w:rsidR="00092071" w:rsidRPr="00BB45C5">
        <w:t xml:space="preserve"> B to the recommendation. </w:t>
      </w:r>
      <w:r w:rsidR="00033A99" w:rsidRPr="00BB45C5">
        <w:t>The Commission has jurisdiction over this matter pursuant to Chapter 366, F.S., including Sections 366.06 and 366.071, F.S.</w:t>
      </w:r>
    </w:p>
    <w:p w14:paraId="103A6BCC" w14:textId="77777777" w:rsidR="00033A99" w:rsidRPr="00BB45C5" w:rsidRDefault="00033A99" w:rsidP="002018CC">
      <w:pPr>
        <w:jc w:val="both"/>
      </w:pPr>
    </w:p>
    <w:bookmarkEnd w:id="12"/>
    <w:p w14:paraId="2C463419" w14:textId="77777777" w:rsidR="00EA2273" w:rsidRPr="00BB45C5" w:rsidRDefault="00EA2273">
      <w:pPr>
        <w:pStyle w:val="RecommendationMajorSectionHeading"/>
        <w:sectPr w:rsidR="00EA2273" w:rsidRPr="00BB45C5">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1C496565" w14:textId="77777777" w:rsidR="007C0528" w:rsidRPr="00BB45C5" w:rsidRDefault="007C0528">
      <w:pPr>
        <w:pStyle w:val="RecommendationMajorSectionHeading"/>
      </w:pPr>
      <w:bookmarkStart w:id="16" w:name="DiscussionOfIssues"/>
      <w:r w:rsidRPr="00BB45C5">
        <w:lastRenderedPageBreak/>
        <w:t>Discussion of Issues</w:t>
      </w:r>
    </w:p>
    <w:bookmarkEnd w:id="16"/>
    <w:p w14:paraId="46C3A404" w14:textId="1987B337" w:rsidR="00B029AA" w:rsidRPr="00BB45C5" w:rsidRDefault="00B029AA">
      <w:pPr>
        <w:pStyle w:val="IssueHeading"/>
        <w:rPr>
          <w:vanish/>
          <w:specVanish/>
        </w:rPr>
      </w:pPr>
      <w:r w:rsidRPr="00BB45C5">
        <w:t xml:space="preserve">Issue </w:t>
      </w:r>
      <w:r w:rsidRPr="00BB45C5">
        <w:fldChar w:fldCharType="begin"/>
      </w:r>
      <w:r w:rsidRPr="00BB45C5">
        <w:instrText>seq issue \r 60</w:instrText>
      </w:r>
      <w:r w:rsidRPr="00BB45C5">
        <w:fldChar w:fldCharType="separate"/>
      </w:r>
      <w:r w:rsidR="00246AD0">
        <w:rPr>
          <w:noProof/>
        </w:rPr>
        <w:t>60</w:t>
      </w:r>
      <w:r w:rsidRPr="00BB45C5">
        <w:rPr>
          <w:noProof/>
        </w:rPr>
        <w:fldChar w:fldCharType="end"/>
      </w:r>
      <w:r w:rsidRPr="00BB45C5">
        <w:t>:</w:t>
      </w:r>
      <w:r w:rsidRPr="00BB45C5">
        <w:fldChar w:fldCharType="begin"/>
      </w:r>
      <w:r w:rsidRPr="00BB45C5">
        <w:instrText xml:space="preserve"> TC "</w:instrText>
      </w:r>
      <w:r w:rsidRPr="00BB45C5">
        <w:fldChar w:fldCharType="begin"/>
      </w:r>
      <w:r w:rsidRPr="00BB45C5">
        <w:instrText xml:space="preserve"> SEQ issue \c </w:instrText>
      </w:r>
      <w:r w:rsidRPr="00BB45C5">
        <w:fldChar w:fldCharType="separate"/>
      </w:r>
      <w:r w:rsidR="00246AD0">
        <w:rPr>
          <w:noProof/>
        </w:rPr>
        <w:instrText>60</w:instrText>
      </w:r>
      <w:r w:rsidRPr="00BB45C5">
        <w:fldChar w:fldCharType="end"/>
      </w:r>
      <w:r w:rsidRPr="00BB45C5">
        <w:tab/>
        <w:instrText xml:space="preserve">(Hampson)" \l 1 </w:instrText>
      </w:r>
      <w:r w:rsidRPr="00BB45C5">
        <w:fldChar w:fldCharType="end"/>
      </w:r>
      <w:r w:rsidRPr="00BB45C5">
        <w:t> </w:t>
      </w:r>
    </w:p>
    <w:p w14:paraId="5A77FC80" w14:textId="77777777" w:rsidR="00B029AA" w:rsidRPr="00BB45C5" w:rsidRDefault="00B029AA">
      <w:pPr>
        <w:pStyle w:val="BodyText"/>
      </w:pPr>
      <w:r w:rsidRPr="00BB45C5">
        <w:t> Are FCG’s proposed Customer Charges appropriate?</w:t>
      </w:r>
    </w:p>
    <w:p w14:paraId="481EAC8A" w14:textId="77777777" w:rsidR="00B029AA" w:rsidRPr="00BB45C5" w:rsidRDefault="00B029AA">
      <w:pPr>
        <w:pStyle w:val="IssueSubsectionHeading"/>
        <w:rPr>
          <w:vanish/>
          <w:specVanish/>
        </w:rPr>
      </w:pPr>
      <w:r w:rsidRPr="00BB45C5">
        <w:t>Recommendation: </w:t>
      </w:r>
    </w:p>
    <w:p w14:paraId="5BCE1581" w14:textId="744CEEBB" w:rsidR="00B029AA" w:rsidRPr="00BB45C5" w:rsidRDefault="00B029AA">
      <w:pPr>
        <w:pStyle w:val="BodyText"/>
      </w:pPr>
      <w:r w:rsidRPr="00BB45C5">
        <w:t> </w:t>
      </w:r>
      <w:r w:rsidR="00473423" w:rsidRPr="00BB45C5">
        <w:t xml:space="preserve">The proposed customer charges as provided in the tariffs in Attachment </w:t>
      </w:r>
      <w:r w:rsidR="007B273C" w:rsidRPr="00BB45C5">
        <w:t>B</w:t>
      </w:r>
      <w:r w:rsidR="00473423" w:rsidRPr="00BB45C5">
        <w:t xml:space="preserve"> to the recommendation should be approved.</w:t>
      </w:r>
      <w:r w:rsidRPr="00BB45C5">
        <w:t xml:space="preserve"> (Hampson</w:t>
      </w:r>
      <w:r w:rsidR="00AA7776">
        <w:t>, Norris</w:t>
      </w:r>
      <w:r w:rsidRPr="00BB45C5">
        <w:t>)</w:t>
      </w:r>
    </w:p>
    <w:p w14:paraId="0C1BDADF" w14:textId="77777777" w:rsidR="00B029AA" w:rsidRPr="00BB45C5" w:rsidRDefault="00B029AA" w:rsidP="00B029AA">
      <w:pPr>
        <w:pStyle w:val="IssueSubsectionHeading"/>
        <w:keepNext/>
        <w:rPr>
          <w:iCs w:val="0"/>
        </w:rPr>
      </w:pPr>
      <w:r w:rsidRPr="00BB45C5">
        <w:rPr>
          <w:iCs w:val="0"/>
        </w:rPr>
        <w:t>Position of the Parties</w:t>
      </w:r>
    </w:p>
    <w:p w14:paraId="23A84ACC" w14:textId="77777777" w:rsidR="00B029AA" w:rsidRPr="00BB45C5" w:rsidRDefault="00B029AA" w:rsidP="00B029AA">
      <w:pPr>
        <w:pStyle w:val="PartyName"/>
        <w:rPr>
          <w:vanish/>
          <w:specVanish/>
        </w:rPr>
      </w:pPr>
      <w:r w:rsidRPr="00BB45C5">
        <w:t>FCG: </w:t>
      </w:r>
    </w:p>
    <w:p w14:paraId="0A4A26EA" w14:textId="77777777" w:rsidR="00B029AA" w:rsidRPr="00BB45C5" w:rsidRDefault="00B029AA" w:rsidP="00B029AA">
      <w:pPr>
        <w:pStyle w:val="BodyText"/>
      </w:pPr>
      <w:r w:rsidRPr="00BB45C5">
        <w:t xml:space="preserve"> Yes. The appropriate customer charges are those shown in 2023 Test Year MFRs E-2 and H-1 (1 of 2). </w:t>
      </w:r>
      <w:r w:rsidRPr="00BB45C5">
        <w:rPr>
          <w:rFonts w:eastAsia="Calibri"/>
          <w:color w:val="000000"/>
        </w:rPr>
        <w:t>(</w:t>
      </w:r>
      <w:proofErr w:type="spellStart"/>
      <w:r w:rsidRPr="00BB45C5">
        <w:rPr>
          <w:rFonts w:eastAsia="Calibri"/>
          <w:i/>
          <w:iCs/>
          <w:color w:val="000000"/>
        </w:rPr>
        <w:t>DuBose</w:t>
      </w:r>
      <w:proofErr w:type="spellEnd"/>
      <w:r w:rsidRPr="00BB45C5">
        <w:rPr>
          <w:rFonts w:eastAsia="Calibri"/>
          <w:color w:val="000000"/>
        </w:rPr>
        <w:t>)</w:t>
      </w:r>
    </w:p>
    <w:p w14:paraId="59C39854" w14:textId="77777777" w:rsidR="00B029AA" w:rsidRPr="00BB45C5" w:rsidRDefault="00B029AA" w:rsidP="00B029AA">
      <w:pPr>
        <w:pStyle w:val="PartyName"/>
        <w:rPr>
          <w:vanish/>
          <w:specVanish/>
        </w:rPr>
      </w:pPr>
      <w:r w:rsidRPr="00BB45C5">
        <w:t>OPC: </w:t>
      </w:r>
    </w:p>
    <w:p w14:paraId="3FB7A6A2" w14:textId="77777777" w:rsidR="00B029AA" w:rsidRPr="00BB45C5" w:rsidRDefault="00B029AA" w:rsidP="00B029AA">
      <w:pPr>
        <w:pStyle w:val="BodyText"/>
      </w:pPr>
      <w:r w:rsidRPr="00BB45C5">
        <w:t> No position.</w:t>
      </w:r>
    </w:p>
    <w:p w14:paraId="03805FB5" w14:textId="77777777" w:rsidR="00B029AA" w:rsidRPr="00BB45C5" w:rsidRDefault="00B029AA" w:rsidP="00B029AA">
      <w:pPr>
        <w:pStyle w:val="PartyName"/>
        <w:rPr>
          <w:vanish/>
          <w:specVanish/>
        </w:rPr>
      </w:pPr>
      <w:r w:rsidRPr="00BB45C5">
        <w:t>FEA: </w:t>
      </w:r>
    </w:p>
    <w:p w14:paraId="6EE467D6" w14:textId="77777777" w:rsidR="00B029AA" w:rsidRPr="00BB45C5" w:rsidRDefault="00B029AA" w:rsidP="00B029AA">
      <w:pPr>
        <w:pStyle w:val="BodyText"/>
      </w:pPr>
      <w:r w:rsidRPr="00BB45C5">
        <w:t> No position.</w:t>
      </w:r>
    </w:p>
    <w:p w14:paraId="4B7068B7" w14:textId="77777777" w:rsidR="00B029AA" w:rsidRPr="00BB45C5" w:rsidRDefault="00B029AA" w:rsidP="00B029AA">
      <w:pPr>
        <w:pStyle w:val="PartyName"/>
        <w:rPr>
          <w:vanish/>
          <w:specVanish/>
        </w:rPr>
      </w:pPr>
      <w:r w:rsidRPr="00BB45C5">
        <w:t>FIPUG: </w:t>
      </w:r>
    </w:p>
    <w:p w14:paraId="326E0494" w14:textId="77777777" w:rsidR="00B029AA" w:rsidRPr="00BB45C5" w:rsidRDefault="00B029AA" w:rsidP="00B029AA">
      <w:pPr>
        <w:pStyle w:val="BodyText"/>
      </w:pPr>
      <w:r w:rsidRPr="00BB45C5">
        <w:t> Adopt position of OPC.</w:t>
      </w:r>
    </w:p>
    <w:p w14:paraId="41B28246" w14:textId="77777777" w:rsidR="00B029AA" w:rsidRPr="00BB45C5" w:rsidRDefault="00B029AA">
      <w:pPr>
        <w:pStyle w:val="IssueSubsectionHeading"/>
        <w:rPr>
          <w:vanish/>
          <w:specVanish/>
        </w:rPr>
      </w:pPr>
      <w:r w:rsidRPr="00BB45C5">
        <w:t>Staff Analysis: </w:t>
      </w:r>
    </w:p>
    <w:p w14:paraId="783C8F78" w14:textId="77777777" w:rsidR="00B029AA" w:rsidRPr="00BB45C5" w:rsidRDefault="00B029AA">
      <w:pPr>
        <w:pStyle w:val="BodyText"/>
      </w:pPr>
      <w:r w:rsidRPr="00BB45C5">
        <w:t> </w:t>
      </w:r>
    </w:p>
    <w:p w14:paraId="4658D8D8" w14:textId="77777777" w:rsidR="00B029AA" w:rsidRPr="00BB45C5" w:rsidRDefault="00B029AA" w:rsidP="00B029AA">
      <w:pPr>
        <w:pStyle w:val="First-LevelSubheading"/>
        <w:jc w:val="center"/>
      </w:pPr>
      <w:r w:rsidRPr="00BB45C5">
        <w:t>PARTIES’ ARGUMENTS</w:t>
      </w:r>
    </w:p>
    <w:p w14:paraId="59839FD3" w14:textId="77777777" w:rsidR="0018324C" w:rsidRPr="00BB45C5" w:rsidRDefault="0018324C" w:rsidP="0018324C">
      <w:pPr>
        <w:pStyle w:val="First-LevelSubheading"/>
      </w:pPr>
    </w:p>
    <w:p w14:paraId="299734D3" w14:textId="77777777" w:rsidR="0018324C" w:rsidRPr="00BB45C5" w:rsidRDefault="0018324C" w:rsidP="0018324C">
      <w:pPr>
        <w:pStyle w:val="First-LevelSubheading"/>
      </w:pPr>
      <w:r w:rsidRPr="00BB45C5">
        <w:t>FCG</w:t>
      </w:r>
    </w:p>
    <w:p w14:paraId="28D24DF5" w14:textId="77777777" w:rsidR="0018324C" w:rsidRPr="00BB45C5" w:rsidRDefault="0018324C" w:rsidP="0018324C">
      <w:pPr>
        <w:pStyle w:val="BodyText"/>
      </w:pPr>
      <w:r w:rsidRPr="00BB45C5">
        <w:t>FCG did not provide an argument. (FCG BR 87)</w:t>
      </w:r>
    </w:p>
    <w:p w14:paraId="27057889" w14:textId="77777777" w:rsidR="0018324C" w:rsidRPr="00BB45C5" w:rsidRDefault="0018324C" w:rsidP="0018324C">
      <w:pPr>
        <w:pStyle w:val="First-LevelSubheading"/>
      </w:pPr>
      <w:r w:rsidRPr="00BB45C5">
        <w:t>OPC</w:t>
      </w:r>
    </w:p>
    <w:p w14:paraId="17EDF305" w14:textId="77777777" w:rsidR="0018324C" w:rsidRPr="00BB45C5" w:rsidRDefault="0018324C" w:rsidP="0018324C">
      <w:pPr>
        <w:pStyle w:val="BodyText"/>
      </w:pPr>
      <w:r w:rsidRPr="00BB45C5">
        <w:t>OPC did not provide an argument. (OPC BR 59)</w:t>
      </w:r>
    </w:p>
    <w:p w14:paraId="1E90B2BA" w14:textId="77777777" w:rsidR="0018324C" w:rsidRPr="00BB45C5" w:rsidRDefault="0018324C" w:rsidP="0018324C">
      <w:pPr>
        <w:pStyle w:val="First-LevelSubheading"/>
      </w:pPr>
      <w:r w:rsidRPr="00BB45C5">
        <w:t>FEA</w:t>
      </w:r>
    </w:p>
    <w:p w14:paraId="30254DFB" w14:textId="77777777" w:rsidR="0018324C" w:rsidRPr="00BB45C5" w:rsidRDefault="0018324C" w:rsidP="0018324C">
      <w:pPr>
        <w:pStyle w:val="BodyText"/>
      </w:pPr>
      <w:r w:rsidRPr="00BB45C5">
        <w:t>FEA did not provide an argument. (FEA &amp; FIPUG BR 29)</w:t>
      </w:r>
    </w:p>
    <w:p w14:paraId="222D69CE" w14:textId="77777777" w:rsidR="0018324C" w:rsidRPr="00BB45C5" w:rsidRDefault="0018324C" w:rsidP="0018324C">
      <w:pPr>
        <w:pStyle w:val="First-LevelSubheading"/>
      </w:pPr>
      <w:r w:rsidRPr="00BB45C5">
        <w:t>FIPUG</w:t>
      </w:r>
    </w:p>
    <w:p w14:paraId="4340D296" w14:textId="019A30DA" w:rsidR="00E06484" w:rsidRPr="00BB45C5" w:rsidRDefault="0018324C" w:rsidP="0018324C">
      <w:pPr>
        <w:pStyle w:val="BodyText"/>
      </w:pPr>
      <w:r w:rsidRPr="00BB45C5">
        <w:t>FI</w:t>
      </w:r>
      <w:r w:rsidR="00A1121C">
        <w:t>PUG adopted the position of OPC,</w:t>
      </w:r>
      <w:r w:rsidRPr="00BB45C5">
        <w:t xml:space="preserve"> but did not provide an argument. (FEA &amp; FIPUG BR 29)</w:t>
      </w:r>
    </w:p>
    <w:p w14:paraId="28DB9AA9" w14:textId="77777777" w:rsidR="0018324C" w:rsidRPr="00BB45C5" w:rsidRDefault="0018324C" w:rsidP="0018324C">
      <w:pPr>
        <w:pStyle w:val="First-LevelSubheading"/>
        <w:jc w:val="center"/>
      </w:pPr>
      <w:r w:rsidRPr="00BB45C5">
        <w:t>ANALYSIS</w:t>
      </w:r>
    </w:p>
    <w:p w14:paraId="0BC91AE4" w14:textId="77777777" w:rsidR="0018324C" w:rsidRPr="00BB45C5" w:rsidRDefault="0018324C" w:rsidP="0018324C">
      <w:pPr>
        <w:pStyle w:val="BodyText"/>
        <w:spacing w:after="0"/>
      </w:pPr>
    </w:p>
    <w:p w14:paraId="109D6154" w14:textId="02F0EF9C" w:rsidR="0018324C" w:rsidRPr="00BB45C5" w:rsidRDefault="00473423" w:rsidP="00473423">
      <w:pPr>
        <w:pStyle w:val="BodyText"/>
      </w:pPr>
      <w:r w:rsidRPr="00BB45C5">
        <w:t xml:space="preserve">The customer charges, in combination with the per </w:t>
      </w:r>
      <w:proofErr w:type="spellStart"/>
      <w:r w:rsidRPr="00BB45C5">
        <w:t>therm</w:t>
      </w:r>
      <w:proofErr w:type="spellEnd"/>
      <w:r w:rsidRPr="00BB45C5">
        <w:t xml:space="preserve"> distribution charges shown in Issue </w:t>
      </w:r>
      <w:r w:rsidR="007B273C" w:rsidRPr="00BB45C5">
        <w:t>61 and the demand charges shown in Issue 62</w:t>
      </w:r>
      <w:r w:rsidRPr="00BB45C5">
        <w:t xml:space="preserve">, are designed to allow the Company to recover the total Commission-approved revenue requirement. </w:t>
      </w:r>
      <w:r w:rsidR="00901C10" w:rsidRPr="00BB45C5">
        <w:t>Further, the Commission approved the Company’s proposed cost of service methodology in Issue 58 and the allocation of the revenue increase to rate classes in Issue 59 at the March 28, 2023 Special Agenda Conference.</w:t>
      </w:r>
      <w:r w:rsidR="00147CE8">
        <w:t xml:space="preserve"> </w:t>
      </w:r>
      <w:r w:rsidRPr="00BB45C5">
        <w:t xml:space="preserve">The proposed customer charges </w:t>
      </w:r>
      <w:r w:rsidR="00C04B69">
        <w:t xml:space="preserve">reflect the approved revenue requirements </w:t>
      </w:r>
      <w:r w:rsidR="00A1121C">
        <w:t>and cost of service methodology;</w:t>
      </w:r>
      <w:r w:rsidR="00C04B69">
        <w:t xml:space="preserve"> therefore</w:t>
      </w:r>
      <w:r w:rsidR="00A1121C">
        <w:t>,</w:t>
      </w:r>
      <w:r w:rsidR="00C04B69">
        <w:t xml:space="preserve"> the proposed charges</w:t>
      </w:r>
      <w:r w:rsidRPr="00BB45C5">
        <w:t xml:space="preserve"> provided in the tariffs in Attachment </w:t>
      </w:r>
      <w:r w:rsidR="007B273C" w:rsidRPr="00BB45C5">
        <w:t>B</w:t>
      </w:r>
      <w:r w:rsidRPr="00BB45C5">
        <w:t xml:space="preserve"> to the recommendation should be approved</w:t>
      </w:r>
      <w:r w:rsidR="006358EF" w:rsidRPr="00BB45C5">
        <w:t>.</w:t>
      </w:r>
    </w:p>
    <w:p w14:paraId="00AB8C04" w14:textId="69502331" w:rsidR="0018324C" w:rsidRPr="00BB45C5" w:rsidRDefault="0018324C">
      <w:pPr>
        <w:pStyle w:val="IssueHeading"/>
        <w:rPr>
          <w:vanish/>
          <w:specVanish/>
        </w:rPr>
      </w:pPr>
      <w:r w:rsidRPr="00BB45C5">
        <w:rPr>
          <w:b w:val="0"/>
          <w:i w:val="0"/>
        </w:rPr>
        <w:br w:type="page"/>
      </w:r>
      <w:r w:rsidRPr="00BB45C5">
        <w:lastRenderedPageBreak/>
        <w:t xml:space="preserve">Issue </w:t>
      </w:r>
      <w:fldSimple w:instr=" SEQ Issue \* MERGEFORMAT ">
        <w:r w:rsidR="00246AD0">
          <w:rPr>
            <w:noProof/>
          </w:rPr>
          <w:t>61</w:t>
        </w:r>
      </w:fldSimple>
      <w:r w:rsidRPr="00BB45C5">
        <w:t>:</w:t>
      </w:r>
      <w:r w:rsidRPr="00BB45C5">
        <w:fldChar w:fldCharType="begin"/>
      </w:r>
      <w:r w:rsidRPr="00BB45C5">
        <w:instrText xml:space="preserve"> TC "</w:instrText>
      </w:r>
      <w:r w:rsidRPr="00BB45C5">
        <w:fldChar w:fldCharType="begin"/>
      </w:r>
      <w:r w:rsidRPr="00BB45C5">
        <w:instrText xml:space="preserve"> SEQ issue \c </w:instrText>
      </w:r>
      <w:r w:rsidRPr="00BB45C5">
        <w:fldChar w:fldCharType="separate"/>
      </w:r>
      <w:r w:rsidR="00246AD0">
        <w:rPr>
          <w:noProof/>
        </w:rPr>
        <w:instrText>61</w:instrText>
      </w:r>
      <w:r w:rsidRPr="00BB45C5">
        <w:fldChar w:fldCharType="end"/>
      </w:r>
      <w:r w:rsidRPr="00BB45C5">
        <w:tab/>
        <w:instrText xml:space="preserve">(Hampson)" \l 1 </w:instrText>
      </w:r>
      <w:r w:rsidRPr="00BB45C5">
        <w:fldChar w:fldCharType="end"/>
      </w:r>
      <w:r w:rsidRPr="00BB45C5">
        <w:t> </w:t>
      </w:r>
    </w:p>
    <w:p w14:paraId="50272748" w14:textId="77777777" w:rsidR="0018324C" w:rsidRPr="00BB45C5" w:rsidRDefault="0018324C">
      <w:pPr>
        <w:pStyle w:val="BodyText"/>
      </w:pPr>
      <w:r w:rsidRPr="00BB45C5">
        <w:t xml:space="preserve"> Are FCG’s proposed per </w:t>
      </w:r>
      <w:proofErr w:type="spellStart"/>
      <w:r w:rsidRPr="00BB45C5">
        <w:t>therm</w:t>
      </w:r>
      <w:proofErr w:type="spellEnd"/>
      <w:r w:rsidRPr="00BB45C5">
        <w:t xml:space="preserve"> Distribution Charges appropriate?</w:t>
      </w:r>
    </w:p>
    <w:p w14:paraId="091AC6FC" w14:textId="77777777" w:rsidR="0018324C" w:rsidRPr="00BB45C5" w:rsidRDefault="0018324C">
      <w:pPr>
        <w:pStyle w:val="IssueSubsectionHeading"/>
        <w:rPr>
          <w:vanish/>
          <w:specVanish/>
        </w:rPr>
      </w:pPr>
      <w:r w:rsidRPr="00BB45C5">
        <w:t>Recommendation: </w:t>
      </w:r>
    </w:p>
    <w:p w14:paraId="6350579C" w14:textId="090032BB" w:rsidR="0018324C" w:rsidRPr="00BB45C5" w:rsidRDefault="0018324C">
      <w:pPr>
        <w:pStyle w:val="BodyText"/>
      </w:pPr>
      <w:r w:rsidRPr="00BB45C5">
        <w:t> </w:t>
      </w:r>
      <w:r w:rsidR="00473423" w:rsidRPr="00BB45C5">
        <w:t xml:space="preserve">The proposed per </w:t>
      </w:r>
      <w:proofErr w:type="spellStart"/>
      <w:r w:rsidR="00473423" w:rsidRPr="00BB45C5">
        <w:t>therm</w:t>
      </w:r>
      <w:proofErr w:type="spellEnd"/>
      <w:r w:rsidR="00473423" w:rsidRPr="00BB45C5">
        <w:t xml:space="preserve"> distribution charges as provided in the tariffs in Attachment </w:t>
      </w:r>
      <w:r w:rsidR="007B273C" w:rsidRPr="00BB45C5">
        <w:t>B</w:t>
      </w:r>
      <w:r w:rsidR="00473423" w:rsidRPr="00BB45C5">
        <w:t xml:space="preserve"> to the recommendation should be approved.</w:t>
      </w:r>
      <w:r w:rsidRPr="00BB45C5">
        <w:t xml:space="preserve"> (Hampson</w:t>
      </w:r>
      <w:r w:rsidR="00AA7776">
        <w:t>, Norris</w:t>
      </w:r>
      <w:r w:rsidRPr="00BB45C5">
        <w:t>)</w:t>
      </w:r>
    </w:p>
    <w:p w14:paraId="1C3DE001" w14:textId="77777777" w:rsidR="0018324C" w:rsidRPr="00BB45C5" w:rsidRDefault="0018324C" w:rsidP="0018324C">
      <w:pPr>
        <w:pStyle w:val="IssueSubsectionHeading"/>
        <w:keepNext/>
        <w:rPr>
          <w:iCs w:val="0"/>
        </w:rPr>
      </w:pPr>
      <w:r w:rsidRPr="00BB45C5">
        <w:rPr>
          <w:iCs w:val="0"/>
        </w:rPr>
        <w:t>Position of the Parties</w:t>
      </w:r>
    </w:p>
    <w:p w14:paraId="0CC74229" w14:textId="77777777" w:rsidR="0018324C" w:rsidRPr="00BB45C5" w:rsidRDefault="0018324C" w:rsidP="0018324C">
      <w:pPr>
        <w:pStyle w:val="PartyName"/>
        <w:rPr>
          <w:vanish/>
          <w:specVanish/>
        </w:rPr>
      </w:pPr>
      <w:r w:rsidRPr="00BB45C5">
        <w:t>FCG: </w:t>
      </w:r>
    </w:p>
    <w:p w14:paraId="5341D06C" w14:textId="77777777" w:rsidR="0018324C" w:rsidRPr="00BB45C5" w:rsidRDefault="0018324C" w:rsidP="0018324C">
      <w:pPr>
        <w:pStyle w:val="BodyText"/>
      </w:pPr>
      <w:r w:rsidRPr="00BB45C5">
        <w:t xml:space="preserve"> Yes. The appropriate per </w:t>
      </w:r>
      <w:proofErr w:type="spellStart"/>
      <w:r w:rsidRPr="00BB45C5">
        <w:t>therm</w:t>
      </w:r>
      <w:proofErr w:type="spellEnd"/>
      <w:r w:rsidRPr="00BB45C5">
        <w:t xml:space="preserve"> Distribution Charges are those shown in 2023 Test Year MFRs E-2 and H-1 (1 of 2). </w:t>
      </w:r>
      <w:r w:rsidRPr="00BB45C5">
        <w:rPr>
          <w:rFonts w:eastAsia="Calibri"/>
          <w:color w:val="000000"/>
        </w:rPr>
        <w:t>(</w:t>
      </w:r>
      <w:proofErr w:type="spellStart"/>
      <w:r w:rsidRPr="00BB45C5">
        <w:rPr>
          <w:rFonts w:eastAsia="Calibri"/>
          <w:i/>
          <w:iCs/>
          <w:color w:val="000000"/>
        </w:rPr>
        <w:t>DuBose</w:t>
      </w:r>
      <w:proofErr w:type="spellEnd"/>
      <w:r w:rsidRPr="00BB45C5">
        <w:rPr>
          <w:rFonts w:eastAsia="Calibri"/>
          <w:color w:val="000000"/>
        </w:rPr>
        <w:t>)</w:t>
      </w:r>
    </w:p>
    <w:p w14:paraId="1EE59B8C" w14:textId="77777777" w:rsidR="0018324C" w:rsidRPr="00BB45C5" w:rsidRDefault="0018324C" w:rsidP="0018324C">
      <w:pPr>
        <w:pStyle w:val="PartyName"/>
        <w:rPr>
          <w:vanish/>
          <w:specVanish/>
        </w:rPr>
      </w:pPr>
      <w:r w:rsidRPr="00BB45C5">
        <w:t>OPC: </w:t>
      </w:r>
    </w:p>
    <w:p w14:paraId="698D1B4E" w14:textId="77777777" w:rsidR="0018324C" w:rsidRPr="00BB45C5" w:rsidRDefault="0018324C" w:rsidP="0018324C">
      <w:pPr>
        <w:pStyle w:val="BodyText"/>
      </w:pPr>
      <w:r w:rsidRPr="00BB45C5">
        <w:t> No position.</w:t>
      </w:r>
    </w:p>
    <w:p w14:paraId="655D6A2F" w14:textId="77777777" w:rsidR="0018324C" w:rsidRPr="00BB45C5" w:rsidRDefault="0018324C" w:rsidP="0018324C">
      <w:pPr>
        <w:pStyle w:val="PartyName"/>
        <w:rPr>
          <w:vanish/>
          <w:specVanish/>
        </w:rPr>
      </w:pPr>
      <w:r w:rsidRPr="00BB45C5">
        <w:t>FEA: </w:t>
      </w:r>
    </w:p>
    <w:p w14:paraId="4BBF67AA" w14:textId="77777777" w:rsidR="0018324C" w:rsidRPr="00BB45C5" w:rsidRDefault="0018324C" w:rsidP="0018324C">
      <w:pPr>
        <w:pStyle w:val="BodyText"/>
      </w:pPr>
      <w:r w:rsidRPr="00BB45C5">
        <w:t> No position.</w:t>
      </w:r>
    </w:p>
    <w:p w14:paraId="08F8AF64" w14:textId="77777777" w:rsidR="0018324C" w:rsidRPr="00BB45C5" w:rsidRDefault="0018324C" w:rsidP="0018324C">
      <w:pPr>
        <w:pStyle w:val="PartyName"/>
        <w:rPr>
          <w:vanish/>
          <w:specVanish/>
        </w:rPr>
      </w:pPr>
      <w:r w:rsidRPr="00BB45C5">
        <w:t>FIPUG: </w:t>
      </w:r>
    </w:p>
    <w:p w14:paraId="476D3F82" w14:textId="77777777" w:rsidR="0018324C" w:rsidRPr="00BB45C5" w:rsidRDefault="0018324C" w:rsidP="0018324C">
      <w:pPr>
        <w:pStyle w:val="BodyText"/>
      </w:pPr>
      <w:r w:rsidRPr="00BB45C5">
        <w:t> Adopt position of OPC.</w:t>
      </w:r>
    </w:p>
    <w:p w14:paraId="452A3033" w14:textId="77777777" w:rsidR="0018324C" w:rsidRPr="00BB45C5" w:rsidRDefault="0018324C">
      <w:pPr>
        <w:pStyle w:val="IssueSubsectionHeading"/>
        <w:rPr>
          <w:vanish/>
          <w:specVanish/>
        </w:rPr>
      </w:pPr>
      <w:r w:rsidRPr="00BB45C5">
        <w:t>Staff Analysis: </w:t>
      </w:r>
    </w:p>
    <w:p w14:paraId="7E87E36C" w14:textId="77777777" w:rsidR="0018324C" w:rsidRPr="00BB45C5" w:rsidRDefault="0018324C">
      <w:pPr>
        <w:pStyle w:val="BodyText"/>
      </w:pPr>
      <w:r w:rsidRPr="00BB45C5">
        <w:t> </w:t>
      </w:r>
    </w:p>
    <w:p w14:paraId="3E2CB0B4" w14:textId="77777777" w:rsidR="0018324C" w:rsidRPr="00BB45C5" w:rsidRDefault="0018324C" w:rsidP="0018324C">
      <w:pPr>
        <w:pStyle w:val="First-LevelSubheading"/>
        <w:jc w:val="center"/>
      </w:pPr>
      <w:r w:rsidRPr="00BB45C5">
        <w:t>PARTIES’ ARGUMENTS</w:t>
      </w:r>
    </w:p>
    <w:p w14:paraId="5383B6A4" w14:textId="77777777" w:rsidR="0018324C" w:rsidRPr="00BB45C5" w:rsidRDefault="0018324C" w:rsidP="0018324C">
      <w:pPr>
        <w:pStyle w:val="First-LevelSubheading"/>
      </w:pPr>
    </w:p>
    <w:p w14:paraId="7F0295D4" w14:textId="77777777" w:rsidR="0018324C" w:rsidRPr="00BB45C5" w:rsidRDefault="0018324C" w:rsidP="0018324C">
      <w:pPr>
        <w:pStyle w:val="First-LevelSubheading"/>
      </w:pPr>
      <w:r w:rsidRPr="00BB45C5">
        <w:t>FCG</w:t>
      </w:r>
    </w:p>
    <w:p w14:paraId="213AE792" w14:textId="77777777" w:rsidR="0018324C" w:rsidRPr="00BB45C5" w:rsidRDefault="0018324C" w:rsidP="0018324C">
      <w:pPr>
        <w:pStyle w:val="BodyText"/>
      </w:pPr>
      <w:r w:rsidRPr="00BB45C5">
        <w:t>FCG did not provide an argument. (FCG BR 87)</w:t>
      </w:r>
    </w:p>
    <w:p w14:paraId="6BD281C3" w14:textId="77777777" w:rsidR="0018324C" w:rsidRPr="00BB45C5" w:rsidRDefault="0018324C" w:rsidP="0018324C">
      <w:pPr>
        <w:pStyle w:val="First-LevelSubheading"/>
      </w:pPr>
      <w:r w:rsidRPr="00BB45C5">
        <w:t>OPC</w:t>
      </w:r>
    </w:p>
    <w:p w14:paraId="05C8F8C0" w14:textId="77777777" w:rsidR="0018324C" w:rsidRPr="00BB45C5" w:rsidRDefault="0018324C" w:rsidP="0018324C">
      <w:pPr>
        <w:pStyle w:val="BodyText"/>
      </w:pPr>
      <w:r w:rsidRPr="00BB45C5">
        <w:t>OPC did not provide an argument. (OPC BR 59)</w:t>
      </w:r>
    </w:p>
    <w:p w14:paraId="09FB883D" w14:textId="77777777" w:rsidR="0018324C" w:rsidRPr="00BB45C5" w:rsidRDefault="0018324C" w:rsidP="0018324C">
      <w:pPr>
        <w:pStyle w:val="First-LevelSubheading"/>
      </w:pPr>
      <w:r w:rsidRPr="00BB45C5">
        <w:t>FEA</w:t>
      </w:r>
    </w:p>
    <w:p w14:paraId="11A63F44" w14:textId="77777777" w:rsidR="0018324C" w:rsidRPr="00BB45C5" w:rsidRDefault="0018324C" w:rsidP="0018324C">
      <w:pPr>
        <w:pStyle w:val="BodyText"/>
      </w:pPr>
      <w:r w:rsidRPr="00BB45C5">
        <w:t>FEA did not provide an argument. (FEA &amp; FIPUG BR 29-30)</w:t>
      </w:r>
    </w:p>
    <w:p w14:paraId="31D5C289" w14:textId="77777777" w:rsidR="0018324C" w:rsidRPr="00BB45C5" w:rsidRDefault="0018324C" w:rsidP="0018324C">
      <w:pPr>
        <w:pStyle w:val="First-LevelSubheading"/>
      </w:pPr>
      <w:r w:rsidRPr="00BB45C5">
        <w:t>FIPUG</w:t>
      </w:r>
    </w:p>
    <w:p w14:paraId="7094C966" w14:textId="28BEE93C" w:rsidR="0018324C" w:rsidRPr="00BB45C5" w:rsidRDefault="0018324C" w:rsidP="0018324C">
      <w:pPr>
        <w:pStyle w:val="BodyText"/>
      </w:pPr>
      <w:r w:rsidRPr="00BB45C5">
        <w:t>FI</w:t>
      </w:r>
      <w:r w:rsidR="00A1121C">
        <w:t>PUG adopted the position of OPC,</w:t>
      </w:r>
      <w:r w:rsidRPr="00BB45C5">
        <w:t xml:space="preserve"> but did not provide an argument. (FEA &amp; FIPUG BR 29-30)</w:t>
      </w:r>
    </w:p>
    <w:p w14:paraId="16FF40C6" w14:textId="77777777" w:rsidR="0018324C" w:rsidRPr="00BB45C5" w:rsidRDefault="0018324C" w:rsidP="0018324C">
      <w:pPr>
        <w:pStyle w:val="First-LevelSubheading"/>
        <w:jc w:val="center"/>
      </w:pPr>
      <w:r w:rsidRPr="00BB45C5">
        <w:t>ANALYSIS</w:t>
      </w:r>
    </w:p>
    <w:p w14:paraId="5964A300" w14:textId="77777777" w:rsidR="0018324C" w:rsidRPr="00BB45C5" w:rsidRDefault="0018324C" w:rsidP="0018324C">
      <w:pPr>
        <w:pStyle w:val="BodyText"/>
        <w:spacing w:after="0"/>
      </w:pPr>
    </w:p>
    <w:p w14:paraId="12B4A25E" w14:textId="1DBDE567" w:rsidR="0018324C" w:rsidRPr="00BB45C5" w:rsidRDefault="00473423">
      <w:pPr>
        <w:pStyle w:val="BodyText"/>
      </w:pPr>
      <w:r w:rsidRPr="00BB45C5">
        <w:t xml:space="preserve">Staff has reviewed the Company’s revised cost of service filing and it reflects the Commission-approved total Company revenue requirement. Further, the Commission approved the Company’s proposed cost of service methodology in Issue </w:t>
      </w:r>
      <w:r w:rsidR="00901C10" w:rsidRPr="00BB45C5">
        <w:t>58</w:t>
      </w:r>
      <w:r w:rsidRPr="00BB45C5">
        <w:t xml:space="preserve"> and the </w:t>
      </w:r>
      <w:r w:rsidR="00901C10" w:rsidRPr="00BB45C5">
        <w:t>allocation of the revenue increase to rate classes in Issue 59</w:t>
      </w:r>
      <w:r w:rsidRPr="00BB45C5">
        <w:t xml:space="preserve"> at the </w:t>
      </w:r>
      <w:r w:rsidR="00901C10" w:rsidRPr="00BB45C5">
        <w:t>March 28, 2023</w:t>
      </w:r>
      <w:r w:rsidRPr="00BB45C5">
        <w:t xml:space="preserve"> Special Agenda Conference.</w:t>
      </w:r>
      <w:r w:rsidR="00147CE8">
        <w:t xml:space="preserve"> </w:t>
      </w:r>
      <w:r w:rsidR="00147CE8" w:rsidRPr="00BB45C5">
        <w:t xml:space="preserve">The proposed </w:t>
      </w:r>
      <w:r w:rsidR="00147CE8">
        <w:t xml:space="preserve">per </w:t>
      </w:r>
      <w:proofErr w:type="spellStart"/>
      <w:r w:rsidR="00147CE8">
        <w:t>therm</w:t>
      </w:r>
      <w:proofErr w:type="spellEnd"/>
      <w:r w:rsidR="00147CE8">
        <w:t xml:space="preserve"> distribution</w:t>
      </w:r>
      <w:r w:rsidR="00147CE8" w:rsidRPr="00BB45C5">
        <w:t xml:space="preserve"> charges </w:t>
      </w:r>
      <w:r w:rsidR="00147CE8">
        <w:t xml:space="preserve">reflect the approved revenue requirements </w:t>
      </w:r>
      <w:r w:rsidR="00A1121C">
        <w:t>and cost of service methodology;</w:t>
      </w:r>
      <w:r w:rsidR="00147CE8">
        <w:t xml:space="preserve"> therefore</w:t>
      </w:r>
      <w:r w:rsidR="00A1121C">
        <w:t>,</w:t>
      </w:r>
      <w:r w:rsidR="00147CE8">
        <w:t xml:space="preserve"> the proposed charges</w:t>
      </w:r>
      <w:r w:rsidR="00147CE8" w:rsidRPr="00BB45C5">
        <w:t xml:space="preserve"> provided in the tariffs in Attachment B to the recommendation should be approved.</w:t>
      </w:r>
    </w:p>
    <w:p w14:paraId="36C5AC51" w14:textId="3C4EF3EE" w:rsidR="0018324C" w:rsidRPr="00BB45C5" w:rsidRDefault="0018324C">
      <w:pPr>
        <w:pStyle w:val="IssueHeading"/>
        <w:rPr>
          <w:vanish/>
          <w:specVanish/>
        </w:rPr>
      </w:pPr>
      <w:r w:rsidRPr="00BB45C5">
        <w:rPr>
          <w:b w:val="0"/>
          <w:i w:val="0"/>
        </w:rPr>
        <w:br w:type="page"/>
      </w:r>
      <w:r w:rsidRPr="00BB45C5">
        <w:lastRenderedPageBreak/>
        <w:t xml:space="preserve">Issue </w:t>
      </w:r>
      <w:fldSimple w:instr=" SEQ Issue \* MERGEFORMAT ">
        <w:r w:rsidR="00246AD0">
          <w:rPr>
            <w:noProof/>
          </w:rPr>
          <w:t>62</w:t>
        </w:r>
      </w:fldSimple>
      <w:r w:rsidRPr="00BB45C5">
        <w:t>:</w:t>
      </w:r>
      <w:r w:rsidRPr="00BB45C5">
        <w:fldChar w:fldCharType="begin"/>
      </w:r>
      <w:r w:rsidRPr="00BB45C5">
        <w:instrText xml:space="preserve"> TC "</w:instrText>
      </w:r>
      <w:r w:rsidRPr="00BB45C5">
        <w:fldChar w:fldCharType="begin"/>
      </w:r>
      <w:r w:rsidRPr="00BB45C5">
        <w:instrText xml:space="preserve"> SEQ issue \c </w:instrText>
      </w:r>
      <w:r w:rsidRPr="00BB45C5">
        <w:fldChar w:fldCharType="separate"/>
      </w:r>
      <w:r w:rsidR="00246AD0">
        <w:rPr>
          <w:noProof/>
        </w:rPr>
        <w:instrText>62</w:instrText>
      </w:r>
      <w:r w:rsidRPr="00BB45C5">
        <w:fldChar w:fldCharType="end"/>
      </w:r>
      <w:r w:rsidRPr="00BB45C5">
        <w:tab/>
        <w:instrText xml:space="preserve">(Hampson)" \l 1 </w:instrText>
      </w:r>
      <w:r w:rsidRPr="00BB45C5">
        <w:fldChar w:fldCharType="end"/>
      </w:r>
      <w:r w:rsidRPr="00BB45C5">
        <w:t> </w:t>
      </w:r>
    </w:p>
    <w:p w14:paraId="587073CB" w14:textId="77777777" w:rsidR="0018324C" w:rsidRPr="00BB45C5" w:rsidRDefault="0018324C">
      <w:pPr>
        <w:pStyle w:val="BodyText"/>
      </w:pPr>
      <w:r w:rsidRPr="00BB45C5">
        <w:t> Are FCG’s proposed Demand Charges appropriate?</w:t>
      </w:r>
    </w:p>
    <w:p w14:paraId="6D1720D0" w14:textId="77777777" w:rsidR="0018324C" w:rsidRPr="00BB45C5" w:rsidRDefault="0018324C">
      <w:pPr>
        <w:pStyle w:val="IssueSubsectionHeading"/>
        <w:rPr>
          <w:vanish/>
          <w:specVanish/>
        </w:rPr>
      </w:pPr>
      <w:r w:rsidRPr="00BB45C5">
        <w:t>Recommendation: </w:t>
      </w:r>
    </w:p>
    <w:p w14:paraId="2B52C53F" w14:textId="08A5C320" w:rsidR="0018324C" w:rsidRPr="00BB45C5" w:rsidRDefault="0018324C">
      <w:pPr>
        <w:pStyle w:val="BodyText"/>
      </w:pPr>
      <w:r w:rsidRPr="00BB45C5">
        <w:t> </w:t>
      </w:r>
      <w:r w:rsidR="00101634" w:rsidRPr="00BB45C5">
        <w:t xml:space="preserve">The proposed demand charges as provided in the tariffs in </w:t>
      </w:r>
      <w:r w:rsidR="007B273C" w:rsidRPr="00BB45C5">
        <w:t>Attachment B</w:t>
      </w:r>
      <w:r w:rsidR="00101634" w:rsidRPr="00BB45C5">
        <w:t xml:space="preserve"> to the recommendation should be approved.</w:t>
      </w:r>
      <w:r w:rsidRPr="00BB45C5">
        <w:t xml:space="preserve"> (Hampson</w:t>
      </w:r>
      <w:r w:rsidR="00AA7776">
        <w:t>, Norris</w:t>
      </w:r>
      <w:r w:rsidRPr="00BB45C5">
        <w:t>)</w:t>
      </w:r>
    </w:p>
    <w:p w14:paraId="2165DB21" w14:textId="77777777" w:rsidR="004039D3" w:rsidRPr="00BB45C5" w:rsidRDefault="004039D3" w:rsidP="004039D3">
      <w:pPr>
        <w:pStyle w:val="IssueSubsectionHeading"/>
        <w:keepNext/>
        <w:rPr>
          <w:iCs w:val="0"/>
        </w:rPr>
      </w:pPr>
      <w:r w:rsidRPr="00BB45C5">
        <w:rPr>
          <w:iCs w:val="0"/>
        </w:rPr>
        <w:t>Position of the Parties</w:t>
      </w:r>
    </w:p>
    <w:p w14:paraId="5B944147" w14:textId="77777777" w:rsidR="004039D3" w:rsidRPr="00BB45C5" w:rsidRDefault="004039D3" w:rsidP="004039D3">
      <w:pPr>
        <w:pStyle w:val="PartyName"/>
        <w:rPr>
          <w:vanish/>
          <w:specVanish/>
        </w:rPr>
      </w:pPr>
      <w:r w:rsidRPr="00BB45C5">
        <w:t>FCG: </w:t>
      </w:r>
    </w:p>
    <w:p w14:paraId="619914C9" w14:textId="77777777" w:rsidR="004039D3" w:rsidRPr="00BB45C5" w:rsidRDefault="004039D3" w:rsidP="004039D3">
      <w:pPr>
        <w:pStyle w:val="BodyText"/>
      </w:pPr>
      <w:r w:rsidRPr="00BB45C5">
        <w:t xml:space="preserve"> Yes. The appropriate Demand Charges are those shown in 2023 Test Year MFRs E-2 and H-1 (1 of 2). </w:t>
      </w:r>
      <w:r w:rsidRPr="00BB45C5">
        <w:rPr>
          <w:rFonts w:eastAsia="Calibri"/>
          <w:color w:val="000000"/>
        </w:rPr>
        <w:t>(</w:t>
      </w:r>
      <w:proofErr w:type="spellStart"/>
      <w:r w:rsidRPr="00BB45C5">
        <w:rPr>
          <w:rFonts w:eastAsia="Calibri"/>
          <w:i/>
          <w:iCs/>
          <w:color w:val="000000"/>
        </w:rPr>
        <w:t>DuBose</w:t>
      </w:r>
      <w:proofErr w:type="spellEnd"/>
      <w:r w:rsidRPr="00BB45C5">
        <w:rPr>
          <w:rFonts w:eastAsia="Calibri"/>
          <w:color w:val="000000"/>
        </w:rPr>
        <w:t>)</w:t>
      </w:r>
    </w:p>
    <w:p w14:paraId="48BF549C" w14:textId="77777777" w:rsidR="004039D3" w:rsidRPr="00BB45C5" w:rsidRDefault="004039D3" w:rsidP="004039D3">
      <w:pPr>
        <w:pStyle w:val="PartyName"/>
        <w:rPr>
          <w:vanish/>
          <w:specVanish/>
        </w:rPr>
      </w:pPr>
      <w:r w:rsidRPr="00BB45C5">
        <w:t>OPC: </w:t>
      </w:r>
    </w:p>
    <w:p w14:paraId="6F1DCC98" w14:textId="77777777" w:rsidR="004039D3" w:rsidRPr="00BB45C5" w:rsidRDefault="004039D3" w:rsidP="004039D3">
      <w:pPr>
        <w:pStyle w:val="BodyText"/>
      </w:pPr>
      <w:r w:rsidRPr="00BB45C5">
        <w:t> No position.</w:t>
      </w:r>
    </w:p>
    <w:p w14:paraId="653EE0F2" w14:textId="77777777" w:rsidR="004039D3" w:rsidRPr="00BB45C5" w:rsidRDefault="004039D3" w:rsidP="004039D3">
      <w:pPr>
        <w:pStyle w:val="PartyName"/>
        <w:rPr>
          <w:vanish/>
          <w:specVanish/>
        </w:rPr>
      </w:pPr>
      <w:r w:rsidRPr="00BB45C5">
        <w:t>FEA: </w:t>
      </w:r>
    </w:p>
    <w:p w14:paraId="38489C53" w14:textId="77777777" w:rsidR="004039D3" w:rsidRPr="00BB45C5" w:rsidRDefault="004039D3" w:rsidP="004039D3">
      <w:pPr>
        <w:pStyle w:val="BodyText"/>
      </w:pPr>
      <w:r w:rsidRPr="00BB45C5">
        <w:t> No position.</w:t>
      </w:r>
    </w:p>
    <w:p w14:paraId="54A1F205" w14:textId="77777777" w:rsidR="004039D3" w:rsidRPr="00BB45C5" w:rsidRDefault="004039D3" w:rsidP="004039D3">
      <w:pPr>
        <w:pStyle w:val="PartyName"/>
        <w:rPr>
          <w:vanish/>
          <w:specVanish/>
        </w:rPr>
      </w:pPr>
      <w:r w:rsidRPr="00BB45C5">
        <w:t>FIPUG: </w:t>
      </w:r>
    </w:p>
    <w:p w14:paraId="63CE89CC" w14:textId="77777777" w:rsidR="004039D3" w:rsidRPr="00BB45C5" w:rsidRDefault="004039D3" w:rsidP="004039D3">
      <w:pPr>
        <w:pStyle w:val="BodyText"/>
      </w:pPr>
      <w:r w:rsidRPr="00BB45C5">
        <w:t> Adopt position of OPC.</w:t>
      </w:r>
    </w:p>
    <w:p w14:paraId="05894B1A" w14:textId="77777777" w:rsidR="0018324C" w:rsidRPr="00BB45C5" w:rsidRDefault="0018324C">
      <w:pPr>
        <w:pStyle w:val="IssueSubsectionHeading"/>
        <w:rPr>
          <w:vanish/>
          <w:specVanish/>
        </w:rPr>
      </w:pPr>
      <w:r w:rsidRPr="00BB45C5">
        <w:t>Staff Analysis: </w:t>
      </w:r>
    </w:p>
    <w:p w14:paraId="7F12DED0" w14:textId="77777777" w:rsidR="0018324C" w:rsidRPr="00BB45C5" w:rsidRDefault="0018324C">
      <w:pPr>
        <w:pStyle w:val="BodyText"/>
      </w:pPr>
      <w:r w:rsidRPr="00BB45C5">
        <w:t> </w:t>
      </w:r>
    </w:p>
    <w:p w14:paraId="11FABE83" w14:textId="77777777" w:rsidR="004039D3" w:rsidRPr="00BB45C5" w:rsidRDefault="004039D3" w:rsidP="004039D3">
      <w:pPr>
        <w:pStyle w:val="First-LevelSubheading"/>
        <w:jc w:val="center"/>
      </w:pPr>
      <w:r w:rsidRPr="00BB45C5">
        <w:t>PARTIES’ ARGUMENTS</w:t>
      </w:r>
    </w:p>
    <w:p w14:paraId="5B6B5F43" w14:textId="77777777" w:rsidR="004039D3" w:rsidRPr="00BB45C5" w:rsidRDefault="004039D3" w:rsidP="004039D3">
      <w:pPr>
        <w:pStyle w:val="First-LevelSubheading"/>
      </w:pPr>
    </w:p>
    <w:p w14:paraId="4132659B" w14:textId="77777777" w:rsidR="004039D3" w:rsidRPr="00BB45C5" w:rsidRDefault="004039D3" w:rsidP="004039D3">
      <w:pPr>
        <w:pStyle w:val="First-LevelSubheading"/>
      </w:pPr>
      <w:r w:rsidRPr="00BB45C5">
        <w:t>FCG</w:t>
      </w:r>
    </w:p>
    <w:p w14:paraId="4570C419" w14:textId="77777777" w:rsidR="004039D3" w:rsidRPr="00BB45C5" w:rsidRDefault="004039D3" w:rsidP="004039D3">
      <w:pPr>
        <w:pStyle w:val="BodyText"/>
      </w:pPr>
      <w:r w:rsidRPr="00BB45C5">
        <w:t>FCG did not provide an argument. (FCG BR 87)</w:t>
      </w:r>
    </w:p>
    <w:p w14:paraId="121FD64A" w14:textId="77777777" w:rsidR="004039D3" w:rsidRPr="00BB45C5" w:rsidRDefault="004039D3" w:rsidP="004039D3">
      <w:pPr>
        <w:pStyle w:val="First-LevelSubheading"/>
      </w:pPr>
      <w:r w:rsidRPr="00BB45C5">
        <w:t>OPC</w:t>
      </w:r>
    </w:p>
    <w:p w14:paraId="6A6C9B3D" w14:textId="77777777" w:rsidR="004039D3" w:rsidRPr="00BB45C5" w:rsidRDefault="004039D3" w:rsidP="004039D3">
      <w:pPr>
        <w:pStyle w:val="BodyText"/>
      </w:pPr>
      <w:r w:rsidRPr="00BB45C5">
        <w:t>OPC did not provide an argument. (OPC BR 59)</w:t>
      </w:r>
    </w:p>
    <w:p w14:paraId="638C6280" w14:textId="77777777" w:rsidR="004039D3" w:rsidRPr="00BB45C5" w:rsidRDefault="004039D3" w:rsidP="004039D3">
      <w:pPr>
        <w:pStyle w:val="First-LevelSubheading"/>
      </w:pPr>
      <w:r w:rsidRPr="00BB45C5">
        <w:t>FEA</w:t>
      </w:r>
    </w:p>
    <w:p w14:paraId="1BABC58F" w14:textId="77777777" w:rsidR="004039D3" w:rsidRPr="00BB45C5" w:rsidRDefault="004039D3" w:rsidP="004039D3">
      <w:pPr>
        <w:pStyle w:val="BodyText"/>
      </w:pPr>
      <w:r w:rsidRPr="00BB45C5">
        <w:t>FEA did not provide an argument. (FEA &amp; FIPUG BR 30)</w:t>
      </w:r>
    </w:p>
    <w:p w14:paraId="27C6B87F" w14:textId="77777777" w:rsidR="004039D3" w:rsidRPr="00BB45C5" w:rsidRDefault="004039D3" w:rsidP="004039D3">
      <w:pPr>
        <w:pStyle w:val="First-LevelSubheading"/>
      </w:pPr>
      <w:r w:rsidRPr="00BB45C5">
        <w:t>FIPUG</w:t>
      </w:r>
    </w:p>
    <w:p w14:paraId="0DA0A6CC" w14:textId="5AAFD2E0" w:rsidR="004039D3" w:rsidRPr="00BB45C5" w:rsidRDefault="004039D3" w:rsidP="004039D3">
      <w:pPr>
        <w:pStyle w:val="BodyText"/>
      </w:pPr>
      <w:r w:rsidRPr="00BB45C5">
        <w:t>FI</w:t>
      </w:r>
      <w:r w:rsidR="00A1121C">
        <w:t>PUG adopted the position of OPC,</w:t>
      </w:r>
      <w:r w:rsidRPr="00BB45C5">
        <w:t xml:space="preserve"> but did not provide an argument. (FEA &amp; FIPUG BR 30)</w:t>
      </w:r>
    </w:p>
    <w:p w14:paraId="672B9E99" w14:textId="77777777" w:rsidR="004039D3" w:rsidRPr="00BB45C5" w:rsidRDefault="004039D3" w:rsidP="004039D3">
      <w:pPr>
        <w:pStyle w:val="First-LevelSubheading"/>
        <w:jc w:val="center"/>
      </w:pPr>
      <w:r w:rsidRPr="00BB45C5">
        <w:t>ANALYSIS</w:t>
      </w:r>
    </w:p>
    <w:p w14:paraId="0F704028" w14:textId="77777777" w:rsidR="004039D3" w:rsidRPr="00BB45C5" w:rsidRDefault="004039D3" w:rsidP="004039D3">
      <w:pPr>
        <w:pStyle w:val="BodyText"/>
        <w:spacing w:after="0"/>
      </w:pPr>
    </w:p>
    <w:p w14:paraId="0A9E9210" w14:textId="5BA5A894" w:rsidR="004039D3" w:rsidRPr="00BB45C5" w:rsidRDefault="00881AA0" w:rsidP="00147CE8">
      <w:pPr>
        <w:pStyle w:val="BodyText"/>
      </w:pPr>
      <w:r w:rsidRPr="00BB45C5">
        <w:t>Staff has reviewed the Company’s revised cost of service filing and it reflects the Commission-approved total Company revenue requirement. Further, the Commission approved the Company’s proposed cost of service methodology in Issue 58 and the allocation of the revenue increase to rate classes in Issue 59 at the March 28, 2023 Special Agenda Conference.</w:t>
      </w:r>
      <w:r w:rsidR="00147CE8" w:rsidRPr="00147CE8">
        <w:t xml:space="preserve"> </w:t>
      </w:r>
      <w:r w:rsidR="00147CE8" w:rsidRPr="00BB45C5">
        <w:t xml:space="preserve">The proposed </w:t>
      </w:r>
      <w:r w:rsidR="00147CE8">
        <w:t>demand charges</w:t>
      </w:r>
      <w:r w:rsidR="00147CE8" w:rsidRPr="00BB45C5">
        <w:t xml:space="preserve"> </w:t>
      </w:r>
      <w:r w:rsidR="00147CE8">
        <w:t xml:space="preserve">reflect the approved revenue requirements </w:t>
      </w:r>
      <w:r w:rsidR="00A1121C">
        <w:t>and cost of service methodology;</w:t>
      </w:r>
      <w:r w:rsidR="00147CE8">
        <w:t xml:space="preserve"> therefore</w:t>
      </w:r>
      <w:r w:rsidR="00A1121C">
        <w:t>,</w:t>
      </w:r>
      <w:r w:rsidR="00147CE8">
        <w:t xml:space="preserve"> the proposed charges</w:t>
      </w:r>
      <w:r w:rsidR="00147CE8" w:rsidRPr="00BB45C5">
        <w:t xml:space="preserve"> provided in the tariffs in Attachment B to the recommendation should be approved.</w:t>
      </w:r>
    </w:p>
    <w:p w14:paraId="00562457" w14:textId="5D09B535" w:rsidR="004039D3" w:rsidRPr="00BB45C5" w:rsidRDefault="004039D3">
      <w:pPr>
        <w:pStyle w:val="IssueHeading"/>
        <w:rPr>
          <w:vanish/>
          <w:specVanish/>
        </w:rPr>
      </w:pPr>
      <w:r w:rsidRPr="00BB45C5">
        <w:rPr>
          <w:b w:val="0"/>
          <w:i w:val="0"/>
        </w:rPr>
        <w:br w:type="page"/>
      </w:r>
      <w:r w:rsidRPr="00BB45C5">
        <w:lastRenderedPageBreak/>
        <w:t xml:space="preserve">Issue </w:t>
      </w:r>
      <w:r w:rsidRPr="00BB45C5">
        <w:fldChar w:fldCharType="begin"/>
      </w:r>
      <w:r w:rsidRPr="00BB45C5">
        <w:instrText>seq issue \r 65</w:instrText>
      </w:r>
      <w:r w:rsidRPr="00BB45C5">
        <w:fldChar w:fldCharType="separate"/>
      </w:r>
      <w:r w:rsidR="00246AD0">
        <w:rPr>
          <w:noProof/>
        </w:rPr>
        <w:t>65</w:t>
      </w:r>
      <w:r w:rsidRPr="00BB45C5">
        <w:rPr>
          <w:noProof/>
        </w:rPr>
        <w:fldChar w:fldCharType="end"/>
      </w:r>
      <w:r w:rsidRPr="00BB45C5">
        <w:t>:</w:t>
      </w:r>
      <w:r w:rsidRPr="00BB45C5">
        <w:fldChar w:fldCharType="begin"/>
      </w:r>
      <w:r w:rsidRPr="00BB45C5">
        <w:instrText xml:space="preserve"> TC "</w:instrText>
      </w:r>
      <w:r w:rsidRPr="00BB45C5">
        <w:fldChar w:fldCharType="begin"/>
      </w:r>
      <w:r w:rsidRPr="00BB45C5">
        <w:instrText xml:space="preserve"> SEQ issue \c </w:instrText>
      </w:r>
      <w:r w:rsidRPr="00BB45C5">
        <w:fldChar w:fldCharType="separate"/>
      </w:r>
      <w:r w:rsidR="00246AD0">
        <w:rPr>
          <w:noProof/>
        </w:rPr>
        <w:instrText>65</w:instrText>
      </w:r>
      <w:r w:rsidRPr="00BB45C5">
        <w:fldChar w:fldCharType="end"/>
      </w:r>
      <w:r w:rsidRPr="00BB45C5">
        <w:tab/>
        <w:instrText xml:space="preserve">(Hampson)" \l 1 </w:instrText>
      </w:r>
      <w:r w:rsidRPr="00BB45C5">
        <w:fldChar w:fldCharType="end"/>
      </w:r>
      <w:r w:rsidRPr="00BB45C5">
        <w:t> </w:t>
      </w:r>
    </w:p>
    <w:p w14:paraId="03BCDDC0" w14:textId="77777777" w:rsidR="004039D3" w:rsidRPr="00BB45C5" w:rsidRDefault="004039D3">
      <w:pPr>
        <w:pStyle w:val="BodyText"/>
      </w:pPr>
      <w:r w:rsidRPr="00BB45C5">
        <w:t> What is the appropriate effective date for FCG’s revised rates and charges?</w:t>
      </w:r>
    </w:p>
    <w:p w14:paraId="7F93AE71" w14:textId="77777777" w:rsidR="004039D3" w:rsidRPr="00BB45C5" w:rsidRDefault="004039D3">
      <w:pPr>
        <w:pStyle w:val="IssueSubsectionHeading"/>
        <w:rPr>
          <w:vanish/>
          <w:specVanish/>
        </w:rPr>
      </w:pPr>
      <w:r w:rsidRPr="00BB45C5">
        <w:t>Recommendation: </w:t>
      </w:r>
    </w:p>
    <w:p w14:paraId="5F982D41" w14:textId="2709E845" w:rsidR="004039D3" w:rsidRPr="00BB45C5" w:rsidRDefault="004039D3">
      <w:pPr>
        <w:pStyle w:val="BodyText"/>
      </w:pPr>
      <w:r w:rsidRPr="00BB45C5">
        <w:t> </w:t>
      </w:r>
      <w:r w:rsidR="00A1121C">
        <w:t>T</w:t>
      </w:r>
      <w:r w:rsidR="00473423" w:rsidRPr="00BB45C5">
        <w:t xml:space="preserve">he rates and charges approved by the Commission should become effective </w:t>
      </w:r>
      <w:r w:rsidR="00BB45C5" w:rsidRPr="00BB45C5">
        <w:t>May 1, 2023</w:t>
      </w:r>
      <w:r w:rsidR="00473423" w:rsidRPr="00BB45C5">
        <w:t xml:space="preserve">. The Commission should approve the proposed tariffs as provided in </w:t>
      </w:r>
      <w:r w:rsidR="007B273C" w:rsidRPr="00BB45C5">
        <w:t>Attachment B</w:t>
      </w:r>
      <w:r w:rsidR="00473423" w:rsidRPr="00BB45C5">
        <w:t xml:space="preserve"> to the recommendation.</w:t>
      </w:r>
      <w:r w:rsidRPr="00BB45C5">
        <w:t xml:space="preserve"> (Hampson</w:t>
      </w:r>
      <w:r w:rsidR="00AA7776">
        <w:t>, Norris</w:t>
      </w:r>
      <w:r w:rsidRPr="00BB45C5">
        <w:t>)</w:t>
      </w:r>
    </w:p>
    <w:p w14:paraId="6C0D0894" w14:textId="77777777" w:rsidR="004039D3" w:rsidRPr="00BB45C5" w:rsidRDefault="004039D3" w:rsidP="004039D3">
      <w:pPr>
        <w:pStyle w:val="IssueSubsectionHeading"/>
        <w:keepNext/>
        <w:rPr>
          <w:iCs w:val="0"/>
        </w:rPr>
      </w:pPr>
      <w:r w:rsidRPr="00BB45C5">
        <w:rPr>
          <w:iCs w:val="0"/>
        </w:rPr>
        <w:t>Position of the Parties</w:t>
      </w:r>
    </w:p>
    <w:p w14:paraId="4B0EFA2B" w14:textId="77777777" w:rsidR="004039D3" w:rsidRPr="00BB45C5" w:rsidRDefault="004039D3" w:rsidP="004039D3">
      <w:pPr>
        <w:pStyle w:val="PartyName"/>
        <w:rPr>
          <w:vanish/>
          <w:specVanish/>
        </w:rPr>
      </w:pPr>
      <w:r w:rsidRPr="00BB45C5">
        <w:t>FCG: </w:t>
      </w:r>
    </w:p>
    <w:p w14:paraId="18A02CC0" w14:textId="77777777" w:rsidR="004039D3" w:rsidRPr="00BB45C5" w:rsidRDefault="004039D3" w:rsidP="004039D3">
      <w:pPr>
        <w:pStyle w:val="BodyText"/>
      </w:pPr>
      <w:r w:rsidRPr="00BB45C5">
        <w:t xml:space="preserve"> Pursuant to the statutory eight-month suspension period in Section 366.06(3), F.S., </w:t>
      </w:r>
      <w:proofErr w:type="gramStart"/>
      <w:r w:rsidRPr="00BB45C5">
        <w:t>FCG’s</w:t>
      </w:r>
      <w:proofErr w:type="gramEnd"/>
      <w:r w:rsidRPr="00BB45C5">
        <w:t xml:space="preserve"> filing requested a February 1, 2023 effective date for new base rates. </w:t>
      </w:r>
      <w:r w:rsidRPr="00BB45C5">
        <w:rPr>
          <w:rFonts w:eastAsia="Calibri"/>
          <w:color w:val="000000"/>
        </w:rPr>
        <w:t>(</w:t>
      </w:r>
      <w:proofErr w:type="spellStart"/>
      <w:r w:rsidRPr="00BB45C5">
        <w:rPr>
          <w:rFonts w:eastAsia="Calibri"/>
          <w:i/>
          <w:iCs/>
          <w:color w:val="000000"/>
        </w:rPr>
        <w:t>DuBose</w:t>
      </w:r>
      <w:proofErr w:type="spellEnd"/>
      <w:r w:rsidRPr="00BB45C5">
        <w:rPr>
          <w:rFonts w:eastAsia="Calibri"/>
          <w:color w:val="000000"/>
        </w:rPr>
        <w:t>)</w:t>
      </w:r>
    </w:p>
    <w:p w14:paraId="53E16F28" w14:textId="77777777" w:rsidR="004039D3" w:rsidRPr="00BB45C5" w:rsidRDefault="004039D3" w:rsidP="004039D3">
      <w:pPr>
        <w:pStyle w:val="PartyName"/>
        <w:rPr>
          <w:vanish/>
          <w:specVanish/>
        </w:rPr>
      </w:pPr>
      <w:r w:rsidRPr="00BB45C5">
        <w:t>OPC: </w:t>
      </w:r>
    </w:p>
    <w:p w14:paraId="0A722E39" w14:textId="77777777" w:rsidR="004039D3" w:rsidRPr="00BB45C5" w:rsidRDefault="004039D3" w:rsidP="004039D3">
      <w:pPr>
        <w:pStyle w:val="BodyText"/>
      </w:pPr>
      <w:r w:rsidRPr="00BB45C5">
        <w:t> The effective date of FCG’s revised rates and charges should allow for time for implementation promptly after the Commission’s final order in this matter.</w:t>
      </w:r>
    </w:p>
    <w:p w14:paraId="5963E845" w14:textId="77777777" w:rsidR="004039D3" w:rsidRPr="00BB45C5" w:rsidRDefault="004039D3" w:rsidP="004039D3">
      <w:pPr>
        <w:pStyle w:val="PartyName"/>
        <w:rPr>
          <w:vanish/>
          <w:specVanish/>
        </w:rPr>
      </w:pPr>
      <w:r w:rsidRPr="00BB45C5">
        <w:t>FEA: </w:t>
      </w:r>
    </w:p>
    <w:p w14:paraId="68D2754F" w14:textId="77777777" w:rsidR="004039D3" w:rsidRPr="00BB45C5" w:rsidRDefault="004039D3" w:rsidP="004039D3">
      <w:pPr>
        <w:pStyle w:val="BodyText"/>
      </w:pPr>
      <w:r w:rsidRPr="00BB45C5">
        <w:t> No position.</w:t>
      </w:r>
    </w:p>
    <w:p w14:paraId="6CEB3429" w14:textId="77777777" w:rsidR="004039D3" w:rsidRPr="00BB45C5" w:rsidRDefault="004039D3" w:rsidP="004039D3">
      <w:pPr>
        <w:pStyle w:val="PartyName"/>
        <w:rPr>
          <w:vanish/>
          <w:specVanish/>
        </w:rPr>
      </w:pPr>
      <w:r w:rsidRPr="00BB45C5">
        <w:t>FIPUG: </w:t>
      </w:r>
    </w:p>
    <w:p w14:paraId="163CE848" w14:textId="77777777" w:rsidR="004039D3" w:rsidRPr="00BB45C5" w:rsidRDefault="004039D3" w:rsidP="004039D3">
      <w:pPr>
        <w:pStyle w:val="BodyText"/>
      </w:pPr>
      <w:r w:rsidRPr="00BB45C5">
        <w:t> Adopt position of OPC.</w:t>
      </w:r>
    </w:p>
    <w:p w14:paraId="39A7CE79" w14:textId="77777777" w:rsidR="004039D3" w:rsidRPr="00BB45C5" w:rsidRDefault="004039D3">
      <w:pPr>
        <w:pStyle w:val="IssueSubsectionHeading"/>
        <w:rPr>
          <w:vanish/>
          <w:specVanish/>
        </w:rPr>
      </w:pPr>
      <w:r w:rsidRPr="00BB45C5">
        <w:t>Staff Analysis: </w:t>
      </w:r>
    </w:p>
    <w:p w14:paraId="75A8DA43" w14:textId="77777777" w:rsidR="004039D3" w:rsidRPr="00BB45C5" w:rsidRDefault="004039D3">
      <w:pPr>
        <w:pStyle w:val="BodyText"/>
      </w:pPr>
      <w:r w:rsidRPr="00BB45C5">
        <w:t> </w:t>
      </w:r>
    </w:p>
    <w:p w14:paraId="69CA222A" w14:textId="77777777" w:rsidR="004039D3" w:rsidRPr="00BB45C5" w:rsidRDefault="004039D3" w:rsidP="004039D3">
      <w:pPr>
        <w:pStyle w:val="First-LevelSubheading"/>
        <w:jc w:val="center"/>
      </w:pPr>
      <w:r w:rsidRPr="00BB45C5">
        <w:t>PARTIES’ ARGUMENTS</w:t>
      </w:r>
    </w:p>
    <w:p w14:paraId="0A8D9FC5" w14:textId="77777777" w:rsidR="004039D3" w:rsidRPr="00BB45C5" w:rsidRDefault="004039D3" w:rsidP="004039D3">
      <w:pPr>
        <w:pStyle w:val="First-LevelSubheading"/>
      </w:pPr>
    </w:p>
    <w:p w14:paraId="7636FB5D" w14:textId="77777777" w:rsidR="004039D3" w:rsidRPr="00BB45C5" w:rsidRDefault="004039D3" w:rsidP="004039D3">
      <w:pPr>
        <w:pStyle w:val="First-LevelSubheading"/>
      </w:pPr>
      <w:r w:rsidRPr="00BB45C5">
        <w:t>FCG</w:t>
      </w:r>
    </w:p>
    <w:p w14:paraId="365624D5" w14:textId="77777777" w:rsidR="004039D3" w:rsidRPr="00BB45C5" w:rsidRDefault="004039D3" w:rsidP="004039D3">
      <w:pPr>
        <w:pStyle w:val="BodyText"/>
      </w:pPr>
      <w:r w:rsidRPr="00BB45C5">
        <w:t>FCG did not provide an argument. (FCG BR 87)</w:t>
      </w:r>
    </w:p>
    <w:p w14:paraId="21CFD792" w14:textId="77777777" w:rsidR="004039D3" w:rsidRPr="00BB45C5" w:rsidRDefault="004039D3" w:rsidP="004039D3">
      <w:pPr>
        <w:pStyle w:val="First-LevelSubheading"/>
      </w:pPr>
      <w:r w:rsidRPr="00BB45C5">
        <w:t>OPC</w:t>
      </w:r>
    </w:p>
    <w:p w14:paraId="3D8DCDDC" w14:textId="77777777" w:rsidR="004039D3" w:rsidRPr="00BB45C5" w:rsidRDefault="004039D3" w:rsidP="004039D3">
      <w:pPr>
        <w:pStyle w:val="BodyText"/>
      </w:pPr>
      <w:r w:rsidRPr="00BB45C5">
        <w:t>OPC did not provide an argument. (OPC BR 59)</w:t>
      </w:r>
    </w:p>
    <w:p w14:paraId="041F5841" w14:textId="77777777" w:rsidR="004039D3" w:rsidRPr="00BB45C5" w:rsidRDefault="004039D3" w:rsidP="004039D3">
      <w:pPr>
        <w:pStyle w:val="First-LevelSubheading"/>
      </w:pPr>
      <w:r w:rsidRPr="00BB45C5">
        <w:t>FEA</w:t>
      </w:r>
    </w:p>
    <w:p w14:paraId="4189553C" w14:textId="77777777" w:rsidR="004039D3" w:rsidRPr="00BB45C5" w:rsidRDefault="004039D3" w:rsidP="004039D3">
      <w:pPr>
        <w:pStyle w:val="BodyText"/>
      </w:pPr>
      <w:r w:rsidRPr="00BB45C5">
        <w:t>FEA did not provide an argument. (FEA &amp; FIPUG BR 30)</w:t>
      </w:r>
    </w:p>
    <w:p w14:paraId="4C97AB4C" w14:textId="77777777" w:rsidR="004039D3" w:rsidRPr="00BB45C5" w:rsidRDefault="004039D3" w:rsidP="004039D3">
      <w:pPr>
        <w:pStyle w:val="First-LevelSubheading"/>
      </w:pPr>
      <w:r w:rsidRPr="00BB45C5">
        <w:t>FIPUG</w:t>
      </w:r>
    </w:p>
    <w:p w14:paraId="71936DE7" w14:textId="44C79E76" w:rsidR="004039D3" w:rsidRDefault="004039D3" w:rsidP="004039D3">
      <w:pPr>
        <w:pStyle w:val="BodyText"/>
      </w:pPr>
      <w:r w:rsidRPr="00BB45C5">
        <w:t>FI</w:t>
      </w:r>
      <w:r w:rsidR="00A1121C">
        <w:t>PUG adopted the position of OPC,</w:t>
      </w:r>
      <w:r w:rsidRPr="00BB45C5">
        <w:t xml:space="preserve"> but did not provide an argument. (FEA &amp; FIPUG BR 30)</w:t>
      </w:r>
    </w:p>
    <w:p w14:paraId="3FEC3B51" w14:textId="77777777" w:rsidR="004039D3" w:rsidRDefault="004039D3" w:rsidP="004039D3">
      <w:pPr>
        <w:pStyle w:val="First-LevelSubheading"/>
        <w:jc w:val="center"/>
      </w:pPr>
      <w:r>
        <w:t>ANALYSIS</w:t>
      </w:r>
    </w:p>
    <w:p w14:paraId="64AC6AC4" w14:textId="77777777" w:rsidR="004039D3" w:rsidRPr="00B92D8E" w:rsidRDefault="004039D3" w:rsidP="004039D3">
      <w:pPr>
        <w:pStyle w:val="BodyText"/>
        <w:spacing w:after="0"/>
      </w:pPr>
    </w:p>
    <w:p w14:paraId="35B774F4" w14:textId="3AAF58FE" w:rsidR="00486337" w:rsidRDefault="00BB45C5" w:rsidP="007B273C">
      <w:pPr>
        <w:pStyle w:val="BodyText"/>
      </w:pPr>
      <w:r w:rsidRPr="000C57A3">
        <w:t>FCG</w:t>
      </w:r>
      <w:r w:rsidR="00486337">
        <w:t xml:space="preserve"> provided a notification</w:t>
      </w:r>
      <w:r w:rsidR="00473423" w:rsidRPr="000C57A3">
        <w:t xml:space="preserve"> of the </w:t>
      </w:r>
      <w:r w:rsidR="00A1121C">
        <w:t>proposed</w:t>
      </w:r>
      <w:r w:rsidR="00473423" w:rsidRPr="000C57A3">
        <w:t xml:space="preserve"> rate increase to its customers during the </w:t>
      </w:r>
      <w:r w:rsidR="00486337">
        <w:t>month of August</w:t>
      </w:r>
      <w:r w:rsidR="00A1121C">
        <w:t xml:space="preserve"> 2022</w:t>
      </w:r>
      <w:r w:rsidR="00473423" w:rsidRPr="000C57A3">
        <w:t>, and also posted notice of the rate incr</w:t>
      </w:r>
      <w:r w:rsidR="00486337">
        <w:t xml:space="preserve">ease on its website. The notification included </w:t>
      </w:r>
      <w:r w:rsidR="00473423" w:rsidRPr="000C57A3">
        <w:t>a comparison between current and proposed rates, and that the rates ultimately approved by the Commission will not exceed those identified in the notice.</w:t>
      </w:r>
      <w:r w:rsidR="00486337">
        <w:t xml:space="preserve"> FCG will also provide a direct notice to customers during May</w:t>
      </w:r>
      <w:r w:rsidR="00A1121C">
        <w:t xml:space="preserve"> 2023,</w:t>
      </w:r>
      <w:r w:rsidR="00486337">
        <w:t xml:space="preserve"> which will identify the final, Commission-approved rates and charges. Staff has reviewed the direct notice and believes the notice reflects the rates and charges approved by the Commission.</w:t>
      </w:r>
    </w:p>
    <w:p w14:paraId="4588C0F6" w14:textId="29DBE7BB" w:rsidR="00473423" w:rsidRPr="00D51972" w:rsidRDefault="00473423" w:rsidP="007B273C">
      <w:pPr>
        <w:pStyle w:val="BodyText"/>
        <w:rPr>
          <w:b/>
          <w:bCs/>
        </w:rPr>
      </w:pPr>
      <w:r w:rsidRPr="00B5353B">
        <w:t xml:space="preserve">Staff recommends that the rates </w:t>
      </w:r>
      <w:r>
        <w:t xml:space="preserve">and charges </w:t>
      </w:r>
      <w:r w:rsidRPr="00B5353B">
        <w:t xml:space="preserve">approved by the Commission should become effective </w:t>
      </w:r>
      <w:r w:rsidR="00BB45C5">
        <w:t>May 1, 2023.</w:t>
      </w:r>
      <w:r>
        <w:t xml:space="preserve"> </w:t>
      </w:r>
      <w:r w:rsidRPr="0056402B">
        <w:t xml:space="preserve">The Commission should approve the proposed tariffs as provided in </w:t>
      </w:r>
      <w:r w:rsidR="007B273C" w:rsidRPr="007B273C">
        <w:t>Attachment B</w:t>
      </w:r>
      <w:r w:rsidRPr="0056402B">
        <w:t xml:space="preserve"> to the recommendation.</w:t>
      </w:r>
    </w:p>
    <w:p w14:paraId="2A5F7C74" w14:textId="16D8A657" w:rsidR="004039D3" w:rsidRDefault="004039D3">
      <w:pPr>
        <w:pStyle w:val="IssueHeading"/>
        <w:rPr>
          <w:vanish/>
          <w:specVanish/>
        </w:rPr>
      </w:pPr>
      <w:r w:rsidRPr="004C3641">
        <w:rPr>
          <w:b w:val="0"/>
          <w:i w:val="0"/>
        </w:rPr>
        <w:br w:type="page"/>
      </w:r>
      <w:r w:rsidRPr="004C3641">
        <w:lastRenderedPageBreak/>
        <w:t xml:space="preserve">Issue </w:t>
      </w:r>
      <w:fldSimple w:instr=" SEQ Issue \* MERGEFORMAT ">
        <w:r w:rsidR="00246AD0">
          <w:rPr>
            <w:noProof/>
          </w:rPr>
          <w:t>66</w:t>
        </w:r>
      </w:fldSimple>
      <w:r w:rsidRPr="004C3641">
        <w:t>:</w:t>
      </w:r>
      <w:r>
        <w:fldChar w:fldCharType="begin"/>
      </w:r>
      <w:r>
        <w:instrText xml:space="preserve"> TC "</w:instrText>
      </w:r>
      <w:r>
        <w:fldChar w:fldCharType="begin"/>
      </w:r>
      <w:r>
        <w:instrText xml:space="preserve"> SEQ issue \c </w:instrText>
      </w:r>
      <w:r>
        <w:fldChar w:fldCharType="separate"/>
      </w:r>
      <w:r w:rsidR="00246AD0">
        <w:rPr>
          <w:noProof/>
        </w:rPr>
        <w:instrText>66</w:instrText>
      </w:r>
      <w:r>
        <w:fldChar w:fldCharType="end"/>
      </w:r>
      <w:r>
        <w:tab/>
        <w:instrText xml:space="preserve">(Hampson)" \l 1 </w:instrText>
      </w:r>
      <w:r>
        <w:fldChar w:fldCharType="end"/>
      </w:r>
      <w:r>
        <w:t> </w:t>
      </w:r>
    </w:p>
    <w:p w14:paraId="2C3634E0" w14:textId="77777777" w:rsidR="004039D3" w:rsidRDefault="004039D3">
      <w:pPr>
        <w:pStyle w:val="BodyText"/>
      </w:pPr>
      <w:r>
        <w:t> Should the Commission give staff administrative authority to approve tariffs reflecting Commission approved rates and charges?</w:t>
      </w:r>
    </w:p>
    <w:p w14:paraId="36973AD6" w14:textId="77777777" w:rsidR="004039D3" w:rsidRPr="004C3641" w:rsidRDefault="004039D3">
      <w:pPr>
        <w:pStyle w:val="IssueSubsectionHeading"/>
        <w:rPr>
          <w:vanish/>
          <w:specVanish/>
        </w:rPr>
      </w:pPr>
      <w:r w:rsidRPr="004C3641">
        <w:t>Recommendation: </w:t>
      </w:r>
    </w:p>
    <w:p w14:paraId="62B8E5D4" w14:textId="4EB3EBF8" w:rsidR="004039D3" w:rsidRDefault="004039D3">
      <w:pPr>
        <w:pStyle w:val="BodyText"/>
      </w:pPr>
      <w:r>
        <w:t> </w:t>
      </w:r>
      <w:r w:rsidR="004A072A" w:rsidRPr="006358EF">
        <w:t>Y</w:t>
      </w:r>
      <w:r w:rsidR="00292599" w:rsidRPr="006358EF">
        <w:t xml:space="preserve">es, the Commission should give staff administrative authority to approve tariffs </w:t>
      </w:r>
      <w:r w:rsidR="00292599">
        <w:t xml:space="preserve">reflecting </w:t>
      </w:r>
      <w:r w:rsidR="006358EF">
        <w:t>the Commission-</w:t>
      </w:r>
      <w:r w:rsidR="00292599">
        <w:t>approved rates and charges</w:t>
      </w:r>
      <w:r w:rsidR="006358EF">
        <w:t>,</w:t>
      </w:r>
      <w:r w:rsidR="00292599">
        <w:t xml:space="preserve"> as provided in Attachment B to the recommendation. </w:t>
      </w:r>
      <w:r>
        <w:t>(Hampson</w:t>
      </w:r>
      <w:r w:rsidR="00AA7776">
        <w:t>, Norris</w:t>
      </w:r>
      <w:r>
        <w:t>)</w:t>
      </w:r>
    </w:p>
    <w:p w14:paraId="6A55D7CB" w14:textId="77777777" w:rsidR="004A072A" w:rsidRPr="004C3641" w:rsidRDefault="004A072A" w:rsidP="004A072A">
      <w:pPr>
        <w:pStyle w:val="IssueSubsectionHeading"/>
        <w:keepNext/>
        <w:rPr>
          <w:iCs w:val="0"/>
        </w:rPr>
      </w:pPr>
      <w:r w:rsidRPr="004C3641">
        <w:rPr>
          <w:iCs w:val="0"/>
        </w:rPr>
        <w:t>Position of the Parties</w:t>
      </w:r>
    </w:p>
    <w:p w14:paraId="7A448885" w14:textId="77777777" w:rsidR="004A072A" w:rsidRDefault="004A072A" w:rsidP="004A072A">
      <w:pPr>
        <w:pStyle w:val="PartyName"/>
        <w:rPr>
          <w:vanish/>
          <w:specVanish/>
        </w:rPr>
      </w:pPr>
      <w:r>
        <w:t>FCG: </w:t>
      </w:r>
    </w:p>
    <w:p w14:paraId="3236473C" w14:textId="77777777" w:rsidR="004A072A" w:rsidRPr="00BB45C5" w:rsidRDefault="004A072A" w:rsidP="004A072A">
      <w:pPr>
        <w:pStyle w:val="BodyText"/>
      </w:pPr>
      <w:r>
        <w:t> </w:t>
      </w:r>
      <w:r w:rsidR="00700201" w:rsidRPr="00BB45C5">
        <w:t>Yes. The Commission should approve tariffs reflecting the Commission’s approved rates and charges. The Commission should direct staff to verify that the revised tariffs are consistent with the Commission’s decision. (</w:t>
      </w:r>
      <w:r w:rsidR="00700201" w:rsidRPr="00BB45C5">
        <w:rPr>
          <w:i/>
        </w:rPr>
        <w:t>Dubose</w:t>
      </w:r>
      <w:r w:rsidR="00700201" w:rsidRPr="00BB45C5">
        <w:t>)</w:t>
      </w:r>
    </w:p>
    <w:p w14:paraId="67579872" w14:textId="77777777" w:rsidR="004A072A" w:rsidRPr="00BB45C5" w:rsidRDefault="004A072A" w:rsidP="004A072A">
      <w:pPr>
        <w:pStyle w:val="PartyName"/>
        <w:rPr>
          <w:vanish/>
          <w:specVanish/>
        </w:rPr>
      </w:pPr>
      <w:r w:rsidRPr="00BB45C5">
        <w:t>OPC: </w:t>
      </w:r>
    </w:p>
    <w:p w14:paraId="26802A7A" w14:textId="77777777" w:rsidR="004A072A" w:rsidRPr="00BB45C5" w:rsidRDefault="004A072A" w:rsidP="004A072A">
      <w:pPr>
        <w:pStyle w:val="BodyText"/>
      </w:pPr>
      <w:r w:rsidRPr="00BB45C5">
        <w:t> </w:t>
      </w:r>
      <w:r w:rsidR="00700201" w:rsidRPr="00BB45C5">
        <w:t>No position.</w:t>
      </w:r>
    </w:p>
    <w:p w14:paraId="1DEA54BA" w14:textId="77777777" w:rsidR="004A072A" w:rsidRPr="00BB45C5" w:rsidRDefault="004A072A" w:rsidP="004A072A">
      <w:pPr>
        <w:pStyle w:val="PartyName"/>
        <w:rPr>
          <w:vanish/>
          <w:specVanish/>
        </w:rPr>
      </w:pPr>
      <w:r w:rsidRPr="00BB45C5">
        <w:t>FEA: </w:t>
      </w:r>
    </w:p>
    <w:p w14:paraId="41C12535" w14:textId="77777777" w:rsidR="004A072A" w:rsidRPr="00BB45C5" w:rsidRDefault="004A072A" w:rsidP="004A072A">
      <w:pPr>
        <w:pStyle w:val="BodyText"/>
      </w:pPr>
      <w:r w:rsidRPr="00BB45C5">
        <w:t> </w:t>
      </w:r>
      <w:r w:rsidR="00700201" w:rsidRPr="00BB45C5">
        <w:t>No position.</w:t>
      </w:r>
    </w:p>
    <w:p w14:paraId="29BD4097" w14:textId="77777777" w:rsidR="004A072A" w:rsidRPr="00BB45C5" w:rsidRDefault="004A072A" w:rsidP="004A072A">
      <w:pPr>
        <w:pStyle w:val="PartyName"/>
        <w:rPr>
          <w:vanish/>
          <w:specVanish/>
        </w:rPr>
      </w:pPr>
      <w:r w:rsidRPr="00BB45C5">
        <w:t>FIPUG: </w:t>
      </w:r>
    </w:p>
    <w:p w14:paraId="5C63AEA1" w14:textId="77777777" w:rsidR="004A072A" w:rsidRPr="00BB45C5" w:rsidRDefault="004A072A" w:rsidP="004A072A">
      <w:pPr>
        <w:pStyle w:val="BodyText"/>
      </w:pPr>
      <w:r w:rsidRPr="00BB45C5">
        <w:t> </w:t>
      </w:r>
      <w:r w:rsidR="00700201" w:rsidRPr="00BB45C5">
        <w:t>Adopt position of OPC.</w:t>
      </w:r>
    </w:p>
    <w:p w14:paraId="772F4528" w14:textId="77777777" w:rsidR="004039D3" w:rsidRPr="00BB45C5" w:rsidRDefault="004039D3">
      <w:pPr>
        <w:pStyle w:val="IssueSubsectionHeading"/>
        <w:rPr>
          <w:vanish/>
          <w:specVanish/>
        </w:rPr>
      </w:pPr>
      <w:r w:rsidRPr="00BB45C5">
        <w:t>Staff Analysis: </w:t>
      </w:r>
    </w:p>
    <w:p w14:paraId="6B7CF43C" w14:textId="77777777" w:rsidR="004039D3" w:rsidRPr="00BB45C5" w:rsidRDefault="004039D3">
      <w:pPr>
        <w:pStyle w:val="BodyText"/>
      </w:pPr>
      <w:r w:rsidRPr="00BB45C5">
        <w:t> </w:t>
      </w:r>
    </w:p>
    <w:p w14:paraId="33B2806F" w14:textId="77777777" w:rsidR="00700201" w:rsidRPr="00BB45C5" w:rsidRDefault="00700201" w:rsidP="00700201">
      <w:pPr>
        <w:pStyle w:val="First-LevelSubheading"/>
        <w:jc w:val="center"/>
      </w:pPr>
      <w:r w:rsidRPr="00BB45C5">
        <w:t>PARTIES’ ARGUMENTS</w:t>
      </w:r>
    </w:p>
    <w:p w14:paraId="61F5E5AF" w14:textId="77777777" w:rsidR="00700201" w:rsidRPr="00BB45C5" w:rsidRDefault="00700201" w:rsidP="00700201">
      <w:pPr>
        <w:pStyle w:val="First-LevelSubheading"/>
      </w:pPr>
    </w:p>
    <w:p w14:paraId="31794FBB" w14:textId="77777777" w:rsidR="00700201" w:rsidRPr="00BB45C5" w:rsidRDefault="00700201" w:rsidP="00700201">
      <w:pPr>
        <w:pStyle w:val="First-LevelSubheading"/>
      </w:pPr>
      <w:r w:rsidRPr="00BB45C5">
        <w:t>FCG</w:t>
      </w:r>
    </w:p>
    <w:p w14:paraId="15F474A8" w14:textId="77777777" w:rsidR="00700201" w:rsidRPr="00BB45C5" w:rsidRDefault="00700201" w:rsidP="00700201">
      <w:pPr>
        <w:pStyle w:val="BodyText"/>
      </w:pPr>
      <w:r w:rsidRPr="00BB45C5">
        <w:t>FCG did not provide an argument. (FCG BR 87)</w:t>
      </w:r>
    </w:p>
    <w:p w14:paraId="5E2BFB97" w14:textId="77777777" w:rsidR="00700201" w:rsidRPr="00BB45C5" w:rsidRDefault="00700201" w:rsidP="00700201">
      <w:pPr>
        <w:pStyle w:val="First-LevelSubheading"/>
      </w:pPr>
      <w:r w:rsidRPr="00BB45C5">
        <w:t>OPC</w:t>
      </w:r>
    </w:p>
    <w:p w14:paraId="585FB049" w14:textId="77777777" w:rsidR="00700201" w:rsidRPr="00BB45C5" w:rsidRDefault="00700201" w:rsidP="00700201">
      <w:pPr>
        <w:pStyle w:val="BodyText"/>
      </w:pPr>
      <w:r w:rsidRPr="00BB45C5">
        <w:t>OPC did not provide an argument. (OPC BR 59)</w:t>
      </w:r>
    </w:p>
    <w:p w14:paraId="69FAD7F4" w14:textId="77777777" w:rsidR="00700201" w:rsidRPr="00BB45C5" w:rsidRDefault="00700201" w:rsidP="00700201">
      <w:pPr>
        <w:pStyle w:val="First-LevelSubheading"/>
      </w:pPr>
      <w:r w:rsidRPr="00BB45C5">
        <w:t>FEA</w:t>
      </w:r>
    </w:p>
    <w:p w14:paraId="573B9A02" w14:textId="77777777" w:rsidR="00700201" w:rsidRPr="00BB45C5" w:rsidRDefault="00700201" w:rsidP="00700201">
      <w:pPr>
        <w:pStyle w:val="BodyText"/>
      </w:pPr>
      <w:r w:rsidRPr="00BB45C5">
        <w:t>FEA did not provide an argument. (FEA &amp; FIPUG BR 30)</w:t>
      </w:r>
    </w:p>
    <w:p w14:paraId="24902DEC" w14:textId="77777777" w:rsidR="00700201" w:rsidRPr="00BB45C5" w:rsidRDefault="00700201" w:rsidP="00700201">
      <w:pPr>
        <w:pStyle w:val="First-LevelSubheading"/>
      </w:pPr>
      <w:r w:rsidRPr="00BB45C5">
        <w:t>FIPUG</w:t>
      </w:r>
    </w:p>
    <w:p w14:paraId="4A3E7F7D" w14:textId="61045E8E" w:rsidR="00700201" w:rsidRPr="00BB45C5" w:rsidRDefault="00700201" w:rsidP="00700201">
      <w:pPr>
        <w:pStyle w:val="BodyText"/>
      </w:pPr>
      <w:r w:rsidRPr="00BB45C5">
        <w:t>FIPUG adopted the position of OPC</w:t>
      </w:r>
      <w:r w:rsidR="007444C9">
        <w:t>,</w:t>
      </w:r>
      <w:r w:rsidRPr="00BB45C5">
        <w:t xml:space="preserve"> but did not provide an argument. (FEA &amp; FIPUG BR 30)</w:t>
      </w:r>
    </w:p>
    <w:p w14:paraId="5AADC68F" w14:textId="77777777" w:rsidR="00700201" w:rsidRPr="00BB45C5" w:rsidRDefault="00700201" w:rsidP="00700201">
      <w:pPr>
        <w:pStyle w:val="First-LevelSubheading"/>
        <w:jc w:val="center"/>
      </w:pPr>
      <w:r w:rsidRPr="00BB45C5">
        <w:t>ANALYSIS</w:t>
      </w:r>
    </w:p>
    <w:p w14:paraId="57A74838" w14:textId="77777777" w:rsidR="00700201" w:rsidRPr="00BB45C5" w:rsidRDefault="00700201" w:rsidP="00700201">
      <w:pPr>
        <w:pStyle w:val="BodyText"/>
        <w:spacing w:after="0"/>
      </w:pPr>
    </w:p>
    <w:p w14:paraId="478A783E" w14:textId="77F530D7" w:rsidR="00700201" w:rsidRPr="00BB45C5" w:rsidRDefault="00E90E8C" w:rsidP="00E90E8C">
      <w:pPr>
        <w:pStyle w:val="BodyText"/>
      </w:pPr>
      <w:r w:rsidRPr="00BB45C5">
        <w:t>Commission staff has reviewed the revised cost of service study and associated tariffs, which</w:t>
      </w:r>
      <w:r w:rsidR="00405BDD" w:rsidRPr="00BB45C5">
        <w:t xml:space="preserve"> were</w:t>
      </w:r>
      <w:r w:rsidRPr="00BB45C5">
        <w:t xml:space="preserve"> revised to reflect the final Commission-approved revenue requirement.</w:t>
      </w:r>
      <w:r w:rsidRPr="00BB45C5">
        <w:rPr>
          <w:rStyle w:val="FootnoteReference"/>
        </w:rPr>
        <w:footnoteReference w:id="4"/>
      </w:r>
      <w:r w:rsidRPr="00BB45C5">
        <w:t xml:space="preserve"> </w:t>
      </w:r>
      <w:r w:rsidR="00BB45C5" w:rsidRPr="00BB45C5">
        <w:t xml:space="preserve">Reviewing the documentation provided by </w:t>
      </w:r>
      <w:r w:rsidR="00A1121C">
        <w:t>FCG</w:t>
      </w:r>
      <w:r w:rsidR="00BB45C5" w:rsidRPr="00BB45C5">
        <w:t>, staff believes that the revised cost of service study and associated</w:t>
      </w:r>
      <w:r w:rsidR="000C57A3">
        <w:t xml:space="preserve"> tariffs are in accordance with the </w:t>
      </w:r>
      <w:r w:rsidR="00BB45C5" w:rsidRPr="00BB45C5">
        <w:t>Commission vote from the March 28, 2023 Special Agenda Conference. The Commission should approve the proposed tariffs as provided in Attachment B to the recommendation.</w:t>
      </w:r>
    </w:p>
    <w:p w14:paraId="2633AB95" w14:textId="2FC6CFB2" w:rsidR="00DC5B56" w:rsidRPr="00BB45C5" w:rsidRDefault="00DC5B56">
      <w:pPr>
        <w:pStyle w:val="IssueHeading"/>
        <w:rPr>
          <w:vanish/>
          <w:specVanish/>
        </w:rPr>
      </w:pPr>
      <w:r w:rsidRPr="00BB45C5">
        <w:rPr>
          <w:b w:val="0"/>
          <w:i w:val="0"/>
        </w:rPr>
        <w:br w:type="page"/>
      </w:r>
      <w:r w:rsidRPr="00BB45C5">
        <w:lastRenderedPageBreak/>
        <w:t xml:space="preserve">Issue </w:t>
      </w:r>
      <w:r w:rsidRPr="00BB45C5">
        <w:fldChar w:fldCharType="begin"/>
      </w:r>
      <w:r w:rsidRPr="00BB45C5">
        <w:instrText>seq issue \r 73</w:instrText>
      </w:r>
      <w:r w:rsidRPr="00BB45C5">
        <w:fldChar w:fldCharType="separate"/>
      </w:r>
      <w:r w:rsidR="00246AD0">
        <w:rPr>
          <w:noProof/>
        </w:rPr>
        <w:t>73</w:t>
      </w:r>
      <w:r w:rsidRPr="00BB45C5">
        <w:rPr>
          <w:noProof/>
        </w:rPr>
        <w:fldChar w:fldCharType="end"/>
      </w:r>
      <w:r w:rsidRPr="00BB45C5">
        <w:t>:</w:t>
      </w:r>
      <w:r w:rsidRPr="00BB45C5">
        <w:fldChar w:fldCharType="begin"/>
      </w:r>
      <w:r w:rsidRPr="00BB45C5">
        <w:instrText xml:space="preserve"> TC "</w:instrText>
      </w:r>
      <w:r w:rsidRPr="00BB45C5">
        <w:fldChar w:fldCharType="begin"/>
      </w:r>
      <w:r w:rsidRPr="00BB45C5">
        <w:instrText xml:space="preserve"> SEQ issue \c </w:instrText>
      </w:r>
      <w:r w:rsidRPr="00BB45C5">
        <w:fldChar w:fldCharType="separate"/>
      </w:r>
      <w:r w:rsidR="00246AD0">
        <w:rPr>
          <w:noProof/>
        </w:rPr>
        <w:instrText>73</w:instrText>
      </w:r>
      <w:r w:rsidRPr="00BB45C5">
        <w:fldChar w:fldCharType="end"/>
      </w:r>
      <w:r w:rsidRPr="00BB45C5">
        <w:tab/>
        <w:instrText xml:space="preserve">(Trierweiler, Jones)" \l 1 </w:instrText>
      </w:r>
      <w:r w:rsidRPr="00BB45C5">
        <w:fldChar w:fldCharType="end"/>
      </w:r>
      <w:r w:rsidRPr="00BB45C5">
        <w:t> </w:t>
      </w:r>
    </w:p>
    <w:p w14:paraId="274A2A6E" w14:textId="77777777" w:rsidR="00DC5B56" w:rsidRPr="00BB45C5" w:rsidRDefault="00DC5B56">
      <w:pPr>
        <w:pStyle w:val="BodyText"/>
      </w:pPr>
      <w:r w:rsidRPr="00BB45C5">
        <w:t> Should this docket be closed?</w:t>
      </w:r>
    </w:p>
    <w:p w14:paraId="634A7362" w14:textId="77777777" w:rsidR="00DC5B56" w:rsidRPr="00BB45C5" w:rsidRDefault="00DC5B56">
      <w:pPr>
        <w:pStyle w:val="IssueSubsectionHeading"/>
        <w:rPr>
          <w:vanish/>
          <w:specVanish/>
        </w:rPr>
      </w:pPr>
      <w:r w:rsidRPr="00BB45C5">
        <w:t>Recommendation: </w:t>
      </w:r>
    </w:p>
    <w:p w14:paraId="3A3963FF" w14:textId="13118E8B" w:rsidR="00DC5B56" w:rsidRPr="00BA6DD1" w:rsidRDefault="00DC5B56">
      <w:pPr>
        <w:pStyle w:val="BodyText"/>
      </w:pPr>
      <w:r w:rsidRPr="00BB45C5">
        <w:t> </w:t>
      </w:r>
      <w:r w:rsidRPr="00BA6DD1">
        <w:t>After the final order is issued, this docket should be closed. (</w:t>
      </w:r>
      <w:r w:rsidR="00AA7776" w:rsidRPr="00BA6DD1">
        <w:t>Harper, Sparks</w:t>
      </w:r>
      <w:r w:rsidRPr="00BA6DD1">
        <w:t>)</w:t>
      </w:r>
    </w:p>
    <w:p w14:paraId="68590F8F" w14:textId="77777777" w:rsidR="006358EF" w:rsidRDefault="006358EF" w:rsidP="0018324C">
      <w:pPr>
        <w:pStyle w:val="BodyText"/>
        <w:sectPr w:rsidR="006358EF"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545115A3" w14:textId="77777777" w:rsidR="003D2403" w:rsidRDefault="003D2403" w:rsidP="0018324C">
      <w:pPr>
        <w:pStyle w:val="BodyText"/>
        <w:sectPr w:rsidR="003D2403"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BDF8EA7" wp14:editId="29CD3173">
            <wp:extent cx="5943600" cy="4925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March 31 POST AGENDA Final (AF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925056"/>
                    </a:xfrm>
                    <a:prstGeom prst="rect">
                      <a:avLst/>
                    </a:prstGeom>
                  </pic:spPr>
                </pic:pic>
              </a:graphicData>
            </a:graphic>
          </wp:inline>
        </w:drawing>
      </w:r>
    </w:p>
    <w:p w14:paraId="419191B8" w14:textId="6FAE8848" w:rsidR="0018324C" w:rsidRDefault="00656571" w:rsidP="0018324C">
      <w:pPr>
        <w:pStyle w:val="BodyText"/>
      </w:pPr>
      <w:r>
        <w:rPr>
          <w:noProof/>
        </w:rPr>
        <w:lastRenderedPageBreak/>
        <w:drawing>
          <wp:inline distT="0" distB="0" distL="0" distR="0" wp14:anchorId="258D090F" wp14:editId="2C3D466C">
            <wp:extent cx="5943600" cy="800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20220069 - FCG Letter with attached  Revised MFR E and  H Schedules and Tariffs_Page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002905"/>
                    </a:xfrm>
                    <a:prstGeom prst="rect">
                      <a:avLst/>
                    </a:prstGeom>
                  </pic:spPr>
                </pic:pic>
              </a:graphicData>
            </a:graphic>
          </wp:inline>
        </w:drawing>
      </w:r>
      <w:r>
        <w:rPr>
          <w:noProof/>
        </w:rPr>
        <w:lastRenderedPageBreak/>
        <w:drawing>
          <wp:inline distT="0" distB="0" distL="0" distR="0" wp14:anchorId="6E757630" wp14:editId="7478AFA1">
            <wp:extent cx="5765165" cy="813816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20220069 - FCG Letter with attached  Revised MFR E and  H Schedules and Tariffs_Page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5165" cy="8138160"/>
                    </a:xfrm>
                    <a:prstGeom prst="rect">
                      <a:avLst/>
                    </a:prstGeom>
                  </pic:spPr>
                </pic:pic>
              </a:graphicData>
            </a:graphic>
          </wp:inline>
        </w:drawing>
      </w:r>
      <w:r>
        <w:rPr>
          <w:noProof/>
        </w:rPr>
        <w:lastRenderedPageBreak/>
        <w:drawing>
          <wp:inline distT="0" distB="0" distL="0" distR="0" wp14:anchorId="10FBBBBD" wp14:editId="181EB60D">
            <wp:extent cx="5770880" cy="81381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20220069 - FCG Letter with attached  Revised MFR E and  H Schedules and Tariffs_Page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0880" cy="8138160"/>
                    </a:xfrm>
                    <a:prstGeom prst="rect">
                      <a:avLst/>
                    </a:prstGeom>
                  </pic:spPr>
                </pic:pic>
              </a:graphicData>
            </a:graphic>
          </wp:inline>
        </w:drawing>
      </w:r>
      <w:r>
        <w:rPr>
          <w:noProof/>
        </w:rPr>
        <w:lastRenderedPageBreak/>
        <w:drawing>
          <wp:inline distT="0" distB="0" distL="0" distR="0" wp14:anchorId="7F245F74" wp14:editId="05D5A40D">
            <wp:extent cx="5694045" cy="813816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20220069 - FCG Letter with attached  Revised MFR E and  H Schedules and Tariffs_Page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4045" cy="8138160"/>
                    </a:xfrm>
                    <a:prstGeom prst="rect">
                      <a:avLst/>
                    </a:prstGeom>
                  </pic:spPr>
                </pic:pic>
              </a:graphicData>
            </a:graphic>
          </wp:inline>
        </w:drawing>
      </w:r>
      <w:r>
        <w:rPr>
          <w:noProof/>
        </w:rPr>
        <w:lastRenderedPageBreak/>
        <w:drawing>
          <wp:inline distT="0" distB="0" distL="0" distR="0" wp14:anchorId="4BF7F97F" wp14:editId="48973448">
            <wp:extent cx="5733415" cy="81381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20220069 - FCG Letter with attached  Revised MFR E and  H Schedules and Tariffs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8138160"/>
                    </a:xfrm>
                    <a:prstGeom prst="rect">
                      <a:avLst/>
                    </a:prstGeom>
                  </pic:spPr>
                </pic:pic>
              </a:graphicData>
            </a:graphic>
          </wp:inline>
        </w:drawing>
      </w:r>
      <w:r>
        <w:rPr>
          <w:noProof/>
        </w:rPr>
        <w:lastRenderedPageBreak/>
        <w:drawing>
          <wp:inline distT="0" distB="0" distL="0" distR="0" wp14:anchorId="5CE3360A" wp14:editId="6BBD9914">
            <wp:extent cx="5854700" cy="813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20220069 - FCG Letter with attached  Revised MFR E and  H Schedules and Tariffs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4700" cy="8138160"/>
                    </a:xfrm>
                    <a:prstGeom prst="rect">
                      <a:avLst/>
                    </a:prstGeom>
                  </pic:spPr>
                </pic:pic>
              </a:graphicData>
            </a:graphic>
          </wp:inline>
        </w:drawing>
      </w:r>
      <w:r>
        <w:rPr>
          <w:noProof/>
        </w:rPr>
        <w:lastRenderedPageBreak/>
        <w:drawing>
          <wp:inline distT="0" distB="0" distL="0" distR="0" wp14:anchorId="3B081233" wp14:editId="0402E650">
            <wp:extent cx="5807710" cy="81381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20220069 - FCG Letter with attached  Revised MFR E and  H Schedules and Tariffs_Page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7710" cy="8138160"/>
                    </a:xfrm>
                    <a:prstGeom prst="rect">
                      <a:avLst/>
                    </a:prstGeom>
                  </pic:spPr>
                </pic:pic>
              </a:graphicData>
            </a:graphic>
          </wp:inline>
        </w:drawing>
      </w:r>
      <w:r>
        <w:rPr>
          <w:noProof/>
        </w:rPr>
        <w:lastRenderedPageBreak/>
        <w:drawing>
          <wp:inline distT="0" distB="0" distL="0" distR="0" wp14:anchorId="02B03029" wp14:editId="7E4A498D">
            <wp:extent cx="5943600" cy="8043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20220069 - FCG Letter with attached  Revised MFR E and  H Schedules and Tariffs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043545"/>
                    </a:xfrm>
                    <a:prstGeom prst="rect">
                      <a:avLst/>
                    </a:prstGeom>
                  </pic:spPr>
                </pic:pic>
              </a:graphicData>
            </a:graphic>
          </wp:inline>
        </w:drawing>
      </w:r>
      <w:r>
        <w:rPr>
          <w:noProof/>
        </w:rPr>
        <w:lastRenderedPageBreak/>
        <w:drawing>
          <wp:inline distT="0" distB="0" distL="0" distR="0" wp14:anchorId="52AB2F9F" wp14:editId="7BB05739">
            <wp:extent cx="5943600" cy="8108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20220069 - FCG Letter with attached  Revised MFR E and  H Schedules and Tariffs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108950"/>
                    </a:xfrm>
                    <a:prstGeom prst="rect">
                      <a:avLst/>
                    </a:prstGeom>
                  </pic:spPr>
                </pic:pic>
              </a:graphicData>
            </a:graphic>
          </wp:inline>
        </w:drawing>
      </w:r>
      <w:r>
        <w:rPr>
          <w:noProof/>
        </w:rPr>
        <w:lastRenderedPageBreak/>
        <w:drawing>
          <wp:inline distT="0" distB="0" distL="0" distR="0" wp14:anchorId="075B9858" wp14:editId="5CFD0F92">
            <wp:extent cx="5902960" cy="81381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20220069 - FCG Letter with attached  Revised MFR E and  H Schedules and Tariffs_Page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2960" cy="8138160"/>
                    </a:xfrm>
                    <a:prstGeom prst="rect">
                      <a:avLst/>
                    </a:prstGeom>
                  </pic:spPr>
                </pic:pic>
              </a:graphicData>
            </a:graphic>
          </wp:inline>
        </w:drawing>
      </w:r>
      <w:r>
        <w:rPr>
          <w:noProof/>
        </w:rPr>
        <w:lastRenderedPageBreak/>
        <w:drawing>
          <wp:inline distT="0" distB="0" distL="0" distR="0" wp14:anchorId="3713E3B2" wp14:editId="29D7D81F">
            <wp:extent cx="5902960" cy="81381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20220069 - FCG Letter with attached  Revised MFR E and  H Schedules and Tariffs_Page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2960" cy="8138160"/>
                    </a:xfrm>
                    <a:prstGeom prst="rect">
                      <a:avLst/>
                    </a:prstGeom>
                  </pic:spPr>
                </pic:pic>
              </a:graphicData>
            </a:graphic>
          </wp:inline>
        </w:drawing>
      </w:r>
      <w:r>
        <w:rPr>
          <w:noProof/>
        </w:rPr>
        <w:lastRenderedPageBreak/>
        <w:drawing>
          <wp:inline distT="0" distB="0" distL="0" distR="0" wp14:anchorId="66AC48B2" wp14:editId="588AF1DB">
            <wp:extent cx="5852160" cy="813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s from 20220069 - FCG Letter with attached  Revised MFR E and  H Schedules and Tariffs_Page_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2160" cy="8138160"/>
                    </a:xfrm>
                    <a:prstGeom prst="rect">
                      <a:avLst/>
                    </a:prstGeom>
                  </pic:spPr>
                </pic:pic>
              </a:graphicData>
            </a:graphic>
          </wp:inline>
        </w:drawing>
      </w:r>
      <w:r>
        <w:rPr>
          <w:noProof/>
        </w:rPr>
        <w:lastRenderedPageBreak/>
        <w:drawing>
          <wp:inline distT="0" distB="0" distL="0" distR="0" wp14:anchorId="1B727693" wp14:editId="656D3B2B">
            <wp:extent cx="5943600" cy="81019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s from 20220069 - FCG Letter with attached  Revised MFR E and  H Schedules and Tariffs_Page_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8101965"/>
                    </a:xfrm>
                    <a:prstGeom prst="rect">
                      <a:avLst/>
                    </a:prstGeom>
                  </pic:spPr>
                </pic:pic>
              </a:graphicData>
            </a:graphic>
          </wp:inline>
        </w:drawing>
      </w:r>
      <w:r>
        <w:rPr>
          <w:noProof/>
        </w:rPr>
        <w:lastRenderedPageBreak/>
        <w:drawing>
          <wp:inline distT="0" distB="0" distL="0" distR="0" wp14:anchorId="5CFF7B53" wp14:editId="2A83CDF1">
            <wp:extent cx="5795010" cy="8138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ges from 20220069 - FCG Letter with attached  Revised MFR E and  H Schedules and Tariffs_Page_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5010" cy="8138160"/>
                    </a:xfrm>
                    <a:prstGeom prst="rect">
                      <a:avLst/>
                    </a:prstGeom>
                  </pic:spPr>
                </pic:pic>
              </a:graphicData>
            </a:graphic>
          </wp:inline>
        </w:drawing>
      </w:r>
      <w:r>
        <w:rPr>
          <w:noProof/>
        </w:rPr>
        <w:lastRenderedPageBreak/>
        <w:drawing>
          <wp:inline distT="0" distB="0" distL="0" distR="0" wp14:anchorId="79782AF0" wp14:editId="1D8070EB">
            <wp:extent cx="5773420" cy="813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s from 20220069 - FCG Letter with attached  Revised MFR E and  H Schedules and Tariffs_Page_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3420" cy="8138160"/>
                    </a:xfrm>
                    <a:prstGeom prst="rect">
                      <a:avLst/>
                    </a:prstGeom>
                  </pic:spPr>
                </pic:pic>
              </a:graphicData>
            </a:graphic>
          </wp:inline>
        </w:drawing>
      </w:r>
      <w:r>
        <w:rPr>
          <w:noProof/>
        </w:rPr>
        <w:lastRenderedPageBreak/>
        <w:drawing>
          <wp:inline distT="0" distB="0" distL="0" distR="0" wp14:anchorId="7F920706" wp14:editId="252F84A0">
            <wp:extent cx="5943600" cy="81070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s from 20220069 - FCG Letter with attached  Revised MFR E and  H Schedules and Tariffs_Page_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107045"/>
                    </a:xfrm>
                    <a:prstGeom prst="rect">
                      <a:avLst/>
                    </a:prstGeom>
                  </pic:spPr>
                </pic:pic>
              </a:graphicData>
            </a:graphic>
          </wp:inline>
        </w:drawing>
      </w:r>
      <w:r>
        <w:rPr>
          <w:noProof/>
        </w:rPr>
        <w:lastRenderedPageBreak/>
        <w:drawing>
          <wp:inline distT="0" distB="0" distL="0" distR="0" wp14:anchorId="15AF264C" wp14:editId="2AFFBEF9">
            <wp:extent cx="5814060" cy="8138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s from 20220069 - FCG Letter with attached  Revised MFR E and  H Schedules and Tariffs_Page_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4060" cy="8138160"/>
                    </a:xfrm>
                    <a:prstGeom prst="rect">
                      <a:avLst/>
                    </a:prstGeom>
                  </pic:spPr>
                </pic:pic>
              </a:graphicData>
            </a:graphic>
          </wp:inline>
        </w:drawing>
      </w:r>
    </w:p>
    <w:sectPr w:rsidR="0018324C" w:rsidSect="0068481F">
      <w:headerReference w:type="default" r:id="rId3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26D13" w14:textId="77777777" w:rsidR="00E4352F" w:rsidRDefault="00E4352F">
      <w:r>
        <w:separator/>
      </w:r>
    </w:p>
  </w:endnote>
  <w:endnote w:type="continuationSeparator" w:id="0">
    <w:p w14:paraId="64908282" w14:textId="77777777" w:rsidR="00E4352F" w:rsidRDefault="00E4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F2F26" w14:textId="693380A4"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F470E">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465E4"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759C3" w14:textId="77777777" w:rsidR="00E4352F" w:rsidRDefault="00E4352F">
      <w:r>
        <w:separator/>
      </w:r>
    </w:p>
  </w:footnote>
  <w:footnote w:type="continuationSeparator" w:id="0">
    <w:p w14:paraId="4C2711A3" w14:textId="77777777" w:rsidR="00E4352F" w:rsidRDefault="00E4352F">
      <w:r>
        <w:continuationSeparator/>
      </w:r>
    </w:p>
  </w:footnote>
  <w:footnote w:id="1">
    <w:p w14:paraId="7BBAB346" w14:textId="40F301E6" w:rsidR="00940AFF" w:rsidRDefault="00940AFF">
      <w:pPr>
        <w:pStyle w:val="FootnoteText"/>
      </w:pPr>
      <w:r>
        <w:rPr>
          <w:rStyle w:val="FootnoteReference"/>
        </w:rPr>
        <w:footnoteRef/>
      </w:r>
      <w:r>
        <w:t xml:space="preserve"> </w:t>
      </w:r>
      <w:r w:rsidRPr="00246AD0">
        <w:t xml:space="preserve">The </w:t>
      </w:r>
      <w:r w:rsidR="00E52596">
        <w:t xml:space="preserve">incremental operating </w:t>
      </w:r>
      <w:r w:rsidRPr="00246AD0">
        <w:t xml:space="preserve">revenue increase shown </w:t>
      </w:r>
      <w:r w:rsidR="006B5289" w:rsidRPr="00246AD0">
        <w:t xml:space="preserve">does not </w:t>
      </w:r>
      <w:r w:rsidRPr="00246AD0">
        <w:t>include the</w:t>
      </w:r>
      <w:r w:rsidR="008F641B" w:rsidRPr="00246AD0">
        <w:t xml:space="preserve"> revenues associated with</w:t>
      </w:r>
      <w:r w:rsidRPr="00246AD0">
        <w:t xml:space="preserve"> </w:t>
      </w:r>
      <w:r w:rsidR="008F641B" w:rsidRPr="00246AD0">
        <w:t xml:space="preserve">the transfer of </w:t>
      </w:r>
      <w:r w:rsidRPr="00246AD0">
        <w:t xml:space="preserve">SAFE </w:t>
      </w:r>
      <w:r w:rsidR="008F641B" w:rsidRPr="00246AD0">
        <w:t>investments</w:t>
      </w:r>
      <w:r w:rsidRPr="00246AD0">
        <w:t xml:space="preserve">, as </w:t>
      </w:r>
      <w:r w:rsidR="006358EF" w:rsidRPr="00246AD0">
        <w:t>approved</w:t>
      </w:r>
      <w:r w:rsidRPr="00246AD0">
        <w:t xml:space="preserve"> in Issue 10</w:t>
      </w:r>
      <w:r w:rsidR="008F641B" w:rsidRPr="00246AD0">
        <w:t>, nor the LNG facility previously approved by the Commission.</w:t>
      </w:r>
      <w:r w:rsidR="008F641B" w:rsidRPr="008F641B">
        <w:t xml:space="preserve"> As </w:t>
      </w:r>
      <w:r w:rsidR="00246AD0">
        <w:t>provided</w:t>
      </w:r>
      <w:r w:rsidR="008F641B" w:rsidRPr="008F641B">
        <w:t xml:space="preserve"> on Attachment A, the total increase to base rates is $23,308,073</w:t>
      </w:r>
      <w:r w:rsidR="00246AD0">
        <w:t xml:space="preserve"> </w:t>
      </w:r>
      <w:r w:rsidR="00246AD0" w:rsidRPr="008F641B">
        <w:t>when the LNG revenue of $3,828,493 and the SAFE rev</w:t>
      </w:r>
      <w:r w:rsidR="00246AD0">
        <w:t>enue of $5,330,459 are included.</w:t>
      </w:r>
    </w:p>
  </w:footnote>
  <w:footnote w:id="2">
    <w:p w14:paraId="206374BD" w14:textId="3F7BCF7A" w:rsidR="0086517B" w:rsidRDefault="0086517B">
      <w:pPr>
        <w:pStyle w:val="FootnoteText"/>
      </w:pPr>
      <w:r>
        <w:rPr>
          <w:rStyle w:val="FootnoteReference"/>
        </w:rPr>
        <w:footnoteRef/>
      </w:r>
      <w:r>
        <w:t xml:space="preserve"> See Schedule H-1, page 1 of 6, line 1, of the revised cost of service (Document No. 02578-2023).</w:t>
      </w:r>
    </w:p>
  </w:footnote>
  <w:footnote w:id="3">
    <w:p w14:paraId="1A4D6F7E" w14:textId="0602ABE3" w:rsidR="00101634" w:rsidRDefault="00101634">
      <w:pPr>
        <w:pStyle w:val="FootnoteText"/>
      </w:pPr>
      <w:r>
        <w:rPr>
          <w:rStyle w:val="FootnoteReference"/>
        </w:rPr>
        <w:footnoteRef/>
      </w:r>
      <w:r>
        <w:t xml:space="preserve"> Document No. 02578-2023.</w:t>
      </w:r>
    </w:p>
  </w:footnote>
  <w:footnote w:id="4">
    <w:p w14:paraId="7AF8CC02" w14:textId="77777777" w:rsidR="00E90E8C" w:rsidRDefault="00E90E8C" w:rsidP="00E90E8C">
      <w:pPr>
        <w:pStyle w:val="FootnoteText"/>
      </w:pPr>
      <w:r>
        <w:rPr>
          <w:rStyle w:val="FootnoteReference"/>
        </w:rPr>
        <w:footnoteRef/>
      </w:r>
      <w:r>
        <w:t xml:space="preserve"> Document No. 02578-2023.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0B718" w14:textId="77777777" w:rsidR="00BC402E" w:rsidRDefault="00FD4164"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20220069-GU</w:t>
    </w:r>
    <w:bookmarkEnd w:id="15"/>
  </w:p>
  <w:p w14:paraId="2DFCEFBB" w14:textId="2859F494" w:rsidR="00BC402E" w:rsidRDefault="00BC402E">
    <w:pPr>
      <w:pStyle w:val="Header"/>
    </w:pPr>
    <w:r>
      <w:t xml:space="preserve">Date: </w:t>
    </w:r>
    <w:fldSimple w:instr=" REF FilingDate ">
      <w:r w:rsidR="00246AD0">
        <w:t>April 14,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F68E" w14:textId="61E5C770"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46AD0">
      <w:t>Docket No.</w:t>
    </w:r>
    <w:r>
      <w:fldChar w:fldCharType="end"/>
    </w:r>
    <w:r>
      <w:t xml:space="preserve"> </w:t>
    </w:r>
    <w:r>
      <w:fldChar w:fldCharType="begin"/>
    </w:r>
    <w:r>
      <w:instrText xml:space="preserve"> REF DocketList</w:instrText>
    </w:r>
    <w:r>
      <w:fldChar w:fldCharType="separate"/>
    </w:r>
    <w:r w:rsidR="00246AD0">
      <w:t>20220069-GU</w:t>
    </w:r>
    <w:r>
      <w:fldChar w:fldCharType="end"/>
    </w:r>
    <w:r>
      <w:tab/>
      <w:t xml:space="preserve">Issue </w:t>
    </w:r>
    <w:fldSimple w:instr=" Seq Issue \c \* Arabic ">
      <w:r w:rsidR="004F470E">
        <w:rPr>
          <w:noProof/>
        </w:rPr>
        <w:t>73</w:t>
      </w:r>
    </w:fldSimple>
  </w:p>
  <w:p w14:paraId="4BA59C6C" w14:textId="5C458DEA" w:rsidR="00BC402E" w:rsidRDefault="00BC402E">
    <w:pPr>
      <w:pStyle w:val="Header"/>
    </w:pPr>
    <w:r>
      <w:t xml:space="preserve">Date: </w:t>
    </w:r>
    <w:fldSimple w:instr=" REF FilingDate ">
      <w:r w:rsidR="00246AD0">
        <w:t>April 14,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3E5E2"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8B3A9" w14:textId="445E27AB" w:rsidR="006358EF" w:rsidRDefault="006358EF" w:rsidP="00220732">
    <w:pPr>
      <w:pStyle w:val="Header"/>
      <w:tabs>
        <w:tab w:val="clear" w:pos="4320"/>
        <w:tab w:val="clear" w:pos="8640"/>
        <w:tab w:val="right" w:pos="9360"/>
      </w:tabs>
    </w:pPr>
    <w:r>
      <w:fldChar w:fldCharType="begin"/>
    </w:r>
    <w:r>
      <w:instrText xml:space="preserve"> REF DocketLabel</w:instrText>
    </w:r>
    <w:r>
      <w:fldChar w:fldCharType="separate"/>
    </w:r>
    <w:r w:rsidR="00246AD0">
      <w:t>Docket No.</w:t>
    </w:r>
    <w:r>
      <w:fldChar w:fldCharType="end"/>
    </w:r>
    <w:r>
      <w:t xml:space="preserve"> </w:t>
    </w:r>
    <w:r>
      <w:fldChar w:fldCharType="begin"/>
    </w:r>
    <w:r>
      <w:instrText xml:space="preserve"> REF DocketList</w:instrText>
    </w:r>
    <w:r>
      <w:fldChar w:fldCharType="separate"/>
    </w:r>
    <w:r w:rsidR="00246AD0">
      <w:t>20220069-GU</w:t>
    </w:r>
    <w:r>
      <w:fldChar w:fldCharType="end"/>
    </w:r>
    <w:r>
      <w:tab/>
      <w:t>Attachment A</w:t>
    </w:r>
  </w:p>
  <w:p w14:paraId="57E13BA6" w14:textId="65C7A962" w:rsidR="006358EF" w:rsidRDefault="006358EF">
    <w:pPr>
      <w:pStyle w:val="Header"/>
    </w:pPr>
    <w:r>
      <w:t xml:space="preserve">Date: </w:t>
    </w:r>
    <w:r w:rsidR="00E32EBA">
      <w:fldChar w:fldCharType="begin"/>
    </w:r>
    <w:r w:rsidR="00E32EBA">
      <w:instrText xml:space="preserve"> REF FilingDate </w:instrText>
    </w:r>
    <w:r w:rsidR="00E32EBA">
      <w:fldChar w:fldCharType="separate"/>
    </w:r>
    <w:r w:rsidR="00246AD0">
      <w:t>April 14, 2023</w:t>
    </w:r>
    <w:r w:rsidR="00E32EBA">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5020A" w14:textId="3EA6A251" w:rsidR="003D2403" w:rsidRDefault="003D2403" w:rsidP="00220732">
    <w:pPr>
      <w:pStyle w:val="Header"/>
      <w:tabs>
        <w:tab w:val="clear" w:pos="4320"/>
        <w:tab w:val="clear" w:pos="8640"/>
        <w:tab w:val="right" w:pos="9360"/>
      </w:tabs>
    </w:pPr>
    <w:r>
      <w:fldChar w:fldCharType="begin"/>
    </w:r>
    <w:r>
      <w:instrText xml:space="preserve"> REF DocketLabel</w:instrText>
    </w:r>
    <w:r>
      <w:fldChar w:fldCharType="separate"/>
    </w:r>
    <w:r w:rsidR="00246AD0">
      <w:t>Docket No.</w:t>
    </w:r>
    <w:r>
      <w:fldChar w:fldCharType="end"/>
    </w:r>
    <w:r>
      <w:t xml:space="preserve"> </w:t>
    </w:r>
    <w:r>
      <w:fldChar w:fldCharType="begin"/>
    </w:r>
    <w:r>
      <w:instrText xml:space="preserve"> REF DocketList</w:instrText>
    </w:r>
    <w:r>
      <w:fldChar w:fldCharType="separate"/>
    </w:r>
    <w:r w:rsidR="00246AD0">
      <w:t>20220069-GU</w:t>
    </w:r>
    <w:r>
      <w:fldChar w:fldCharType="end"/>
    </w:r>
    <w:r>
      <w:tab/>
      <w:t>Attachment B</w:t>
    </w:r>
  </w:p>
  <w:p w14:paraId="3E3BEC36" w14:textId="69648596" w:rsidR="003D2403" w:rsidRDefault="003D2403" w:rsidP="00405BDD">
    <w:pPr>
      <w:pStyle w:val="Header"/>
      <w:tabs>
        <w:tab w:val="clear" w:pos="4320"/>
        <w:tab w:val="clear" w:pos="8640"/>
        <w:tab w:val="right" w:pos="9360"/>
      </w:tabs>
    </w:pPr>
    <w:r>
      <w:t xml:space="preserve">Date: </w:t>
    </w:r>
    <w:r w:rsidR="00E32EBA">
      <w:fldChar w:fldCharType="begin"/>
    </w:r>
    <w:r w:rsidR="00E32EBA">
      <w:instrText xml:space="preserve"> REF FilingDate </w:instrText>
    </w:r>
    <w:r w:rsidR="00E32EBA">
      <w:fldChar w:fldCharType="separate"/>
    </w:r>
    <w:r w:rsidR="00246AD0">
      <w:t>April 14, 2023</w:t>
    </w:r>
    <w:r w:rsidR="00E32EBA">
      <w:fldChar w:fldCharType="end"/>
    </w:r>
    <w:r w:rsidR="00405BDD">
      <w:tab/>
      <w:t xml:space="preserve">Page </w:t>
    </w:r>
    <w:r w:rsidR="00405BDD">
      <w:fldChar w:fldCharType="begin"/>
    </w:r>
    <w:r w:rsidR="00405BDD">
      <w:instrText xml:space="preserve">= </w:instrText>
    </w:r>
    <w:r w:rsidR="00405BDD">
      <w:fldChar w:fldCharType="begin"/>
    </w:r>
    <w:r w:rsidR="00405BDD">
      <w:instrText xml:space="preserve">Page </w:instrText>
    </w:r>
    <w:r w:rsidR="00405BDD">
      <w:fldChar w:fldCharType="separate"/>
    </w:r>
    <w:r w:rsidR="004F470E">
      <w:rPr>
        <w:noProof/>
      </w:rPr>
      <w:instrText>21</w:instrText>
    </w:r>
    <w:r w:rsidR="00405BDD">
      <w:fldChar w:fldCharType="end"/>
    </w:r>
    <w:r w:rsidR="00405BDD">
      <w:instrText xml:space="preserve">- 9 </w:instrText>
    </w:r>
    <w:r w:rsidR="00405BDD">
      <w:fldChar w:fldCharType="separate"/>
    </w:r>
    <w:r w:rsidR="004F470E">
      <w:rPr>
        <w:noProof/>
      </w:rPr>
      <w:t>12</w:t>
    </w:r>
    <w:r w:rsidR="00405BDD">
      <w:fldChar w:fldCharType="end"/>
    </w:r>
    <w:r w:rsidR="00405BDD">
      <w:t xml:space="preserve"> of 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945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D4164"/>
    <w:rsid w:val="000043D5"/>
    <w:rsid w:val="00006170"/>
    <w:rsid w:val="00010E37"/>
    <w:rsid w:val="000172DA"/>
    <w:rsid w:val="00022337"/>
    <w:rsid w:val="00023A0E"/>
    <w:rsid w:val="000247C5"/>
    <w:rsid w:val="000277C2"/>
    <w:rsid w:val="00033A99"/>
    <w:rsid w:val="00035B48"/>
    <w:rsid w:val="00036CE2"/>
    <w:rsid w:val="000437FE"/>
    <w:rsid w:val="000513BE"/>
    <w:rsid w:val="00051573"/>
    <w:rsid w:val="0005451B"/>
    <w:rsid w:val="00065A06"/>
    <w:rsid w:val="000666F3"/>
    <w:rsid w:val="00070DCB"/>
    <w:rsid w:val="0007278E"/>
    <w:rsid w:val="00072CCA"/>
    <w:rsid w:val="00073120"/>
    <w:rsid w:val="000764D0"/>
    <w:rsid w:val="000828D3"/>
    <w:rsid w:val="00092071"/>
    <w:rsid w:val="000A0CAC"/>
    <w:rsid w:val="000A2B57"/>
    <w:rsid w:val="000A418B"/>
    <w:rsid w:val="000B0ACE"/>
    <w:rsid w:val="000C4431"/>
    <w:rsid w:val="000C57A3"/>
    <w:rsid w:val="000C6607"/>
    <w:rsid w:val="000D1C06"/>
    <w:rsid w:val="000D3043"/>
    <w:rsid w:val="000D4319"/>
    <w:rsid w:val="000E24FA"/>
    <w:rsid w:val="000E338A"/>
    <w:rsid w:val="000E4392"/>
    <w:rsid w:val="000F374A"/>
    <w:rsid w:val="000F4DAF"/>
    <w:rsid w:val="00101634"/>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47CE8"/>
    <w:rsid w:val="00150ECE"/>
    <w:rsid w:val="0015506E"/>
    <w:rsid w:val="00163031"/>
    <w:rsid w:val="001654C4"/>
    <w:rsid w:val="00171A90"/>
    <w:rsid w:val="00180254"/>
    <w:rsid w:val="0018324C"/>
    <w:rsid w:val="00185577"/>
    <w:rsid w:val="00191E1F"/>
    <w:rsid w:val="00191EE8"/>
    <w:rsid w:val="00192943"/>
    <w:rsid w:val="00193BAF"/>
    <w:rsid w:val="00194791"/>
    <w:rsid w:val="001A71B0"/>
    <w:rsid w:val="001A7406"/>
    <w:rsid w:val="001A7AE4"/>
    <w:rsid w:val="001B1EDC"/>
    <w:rsid w:val="001B4053"/>
    <w:rsid w:val="001B4FEE"/>
    <w:rsid w:val="001B51C5"/>
    <w:rsid w:val="001B672A"/>
    <w:rsid w:val="001B6F3F"/>
    <w:rsid w:val="001C52B5"/>
    <w:rsid w:val="001D0D3E"/>
    <w:rsid w:val="001D2817"/>
    <w:rsid w:val="001D2899"/>
    <w:rsid w:val="001E14A3"/>
    <w:rsid w:val="001E7FF4"/>
    <w:rsid w:val="001F2245"/>
    <w:rsid w:val="001F2C63"/>
    <w:rsid w:val="001F48C7"/>
    <w:rsid w:val="001F6DA1"/>
    <w:rsid w:val="00200178"/>
    <w:rsid w:val="002014D6"/>
    <w:rsid w:val="002018CC"/>
    <w:rsid w:val="00204200"/>
    <w:rsid w:val="002044E6"/>
    <w:rsid w:val="00205C82"/>
    <w:rsid w:val="00205C8C"/>
    <w:rsid w:val="00205DC2"/>
    <w:rsid w:val="00212B17"/>
    <w:rsid w:val="002163B6"/>
    <w:rsid w:val="00217215"/>
    <w:rsid w:val="00220732"/>
    <w:rsid w:val="0022121F"/>
    <w:rsid w:val="00221D32"/>
    <w:rsid w:val="00222AC1"/>
    <w:rsid w:val="00225C3F"/>
    <w:rsid w:val="00246AD0"/>
    <w:rsid w:val="002579E4"/>
    <w:rsid w:val="00263D44"/>
    <w:rsid w:val="002702AD"/>
    <w:rsid w:val="00281EB4"/>
    <w:rsid w:val="00292599"/>
    <w:rsid w:val="002929FD"/>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4F1B"/>
    <w:rsid w:val="00325E15"/>
    <w:rsid w:val="00340073"/>
    <w:rsid w:val="003411D8"/>
    <w:rsid w:val="003445B0"/>
    <w:rsid w:val="00353B66"/>
    <w:rsid w:val="00355934"/>
    <w:rsid w:val="00357928"/>
    <w:rsid w:val="003632FD"/>
    <w:rsid w:val="00365CB5"/>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C5221"/>
    <w:rsid w:val="003D2403"/>
    <w:rsid w:val="003E0463"/>
    <w:rsid w:val="003E0EFC"/>
    <w:rsid w:val="003E4A2B"/>
    <w:rsid w:val="003E6FE9"/>
    <w:rsid w:val="003E76C2"/>
    <w:rsid w:val="003F1367"/>
    <w:rsid w:val="003F1679"/>
    <w:rsid w:val="003F21EB"/>
    <w:rsid w:val="003F4A35"/>
    <w:rsid w:val="003F5F03"/>
    <w:rsid w:val="003F7FDD"/>
    <w:rsid w:val="00402101"/>
    <w:rsid w:val="00402481"/>
    <w:rsid w:val="004039D3"/>
    <w:rsid w:val="004042B4"/>
    <w:rsid w:val="00405BDD"/>
    <w:rsid w:val="00407939"/>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3423"/>
    <w:rsid w:val="00477026"/>
    <w:rsid w:val="00477730"/>
    <w:rsid w:val="00486337"/>
    <w:rsid w:val="004A072A"/>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470E"/>
    <w:rsid w:val="004F50D1"/>
    <w:rsid w:val="004F5C43"/>
    <w:rsid w:val="005050A2"/>
    <w:rsid w:val="00506030"/>
    <w:rsid w:val="0050652D"/>
    <w:rsid w:val="00506C03"/>
    <w:rsid w:val="0051098D"/>
    <w:rsid w:val="00511A11"/>
    <w:rsid w:val="00516496"/>
    <w:rsid w:val="00522E7D"/>
    <w:rsid w:val="00523B11"/>
    <w:rsid w:val="0052455B"/>
    <w:rsid w:val="0052572A"/>
    <w:rsid w:val="00532DFB"/>
    <w:rsid w:val="00543CB3"/>
    <w:rsid w:val="005442E4"/>
    <w:rsid w:val="005464F6"/>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358EF"/>
    <w:rsid w:val="006470BC"/>
    <w:rsid w:val="006554D3"/>
    <w:rsid w:val="00656571"/>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5289"/>
    <w:rsid w:val="006B624F"/>
    <w:rsid w:val="006C0C95"/>
    <w:rsid w:val="006C31E3"/>
    <w:rsid w:val="006D18D3"/>
    <w:rsid w:val="006D1EE9"/>
    <w:rsid w:val="006D3BD1"/>
    <w:rsid w:val="006E010E"/>
    <w:rsid w:val="006E08CB"/>
    <w:rsid w:val="006E598D"/>
    <w:rsid w:val="00700201"/>
    <w:rsid w:val="0070437D"/>
    <w:rsid w:val="00704CF1"/>
    <w:rsid w:val="00705B04"/>
    <w:rsid w:val="0071040E"/>
    <w:rsid w:val="00717EE9"/>
    <w:rsid w:val="00724992"/>
    <w:rsid w:val="00724F64"/>
    <w:rsid w:val="00727F90"/>
    <w:rsid w:val="00734820"/>
    <w:rsid w:val="007349DC"/>
    <w:rsid w:val="0074365E"/>
    <w:rsid w:val="007444C9"/>
    <w:rsid w:val="00744B55"/>
    <w:rsid w:val="007515FD"/>
    <w:rsid w:val="00760D80"/>
    <w:rsid w:val="00761CB4"/>
    <w:rsid w:val="00780C09"/>
    <w:rsid w:val="00780DDF"/>
    <w:rsid w:val="007834E9"/>
    <w:rsid w:val="00787DBC"/>
    <w:rsid w:val="0079019A"/>
    <w:rsid w:val="00792935"/>
    <w:rsid w:val="007A04A1"/>
    <w:rsid w:val="007A1840"/>
    <w:rsid w:val="007B273C"/>
    <w:rsid w:val="007B730C"/>
    <w:rsid w:val="007C0528"/>
    <w:rsid w:val="007C08EA"/>
    <w:rsid w:val="007C3D38"/>
    <w:rsid w:val="007D0F35"/>
    <w:rsid w:val="007D4546"/>
    <w:rsid w:val="007D4FEB"/>
    <w:rsid w:val="007D6146"/>
    <w:rsid w:val="007E0CE7"/>
    <w:rsid w:val="007F1193"/>
    <w:rsid w:val="007F417F"/>
    <w:rsid w:val="007F5C6D"/>
    <w:rsid w:val="007F7644"/>
    <w:rsid w:val="008042BD"/>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6517B"/>
    <w:rsid w:val="008731AB"/>
    <w:rsid w:val="00874344"/>
    <w:rsid w:val="0087505D"/>
    <w:rsid w:val="00877703"/>
    <w:rsid w:val="00881AA0"/>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0FB2"/>
    <w:rsid w:val="008E1F19"/>
    <w:rsid w:val="008F2262"/>
    <w:rsid w:val="008F4D2B"/>
    <w:rsid w:val="008F5B91"/>
    <w:rsid w:val="008F641B"/>
    <w:rsid w:val="008F7736"/>
    <w:rsid w:val="0090019E"/>
    <w:rsid w:val="00900435"/>
    <w:rsid w:val="00901086"/>
    <w:rsid w:val="00901C10"/>
    <w:rsid w:val="00901C8A"/>
    <w:rsid w:val="00902F66"/>
    <w:rsid w:val="00904F3B"/>
    <w:rsid w:val="00905886"/>
    <w:rsid w:val="009070D6"/>
    <w:rsid w:val="009076C6"/>
    <w:rsid w:val="0091019E"/>
    <w:rsid w:val="009106F1"/>
    <w:rsid w:val="00912404"/>
    <w:rsid w:val="00913B23"/>
    <w:rsid w:val="009145D6"/>
    <w:rsid w:val="00915541"/>
    <w:rsid w:val="00920E64"/>
    <w:rsid w:val="00922002"/>
    <w:rsid w:val="009225CB"/>
    <w:rsid w:val="00924020"/>
    <w:rsid w:val="00924BF4"/>
    <w:rsid w:val="009271A7"/>
    <w:rsid w:val="0092762F"/>
    <w:rsid w:val="00933825"/>
    <w:rsid w:val="0093658B"/>
    <w:rsid w:val="00940AFF"/>
    <w:rsid w:val="009429FF"/>
    <w:rsid w:val="009444D1"/>
    <w:rsid w:val="00945BD6"/>
    <w:rsid w:val="009479FB"/>
    <w:rsid w:val="00951C45"/>
    <w:rsid w:val="00951DD8"/>
    <w:rsid w:val="00962E41"/>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21C"/>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775E9"/>
    <w:rsid w:val="00A81274"/>
    <w:rsid w:val="00A86ACA"/>
    <w:rsid w:val="00A92439"/>
    <w:rsid w:val="00A92FB1"/>
    <w:rsid w:val="00A950BA"/>
    <w:rsid w:val="00A95980"/>
    <w:rsid w:val="00A95A0C"/>
    <w:rsid w:val="00AA2765"/>
    <w:rsid w:val="00AA7776"/>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9AA"/>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6DD1"/>
    <w:rsid w:val="00BA7F46"/>
    <w:rsid w:val="00BB0F1D"/>
    <w:rsid w:val="00BB3493"/>
    <w:rsid w:val="00BB45C5"/>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04B69"/>
    <w:rsid w:val="00C13791"/>
    <w:rsid w:val="00C210BD"/>
    <w:rsid w:val="00C21BA9"/>
    <w:rsid w:val="00C2575A"/>
    <w:rsid w:val="00C31BB3"/>
    <w:rsid w:val="00C36977"/>
    <w:rsid w:val="00C40465"/>
    <w:rsid w:val="00C46628"/>
    <w:rsid w:val="00C467DA"/>
    <w:rsid w:val="00C477D9"/>
    <w:rsid w:val="00C55E91"/>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0D57"/>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C5B56"/>
    <w:rsid w:val="00DD150B"/>
    <w:rsid w:val="00DD3356"/>
    <w:rsid w:val="00DD5025"/>
    <w:rsid w:val="00DD5464"/>
    <w:rsid w:val="00DD6F85"/>
    <w:rsid w:val="00DE254E"/>
    <w:rsid w:val="00DE32C0"/>
    <w:rsid w:val="00DE76A7"/>
    <w:rsid w:val="00DF1510"/>
    <w:rsid w:val="00E02F1F"/>
    <w:rsid w:val="00E05454"/>
    <w:rsid w:val="00E06484"/>
    <w:rsid w:val="00E06B24"/>
    <w:rsid w:val="00E2041D"/>
    <w:rsid w:val="00E20A7D"/>
    <w:rsid w:val="00E23FE4"/>
    <w:rsid w:val="00E275D8"/>
    <w:rsid w:val="00E30F6A"/>
    <w:rsid w:val="00E3117C"/>
    <w:rsid w:val="00E31288"/>
    <w:rsid w:val="00E34307"/>
    <w:rsid w:val="00E34511"/>
    <w:rsid w:val="00E3635B"/>
    <w:rsid w:val="00E375C3"/>
    <w:rsid w:val="00E375CA"/>
    <w:rsid w:val="00E4352F"/>
    <w:rsid w:val="00E52596"/>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0E8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164"/>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F179D96"/>
  <w15:docId w15:val="{873CB708-CAF4-487F-9F42-1A157361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CommentReference">
    <w:name w:val="annotation reference"/>
    <w:basedOn w:val="DefaultParagraphFont"/>
    <w:semiHidden/>
    <w:unhideWhenUsed/>
    <w:rsid w:val="00C55E91"/>
    <w:rPr>
      <w:sz w:val="16"/>
      <w:szCs w:val="16"/>
    </w:rPr>
  </w:style>
  <w:style w:type="character" w:styleId="FootnoteReference">
    <w:name w:val="footnote reference"/>
    <w:basedOn w:val="DefaultParagraphFont"/>
    <w:semiHidden/>
    <w:unhideWhenUsed/>
    <w:rsid w:val="001016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D67E4-4FC7-437D-BB27-C5CF34F6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26</Pages>
  <Words>1594</Words>
  <Characters>9322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Corey Hampson</dc:creator>
  <cp:keywords/>
  <dc:description/>
  <cp:lastModifiedBy>Andrea Mick</cp:lastModifiedBy>
  <cp:revision>2</cp:revision>
  <cp:lastPrinted>2023-04-13T19:34:00Z</cp:lastPrinted>
  <dcterms:created xsi:type="dcterms:W3CDTF">2023-04-14T15:06:00Z</dcterms:created>
  <dcterms:modified xsi:type="dcterms:W3CDTF">2023-04-14T15:06:00Z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20220069-GU</vt:lpwstr>
  </property>
  <property fmtid="{D5CDD505-2E9C-101B-9397-08002B2CF9AE}" pid="3" name="MasterDocument">
    <vt:bool>false</vt:bool>
  </property>
</Properties>
</file>