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063A84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D2A073A" w14:textId="77777777" w:rsidR="007C0528" w:rsidRDefault="007C0528" w:rsidP="00532DFB">
            <w:pPr>
              <w:pStyle w:val="MastHeadState"/>
            </w:pPr>
            <w:bookmarkStart w:id="0" w:name="_GoBack"/>
            <w:bookmarkEnd w:id="0"/>
            <w:r>
              <w:t>State of Florida</w:t>
            </w:r>
          </w:p>
          <w:p w14:paraId="4063FCE2" w14:textId="77777777" w:rsidR="007C0528" w:rsidRDefault="00072CCA">
            <w:pPr>
              <w:jc w:val="center"/>
            </w:pPr>
            <w:r>
              <w:rPr>
                <w:noProof/>
              </w:rPr>
              <w:drawing>
                <wp:inline distT="0" distB="0" distL="0" distR="0" wp14:anchorId="2F6B8156" wp14:editId="4A4D813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6E94883"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E8F9E55" w14:textId="77777777" w:rsidR="007C0528" w:rsidRDefault="007C0528">
            <w:pPr>
              <w:pStyle w:val="MastHeadPSC"/>
            </w:pPr>
            <w:r>
              <w:t>Public Service Commission</w:t>
            </w:r>
          </w:p>
          <w:p w14:paraId="76BA0D6D" w14:textId="77777777" w:rsidR="007C0528" w:rsidRDefault="007C0528">
            <w:pPr>
              <w:pStyle w:val="MastHeadAddress"/>
            </w:pPr>
            <w:r>
              <w:t>Capital Circle Office Center ● 2540 Shumard Oak Boulevard</w:t>
            </w:r>
            <w:r>
              <w:br/>
              <w:t>Tallahassee, Florida 32399-0850</w:t>
            </w:r>
          </w:p>
          <w:p w14:paraId="5AA1F3AD" w14:textId="77777777" w:rsidR="007C0528" w:rsidRDefault="007C0528">
            <w:pPr>
              <w:pStyle w:val="MastHeadMemorandum"/>
            </w:pPr>
            <w:r>
              <w:t>-M-E-M-O-R-A-N-D-U-M-</w:t>
            </w:r>
          </w:p>
          <w:p w14:paraId="120E0F0A" w14:textId="77777777" w:rsidR="007C0528" w:rsidRDefault="007C0528">
            <w:pPr>
              <w:pStyle w:val="MemoHeading"/>
            </w:pPr>
          </w:p>
        </w:tc>
      </w:tr>
      <w:tr w:rsidR="007C0528" w14:paraId="0A9E7008"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A3BAE18"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E92A3AF" w14:textId="77777777" w:rsidR="007C0528" w:rsidRDefault="006D526D">
            <w:pPr>
              <w:pStyle w:val="MemoHeading"/>
            </w:pPr>
            <w:bookmarkStart w:id="1" w:name="FilingDate"/>
            <w:r>
              <w:t xml:space="preserve">June </w:t>
            </w:r>
            <w:r w:rsidR="003472FE">
              <w:t>1, 2023</w:t>
            </w:r>
            <w:bookmarkEnd w:id="1"/>
          </w:p>
        </w:tc>
      </w:tr>
      <w:tr w:rsidR="007C0528" w14:paraId="68B12F59" w14:textId="77777777">
        <w:tc>
          <w:tcPr>
            <w:tcW w:w="1254" w:type="dxa"/>
            <w:tcBorders>
              <w:top w:val="nil"/>
              <w:left w:val="nil"/>
              <w:bottom w:val="nil"/>
              <w:right w:val="nil"/>
            </w:tcBorders>
            <w:shd w:val="clear" w:color="auto" w:fill="auto"/>
            <w:tcMar>
              <w:top w:w="288" w:type="dxa"/>
              <w:bottom w:w="0" w:type="dxa"/>
              <w:right w:w="0" w:type="dxa"/>
            </w:tcMar>
          </w:tcPr>
          <w:p w14:paraId="7B3C9554"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E39C115" w14:textId="77777777" w:rsidR="007C0528" w:rsidRDefault="007C0528" w:rsidP="0093658B">
            <w:pPr>
              <w:pStyle w:val="MemoHeading"/>
            </w:pPr>
            <w:r>
              <w:t>Office of Commission Clerk (</w:t>
            </w:r>
            <w:r w:rsidR="004E69B5">
              <w:t>Teitzman</w:t>
            </w:r>
            <w:r>
              <w:t>)</w:t>
            </w:r>
          </w:p>
        </w:tc>
      </w:tr>
      <w:tr w:rsidR="007C0528" w14:paraId="509830FB" w14:textId="77777777">
        <w:tc>
          <w:tcPr>
            <w:tcW w:w="1254" w:type="dxa"/>
            <w:tcBorders>
              <w:top w:val="nil"/>
              <w:left w:val="nil"/>
              <w:bottom w:val="nil"/>
              <w:right w:val="nil"/>
            </w:tcBorders>
            <w:shd w:val="clear" w:color="auto" w:fill="auto"/>
            <w:tcMar>
              <w:top w:w="288" w:type="dxa"/>
              <w:right w:w="0" w:type="dxa"/>
            </w:tcMar>
          </w:tcPr>
          <w:p w14:paraId="707258AC"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DC0BB8A" w14:textId="77777777" w:rsidR="003472FE" w:rsidRDefault="003472FE">
            <w:pPr>
              <w:pStyle w:val="MemoHeading"/>
            </w:pPr>
            <w:bookmarkStart w:id="2" w:name="From"/>
            <w:r>
              <w:t>Division of Economics (Bruce, Bethea, Hudson)</w:t>
            </w:r>
          </w:p>
          <w:p w14:paraId="15E77D1E" w14:textId="3A05FC9A" w:rsidR="003472FE" w:rsidRDefault="003472FE">
            <w:pPr>
              <w:pStyle w:val="MemoHeading"/>
            </w:pPr>
            <w:r>
              <w:t>Division of Accounting and Finance (</w:t>
            </w:r>
            <w:proofErr w:type="spellStart"/>
            <w:r w:rsidR="00413C17">
              <w:t>Haddix</w:t>
            </w:r>
            <w:proofErr w:type="spellEnd"/>
            <w:r w:rsidR="00413C17">
              <w:t xml:space="preserve">, </w:t>
            </w:r>
            <w:r>
              <w:t>Higgins, Richards)</w:t>
            </w:r>
          </w:p>
          <w:p w14:paraId="6CB7B599" w14:textId="77777777" w:rsidR="003472FE" w:rsidRDefault="003472FE">
            <w:pPr>
              <w:pStyle w:val="MemoHeading"/>
            </w:pPr>
            <w:r>
              <w:t>Division of Engineering (Davis, Ellis)</w:t>
            </w:r>
          </w:p>
          <w:p w14:paraId="5EBE9648" w14:textId="77777777" w:rsidR="007C0528" w:rsidRDefault="003472FE">
            <w:pPr>
              <w:pStyle w:val="MemoHeading"/>
            </w:pPr>
            <w:r>
              <w:t>Office of the General Counsel (Sparks, Harper)</w:t>
            </w:r>
            <w:bookmarkEnd w:id="2"/>
          </w:p>
        </w:tc>
      </w:tr>
      <w:tr w:rsidR="007C0528" w14:paraId="5080C635" w14:textId="77777777">
        <w:tc>
          <w:tcPr>
            <w:tcW w:w="1254" w:type="dxa"/>
            <w:tcBorders>
              <w:top w:val="nil"/>
              <w:left w:val="nil"/>
              <w:bottom w:val="nil"/>
              <w:right w:val="nil"/>
            </w:tcBorders>
            <w:shd w:val="clear" w:color="auto" w:fill="auto"/>
            <w:tcMar>
              <w:top w:w="288" w:type="dxa"/>
              <w:right w:w="0" w:type="dxa"/>
            </w:tcMar>
          </w:tcPr>
          <w:p w14:paraId="799BEB71"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DA43B38" w14:textId="77777777" w:rsidR="007C0528" w:rsidRDefault="003472FE">
            <w:pPr>
              <w:pStyle w:val="MemoHeadingRe"/>
            </w:pPr>
            <w:bookmarkStart w:id="3" w:name="Re"/>
            <w:r>
              <w:t xml:space="preserve">Docket No. 20220185-WS – Application for limited alternative rate increase in Hardee, Manatee, Marion, Polk, and Pasco Counties, by Charlie Creek Utilities, LLC, </w:t>
            </w:r>
            <w:proofErr w:type="spellStart"/>
            <w:r>
              <w:t>Crestridge</w:t>
            </w:r>
            <w:proofErr w:type="spellEnd"/>
            <w:r>
              <w:t xml:space="preserve"> Utilities, LLC, East Marion Utilities, LLC, Heather Hills Utilities, LLC, Holiday Gardens Utilities, LLC, Lake Yale Utilities, LLC, McLeod Gardens Utilities, LLC, Orange Land Utilities, LLC, Sunny Shores Utilities, LLC, Sunrise Water, LLC and West Lakeland Wastewater, LLC.</w:t>
            </w:r>
            <w:bookmarkEnd w:id="3"/>
          </w:p>
        </w:tc>
      </w:tr>
      <w:tr w:rsidR="007C0528" w14:paraId="1D916323" w14:textId="77777777">
        <w:tc>
          <w:tcPr>
            <w:tcW w:w="1254" w:type="dxa"/>
            <w:tcBorders>
              <w:top w:val="nil"/>
              <w:left w:val="nil"/>
              <w:bottom w:val="nil"/>
              <w:right w:val="nil"/>
            </w:tcBorders>
            <w:shd w:val="clear" w:color="auto" w:fill="auto"/>
            <w:tcMar>
              <w:top w:w="288" w:type="dxa"/>
              <w:bottom w:w="0" w:type="dxa"/>
              <w:right w:w="0" w:type="dxa"/>
            </w:tcMar>
          </w:tcPr>
          <w:p w14:paraId="7740CAA0"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BAA4122" w14:textId="77777777" w:rsidR="007C0528" w:rsidRDefault="006D526D">
            <w:pPr>
              <w:pStyle w:val="MemoHeading"/>
            </w:pPr>
            <w:r>
              <w:t>06/13/23</w:t>
            </w:r>
            <w:r w:rsidR="007C0528">
              <w:t xml:space="preserve"> – </w:t>
            </w:r>
            <w:bookmarkStart w:id="4" w:name="PermittedStatus"/>
            <w:r w:rsidR="003472FE">
              <w:t xml:space="preserve">Regular Agenda – </w:t>
            </w:r>
            <w:r>
              <w:t xml:space="preserve">Proposed Agency Action – Except for Issue No. 3 –  </w:t>
            </w:r>
            <w:r w:rsidR="003472FE">
              <w:t>Interested Persons May Participate</w:t>
            </w:r>
            <w:bookmarkEnd w:id="4"/>
          </w:p>
        </w:tc>
      </w:tr>
      <w:tr w:rsidR="007C0528" w14:paraId="5FFE1867" w14:textId="77777777">
        <w:tc>
          <w:tcPr>
            <w:tcW w:w="3690" w:type="dxa"/>
            <w:gridSpan w:val="3"/>
            <w:tcBorders>
              <w:top w:val="nil"/>
              <w:left w:val="nil"/>
              <w:bottom w:val="nil"/>
              <w:right w:val="nil"/>
            </w:tcBorders>
            <w:shd w:val="clear" w:color="auto" w:fill="auto"/>
            <w:tcMar>
              <w:top w:w="288" w:type="dxa"/>
              <w:bottom w:w="0" w:type="dxa"/>
              <w:right w:w="0" w:type="dxa"/>
            </w:tcMar>
          </w:tcPr>
          <w:p w14:paraId="6D94E884"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4A8EFA4" w14:textId="77777777" w:rsidR="007C0528" w:rsidRDefault="003472FE">
            <w:pPr>
              <w:pStyle w:val="MemoHeading"/>
            </w:pPr>
            <w:bookmarkStart w:id="5" w:name="CommissionersAssigned"/>
            <w:r>
              <w:t>All Commissioners</w:t>
            </w:r>
            <w:bookmarkEnd w:id="5"/>
          </w:p>
        </w:tc>
      </w:tr>
      <w:tr w:rsidR="007C0528" w14:paraId="1379C96A" w14:textId="77777777">
        <w:tc>
          <w:tcPr>
            <w:tcW w:w="3690" w:type="dxa"/>
            <w:gridSpan w:val="3"/>
            <w:tcBorders>
              <w:top w:val="nil"/>
              <w:left w:val="nil"/>
              <w:bottom w:val="nil"/>
              <w:right w:val="nil"/>
            </w:tcBorders>
            <w:shd w:val="clear" w:color="auto" w:fill="auto"/>
            <w:tcMar>
              <w:top w:w="288" w:type="dxa"/>
              <w:bottom w:w="0" w:type="dxa"/>
              <w:right w:w="0" w:type="dxa"/>
            </w:tcMar>
          </w:tcPr>
          <w:p w14:paraId="31FB1F9B"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9F83E46" w14:textId="77777777" w:rsidR="007C0528" w:rsidRDefault="003472FE">
            <w:pPr>
              <w:pStyle w:val="MemoHeading"/>
            </w:pPr>
            <w:bookmarkStart w:id="6" w:name="PrehearingOfficer"/>
            <w:r>
              <w:t>La Rosa</w:t>
            </w:r>
            <w:bookmarkEnd w:id="6"/>
          </w:p>
        </w:tc>
      </w:tr>
      <w:tr w:rsidR="007C0528" w14:paraId="1E4C7038"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230B403"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61769C06" w14:textId="730B4B65" w:rsidR="007C0528" w:rsidRPr="00B62A0F" w:rsidRDefault="003472FE">
            <w:pPr>
              <w:pStyle w:val="MemoHeading"/>
              <w:rPr>
                <w:highlight w:val="yellow"/>
              </w:rPr>
            </w:pPr>
            <w:r w:rsidRPr="00670960">
              <w:t>Waived through the June 13, 2023</w:t>
            </w:r>
            <w:r w:rsidR="00396F68" w:rsidRPr="00670960">
              <w:t xml:space="preserve"> Commission Conference</w:t>
            </w:r>
          </w:p>
        </w:tc>
      </w:tr>
      <w:tr w:rsidR="007C0528" w14:paraId="1EDFCB21"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579C63E"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BB737AD" w14:textId="77777777" w:rsidR="007C0528" w:rsidRDefault="003472FE">
            <w:pPr>
              <w:pStyle w:val="MemoHeading"/>
            </w:pPr>
            <w:bookmarkStart w:id="8" w:name="SpecialInstructions"/>
            <w:r>
              <w:t>None</w:t>
            </w:r>
            <w:bookmarkEnd w:id="8"/>
          </w:p>
        </w:tc>
      </w:tr>
    </w:tbl>
    <w:p w14:paraId="0A807E51" w14:textId="77777777" w:rsidR="005840B9" w:rsidRDefault="005840B9">
      <w:pPr>
        <w:pStyle w:val="BodyText"/>
      </w:pPr>
    </w:p>
    <w:p w14:paraId="7E7AAE48" w14:textId="77777777" w:rsidR="005840B9" w:rsidRDefault="005840B9" w:rsidP="005840B9">
      <w:r>
        <w:br w:type="page"/>
      </w:r>
    </w:p>
    <w:p w14:paraId="437CFD96" w14:textId="77777777" w:rsidR="007C0528" w:rsidRDefault="007C0528">
      <w:pPr>
        <w:pStyle w:val="BodyText"/>
      </w:pPr>
    </w:p>
    <w:p w14:paraId="2D194008" w14:textId="77777777"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14:paraId="3CBA32E5" w14:textId="6F3FEFBE" w:rsidR="008F16BE" w:rsidRDefault="00A263A7">
      <w:pPr>
        <w:pStyle w:val="BodyText"/>
      </w:pPr>
      <w:r>
        <w:t>On N</w:t>
      </w:r>
      <w:r w:rsidR="005E4AC3">
        <w:t>ovember 4</w:t>
      </w:r>
      <w:r>
        <w:t xml:space="preserve">, 2022, Florida Utility Services 1, LLC (FUS1) filed an application for a limited alternative rate increase (LARI) </w:t>
      </w:r>
      <w:r w:rsidR="00FE13A8">
        <w:t xml:space="preserve">pursuant to Rule 25-30.457, Florida Administrative Code (F.A.C.) </w:t>
      </w:r>
      <w:r>
        <w:t xml:space="preserve">for </w:t>
      </w:r>
      <w:r w:rsidR="00FE13A8">
        <w:t xml:space="preserve">the following systems:  </w:t>
      </w:r>
      <w:r>
        <w:t>Charlie Creek Utilities, LLC</w:t>
      </w:r>
      <w:r w:rsidR="000A3F36">
        <w:t xml:space="preserve"> (Charlie Creek);</w:t>
      </w:r>
      <w:r>
        <w:t xml:space="preserve"> </w:t>
      </w:r>
      <w:proofErr w:type="spellStart"/>
      <w:r>
        <w:t>Crestridge</w:t>
      </w:r>
      <w:proofErr w:type="spellEnd"/>
      <w:r>
        <w:t xml:space="preserve"> Utilities, LLC</w:t>
      </w:r>
      <w:r w:rsidR="000A3F36">
        <w:t xml:space="preserve"> (</w:t>
      </w:r>
      <w:proofErr w:type="spellStart"/>
      <w:r w:rsidR="000A3F36">
        <w:t>Crestridge</w:t>
      </w:r>
      <w:proofErr w:type="spellEnd"/>
      <w:r w:rsidR="000A3F36">
        <w:t>);</w:t>
      </w:r>
      <w:r>
        <w:t xml:space="preserve"> East Marion, LLC</w:t>
      </w:r>
      <w:r w:rsidR="000A3F36">
        <w:t xml:space="preserve"> (East Marion);</w:t>
      </w:r>
      <w:r>
        <w:t xml:space="preserve"> Heather Hills Utilities</w:t>
      </w:r>
      <w:r w:rsidR="00C438D4">
        <w:t>,</w:t>
      </w:r>
      <w:r>
        <w:t xml:space="preserve"> LLC</w:t>
      </w:r>
      <w:r w:rsidR="000A3F36">
        <w:t xml:space="preserve"> (Heather Hills);</w:t>
      </w:r>
      <w:r>
        <w:t xml:space="preserve"> Holiday Gardens Utilities, LLC</w:t>
      </w:r>
      <w:r w:rsidR="000A3F36">
        <w:t xml:space="preserve"> (Holiday Gardens);</w:t>
      </w:r>
      <w:r>
        <w:t xml:space="preserve"> Lake Yale Utilities, </w:t>
      </w:r>
      <w:r w:rsidR="000A3F36">
        <w:t xml:space="preserve">LLC (Lake Yale); </w:t>
      </w:r>
      <w:r w:rsidR="00C438D4">
        <w:t xml:space="preserve">McLeod Gardens, LLC </w:t>
      </w:r>
      <w:r w:rsidR="000A3F36">
        <w:t xml:space="preserve">(McLeod Gardens); </w:t>
      </w:r>
      <w:r w:rsidR="00C438D4">
        <w:t>Orange Land Utilities, LLC</w:t>
      </w:r>
      <w:r>
        <w:t xml:space="preserve"> </w:t>
      </w:r>
      <w:r w:rsidR="000A3F36">
        <w:t xml:space="preserve">(Orange Land); </w:t>
      </w:r>
      <w:r w:rsidR="00C438D4">
        <w:t>Sunny Shores Utilities, LLC</w:t>
      </w:r>
      <w:r>
        <w:t xml:space="preserve"> </w:t>
      </w:r>
      <w:r w:rsidR="000A3F36">
        <w:t xml:space="preserve">(Sunny Shores); </w:t>
      </w:r>
      <w:r w:rsidR="00C438D4">
        <w:t>Sunrise Water, LLC</w:t>
      </w:r>
      <w:r>
        <w:t xml:space="preserve"> </w:t>
      </w:r>
      <w:r w:rsidR="000A3F36">
        <w:t xml:space="preserve">(Sunrise); </w:t>
      </w:r>
      <w:r>
        <w:t>and West Lakeland Wastew</w:t>
      </w:r>
      <w:r w:rsidR="00C438D4">
        <w:t>ater, LLC</w:t>
      </w:r>
      <w:r w:rsidR="000A3F36">
        <w:t xml:space="preserve"> (West Lakeland).</w:t>
      </w:r>
      <w:r w:rsidR="000D797F">
        <w:t xml:space="preserve"> </w:t>
      </w:r>
    </w:p>
    <w:p w14:paraId="4E3F59AD" w14:textId="733E20EF" w:rsidR="006D526D" w:rsidRDefault="00E56907">
      <w:pPr>
        <w:pStyle w:val="BodyText"/>
      </w:pPr>
      <w:r>
        <w:t xml:space="preserve">On November 7, 2022, </w:t>
      </w:r>
      <w:r w:rsidR="006D526D">
        <w:t>FUS1 filed a petition pursuant to Section 120.542, F</w:t>
      </w:r>
      <w:r w:rsidR="00EB3841">
        <w:t xml:space="preserve">lorida </w:t>
      </w:r>
      <w:r w:rsidR="006D526D">
        <w:t>S</w:t>
      </w:r>
      <w:r w:rsidR="00EB3841">
        <w:t>tatutes (F.S.)</w:t>
      </w:r>
      <w:r w:rsidR="006D526D">
        <w:t xml:space="preserve">, for temporary waiver of Rule 25-30.020(2)(f), </w:t>
      </w:r>
      <w:r w:rsidR="00EB3841">
        <w:t>Florida Administrative Code (</w:t>
      </w:r>
      <w:r w:rsidR="006D526D">
        <w:t>F.A.C.</w:t>
      </w:r>
      <w:r w:rsidR="00EB3841">
        <w:t>)</w:t>
      </w:r>
      <w:r w:rsidR="006D526D">
        <w:t xml:space="preserve">, requesting that the Commission waive the $13,000 in filing fees required by the rule and enable FUS1 to instead pay a single filing fee of $1,000. </w:t>
      </w:r>
      <w:r w:rsidR="003C7856">
        <w:t>At the</w:t>
      </w:r>
      <w:r w:rsidR="006D526D">
        <w:t xml:space="preserve"> January 10, 2023</w:t>
      </w:r>
      <w:r w:rsidR="003C7856">
        <w:t xml:space="preserve"> Commission</w:t>
      </w:r>
      <w:r w:rsidR="006D526D">
        <w:t xml:space="preserve"> </w:t>
      </w:r>
      <w:r w:rsidR="003C7856">
        <w:t>C</w:t>
      </w:r>
      <w:r w:rsidR="006D526D">
        <w:t>onference,</w:t>
      </w:r>
      <w:r w:rsidR="003C7856">
        <w:t xml:space="preserve"> </w:t>
      </w:r>
      <w:r w:rsidR="006D526D">
        <w:t>the Commission voted to deny FUS1’s request to waive the above-mentioned rule pertaining to filing fees and its request to pay $1,000.</w:t>
      </w:r>
      <w:r w:rsidR="00413C17">
        <w:rPr>
          <w:rStyle w:val="FootnoteReference"/>
        </w:rPr>
        <w:footnoteReference w:id="1"/>
      </w:r>
      <w:r w:rsidR="006D526D">
        <w:t xml:space="preserve"> On the same day, FUS1 filed an amendment to the application to </w:t>
      </w:r>
      <w:r w:rsidR="003C7856">
        <w:t>include</w:t>
      </w:r>
      <w:r w:rsidR="006D526D">
        <w:t xml:space="preserve"> Leighton Estates Utilities, LLC (Leighton)</w:t>
      </w:r>
      <w:r w:rsidR="003C7856">
        <w:t>, which</w:t>
      </w:r>
      <w:r w:rsidR="006D526D">
        <w:t xml:space="preserve"> increased </w:t>
      </w:r>
      <w:r w:rsidR="003C7856">
        <w:t>the filing fee from</w:t>
      </w:r>
      <w:r w:rsidR="006D526D">
        <w:t xml:space="preserve"> $13,</w:t>
      </w:r>
      <w:r w:rsidR="003C7856">
        <w:t>0</w:t>
      </w:r>
      <w:r w:rsidR="006D526D">
        <w:t>00</w:t>
      </w:r>
      <w:r w:rsidR="003C7856">
        <w:t xml:space="preserve"> to $13,500. </w:t>
      </w:r>
      <w:r w:rsidR="006D526D">
        <w:t>On January 26, 2023, FUS1 paid a filing fee of $13,500, which was deemed as the official filing date.</w:t>
      </w:r>
    </w:p>
    <w:p w14:paraId="6F601D8F" w14:textId="3D403581" w:rsidR="006D526D" w:rsidRDefault="006D526D">
      <w:pPr>
        <w:pStyle w:val="BodyText"/>
      </w:pPr>
      <w:r>
        <w:t>On April 14, 202</w:t>
      </w:r>
      <w:r w:rsidR="004A1A29">
        <w:t>3</w:t>
      </w:r>
      <w:r>
        <w:t>, FUS1 revised its application to reflect updated schedules, which are</w:t>
      </w:r>
      <w:r w:rsidR="00413C17">
        <w:t xml:space="preserve"> based on </w:t>
      </w:r>
      <w:r>
        <w:t>2022 financ</w:t>
      </w:r>
      <w:r w:rsidR="00413C17">
        <w:t>ial information rather than 2021 financial information as contained</w:t>
      </w:r>
      <w:r>
        <w:t xml:space="preserve"> in the original filing. On May 4, 2023, FUS1 withdrew its application for Leighton due to potential overearnings and requested a refund of the filing fee for that utility.</w:t>
      </w:r>
      <w:r w:rsidR="00DC54B2">
        <w:rPr>
          <w:rStyle w:val="FootnoteReference"/>
        </w:rPr>
        <w:footnoteReference w:id="2"/>
      </w:r>
      <w:r w:rsidR="00E56907">
        <w:t xml:space="preserve"> </w:t>
      </w:r>
      <w:r w:rsidR="00971A72">
        <w:t xml:space="preserve">Staff has started the process for refunding the filing fee. </w:t>
      </w:r>
      <w:r w:rsidR="00E078B2">
        <w:t>T</w:t>
      </w:r>
      <w:r>
        <w:t xml:space="preserve">he other </w:t>
      </w:r>
      <w:r w:rsidR="00F04F97">
        <w:t>u</w:t>
      </w:r>
      <w:r>
        <w:t xml:space="preserve">tilities </w:t>
      </w:r>
      <w:r w:rsidR="00F04F97">
        <w:t>remain</w:t>
      </w:r>
      <w:r>
        <w:t xml:space="preserve"> in this proceeding. </w:t>
      </w:r>
      <w:r w:rsidR="00883838">
        <w:t>The following two tables</w:t>
      </w:r>
      <w:r>
        <w:t xml:space="preserve"> </w:t>
      </w:r>
      <w:r w:rsidR="00883838">
        <w:t>reflect</w:t>
      </w:r>
      <w:r>
        <w:t xml:space="preserve"> the number of customers, 2022 Annual Report gross revenues and operating expenses, and the rate proceedings in which rates were last established for the remaining utilities</w:t>
      </w:r>
      <w:r w:rsidR="00413C17">
        <w:t>, and the number of complaints by utility</w:t>
      </w:r>
      <w:r>
        <w:t>.</w:t>
      </w:r>
    </w:p>
    <w:p w14:paraId="555ADD60" w14:textId="77777777" w:rsidR="006D526D" w:rsidRDefault="006D526D" w:rsidP="006D526D">
      <w:r>
        <w:br w:type="page"/>
      </w:r>
    </w:p>
    <w:p w14:paraId="3E1EF42E" w14:textId="77777777" w:rsidR="00396F68" w:rsidRDefault="006D526D" w:rsidP="006D526D">
      <w:pPr>
        <w:jc w:val="center"/>
        <w:rPr>
          <w:rFonts w:ascii="Arial" w:hAnsi="Arial" w:cs="Arial"/>
          <w:b/>
        </w:rPr>
      </w:pPr>
      <w:r w:rsidRPr="00855E37">
        <w:rPr>
          <w:rFonts w:ascii="Arial" w:hAnsi="Arial" w:cs="Arial"/>
          <w:b/>
        </w:rPr>
        <w:lastRenderedPageBreak/>
        <w:t xml:space="preserve">Customers, Revenues, Operating Expenses, and Last </w:t>
      </w:r>
    </w:p>
    <w:p w14:paraId="7D35FAF9" w14:textId="6BFC037E" w:rsidR="006D526D" w:rsidRDefault="006D526D" w:rsidP="006D526D">
      <w:pPr>
        <w:jc w:val="center"/>
        <w:rPr>
          <w:rFonts w:ascii="Arial" w:hAnsi="Arial" w:cs="Arial"/>
          <w:b/>
        </w:rPr>
      </w:pPr>
      <w:r w:rsidRPr="00855E37">
        <w:rPr>
          <w:rFonts w:ascii="Arial" w:hAnsi="Arial" w:cs="Arial"/>
          <w:b/>
        </w:rPr>
        <w:t>Proceedings Establishing Rates</w:t>
      </w:r>
    </w:p>
    <w:tbl>
      <w:tblPr>
        <w:tblStyle w:val="TableGrid"/>
        <w:tblW w:w="10041" w:type="dxa"/>
        <w:jc w:val="center"/>
        <w:tblLayout w:type="fixed"/>
        <w:tblLook w:val="04A0" w:firstRow="1" w:lastRow="0" w:firstColumn="1" w:lastColumn="0" w:noHBand="0" w:noVBand="1"/>
      </w:tblPr>
      <w:tblGrid>
        <w:gridCol w:w="2383"/>
        <w:gridCol w:w="1268"/>
        <w:gridCol w:w="1177"/>
        <w:gridCol w:w="1183"/>
        <w:gridCol w:w="2950"/>
        <w:gridCol w:w="1080"/>
      </w:tblGrid>
      <w:tr w:rsidR="0029778D" w:rsidRPr="0029778D" w14:paraId="12FA5564" w14:textId="77777777" w:rsidTr="0029778D">
        <w:trPr>
          <w:trHeight w:val="566"/>
          <w:jc w:val="center"/>
        </w:trPr>
        <w:tc>
          <w:tcPr>
            <w:tcW w:w="2383" w:type="dxa"/>
            <w:vAlign w:val="bottom"/>
          </w:tcPr>
          <w:p w14:paraId="27DCE460" w14:textId="7F47BB3B" w:rsidR="00F04F97" w:rsidRPr="0029778D" w:rsidRDefault="00F04F97" w:rsidP="00F04F97">
            <w:pPr>
              <w:jc w:val="center"/>
              <w:rPr>
                <w:rFonts w:ascii="Arial" w:hAnsi="Arial" w:cs="Arial"/>
                <w:b/>
              </w:rPr>
            </w:pPr>
            <w:r w:rsidRPr="0029778D">
              <w:t>Utility</w:t>
            </w:r>
          </w:p>
        </w:tc>
        <w:tc>
          <w:tcPr>
            <w:tcW w:w="1268" w:type="dxa"/>
            <w:vAlign w:val="bottom"/>
          </w:tcPr>
          <w:p w14:paraId="60320F24" w14:textId="7DE6B879" w:rsidR="00F04F97" w:rsidRPr="0029778D" w:rsidRDefault="00F04F97" w:rsidP="00F04F97">
            <w:pPr>
              <w:jc w:val="center"/>
              <w:rPr>
                <w:rFonts w:ascii="Arial" w:hAnsi="Arial" w:cs="Arial"/>
                <w:b/>
              </w:rPr>
            </w:pPr>
            <w:r w:rsidRPr="0029778D">
              <w:t>Customers</w:t>
            </w:r>
          </w:p>
        </w:tc>
        <w:tc>
          <w:tcPr>
            <w:tcW w:w="1177" w:type="dxa"/>
            <w:vAlign w:val="bottom"/>
          </w:tcPr>
          <w:p w14:paraId="7B7BB0DD" w14:textId="173FE57B" w:rsidR="00F04F97" w:rsidRPr="0029778D" w:rsidRDefault="00F04F97" w:rsidP="00F04F97">
            <w:pPr>
              <w:jc w:val="center"/>
              <w:rPr>
                <w:rFonts w:ascii="Arial" w:hAnsi="Arial" w:cs="Arial"/>
                <w:b/>
              </w:rPr>
            </w:pPr>
            <w:r w:rsidRPr="0029778D">
              <w:t>Gross Revenues</w:t>
            </w:r>
          </w:p>
        </w:tc>
        <w:tc>
          <w:tcPr>
            <w:tcW w:w="1183" w:type="dxa"/>
            <w:vAlign w:val="bottom"/>
          </w:tcPr>
          <w:p w14:paraId="533D17DA" w14:textId="09536C57" w:rsidR="00F04F97" w:rsidRPr="0029778D" w:rsidRDefault="00F04F97" w:rsidP="00F04F97">
            <w:pPr>
              <w:jc w:val="center"/>
              <w:rPr>
                <w:rFonts w:ascii="Arial" w:hAnsi="Arial" w:cs="Arial"/>
                <w:b/>
              </w:rPr>
            </w:pPr>
            <w:r w:rsidRPr="0029778D">
              <w:t>Operating Expenses</w:t>
            </w:r>
          </w:p>
        </w:tc>
        <w:tc>
          <w:tcPr>
            <w:tcW w:w="2950" w:type="dxa"/>
            <w:vAlign w:val="bottom"/>
          </w:tcPr>
          <w:p w14:paraId="69C8F2EA" w14:textId="606FF21C" w:rsidR="00F04F97" w:rsidRPr="0029778D" w:rsidRDefault="00F04F97" w:rsidP="00F04F97">
            <w:pPr>
              <w:jc w:val="center"/>
              <w:rPr>
                <w:rFonts w:ascii="Arial" w:hAnsi="Arial" w:cs="Arial"/>
                <w:b/>
              </w:rPr>
            </w:pPr>
            <w:r w:rsidRPr="0029778D">
              <w:t>Order</w:t>
            </w:r>
          </w:p>
        </w:tc>
        <w:tc>
          <w:tcPr>
            <w:tcW w:w="1080" w:type="dxa"/>
            <w:vAlign w:val="bottom"/>
          </w:tcPr>
          <w:p w14:paraId="5D1BEA5A" w14:textId="41A81854" w:rsidR="00F04F97" w:rsidRPr="0029778D" w:rsidRDefault="00F04F97" w:rsidP="00F04F97">
            <w:pPr>
              <w:jc w:val="center"/>
              <w:rPr>
                <w:rFonts w:ascii="Arial" w:hAnsi="Arial" w:cs="Arial"/>
                <w:b/>
              </w:rPr>
            </w:pPr>
            <w:r w:rsidRPr="0029778D">
              <w:t>Issuance Date</w:t>
            </w:r>
          </w:p>
        </w:tc>
      </w:tr>
      <w:tr w:rsidR="0029778D" w:rsidRPr="0029778D" w14:paraId="0EB958E1" w14:textId="77777777" w:rsidTr="0029778D">
        <w:trPr>
          <w:trHeight w:val="282"/>
          <w:jc w:val="center"/>
        </w:trPr>
        <w:tc>
          <w:tcPr>
            <w:tcW w:w="2383" w:type="dxa"/>
            <w:vAlign w:val="bottom"/>
          </w:tcPr>
          <w:p w14:paraId="28AA96E0" w14:textId="68BA2787" w:rsidR="00F04F97" w:rsidRPr="0029778D" w:rsidRDefault="00F04F97" w:rsidP="00F04F97">
            <w:pPr>
              <w:jc w:val="center"/>
              <w:rPr>
                <w:rFonts w:ascii="Arial" w:hAnsi="Arial" w:cs="Arial"/>
                <w:b/>
              </w:rPr>
            </w:pPr>
            <w:r w:rsidRPr="0029778D">
              <w:t>Charlie Creek</w:t>
            </w:r>
          </w:p>
        </w:tc>
        <w:tc>
          <w:tcPr>
            <w:tcW w:w="1268" w:type="dxa"/>
            <w:vAlign w:val="bottom"/>
          </w:tcPr>
          <w:p w14:paraId="336AD609" w14:textId="031B859C" w:rsidR="00F04F97" w:rsidRPr="0029778D" w:rsidRDefault="00A84B15" w:rsidP="00F04F97">
            <w:pPr>
              <w:jc w:val="center"/>
              <w:rPr>
                <w:rFonts w:ascii="Arial" w:hAnsi="Arial" w:cs="Arial"/>
                <w:b/>
              </w:rPr>
            </w:pPr>
            <w:r>
              <w:t>159</w:t>
            </w:r>
          </w:p>
        </w:tc>
        <w:tc>
          <w:tcPr>
            <w:tcW w:w="1177" w:type="dxa"/>
            <w:vAlign w:val="bottom"/>
          </w:tcPr>
          <w:p w14:paraId="24A1D5C3" w14:textId="25A7DE87" w:rsidR="00F04F97" w:rsidRPr="0029778D" w:rsidRDefault="00F04F97" w:rsidP="00F04F97">
            <w:pPr>
              <w:jc w:val="center"/>
              <w:rPr>
                <w:rFonts w:ascii="Arial" w:hAnsi="Arial" w:cs="Arial"/>
                <w:b/>
              </w:rPr>
            </w:pPr>
            <w:r w:rsidRPr="0029778D">
              <w:t>$73,443</w:t>
            </w:r>
          </w:p>
        </w:tc>
        <w:tc>
          <w:tcPr>
            <w:tcW w:w="1183" w:type="dxa"/>
            <w:vAlign w:val="bottom"/>
          </w:tcPr>
          <w:p w14:paraId="6F92600C" w14:textId="3410AB26" w:rsidR="00F04F97" w:rsidRPr="0029778D" w:rsidRDefault="00F04F97" w:rsidP="00F04F97">
            <w:pPr>
              <w:jc w:val="center"/>
              <w:rPr>
                <w:rFonts w:ascii="Arial" w:hAnsi="Arial" w:cs="Arial"/>
                <w:b/>
              </w:rPr>
            </w:pPr>
            <w:r w:rsidRPr="0029778D">
              <w:t>$86,852</w:t>
            </w:r>
          </w:p>
        </w:tc>
        <w:tc>
          <w:tcPr>
            <w:tcW w:w="2950" w:type="dxa"/>
            <w:vAlign w:val="bottom"/>
          </w:tcPr>
          <w:p w14:paraId="5D7B8DC4" w14:textId="7E829CEE" w:rsidR="00F04F97" w:rsidRPr="0029778D" w:rsidRDefault="00F04F97" w:rsidP="00F04F97">
            <w:pPr>
              <w:jc w:val="center"/>
              <w:rPr>
                <w:rFonts w:ascii="Arial" w:hAnsi="Arial" w:cs="Arial"/>
                <w:b/>
              </w:rPr>
            </w:pPr>
            <w:r w:rsidRPr="0029778D">
              <w:t>PSC-2017-0144-PAA-WU</w:t>
            </w:r>
          </w:p>
        </w:tc>
        <w:tc>
          <w:tcPr>
            <w:tcW w:w="1080" w:type="dxa"/>
            <w:vAlign w:val="bottom"/>
          </w:tcPr>
          <w:p w14:paraId="67FA7723" w14:textId="73CB4547" w:rsidR="00F04F97" w:rsidRPr="0029778D" w:rsidRDefault="00F04F97" w:rsidP="00F04F97">
            <w:pPr>
              <w:jc w:val="center"/>
              <w:rPr>
                <w:rFonts w:ascii="Arial" w:hAnsi="Arial" w:cs="Arial"/>
                <w:b/>
              </w:rPr>
            </w:pPr>
            <w:r w:rsidRPr="0029778D">
              <w:t>4/27/17</w:t>
            </w:r>
          </w:p>
        </w:tc>
      </w:tr>
      <w:tr w:rsidR="0029778D" w:rsidRPr="0029778D" w14:paraId="1645CF99" w14:textId="77777777" w:rsidTr="0029778D">
        <w:trPr>
          <w:trHeight w:val="270"/>
          <w:jc w:val="center"/>
        </w:trPr>
        <w:tc>
          <w:tcPr>
            <w:tcW w:w="2383" w:type="dxa"/>
            <w:vAlign w:val="bottom"/>
          </w:tcPr>
          <w:p w14:paraId="77935713" w14:textId="582DA782" w:rsidR="00F04F97" w:rsidRPr="0029778D" w:rsidRDefault="00F04F97" w:rsidP="00F04F97">
            <w:pPr>
              <w:jc w:val="center"/>
              <w:rPr>
                <w:rFonts w:ascii="Arial" w:hAnsi="Arial" w:cs="Arial"/>
                <w:b/>
              </w:rPr>
            </w:pPr>
            <w:proofErr w:type="spellStart"/>
            <w:r w:rsidRPr="0029778D">
              <w:t>Crestridge</w:t>
            </w:r>
            <w:proofErr w:type="spellEnd"/>
          </w:p>
        </w:tc>
        <w:tc>
          <w:tcPr>
            <w:tcW w:w="1268" w:type="dxa"/>
            <w:vAlign w:val="bottom"/>
          </w:tcPr>
          <w:p w14:paraId="6A805B9A" w14:textId="3E8123D3" w:rsidR="00F04F97" w:rsidRPr="0029778D" w:rsidRDefault="00A84B15" w:rsidP="00F04F97">
            <w:pPr>
              <w:jc w:val="center"/>
              <w:rPr>
                <w:rFonts w:ascii="Arial" w:hAnsi="Arial" w:cs="Arial"/>
                <w:b/>
              </w:rPr>
            </w:pPr>
            <w:r>
              <w:t>614</w:t>
            </w:r>
          </w:p>
        </w:tc>
        <w:tc>
          <w:tcPr>
            <w:tcW w:w="1177" w:type="dxa"/>
            <w:vAlign w:val="bottom"/>
          </w:tcPr>
          <w:p w14:paraId="59470BC5" w14:textId="4C1957A4" w:rsidR="00F04F97" w:rsidRPr="0029778D" w:rsidRDefault="00F04F97" w:rsidP="00F04F97">
            <w:pPr>
              <w:jc w:val="center"/>
              <w:rPr>
                <w:rFonts w:ascii="Arial" w:hAnsi="Arial" w:cs="Arial"/>
                <w:b/>
              </w:rPr>
            </w:pPr>
            <w:r w:rsidRPr="0029778D">
              <w:t>$215,368</w:t>
            </w:r>
          </w:p>
        </w:tc>
        <w:tc>
          <w:tcPr>
            <w:tcW w:w="1183" w:type="dxa"/>
            <w:vAlign w:val="bottom"/>
          </w:tcPr>
          <w:p w14:paraId="159B62D4" w14:textId="034401FA" w:rsidR="00F04F97" w:rsidRPr="0029778D" w:rsidRDefault="00F04F97" w:rsidP="00F04F97">
            <w:pPr>
              <w:jc w:val="center"/>
              <w:rPr>
                <w:rFonts w:ascii="Arial" w:hAnsi="Arial" w:cs="Arial"/>
                <w:b/>
              </w:rPr>
            </w:pPr>
            <w:r w:rsidRPr="0029778D">
              <w:t>$227,457</w:t>
            </w:r>
          </w:p>
        </w:tc>
        <w:tc>
          <w:tcPr>
            <w:tcW w:w="2950" w:type="dxa"/>
            <w:vAlign w:val="bottom"/>
          </w:tcPr>
          <w:p w14:paraId="052B25D4" w14:textId="630C8DAA" w:rsidR="00F04F97" w:rsidRPr="0029778D" w:rsidRDefault="00F04F97" w:rsidP="00F04F97">
            <w:pPr>
              <w:jc w:val="center"/>
              <w:rPr>
                <w:rFonts w:ascii="Arial" w:hAnsi="Arial" w:cs="Arial"/>
                <w:b/>
              </w:rPr>
            </w:pPr>
            <w:r w:rsidRPr="0029778D">
              <w:t>PSC-2017-0042-PAA-WU</w:t>
            </w:r>
          </w:p>
        </w:tc>
        <w:tc>
          <w:tcPr>
            <w:tcW w:w="1080" w:type="dxa"/>
            <w:vAlign w:val="bottom"/>
          </w:tcPr>
          <w:p w14:paraId="6356DC14" w14:textId="73A3954A" w:rsidR="00F04F97" w:rsidRPr="0029778D" w:rsidRDefault="00F04F97" w:rsidP="00F04F97">
            <w:pPr>
              <w:jc w:val="center"/>
              <w:rPr>
                <w:rFonts w:ascii="Arial" w:hAnsi="Arial" w:cs="Arial"/>
                <w:b/>
              </w:rPr>
            </w:pPr>
            <w:r w:rsidRPr="0029778D">
              <w:t>2/01/17</w:t>
            </w:r>
          </w:p>
        </w:tc>
      </w:tr>
      <w:tr w:rsidR="0029778D" w:rsidRPr="0029778D" w14:paraId="228F3EDB" w14:textId="77777777" w:rsidTr="0029778D">
        <w:trPr>
          <w:trHeight w:val="282"/>
          <w:jc w:val="center"/>
        </w:trPr>
        <w:tc>
          <w:tcPr>
            <w:tcW w:w="2383" w:type="dxa"/>
            <w:vAlign w:val="bottom"/>
          </w:tcPr>
          <w:p w14:paraId="0F39DC61" w14:textId="65A32341" w:rsidR="00F04F97" w:rsidRPr="0029778D" w:rsidRDefault="00F04F97" w:rsidP="00F04F97">
            <w:pPr>
              <w:jc w:val="center"/>
              <w:rPr>
                <w:rFonts w:ascii="Arial" w:hAnsi="Arial" w:cs="Arial"/>
                <w:b/>
              </w:rPr>
            </w:pPr>
            <w:r w:rsidRPr="0029778D">
              <w:t>East Marion - w</w:t>
            </w:r>
          </w:p>
        </w:tc>
        <w:tc>
          <w:tcPr>
            <w:tcW w:w="1268" w:type="dxa"/>
            <w:vAlign w:val="bottom"/>
          </w:tcPr>
          <w:p w14:paraId="39C826C4" w14:textId="1068FA18" w:rsidR="00F04F97" w:rsidRPr="0029778D" w:rsidRDefault="00A84B15" w:rsidP="00F04F97">
            <w:pPr>
              <w:jc w:val="center"/>
              <w:rPr>
                <w:rFonts w:ascii="Arial" w:hAnsi="Arial" w:cs="Arial"/>
                <w:b/>
              </w:rPr>
            </w:pPr>
            <w:r>
              <w:t>116</w:t>
            </w:r>
          </w:p>
        </w:tc>
        <w:tc>
          <w:tcPr>
            <w:tcW w:w="1177" w:type="dxa"/>
            <w:vAlign w:val="bottom"/>
          </w:tcPr>
          <w:p w14:paraId="4E840984" w14:textId="2959B66A" w:rsidR="00F04F97" w:rsidRPr="0029778D" w:rsidRDefault="00F04F97" w:rsidP="00F04F97">
            <w:pPr>
              <w:jc w:val="center"/>
              <w:rPr>
                <w:rFonts w:ascii="Arial" w:hAnsi="Arial" w:cs="Arial"/>
                <w:b/>
              </w:rPr>
            </w:pPr>
            <w:r w:rsidRPr="0029778D">
              <w:t>$37,526</w:t>
            </w:r>
          </w:p>
        </w:tc>
        <w:tc>
          <w:tcPr>
            <w:tcW w:w="1183" w:type="dxa"/>
            <w:vAlign w:val="bottom"/>
          </w:tcPr>
          <w:p w14:paraId="3A6DDE67" w14:textId="71B7D58C" w:rsidR="00F04F97" w:rsidRPr="0029778D" w:rsidRDefault="00F04F97" w:rsidP="00F04F97">
            <w:pPr>
              <w:jc w:val="center"/>
              <w:rPr>
                <w:rFonts w:ascii="Arial" w:hAnsi="Arial" w:cs="Arial"/>
                <w:b/>
              </w:rPr>
            </w:pPr>
            <w:r w:rsidRPr="0029778D">
              <w:t>$40,806</w:t>
            </w:r>
          </w:p>
        </w:tc>
        <w:tc>
          <w:tcPr>
            <w:tcW w:w="2950" w:type="dxa"/>
            <w:vAlign w:val="bottom"/>
          </w:tcPr>
          <w:p w14:paraId="23F9D9E8" w14:textId="34886248" w:rsidR="00F04F97" w:rsidRPr="0029778D" w:rsidRDefault="00F04F97" w:rsidP="00F04F97">
            <w:pPr>
              <w:jc w:val="center"/>
              <w:rPr>
                <w:rFonts w:ascii="Arial" w:hAnsi="Arial" w:cs="Arial"/>
                <w:b/>
              </w:rPr>
            </w:pPr>
            <w:r w:rsidRPr="0029778D">
              <w:t>PSC-2020-0393-PAA-WU</w:t>
            </w:r>
          </w:p>
        </w:tc>
        <w:tc>
          <w:tcPr>
            <w:tcW w:w="1080" w:type="dxa"/>
            <w:vAlign w:val="bottom"/>
          </w:tcPr>
          <w:p w14:paraId="43294D82" w14:textId="6F2F38E6" w:rsidR="00F04F97" w:rsidRPr="0029778D" w:rsidRDefault="00F04F97" w:rsidP="00F04F97">
            <w:pPr>
              <w:jc w:val="center"/>
              <w:rPr>
                <w:rFonts w:ascii="Arial" w:hAnsi="Arial" w:cs="Arial"/>
                <w:b/>
              </w:rPr>
            </w:pPr>
            <w:r w:rsidRPr="0029778D">
              <w:t>10/22/20</w:t>
            </w:r>
          </w:p>
        </w:tc>
      </w:tr>
      <w:tr w:rsidR="0029778D" w:rsidRPr="0029778D" w14:paraId="0EA93715" w14:textId="77777777" w:rsidTr="0029778D">
        <w:trPr>
          <w:trHeight w:val="282"/>
          <w:jc w:val="center"/>
        </w:trPr>
        <w:tc>
          <w:tcPr>
            <w:tcW w:w="2383" w:type="dxa"/>
            <w:vAlign w:val="bottom"/>
          </w:tcPr>
          <w:p w14:paraId="6C6B2E19" w14:textId="01A6BA1B" w:rsidR="00F04F97" w:rsidRPr="0029778D" w:rsidRDefault="00F04F97" w:rsidP="00F04F97">
            <w:pPr>
              <w:jc w:val="center"/>
              <w:rPr>
                <w:rFonts w:ascii="Arial" w:hAnsi="Arial" w:cs="Arial"/>
                <w:b/>
              </w:rPr>
            </w:pPr>
            <w:r w:rsidRPr="0029778D">
              <w:t xml:space="preserve">East Marion - </w:t>
            </w:r>
            <w:proofErr w:type="spellStart"/>
            <w:r w:rsidRPr="0029778D">
              <w:t>ww</w:t>
            </w:r>
            <w:proofErr w:type="spellEnd"/>
          </w:p>
        </w:tc>
        <w:tc>
          <w:tcPr>
            <w:tcW w:w="1268" w:type="dxa"/>
            <w:vAlign w:val="bottom"/>
          </w:tcPr>
          <w:p w14:paraId="66D46D6A" w14:textId="5248276C" w:rsidR="00F04F97" w:rsidRPr="0029778D" w:rsidRDefault="00A84B15" w:rsidP="00F04F97">
            <w:pPr>
              <w:jc w:val="center"/>
              <w:rPr>
                <w:rFonts w:ascii="Arial" w:hAnsi="Arial" w:cs="Arial"/>
                <w:b/>
              </w:rPr>
            </w:pPr>
            <w:r>
              <w:t>116</w:t>
            </w:r>
          </w:p>
        </w:tc>
        <w:tc>
          <w:tcPr>
            <w:tcW w:w="1177" w:type="dxa"/>
            <w:vAlign w:val="bottom"/>
          </w:tcPr>
          <w:p w14:paraId="7E7670EB" w14:textId="17761B8A" w:rsidR="00F04F97" w:rsidRPr="0029778D" w:rsidRDefault="00F04F97" w:rsidP="00F04F97">
            <w:pPr>
              <w:jc w:val="center"/>
              <w:rPr>
                <w:rFonts w:ascii="Arial" w:hAnsi="Arial" w:cs="Arial"/>
                <w:b/>
              </w:rPr>
            </w:pPr>
            <w:r w:rsidRPr="0029778D">
              <w:t>$48,925</w:t>
            </w:r>
          </w:p>
        </w:tc>
        <w:tc>
          <w:tcPr>
            <w:tcW w:w="1183" w:type="dxa"/>
            <w:vAlign w:val="bottom"/>
          </w:tcPr>
          <w:p w14:paraId="20D6D96A" w14:textId="290B2F1D" w:rsidR="00F04F97" w:rsidRPr="0029778D" w:rsidRDefault="00F04F97" w:rsidP="00F04F97">
            <w:pPr>
              <w:jc w:val="center"/>
              <w:rPr>
                <w:rFonts w:ascii="Arial" w:hAnsi="Arial" w:cs="Arial"/>
                <w:b/>
              </w:rPr>
            </w:pPr>
            <w:r w:rsidRPr="0029778D">
              <w:t>$63,774</w:t>
            </w:r>
          </w:p>
        </w:tc>
        <w:tc>
          <w:tcPr>
            <w:tcW w:w="2950" w:type="dxa"/>
            <w:vAlign w:val="bottom"/>
          </w:tcPr>
          <w:p w14:paraId="6D5F7CAA" w14:textId="2D1B24EF" w:rsidR="00F04F97" w:rsidRPr="0029778D" w:rsidRDefault="00F04F97" w:rsidP="00F04F97">
            <w:pPr>
              <w:jc w:val="center"/>
              <w:rPr>
                <w:rFonts w:ascii="Arial" w:hAnsi="Arial" w:cs="Arial"/>
                <w:b/>
              </w:rPr>
            </w:pPr>
            <w:r w:rsidRPr="0029778D">
              <w:t>PSC-2020-0393-PAA-WU</w:t>
            </w:r>
          </w:p>
        </w:tc>
        <w:tc>
          <w:tcPr>
            <w:tcW w:w="1080" w:type="dxa"/>
            <w:vAlign w:val="bottom"/>
          </w:tcPr>
          <w:p w14:paraId="033E78B4" w14:textId="05649D8D" w:rsidR="00F04F97" w:rsidRPr="0029778D" w:rsidRDefault="00F04F97" w:rsidP="00F04F97">
            <w:pPr>
              <w:jc w:val="center"/>
              <w:rPr>
                <w:rFonts w:ascii="Arial" w:hAnsi="Arial" w:cs="Arial"/>
                <w:b/>
              </w:rPr>
            </w:pPr>
            <w:r w:rsidRPr="0029778D">
              <w:t>10/22/20</w:t>
            </w:r>
          </w:p>
        </w:tc>
      </w:tr>
      <w:tr w:rsidR="0029778D" w:rsidRPr="0029778D" w14:paraId="2671480C" w14:textId="77777777" w:rsidTr="0029778D">
        <w:trPr>
          <w:trHeight w:val="282"/>
          <w:jc w:val="center"/>
        </w:trPr>
        <w:tc>
          <w:tcPr>
            <w:tcW w:w="2383" w:type="dxa"/>
            <w:vAlign w:val="bottom"/>
          </w:tcPr>
          <w:p w14:paraId="0CB2E21F" w14:textId="7FFCCA97" w:rsidR="00F04F97" w:rsidRPr="0029778D" w:rsidRDefault="00F04F97" w:rsidP="00F04F97">
            <w:pPr>
              <w:jc w:val="center"/>
              <w:rPr>
                <w:rFonts w:ascii="Arial" w:hAnsi="Arial" w:cs="Arial"/>
                <w:b/>
              </w:rPr>
            </w:pPr>
            <w:r w:rsidRPr="0029778D">
              <w:t>Heather Hills -w</w:t>
            </w:r>
          </w:p>
        </w:tc>
        <w:tc>
          <w:tcPr>
            <w:tcW w:w="1268" w:type="dxa"/>
            <w:vAlign w:val="bottom"/>
          </w:tcPr>
          <w:p w14:paraId="4599804D" w14:textId="58C00B13" w:rsidR="00F04F97" w:rsidRPr="0029778D" w:rsidRDefault="00A84B15" w:rsidP="00F04F97">
            <w:pPr>
              <w:jc w:val="center"/>
              <w:rPr>
                <w:rFonts w:ascii="Arial" w:hAnsi="Arial" w:cs="Arial"/>
                <w:b/>
              </w:rPr>
            </w:pPr>
            <w:r>
              <w:t>351</w:t>
            </w:r>
          </w:p>
        </w:tc>
        <w:tc>
          <w:tcPr>
            <w:tcW w:w="1177" w:type="dxa"/>
            <w:vAlign w:val="bottom"/>
          </w:tcPr>
          <w:p w14:paraId="2CDBD6ED" w14:textId="12754B60" w:rsidR="00F04F97" w:rsidRPr="0029778D" w:rsidRDefault="00F04F97" w:rsidP="00F04F97">
            <w:pPr>
              <w:jc w:val="center"/>
              <w:rPr>
                <w:rFonts w:ascii="Arial" w:hAnsi="Arial" w:cs="Arial"/>
                <w:b/>
              </w:rPr>
            </w:pPr>
            <w:r w:rsidRPr="0029778D">
              <w:t>$80,918</w:t>
            </w:r>
          </w:p>
        </w:tc>
        <w:tc>
          <w:tcPr>
            <w:tcW w:w="1183" w:type="dxa"/>
            <w:vAlign w:val="bottom"/>
          </w:tcPr>
          <w:p w14:paraId="08D10A7B" w14:textId="38D96443" w:rsidR="00F04F97" w:rsidRPr="0029778D" w:rsidRDefault="00F04F97" w:rsidP="00F04F97">
            <w:pPr>
              <w:jc w:val="center"/>
              <w:rPr>
                <w:rFonts w:ascii="Arial" w:hAnsi="Arial" w:cs="Arial"/>
                <w:b/>
              </w:rPr>
            </w:pPr>
            <w:r w:rsidRPr="0029778D">
              <w:t>$88,698</w:t>
            </w:r>
          </w:p>
        </w:tc>
        <w:tc>
          <w:tcPr>
            <w:tcW w:w="2950" w:type="dxa"/>
            <w:vAlign w:val="bottom"/>
          </w:tcPr>
          <w:p w14:paraId="568BD5FE" w14:textId="06E835A3" w:rsidR="00F04F97" w:rsidRPr="0029778D" w:rsidRDefault="00F04F97" w:rsidP="00F04F97">
            <w:pPr>
              <w:jc w:val="center"/>
              <w:rPr>
                <w:rFonts w:ascii="Arial" w:hAnsi="Arial" w:cs="Arial"/>
                <w:b/>
              </w:rPr>
            </w:pPr>
            <w:r w:rsidRPr="0029778D">
              <w:t>PSC-2020-0119-PAA-WS</w:t>
            </w:r>
          </w:p>
        </w:tc>
        <w:tc>
          <w:tcPr>
            <w:tcW w:w="1080" w:type="dxa"/>
            <w:vAlign w:val="bottom"/>
          </w:tcPr>
          <w:p w14:paraId="4D9D4BC9" w14:textId="155E52C8" w:rsidR="00F04F97" w:rsidRPr="0029778D" w:rsidRDefault="00F04F97" w:rsidP="00F04F97">
            <w:pPr>
              <w:jc w:val="center"/>
              <w:rPr>
                <w:rFonts w:ascii="Arial" w:hAnsi="Arial" w:cs="Arial"/>
                <w:b/>
              </w:rPr>
            </w:pPr>
            <w:r w:rsidRPr="0029778D">
              <w:t>4/20/20</w:t>
            </w:r>
          </w:p>
        </w:tc>
      </w:tr>
      <w:tr w:rsidR="0029778D" w:rsidRPr="0029778D" w14:paraId="70B08DD8" w14:textId="77777777" w:rsidTr="0029778D">
        <w:trPr>
          <w:trHeight w:val="282"/>
          <w:jc w:val="center"/>
        </w:trPr>
        <w:tc>
          <w:tcPr>
            <w:tcW w:w="2383" w:type="dxa"/>
            <w:vAlign w:val="bottom"/>
          </w:tcPr>
          <w:p w14:paraId="62E5A8A8" w14:textId="5F2DAD39" w:rsidR="00F04F97" w:rsidRPr="0029778D" w:rsidRDefault="00F04F97" w:rsidP="00F04F97">
            <w:pPr>
              <w:jc w:val="center"/>
              <w:rPr>
                <w:rFonts w:ascii="Arial" w:hAnsi="Arial" w:cs="Arial"/>
                <w:b/>
              </w:rPr>
            </w:pPr>
            <w:r w:rsidRPr="0029778D">
              <w:t>Heather Hills -</w:t>
            </w:r>
            <w:r w:rsidR="00197D67">
              <w:t xml:space="preserve"> </w:t>
            </w:r>
            <w:proofErr w:type="spellStart"/>
            <w:r w:rsidRPr="0029778D">
              <w:t>ww</w:t>
            </w:r>
            <w:proofErr w:type="spellEnd"/>
          </w:p>
        </w:tc>
        <w:tc>
          <w:tcPr>
            <w:tcW w:w="1268" w:type="dxa"/>
            <w:vAlign w:val="bottom"/>
          </w:tcPr>
          <w:p w14:paraId="1F842CFE" w14:textId="7A9D45F3" w:rsidR="00F04F97" w:rsidRPr="0029778D" w:rsidRDefault="00A84B15" w:rsidP="00F04F97">
            <w:pPr>
              <w:jc w:val="center"/>
              <w:rPr>
                <w:rFonts w:ascii="Arial" w:hAnsi="Arial" w:cs="Arial"/>
                <w:b/>
              </w:rPr>
            </w:pPr>
            <w:r>
              <w:t>351</w:t>
            </w:r>
          </w:p>
        </w:tc>
        <w:tc>
          <w:tcPr>
            <w:tcW w:w="1177" w:type="dxa"/>
            <w:vAlign w:val="bottom"/>
          </w:tcPr>
          <w:p w14:paraId="2CBEDEB2" w14:textId="3DE813B5" w:rsidR="00F04F97" w:rsidRPr="0029778D" w:rsidRDefault="00F04F97" w:rsidP="00F04F97">
            <w:pPr>
              <w:jc w:val="center"/>
              <w:rPr>
                <w:rFonts w:ascii="Arial" w:hAnsi="Arial" w:cs="Arial"/>
                <w:b/>
              </w:rPr>
            </w:pPr>
            <w:r w:rsidRPr="0029778D">
              <w:t>$127,219</w:t>
            </w:r>
          </w:p>
        </w:tc>
        <w:tc>
          <w:tcPr>
            <w:tcW w:w="1183" w:type="dxa"/>
            <w:vAlign w:val="bottom"/>
          </w:tcPr>
          <w:p w14:paraId="31722503" w14:textId="0B48DCC6" w:rsidR="00F04F97" w:rsidRPr="0029778D" w:rsidRDefault="00F04F97" w:rsidP="00F04F97">
            <w:pPr>
              <w:jc w:val="center"/>
              <w:rPr>
                <w:rFonts w:ascii="Arial" w:hAnsi="Arial" w:cs="Arial"/>
                <w:b/>
              </w:rPr>
            </w:pPr>
            <w:r w:rsidRPr="0029778D">
              <w:t>$131,205</w:t>
            </w:r>
          </w:p>
        </w:tc>
        <w:tc>
          <w:tcPr>
            <w:tcW w:w="2950" w:type="dxa"/>
            <w:vAlign w:val="bottom"/>
          </w:tcPr>
          <w:p w14:paraId="0302AF79" w14:textId="054A5F7D" w:rsidR="00F04F97" w:rsidRPr="0029778D" w:rsidRDefault="00F04F97" w:rsidP="00F04F97">
            <w:pPr>
              <w:jc w:val="center"/>
              <w:rPr>
                <w:rFonts w:ascii="Arial" w:hAnsi="Arial" w:cs="Arial"/>
                <w:b/>
              </w:rPr>
            </w:pPr>
            <w:r w:rsidRPr="0029778D">
              <w:t>PSC-2020-0119-PAA-WS</w:t>
            </w:r>
          </w:p>
        </w:tc>
        <w:tc>
          <w:tcPr>
            <w:tcW w:w="1080" w:type="dxa"/>
            <w:vAlign w:val="bottom"/>
          </w:tcPr>
          <w:p w14:paraId="19125E18" w14:textId="113E03CC" w:rsidR="00F04F97" w:rsidRPr="0029778D" w:rsidRDefault="00F04F97" w:rsidP="00F04F97">
            <w:pPr>
              <w:jc w:val="center"/>
              <w:rPr>
                <w:rFonts w:ascii="Arial" w:hAnsi="Arial" w:cs="Arial"/>
                <w:b/>
              </w:rPr>
            </w:pPr>
            <w:r w:rsidRPr="0029778D">
              <w:t>4/20/20</w:t>
            </w:r>
          </w:p>
        </w:tc>
      </w:tr>
      <w:tr w:rsidR="0029778D" w:rsidRPr="0029778D" w14:paraId="02EE2F5E" w14:textId="77777777" w:rsidTr="0029778D">
        <w:trPr>
          <w:trHeight w:val="282"/>
          <w:jc w:val="center"/>
        </w:trPr>
        <w:tc>
          <w:tcPr>
            <w:tcW w:w="2383" w:type="dxa"/>
            <w:vAlign w:val="bottom"/>
          </w:tcPr>
          <w:p w14:paraId="403E811E" w14:textId="1324643B" w:rsidR="00F04F97" w:rsidRPr="0029778D" w:rsidRDefault="00F04F97" w:rsidP="00F04F97">
            <w:pPr>
              <w:jc w:val="center"/>
              <w:rPr>
                <w:rFonts w:ascii="Arial" w:hAnsi="Arial" w:cs="Arial"/>
                <w:b/>
              </w:rPr>
            </w:pPr>
            <w:r w:rsidRPr="0029778D">
              <w:t>Holiday Gardens</w:t>
            </w:r>
          </w:p>
        </w:tc>
        <w:tc>
          <w:tcPr>
            <w:tcW w:w="1268" w:type="dxa"/>
            <w:vAlign w:val="bottom"/>
          </w:tcPr>
          <w:p w14:paraId="38EC3A3C" w14:textId="7EA31D29" w:rsidR="00F04F97" w:rsidRPr="0029778D" w:rsidRDefault="00A84B15" w:rsidP="00F04F97">
            <w:pPr>
              <w:jc w:val="center"/>
              <w:rPr>
                <w:rFonts w:ascii="Arial" w:hAnsi="Arial" w:cs="Arial"/>
                <w:b/>
              </w:rPr>
            </w:pPr>
            <w:r>
              <w:t>457</w:t>
            </w:r>
          </w:p>
        </w:tc>
        <w:tc>
          <w:tcPr>
            <w:tcW w:w="1177" w:type="dxa"/>
            <w:vAlign w:val="bottom"/>
          </w:tcPr>
          <w:p w14:paraId="5982DD92" w14:textId="27B42D7F" w:rsidR="00F04F97" w:rsidRPr="0029778D" w:rsidRDefault="00F04F97" w:rsidP="00F04F97">
            <w:pPr>
              <w:jc w:val="center"/>
              <w:rPr>
                <w:rFonts w:ascii="Arial" w:hAnsi="Arial" w:cs="Arial"/>
                <w:b/>
              </w:rPr>
            </w:pPr>
            <w:r w:rsidRPr="0029778D">
              <w:t>$139,460</w:t>
            </w:r>
          </w:p>
        </w:tc>
        <w:tc>
          <w:tcPr>
            <w:tcW w:w="1183" w:type="dxa"/>
            <w:vAlign w:val="bottom"/>
          </w:tcPr>
          <w:p w14:paraId="0C7B18B6" w14:textId="46422F49" w:rsidR="00F04F97" w:rsidRPr="0029778D" w:rsidRDefault="00F04F97" w:rsidP="00F04F97">
            <w:pPr>
              <w:jc w:val="center"/>
              <w:rPr>
                <w:rFonts w:ascii="Arial" w:hAnsi="Arial" w:cs="Arial"/>
                <w:b/>
              </w:rPr>
            </w:pPr>
            <w:r w:rsidRPr="0029778D">
              <w:t>$156,660</w:t>
            </w:r>
          </w:p>
        </w:tc>
        <w:tc>
          <w:tcPr>
            <w:tcW w:w="2950" w:type="dxa"/>
            <w:vAlign w:val="bottom"/>
          </w:tcPr>
          <w:p w14:paraId="696FBC75" w14:textId="741CEEAA" w:rsidR="00F04F97" w:rsidRPr="0029778D" w:rsidRDefault="00F04F97" w:rsidP="00F04F97">
            <w:pPr>
              <w:jc w:val="center"/>
              <w:rPr>
                <w:rFonts w:ascii="Arial" w:hAnsi="Arial" w:cs="Arial"/>
                <w:b/>
              </w:rPr>
            </w:pPr>
            <w:r w:rsidRPr="0029778D">
              <w:t>PSC-2017-0041-PAA-WU</w:t>
            </w:r>
          </w:p>
        </w:tc>
        <w:tc>
          <w:tcPr>
            <w:tcW w:w="1080" w:type="dxa"/>
            <w:vAlign w:val="bottom"/>
          </w:tcPr>
          <w:p w14:paraId="7E9DB323" w14:textId="14FCE639" w:rsidR="00F04F97" w:rsidRPr="0029778D" w:rsidRDefault="00F04F97" w:rsidP="00F04F97">
            <w:pPr>
              <w:jc w:val="center"/>
              <w:rPr>
                <w:rFonts w:ascii="Arial" w:hAnsi="Arial" w:cs="Arial"/>
                <w:b/>
              </w:rPr>
            </w:pPr>
            <w:r w:rsidRPr="0029778D">
              <w:t>2/01/17</w:t>
            </w:r>
          </w:p>
        </w:tc>
      </w:tr>
      <w:tr w:rsidR="0029778D" w:rsidRPr="0029778D" w14:paraId="4EC3C275" w14:textId="77777777" w:rsidTr="0029778D">
        <w:trPr>
          <w:trHeight w:val="270"/>
          <w:jc w:val="center"/>
        </w:trPr>
        <w:tc>
          <w:tcPr>
            <w:tcW w:w="2383" w:type="dxa"/>
            <w:vAlign w:val="bottom"/>
          </w:tcPr>
          <w:p w14:paraId="069BE120" w14:textId="4518D2ED" w:rsidR="00F04F97" w:rsidRPr="0029778D" w:rsidRDefault="00F04F97" w:rsidP="00F04F97">
            <w:pPr>
              <w:jc w:val="center"/>
              <w:rPr>
                <w:rFonts w:ascii="Arial" w:hAnsi="Arial" w:cs="Arial"/>
                <w:b/>
              </w:rPr>
            </w:pPr>
            <w:r w:rsidRPr="0029778D">
              <w:t>Lake Yale - w</w:t>
            </w:r>
          </w:p>
        </w:tc>
        <w:tc>
          <w:tcPr>
            <w:tcW w:w="1268" w:type="dxa"/>
            <w:vAlign w:val="bottom"/>
          </w:tcPr>
          <w:p w14:paraId="2518300B" w14:textId="6460AD1B" w:rsidR="00F04F97" w:rsidRPr="0029778D" w:rsidRDefault="00F04F97" w:rsidP="00F04F97">
            <w:pPr>
              <w:jc w:val="center"/>
              <w:rPr>
                <w:rFonts w:ascii="Arial" w:hAnsi="Arial" w:cs="Arial"/>
                <w:b/>
              </w:rPr>
            </w:pPr>
            <w:r w:rsidRPr="0029778D">
              <w:t>388</w:t>
            </w:r>
          </w:p>
        </w:tc>
        <w:tc>
          <w:tcPr>
            <w:tcW w:w="1177" w:type="dxa"/>
            <w:vAlign w:val="bottom"/>
          </w:tcPr>
          <w:p w14:paraId="2BF7CEEF" w14:textId="6BDDCAEF" w:rsidR="00F04F97" w:rsidRPr="0029778D" w:rsidRDefault="00F04F97" w:rsidP="00F04F97">
            <w:pPr>
              <w:jc w:val="center"/>
              <w:rPr>
                <w:rFonts w:ascii="Arial" w:hAnsi="Arial" w:cs="Arial"/>
                <w:b/>
              </w:rPr>
            </w:pPr>
            <w:r w:rsidRPr="0029778D">
              <w:t>$92,916</w:t>
            </w:r>
          </w:p>
        </w:tc>
        <w:tc>
          <w:tcPr>
            <w:tcW w:w="1183" w:type="dxa"/>
            <w:vAlign w:val="bottom"/>
          </w:tcPr>
          <w:p w14:paraId="5CCA7336" w14:textId="36BF22C5" w:rsidR="00F04F97" w:rsidRPr="0029778D" w:rsidRDefault="00F04F97" w:rsidP="00F04F97">
            <w:pPr>
              <w:jc w:val="center"/>
              <w:rPr>
                <w:rFonts w:ascii="Arial" w:hAnsi="Arial" w:cs="Arial"/>
                <w:b/>
              </w:rPr>
            </w:pPr>
            <w:r w:rsidRPr="0029778D">
              <w:t>$84,475</w:t>
            </w:r>
          </w:p>
        </w:tc>
        <w:tc>
          <w:tcPr>
            <w:tcW w:w="2950" w:type="dxa"/>
            <w:vAlign w:val="bottom"/>
          </w:tcPr>
          <w:p w14:paraId="5DB2D2A4" w14:textId="5DA5A16D" w:rsidR="00F04F97" w:rsidRPr="0029778D" w:rsidRDefault="00F04F97" w:rsidP="00F04F97">
            <w:pPr>
              <w:jc w:val="center"/>
              <w:rPr>
                <w:rFonts w:ascii="Arial" w:hAnsi="Arial" w:cs="Arial"/>
                <w:b/>
              </w:rPr>
            </w:pPr>
            <w:r w:rsidRPr="0029778D">
              <w:t>PSC-2021-0106-PAA-WS</w:t>
            </w:r>
          </w:p>
        </w:tc>
        <w:tc>
          <w:tcPr>
            <w:tcW w:w="1080" w:type="dxa"/>
            <w:vAlign w:val="bottom"/>
          </w:tcPr>
          <w:p w14:paraId="3047D504" w14:textId="362EC5D7" w:rsidR="00F04F97" w:rsidRPr="0029778D" w:rsidRDefault="00F04F97" w:rsidP="00F04F97">
            <w:pPr>
              <w:jc w:val="center"/>
              <w:rPr>
                <w:rFonts w:ascii="Arial" w:hAnsi="Arial" w:cs="Arial"/>
                <w:b/>
              </w:rPr>
            </w:pPr>
            <w:r w:rsidRPr="0029778D">
              <w:t>3/17/21</w:t>
            </w:r>
          </w:p>
        </w:tc>
      </w:tr>
      <w:tr w:rsidR="0029778D" w:rsidRPr="0029778D" w14:paraId="1E70F8DD" w14:textId="77777777" w:rsidTr="0029778D">
        <w:trPr>
          <w:trHeight w:val="282"/>
          <w:jc w:val="center"/>
        </w:trPr>
        <w:tc>
          <w:tcPr>
            <w:tcW w:w="2383" w:type="dxa"/>
            <w:vAlign w:val="bottom"/>
          </w:tcPr>
          <w:p w14:paraId="4707F1B3" w14:textId="3B688A85" w:rsidR="00F04F97" w:rsidRPr="0029778D" w:rsidRDefault="00F04F97" w:rsidP="00F04F97">
            <w:pPr>
              <w:jc w:val="center"/>
              <w:rPr>
                <w:rFonts w:ascii="Arial" w:hAnsi="Arial" w:cs="Arial"/>
                <w:b/>
              </w:rPr>
            </w:pPr>
            <w:r w:rsidRPr="0029778D">
              <w:t xml:space="preserve">Lake Yale - </w:t>
            </w:r>
            <w:proofErr w:type="spellStart"/>
            <w:r w:rsidRPr="0029778D">
              <w:t>ww</w:t>
            </w:r>
            <w:proofErr w:type="spellEnd"/>
          </w:p>
        </w:tc>
        <w:tc>
          <w:tcPr>
            <w:tcW w:w="1268" w:type="dxa"/>
            <w:vAlign w:val="bottom"/>
          </w:tcPr>
          <w:p w14:paraId="16D028C9" w14:textId="3496D9BF" w:rsidR="00F04F97" w:rsidRPr="0029778D" w:rsidRDefault="00F04F97" w:rsidP="00F04F97">
            <w:pPr>
              <w:jc w:val="center"/>
              <w:rPr>
                <w:rFonts w:ascii="Arial" w:hAnsi="Arial" w:cs="Arial"/>
                <w:b/>
              </w:rPr>
            </w:pPr>
            <w:r w:rsidRPr="0029778D">
              <w:t>300</w:t>
            </w:r>
          </w:p>
        </w:tc>
        <w:tc>
          <w:tcPr>
            <w:tcW w:w="1177" w:type="dxa"/>
            <w:vAlign w:val="bottom"/>
          </w:tcPr>
          <w:p w14:paraId="4AB968CE" w14:textId="1A2C4E87" w:rsidR="00F04F97" w:rsidRPr="0029778D" w:rsidRDefault="00F04F97" w:rsidP="00F04F97">
            <w:pPr>
              <w:jc w:val="center"/>
              <w:rPr>
                <w:rFonts w:ascii="Arial" w:hAnsi="Arial" w:cs="Arial"/>
                <w:b/>
              </w:rPr>
            </w:pPr>
            <w:r w:rsidRPr="0029778D">
              <w:t>$98,750</w:t>
            </w:r>
          </w:p>
        </w:tc>
        <w:tc>
          <w:tcPr>
            <w:tcW w:w="1183" w:type="dxa"/>
            <w:vAlign w:val="bottom"/>
          </w:tcPr>
          <w:p w14:paraId="45F6931B" w14:textId="30CD583A" w:rsidR="00F04F97" w:rsidRPr="0029778D" w:rsidRDefault="00F04F97" w:rsidP="00F04F97">
            <w:pPr>
              <w:jc w:val="center"/>
              <w:rPr>
                <w:rFonts w:ascii="Arial" w:hAnsi="Arial" w:cs="Arial"/>
                <w:b/>
              </w:rPr>
            </w:pPr>
            <w:r w:rsidRPr="0029778D">
              <w:t>$112,025</w:t>
            </w:r>
          </w:p>
        </w:tc>
        <w:tc>
          <w:tcPr>
            <w:tcW w:w="2950" w:type="dxa"/>
            <w:vAlign w:val="bottom"/>
          </w:tcPr>
          <w:p w14:paraId="1F765EB5" w14:textId="50BE71FA" w:rsidR="00F04F97" w:rsidRPr="0029778D" w:rsidRDefault="00F04F97" w:rsidP="00F04F97">
            <w:pPr>
              <w:jc w:val="center"/>
              <w:rPr>
                <w:rFonts w:ascii="Arial" w:hAnsi="Arial" w:cs="Arial"/>
                <w:b/>
              </w:rPr>
            </w:pPr>
            <w:r w:rsidRPr="0029778D">
              <w:t>PSC-2021-0106-PAA-WS</w:t>
            </w:r>
          </w:p>
        </w:tc>
        <w:tc>
          <w:tcPr>
            <w:tcW w:w="1080" w:type="dxa"/>
            <w:vAlign w:val="bottom"/>
          </w:tcPr>
          <w:p w14:paraId="1B1C0ED0" w14:textId="3527538C" w:rsidR="00F04F97" w:rsidRPr="0029778D" w:rsidRDefault="00F04F97" w:rsidP="00F04F97">
            <w:pPr>
              <w:jc w:val="center"/>
              <w:rPr>
                <w:rFonts w:ascii="Arial" w:hAnsi="Arial" w:cs="Arial"/>
                <w:b/>
              </w:rPr>
            </w:pPr>
            <w:r w:rsidRPr="0029778D">
              <w:t>3/17/21</w:t>
            </w:r>
          </w:p>
        </w:tc>
      </w:tr>
      <w:tr w:rsidR="0029778D" w:rsidRPr="0029778D" w14:paraId="47F1D04E" w14:textId="77777777" w:rsidTr="0029778D">
        <w:trPr>
          <w:trHeight w:val="282"/>
          <w:jc w:val="center"/>
        </w:trPr>
        <w:tc>
          <w:tcPr>
            <w:tcW w:w="2383" w:type="dxa"/>
            <w:vAlign w:val="bottom"/>
          </w:tcPr>
          <w:p w14:paraId="6F07EBB5" w14:textId="52356DD9" w:rsidR="00F04F97" w:rsidRPr="0029778D" w:rsidRDefault="00F04F97" w:rsidP="00F04F97">
            <w:pPr>
              <w:jc w:val="center"/>
              <w:rPr>
                <w:rFonts w:ascii="Arial" w:hAnsi="Arial" w:cs="Arial"/>
                <w:b/>
              </w:rPr>
            </w:pPr>
            <w:r w:rsidRPr="0029778D">
              <w:t xml:space="preserve">McLeod </w:t>
            </w:r>
            <w:r w:rsidR="00B62A0F">
              <w:t>Gardens</w:t>
            </w:r>
          </w:p>
        </w:tc>
        <w:tc>
          <w:tcPr>
            <w:tcW w:w="1268" w:type="dxa"/>
            <w:vAlign w:val="bottom"/>
          </w:tcPr>
          <w:p w14:paraId="1DEA6C27" w14:textId="28D80454" w:rsidR="00F04F97" w:rsidRPr="0029778D" w:rsidRDefault="00F04F97" w:rsidP="00F04F97">
            <w:pPr>
              <w:jc w:val="center"/>
              <w:rPr>
                <w:rFonts w:ascii="Arial" w:hAnsi="Arial" w:cs="Arial"/>
                <w:b/>
              </w:rPr>
            </w:pPr>
            <w:r w:rsidRPr="0029778D">
              <w:t>100</w:t>
            </w:r>
          </w:p>
        </w:tc>
        <w:tc>
          <w:tcPr>
            <w:tcW w:w="1177" w:type="dxa"/>
            <w:vAlign w:val="bottom"/>
          </w:tcPr>
          <w:p w14:paraId="4543CF23" w14:textId="022ACC88" w:rsidR="00F04F97" w:rsidRPr="0029778D" w:rsidRDefault="00F04F97" w:rsidP="00F04F97">
            <w:pPr>
              <w:jc w:val="center"/>
              <w:rPr>
                <w:rFonts w:ascii="Arial" w:hAnsi="Arial" w:cs="Arial"/>
                <w:b/>
              </w:rPr>
            </w:pPr>
            <w:r w:rsidRPr="0029778D">
              <w:t>$61,761</w:t>
            </w:r>
          </w:p>
        </w:tc>
        <w:tc>
          <w:tcPr>
            <w:tcW w:w="1183" w:type="dxa"/>
            <w:vAlign w:val="bottom"/>
          </w:tcPr>
          <w:p w14:paraId="556E49AE" w14:textId="3EF531DB" w:rsidR="00F04F97" w:rsidRPr="0029778D" w:rsidRDefault="00F04F97" w:rsidP="00F04F97">
            <w:pPr>
              <w:jc w:val="center"/>
              <w:rPr>
                <w:rFonts w:ascii="Arial" w:hAnsi="Arial" w:cs="Arial"/>
                <w:b/>
              </w:rPr>
            </w:pPr>
            <w:r w:rsidRPr="0029778D">
              <w:t>$57,862</w:t>
            </w:r>
          </w:p>
        </w:tc>
        <w:tc>
          <w:tcPr>
            <w:tcW w:w="2950" w:type="dxa"/>
            <w:vAlign w:val="bottom"/>
          </w:tcPr>
          <w:p w14:paraId="030D7B7F" w14:textId="5F867E18" w:rsidR="00F04F97" w:rsidRPr="0029778D" w:rsidRDefault="00F04F97" w:rsidP="00F04F97">
            <w:pPr>
              <w:jc w:val="center"/>
              <w:rPr>
                <w:rFonts w:ascii="Arial" w:hAnsi="Arial" w:cs="Arial"/>
                <w:b/>
              </w:rPr>
            </w:pPr>
            <w:r w:rsidRPr="0029778D">
              <w:t>PSC-2021-0107-PAA-WU</w:t>
            </w:r>
          </w:p>
        </w:tc>
        <w:tc>
          <w:tcPr>
            <w:tcW w:w="1080" w:type="dxa"/>
            <w:vAlign w:val="bottom"/>
          </w:tcPr>
          <w:p w14:paraId="37475E1A" w14:textId="45A03FE7" w:rsidR="00F04F97" w:rsidRPr="0029778D" w:rsidRDefault="00F04F97" w:rsidP="00F04F97">
            <w:pPr>
              <w:jc w:val="center"/>
              <w:rPr>
                <w:rFonts w:ascii="Arial" w:hAnsi="Arial" w:cs="Arial"/>
                <w:b/>
              </w:rPr>
            </w:pPr>
            <w:r w:rsidRPr="0029778D">
              <w:t>3/19/21</w:t>
            </w:r>
          </w:p>
        </w:tc>
      </w:tr>
      <w:tr w:rsidR="0029778D" w:rsidRPr="0029778D" w14:paraId="3CC6D058" w14:textId="77777777" w:rsidTr="0029778D">
        <w:trPr>
          <w:trHeight w:val="282"/>
          <w:jc w:val="center"/>
        </w:trPr>
        <w:tc>
          <w:tcPr>
            <w:tcW w:w="2383" w:type="dxa"/>
            <w:vAlign w:val="bottom"/>
          </w:tcPr>
          <w:p w14:paraId="22D12E68" w14:textId="2FC04AF3" w:rsidR="00F04F97" w:rsidRPr="0029778D" w:rsidRDefault="00F04F97" w:rsidP="00F04F97">
            <w:pPr>
              <w:jc w:val="center"/>
              <w:rPr>
                <w:rFonts w:ascii="Arial" w:hAnsi="Arial" w:cs="Arial"/>
                <w:b/>
              </w:rPr>
            </w:pPr>
            <w:r w:rsidRPr="0029778D">
              <w:t>Orange Land</w:t>
            </w:r>
          </w:p>
        </w:tc>
        <w:tc>
          <w:tcPr>
            <w:tcW w:w="1268" w:type="dxa"/>
            <w:vAlign w:val="bottom"/>
          </w:tcPr>
          <w:p w14:paraId="4DEE1F1A" w14:textId="7F08116F" w:rsidR="00F04F97" w:rsidRPr="0029778D" w:rsidRDefault="00F04F97" w:rsidP="00F04F97">
            <w:pPr>
              <w:jc w:val="center"/>
              <w:rPr>
                <w:rFonts w:ascii="Arial" w:hAnsi="Arial" w:cs="Arial"/>
                <w:b/>
              </w:rPr>
            </w:pPr>
            <w:r w:rsidRPr="0029778D">
              <w:t>74</w:t>
            </w:r>
          </w:p>
        </w:tc>
        <w:tc>
          <w:tcPr>
            <w:tcW w:w="1177" w:type="dxa"/>
            <w:vAlign w:val="bottom"/>
          </w:tcPr>
          <w:p w14:paraId="432C01AF" w14:textId="7391C243" w:rsidR="00F04F97" w:rsidRPr="0029778D" w:rsidRDefault="00F04F97" w:rsidP="00F04F97">
            <w:pPr>
              <w:jc w:val="center"/>
              <w:rPr>
                <w:rFonts w:ascii="Arial" w:hAnsi="Arial" w:cs="Arial"/>
                <w:b/>
              </w:rPr>
            </w:pPr>
            <w:r w:rsidRPr="0029778D">
              <w:t>$29,625</w:t>
            </w:r>
          </w:p>
        </w:tc>
        <w:tc>
          <w:tcPr>
            <w:tcW w:w="1183" w:type="dxa"/>
            <w:vAlign w:val="bottom"/>
          </w:tcPr>
          <w:p w14:paraId="0A497D3B" w14:textId="39D676C2" w:rsidR="00F04F97" w:rsidRPr="0029778D" w:rsidRDefault="00F04F97" w:rsidP="00F04F97">
            <w:pPr>
              <w:jc w:val="center"/>
              <w:rPr>
                <w:rFonts w:ascii="Arial" w:hAnsi="Arial" w:cs="Arial"/>
                <w:b/>
              </w:rPr>
            </w:pPr>
            <w:r w:rsidRPr="0029778D">
              <w:t>$29,295</w:t>
            </w:r>
          </w:p>
        </w:tc>
        <w:tc>
          <w:tcPr>
            <w:tcW w:w="2950" w:type="dxa"/>
            <w:vAlign w:val="bottom"/>
          </w:tcPr>
          <w:p w14:paraId="4055EE11" w14:textId="7396B209" w:rsidR="00F04F97" w:rsidRPr="0029778D" w:rsidRDefault="00F04F97" w:rsidP="00F04F97">
            <w:pPr>
              <w:jc w:val="center"/>
              <w:rPr>
                <w:rFonts w:ascii="Arial" w:hAnsi="Arial" w:cs="Arial"/>
                <w:b/>
              </w:rPr>
            </w:pPr>
            <w:r w:rsidRPr="0029778D">
              <w:t>PSC-2018-0439-PAA-WU</w:t>
            </w:r>
          </w:p>
        </w:tc>
        <w:tc>
          <w:tcPr>
            <w:tcW w:w="1080" w:type="dxa"/>
            <w:vAlign w:val="bottom"/>
          </w:tcPr>
          <w:p w14:paraId="3B9ACD68" w14:textId="773900FF" w:rsidR="00F04F97" w:rsidRPr="0029778D" w:rsidRDefault="00F04F97" w:rsidP="00F04F97">
            <w:pPr>
              <w:jc w:val="center"/>
              <w:rPr>
                <w:rFonts w:ascii="Arial" w:hAnsi="Arial" w:cs="Arial"/>
                <w:b/>
              </w:rPr>
            </w:pPr>
            <w:r w:rsidRPr="0029778D">
              <w:t>8/28/18</w:t>
            </w:r>
          </w:p>
        </w:tc>
      </w:tr>
      <w:tr w:rsidR="0029778D" w:rsidRPr="0029778D" w14:paraId="21C94D43" w14:textId="77777777" w:rsidTr="0029778D">
        <w:trPr>
          <w:trHeight w:val="282"/>
          <w:jc w:val="center"/>
        </w:trPr>
        <w:tc>
          <w:tcPr>
            <w:tcW w:w="2383" w:type="dxa"/>
            <w:vAlign w:val="bottom"/>
          </w:tcPr>
          <w:p w14:paraId="32339756" w14:textId="60E82F0B" w:rsidR="00F04F97" w:rsidRPr="0029778D" w:rsidRDefault="00F04F97" w:rsidP="00F04F97">
            <w:pPr>
              <w:jc w:val="center"/>
              <w:rPr>
                <w:rFonts w:ascii="Arial" w:hAnsi="Arial" w:cs="Arial"/>
                <w:b/>
              </w:rPr>
            </w:pPr>
            <w:r w:rsidRPr="0029778D">
              <w:t>Sunny Shores</w:t>
            </w:r>
          </w:p>
        </w:tc>
        <w:tc>
          <w:tcPr>
            <w:tcW w:w="1268" w:type="dxa"/>
            <w:vAlign w:val="bottom"/>
          </w:tcPr>
          <w:p w14:paraId="00419025" w14:textId="4661B54D" w:rsidR="00F04F97" w:rsidRPr="0029778D" w:rsidRDefault="00F04F97" w:rsidP="00F04F97">
            <w:pPr>
              <w:jc w:val="center"/>
              <w:rPr>
                <w:rFonts w:ascii="Arial" w:hAnsi="Arial" w:cs="Arial"/>
                <w:b/>
              </w:rPr>
            </w:pPr>
            <w:r w:rsidRPr="0029778D">
              <w:t>261</w:t>
            </w:r>
          </w:p>
        </w:tc>
        <w:tc>
          <w:tcPr>
            <w:tcW w:w="1177" w:type="dxa"/>
            <w:vAlign w:val="bottom"/>
          </w:tcPr>
          <w:p w14:paraId="6E437D02" w14:textId="2D7531ED" w:rsidR="00F04F97" w:rsidRPr="0029778D" w:rsidRDefault="00F04F97" w:rsidP="00F04F97">
            <w:pPr>
              <w:jc w:val="center"/>
              <w:rPr>
                <w:rFonts w:ascii="Arial" w:hAnsi="Arial" w:cs="Arial"/>
                <w:b/>
              </w:rPr>
            </w:pPr>
            <w:r w:rsidRPr="0029778D">
              <w:t>$108,002</w:t>
            </w:r>
          </w:p>
        </w:tc>
        <w:tc>
          <w:tcPr>
            <w:tcW w:w="1183" w:type="dxa"/>
            <w:vAlign w:val="bottom"/>
          </w:tcPr>
          <w:p w14:paraId="2E1F9DF4" w14:textId="04091A9B" w:rsidR="00F04F97" w:rsidRPr="0029778D" w:rsidRDefault="00F04F97" w:rsidP="00F04F97">
            <w:pPr>
              <w:jc w:val="center"/>
              <w:rPr>
                <w:rFonts w:ascii="Arial" w:hAnsi="Arial" w:cs="Arial"/>
                <w:b/>
              </w:rPr>
            </w:pPr>
            <w:r w:rsidRPr="0029778D">
              <w:t>$115,203</w:t>
            </w:r>
          </w:p>
        </w:tc>
        <w:tc>
          <w:tcPr>
            <w:tcW w:w="2950" w:type="dxa"/>
            <w:vAlign w:val="bottom"/>
          </w:tcPr>
          <w:p w14:paraId="0DFB74FB" w14:textId="6C4E670D" w:rsidR="00F04F97" w:rsidRPr="0029778D" w:rsidRDefault="00F04F97" w:rsidP="00F04F97">
            <w:pPr>
              <w:jc w:val="center"/>
              <w:rPr>
                <w:rFonts w:ascii="Arial" w:hAnsi="Arial" w:cs="Arial"/>
                <w:b/>
              </w:rPr>
            </w:pPr>
            <w:r w:rsidRPr="0029778D">
              <w:t>PSC-2021-0320-PAA-WU</w:t>
            </w:r>
          </w:p>
        </w:tc>
        <w:tc>
          <w:tcPr>
            <w:tcW w:w="1080" w:type="dxa"/>
            <w:vAlign w:val="bottom"/>
          </w:tcPr>
          <w:p w14:paraId="02C384C6" w14:textId="16D44726" w:rsidR="00F04F97" w:rsidRPr="0029778D" w:rsidRDefault="00F04F97" w:rsidP="00F04F97">
            <w:pPr>
              <w:jc w:val="center"/>
              <w:rPr>
                <w:rFonts w:ascii="Arial" w:hAnsi="Arial" w:cs="Arial"/>
                <w:b/>
              </w:rPr>
            </w:pPr>
            <w:r w:rsidRPr="0029778D">
              <w:t>8/23/21</w:t>
            </w:r>
          </w:p>
        </w:tc>
      </w:tr>
      <w:tr w:rsidR="0029778D" w:rsidRPr="0029778D" w14:paraId="671A45B8" w14:textId="77777777" w:rsidTr="0029778D">
        <w:trPr>
          <w:trHeight w:val="282"/>
          <w:jc w:val="center"/>
        </w:trPr>
        <w:tc>
          <w:tcPr>
            <w:tcW w:w="2383" w:type="dxa"/>
            <w:vAlign w:val="bottom"/>
          </w:tcPr>
          <w:p w14:paraId="42A5D90F" w14:textId="68BA4628" w:rsidR="00F04F97" w:rsidRPr="00AA1827" w:rsidRDefault="00F04F97" w:rsidP="00F04F97">
            <w:pPr>
              <w:jc w:val="center"/>
              <w:rPr>
                <w:rFonts w:ascii="Arial" w:hAnsi="Arial" w:cs="Arial"/>
                <w:b/>
                <w:highlight w:val="yellow"/>
              </w:rPr>
            </w:pPr>
            <w:r w:rsidRPr="00CF7C66">
              <w:t>Sunrise</w:t>
            </w:r>
          </w:p>
        </w:tc>
        <w:tc>
          <w:tcPr>
            <w:tcW w:w="1268" w:type="dxa"/>
            <w:vAlign w:val="bottom"/>
          </w:tcPr>
          <w:p w14:paraId="6F84FD7F" w14:textId="4D226611" w:rsidR="00F04F97" w:rsidRPr="00AA1827" w:rsidRDefault="00F04F97" w:rsidP="00F04F97">
            <w:pPr>
              <w:jc w:val="center"/>
              <w:rPr>
                <w:rFonts w:ascii="Arial" w:hAnsi="Arial" w:cs="Arial"/>
                <w:b/>
                <w:highlight w:val="yellow"/>
              </w:rPr>
            </w:pPr>
            <w:r w:rsidRPr="00CF7C66">
              <w:t>263</w:t>
            </w:r>
          </w:p>
        </w:tc>
        <w:tc>
          <w:tcPr>
            <w:tcW w:w="1177" w:type="dxa"/>
            <w:vAlign w:val="bottom"/>
          </w:tcPr>
          <w:p w14:paraId="5BFDE44D" w14:textId="3BB2657B" w:rsidR="00F04F97" w:rsidRPr="00AA1827" w:rsidRDefault="00F04F97" w:rsidP="00F04F97">
            <w:pPr>
              <w:jc w:val="center"/>
              <w:rPr>
                <w:rFonts w:ascii="Arial" w:hAnsi="Arial" w:cs="Arial"/>
                <w:b/>
                <w:highlight w:val="yellow"/>
              </w:rPr>
            </w:pPr>
            <w:r w:rsidRPr="00CF7C66">
              <w:t>$107,274</w:t>
            </w:r>
          </w:p>
        </w:tc>
        <w:tc>
          <w:tcPr>
            <w:tcW w:w="1183" w:type="dxa"/>
            <w:vAlign w:val="bottom"/>
          </w:tcPr>
          <w:p w14:paraId="362C3EDB" w14:textId="6EC98E9F" w:rsidR="00F04F97" w:rsidRPr="00D559FA" w:rsidRDefault="00CF7C66" w:rsidP="00F04F97">
            <w:pPr>
              <w:jc w:val="center"/>
              <w:rPr>
                <w:highlight w:val="yellow"/>
              </w:rPr>
            </w:pPr>
            <w:r w:rsidRPr="00CF7C66">
              <w:t>$96,398</w:t>
            </w:r>
          </w:p>
        </w:tc>
        <w:tc>
          <w:tcPr>
            <w:tcW w:w="2950" w:type="dxa"/>
            <w:vAlign w:val="bottom"/>
          </w:tcPr>
          <w:p w14:paraId="5A742C14" w14:textId="45EBE837" w:rsidR="00F04F97" w:rsidRPr="00AA1827" w:rsidRDefault="00F04F97" w:rsidP="00F04F97">
            <w:pPr>
              <w:jc w:val="center"/>
              <w:rPr>
                <w:rFonts w:ascii="Arial" w:hAnsi="Arial" w:cs="Arial"/>
                <w:b/>
                <w:highlight w:val="yellow"/>
              </w:rPr>
            </w:pPr>
            <w:r w:rsidRPr="00CF7C66">
              <w:t>PSC-2016-0126-PAA-WU</w:t>
            </w:r>
          </w:p>
        </w:tc>
        <w:tc>
          <w:tcPr>
            <w:tcW w:w="1080" w:type="dxa"/>
            <w:vAlign w:val="bottom"/>
          </w:tcPr>
          <w:p w14:paraId="35CBD0E9" w14:textId="0638593B" w:rsidR="00F04F97" w:rsidRPr="00CF7C66" w:rsidRDefault="00F04F97" w:rsidP="00F04F97">
            <w:pPr>
              <w:jc w:val="center"/>
              <w:rPr>
                <w:rFonts w:ascii="Arial" w:hAnsi="Arial" w:cs="Arial"/>
                <w:b/>
              </w:rPr>
            </w:pPr>
            <w:r w:rsidRPr="00CF7C66">
              <w:t>3/28/16</w:t>
            </w:r>
          </w:p>
        </w:tc>
      </w:tr>
      <w:tr w:rsidR="0029778D" w:rsidRPr="0029778D" w14:paraId="5A8761C5" w14:textId="77777777" w:rsidTr="0029778D">
        <w:trPr>
          <w:trHeight w:val="270"/>
          <w:jc w:val="center"/>
        </w:trPr>
        <w:tc>
          <w:tcPr>
            <w:tcW w:w="2383" w:type="dxa"/>
            <w:vAlign w:val="bottom"/>
          </w:tcPr>
          <w:p w14:paraId="7FBE6665" w14:textId="16BE9CB5" w:rsidR="00F04F97" w:rsidRPr="0029778D" w:rsidRDefault="00F04F97" w:rsidP="00F04F97">
            <w:pPr>
              <w:jc w:val="center"/>
            </w:pPr>
            <w:r w:rsidRPr="0029778D">
              <w:t>West Lakeland</w:t>
            </w:r>
          </w:p>
        </w:tc>
        <w:tc>
          <w:tcPr>
            <w:tcW w:w="1268" w:type="dxa"/>
            <w:vAlign w:val="bottom"/>
          </w:tcPr>
          <w:p w14:paraId="466B3949" w14:textId="298E92F0" w:rsidR="00F04F97" w:rsidRPr="0029778D" w:rsidRDefault="00F04F97" w:rsidP="00F04F97">
            <w:pPr>
              <w:jc w:val="center"/>
            </w:pPr>
            <w:r w:rsidRPr="0029778D">
              <w:t>317</w:t>
            </w:r>
          </w:p>
        </w:tc>
        <w:tc>
          <w:tcPr>
            <w:tcW w:w="1177" w:type="dxa"/>
            <w:vAlign w:val="bottom"/>
          </w:tcPr>
          <w:p w14:paraId="1A818475" w14:textId="5DA7CA17" w:rsidR="00F04F97" w:rsidRPr="0029778D" w:rsidRDefault="00F04F97" w:rsidP="00F04F97">
            <w:pPr>
              <w:jc w:val="center"/>
            </w:pPr>
            <w:r w:rsidRPr="0029778D">
              <w:t>$147,043</w:t>
            </w:r>
          </w:p>
        </w:tc>
        <w:tc>
          <w:tcPr>
            <w:tcW w:w="1183" w:type="dxa"/>
            <w:vAlign w:val="bottom"/>
          </w:tcPr>
          <w:p w14:paraId="75C3354C" w14:textId="0900CA72" w:rsidR="00F04F97" w:rsidRPr="0029778D" w:rsidRDefault="00F04F97" w:rsidP="00F04F97">
            <w:pPr>
              <w:jc w:val="center"/>
              <w:rPr>
                <w:rFonts w:ascii="Arial" w:hAnsi="Arial" w:cs="Arial"/>
                <w:b/>
              </w:rPr>
            </w:pPr>
            <w:r w:rsidRPr="0029778D">
              <w:t>$168,997</w:t>
            </w:r>
          </w:p>
        </w:tc>
        <w:tc>
          <w:tcPr>
            <w:tcW w:w="2950" w:type="dxa"/>
            <w:vAlign w:val="bottom"/>
          </w:tcPr>
          <w:p w14:paraId="5CE098AC" w14:textId="7E633514" w:rsidR="00F04F97" w:rsidRPr="0029778D" w:rsidRDefault="00F04F97" w:rsidP="00F04F97">
            <w:pPr>
              <w:jc w:val="center"/>
            </w:pPr>
            <w:r w:rsidRPr="0029778D">
              <w:t>PSC-2019-0503-PAA-SU</w:t>
            </w:r>
          </w:p>
        </w:tc>
        <w:tc>
          <w:tcPr>
            <w:tcW w:w="1080" w:type="dxa"/>
            <w:vAlign w:val="bottom"/>
          </w:tcPr>
          <w:p w14:paraId="2F4DE643" w14:textId="3EF82CE9" w:rsidR="00F04F97" w:rsidRPr="0029778D" w:rsidRDefault="00F04F97" w:rsidP="00F04F97">
            <w:pPr>
              <w:jc w:val="center"/>
            </w:pPr>
            <w:r w:rsidRPr="0029778D">
              <w:t>11/25/19</w:t>
            </w:r>
          </w:p>
        </w:tc>
      </w:tr>
    </w:tbl>
    <w:p w14:paraId="25AF739E" w14:textId="70536613" w:rsidR="003913CE" w:rsidRPr="008F16BE" w:rsidRDefault="003913CE" w:rsidP="003913CE">
      <w:pPr>
        <w:spacing w:after="200" w:line="276" w:lineRule="auto"/>
        <w:rPr>
          <w:rFonts w:eastAsiaTheme="minorHAnsi" w:cstheme="minorBidi"/>
          <w:szCs w:val="22"/>
        </w:rPr>
      </w:pPr>
      <w:r w:rsidRPr="008F16BE">
        <w:rPr>
          <w:rFonts w:eastAsiaTheme="minorHAnsi" w:cstheme="minorBidi"/>
          <w:szCs w:val="22"/>
        </w:rPr>
        <w:t xml:space="preserve">Source: </w:t>
      </w:r>
      <w:r>
        <w:rPr>
          <w:rFonts w:eastAsiaTheme="minorHAnsi" w:cstheme="minorBidi"/>
          <w:szCs w:val="22"/>
        </w:rPr>
        <w:t>2022 Annual Report and the Case Management system</w:t>
      </w:r>
    </w:p>
    <w:p w14:paraId="497F2B01" w14:textId="433DF2D5" w:rsidR="00FE13A8" w:rsidRDefault="000D301C">
      <w:pPr>
        <w:pStyle w:val="BodyText"/>
        <w:rPr>
          <w:rFonts w:eastAsiaTheme="minorHAnsi" w:cstheme="minorBidi"/>
          <w:szCs w:val="22"/>
        </w:rPr>
      </w:pPr>
      <w:r w:rsidRPr="000D301C">
        <w:rPr>
          <w:rFonts w:eastAsiaTheme="minorHAnsi" w:cstheme="minorBidi"/>
          <w:szCs w:val="22"/>
        </w:rPr>
        <w:t>In each of the utilities’ last rate cases, the Commission found the overall quality of service to be satisfactory, with the exception of Sunrise.</w:t>
      </w:r>
      <w:r w:rsidRPr="008F16BE">
        <w:rPr>
          <w:rFonts w:eastAsiaTheme="minorHAnsi" w:cstheme="minorBidi"/>
          <w:szCs w:val="22"/>
        </w:rPr>
        <w:t xml:space="preserve"> In its 2014 rate case, the Commission found the overall quality of service to be unsatisfactory and ordered a 25 percent penalty to be applied to the officer</w:t>
      </w:r>
      <w:r>
        <w:rPr>
          <w:rFonts w:eastAsiaTheme="minorHAnsi" w:cstheme="minorBidi"/>
          <w:szCs w:val="22"/>
        </w:rPr>
        <w:t>’s</w:t>
      </w:r>
      <w:r w:rsidRPr="008F16BE">
        <w:rPr>
          <w:rFonts w:eastAsiaTheme="minorHAnsi" w:cstheme="minorBidi"/>
          <w:szCs w:val="22"/>
        </w:rPr>
        <w:t xml:space="preserve"> </w:t>
      </w:r>
      <w:r w:rsidRPr="004F753F">
        <w:rPr>
          <w:rFonts w:eastAsiaTheme="minorHAnsi" w:cstheme="minorBidi"/>
          <w:szCs w:val="22"/>
        </w:rPr>
        <w:t>salary.</w:t>
      </w:r>
      <w:r w:rsidRPr="004F753F">
        <w:rPr>
          <w:rFonts w:eastAsiaTheme="minorHAnsi" w:cstheme="minorBidi"/>
          <w:szCs w:val="22"/>
          <w:vertAlign w:val="superscript"/>
        </w:rPr>
        <w:footnoteReference w:id="3"/>
      </w:r>
      <w:r w:rsidRPr="008F16BE">
        <w:rPr>
          <w:rFonts w:eastAsiaTheme="minorHAnsi" w:cstheme="minorBidi"/>
          <w:szCs w:val="22"/>
        </w:rPr>
        <w:t xml:space="preserve"> Subsequent to its last rate case, Sunrise was transferred to its current owner in June 2018.</w:t>
      </w:r>
      <w:r w:rsidRPr="008F16BE">
        <w:rPr>
          <w:rFonts w:eastAsiaTheme="minorHAnsi" w:cstheme="minorBidi"/>
          <w:szCs w:val="22"/>
          <w:vertAlign w:val="superscript"/>
        </w:rPr>
        <w:footnoteReference w:id="4"/>
      </w:r>
      <w:r w:rsidRPr="008F16BE">
        <w:rPr>
          <w:rFonts w:eastAsiaTheme="minorHAnsi" w:cstheme="minorBidi"/>
          <w:szCs w:val="22"/>
        </w:rPr>
        <w:t xml:space="preserve"> Staff has identified a total of 10 complaints received by the Commission regarding secondary water quality standards for the utilities since their last rate case or limited alternative rate </w:t>
      </w:r>
      <w:r w:rsidRPr="004F753F">
        <w:rPr>
          <w:rFonts w:eastAsiaTheme="minorHAnsi" w:cstheme="minorBidi"/>
          <w:szCs w:val="22"/>
        </w:rPr>
        <w:t>increase.</w:t>
      </w:r>
      <w:r w:rsidRPr="004F753F">
        <w:rPr>
          <w:rStyle w:val="FootnoteReference"/>
          <w:rFonts w:eastAsiaTheme="minorHAnsi" w:cstheme="minorBidi"/>
          <w:szCs w:val="22"/>
        </w:rPr>
        <w:footnoteReference w:id="5"/>
      </w:r>
      <w:r w:rsidRPr="008F16BE">
        <w:rPr>
          <w:rFonts w:eastAsiaTheme="minorHAnsi" w:cstheme="minorBidi"/>
          <w:szCs w:val="22"/>
        </w:rPr>
        <w:t xml:space="preserve"> The complaints address b</w:t>
      </w:r>
      <w:r>
        <w:rPr>
          <w:rFonts w:eastAsiaTheme="minorHAnsi" w:cstheme="minorBidi"/>
          <w:szCs w:val="22"/>
        </w:rPr>
        <w:t>ad odors and/or discoloration. Eight</w:t>
      </w:r>
      <w:r w:rsidRPr="008F16BE">
        <w:rPr>
          <w:rFonts w:eastAsiaTheme="minorHAnsi" w:cstheme="minorBidi"/>
          <w:szCs w:val="22"/>
        </w:rPr>
        <w:t xml:space="preserve"> of the 10 complaints are for McLeod</w:t>
      </w:r>
      <w:r>
        <w:rPr>
          <w:rFonts w:eastAsiaTheme="minorHAnsi" w:cstheme="minorBidi"/>
          <w:szCs w:val="22"/>
        </w:rPr>
        <w:t xml:space="preserve"> Gardens</w:t>
      </w:r>
      <w:r w:rsidRPr="008F16BE">
        <w:rPr>
          <w:rFonts w:eastAsiaTheme="minorHAnsi" w:cstheme="minorBidi"/>
          <w:szCs w:val="22"/>
        </w:rPr>
        <w:t>, which passed its most recent D</w:t>
      </w:r>
      <w:r>
        <w:rPr>
          <w:rFonts w:eastAsiaTheme="minorHAnsi" w:cstheme="minorBidi"/>
          <w:szCs w:val="22"/>
        </w:rPr>
        <w:t xml:space="preserve">epartment of </w:t>
      </w:r>
      <w:r w:rsidRPr="008F16BE">
        <w:rPr>
          <w:rFonts w:eastAsiaTheme="minorHAnsi" w:cstheme="minorBidi"/>
          <w:szCs w:val="22"/>
        </w:rPr>
        <w:t>E</w:t>
      </w:r>
      <w:r>
        <w:rPr>
          <w:rFonts w:eastAsiaTheme="minorHAnsi" w:cstheme="minorBidi"/>
          <w:szCs w:val="22"/>
        </w:rPr>
        <w:t xml:space="preserve">nvironmental </w:t>
      </w:r>
      <w:r w:rsidRPr="008F16BE">
        <w:rPr>
          <w:rFonts w:eastAsiaTheme="minorHAnsi" w:cstheme="minorBidi"/>
          <w:szCs w:val="22"/>
        </w:rPr>
        <w:t>P</w:t>
      </w:r>
      <w:r>
        <w:rPr>
          <w:rFonts w:eastAsiaTheme="minorHAnsi" w:cstheme="minorBidi"/>
          <w:szCs w:val="22"/>
        </w:rPr>
        <w:t>rotection (DEP)</w:t>
      </w:r>
      <w:r w:rsidRPr="008F16BE">
        <w:rPr>
          <w:rFonts w:eastAsiaTheme="minorHAnsi" w:cstheme="minorBidi"/>
          <w:szCs w:val="22"/>
        </w:rPr>
        <w:t xml:space="preserve"> secondary water standard test results in June 2021. </w:t>
      </w:r>
      <w:r w:rsidRPr="00836F43">
        <w:rPr>
          <w:rFonts w:eastAsiaTheme="minorHAnsi" w:cstheme="minorBidi"/>
          <w:szCs w:val="22"/>
        </w:rPr>
        <w:t>Staff has identified 6 secondary water quality complaints filed with the DEP. The complaints address the odor, taste, discoloration or p</w:t>
      </w:r>
      <w:r>
        <w:rPr>
          <w:rFonts w:eastAsiaTheme="minorHAnsi" w:cstheme="minorBidi"/>
          <w:szCs w:val="22"/>
        </w:rPr>
        <w:t xml:space="preserve">articulate matter in the water </w:t>
      </w:r>
      <w:r w:rsidRPr="00836F43">
        <w:rPr>
          <w:rFonts w:eastAsiaTheme="minorHAnsi" w:cstheme="minorBidi"/>
          <w:szCs w:val="22"/>
        </w:rPr>
        <w:t xml:space="preserve">for Charlie Creek, </w:t>
      </w:r>
      <w:proofErr w:type="spellStart"/>
      <w:r w:rsidRPr="00836F43">
        <w:rPr>
          <w:rFonts w:eastAsiaTheme="minorHAnsi" w:cstheme="minorBidi"/>
          <w:szCs w:val="22"/>
        </w:rPr>
        <w:t>Crestridge</w:t>
      </w:r>
      <w:proofErr w:type="spellEnd"/>
      <w:r w:rsidRPr="00836F43">
        <w:rPr>
          <w:rFonts w:eastAsiaTheme="minorHAnsi" w:cstheme="minorBidi"/>
          <w:szCs w:val="22"/>
        </w:rPr>
        <w:t>, Holiday Gardens, Lake Yale and Orange Land facilities. The aforementioned utilities passed their most recent DEP secondary water standard test during calendar year 2022</w:t>
      </w:r>
      <w:r w:rsidR="00FE13A8">
        <w:rPr>
          <w:rFonts w:eastAsiaTheme="minorHAnsi" w:cstheme="minorBidi"/>
          <w:szCs w:val="22"/>
        </w:rPr>
        <w:t>.</w:t>
      </w:r>
    </w:p>
    <w:p w14:paraId="15942768" w14:textId="0C5D3269" w:rsidR="0029778D" w:rsidRDefault="000D301C">
      <w:pPr>
        <w:pStyle w:val="BodyText"/>
        <w:rPr>
          <w:rFonts w:eastAsiaTheme="minorHAnsi" w:cstheme="minorBidi"/>
          <w:szCs w:val="22"/>
        </w:rPr>
      </w:pPr>
      <w:r w:rsidRPr="000D301C">
        <w:rPr>
          <w:rFonts w:eastAsiaTheme="minorHAnsi" w:cstheme="minorBidi"/>
          <w:szCs w:val="22"/>
        </w:rPr>
        <w:t xml:space="preserve">A Notice for the Solicitation of Comments (Notice) was sent to customers on May 16, 2023, and 41 comments were received through noon on May 31, 2023. These comments included 10 which address secondary water quality standards, and 15 which address other water quality issues, such </w:t>
      </w:r>
      <w:r w:rsidRPr="000D301C">
        <w:rPr>
          <w:rFonts w:eastAsiaTheme="minorHAnsi" w:cstheme="minorBidi"/>
          <w:szCs w:val="22"/>
        </w:rPr>
        <w:lastRenderedPageBreak/>
        <w:t>as water pressure or boiled water notices. The table below summarizes the complaints/comments received by each utility.</w:t>
      </w:r>
    </w:p>
    <w:p w14:paraId="6FB87D19" w14:textId="56DA6771" w:rsidR="008F16BE" w:rsidRPr="008F16BE" w:rsidRDefault="008F16BE" w:rsidP="008F16BE">
      <w:pPr>
        <w:keepNext/>
        <w:jc w:val="center"/>
        <w:rPr>
          <w:rFonts w:ascii="Arial" w:hAnsi="Arial"/>
          <w:b/>
        </w:rPr>
      </w:pPr>
      <w:r w:rsidRPr="008F16BE">
        <w:rPr>
          <w:rFonts w:ascii="Arial" w:hAnsi="Arial"/>
          <w:b/>
        </w:rPr>
        <w:t xml:space="preserve">Customer </w:t>
      </w:r>
      <w:r w:rsidR="000D301C">
        <w:rPr>
          <w:rFonts w:ascii="Arial" w:hAnsi="Arial"/>
          <w:b/>
        </w:rPr>
        <w:t xml:space="preserve">Comments by </w:t>
      </w:r>
      <w:r w:rsidRPr="008F16BE">
        <w:rPr>
          <w:rFonts w:ascii="Arial" w:hAnsi="Arial"/>
          <w:b/>
        </w:rPr>
        <w:t>Utility</w:t>
      </w:r>
      <w:r w:rsidR="000D301C">
        <w:rPr>
          <w:rFonts w:ascii="Arial" w:hAnsi="Arial"/>
          <w:b/>
        </w:rPr>
        <w:t xml:space="preserve"> Regarding Water Quality</w:t>
      </w:r>
    </w:p>
    <w:tbl>
      <w:tblPr>
        <w:tblStyle w:val="TableGrid"/>
        <w:tblW w:w="9468" w:type="dxa"/>
        <w:tblLook w:val="04A0" w:firstRow="1" w:lastRow="0" w:firstColumn="1" w:lastColumn="0" w:noHBand="0" w:noVBand="1"/>
      </w:tblPr>
      <w:tblGrid>
        <w:gridCol w:w="4545"/>
        <w:gridCol w:w="1641"/>
        <w:gridCol w:w="1641"/>
        <w:gridCol w:w="1641"/>
      </w:tblGrid>
      <w:tr w:rsidR="00AC12AE" w14:paraId="62600716" w14:textId="77777777" w:rsidTr="00F87D3C">
        <w:tc>
          <w:tcPr>
            <w:tcW w:w="4545" w:type="dxa"/>
          </w:tcPr>
          <w:p w14:paraId="4C63DE44" w14:textId="77777777" w:rsidR="00AC12AE" w:rsidRDefault="00AC12AE" w:rsidP="00F87D3C">
            <w:pPr>
              <w:jc w:val="center"/>
            </w:pPr>
            <w:r>
              <w:t>Utility</w:t>
            </w:r>
          </w:p>
        </w:tc>
        <w:tc>
          <w:tcPr>
            <w:tcW w:w="1641" w:type="dxa"/>
          </w:tcPr>
          <w:p w14:paraId="2E52A501" w14:textId="77777777" w:rsidR="00AC12AE" w:rsidRDefault="00AC12AE" w:rsidP="00F87D3C">
            <w:pPr>
              <w:jc w:val="center"/>
            </w:pPr>
            <w:r>
              <w:t>Commission</w:t>
            </w:r>
          </w:p>
        </w:tc>
        <w:tc>
          <w:tcPr>
            <w:tcW w:w="1641" w:type="dxa"/>
          </w:tcPr>
          <w:p w14:paraId="3390EA16" w14:textId="77777777" w:rsidR="00AC12AE" w:rsidRDefault="00AC12AE" w:rsidP="00F87D3C">
            <w:pPr>
              <w:jc w:val="center"/>
            </w:pPr>
            <w:r>
              <w:t>DEP</w:t>
            </w:r>
          </w:p>
        </w:tc>
        <w:tc>
          <w:tcPr>
            <w:tcW w:w="1641" w:type="dxa"/>
          </w:tcPr>
          <w:p w14:paraId="597115D9" w14:textId="77777777" w:rsidR="00AC12AE" w:rsidRDefault="00AC12AE" w:rsidP="00F87D3C">
            <w:pPr>
              <w:jc w:val="center"/>
            </w:pPr>
            <w:r>
              <w:t>Notice</w:t>
            </w:r>
          </w:p>
        </w:tc>
      </w:tr>
      <w:tr w:rsidR="00AC12AE" w14:paraId="6271D6FA" w14:textId="77777777" w:rsidTr="00F87D3C">
        <w:tc>
          <w:tcPr>
            <w:tcW w:w="4545" w:type="dxa"/>
          </w:tcPr>
          <w:p w14:paraId="18FCCE5B" w14:textId="77777777" w:rsidR="00AC12AE" w:rsidRDefault="00AC12AE" w:rsidP="00F87D3C">
            <w:r w:rsidRPr="000F5D17">
              <w:t>Charlie Creek Utilities, LLC</w:t>
            </w:r>
          </w:p>
        </w:tc>
        <w:tc>
          <w:tcPr>
            <w:tcW w:w="1641" w:type="dxa"/>
          </w:tcPr>
          <w:p w14:paraId="35853A19" w14:textId="77777777" w:rsidR="00AC12AE" w:rsidRDefault="00AC12AE" w:rsidP="00F87D3C">
            <w:pPr>
              <w:jc w:val="center"/>
            </w:pPr>
            <w:r w:rsidRPr="000F5D17">
              <w:t>-</w:t>
            </w:r>
          </w:p>
        </w:tc>
        <w:tc>
          <w:tcPr>
            <w:tcW w:w="1641" w:type="dxa"/>
          </w:tcPr>
          <w:p w14:paraId="53129E08" w14:textId="77777777" w:rsidR="00AC12AE" w:rsidRDefault="00AC12AE" w:rsidP="00F87D3C">
            <w:pPr>
              <w:jc w:val="center"/>
            </w:pPr>
            <w:r w:rsidRPr="000F5D17">
              <w:t>1</w:t>
            </w:r>
          </w:p>
        </w:tc>
        <w:tc>
          <w:tcPr>
            <w:tcW w:w="1641" w:type="dxa"/>
          </w:tcPr>
          <w:p w14:paraId="0C4587A7" w14:textId="77777777" w:rsidR="00AC12AE" w:rsidRDefault="00AC12AE" w:rsidP="00F87D3C">
            <w:pPr>
              <w:jc w:val="center"/>
            </w:pPr>
            <w:r w:rsidRPr="000F5D17">
              <w:t>-</w:t>
            </w:r>
          </w:p>
        </w:tc>
      </w:tr>
      <w:tr w:rsidR="00AC12AE" w14:paraId="40B497CF" w14:textId="77777777" w:rsidTr="00F87D3C">
        <w:tc>
          <w:tcPr>
            <w:tcW w:w="4545" w:type="dxa"/>
          </w:tcPr>
          <w:p w14:paraId="44510F55" w14:textId="77777777" w:rsidR="00AC12AE" w:rsidRDefault="00AC12AE" w:rsidP="00F87D3C">
            <w:proofErr w:type="spellStart"/>
            <w:r w:rsidRPr="000F5D17">
              <w:t>Crestridge</w:t>
            </w:r>
            <w:proofErr w:type="spellEnd"/>
            <w:r w:rsidRPr="000F5D17">
              <w:t xml:space="preserve"> Utilities, LLC</w:t>
            </w:r>
          </w:p>
        </w:tc>
        <w:tc>
          <w:tcPr>
            <w:tcW w:w="1641" w:type="dxa"/>
          </w:tcPr>
          <w:p w14:paraId="74C619E6" w14:textId="77777777" w:rsidR="00AC12AE" w:rsidRDefault="00AC12AE" w:rsidP="00F87D3C">
            <w:pPr>
              <w:jc w:val="center"/>
            </w:pPr>
            <w:r w:rsidRPr="000F5D17">
              <w:t>1</w:t>
            </w:r>
          </w:p>
        </w:tc>
        <w:tc>
          <w:tcPr>
            <w:tcW w:w="1641" w:type="dxa"/>
          </w:tcPr>
          <w:p w14:paraId="6EDC8D94" w14:textId="77777777" w:rsidR="00AC12AE" w:rsidRDefault="00AC12AE" w:rsidP="00F87D3C">
            <w:pPr>
              <w:jc w:val="center"/>
            </w:pPr>
            <w:r w:rsidRPr="000F5D17">
              <w:t>2</w:t>
            </w:r>
          </w:p>
        </w:tc>
        <w:tc>
          <w:tcPr>
            <w:tcW w:w="1641" w:type="dxa"/>
          </w:tcPr>
          <w:p w14:paraId="1E305EE1" w14:textId="566BF1F9" w:rsidR="00AC12AE" w:rsidRDefault="000D301C" w:rsidP="00F87D3C">
            <w:pPr>
              <w:jc w:val="center"/>
            </w:pPr>
            <w:r>
              <w:t>2</w:t>
            </w:r>
          </w:p>
        </w:tc>
      </w:tr>
      <w:tr w:rsidR="00AC12AE" w14:paraId="5AFA3294" w14:textId="77777777" w:rsidTr="00F87D3C">
        <w:tc>
          <w:tcPr>
            <w:tcW w:w="4545" w:type="dxa"/>
          </w:tcPr>
          <w:p w14:paraId="6B30B145" w14:textId="77777777" w:rsidR="00AC12AE" w:rsidRDefault="00AC12AE" w:rsidP="00F87D3C">
            <w:r w:rsidRPr="000F5D17">
              <w:t>East Marion Utilities, LLC</w:t>
            </w:r>
          </w:p>
        </w:tc>
        <w:tc>
          <w:tcPr>
            <w:tcW w:w="1641" w:type="dxa"/>
          </w:tcPr>
          <w:p w14:paraId="460D9270" w14:textId="77777777" w:rsidR="00AC12AE" w:rsidRDefault="00AC12AE" w:rsidP="00F87D3C">
            <w:pPr>
              <w:jc w:val="center"/>
            </w:pPr>
            <w:r w:rsidRPr="000F5D17">
              <w:t>-</w:t>
            </w:r>
          </w:p>
        </w:tc>
        <w:tc>
          <w:tcPr>
            <w:tcW w:w="1641" w:type="dxa"/>
          </w:tcPr>
          <w:p w14:paraId="11B79B99" w14:textId="77777777" w:rsidR="00AC12AE" w:rsidRDefault="00AC12AE" w:rsidP="00F87D3C">
            <w:pPr>
              <w:jc w:val="center"/>
            </w:pPr>
            <w:r w:rsidRPr="000F5D17">
              <w:t>-</w:t>
            </w:r>
          </w:p>
        </w:tc>
        <w:tc>
          <w:tcPr>
            <w:tcW w:w="1641" w:type="dxa"/>
          </w:tcPr>
          <w:p w14:paraId="4BD8E5F1" w14:textId="77777777" w:rsidR="00AC12AE" w:rsidRDefault="00AC12AE" w:rsidP="00F87D3C">
            <w:pPr>
              <w:jc w:val="center"/>
            </w:pPr>
            <w:r>
              <w:t>3</w:t>
            </w:r>
          </w:p>
        </w:tc>
      </w:tr>
      <w:tr w:rsidR="00AC12AE" w14:paraId="1AE854DC" w14:textId="77777777" w:rsidTr="00F87D3C">
        <w:tc>
          <w:tcPr>
            <w:tcW w:w="4545" w:type="dxa"/>
          </w:tcPr>
          <w:p w14:paraId="4B734469" w14:textId="77777777" w:rsidR="00AC12AE" w:rsidRDefault="00AC12AE" w:rsidP="00F87D3C">
            <w:r w:rsidRPr="000F5D17">
              <w:t>Heather Hills Utilities, LLC</w:t>
            </w:r>
          </w:p>
        </w:tc>
        <w:tc>
          <w:tcPr>
            <w:tcW w:w="1641" w:type="dxa"/>
          </w:tcPr>
          <w:p w14:paraId="20145886" w14:textId="77777777" w:rsidR="00AC12AE" w:rsidRDefault="00AC12AE" w:rsidP="00F87D3C">
            <w:pPr>
              <w:jc w:val="center"/>
            </w:pPr>
            <w:r w:rsidRPr="000F5D17">
              <w:t>-</w:t>
            </w:r>
          </w:p>
        </w:tc>
        <w:tc>
          <w:tcPr>
            <w:tcW w:w="1641" w:type="dxa"/>
          </w:tcPr>
          <w:p w14:paraId="4794C121" w14:textId="77777777" w:rsidR="00AC12AE" w:rsidRDefault="00AC12AE" w:rsidP="00F87D3C">
            <w:pPr>
              <w:jc w:val="center"/>
            </w:pPr>
            <w:r w:rsidRPr="000F5D17">
              <w:t>-</w:t>
            </w:r>
          </w:p>
        </w:tc>
        <w:tc>
          <w:tcPr>
            <w:tcW w:w="1641" w:type="dxa"/>
          </w:tcPr>
          <w:p w14:paraId="30C1EE86" w14:textId="3A0CC05A" w:rsidR="00AC12AE" w:rsidRDefault="000D301C" w:rsidP="00F87D3C">
            <w:pPr>
              <w:jc w:val="center"/>
            </w:pPr>
            <w:r>
              <w:t>3</w:t>
            </w:r>
          </w:p>
        </w:tc>
      </w:tr>
      <w:tr w:rsidR="00AC12AE" w14:paraId="6C3C10AF" w14:textId="77777777" w:rsidTr="00F87D3C">
        <w:tc>
          <w:tcPr>
            <w:tcW w:w="4545" w:type="dxa"/>
          </w:tcPr>
          <w:p w14:paraId="5E0C4F04" w14:textId="77777777" w:rsidR="00AC12AE" w:rsidRDefault="00AC12AE" w:rsidP="00F87D3C">
            <w:r w:rsidRPr="000F5D17">
              <w:t>Holiday Gardens Utilities, LLC</w:t>
            </w:r>
          </w:p>
        </w:tc>
        <w:tc>
          <w:tcPr>
            <w:tcW w:w="1641" w:type="dxa"/>
          </w:tcPr>
          <w:p w14:paraId="19403727" w14:textId="77777777" w:rsidR="00AC12AE" w:rsidRDefault="00AC12AE" w:rsidP="00F87D3C">
            <w:pPr>
              <w:jc w:val="center"/>
            </w:pPr>
            <w:r w:rsidRPr="000F5D17">
              <w:t>-</w:t>
            </w:r>
          </w:p>
        </w:tc>
        <w:tc>
          <w:tcPr>
            <w:tcW w:w="1641" w:type="dxa"/>
          </w:tcPr>
          <w:p w14:paraId="4F909FD2" w14:textId="77777777" w:rsidR="00AC12AE" w:rsidRDefault="00AC12AE" w:rsidP="00F87D3C">
            <w:pPr>
              <w:jc w:val="center"/>
            </w:pPr>
            <w:r w:rsidRPr="000F5D17">
              <w:t>1</w:t>
            </w:r>
          </w:p>
        </w:tc>
        <w:tc>
          <w:tcPr>
            <w:tcW w:w="1641" w:type="dxa"/>
          </w:tcPr>
          <w:p w14:paraId="7A500E28" w14:textId="667781F1" w:rsidR="00AC12AE" w:rsidRDefault="000D301C" w:rsidP="00F87D3C">
            <w:pPr>
              <w:jc w:val="center"/>
            </w:pPr>
            <w:r>
              <w:t>3</w:t>
            </w:r>
          </w:p>
        </w:tc>
      </w:tr>
      <w:tr w:rsidR="00AC12AE" w14:paraId="485841AD" w14:textId="77777777" w:rsidTr="000D301C">
        <w:trPr>
          <w:trHeight w:val="44"/>
        </w:trPr>
        <w:tc>
          <w:tcPr>
            <w:tcW w:w="4545" w:type="dxa"/>
          </w:tcPr>
          <w:p w14:paraId="57590907" w14:textId="77777777" w:rsidR="00AC12AE" w:rsidRDefault="00AC12AE" w:rsidP="00F87D3C">
            <w:r w:rsidRPr="000F5D17">
              <w:t>Lake Yale Utilities, LLC</w:t>
            </w:r>
          </w:p>
        </w:tc>
        <w:tc>
          <w:tcPr>
            <w:tcW w:w="1641" w:type="dxa"/>
          </w:tcPr>
          <w:p w14:paraId="0DBC2A56" w14:textId="77777777" w:rsidR="00AC12AE" w:rsidRDefault="00AC12AE" w:rsidP="00F87D3C">
            <w:pPr>
              <w:jc w:val="center"/>
            </w:pPr>
            <w:r w:rsidRPr="000F5D17">
              <w:t>-</w:t>
            </w:r>
          </w:p>
        </w:tc>
        <w:tc>
          <w:tcPr>
            <w:tcW w:w="1641" w:type="dxa"/>
          </w:tcPr>
          <w:p w14:paraId="06B0E216" w14:textId="77777777" w:rsidR="00AC12AE" w:rsidRDefault="00AC12AE" w:rsidP="00F87D3C">
            <w:pPr>
              <w:jc w:val="center"/>
            </w:pPr>
            <w:r w:rsidRPr="000F5D17">
              <w:t>1</w:t>
            </w:r>
          </w:p>
        </w:tc>
        <w:tc>
          <w:tcPr>
            <w:tcW w:w="1641" w:type="dxa"/>
          </w:tcPr>
          <w:p w14:paraId="4ADE2C59" w14:textId="030E41A2" w:rsidR="00AC12AE" w:rsidRDefault="000D301C" w:rsidP="00F87D3C">
            <w:pPr>
              <w:jc w:val="center"/>
            </w:pPr>
            <w:r>
              <w:t>2</w:t>
            </w:r>
          </w:p>
        </w:tc>
      </w:tr>
      <w:tr w:rsidR="00AC12AE" w14:paraId="73FA2BE2" w14:textId="77777777" w:rsidTr="00F87D3C">
        <w:tc>
          <w:tcPr>
            <w:tcW w:w="4545" w:type="dxa"/>
          </w:tcPr>
          <w:p w14:paraId="7CDC6089" w14:textId="77777777" w:rsidR="00AC12AE" w:rsidRDefault="00AC12AE" w:rsidP="00F87D3C">
            <w:r w:rsidRPr="000F5D17">
              <w:t>McLeod Gardens Utilities, LLC</w:t>
            </w:r>
          </w:p>
        </w:tc>
        <w:tc>
          <w:tcPr>
            <w:tcW w:w="1641" w:type="dxa"/>
          </w:tcPr>
          <w:p w14:paraId="2D706E0B" w14:textId="77777777" w:rsidR="00AC12AE" w:rsidRDefault="00AC12AE" w:rsidP="00F87D3C">
            <w:pPr>
              <w:jc w:val="center"/>
            </w:pPr>
            <w:r w:rsidRPr="000F5D17">
              <w:t>8</w:t>
            </w:r>
          </w:p>
        </w:tc>
        <w:tc>
          <w:tcPr>
            <w:tcW w:w="1641" w:type="dxa"/>
          </w:tcPr>
          <w:p w14:paraId="4D3A62A7" w14:textId="77777777" w:rsidR="00AC12AE" w:rsidRDefault="00AC12AE" w:rsidP="00F87D3C">
            <w:pPr>
              <w:jc w:val="center"/>
            </w:pPr>
            <w:r w:rsidRPr="000F5D17">
              <w:t>-</w:t>
            </w:r>
          </w:p>
        </w:tc>
        <w:tc>
          <w:tcPr>
            <w:tcW w:w="1641" w:type="dxa"/>
          </w:tcPr>
          <w:p w14:paraId="53E78585" w14:textId="4AD5E82C" w:rsidR="00AC12AE" w:rsidRDefault="000D301C" w:rsidP="00F87D3C">
            <w:pPr>
              <w:jc w:val="center"/>
            </w:pPr>
            <w:r>
              <w:t>4</w:t>
            </w:r>
          </w:p>
        </w:tc>
      </w:tr>
      <w:tr w:rsidR="00AC12AE" w14:paraId="5B6BF5A5" w14:textId="77777777" w:rsidTr="00F87D3C">
        <w:tc>
          <w:tcPr>
            <w:tcW w:w="4545" w:type="dxa"/>
          </w:tcPr>
          <w:p w14:paraId="5F7284DF" w14:textId="77777777" w:rsidR="00AC12AE" w:rsidRDefault="00AC12AE" w:rsidP="00F87D3C">
            <w:r w:rsidRPr="000F5D17">
              <w:t>Orange Land Utilities, LLC</w:t>
            </w:r>
          </w:p>
        </w:tc>
        <w:tc>
          <w:tcPr>
            <w:tcW w:w="1641" w:type="dxa"/>
          </w:tcPr>
          <w:p w14:paraId="47603DF2" w14:textId="77777777" w:rsidR="00AC12AE" w:rsidRDefault="00AC12AE" w:rsidP="00F87D3C">
            <w:pPr>
              <w:jc w:val="center"/>
            </w:pPr>
            <w:r w:rsidRPr="000F5D17">
              <w:t>1</w:t>
            </w:r>
          </w:p>
        </w:tc>
        <w:tc>
          <w:tcPr>
            <w:tcW w:w="1641" w:type="dxa"/>
          </w:tcPr>
          <w:p w14:paraId="52354C12" w14:textId="77777777" w:rsidR="00AC12AE" w:rsidRDefault="00AC12AE" w:rsidP="00F87D3C">
            <w:pPr>
              <w:jc w:val="center"/>
            </w:pPr>
            <w:r w:rsidRPr="000F5D17">
              <w:t>1</w:t>
            </w:r>
          </w:p>
        </w:tc>
        <w:tc>
          <w:tcPr>
            <w:tcW w:w="1641" w:type="dxa"/>
          </w:tcPr>
          <w:p w14:paraId="61B4429A" w14:textId="77777777" w:rsidR="00AC12AE" w:rsidRDefault="00AC12AE" w:rsidP="00F87D3C">
            <w:pPr>
              <w:jc w:val="center"/>
            </w:pPr>
            <w:r>
              <w:t>3</w:t>
            </w:r>
          </w:p>
        </w:tc>
      </w:tr>
      <w:tr w:rsidR="00AC12AE" w14:paraId="23FD7FC8" w14:textId="77777777" w:rsidTr="00F87D3C">
        <w:tc>
          <w:tcPr>
            <w:tcW w:w="4545" w:type="dxa"/>
          </w:tcPr>
          <w:p w14:paraId="57BBA3C4" w14:textId="77777777" w:rsidR="00AC12AE" w:rsidRDefault="00AC12AE" w:rsidP="00F87D3C">
            <w:r w:rsidRPr="000F5D17">
              <w:t>Sunny Shores Utilities, LLC</w:t>
            </w:r>
          </w:p>
        </w:tc>
        <w:tc>
          <w:tcPr>
            <w:tcW w:w="1641" w:type="dxa"/>
          </w:tcPr>
          <w:p w14:paraId="54867476" w14:textId="77777777" w:rsidR="00AC12AE" w:rsidRDefault="00AC12AE" w:rsidP="00F87D3C">
            <w:pPr>
              <w:jc w:val="center"/>
            </w:pPr>
            <w:r w:rsidRPr="000F5D17">
              <w:t>-</w:t>
            </w:r>
          </w:p>
        </w:tc>
        <w:tc>
          <w:tcPr>
            <w:tcW w:w="1641" w:type="dxa"/>
          </w:tcPr>
          <w:p w14:paraId="452EC00A" w14:textId="77777777" w:rsidR="00AC12AE" w:rsidRDefault="00AC12AE" w:rsidP="00F87D3C">
            <w:pPr>
              <w:jc w:val="center"/>
            </w:pPr>
            <w:r w:rsidRPr="000F5D17">
              <w:t>-</w:t>
            </w:r>
          </w:p>
        </w:tc>
        <w:tc>
          <w:tcPr>
            <w:tcW w:w="1641" w:type="dxa"/>
          </w:tcPr>
          <w:p w14:paraId="2D8A0C10" w14:textId="489B5C6E" w:rsidR="00AC12AE" w:rsidRDefault="000D301C" w:rsidP="00F87D3C">
            <w:pPr>
              <w:jc w:val="center"/>
            </w:pPr>
            <w:r>
              <w:t>2</w:t>
            </w:r>
          </w:p>
        </w:tc>
      </w:tr>
      <w:tr w:rsidR="00AC12AE" w14:paraId="6B5C797D" w14:textId="77777777" w:rsidTr="00F87D3C">
        <w:tc>
          <w:tcPr>
            <w:tcW w:w="4545" w:type="dxa"/>
          </w:tcPr>
          <w:p w14:paraId="4F1BD773" w14:textId="77777777" w:rsidR="00AC12AE" w:rsidRDefault="00AC12AE" w:rsidP="00F87D3C">
            <w:r w:rsidRPr="000F5D17">
              <w:t>Sunrise Water, LLC</w:t>
            </w:r>
          </w:p>
        </w:tc>
        <w:tc>
          <w:tcPr>
            <w:tcW w:w="1641" w:type="dxa"/>
          </w:tcPr>
          <w:p w14:paraId="7A252EAA" w14:textId="77777777" w:rsidR="00AC12AE" w:rsidRDefault="00AC12AE" w:rsidP="00F87D3C">
            <w:pPr>
              <w:jc w:val="center"/>
            </w:pPr>
            <w:r w:rsidRPr="000F5D17">
              <w:t>-</w:t>
            </w:r>
          </w:p>
        </w:tc>
        <w:tc>
          <w:tcPr>
            <w:tcW w:w="1641" w:type="dxa"/>
          </w:tcPr>
          <w:p w14:paraId="7F7C326E" w14:textId="77777777" w:rsidR="00AC12AE" w:rsidRDefault="00AC12AE" w:rsidP="00F87D3C">
            <w:pPr>
              <w:jc w:val="center"/>
            </w:pPr>
            <w:r w:rsidRPr="000F5D17">
              <w:t>-</w:t>
            </w:r>
          </w:p>
        </w:tc>
        <w:tc>
          <w:tcPr>
            <w:tcW w:w="1641" w:type="dxa"/>
          </w:tcPr>
          <w:p w14:paraId="5AA79DC5" w14:textId="77777777" w:rsidR="00AC12AE" w:rsidRDefault="00AC12AE" w:rsidP="00F87D3C">
            <w:pPr>
              <w:jc w:val="center"/>
            </w:pPr>
            <w:r>
              <w:t>1</w:t>
            </w:r>
          </w:p>
        </w:tc>
      </w:tr>
      <w:tr w:rsidR="00AC12AE" w14:paraId="7EF6F42C" w14:textId="77777777" w:rsidTr="00F87D3C">
        <w:tc>
          <w:tcPr>
            <w:tcW w:w="4545" w:type="dxa"/>
          </w:tcPr>
          <w:p w14:paraId="55AD91F7" w14:textId="77777777" w:rsidR="00AC12AE" w:rsidRDefault="00AC12AE" w:rsidP="00F87D3C">
            <w:r w:rsidRPr="000F5D17">
              <w:t>West Lakeland Wastewater, LLC</w:t>
            </w:r>
          </w:p>
        </w:tc>
        <w:tc>
          <w:tcPr>
            <w:tcW w:w="1641" w:type="dxa"/>
          </w:tcPr>
          <w:p w14:paraId="7EC59DBF" w14:textId="77777777" w:rsidR="00AC12AE" w:rsidRDefault="00AC12AE" w:rsidP="00F87D3C">
            <w:pPr>
              <w:jc w:val="center"/>
            </w:pPr>
            <w:r w:rsidRPr="000F5D17">
              <w:t>-</w:t>
            </w:r>
          </w:p>
        </w:tc>
        <w:tc>
          <w:tcPr>
            <w:tcW w:w="1641" w:type="dxa"/>
          </w:tcPr>
          <w:p w14:paraId="7E41B39A" w14:textId="77777777" w:rsidR="00AC12AE" w:rsidRDefault="00AC12AE" w:rsidP="00F87D3C">
            <w:pPr>
              <w:jc w:val="center"/>
            </w:pPr>
            <w:r w:rsidRPr="000F5D17">
              <w:t>-</w:t>
            </w:r>
          </w:p>
        </w:tc>
        <w:tc>
          <w:tcPr>
            <w:tcW w:w="1641" w:type="dxa"/>
          </w:tcPr>
          <w:p w14:paraId="399407AB" w14:textId="01021336" w:rsidR="00AC12AE" w:rsidRDefault="000D301C" w:rsidP="00F87D3C">
            <w:pPr>
              <w:jc w:val="center"/>
            </w:pPr>
            <w:r>
              <w:t>2</w:t>
            </w:r>
          </w:p>
        </w:tc>
      </w:tr>
    </w:tbl>
    <w:p w14:paraId="08CB3A5B" w14:textId="1C6205D7" w:rsidR="00CC7753" w:rsidRDefault="003913CE" w:rsidP="00CC7753">
      <w:pPr>
        <w:spacing w:after="200" w:line="276" w:lineRule="auto"/>
        <w:rPr>
          <w:rFonts w:eastAsiaTheme="minorHAnsi" w:cstheme="minorBidi"/>
          <w:szCs w:val="22"/>
          <w:shd w:val="clear" w:color="auto" w:fill="FFFF00"/>
        </w:rPr>
      </w:pPr>
      <w:r w:rsidRPr="008F16BE">
        <w:rPr>
          <w:rFonts w:eastAsiaTheme="minorHAnsi" w:cstheme="minorBidi"/>
          <w:szCs w:val="22"/>
        </w:rPr>
        <w:t>Source:</w:t>
      </w:r>
      <w:bookmarkEnd w:id="10"/>
      <w:r w:rsidR="00CC7753">
        <w:rPr>
          <w:rFonts w:eastAsiaTheme="minorHAnsi" w:cstheme="minorBidi"/>
          <w:szCs w:val="22"/>
        </w:rPr>
        <w:t xml:space="preserve">  </w:t>
      </w:r>
      <w:r w:rsidR="00EF5491">
        <w:rPr>
          <w:rFonts w:eastAsiaTheme="minorHAnsi" w:cstheme="minorBidi"/>
          <w:szCs w:val="22"/>
        </w:rPr>
        <w:t>Consumer Activity Tracking System/DEP/Commission Docket File</w:t>
      </w:r>
    </w:p>
    <w:p w14:paraId="5E8AD4D9" w14:textId="3BD43AB4" w:rsidR="00A80501" w:rsidRPr="00A80501" w:rsidRDefault="00AE0E45" w:rsidP="005F76D0">
      <w:pPr>
        <w:spacing w:after="200"/>
        <w:jc w:val="both"/>
        <w:sectPr w:rsidR="00A80501" w:rsidRPr="00A80501">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t>I</w:t>
      </w:r>
      <w:r w:rsidR="00B5628B">
        <w:t>n its revised</w:t>
      </w:r>
      <w:r>
        <w:t xml:space="preserve"> application, FUS1 selected the test year ended December 31, 202</w:t>
      </w:r>
      <w:r w:rsidR="00B5628B">
        <w:t>2</w:t>
      </w:r>
      <w:r>
        <w:t xml:space="preserve">, for this proceeding. The Commission has </w:t>
      </w:r>
      <w:r w:rsidR="00700EF5">
        <w:t>jurisdiction</w:t>
      </w:r>
      <w:r>
        <w:t xml:space="preserve"> pursuant to Section 367.0814(9) and 367.121(1), </w:t>
      </w:r>
      <w:r w:rsidR="00EB3841">
        <w:t>F.S</w:t>
      </w:r>
      <w:r>
        <w:t xml:space="preserve">.  </w:t>
      </w:r>
    </w:p>
    <w:p w14:paraId="0F1468AB" w14:textId="77777777" w:rsidR="007C0528" w:rsidRDefault="007C0528">
      <w:pPr>
        <w:pStyle w:val="RecommendationMajorSectionHeading"/>
      </w:pPr>
      <w:bookmarkStart w:id="14" w:name="DiscussionOfIssues"/>
      <w:r>
        <w:lastRenderedPageBreak/>
        <w:t>Discussion of Issues</w:t>
      </w:r>
    </w:p>
    <w:bookmarkEnd w:id="14"/>
    <w:p w14:paraId="1D0027D0" w14:textId="6680B11F" w:rsidR="00E11AAA" w:rsidRDefault="00E11AAA">
      <w:pPr>
        <w:pStyle w:val="IssueHeading"/>
        <w:rPr>
          <w:vanish/>
          <w:specVanish/>
        </w:rPr>
      </w:pPr>
      <w:r w:rsidRPr="004C3641">
        <w:t xml:space="preserve">Issue </w:t>
      </w:r>
      <w:r w:rsidR="0065153C">
        <w:fldChar w:fldCharType="begin"/>
      </w:r>
      <w:r w:rsidR="0065153C">
        <w:instrText xml:space="preserve"> </w:instrText>
      </w:r>
      <w:r w:rsidR="0065153C">
        <w:instrText xml:space="preserve">SEQ Issue \* MERGEFORMAT </w:instrText>
      </w:r>
      <w:r w:rsidR="0065153C">
        <w:fldChar w:fldCharType="separate"/>
      </w:r>
      <w:r w:rsidR="00BF29BF">
        <w:rPr>
          <w:noProof/>
        </w:rPr>
        <w:t>1</w:t>
      </w:r>
      <w:r w:rsidR="0065153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F29BF">
        <w:rPr>
          <w:noProof/>
        </w:rPr>
        <w:instrText>1</w:instrText>
      </w:r>
      <w:r>
        <w:fldChar w:fldCharType="end"/>
      </w:r>
      <w:r>
        <w:tab/>
        <w:instrText xml:space="preserve">(Richards, Higgins)" \l 1 </w:instrText>
      </w:r>
      <w:r>
        <w:fldChar w:fldCharType="end"/>
      </w:r>
      <w:r>
        <w:t> </w:t>
      </w:r>
    </w:p>
    <w:p w14:paraId="2A04192D" w14:textId="77777777" w:rsidR="00E11AAA" w:rsidRDefault="00E11AAA">
      <w:pPr>
        <w:pStyle w:val="BodyText"/>
      </w:pPr>
      <w:r>
        <w:t> Should the Commission approve FUS1's application for a limited alternative rate increase for its systems?</w:t>
      </w:r>
    </w:p>
    <w:p w14:paraId="7A46992D" w14:textId="77777777" w:rsidR="00E11AAA" w:rsidRPr="004C3641" w:rsidRDefault="00E11AAA">
      <w:pPr>
        <w:pStyle w:val="IssueSubsectionHeading"/>
        <w:rPr>
          <w:vanish/>
          <w:specVanish/>
        </w:rPr>
      </w:pPr>
      <w:r w:rsidRPr="004C3641">
        <w:t>Recommendation: </w:t>
      </w:r>
    </w:p>
    <w:p w14:paraId="016F5EA5" w14:textId="4B105005" w:rsidR="00E11AAA" w:rsidRDefault="00E11AAA">
      <w:pPr>
        <w:pStyle w:val="BodyText"/>
      </w:pPr>
      <w:r>
        <w:t> </w:t>
      </w:r>
      <w:r w:rsidR="008F16BE">
        <w:t xml:space="preserve">Yes. The Commission should approve FUS1’s application for a LARI for the subject utilities. Pursuant to Rule 25-30.457(7), F.A.C., the utilities are required to hold any revenue increase granted subject to refund with interest. </w:t>
      </w:r>
      <w:r w:rsidR="008F16BE" w:rsidRPr="00037EED">
        <w:t xml:space="preserve">To ensure overearnings will not occur due to the implementation of these rate increases, Commission staff will conduct earning reviews of the </w:t>
      </w:r>
      <w:r w:rsidR="008F16BE">
        <w:t>12-</w:t>
      </w:r>
      <w:r w:rsidR="008F16BE" w:rsidRPr="00037EED">
        <w:t>month period following the implementation of the revenue increase</w:t>
      </w:r>
      <w:r w:rsidR="008F16BE">
        <w:t>s</w:t>
      </w:r>
      <w:r w:rsidR="008F16BE" w:rsidRPr="00037EED">
        <w:t>. If Comm</w:t>
      </w:r>
      <w:r w:rsidR="008F16BE">
        <w:t>ission staff determines that a</w:t>
      </w:r>
      <w:r w:rsidR="008F16BE" w:rsidRPr="00037EED">
        <w:t xml:space="preserve"> utility did not exceed the range of its last authorized return on equity, the revenue increase will no longer be held subject to refund</w:t>
      </w:r>
      <w:r w:rsidR="008F16BE">
        <w:t>.</w:t>
      </w:r>
      <w:r>
        <w:t xml:space="preserve"> (Richards, </w:t>
      </w:r>
      <w:proofErr w:type="spellStart"/>
      <w:r w:rsidR="005F76D0">
        <w:t>Haddix</w:t>
      </w:r>
      <w:proofErr w:type="spellEnd"/>
      <w:r w:rsidR="005F76D0">
        <w:t xml:space="preserve">, </w:t>
      </w:r>
      <w:r w:rsidR="00EF127D">
        <w:t>Davis</w:t>
      </w:r>
      <w:r>
        <w:t>)</w:t>
      </w:r>
    </w:p>
    <w:p w14:paraId="288E86D5" w14:textId="77777777" w:rsidR="00E11AAA" w:rsidRPr="004C3641" w:rsidRDefault="00E11AAA">
      <w:pPr>
        <w:pStyle w:val="IssueSubsectionHeading"/>
        <w:rPr>
          <w:vanish/>
          <w:specVanish/>
        </w:rPr>
      </w:pPr>
      <w:r w:rsidRPr="004C3641">
        <w:t>Staff Analysis: </w:t>
      </w:r>
    </w:p>
    <w:p w14:paraId="07C81F26" w14:textId="25580747" w:rsidR="003913CE" w:rsidRDefault="00E11AAA" w:rsidP="00EF127D">
      <w:pPr>
        <w:jc w:val="both"/>
        <w:rPr>
          <w:rFonts w:eastAsiaTheme="minorHAnsi" w:cstheme="minorBidi"/>
          <w:szCs w:val="22"/>
        </w:rPr>
      </w:pPr>
      <w:r>
        <w:t> </w:t>
      </w:r>
      <w:r w:rsidR="00EF127D">
        <w:rPr>
          <w:rFonts w:eastAsiaTheme="minorHAnsi" w:cstheme="minorBidi"/>
          <w:szCs w:val="22"/>
        </w:rPr>
        <w:t xml:space="preserve"> </w:t>
      </w:r>
      <w:r w:rsidR="00F2215B">
        <w:rPr>
          <w:rFonts w:eastAsiaTheme="minorHAnsi" w:cstheme="minorBidi"/>
          <w:szCs w:val="22"/>
        </w:rPr>
        <w:t>Pursuant to Rule 25-30.457, F.A.C., any utility eligible to file for a staff-assisted rate case (SARC) may petition the Commission for a limited alternative rate increase. A limited alternative rate case allows a system to receive up to 20 percent applied to metered or flat recurring rates as an alternative to a SARC filed pursuant to Rule 25-30.455, F.A.C. Rule 25-30.457, F.A.C., was designed as an alternative to traditional SARCs in order to stream-line the rate review process for qualifying water or wastewater companies by establishing an abbreviated procedure for a limited rate increase that is less time consuming and less costly for utility customers. Rule 25-30.457, F.A.C.</w:t>
      </w:r>
      <w:r w:rsidR="006E4566">
        <w:rPr>
          <w:rFonts w:eastAsiaTheme="minorHAnsi" w:cstheme="minorBidi"/>
          <w:szCs w:val="22"/>
        </w:rPr>
        <w:t>,</w:t>
      </w:r>
      <w:r w:rsidR="00F2215B">
        <w:rPr>
          <w:rFonts w:eastAsiaTheme="minorHAnsi" w:cstheme="minorBidi"/>
          <w:szCs w:val="22"/>
        </w:rPr>
        <w:t xml:space="preserve"> is similar to the rules governing “price index” and “pass-through” increases, in that neither an engineering review nor a financial audit of the utility’s books and records are required.</w:t>
      </w:r>
    </w:p>
    <w:p w14:paraId="474B72EC" w14:textId="77777777" w:rsidR="003913CE" w:rsidRDefault="003913CE" w:rsidP="00EF127D">
      <w:pPr>
        <w:jc w:val="both"/>
        <w:rPr>
          <w:rFonts w:eastAsiaTheme="minorHAnsi" w:cstheme="minorBidi"/>
          <w:szCs w:val="22"/>
        </w:rPr>
      </w:pPr>
    </w:p>
    <w:p w14:paraId="7ED75744" w14:textId="5256E488" w:rsidR="008F16BE" w:rsidRDefault="008F16BE" w:rsidP="00EF127D">
      <w:pPr>
        <w:jc w:val="both"/>
        <w:rPr>
          <w:rFonts w:eastAsiaTheme="minorHAnsi" w:cstheme="minorBidi"/>
          <w:szCs w:val="22"/>
        </w:rPr>
      </w:pPr>
      <w:r w:rsidRPr="008F16BE">
        <w:rPr>
          <w:rFonts w:eastAsiaTheme="minorHAnsi" w:cstheme="minorBidi"/>
          <w:szCs w:val="22"/>
        </w:rPr>
        <w:t xml:space="preserve">Staff analyzed FUS1’s filing </w:t>
      </w:r>
      <w:r w:rsidR="005F76D0">
        <w:rPr>
          <w:rFonts w:eastAsiaTheme="minorHAnsi" w:cstheme="minorBidi"/>
          <w:szCs w:val="22"/>
        </w:rPr>
        <w:t>based on</w:t>
      </w:r>
      <w:r w:rsidRPr="008F16BE">
        <w:rPr>
          <w:rFonts w:eastAsiaTheme="minorHAnsi" w:cstheme="minorBidi"/>
          <w:szCs w:val="22"/>
        </w:rPr>
        <w:t xml:space="preserve"> the criteria listed in Rule 25-30.457(</w:t>
      </w:r>
      <w:r w:rsidR="005F76D0">
        <w:rPr>
          <w:rFonts w:eastAsiaTheme="minorHAnsi" w:cstheme="minorBidi"/>
          <w:szCs w:val="22"/>
        </w:rPr>
        <w:t>2</w:t>
      </w:r>
      <w:r w:rsidRPr="008F16BE">
        <w:rPr>
          <w:rFonts w:eastAsiaTheme="minorHAnsi" w:cstheme="minorBidi"/>
          <w:szCs w:val="22"/>
        </w:rPr>
        <w:t xml:space="preserve">), F.A.C., and recommends that the utilities qualify for staff assistance pursuant to subsection (1) of this Rule. Staff also verified that the utilities are current on their regulatory assessment fees and annual report filings. Each of the 14 systems have had rates established within the last seven years, pursuant to Rule 25-30.457(2)(l), F.A.C., and are not overearning based on information provided in their 2022 Annual Reports. Additionally, the utilities’ books and records are organized consistent with Rule 25-30.110, F.A.C. The filing by FUS1 contained additional relevant information in support of its application. </w:t>
      </w:r>
    </w:p>
    <w:p w14:paraId="263BD8C2" w14:textId="77777777" w:rsidR="00EF127D" w:rsidRDefault="00EF127D" w:rsidP="00EF127D">
      <w:pPr>
        <w:jc w:val="both"/>
        <w:rPr>
          <w:rFonts w:eastAsiaTheme="minorHAnsi" w:cstheme="minorBidi"/>
          <w:szCs w:val="22"/>
        </w:rPr>
      </w:pPr>
    </w:p>
    <w:p w14:paraId="60F74EE2" w14:textId="3AC2B45A" w:rsidR="00EF127D" w:rsidRDefault="00EF127D" w:rsidP="00EF127D">
      <w:pPr>
        <w:jc w:val="both"/>
      </w:pPr>
      <w:r>
        <w:t xml:space="preserve">On </w:t>
      </w:r>
      <w:r w:rsidR="00A84B15">
        <w:t>May 16, 2023</w:t>
      </w:r>
      <w:r>
        <w:t xml:space="preserve">, the utilities sent their customers the Notice that provided a summary of the rate request, the current and proposed rates, detailed instructions on how comments may be filed with the Commission prior to the Commission Conference, and instructions if a customer wished to comment at the Commission Conference. Also attached to the Notice was a customer comment card that customers could complete and mail to the Commission. </w:t>
      </w:r>
      <w:r w:rsidR="000D301C" w:rsidRPr="000D301C">
        <w:t>As of noon on May 31, 2023, 41 customers submitted comments. Of these comments, 10 expressed concerns regarding secondary water standards such as issue with odor, discoloration, or particulates in the water, and 15 expressed concerns other water quality issues, such as low water pressure or frequency of boiled water notices.</w:t>
      </w:r>
    </w:p>
    <w:p w14:paraId="0A9A2E17" w14:textId="77777777" w:rsidR="00EF127D" w:rsidRPr="008F16BE" w:rsidRDefault="00EF127D" w:rsidP="00EF127D">
      <w:pPr>
        <w:jc w:val="both"/>
        <w:rPr>
          <w:rFonts w:eastAsiaTheme="minorHAnsi" w:cstheme="minorBidi"/>
          <w:szCs w:val="22"/>
        </w:rPr>
      </w:pPr>
    </w:p>
    <w:p w14:paraId="57E6D0BE" w14:textId="1916C66D" w:rsidR="008F16BE" w:rsidRPr="008F16BE" w:rsidRDefault="00734BAB" w:rsidP="00EF127D">
      <w:pPr>
        <w:jc w:val="both"/>
        <w:rPr>
          <w:rFonts w:eastAsiaTheme="minorHAnsi" w:cstheme="minorBidi"/>
          <w:szCs w:val="22"/>
        </w:rPr>
      </w:pPr>
      <w:r>
        <w:rPr>
          <w:rFonts w:eastAsiaTheme="minorHAnsi" w:cstheme="minorBidi"/>
          <w:szCs w:val="22"/>
        </w:rPr>
        <w:t>FUS1 requested</w:t>
      </w:r>
      <w:r w:rsidR="008F16BE" w:rsidRPr="008F16BE">
        <w:rPr>
          <w:rFonts w:eastAsiaTheme="minorHAnsi" w:cstheme="minorBidi"/>
          <w:szCs w:val="22"/>
        </w:rPr>
        <w:t xml:space="preserve"> </w:t>
      </w:r>
      <w:r>
        <w:rPr>
          <w:rFonts w:eastAsiaTheme="minorHAnsi" w:cstheme="minorBidi"/>
          <w:szCs w:val="22"/>
        </w:rPr>
        <w:t xml:space="preserve">a </w:t>
      </w:r>
      <w:r w:rsidR="008F16BE" w:rsidRPr="008F16BE">
        <w:rPr>
          <w:rFonts w:eastAsiaTheme="minorHAnsi" w:cstheme="minorBidi"/>
          <w:szCs w:val="22"/>
        </w:rPr>
        <w:t xml:space="preserve">5 percent increase for the utilities included in Table 1-1, a 15 percent increase for the utilities included in Table 1-2, and a 20 percent increase for the utilities included in Table </w:t>
      </w:r>
      <w:r w:rsidR="008F16BE" w:rsidRPr="008F16BE">
        <w:rPr>
          <w:rFonts w:eastAsiaTheme="minorHAnsi" w:cstheme="minorBidi"/>
          <w:szCs w:val="22"/>
        </w:rPr>
        <w:lastRenderedPageBreak/>
        <w:t xml:space="preserve">1-3. </w:t>
      </w:r>
      <w:r w:rsidR="00E71FDA">
        <w:rPr>
          <w:rFonts w:eastAsiaTheme="minorHAnsi" w:cstheme="minorBidi"/>
          <w:szCs w:val="22"/>
        </w:rPr>
        <w:t>Based on FUS1’s calculations, the requested increase amounts are needed to prospectively bring each utility within its range of authorized return on equity.</w:t>
      </w:r>
    </w:p>
    <w:p w14:paraId="4CE2DF31" w14:textId="77777777" w:rsidR="008F16BE" w:rsidRPr="008F16BE" w:rsidRDefault="008F16BE" w:rsidP="008F16BE">
      <w:pPr>
        <w:spacing w:after="200" w:line="276" w:lineRule="auto"/>
        <w:jc w:val="both"/>
        <w:rPr>
          <w:rFonts w:eastAsiaTheme="minorHAnsi" w:cstheme="minorBidi"/>
          <w:szCs w:val="22"/>
        </w:rPr>
      </w:pPr>
    </w:p>
    <w:p w14:paraId="2DDE90C1" w14:textId="77777777" w:rsidR="008F16BE" w:rsidRPr="008F16BE" w:rsidRDefault="008F16BE" w:rsidP="008F16BE">
      <w:pPr>
        <w:spacing w:line="276" w:lineRule="auto"/>
        <w:jc w:val="center"/>
        <w:rPr>
          <w:rFonts w:ascii="Arial" w:eastAsiaTheme="minorHAnsi" w:hAnsi="Arial" w:cs="Arial"/>
          <w:b/>
          <w:szCs w:val="22"/>
        </w:rPr>
      </w:pPr>
      <w:r w:rsidRPr="008F16BE">
        <w:rPr>
          <w:rFonts w:ascii="Arial" w:eastAsiaTheme="minorHAnsi" w:hAnsi="Arial" w:cs="Arial"/>
          <w:b/>
          <w:szCs w:val="22"/>
        </w:rPr>
        <w:t>Table 1-1</w:t>
      </w:r>
    </w:p>
    <w:p w14:paraId="4E63F7FB" w14:textId="77777777" w:rsidR="008F16BE" w:rsidRPr="008F16BE" w:rsidRDefault="008F16BE" w:rsidP="008F16BE">
      <w:pPr>
        <w:spacing w:line="276" w:lineRule="auto"/>
        <w:jc w:val="center"/>
        <w:rPr>
          <w:rFonts w:ascii="Arial" w:eastAsiaTheme="minorHAnsi" w:hAnsi="Arial" w:cs="Arial"/>
          <w:b/>
          <w:szCs w:val="22"/>
        </w:rPr>
      </w:pPr>
      <w:r w:rsidRPr="008F16BE">
        <w:rPr>
          <w:rFonts w:ascii="Arial" w:eastAsiaTheme="minorHAnsi" w:hAnsi="Arial" w:cs="Arial"/>
          <w:b/>
          <w:szCs w:val="22"/>
        </w:rPr>
        <w:t>Recommended 5 Percent Increase</w:t>
      </w:r>
    </w:p>
    <w:tbl>
      <w:tblPr>
        <w:tblStyle w:val="TableGrid2"/>
        <w:tblW w:w="3769" w:type="pct"/>
        <w:jc w:val="center"/>
        <w:tblBorders>
          <w:insideH w:val="none" w:sz="0" w:space="0" w:color="auto"/>
          <w:insideV w:val="none" w:sz="0" w:space="0" w:color="auto"/>
        </w:tblBorders>
        <w:tblLook w:val="04A0" w:firstRow="1" w:lastRow="0" w:firstColumn="1" w:lastColumn="0" w:noHBand="0" w:noVBand="1"/>
      </w:tblPr>
      <w:tblGrid>
        <w:gridCol w:w="3696"/>
        <w:gridCol w:w="3522"/>
      </w:tblGrid>
      <w:tr w:rsidR="008F16BE" w:rsidRPr="008F16BE" w14:paraId="7026F855" w14:textId="77777777" w:rsidTr="002E45CF">
        <w:trPr>
          <w:trHeight w:hRule="exact" w:val="288"/>
          <w:jc w:val="center"/>
        </w:trPr>
        <w:tc>
          <w:tcPr>
            <w:tcW w:w="2560" w:type="pct"/>
            <w:tcBorders>
              <w:top w:val="single" w:sz="4" w:space="0" w:color="auto"/>
              <w:bottom w:val="single" w:sz="4" w:space="0" w:color="auto"/>
            </w:tcBorders>
          </w:tcPr>
          <w:p w14:paraId="6C2D370A" w14:textId="77777777" w:rsidR="008F16BE" w:rsidRPr="008F16BE" w:rsidRDefault="008F16BE" w:rsidP="008F16BE">
            <w:pPr>
              <w:jc w:val="center"/>
              <w:rPr>
                <w:b/>
                <w:szCs w:val="22"/>
              </w:rPr>
            </w:pPr>
            <w:r w:rsidRPr="008F16BE">
              <w:rPr>
                <w:b/>
                <w:szCs w:val="22"/>
              </w:rPr>
              <w:t>System</w:t>
            </w:r>
          </w:p>
        </w:tc>
        <w:tc>
          <w:tcPr>
            <w:tcW w:w="2440" w:type="pct"/>
            <w:tcBorders>
              <w:top w:val="single" w:sz="4" w:space="0" w:color="auto"/>
              <w:bottom w:val="single" w:sz="4" w:space="0" w:color="auto"/>
            </w:tcBorders>
          </w:tcPr>
          <w:p w14:paraId="1DA57930" w14:textId="77777777" w:rsidR="008F16BE" w:rsidRPr="008F16BE" w:rsidRDefault="008F16BE" w:rsidP="008F16BE">
            <w:pPr>
              <w:jc w:val="center"/>
              <w:rPr>
                <w:b/>
                <w:szCs w:val="22"/>
              </w:rPr>
            </w:pPr>
            <w:r w:rsidRPr="008F16BE">
              <w:rPr>
                <w:b/>
                <w:szCs w:val="22"/>
              </w:rPr>
              <w:t>Amount ($)</w:t>
            </w:r>
          </w:p>
        </w:tc>
      </w:tr>
      <w:tr w:rsidR="008F16BE" w:rsidRPr="008F16BE" w14:paraId="30137F7F" w14:textId="77777777" w:rsidTr="002E45CF">
        <w:trPr>
          <w:trHeight w:hRule="exact" w:val="288"/>
          <w:jc w:val="center"/>
        </w:trPr>
        <w:tc>
          <w:tcPr>
            <w:tcW w:w="2560" w:type="pct"/>
          </w:tcPr>
          <w:p w14:paraId="2211C32D"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Lake Yale Utilities (water)</w:t>
            </w:r>
          </w:p>
        </w:tc>
        <w:tc>
          <w:tcPr>
            <w:tcW w:w="2440" w:type="pct"/>
          </w:tcPr>
          <w:p w14:paraId="1E795736" w14:textId="77777777" w:rsidR="008F16BE" w:rsidRPr="008F16BE" w:rsidRDefault="008F16BE" w:rsidP="008F16BE">
            <w:pPr>
              <w:jc w:val="right"/>
              <w:rPr>
                <w:rFonts w:ascii="Times New Roman" w:hAnsi="Times New Roman" w:cs="Times New Roman"/>
                <w:szCs w:val="22"/>
              </w:rPr>
            </w:pPr>
            <w:r w:rsidRPr="008F16BE">
              <w:rPr>
                <w:rFonts w:ascii="Times New Roman" w:hAnsi="Times New Roman" w:cs="Times New Roman"/>
                <w:szCs w:val="22"/>
              </w:rPr>
              <w:t>$4,591</w:t>
            </w:r>
          </w:p>
        </w:tc>
      </w:tr>
      <w:tr w:rsidR="008F16BE" w:rsidRPr="008F16BE" w14:paraId="12272ECF" w14:textId="77777777" w:rsidTr="002E45CF">
        <w:trPr>
          <w:trHeight w:hRule="exact" w:val="288"/>
          <w:jc w:val="center"/>
        </w:trPr>
        <w:tc>
          <w:tcPr>
            <w:tcW w:w="2560" w:type="pct"/>
          </w:tcPr>
          <w:p w14:paraId="770EEC8C"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Sunrise Utilities (water)</w:t>
            </w:r>
          </w:p>
        </w:tc>
        <w:tc>
          <w:tcPr>
            <w:tcW w:w="2440" w:type="pct"/>
          </w:tcPr>
          <w:p w14:paraId="1295A6A8" w14:textId="77777777" w:rsidR="008F16BE" w:rsidRPr="008F16BE" w:rsidRDefault="008F16BE" w:rsidP="008F16BE">
            <w:pPr>
              <w:jc w:val="right"/>
              <w:rPr>
                <w:rFonts w:ascii="Times New Roman" w:hAnsi="Times New Roman" w:cs="Times New Roman"/>
                <w:szCs w:val="22"/>
                <w:u w:val="single"/>
              </w:rPr>
            </w:pPr>
            <w:r w:rsidRPr="008F16BE">
              <w:rPr>
                <w:rFonts w:ascii="Times New Roman" w:hAnsi="Times New Roman" w:cs="Times New Roman"/>
                <w:szCs w:val="22"/>
                <w:u w:val="single"/>
              </w:rPr>
              <w:t>5,167</w:t>
            </w:r>
          </w:p>
        </w:tc>
      </w:tr>
      <w:tr w:rsidR="008F16BE" w:rsidRPr="008F16BE" w14:paraId="479DF4F3" w14:textId="77777777" w:rsidTr="002E45CF">
        <w:trPr>
          <w:trHeight w:hRule="exact" w:val="288"/>
          <w:jc w:val="center"/>
        </w:trPr>
        <w:tc>
          <w:tcPr>
            <w:tcW w:w="2560" w:type="pct"/>
          </w:tcPr>
          <w:p w14:paraId="043B8263"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 xml:space="preserve">   Total</w:t>
            </w:r>
          </w:p>
        </w:tc>
        <w:tc>
          <w:tcPr>
            <w:tcW w:w="2440" w:type="pct"/>
          </w:tcPr>
          <w:p w14:paraId="7A05B281" w14:textId="77777777" w:rsidR="008F16BE" w:rsidRPr="008F16BE" w:rsidRDefault="008F16BE" w:rsidP="008F16BE">
            <w:pPr>
              <w:jc w:val="right"/>
              <w:rPr>
                <w:rFonts w:ascii="Times New Roman" w:hAnsi="Times New Roman" w:cs="Times New Roman"/>
                <w:szCs w:val="22"/>
                <w:u w:val="double"/>
              </w:rPr>
            </w:pPr>
            <w:r w:rsidRPr="008F16BE">
              <w:rPr>
                <w:rFonts w:ascii="Times New Roman" w:hAnsi="Times New Roman" w:cs="Times New Roman"/>
                <w:szCs w:val="22"/>
                <w:u w:val="double"/>
              </w:rPr>
              <w:t>$9,758</w:t>
            </w:r>
          </w:p>
        </w:tc>
      </w:tr>
    </w:tbl>
    <w:p w14:paraId="11CAF24F" w14:textId="73B72CEE" w:rsidR="008F16BE" w:rsidRPr="008F16BE" w:rsidRDefault="008F16BE" w:rsidP="008F16BE">
      <w:pPr>
        <w:spacing w:after="200" w:line="276" w:lineRule="auto"/>
        <w:rPr>
          <w:rFonts w:eastAsiaTheme="minorHAnsi" w:cstheme="minorBidi"/>
          <w:szCs w:val="22"/>
        </w:rPr>
      </w:pPr>
      <w:r w:rsidRPr="008F16BE">
        <w:rPr>
          <w:rFonts w:eastAsiaTheme="minorHAnsi" w:cstheme="minorBidi"/>
          <w:szCs w:val="22"/>
        </w:rPr>
        <w:tab/>
      </w:r>
      <w:r w:rsidRPr="008F16BE">
        <w:rPr>
          <w:rFonts w:eastAsiaTheme="minorHAnsi" w:cstheme="minorBidi"/>
          <w:szCs w:val="22"/>
        </w:rPr>
        <w:tab/>
        <w:t xml:space="preserve">Source: </w:t>
      </w:r>
      <w:r w:rsidR="003762AD">
        <w:rPr>
          <w:rFonts w:eastAsiaTheme="minorHAnsi" w:cstheme="minorBidi"/>
          <w:szCs w:val="22"/>
        </w:rPr>
        <w:t>FUS1</w:t>
      </w:r>
      <w:r w:rsidRPr="008F16BE">
        <w:rPr>
          <w:rFonts w:eastAsiaTheme="minorHAnsi" w:cstheme="minorBidi"/>
          <w:szCs w:val="22"/>
        </w:rPr>
        <w:t xml:space="preserve"> Application.</w:t>
      </w:r>
    </w:p>
    <w:p w14:paraId="31BE86FC" w14:textId="77777777" w:rsidR="008F16BE" w:rsidRPr="008F16BE" w:rsidRDefault="008F16BE" w:rsidP="008F16BE">
      <w:pPr>
        <w:spacing w:line="276" w:lineRule="auto"/>
        <w:jc w:val="center"/>
        <w:rPr>
          <w:rFonts w:ascii="Arial" w:eastAsiaTheme="minorHAnsi" w:hAnsi="Arial" w:cs="Arial"/>
          <w:b/>
          <w:szCs w:val="22"/>
        </w:rPr>
      </w:pPr>
      <w:r w:rsidRPr="008F16BE">
        <w:rPr>
          <w:rFonts w:ascii="Arial" w:eastAsiaTheme="minorHAnsi" w:hAnsi="Arial" w:cs="Arial"/>
          <w:b/>
          <w:szCs w:val="22"/>
        </w:rPr>
        <w:t>Table 1-2</w:t>
      </w:r>
    </w:p>
    <w:p w14:paraId="754D338E" w14:textId="77777777" w:rsidR="008F16BE" w:rsidRPr="008F16BE" w:rsidRDefault="008F16BE" w:rsidP="008F16BE">
      <w:pPr>
        <w:spacing w:line="276" w:lineRule="auto"/>
        <w:jc w:val="center"/>
        <w:rPr>
          <w:rFonts w:ascii="Arial" w:eastAsiaTheme="minorHAnsi" w:hAnsi="Arial" w:cs="Arial"/>
          <w:b/>
          <w:szCs w:val="22"/>
        </w:rPr>
      </w:pPr>
      <w:r w:rsidRPr="008F16BE">
        <w:rPr>
          <w:rFonts w:ascii="Arial" w:eastAsiaTheme="minorHAnsi" w:hAnsi="Arial" w:cs="Arial"/>
          <w:b/>
          <w:szCs w:val="22"/>
        </w:rPr>
        <w:t>Recommended 15 Percent Increase</w:t>
      </w:r>
    </w:p>
    <w:tbl>
      <w:tblPr>
        <w:tblStyle w:val="TableGrid2"/>
        <w:tblW w:w="3769" w:type="pct"/>
        <w:jc w:val="center"/>
        <w:tblBorders>
          <w:insideH w:val="none" w:sz="0" w:space="0" w:color="auto"/>
          <w:insideV w:val="none" w:sz="0" w:space="0" w:color="auto"/>
        </w:tblBorders>
        <w:tblLook w:val="04A0" w:firstRow="1" w:lastRow="0" w:firstColumn="1" w:lastColumn="0" w:noHBand="0" w:noVBand="1"/>
      </w:tblPr>
      <w:tblGrid>
        <w:gridCol w:w="3880"/>
        <w:gridCol w:w="3338"/>
      </w:tblGrid>
      <w:tr w:rsidR="008F16BE" w:rsidRPr="008F16BE" w14:paraId="31626C0E" w14:textId="77777777" w:rsidTr="002E45CF">
        <w:trPr>
          <w:trHeight w:hRule="exact" w:val="288"/>
          <w:jc w:val="center"/>
        </w:trPr>
        <w:tc>
          <w:tcPr>
            <w:tcW w:w="2688" w:type="pct"/>
            <w:tcBorders>
              <w:top w:val="single" w:sz="4" w:space="0" w:color="auto"/>
              <w:bottom w:val="single" w:sz="4" w:space="0" w:color="auto"/>
            </w:tcBorders>
          </w:tcPr>
          <w:p w14:paraId="2DBFCFC4" w14:textId="77777777" w:rsidR="008F16BE" w:rsidRPr="008F16BE" w:rsidRDefault="008F16BE" w:rsidP="008F16BE">
            <w:pPr>
              <w:jc w:val="center"/>
              <w:rPr>
                <w:b/>
                <w:szCs w:val="22"/>
              </w:rPr>
            </w:pPr>
            <w:r w:rsidRPr="008F16BE">
              <w:rPr>
                <w:b/>
                <w:szCs w:val="22"/>
              </w:rPr>
              <w:t>System</w:t>
            </w:r>
          </w:p>
        </w:tc>
        <w:tc>
          <w:tcPr>
            <w:tcW w:w="2312" w:type="pct"/>
            <w:tcBorders>
              <w:top w:val="single" w:sz="4" w:space="0" w:color="auto"/>
              <w:bottom w:val="single" w:sz="4" w:space="0" w:color="auto"/>
            </w:tcBorders>
          </w:tcPr>
          <w:p w14:paraId="32924B60" w14:textId="77777777" w:rsidR="008F16BE" w:rsidRPr="008F16BE" w:rsidRDefault="008F16BE" w:rsidP="008F16BE">
            <w:pPr>
              <w:jc w:val="center"/>
              <w:rPr>
                <w:b/>
                <w:szCs w:val="22"/>
              </w:rPr>
            </w:pPr>
            <w:r w:rsidRPr="008F16BE">
              <w:rPr>
                <w:b/>
                <w:szCs w:val="22"/>
              </w:rPr>
              <w:t>Amount ($)</w:t>
            </w:r>
          </w:p>
        </w:tc>
      </w:tr>
      <w:tr w:rsidR="008F16BE" w:rsidRPr="008F16BE" w14:paraId="184823CD" w14:textId="77777777" w:rsidTr="002E45CF">
        <w:trPr>
          <w:trHeight w:hRule="exact" w:val="288"/>
          <w:jc w:val="center"/>
        </w:trPr>
        <w:tc>
          <w:tcPr>
            <w:tcW w:w="2688" w:type="pct"/>
            <w:tcBorders>
              <w:top w:val="single" w:sz="4" w:space="0" w:color="auto"/>
            </w:tcBorders>
          </w:tcPr>
          <w:p w14:paraId="27D8282F"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Heather Hills Utilities (wastewater)</w:t>
            </w:r>
          </w:p>
        </w:tc>
        <w:tc>
          <w:tcPr>
            <w:tcW w:w="2312" w:type="pct"/>
            <w:tcBorders>
              <w:top w:val="single" w:sz="4" w:space="0" w:color="auto"/>
            </w:tcBorders>
          </w:tcPr>
          <w:p w14:paraId="2A8A5769" w14:textId="77777777" w:rsidR="008F16BE" w:rsidRPr="008F16BE" w:rsidRDefault="008F16BE" w:rsidP="008F16BE">
            <w:pPr>
              <w:jc w:val="right"/>
              <w:rPr>
                <w:rFonts w:ascii="Times New Roman" w:hAnsi="Times New Roman" w:cs="Times New Roman"/>
                <w:szCs w:val="22"/>
              </w:rPr>
            </w:pPr>
            <w:r w:rsidRPr="008F16BE">
              <w:rPr>
                <w:rFonts w:ascii="Times New Roman" w:hAnsi="Times New Roman" w:cs="Times New Roman"/>
                <w:szCs w:val="22"/>
              </w:rPr>
              <w:t>$19,251</w:t>
            </w:r>
          </w:p>
        </w:tc>
      </w:tr>
      <w:tr w:rsidR="008F16BE" w:rsidRPr="008F16BE" w14:paraId="2117ECD6" w14:textId="77777777" w:rsidTr="002E45CF">
        <w:trPr>
          <w:trHeight w:hRule="exact" w:val="288"/>
          <w:jc w:val="center"/>
        </w:trPr>
        <w:tc>
          <w:tcPr>
            <w:tcW w:w="2688" w:type="pct"/>
          </w:tcPr>
          <w:p w14:paraId="22921BFB"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McLeod Gardens Utilities (water)</w:t>
            </w:r>
          </w:p>
        </w:tc>
        <w:tc>
          <w:tcPr>
            <w:tcW w:w="2312" w:type="pct"/>
          </w:tcPr>
          <w:p w14:paraId="5A4841FA" w14:textId="77777777" w:rsidR="008F16BE" w:rsidRPr="008F16BE" w:rsidRDefault="008F16BE" w:rsidP="008F16BE">
            <w:pPr>
              <w:jc w:val="right"/>
              <w:rPr>
                <w:rFonts w:ascii="Times New Roman" w:hAnsi="Times New Roman" w:cs="Times New Roman"/>
                <w:szCs w:val="22"/>
              </w:rPr>
            </w:pPr>
            <w:r w:rsidRPr="008F16BE">
              <w:rPr>
                <w:rFonts w:ascii="Times New Roman" w:hAnsi="Times New Roman" w:cs="Times New Roman"/>
                <w:szCs w:val="22"/>
              </w:rPr>
              <w:t>9,278</w:t>
            </w:r>
          </w:p>
        </w:tc>
      </w:tr>
      <w:tr w:rsidR="008F16BE" w:rsidRPr="008F16BE" w14:paraId="575475AB" w14:textId="77777777" w:rsidTr="002E45CF">
        <w:trPr>
          <w:trHeight w:hRule="exact" w:val="288"/>
          <w:jc w:val="center"/>
        </w:trPr>
        <w:tc>
          <w:tcPr>
            <w:tcW w:w="2688" w:type="pct"/>
          </w:tcPr>
          <w:p w14:paraId="2DE59F7E" w14:textId="210CB193" w:rsidR="008F16BE" w:rsidRPr="008F16BE" w:rsidRDefault="008F16BE" w:rsidP="00B62A0F">
            <w:pPr>
              <w:rPr>
                <w:rFonts w:ascii="Times New Roman" w:hAnsi="Times New Roman" w:cs="Times New Roman"/>
                <w:szCs w:val="22"/>
              </w:rPr>
            </w:pPr>
            <w:r w:rsidRPr="008F16BE">
              <w:rPr>
                <w:rFonts w:ascii="Times New Roman" w:hAnsi="Times New Roman" w:cs="Times New Roman"/>
                <w:szCs w:val="22"/>
              </w:rPr>
              <w:t>Orange</w:t>
            </w:r>
            <w:r w:rsidR="00B62A0F">
              <w:rPr>
                <w:rFonts w:ascii="Times New Roman" w:hAnsi="Times New Roman" w:cs="Times New Roman"/>
                <w:szCs w:val="22"/>
              </w:rPr>
              <w:t xml:space="preserve"> L</w:t>
            </w:r>
            <w:r w:rsidRPr="008F16BE">
              <w:rPr>
                <w:rFonts w:ascii="Times New Roman" w:hAnsi="Times New Roman" w:cs="Times New Roman"/>
                <w:szCs w:val="22"/>
              </w:rPr>
              <w:t>and Utilities (water)</w:t>
            </w:r>
          </w:p>
        </w:tc>
        <w:tc>
          <w:tcPr>
            <w:tcW w:w="2312" w:type="pct"/>
          </w:tcPr>
          <w:p w14:paraId="5D245EC4" w14:textId="77777777" w:rsidR="008F16BE" w:rsidRPr="008F16BE" w:rsidRDefault="008F16BE" w:rsidP="008F16BE">
            <w:pPr>
              <w:jc w:val="right"/>
              <w:rPr>
                <w:rFonts w:ascii="Times New Roman" w:hAnsi="Times New Roman" w:cs="Times New Roman"/>
                <w:szCs w:val="22"/>
                <w:u w:val="single"/>
              </w:rPr>
            </w:pPr>
            <w:r w:rsidRPr="008F16BE">
              <w:rPr>
                <w:rFonts w:ascii="Times New Roman" w:hAnsi="Times New Roman" w:cs="Times New Roman"/>
                <w:szCs w:val="22"/>
                <w:u w:val="single"/>
              </w:rPr>
              <w:t>4,323</w:t>
            </w:r>
          </w:p>
        </w:tc>
      </w:tr>
      <w:tr w:rsidR="008F16BE" w:rsidRPr="008F16BE" w14:paraId="332B4C0D" w14:textId="77777777" w:rsidTr="002E45CF">
        <w:trPr>
          <w:trHeight w:hRule="exact" w:val="288"/>
          <w:jc w:val="center"/>
        </w:trPr>
        <w:tc>
          <w:tcPr>
            <w:tcW w:w="2688" w:type="pct"/>
          </w:tcPr>
          <w:p w14:paraId="5E33139C"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 xml:space="preserve">   Total</w:t>
            </w:r>
          </w:p>
        </w:tc>
        <w:tc>
          <w:tcPr>
            <w:tcW w:w="2312" w:type="pct"/>
          </w:tcPr>
          <w:p w14:paraId="6884367D" w14:textId="77777777" w:rsidR="008F16BE" w:rsidRPr="008F16BE" w:rsidRDefault="008F16BE" w:rsidP="008F16BE">
            <w:pPr>
              <w:jc w:val="right"/>
              <w:rPr>
                <w:rFonts w:ascii="Times New Roman" w:hAnsi="Times New Roman" w:cs="Times New Roman"/>
                <w:szCs w:val="22"/>
                <w:u w:val="double"/>
              </w:rPr>
            </w:pPr>
            <w:r w:rsidRPr="008F16BE">
              <w:rPr>
                <w:rFonts w:ascii="Times New Roman" w:hAnsi="Times New Roman" w:cs="Times New Roman"/>
                <w:szCs w:val="22"/>
                <w:u w:val="double"/>
              </w:rPr>
              <w:t>$32,851</w:t>
            </w:r>
          </w:p>
        </w:tc>
      </w:tr>
    </w:tbl>
    <w:p w14:paraId="1F11651E" w14:textId="49760521" w:rsidR="008F16BE" w:rsidRPr="008F16BE" w:rsidRDefault="003762AD" w:rsidP="008F16BE">
      <w:pPr>
        <w:spacing w:after="200" w:line="276" w:lineRule="auto"/>
        <w:rPr>
          <w:rFonts w:eastAsiaTheme="minorHAnsi" w:cstheme="minorBidi"/>
          <w:szCs w:val="22"/>
        </w:rPr>
      </w:pPr>
      <w:r>
        <w:rPr>
          <w:rFonts w:eastAsiaTheme="minorHAnsi" w:cstheme="minorBidi"/>
          <w:szCs w:val="22"/>
        </w:rPr>
        <w:tab/>
      </w:r>
      <w:r>
        <w:rPr>
          <w:rFonts w:eastAsiaTheme="minorHAnsi" w:cstheme="minorBidi"/>
          <w:szCs w:val="22"/>
        </w:rPr>
        <w:tab/>
        <w:t>Source: FUS1 Application</w:t>
      </w:r>
      <w:r w:rsidR="008F16BE" w:rsidRPr="008F16BE">
        <w:rPr>
          <w:rFonts w:eastAsiaTheme="minorHAnsi" w:cstheme="minorBidi"/>
          <w:szCs w:val="22"/>
        </w:rPr>
        <w:t>.</w:t>
      </w:r>
    </w:p>
    <w:p w14:paraId="7960F3EE" w14:textId="77777777" w:rsidR="008F16BE" w:rsidRPr="008F16BE" w:rsidRDefault="008F16BE" w:rsidP="008F16BE">
      <w:pPr>
        <w:spacing w:line="276" w:lineRule="auto"/>
        <w:jc w:val="center"/>
        <w:rPr>
          <w:rFonts w:ascii="Arial" w:eastAsiaTheme="minorHAnsi" w:hAnsi="Arial" w:cs="Arial"/>
          <w:b/>
          <w:szCs w:val="22"/>
        </w:rPr>
      </w:pPr>
      <w:r w:rsidRPr="008F16BE">
        <w:rPr>
          <w:rFonts w:ascii="Arial" w:eastAsiaTheme="minorHAnsi" w:hAnsi="Arial" w:cs="Arial"/>
          <w:b/>
          <w:szCs w:val="22"/>
        </w:rPr>
        <w:t>Table 1-3</w:t>
      </w:r>
    </w:p>
    <w:p w14:paraId="177AEEF8" w14:textId="77777777" w:rsidR="008F16BE" w:rsidRPr="008F16BE" w:rsidRDefault="008F16BE" w:rsidP="008F16BE">
      <w:pPr>
        <w:spacing w:line="276" w:lineRule="auto"/>
        <w:jc w:val="center"/>
        <w:rPr>
          <w:rFonts w:ascii="Arial" w:eastAsiaTheme="minorHAnsi" w:hAnsi="Arial" w:cs="Arial"/>
          <w:b/>
          <w:szCs w:val="22"/>
        </w:rPr>
      </w:pPr>
      <w:r w:rsidRPr="008F16BE">
        <w:rPr>
          <w:rFonts w:ascii="Arial" w:eastAsiaTheme="minorHAnsi" w:hAnsi="Arial" w:cs="Arial"/>
          <w:b/>
          <w:szCs w:val="22"/>
        </w:rPr>
        <w:t>Recommended 20 Percent Increase</w:t>
      </w:r>
    </w:p>
    <w:tbl>
      <w:tblPr>
        <w:tblStyle w:val="TableGrid2"/>
        <w:tblW w:w="3769" w:type="pct"/>
        <w:jc w:val="center"/>
        <w:tblBorders>
          <w:insideH w:val="none" w:sz="0" w:space="0" w:color="auto"/>
          <w:insideV w:val="none" w:sz="0" w:space="0" w:color="auto"/>
        </w:tblBorders>
        <w:tblLook w:val="04A0" w:firstRow="1" w:lastRow="0" w:firstColumn="1" w:lastColumn="0" w:noHBand="0" w:noVBand="1"/>
      </w:tblPr>
      <w:tblGrid>
        <w:gridCol w:w="3932"/>
        <w:gridCol w:w="3286"/>
      </w:tblGrid>
      <w:tr w:rsidR="008F16BE" w:rsidRPr="008F16BE" w14:paraId="7709E682" w14:textId="77777777" w:rsidTr="002E45CF">
        <w:trPr>
          <w:trHeight w:hRule="exact" w:val="288"/>
          <w:jc w:val="center"/>
        </w:trPr>
        <w:tc>
          <w:tcPr>
            <w:tcW w:w="2724" w:type="pct"/>
            <w:tcBorders>
              <w:top w:val="single" w:sz="4" w:space="0" w:color="auto"/>
              <w:bottom w:val="single" w:sz="4" w:space="0" w:color="auto"/>
            </w:tcBorders>
          </w:tcPr>
          <w:p w14:paraId="622E5D29" w14:textId="77777777" w:rsidR="008F16BE" w:rsidRPr="008F16BE" w:rsidRDefault="008F16BE" w:rsidP="008F16BE">
            <w:pPr>
              <w:jc w:val="center"/>
              <w:rPr>
                <w:b/>
                <w:szCs w:val="22"/>
              </w:rPr>
            </w:pPr>
            <w:r w:rsidRPr="008F16BE">
              <w:rPr>
                <w:b/>
                <w:szCs w:val="22"/>
              </w:rPr>
              <w:t>System</w:t>
            </w:r>
          </w:p>
        </w:tc>
        <w:tc>
          <w:tcPr>
            <w:tcW w:w="2276" w:type="pct"/>
            <w:tcBorders>
              <w:top w:val="single" w:sz="4" w:space="0" w:color="auto"/>
              <w:bottom w:val="single" w:sz="4" w:space="0" w:color="auto"/>
            </w:tcBorders>
          </w:tcPr>
          <w:p w14:paraId="27B8C929" w14:textId="77777777" w:rsidR="008F16BE" w:rsidRPr="008F16BE" w:rsidRDefault="008F16BE" w:rsidP="008F16BE">
            <w:pPr>
              <w:jc w:val="center"/>
              <w:rPr>
                <w:b/>
                <w:szCs w:val="22"/>
              </w:rPr>
            </w:pPr>
            <w:r w:rsidRPr="008F16BE">
              <w:rPr>
                <w:b/>
                <w:szCs w:val="22"/>
              </w:rPr>
              <w:t>Amount ($)</w:t>
            </w:r>
          </w:p>
        </w:tc>
      </w:tr>
      <w:tr w:rsidR="008F16BE" w:rsidRPr="008F16BE" w14:paraId="59FBFF31" w14:textId="77777777" w:rsidTr="002E45CF">
        <w:trPr>
          <w:trHeight w:hRule="exact" w:val="288"/>
          <w:jc w:val="center"/>
        </w:trPr>
        <w:tc>
          <w:tcPr>
            <w:tcW w:w="2724" w:type="pct"/>
            <w:tcBorders>
              <w:top w:val="single" w:sz="4" w:space="0" w:color="auto"/>
            </w:tcBorders>
          </w:tcPr>
          <w:p w14:paraId="51DD0768"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Charlie Creek Utilities (water)</w:t>
            </w:r>
          </w:p>
        </w:tc>
        <w:tc>
          <w:tcPr>
            <w:tcW w:w="2276" w:type="pct"/>
            <w:tcBorders>
              <w:top w:val="single" w:sz="4" w:space="0" w:color="auto"/>
            </w:tcBorders>
          </w:tcPr>
          <w:p w14:paraId="2771F620" w14:textId="77777777" w:rsidR="008F16BE" w:rsidRPr="008F16BE" w:rsidRDefault="008F16BE" w:rsidP="008F16BE">
            <w:pPr>
              <w:jc w:val="right"/>
              <w:rPr>
                <w:rFonts w:ascii="Times New Roman" w:hAnsi="Times New Roman" w:cs="Times New Roman"/>
                <w:szCs w:val="22"/>
              </w:rPr>
            </w:pPr>
            <w:r w:rsidRPr="008F16BE">
              <w:rPr>
                <w:rFonts w:ascii="Times New Roman" w:hAnsi="Times New Roman" w:cs="Times New Roman"/>
                <w:szCs w:val="22"/>
              </w:rPr>
              <w:t>$14,214</w:t>
            </w:r>
          </w:p>
        </w:tc>
      </w:tr>
      <w:tr w:rsidR="008F16BE" w:rsidRPr="008F16BE" w14:paraId="2DE5695E" w14:textId="77777777" w:rsidTr="002E45CF">
        <w:trPr>
          <w:trHeight w:hRule="exact" w:val="288"/>
          <w:jc w:val="center"/>
        </w:trPr>
        <w:tc>
          <w:tcPr>
            <w:tcW w:w="2724" w:type="pct"/>
          </w:tcPr>
          <w:p w14:paraId="3379E546" w14:textId="77777777" w:rsidR="008F16BE" w:rsidRPr="008F16BE" w:rsidRDefault="008F16BE" w:rsidP="008F16BE">
            <w:pPr>
              <w:rPr>
                <w:rFonts w:ascii="Times New Roman" w:hAnsi="Times New Roman" w:cs="Times New Roman"/>
                <w:szCs w:val="22"/>
              </w:rPr>
            </w:pPr>
            <w:proofErr w:type="spellStart"/>
            <w:r w:rsidRPr="008F16BE">
              <w:rPr>
                <w:rFonts w:ascii="Times New Roman" w:hAnsi="Times New Roman" w:cs="Times New Roman"/>
                <w:szCs w:val="22"/>
              </w:rPr>
              <w:t>Crestridge</w:t>
            </w:r>
            <w:proofErr w:type="spellEnd"/>
            <w:r w:rsidRPr="008F16BE">
              <w:rPr>
                <w:rFonts w:ascii="Times New Roman" w:hAnsi="Times New Roman" w:cs="Times New Roman"/>
                <w:szCs w:val="22"/>
              </w:rPr>
              <w:t xml:space="preserve"> Utilities (water)</w:t>
            </w:r>
          </w:p>
        </w:tc>
        <w:tc>
          <w:tcPr>
            <w:tcW w:w="2276" w:type="pct"/>
          </w:tcPr>
          <w:p w14:paraId="665D8C8A" w14:textId="77777777" w:rsidR="008F16BE" w:rsidRPr="008F16BE" w:rsidRDefault="008F16BE" w:rsidP="008F16BE">
            <w:pPr>
              <w:jc w:val="right"/>
              <w:rPr>
                <w:rFonts w:ascii="Times New Roman" w:hAnsi="Times New Roman" w:cs="Times New Roman"/>
                <w:szCs w:val="22"/>
              </w:rPr>
            </w:pPr>
            <w:r w:rsidRPr="008F16BE">
              <w:rPr>
                <w:rFonts w:ascii="Times New Roman" w:hAnsi="Times New Roman" w:cs="Times New Roman"/>
                <w:szCs w:val="22"/>
              </w:rPr>
              <w:t>42,193</w:t>
            </w:r>
          </w:p>
        </w:tc>
      </w:tr>
      <w:tr w:rsidR="008F16BE" w:rsidRPr="008F16BE" w14:paraId="7174460F" w14:textId="77777777" w:rsidTr="002E45CF">
        <w:trPr>
          <w:trHeight w:hRule="exact" w:val="288"/>
          <w:jc w:val="center"/>
        </w:trPr>
        <w:tc>
          <w:tcPr>
            <w:tcW w:w="2724" w:type="pct"/>
          </w:tcPr>
          <w:p w14:paraId="55080FD1"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East Marion Utilities (water)</w:t>
            </w:r>
          </w:p>
        </w:tc>
        <w:tc>
          <w:tcPr>
            <w:tcW w:w="2276" w:type="pct"/>
          </w:tcPr>
          <w:p w14:paraId="3153A882" w14:textId="77777777" w:rsidR="008F16BE" w:rsidRPr="008F16BE" w:rsidRDefault="008F16BE" w:rsidP="008F16BE">
            <w:pPr>
              <w:jc w:val="right"/>
              <w:rPr>
                <w:rFonts w:ascii="Times New Roman" w:hAnsi="Times New Roman" w:cs="Times New Roman"/>
                <w:szCs w:val="22"/>
              </w:rPr>
            </w:pPr>
            <w:r w:rsidRPr="008F16BE">
              <w:rPr>
                <w:rFonts w:ascii="Times New Roman" w:hAnsi="Times New Roman" w:cs="Times New Roman"/>
                <w:szCs w:val="22"/>
              </w:rPr>
              <w:t>7,481</w:t>
            </w:r>
          </w:p>
        </w:tc>
      </w:tr>
      <w:tr w:rsidR="008F16BE" w:rsidRPr="008F16BE" w14:paraId="02AA068F" w14:textId="77777777" w:rsidTr="002E45CF">
        <w:trPr>
          <w:trHeight w:hRule="exact" w:val="288"/>
          <w:jc w:val="center"/>
        </w:trPr>
        <w:tc>
          <w:tcPr>
            <w:tcW w:w="2724" w:type="pct"/>
          </w:tcPr>
          <w:p w14:paraId="14B0AE8E"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East Marion Utilities (wastewater)</w:t>
            </w:r>
          </w:p>
        </w:tc>
        <w:tc>
          <w:tcPr>
            <w:tcW w:w="2276" w:type="pct"/>
          </w:tcPr>
          <w:p w14:paraId="59252FDD" w14:textId="77777777" w:rsidR="008F16BE" w:rsidRPr="008F16BE" w:rsidRDefault="008F16BE" w:rsidP="008F16BE">
            <w:pPr>
              <w:jc w:val="right"/>
              <w:rPr>
                <w:rFonts w:ascii="Times New Roman" w:hAnsi="Times New Roman" w:cs="Times New Roman"/>
                <w:szCs w:val="22"/>
              </w:rPr>
            </w:pPr>
            <w:r w:rsidRPr="008F16BE">
              <w:rPr>
                <w:rFonts w:ascii="Times New Roman" w:hAnsi="Times New Roman" w:cs="Times New Roman"/>
                <w:szCs w:val="22"/>
              </w:rPr>
              <w:t>9,919</w:t>
            </w:r>
          </w:p>
        </w:tc>
      </w:tr>
      <w:tr w:rsidR="008F16BE" w:rsidRPr="008F16BE" w14:paraId="1E616DDD" w14:textId="77777777" w:rsidTr="002E45CF">
        <w:trPr>
          <w:trHeight w:hRule="exact" w:val="288"/>
          <w:jc w:val="center"/>
        </w:trPr>
        <w:tc>
          <w:tcPr>
            <w:tcW w:w="2724" w:type="pct"/>
          </w:tcPr>
          <w:p w14:paraId="4FCA442F"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Holiday Gardens (water)</w:t>
            </w:r>
          </w:p>
        </w:tc>
        <w:tc>
          <w:tcPr>
            <w:tcW w:w="2276" w:type="pct"/>
          </w:tcPr>
          <w:p w14:paraId="1DA6ADAC" w14:textId="77777777" w:rsidR="008F16BE" w:rsidRPr="008F16BE" w:rsidRDefault="008F16BE" w:rsidP="008F16BE">
            <w:pPr>
              <w:jc w:val="right"/>
              <w:rPr>
                <w:rFonts w:ascii="Times New Roman" w:hAnsi="Times New Roman" w:cs="Times New Roman"/>
                <w:szCs w:val="22"/>
              </w:rPr>
            </w:pPr>
            <w:r w:rsidRPr="008F16BE">
              <w:rPr>
                <w:rFonts w:ascii="Times New Roman" w:hAnsi="Times New Roman" w:cs="Times New Roman"/>
                <w:szCs w:val="22"/>
              </w:rPr>
              <w:t>26,901</w:t>
            </w:r>
          </w:p>
        </w:tc>
      </w:tr>
      <w:tr w:rsidR="008F16BE" w:rsidRPr="008F16BE" w14:paraId="7FAA8332" w14:textId="77777777" w:rsidTr="002E45CF">
        <w:trPr>
          <w:trHeight w:hRule="exact" w:val="288"/>
          <w:jc w:val="center"/>
        </w:trPr>
        <w:tc>
          <w:tcPr>
            <w:tcW w:w="2724" w:type="pct"/>
          </w:tcPr>
          <w:p w14:paraId="1AC06A9D"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Heather Hills Utilities (water)</w:t>
            </w:r>
          </w:p>
        </w:tc>
        <w:tc>
          <w:tcPr>
            <w:tcW w:w="2276" w:type="pct"/>
          </w:tcPr>
          <w:p w14:paraId="62C6CCC5" w14:textId="77777777" w:rsidR="008F16BE" w:rsidRPr="008F16BE" w:rsidRDefault="008F16BE" w:rsidP="008F16BE">
            <w:pPr>
              <w:jc w:val="right"/>
              <w:rPr>
                <w:rFonts w:ascii="Times New Roman" w:hAnsi="Times New Roman" w:cs="Times New Roman"/>
                <w:szCs w:val="22"/>
              </w:rPr>
            </w:pPr>
            <w:r w:rsidRPr="008F16BE">
              <w:rPr>
                <w:rFonts w:ascii="Times New Roman" w:hAnsi="Times New Roman" w:cs="Times New Roman"/>
                <w:szCs w:val="22"/>
              </w:rPr>
              <w:t>16,050</w:t>
            </w:r>
          </w:p>
        </w:tc>
      </w:tr>
      <w:tr w:rsidR="008F16BE" w:rsidRPr="008F16BE" w14:paraId="72A93975" w14:textId="77777777" w:rsidTr="002E45CF">
        <w:trPr>
          <w:trHeight w:hRule="exact" w:val="288"/>
          <w:jc w:val="center"/>
        </w:trPr>
        <w:tc>
          <w:tcPr>
            <w:tcW w:w="2724" w:type="pct"/>
          </w:tcPr>
          <w:p w14:paraId="4B780901"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Lake Yale Utilities (wastewater)</w:t>
            </w:r>
          </w:p>
        </w:tc>
        <w:tc>
          <w:tcPr>
            <w:tcW w:w="2276" w:type="pct"/>
          </w:tcPr>
          <w:p w14:paraId="56FE3E4F" w14:textId="77777777" w:rsidR="008F16BE" w:rsidRPr="008F16BE" w:rsidRDefault="008F16BE" w:rsidP="008F16BE">
            <w:pPr>
              <w:jc w:val="right"/>
              <w:rPr>
                <w:rFonts w:ascii="Times New Roman" w:hAnsi="Times New Roman" w:cs="Times New Roman"/>
                <w:szCs w:val="22"/>
              </w:rPr>
            </w:pPr>
            <w:r w:rsidRPr="008F16BE">
              <w:rPr>
                <w:rFonts w:ascii="Times New Roman" w:hAnsi="Times New Roman" w:cs="Times New Roman"/>
                <w:szCs w:val="22"/>
              </w:rPr>
              <w:t>20,046</w:t>
            </w:r>
          </w:p>
        </w:tc>
      </w:tr>
      <w:tr w:rsidR="008F16BE" w:rsidRPr="008F16BE" w14:paraId="32783413" w14:textId="77777777" w:rsidTr="002E45CF">
        <w:trPr>
          <w:trHeight w:hRule="exact" w:val="288"/>
          <w:jc w:val="center"/>
        </w:trPr>
        <w:tc>
          <w:tcPr>
            <w:tcW w:w="2724" w:type="pct"/>
          </w:tcPr>
          <w:p w14:paraId="610E38C2"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Sunny Shores Utilities (water)</w:t>
            </w:r>
          </w:p>
        </w:tc>
        <w:tc>
          <w:tcPr>
            <w:tcW w:w="2276" w:type="pct"/>
          </w:tcPr>
          <w:p w14:paraId="79A46308" w14:textId="77777777" w:rsidR="008F16BE" w:rsidRPr="008F16BE" w:rsidRDefault="008F16BE" w:rsidP="008F16BE">
            <w:pPr>
              <w:jc w:val="right"/>
              <w:rPr>
                <w:rFonts w:ascii="Times New Roman" w:hAnsi="Times New Roman" w:cs="Times New Roman"/>
                <w:szCs w:val="22"/>
              </w:rPr>
            </w:pPr>
            <w:r w:rsidRPr="008F16BE">
              <w:rPr>
                <w:rFonts w:ascii="Times New Roman" w:hAnsi="Times New Roman" w:cs="Times New Roman"/>
                <w:szCs w:val="22"/>
              </w:rPr>
              <w:t>21,594</w:t>
            </w:r>
          </w:p>
        </w:tc>
      </w:tr>
      <w:tr w:rsidR="008F16BE" w:rsidRPr="008F16BE" w14:paraId="6F25991D" w14:textId="77777777" w:rsidTr="002E45CF">
        <w:trPr>
          <w:trHeight w:hRule="exact" w:val="288"/>
          <w:jc w:val="center"/>
        </w:trPr>
        <w:tc>
          <w:tcPr>
            <w:tcW w:w="2724" w:type="pct"/>
          </w:tcPr>
          <w:p w14:paraId="487294A5"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West Lakeland Utilities (wastewater)</w:t>
            </w:r>
          </w:p>
        </w:tc>
        <w:tc>
          <w:tcPr>
            <w:tcW w:w="2276" w:type="pct"/>
          </w:tcPr>
          <w:p w14:paraId="6EBD4C50" w14:textId="77777777" w:rsidR="008F16BE" w:rsidRPr="008F16BE" w:rsidRDefault="008F16BE" w:rsidP="008F16BE">
            <w:pPr>
              <w:jc w:val="right"/>
              <w:rPr>
                <w:rFonts w:ascii="Times New Roman" w:hAnsi="Times New Roman" w:cs="Times New Roman"/>
                <w:szCs w:val="22"/>
                <w:u w:val="single"/>
              </w:rPr>
            </w:pPr>
            <w:r w:rsidRPr="008F16BE">
              <w:rPr>
                <w:rFonts w:ascii="Times New Roman" w:hAnsi="Times New Roman" w:cs="Times New Roman"/>
                <w:szCs w:val="22"/>
                <w:u w:val="single"/>
              </w:rPr>
              <w:t>28,428</w:t>
            </w:r>
          </w:p>
        </w:tc>
      </w:tr>
      <w:tr w:rsidR="008F16BE" w:rsidRPr="008F16BE" w14:paraId="4C630349" w14:textId="77777777" w:rsidTr="002E45CF">
        <w:trPr>
          <w:trHeight w:hRule="exact" w:val="288"/>
          <w:jc w:val="center"/>
        </w:trPr>
        <w:tc>
          <w:tcPr>
            <w:tcW w:w="2724" w:type="pct"/>
          </w:tcPr>
          <w:p w14:paraId="106FD7B6" w14:textId="77777777" w:rsidR="008F16BE" w:rsidRPr="008F16BE" w:rsidRDefault="008F16BE" w:rsidP="008F16BE">
            <w:pPr>
              <w:rPr>
                <w:rFonts w:ascii="Times New Roman" w:hAnsi="Times New Roman" w:cs="Times New Roman"/>
                <w:szCs w:val="22"/>
              </w:rPr>
            </w:pPr>
            <w:r w:rsidRPr="008F16BE">
              <w:rPr>
                <w:rFonts w:ascii="Times New Roman" w:hAnsi="Times New Roman" w:cs="Times New Roman"/>
                <w:szCs w:val="22"/>
              </w:rPr>
              <w:t xml:space="preserve">   Total</w:t>
            </w:r>
          </w:p>
        </w:tc>
        <w:tc>
          <w:tcPr>
            <w:tcW w:w="2276" w:type="pct"/>
          </w:tcPr>
          <w:p w14:paraId="2DB3236E" w14:textId="77777777" w:rsidR="008F16BE" w:rsidRPr="008F16BE" w:rsidRDefault="008F16BE" w:rsidP="008F16BE">
            <w:pPr>
              <w:jc w:val="right"/>
              <w:rPr>
                <w:rFonts w:ascii="Times New Roman" w:hAnsi="Times New Roman" w:cs="Times New Roman"/>
                <w:szCs w:val="22"/>
                <w:u w:val="double"/>
              </w:rPr>
            </w:pPr>
            <w:r w:rsidRPr="008F16BE">
              <w:rPr>
                <w:rFonts w:ascii="Times New Roman" w:hAnsi="Times New Roman" w:cs="Times New Roman"/>
                <w:szCs w:val="22"/>
                <w:u w:val="double"/>
              </w:rPr>
              <w:t>$186,826</w:t>
            </w:r>
          </w:p>
        </w:tc>
      </w:tr>
    </w:tbl>
    <w:p w14:paraId="0D81D693" w14:textId="4173F264" w:rsidR="008F16BE" w:rsidRPr="008F16BE" w:rsidRDefault="003762AD" w:rsidP="008F16BE">
      <w:pPr>
        <w:spacing w:after="200" w:line="276" w:lineRule="auto"/>
        <w:rPr>
          <w:rFonts w:eastAsiaTheme="minorHAnsi" w:cstheme="minorBidi"/>
          <w:szCs w:val="22"/>
        </w:rPr>
      </w:pPr>
      <w:r>
        <w:rPr>
          <w:rFonts w:eastAsiaTheme="minorHAnsi" w:cstheme="minorBidi"/>
          <w:szCs w:val="22"/>
        </w:rPr>
        <w:tab/>
      </w:r>
      <w:r>
        <w:rPr>
          <w:rFonts w:eastAsiaTheme="minorHAnsi" w:cstheme="minorBidi"/>
          <w:szCs w:val="22"/>
        </w:rPr>
        <w:tab/>
        <w:t>Source: FUS1</w:t>
      </w:r>
      <w:r w:rsidR="008F16BE" w:rsidRPr="008F16BE">
        <w:rPr>
          <w:rFonts w:eastAsiaTheme="minorHAnsi" w:cstheme="minorBidi"/>
          <w:szCs w:val="22"/>
        </w:rPr>
        <w:t xml:space="preserve"> Application.</w:t>
      </w:r>
    </w:p>
    <w:p w14:paraId="49116AB7" w14:textId="77777777" w:rsidR="008F16BE" w:rsidRPr="008F16BE" w:rsidRDefault="008F16BE" w:rsidP="008F16BE">
      <w:pPr>
        <w:spacing w:line="276" w:lineRule="auto"/>
        <w:rPr>
          <w:rFonts w:ascii="Arial" w:eastAsiaTheme="minorHAnsi" w:hAnsi="Arial" w:cs="Arial"/>
          <w:b/>
          <w:szCs w:val="22"/>
        </w:rPr>
      </w:pPr>
      <w:r w:rsidRPr="008F16BE">
        <w:rPr>
          <w:rFonts w:ascii="Arial" w:eastAsiaTheme="minorHAnsi" w:hAnsi="Arial" w:cs="Arial"/>
          <w:b/>
          <w:szCs w:val="22"/>
        </w:rPr>
        <w:t>Conclusion</w:t>
      </w:r>
    </w:p>
    <w:p w14:paraId="3C37D9DA" w14:textId="77777777" w:rsidR="008F16BE" w:rsidRPr="008F16BE" w:rsidRDefault="008F16BE" w:rsidP="008F16BE">
      <w:pPr>
        <w:jc w:val="both"/>
        <w:rPr>
          <w:rFonts w:eastAsiaTheme="minorHAnsi" w:cstheme="minorBidi"/>
          <w:szCs w:val="22"/>
        </w:rPr>
      </w:pPr>
      <w:r w:rsidRPr="008F16BE">
        <w:rPr>
          <w:rFonts w:eastAsiaTheme="minorHAnsi" w:cstheme="minorBidi"/>
          <w:szCs w:val="22"/>
        </w:rPr>
        <w:t>The data presented in the application was based on annualized revenues by customer class and meter size for the period ended December 31, 2022.</w:t>
      </w:r>
    </w:p>
    <w:p w14:paraId="45AD6533" w14:textId="77777777" w:rsidR="008F16BE" w:rsidRPr="008F16BE" w:rsidRDefault="008F16BE" w:rsidP="008F16BE">
      <w:pPr>
        <w:jc w:val="both"/>
      </w:pPr>
    </w:p>
    <w:p w14:paraId="281029AC" w14:textId="77777777" w:rsidR="008F16BE" w:rsidRPr="008F16BE" w:rsidRDefault="008F16BE" w:rsidP="008F16BE">
      <w:pPr>
        <w:jc w:val="both"/>
        <w:rPr>
          <w:strike/>
        </w:rPr>
      </w:pPr>
      <w:r w:rsidRPr="008F16BE">
        <w:t>Pursuant to Rule 25-30.457(7), F.A.C., the utility is required to hold any revenue increase granted subject to refund with interest in accordance with Rule 25-30.360(4), F.A.C.</w:t>
      </w:r>
    </w:p>
    <w:p w14:paraId="0F1B84A7" w14:textId="77777777" w:rsidR="008F16BE" w:rsidRPr="008F16BE" w:rsidRDefault="008F16BE" w:rsidP="008F16BE">
      <w:pPr>
        <w:jc w:val="both"/>
      </w:pPr>
    </w:p>
    <w:p w14:paraId="2DBCB3FD" w14:textId="769D263E" w:rsidR="00E11AAA" w:rsidRDefault="008F16BE" w:rsidP="008F16BE">
      <w:pPr>
        <w:pStyle w:val="BodyText"/>
      </w:pPr>
      <w:r w:rsidRPr="008F16BE">
        <w:rPr>
          <w:rFonts w:eastAsiaTheme="minorHAnsi" w:cstheme="minorBidi"/>
          <w:szCs w:val="22"/>
        </w:rPr>
        <w:lastRenderedPageBreak/>
        <w:t>To ensure overearnings do not occur due to the implementation of these rate increases, staff will conduct earning reviews of the 12-month period following the implementation of the revenue increases. At the end of the 12-month period, each utility will have 90 days to complete an</w:t>
      </w:r>
      <w:r w:rsidR="005F76D0">
        <w:rPr>
          <w:rFonts w:eastAsiaTheme="minorHAnsi" w:cstheme="minorBidi"/>
          <w:szCs w:val="22"/>
        </w:rPr>
        <w:t xml:space="preserve">d file Form PSC 1025 (03/20), </w:t>
      </w:r>
      <w:r w:rsidRPr="008F16BE">
        <w:rPr>
          <w:rFonts w:eastAsiaTheme="minorHAnsi" w:cstheme="minorBidi"/>
          <w:szCs w:val="22"/>
        </w:rPr>
        <w:t>titled: “Limited Alternative Rate Increase Earnings Review.” In the event a utility needs additional time to complete the form, it may request an extension of time supported by a statement of good cause that must be filed with the Commission within seven days prior to the 90-day deadline. If the earning reviews demonstrate that the utility exceeded the range of its last authorized rate of return on equity, such overearnings, up to the amount held subject to refund, with interest, shall be disposed of for the benefit of the customers. If staff determines that the utility did not exceed the range of its last authorized return on equity, the revenue increase will no longer be held subject to refund.</w:t>
      </w:r>
    </w:p>
    <w:p w14:paraId="3B51C907" w14:textId="3A81AA23" w:rsidR="008C76C8" w:rsidRDefault="008C76C8">
      <w:pPr>
        <w:pStyle w:val="IssueHeading"/>
        <w:rPr>
          <w:vanish/>
          <w:specVanish/>
        </w:rPr>
      </w:pPr>
      <w:r w:rsidRPr="004C3641">
        <w:rPr>
          <w:b w:val="0"/>
          <w:i w:val="0"/>
        </w:rPr>
        <w:br w:type="page"/>
      </w:r>
      <w:r w:rsidRPr="004C3641">
        <w:lastRenderedPageBreak/>
        <w:t xml:space="preserve">Issue </w:t>
      </w:r>
      <w:r w:rsidR="0065153C">
        <w:fldChar w:fldCharType="begin"/>
      </w:r>
      <w:r w:rsidR="0065153C">
        <w:instrText xml:space="preserve"> SEQ Issue \* MERGEFORMAT </w:instrText>
      </w:r>
      <w:r w:rsidR="0065153C">
        <w:fldChar w:fldCharType="separate"/>
      </w:r>
      <w:r w:rsidR="00BF29BF">
        <w:rPr>
          <w:noProof/>
        </w:rPr>
        <w:t>2</w:t>
      </w:r>
      <w:r w:rsidR="0065153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F29BF">
        <w:rPr>
          <w:noProof/>
        </w:rPr>
        <w:instrText>2</w:instrText>
      </w:r>
      <w:r>
        <w:fldChar w:fldCharType="end"/>
      </w:r>
      <w:r>
        <w:tab/>
        <w:instrText xml:space="preserve">(Bethea, Bruce)" \l 1 </w:instrText>
      </w:r>
      <w:r>
        <w:fldChar w:fldCharType="end"/>
      </w:r>
      <w:r>
        <w:t> </w:t>
      </w:r>
    </w:p>
    <w:p w14:paraId="4B99DC65" w14:textId="77777777" w:rsidR="008C76C8" w:rsidRDefault="008C76C8">
      <w:pPr>
        <w:pStyle w:val="BodyText"/>
      </w:pPr>
      <w:r>
        <w:t> What are the appropriate month</w:t>
      </w:r>
      <w:r w:rsidR="009D76AA">
        <w:t>ly service rates for the utilities</w:t>
      </w:r>
      <w:r>
        <w:t>?</w:t>
      </w:r>
    </w:p>
    <w:p w14:paraId="68A8FA23" w14:textId="77777777" w:rsidR="008C76C8" w:rsidRPr="004C3641" w:rsidRDefault="008C76C8">
      <w:pPr>
        <w:pStyle w:val="IssueSubsectionHeading"/>
        <w:rPr>
          <w:vanish/>
          <w:specVanish/>
        </w:rPr>
      </w:pPr>
      <w:r w:rsidRPr="004C3641">
        <w:t>Recommendation: </w:t>
      </w:r>
    </w:p>
    <w:p w14:paraId="009A7932" w14:textId="7F6AB1E4" w:rsidR="008C76C8" w:rsidRDefault="008C76C8">
      <w:pPr>
        <w:pStyle w:val="BodyText"/>
      </w:pPr>
      <w:r>
        <w:t> </w:t>
      </w:r>
      <w:r w:rsidR="00550718">
        <w:t xml:space="preserve">The appropriate staff recommended service rates are shown on Schedule No. </w:t>
      </w:r>
      <w:r w:rsidR="00F82FAD">
        <w:t>1</w:t>
      </w:r>
      <w:r w:rsidR="00550718">
        <w:t>.</w:t>
      </w:r>
      <w:r w:rsidR="00D706DC">
        <w:t xml:space="preserve"> </w:t>
      </w:r>
      <w:r w:rsidR="00250ED6">
        <w:t xml:space="preserve">The utilities should </w:t>
      </w:r>
      <w:r w:rsidR="003A30DE">
        <w:t xml:space="preserve">file tariff sheets and proposed customer notices to reflect the Commission-approved rates. The approved rates should be effective for service rendered on or after the stamped approval date on the tariff sheets pursuant to Rule 25-30.475(1), F.A.C. In addition, the rates should not be implemented until staff has approved the proposed customer notice. The utilities should provide proof of the date notice was given no less than 10 days after the date of the notice. </w:t>
      </w:r>
      <w:r>
        <w:t>(Bethea, Bruce)</w:t>
      </w:r>
    </w:p>
    <w:p w14:paraId="41283194" w14:textId="77777777" w:rsidR="008C76C8" w:rsidRPr="004C3641" w:rsidRDefault="008C76C8">
      <w:pPr>
        <w:pStyle w:val="IssueSubsectionHeading"/>
        <w:rPr>
          <w:vanish/>
          <w:specVanish/>
        </w:rPr>
      </w:pPr>
      <w:r w:rsidRPr="004C3641">
        <w:t>Staff Analysis: </w:t>
      </w:r>
    </w:p>
    <w:p w14:paraId="3E02E05F" w14:textId="6DD9693F" w:rsidR="008C76C8" w:rsidRDefault="008C76C8">
      <w:pPr>
        <w:pStyle w:val="BodyText"/>
      </w:pPr>
      <w:r>
        <w:t> </w:t>
      </w:r>
      <w:r w:rsidR="00EB31AB">
        <w:t>Based on staff’s recomme</w:t>
      </w:r>
      <w:r w:rsidR="005F76D0">
        <w:t xml:space="preserve">nded approval of the utilities’ revenue increase </w:t>
      </w:r>
      <w:r w:rsidR="00EB31AB">
        <w:t>LARI in Issue 1, the existing service rates for the utilities shoul</w:t>
      </w:r>
      <w:r w:rsidR="004931AB">
        <w:t>d be increased by the individual</w:t>
      </w:r>
      <w:r w:rsidR="00EB31AB">
        <w:t xml:space="preserve"> percentage rate increases shown</w:t>
      </w:r>
      <w:r w:rsidR="004931AB">
        <w:t xml:space="preserve"> </w:t>
      </w:r>
      <w:r w:rsidR="00EB31AB">
        <w:t>in Table 2-1, which are in accordance with Rule 25-30.457, F.A.C.</w:t>
      </w:r>
    </w:p>
    <w:p w14:paraId="75B9AF80" w14:textId="77777777" w:rsidR="004931AB" w:rsidRPr="00964D52" w:rsidRDefault="004931AB" w:rsidP="004931AB">
      <w:pPr>
        <w:pStyle w:val="BodyText"/>
        <w:spacing w:after="0"/>
        <w:jc w:val="center"/>
        <w:rPr>
          <w:rFonts w:ascii="Arial" w:hAnsi="Arial" w:cs="Arial"/>
          <w:b/>
        </w:rPr>
      </w:pPr>
      <w:r w:rsidRPr="00964D52">
        <w:rPr>
          <w:rFonts w:ascii="Arial" w:hAnsi="Arial" w:cs="Arial"/>
          <w:b/>
        </w:rPr>
        <w:t>Table 2-1</w:t>
      </w:r>
    </w:p>
    <w:p w14:paraId="6F8EC11A" w14:textId="77777777" w:rsidR="004931AB" w:rsidRDefault="004931AB" w:rsidP="004931AB">
      <w:pPr>
        <w:pStyle w:val="BodyText"/>
        <w:spacing w:after="0"/>
        <w:jc w:val="center"/>
      </w:pPr>
      <w:r w:rsidRPr="00964D52">
        <w:rPr>
          <w:rFonts w:ascii="Arial" w:hAnsi="Arial" w:cs="Arial"/>
          <w:b/>
        </w:rPr>
        <w:t>Staff Recommended Percentage Rate Increase</w:t>
      </w:r>
    </w:p>
    <w:tbl>
      <w:tblPr>
        <w:tblW w:w="5060" w:type="dxa"/>
        <w:jc w:val="center"/>
        <w:tblLook w:val="04A0" w:firstRow="1" w:lastRow="0" w:firstColumn="1" w:lastColumn="0" w:noHBand="0" w:noVBand="1"/>
      </w:tblPr>
      <w:tblGrid>
        <w:gridCol w:w="2880"/>
        <w:gridCol w:w="2180"/>
      </w:tblGrid>
      <w:tr w:rsidR="00C63379" w14:paraId="1B1BBBE6" w14:textId="77777777" w:rsidTr="00C63379">
        <w:trPr>
          <w:trHeight w:val="309"/>
          <w:jc w:val="center"/>
        </w:trPr>
        <w:tc>
          <w:tcPr>
            <w:tcW w:w="2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1AE40E" w14:textId="77777777" w:rsidR="00C63379" w:rsidRDefault="00C63379" w:rsidP="00085A5F">
            <w:pPr>
              <w:jc w:val="center"/>
              <w:rPr>
                <w:b/>
                <w:bCs/>
                <w:color w:val="000000"/>
              </w:rPr>
            </w:pPr>
            <w:r>
              <w:rPr>
                <w:b/>
                <w:bCs/>
                <w:color w:val="000000"/>
              </w:rPr>
              <w:t>Utility</w:t>
            </w:r>
          </w:p>
        </w:tc>
        <w:tc>
          <w:tcPr>
            <w:tcW w:w="2180" w:type="dxa"/>
            <w:tcBorders>
              <w:top w:val="single" w:sz="8" w:space="0" w:color="auto"/>
              <w:left w:val="nil"/>
              <w:bottom w:val="single" w:sz="8" w:space="0" w:color="auto"/>
              <w:right w:val="single" w:sz="8" w:space="0" w:color="auto"/>
            </w:tcBorders>
            <w:shd w:val="clear" w:color="auto" w:fill="auto"/>
            <w:noWrap/>
            <w:vAlign w:val="center"/>
            <w:hideMark/>
          </w:tcPr>
          <w:p w14:paraId="73ABA667" w14:textId="77777777" w:rsidR="00C63379" w:rsidRDefault="00C63379" w:rsidP="00085A5F">
            <w:pPr>
              <w:jc w:val="center"/>
              <w:rPr>
                <w:b/>
                <w:bCs/>
                <w:color w:val="000000"/>
              </w:rPr>
            </w:pPr>
            <w:r>
              <w:rPr>
                <w:b/>
                <w:bCs/>
                <w:color w:val="000000"/>
              </w:rPr>
              <w:t>% Rate Increase</w:t>
            </w:r>
          </w:p>
        </w:tc>
      </w:tr>
      <w:tr w:rsidR="00C63379" w14:paraId="7C0DF30A"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12043169" w14:textId="77777777" w:rsidR="00C63379" w:rsidRDefault="00C63379" w:rsidP="00085A5F">
            <w:pPr>
              <w:rPr>
                <w:color w:val="000000"/>
              </w:rPr>
            </w:pPr>
            <w:r>
              <w:rPr>
                <w:color w:val="000000"/>
              </w:rPr>
              <w:t>Lake Yale (water)</w:t>
            </w:r>
          </w:p>
        </w:tc>
        <w:tc>
          <w:tcPr>
            <w:tcW w:w="2180" w:type="dxa"/>
            <w:tcBorders>
              <w:top w:val="nil"/>
              <w:left w:val="nil"/>
              <w:bottom w:val="single" w:sz="8" w:space="0" w:color="auto"/>
              <w:right w:val="single" w:sz="8" w:space="0" w:color="auto"/>
            </w:tcBorders>
            <w:shd w:val="clear" w:color="auto" w:fill="auto"/>
            <w:noWrap/>
            <w:vAlign w:val="center"/>
            <w:hideMark/>
          </w:tcPr>
          <w:p w14:paraId="45E84E3A" w14:textId="77777777" w:rsidR="00C63379" w:rsidRDefault="00C63379" w:rsidP="00085A5F">
            <w:pPr>
              <w:jc w:val="right"/>
              <w:rPr>
                <w:color w:val="000000"/>
              </w:rPr>
            </w:pPr>
            <w:r>
              <w:rPr>
                <w:color w:val="000000"/>
              </w:rPr>
              <w:t>5%</w:t>
            </w:r>
          </w:p>
        </w:tc>
      </w:tr>
      <w:tr w:rsidR="00C63379" w14:paraId="04577939"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3E31BD05" w14:textId="77777777" w:rsidR="00C63379" w:rsidRDefault="00C63379" w:rsidP="00085A5F">
            <w:pPr>
              <w:rPr>
                <w:color w:val="000000"/>
              </w:rPr>
            </w:pPr>
            <w:r>
              <w:rPr>
                <w:color w:val="000000"/>
              </w:rPr>
              <w:t>Sunrise</w:t>
            </w:r>
          </w:p>
        </w:tc>
        <w:tc>
          <w:tcPr>
            <w:tcW w:w="2180" w:type="dxa"/>
            <w:tcBorders>
              <w:top w:val="nil"/>
              <w:left w:val="nil"/>
              <w:bottom w:val="single" w:sz="8" w:space="0" w:color="auto"/>
              <w:right w:val="single" w:sz="8" w:space="0" w:color="auto"/>
            </w:tcBorders>
            <w:shd w:val="clear" w:color="auto" w:fill="auto"/>
            <w:noWrap/>
            <w:vAlign w:val="center"/>
            <w:hideMark/>
          </w:tcPr>
          <w:p w14:paraId="152D425C" w14:textId="77777777" w:rsidR="00C63379" w:rsidRDefault="00C63379" w:rsidP="00085A5F">
            <w:pPr>
              <w:jc w:val="right"/>
              <w:rPr>
                <w:color w:val="000000"/>
              </w:rPr>
            </w:pPr>
            <w:r>
              <w:rPr>
                <w:color w:val="000000"/>
              </w:rPr>
              <w:t>5%</w:t>
            </w:r>
          </w:p>
        </w:tc>
      </w:tr>
      <w:tr w:rsidR="00C63379" w14:paraId="6E95F460"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2AD24338" w14:textId="77777777" w:rsidR="00C63379" w:rsidRDefault="00C63379" w:rsidP="00085A5F">
            <w:pPr>
              <w:rPr>
                <w:color w:val="000000"/>
              </w:rPr>
            </w:pPr>
            <w:r>
              <w:rPr>
                <w:color w:val="000000"/>
              </w:rPr>
              <w:t>Heather Hills (wastewater)</w:t>
            </w:r>
          </w:p>
        </w:tc>
        <w:tc>
          <w:tcPr>
            <w:tcW w:w="2180" w:type="dxa"/>
            <w:tcBorders>
              <w:top w:val="nil"/>
              <w:left w:val="nil"/>
              <w:bottom w:val="single" w:sz="8" w:space="0" w:color="auto"/>
              <w:right w:val="single" w:sz="8" w:space="0" w:color="auto"/>
            </w:tcBorders>
            <w:shd w:val="clear" w:color="auto" w:fill="auto"/>
            <w:noWrap/>
            <w:vAlign w:val="center"/>
            <w:hideMark/>
          </w:tcPr>
          <w:p w14:paraId="5F698812" w14:textId="77777777" w:rsidR="00C63379" w:rsidRDefault="00C63379" w:rsidP="00085A5F">
            <w:pPr>
              <w:jc w:val="right"/>
              <w:rPr>
                <w:color w:val="000000"/>
              </w:rPr>
            </w:pPr>
            <w:r>
              <w:rPr>
                <w:color w:val="000000"/>
              </w:rPr>
              <w:t>15%</w:t>
            </w:r>
          </w:p>
        </w:tc>
      </w:tr>
      <w:tr w:rsidR="00C63379" w14:paraId="1DFF893D"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09CCFEEA" w14:textId="77777777" w:rsidR="00C63379" w:rsidRDefault="00C63379" w:rsidP="00085A5F">
            <w:pPr>
              <w:rPr>
                <w:color w:val="000000"/>
              </w:rPr>
            </w:pPr>
            <w:r>
              <w:rPr>
                <w:color w:val="000000"/>
              </w:rPr>
              <w:t>McLeod Gardens</w:t>
            </w:r>
          </w:p>
        </w:tc>
        <w:tc>
          <w:tcPr>
            <w:tcW w:w="2180" w:type="dxa"/>
            <w:tcBorders>
              <w:top w:val="nil"/>
              <w:left w:val="nil"/>
              <w:bottom w:val="single" w:sz="8" w:space="0" w:color="auto"/>
              <w:right w:val="single" w:sz="8" w:space="0" w:color="auto"/>
            </w:tcBorders>
            <w:shd w:val="clear" w:color="auto" w:fill="auto"/>
            <w:noWrap/>
            <w:vAlign w:val="center"/>
            <w:hideMark/>
          </w:tcPr>
          <w:p w14:paraId="185C0A30" w14:textId="77777777" w:rsidR="00C63379" w:rsidRDefault="00C63379" w:rsidP="00085A5F">
            <w:pPr>
              <w:jc w:val="right"/>
              <w:rPr>
                <w:color w:val="000000"/>
              </w:rPr>
            </w:pPr>
            <w:r>
              <w:rPr>
                <w:color w:val="000000"/>
              </w:rPr>
              <w:t>15%</w:t>
            </w:r>
          </w:p>
        </w:tc>
      </w:tr>
      <w:tr w:rsidR="00C63379" w14:paraId="1EAD6475"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6F40ACAB" w14:textId="77777777" w:rsidR="00C63379" w:rsidRDefault="00C63379" w:rsidP="00085A5F">
            <w:pPr>
              <w:rPr>
                <w:color w:val="000000"/>
              </w:rPr>
            </w:pPr>
            <w:r>
              <w:rPr>
                <w:color w:val="000000"/>
              </w:rPr>
              <w:t>Orange Land</w:t>
            </w:r>
          </w:p>
        </w:tc>
        <w:tc>
          <w:tcPr>
            <w:tcW w:w="2180" w:type="dxa"/>
            <w:tcBorders>
              <w:top w:val="nil"/>
              <w:left w:val="nil"/>
              <w:bottom w:val="single" w:sz="8" w:space="0" w:color="auto"/>
              <w:right w:val="single" w:sz="8" w:space="0" w:color="auto"/>
            </w:tcBorders>
            <w:shd w:val="clear" w:color="auto" w:fill="auto"/>
            <w:noWrap/>
            <w:vAlign w:val="center"/>
            <w:hideMark/>
          </w:tcPr>
          <w:p w14:paraId="1F2D0F37" w14:textId="77777777" w:rsidR="00C63379" w:rsidRDefault="00C63379" w:rsidP="00085A5F">
            <w:pPr>
              <w:jc w:val="right"/>
              <w:rPr>
                <w:color w:val="000000"/>
              </w:rPr>
            </w:pPr>
            <w:r>
              <w:rPr>
                <w:color w:val="000000"/>
              </w:rPr>
              <w:t>15%</w:t>
            </w:r>
          </w:p>
        </w:tc>
      </w:tr>
      <w:tr w:rsidR="00C63379" w14:paraId="2E7A99F6"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7CF3AE2C" w14:textId="77777777" w:rsidR="00C63379" w:rsidRDefault="00C63379" w:rsidP="00085A5F">
            <w:pPr>
              <w:rPr>
                <w:color w:val="000000"/>
              </w:rPr>
            </w:pPr>
            <w:r>
              <w:rPr>
                <w:color w:val="000000"/>
              </w:rPr>
              <w:t>Charlie Creek</w:t>
            </w:r>
          </w:p>
        </w:tc>
        <w:tc>
          <w:tcPr>
            <w:tcW w:w="2180" w:type="dxa"/>
            <w:tcBorders>
              <w:top w:val="nil"/>
              <w:left w:val="nil"/>
              <w:bottom w:val="single" w:sz="8" w:space="0" w:color="auto"/>
              <w:right w:val="single" w:sz="8" w:space="0" w:color="auto"/>
            </w:tcBorders>
            <w:shd w:val="clear" w:color="auto" w:fill="auto"/>
            <w:noWrap/>
            <w:vAlign w:val="center"/>
            <w:hideMark/>
          </w:tcPr>
          <w:p w14:paraId="2B6DCDBD" w14:textId="77777777" w:rsidR="00C63379" w:rsidRDefault="00C63379" w:rsidP="00085A5F">
            <w:pPr>
              <w:jc w:val="right"/>
              <w:rPr>
                <w:color w:val="000000"/>
              </w:rPr>
            </w:pPr>
            <w:r>
              <w:rPr>
                <w:color w:val="000000"/>
              </w:rPr>
              <w:t>20%</w:t>
            </w:r>
          </w:p>
        </w:tc>
      </w:tr>
      <w:tr w:rsidR="00C63379" w14:paraId="7C7637DF"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30714517" w14:textId="77777777" w:rsidR="00C63379" w:rsidRDefault="00C63379" w:rsidP="00085A5F">
            <w:pPr>
              <w:rPr>
                <w:color w:val="000000"/>
              </w:rPr>
            </w:pPr>
            <w:proofErr w:type="spellStart"/>
            <w:r>
              <w:rPr>
                <w:color w:val="000000"/>
              </w:rPr>
              <w:t>Crestridge</w:t>
            </w:r>
            <w:proofErr w:type="spellEnd"/>
          </w:p>
        </w:tc>
        <w:tc>
          <w:tcPr>
            <w:tcW w:w="2180" w:type="dxa"/>
            <w:tcBorders>
              <w:top w:val="nil"/>
              <w:left w:val="nil"/>
              <w:bottom w:val="single" w:sz="8" w:space="0" w:color="auto"/>
              <w:right w:val="single" w:sz="8" w:space="0" w:color="auto"/>
            </w:tcBorders>
            <w:shd w:val="clear" w:color="auto" w:fill="auto"/>
            <w:noWrap/>
            <w:vAlign w:val="center"/>
            <w:hideMark/>
          </w:tcPr>
          <w:p w14:paraId="04744B37" w14:textId="77777777" w:rsidR="00C63379" w:rsidRDefault="00C63379" w:rsidP="00085A5F">
            <w:pPr>
              <w:jc w:val="right"/>
              <w:rPr>
                <w:color w:val="000000"/>
              </w:rPr>
            </w:pPr>
            <w:r>
              <w:rPr>
                <w:color w:val="000000"/>
              </w:rPr>
              <w:t>20%</w:t>
            </w:r>
          </w:p>
        </w:tc>
      </w:tr>
      <w:tr w:rsidR="00C63379" w14:paraId="4D4C79D4"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5E4A5D5F" w14:textId="77777777" w:rsidR="00C63379" w:rsidRDefault="00C63379" w:rsidP="00085A5F">
            <w:pPr>
              <w:rPr>
                <w:color w:val="000000"/>
              </w:rPr>
            </w:pPr>
            <w:r>
              <w:rPr>
                <w:color w:val="000000"/>
              </w:rPr>
              <w:t>East Marion (wastewater)</w:t>
            </w:r>
          </w:p>
        </w:tc>
        <w:tc>
          <w:tcPr>
            <w:tcW w:w="2180" w:type="dxa"/>
            <w:tcBorders>
              <w:top w:val="nil"/>
              <w:left w:val="nil"/>
              <w:bottom w:val="single" w:sz="8" w:space="0" w:color="auto"/>
              <w:right w:val="single" w:sz="8" w:space="0" w:color="auto"/>
            </w:tcBorders>
            <w:shd w:val="clear" w:color="auto" w:fill="auto"/>
            <w:noWrap/>
            <w:vAlign w:val="center"/>
            <w:hideMark/>
          </w:tcPr>
          <w:p w14:paraId="65ECECFC" w14:textId="77777777" w:rsidR="00C63379" w:rsidRDefault="00C63379" w:rsidP="00085A5F">
            <w:pPr>
              <w:jc w:val="right"/>
              <w:rPr>
                <w:color w:val="000000"/>
              </w:rPr>
            </w:pPr>
            <w:r>
              <w:rPr>
                <w:color w:val="000000"/>
              </w:rPr>
              <w:t>20%</w:t>
            </w:r>
          </w:p>
        </w:tc>
      </w:tr>
      <w:tr w:rsidR="00C63379" w14:paraId="632CFA54"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09EAA4A4" w14:textId="77777777" w:rsidR="00C63379" w:rsidRDefault="00C63379" w:rsidP="00085A5F">
            <w:pPr>
              <w:rPr>
                <w:color w:val="000000"/>
              </w:rPr>
            </w:pPr>
            <w:r>
              <w:rPr>
                <w:color w:val="000000"/>
              </w:rPr>
              <w:t>East Marion (water)</w:t>
            </w:r>
          </w:p>
        </w:tc>
        <w:tc>
          <w:tcPr>
            <w:tcW w:w="2180" w:type="dxa"/>
            <w:tcBorders>
              <w:top w:val="nil"/>
              <w:left w:val="nil"/>
              <w:bottom w:val="single" w:sz="8" w:space="0" w:color="auto"/>
              <w:right w:val="single" w:sz="8" w:space="0" w:color="auto"/>
            </w:tcBorders>
            <w:shd w:val="clear" w:color="auto" w:fill="auto"/>
            <w:noWrap/>
            <w:vAlign w:val="center"/>
            <w:hideMark/>
          </w:tcPr>
          <w:p w14:paraId="09BAED44" w14:textId="77777777" w:rsidR="00C63379" w:rsidRDefault="00C63379" w:rsidP="00085A5F">
            <w:pPr>
              <w:jc w:val="right"/>
              <w:rPr>
                <w:color w:val="000000"/>
              </w:rPr>
            </w:pPr>
            <w:r>
              <w:rPr>
                <w:color w:val="000000"/>
              </w:rPr>
              <w:t>20%</w:t>
            </w:r>
          </w:p>
        </w:tc>
      </w:tr>
      <w:tr w:rsidR="00C63379" w14:paraId="437035CB"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4F8C644C" w14:textId="77777777" w:rsidR="00C63379" w:rsidRDefault="00C63379" w:rsidP="00085A5F">
            <w:pPr>
              <w:rPr>
                <w:color w:val="000000"/>
              </w:rPr>
            </w:pPr>
            <w:r>
              <w:rPr>
                <w:color w:val="000000"/>
              </w:rPr>
              <w:t xml:space="preserve">Heather Hills (water) </w:t>
            </w:r>
          </w:p>
        </w:tc>
        <w:tc>
          <w:tcPr>
            <w:tcW w:w="2180" w:type="dxa"/>
            <w:tcBorders>
              <w:top w:val="nil"/>
              <w:left w:val="nil"/>
              <w:bottom w:val="single" w:sz="8" w:space="0" w:color="auto"/>
              <w:right w:val="single" w:sz="8" w:space="0" w:color="auto"/>
            </w:tcBorders>
            <w:shd w:val="clear" w:color="auto" w:fill="auto"/>
            <w:noWrap/>
            <w:vAlign w:val="center"/>
            <w:hideMark/>
          </w:tcPr>
          <w:p w14:paraId="57F09425" w14:textId="77777777" w:rsidR="00C63379" w:rsidRDefault="00C63379" w:rsidP="00085A5F">
            <w:pPr>
              <w:jc w:val="right"/>
              <w:rPr>
                <w:color w:val="000000"/>
              </w:rPr>
            </w:pPr>
            <w:r>
              <w:rPr>
                <w:color w:val="000000"/>
              </w:rPr>
              <w:t>20%</w:t>
            </w:r>
          </w:p>
        </w:tc>
      </w:tr>
      <w:tr w:rsidR="00C63379" w14:paraId="54BE9BDE"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42CC8B3B" w14:textId="77777777" w:rsidR="00C63379" w:rsidRDefault="00C63379" w:rsidP="00085A5F">
            <w:pPr>
              <w:rPr>
                <w:color w:val="000000"/>
              </w:rPr>
            </w:pPr>
            <w:r>
              <w:rPr>
                <w:color w:val="000000"/>
              </w:rPr>
              <w:t>Holiday Gardens</w:t>
            </w:r>
          </w:p>
        </w:tc>
        <w:tc>
          <w:tcPr>
            <w:tcW w:w="2180" w:type="dxa"/>
            <w:tcBorders>
              <w:top w:val="nil"/>
              <w:left w:val="nil"/>
              <w:bottom w:val="single" w:sz="8" w:space="0" w:color="auto"/>
              <w:right w:val="single" w:sz="8" w:space="0" w:color="auto"/>
            </w:tcBorders>
            <w:shd w:val="clear" w:color="auto" w:fill="auto"/>
            <w:noWrap/>
            <w:vAlign w:val="center"/>
            <w:hideMark/>
          </w:tcPr>
          <w:p w14:paraId="3C063225" w14:textId="77777777" w:rsidR="00C63379" w:rsidRDefault="00C63379" w:rsidP="00085A5F">
            <w:pPr>
              <w:jc w:val="right"/>
              <w:rPr>
                <w:color w:val="000000"/>
              </w:rPr>
            </w:pPr>
            <w:r>
              <w:rPr>
                <w:color w:val="000000"/>
              </w:rPr>
              <w:t>20%</w:t>
            </w:r>
          </w:p>
        </w:tc>
      </w:tr>
      <w:tr w:rsidR="00C63379" w14:paraId="0042EA13"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2F6E791A" w14:textId="77777777" w:rsidR="00C63379" w:rsidRDefault="00C63379" w:rsidP="00085A5F">
            <w:pPr>
              <w:rPr>
                <w:color w:val="000000"/>
              </w:rPr>
            </w:pPr>
            <w:r>
              <w:rPr>
                <w:color w:val="000000"/>
              </w:rPr>
              <w:t xml:space="preserve">Lake Yale (wastewater) </w:t>
            </w:r>
          </w:p>
        </w:tc>
        <w:tc>
          <w:tcPr>
            <w:tcW w:w="2180" w:type="dxa"/>
            <w:tcBorders>
              <w:top w:val="nil"/>
              <w:left w:val="nil"/>
              <w:bottom w:val="single" w:sz="8" w:space="0" w:color="auto"/>
              <w:right w:val="single" w:sz="8" w:space="0" w:color="auto"/>
            </w:tcBorders>
            <w:shd w:val="clear" w:color="auto" w:fill="auto"/>
            <w:noWrap/>
            <w:vAlign w:val="center"/>
            <w:hideMark/>
          </w:tcPr>
          <w:p w14:paraId="3C28B209" w14:textId="77777777" w:rsidR="00C63379" w:rsidRDefault="00C63379" w:rsidP="00085A5F">
            <w:pPr>
              <w:jc w:val="right"/>
              <w:rPr>
                <w:color w:val="000000"/>
              </w:rPr>
            </w:pPr>
            <w:r>
              <w:rPr>
                <w:color w:val="000000"/>
              </w:rPr>
              <w:t>20%</w:t>
            </w:r>
          </w:p>
        </w:tc>
      </w:tr>
      <w:tr w:rsidR="00C63379" w14:paraId="5CDFAE9C"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221A9679" w14:textId="77777777" w:rsidR="00C63379" w:rsidRDefault="00C63379" w:rsidP="00085A5F">
            <w:pPr>
              <w:rPr>
                <w:color w:val="000000"/>
              </w:rPr>
            </w:pPr>
            <w:r>
              <w:rPr>
                <w:color w:val="000000"/>
              </w:rPr>
              <w:t>Sunny Shores</w:t>
            </w:r>
          </w:p>
        </w:tc>
        <w:tc>
          <w:tcPr>
            <w:tcW w:w="2180" w:type="dxa"/>
            <w:tcBorders>
              <w:top w:val="nil"/>
              <w:left w:val="nil"/>
              <w:bottom w:val="single" w:sz="8" w:space="0" w:color="auto"/>
              <w:right w:val="single" w:sz="8" w:space="0" w:color="auto"/>
            </w:tcBorders>
            <w:shd w:val="clear" w:color="auto" w:fill="auto"/>
            <w:noWrap/>
            <w:vAlign w:val="center"/>
            <w:hideMark/>
          </w:tcPr>
          <w:p w14:paraId="710B62F1" w14:textId="77777777" w:rsidR="00C63379" w:rsidRDefault="00C63379" w:rsidP="00085A5F">
            <w:pPr>
              <w:jc w:val="right"/>
              <w:rPr>
                <w:color w:val="000000"/>
              </w:rPr>
            </w:pPr>
            <w:r>
              <w:rPr>
                <w:color w:val="000000"/>
              </w:rPr>
              <w:t>20%</w:t>
            </w:r>
          </w:p>
        </w:tc>
      </w:tr>
      <w:tr w:rsidR="00C63379" w14:paraId="4A15CB86" w14:textId="77777777" w:rsidTr="00C63379">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0C3A88A4" w14:textId="77777777" w:rsidR="00C63379" w:rsidRDefault="00C63379" w:rsidP="00085A5F">
            <w:pPr>
              <w:rPr>
                <w:color w:val="000000"/>
              </w:rPr>
            </w:pPr>
            <w:r>
              <w:rPr>
                <w:color w:val="000000"/>
              </w:rPr>
              <w:t>West Lakeland</w:t>
            </w:r>
          </w:p>
        </w:tc>
        <w:tc>
          <w:tcPr>
            <w:tcW w:w="2180" w:type="dxa"/>
            <w:tcBorders>
              <w:top w:val="nil"/>
              <w:left w:val="nil"/>
              <w:bottom w:val="single" w:sz="8" w:space="0" w:color="auto"/>
              <w:right w:val="single" w:sz="8" w:space="0" w:color="auto"/>
            </w:tcBorders>
            <w:shd w:val="clear" w:color="auto" w:fill="auto"/>
            <w:noWrap/>
            <w:vAlign w:val="center"/>
            <w:hideMark/>
          </w:tcPr>
          <w:p w14:paraId="3C98B99F" w14:textId="77777777" w:rsidR="00C63379" w:rsidRDefault="00C63379" w:rsidP="00085A5F">
            <w:pPr>
              <w:jc w:val="right"/>
              <w:rPr>
                <w:color w:val="000000"/>
              </w:rPr>
            </w:pPr>
            <w:r>
              <w:rPr>
                <w:color w:val="000000"/>
              </w:rPr>
              <w:t>20%</w:t>
            </w:r>
          </w:p>
        </w:tc>
      </w:tr>
    </w:tbl>
    <w:p w14:paraId="481B3E24" w14:textId="77777777" w:rsidR="004931AB" w:rsidRDefault="004931AB" w:rsidP="004931AB">
      <w:pPr>
        <w:pStyle w:val="BodyText"/>
        <w:spacing w:after="0"/>
        <w:jc w:val="center"/>
      </w:pPr>
    </w:p>
    <w:p w14:paraId="4A96F6D9" w14:textId="45BBF8E5" w:rsidR="00243569" w:rsidRDefault="005F76D0" w:rsidP="00E43248">
      <w:pPr>
        <w:pStyle w:val="BodyText"/>
        <w:spacing w:after="0"/>
      </w:pPr>
      <w:r>
        <w:t>S</w:t>
      </w:r>
      <w:r w:rsidR="00964D52">
        <w:t xml:space="preserve">taff calculated rates by applying the percentage rate increases across-the-board to the existing base facility and </w:t>
      </w:r>
      <w:proofErr w:type="spellStart"/>
      <w:r w:rsidR="00964D52">
        <w:t>gallonage</w:t>
      </w:r>
      <w:proofErr w:type="spellEnd"/>
      <w:r w:rsidR="00964D52">
        <w:t xml:space="preserve"> charges for each utility. The appropriate staff recommended service rates are shown on Schedule No. 1. </w:t>
      </w:r>
      <w:r w:rsidR="00CC7753">
        <w:t xml:space="preserve">Staff’s recommended rates are the same as the utilities’ requested rates; however, staff rounded up to the nearest tenth. </w:t>
      </w:r>
      <w:r w:rsidR="00964D52">
        <w:t xml:space="preserve">The utilities </w:t>
      </w:r>
      <w:r w:rsidR="00E56907">
        <w:t xml:space="preserve">should file tariff sheets and </w:t>
      </w:r>
      <w:r w:rsidR="00964D52">
        <w:t>proposed customer notices to reflect the Commission-approved rates.</w:t>
      </w:r>
      <w:r w:rsidR="00143524">
        <w:t xml:space="preserve"> </w:t>
      </w:r>
    </w:p>
    <w:p w14:paraId="6F0F618B" w14:textId="77777777" w:rsidR="00243569" w:rsidRDefault="00243569" w:rsidP="00E43248">
      <w:pPr>
        <w:pStyle w:val="BodyText"/>
        <w:spacing w:after="0"/>
      </w:pPr>
    </w:p>
    <w:p w14:paraId="582BD8C6" w14:textId="484F69E9" w:rsidR="00964D52" w:rsidRDefault="00143524" w:rsidP="00E43248">
      <w:pPr>
        <w:pStyle w:val="BodyText"/>
        <w:spacing w:after="0"/>
      </w:pPr>
      <w:r>
        <w:t>The approved rates should be effective for service rendered on or after the stamped approval date on the tariff sheets pursuant to Rule 25-30.475(1), F.A.C. In addition, the rates should not be implemented until staff has approved the proposed customer notice</w:t>
      </w:r>
      <w:r w:rsidR="00E56907">
        <w:t>s</w:t>
      </w:r>
      <w:r>
        <w:t xml:space="preserve">. The utilities should provide proof of the date notice was </w:t>
      </w:r>
      <w:r w:rsidR="00E43248">
        <w:t>given no less than 10 days after the date of the notice.</w:t>
      </w:r>
    </w:p>
    <w:p w14:paraId="2527FAC6" w14:textId="337CB2C5" w:rsidR="008C76C8" w:rsidRDefault="008C76C8">
      <w:pPr>
        <w:pStyle w:val="IssueHeading"/>
        <w:rPr>
          <w:vanish/>
          <w:specVanish/>
        </w:rPr>
      </w:pPr>
      <w:r w:rsidRPr="004C3641">
        <w:rPr>
          <w:b w:val="0"/>
          <w:i w:val="0"/>
        </w:rPr>
        <w:br w:type="page"/>
      </w:r>
      <w:r w:rsidRPr="004C3641">
        <w:lastRenderedPageBreak/>
        <w:t xml:space="preserve">Issue </w:t>
      </w:r>
      <w:r w:rsidR="0065153C">
        <w:fldChar w:fldCharType="begin"/>
      </w:r>
      <w:r w:rsidR="0065153C">
        <w:instrText xml:space="preserve"> SEQ Issue \* MERGEFORMAT </w:instrText>
      </w:r>
      <w:r w:rsidR="0065153C">
        <w:fldChar w:fldCharType="separate"/>
      </w:r>
      <w:r w:rsidR="00BF29BF">
        <w:rPr>
          <w:noProof/>
        </w:rPr>
        <w:t>3</w:t>
      </w:r>
      <w:r w:rsidR="0065153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F29BF">
        <w:rPr>
          <w:noProof/>
        </w:rPr>
        <w:instrText>3</w:instrText>
      </w:r>
      <w:r>
        <w:fldChar w:fldCharType="end"/>
      </w:r>
      <w:r>
        <w:tab/>
        <w:instrText xml:space="preserve">(Richards, Higgins (Proposed Agency Action))" \l 1 </w:instrText>
      </w:r>
      <w:r>
        <w:fldChar w:fldCharType="end"/>
      </w:r>
      <w:r>
        <w:t> </w:t>
      </w:r>
    </w:p>
    <w:p w14:paraId="09CC456A" w14:textId="73E2EF99" w:rsidR="008C76C8" w:rsidRDefault="008C76C8">
      <w:pPr>
        <w:pStyle w:val="BodyText"/>
      </w:pPr>
      <w:r>
        <w:t> Should the recommended r</w:t>
      </w:r>
      <w:r w:rsidR="00E74F30">
        <w:t>ates be approved for the utilities</w:t>
      </w:r>
      <w:r>
        <w:t xml:space="preserve"> on a temporary basis, subject to refund, in the event of a protest filed by a party other than the utilit</w:t>
      </w:r>
      <w:r w:rsidR="00197D67">
        <w:t>ies</w:t>
      </w:r>
      <w:r>
        <w:t>?</w:t>
      </w:r>
    </w:p>
    <w:p w14:paraId="7C8FB1EB" w14:textId="77777777" w:rsidR="008C76C8" w:rsidRPr="004C3641" w:rsidRDefault="008C76C8">
      <w:pPr>
        <w:pStyle w:val="IssueSubsectionHeading"/>
        <w:rPr>
          <w:vanish/>
          <w:specVanish/>
        </w:rPr>
      </w:pPr>
      <w:r w:rsidRPr="004C3641">
        <w:t>Recommendation: </w:t>
      </w:r>
    </w:p>
    <w:p w14:paraId="2FA99057" w14:textId="24E1E241" w:rsidR="008C76C8" w:rsidRDefault="008C76C8">
      <w:pPr>
        <w:pStyle w:val="BodyText"/>
      </w:pPr>
      <w:r>
        <w:t> </w:t>
      </w:r>
      <w:r w:rsidR="00C96506">
        <w:t xml:space="preserve">Yes. </w:t>
      </w:r>
      <w:r w:rsidR="00F87D3C">
        <w:t xml:space="preserve">The recommended rates </w:t>
      </w:r>
      <w:r w:rsidR="008F70C6">
        <w:t xml:space="preserve">should </w:t>
      </w:r>
      <w:r w:rsidR="00F87D3C">
        <w:t xml:space="preserve">be approved for the utilities on a temporary basis, subject to refund, in the event of a protest filed by a party other than the utilities. </w:t>
      </w:r>
      <w:r w:rsidR="00C96506">
        <w:t xml:space="preserve">Pursuant to Rule 25-30.457(9), F.A.C., in the event of a protest of the Proposed Agency Action (PAA) Order by a substantially affected person other than the </w:t>
      </w:r>
      <w:r w:rsidR="00197D67">
        <w:t>utilities</w:t>
      </w:r>
      <w:r w:rsidR="00C96506">
        <w:t xml:space="preserve">, the </w:t>
      </w:r>
      <w:r w:rsidR="00197D67">
        <w:t>utilities</w:t>
      </w:r>
      <w:r w:rsidR="00C96506">
        <w:t xml:space="preserve"> should be authorized to implement the rates established in the LARI PAA Order on a temporary basis subject to refund upon filing a SARC application within 21 days from the date the protest is filed. The </w:t>
      </w:r>
      <w:r w:rsidR="00197D67">
        <w:t>utilities</w:t>
      </w:r>
      <w:r w:rsidR="00C96506">
        <w:t xml:space="preserve"> should file revised tariff sheets and proposed customer notices to reflect the Commission-approved rates. The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incremental increase collected by the </w:t>
      </w:r>
      <w:r w:rsidR="00F82FAD">
        <w:t>u</w:t>
      </w:r>
      <w:r w:rsidR="00C96506">
        <w:t xml:space="preserve">tility will be subject to the refund provisions outlined in Rule 25-30.360, F.A.C. Pursuant to Rule 25-30.457(9), F.A.C., if the </w:t>
      </w:r>
      <w:r w:rsidR="00F82FAD">
        <w:t>u</w:t>
      </w:r>
      <w:r w:rsidR="00C96506">
        <w:t xml:space="preserve">tility fails to file a SARC application within 21 days in the event there is a protest, the application for a LARI will be deemed withdrawn. (Richards, </w:t>
      </w:r>
      <w:proofErr w:type="spellStart"/>
      <w:r w:rsidR="005F76D0">
        <w:t>Haddix</w:t>
      </w:r>
      <w:proofErr w:type="spellEnd"/>
      <w:r w:rsidR="00364A51">
        <w:t>)</w:t>
      </w:r>
      <w:r w:rsidR="00620ED1">
        <w:t xml:space="preserve"> </w:t>
      </w:r>
    </w:p>
    <w:p w14:paraId="171318C6" w14:textId="77777777" w:rsidR="008C76C8" w:rsidRPr="004C3641" w:rsidRDefault="008C76C8">
      <w:pPr>
        <w:pStyle w:val="IssueSubsectionHeading"/>
        <w:rPr>
          <w:vanish/>
          <w:specVanish/>
        </w:rPr>
      </w:pPr>
      <w:r w:rsidRPr="004C3641">
        <w:t>Staff Analysis: </w:t>
      </w:r>
    </w:p>
    <w:p w14:paraId="52AA1C20" w14:textId="2B0B4E48" w:rsidR="008C76C8" w:rsidRDefault="008C76C8" w:rsidP="00C96506">
      <w:pPr>
        <w:pStyle w:val="BodyText"/>
        <w:rPr>
          <w:vanish/>
          <w:specVanish/>
        </w:rPr>
      </w:pPr>
      <w:r>
        <w:t> </w:t>
      </w:r>
      <w:r w:rsidR="00C96506">
        <w:t xml:space="preserve">Through its recommendation, staff has proposed an increase in rates. A timely protest might delay what may be a justified rate increase resulting in an unrecoverable loss of revenue for the </w:t>
      </w:r>
      <w:r w:rsidR="00F82FAD">
        <w:t>u</w:t>
      </w:r>
      <w:r w:rsidR="00C96506">
        <w:t xml:space="preserve">tility. Therefore, pursuant to Rule 25-30.457(9), F.A.C., the </w:t>
      </w:r>
      <w:r w:rsidR="00F82FAD">
        <w:t>u</w:t>
      </w:r>
      <w:r w:rsidR="00E56907">
        <w:t>tilities</w:t>
      </w:r>
      <w:r w:rsidR="00C96506">
        <w:t xml:space="preserve"> should be authorized to implement the rates established in the LARI PAA Order on a temporary basis subject to refund upon filing a SARC application within 21 days from the date the protest is filed. </w:t>
      </w:r>
      <w:r w:rsidR="00F82FAD">
        <w:t>Each utility</w:t>
      </w:r>
      <w:r w:rsidR="00C96506">
        <w:t xml:space="preserve"> should file revised tariff sheets and a proposed customer notice to reflect the Commission-approved rates. The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incremental increase collected by the </w:t>
      </w:r>
      <w:r w:rsidR="00F82FAD">
        <w:t>u</w:t>
      </w:r>
      <w:r w:rsidR="00C96506">
        <w:t xml:space="preserve">tility will be subject to the refund provisions outlined in Rule 25-30.360, F.A.C. Pursuant to Rule 25-30.457(9), F.A.C., if the </w:t>
      </w:r>
      <w:r w:rsidR="00F82FAD">
        <w:t>u</w:t>
      </w:r>
      <w:r w:rsidR="00C96506">
        <w:t>tility fails to file a SARC application within 21 days in the event there is a protest, the application for a LARI will be deemed withdrawn.</w:t>
      </w:r>
      <w:r w:rsidRPr="004C3641">
        <w:br w:type="page"/>
      </w:r>
      <w:r w:rsidRPr="006D526D">
        <w:rPr>
          <w:rFonts w:ascii="Arial" w:hAnsi="Arial" w:cs="Arial"/>
          <w:b/>
          <w:bCs/>
          <w:i/>
          <w:kern w:val="32"/>
          <w:szCs w:val="32"/>
        </w:rPr>
        <w:lastRenderedPageBreak/>
        <w:t xml:space="preserve">Issue </w:t>
      </w:r>
      <w:r w:rsidR="00C96506" w:rsidRPr="006D526D">
        <w:rPr>
          <w:rFonts w:ascii="Arial" w:hAnsi="Arial" w:cs="Arial"/>
          <w:b/>
          <w:bCs/>
          <w:i/>
          <w:kern w:val="32"/>
          <w:szCs w:val="32"/>
        </w:rPr>
        <w:fldChar w:fldCharType="begin"/>
      </w:r>
      <w:r w:rsidR="00C96506" w:rsidRPr="006D526D">
        <w:rPr>
          <w:rFonts w:ascii="Arial" w:hAnsi="Arial" w:cs="Arial"/>
          <w:b/>
          <w:bCs/>
          <w:i/>
          <w:kern w:val="32"/>
          <w:szCs w:val="32"/>
        </w:rPr>
        <w:instrText xml:space="preserve"> SEQ Issue \* MERGEFORMAT </w:instrText>
      </w:r>
      <w:r w:rsidR="00C96506" w:rsidRPr="006D526D">
        <w:rPr>
          <w:rFonts w:ascii="Arial" w:hAnsi="Arial" w:cs="Arial"/>
          <w:b/>
          <w:bCs/>
          <w:i/>
          <w:kern w:val="32"/>
          <w:szCs w:val="32"/>
        </w:rPr>
        <w:fldChar w:fldCharType="separate"/>
      </w:r>
      <w:r w:rsidR="00BF29BF">
        <w:rPr>
          <w:rFonts w:ascii="Arial" w:hAnsi="Arial" w:cs="Arial"/>
          <w:b/>
          <w:bCs/>
          <w:i/>
          <w:noProof/>
          <w:kern w:val="32"/>
          <w:szCs w:val="32"/>
        </w:rPr>
        <w:t>4</w:t>
      </w:r>
      <w:r w:rsidR="00C96506" w:rsidRPr="006D526D">
        <w:rPr>
          <w:rFonts w:ascii="Arial" w:hAnsi="Arial" w:cs="Arial"/>
          <w:b/>
          <w:bCs/>
          <w:i/>
          <w:kern w:val="32"/>
          <w:szCs w:val="32"/>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F29BF">
        <w:rPr>
          <w:noProof/>
        </w:rPr>
        <w:instrText>4</w:instrText>
      </w:r>
      <w:r>
        <w:fldChar w:fldCharType="end"/>
      </w:r>
      <w:r>
        <w:tab/>
        <w:instrText xml:space="preserve">(Sparks)" \l 1 </w:instrText>
      </w:r>
      <w:r>
        <w:fldChar w:fldCharType="end"/>
      </w:r>
      <w:r>
        <w:t> </w:t>
      </w:r>
    </w:p>
    <w:p w14:paraId="6305DA4E" w14:textId="77777777" w:rsidR="008C76C8" w:rsidRDefault="008C76C8">
      <w:pPr>
        <w:pStyle w:val="BodyText"/>
      </w:pPr>
      <w:r>
        <w:t> Should this docket be closed?</w:t>
      </w:r>
    </w:p>
    <w:p w14:paraId="7294C4A4" w14:textId="77777777" w:rsidR="008C76C8" w:rsidRPr="004C3641" w:rsidRDefault="008C76C8">
      <w:pPr>
        <w:pStyle w:val="IssueSubsectionHeading"/>
        <w:rPr>
          <w:vanish/>
          <w:specVanish/>
        </w:rPr>
      </w:pPr>
      <w:r w:rsidRPr="004C3641">
        <w:t>Recommendation: </w:t>
      </w:r>
    </w:p>
    <w:p w14:paraId="5048AD68" w14:textId="54DF3E64" w:rsidR="008C76C8" w:rsidRDefault="008C76C8">
      <w:pPr>
        <w:pStyle w:val="BodyText"/>
      </w:pPr>
      <w:r>
        <w:t> </w:t>
      </w:r>
      <w:r w:rsidR="006A3AD4">
        <w:t>No. In the event of a protest, the utilities may implement the rates established in the PAA Order on a temporary basis, subject to refund with interest, upon the utility’s filing of a SARC application within 21 days of the date the protest is filed. If the utilities fail to file a SARC within 21 days, the utility’s petition for a LARI will be deemed withdrawn pursuant to Rule 25-30.457</w:t>
      </w:r>
      <w:r w:rsidR="006A3AD4" w:rsidRPr="00015C0B">
        <w:t>(9)</w:t>
      </w:r>
      <w:r w:rsidR="006A3AD4">
        <w:t>, F.A.C. If no person whose substantial interests are affected by the proposed agency action files a protest within 21 days of the issuance of the PAA Order, a Consummating Order should be issued. The docket should remain open for staff’s verification that the revised tariff sheets which reflect the Commission-approved rates, and the customer notice</w:t>
      </w:r>
      <w:r w:rsidR="00E56907">
        <w:t>s</w:t>
      </w:r>
      <w:r w:rsidR="006A3AD4">
        <w:t>, have been filed by the utilities and approved by staff, and so that staff may conduct an earnings review of the utilit</w:t>
      </w:r>
      <w:r w:rsidR="00E56907">
        <w:t>ies</w:t>
      </w:r>
      <w:r w:rsidR="006A3AD4">
        <w:t xml:space="preserve"> pursuant to Rule 25-30.457</w:t>
      </w:r>
      <w:r w:rsidR="006A3AD4" w:rsidRPr="00015C0B">
        <w:t>(8),</w:t>
      </w:r>
      <w:r w:rsidR="006A3AD4">
        <w:t xml:space="preserve"> F.A.C. Upon staff’s approval of the tariff and completion of the earnings review process as set forth in Rule 25-30.457</w:t>
      </w:r>
      <w:r w:rsidR="006A3AD4" w:rsidRPr="00015C0B">
        <w:t>(8</w:t>
      </w:r>
      <w:proofErr w:type="gramStart"/>
      <w:r w:rsidR="006A3AD4" w:rsidRPr="00015C0B">
        <w:t>)</w:t>
      </w:r>
      <w:r w:rsidR="006A3AD4">
        <w:t>(</w:t>
      </w:r>
      <w:proofErr w:type="gramEnd"/>
      <w:r w:rsidR="006A3AD4">
        <w:t>a), F.A.C., this docket should be closed administratively.</w:t>
      </w:r>
      <w:r>
        <w:t xml:space="preserve"> (Sparks)</w:t>
      </w:r>
    </w:p>
    <w:p w14:paraId="0F3142EE" w14:textId="77777777" w:rsidR="008C76C8" w:rsidRPr="004C3641" w:rsidRDefault="008C76C8">
      <w:pPr>
        <w:pStyle w:val="IssueSubsectionHeading"/>
        <w:rPr>
          <w:vanish/>
          <w:specVanish/>
        </w:rPr>
      </w:pPr>
      <w:r w:rsidRPr="004C3641">
        <w:t>Staff Analysis: </w:t>
      </w:r>
    </w:p>
    <w:p w14:paraId="63ACCD67" w14:textId="65776D74" w:rsidR="00564827" w:rsidRDefault="008C76C8">
      <w:pPr>
        <w:pStyle w:val="BodyText"/>
        <w:sectPr w:rsidR="00564827"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006A3AD4">
        <w:t>In the event of a protest, the utilities may implement the rates established in the PAA Order on a temporary basis, subject to refund with interest, upon the utility’s filing of a SARC application within 21 days of the date the protest is filed. If the utilities fail to file a SARC within 21 days, the utility’s petition for a LARI will be deemed withdrawn pursuant to Rule 25-30.457</w:t>
      </w:r>
      <w:r w:rsidR="006A3AD4" w:rsidRPr="00015C0B">
        <w:t>(9)</w:t>
      </w:r>
      <w:r w:rsidR="006A3AD4">
        <w:t>, F.A.C. If no person whose substantial interests are affected by the proposed agency action files a protest within 21 days of the issuance of the PAA Order, a Consummating Order should be issued. The docket should remain open for staff’s verification that the revised tariff sheets which reflect the Commission-approved rates, and the customer notice</w:t>
      </w:r>
      <w:r w:rsidR="00E56907">
        <w:t>s</w:t>
      </w:r>
      <w:r w:rsidR="006A3AD4">
        <w:t>, have been filed by the utilities and approved by staff, and so that staff may conduct an earnings review of the utility pursuant to Rule 25-30.457</w:t>
      </w:r>
      <w:r w:rsidR="006A3AD4" w:rsidRPr="00015C0B">
        <w:t>(8),</w:t>
      </w:r>
      <w:r w:rsidR="006A3AD4">
        <w:t xml:space="preserve"> F.A.C. Upon staff’s approval of the tariff and completion of the earnings review process as set forth in Rule 25-30.457</w:t>
      </w:r>
      <w:r w:rsidR="006A3AD4" w:rsidRPr="00015C0B">
        <w:t>(8</w:t>
      </w:r>
      <w:proofErr w:type="gramStart"/>
      <w:r w:rsidR="006A3AD4" w:rsidRPr="00015C0B">
        <w:t>)</w:t>
      </w:r>
      <w:r w:rsidR="006A3AD4">
        <w:t>(</w:t>
      </w:r>
      <w:proofErr w:type="gramEnd"/>
      <w:r w:rsidR="006A3AD4">
        <w:t>a), F.A.C., this docket should be closed administratively.</w:t>
      </w:r>
    </w:p>
    <w:p w14:paraId="437422E9" w14:textId="456E973D" w:rsidR="0021063C" w:rsidRDefault="00423C68">
      <w:pPr>
        <w:pStyle w:val="BodyText"/>
        <w:sectPr w:rsidR="0021063C" w:rsidSect="0068481F">
          <w:headerReference w:type="default" r:id="rId14"/>
          <w:pgSz w:w="12240" w:h="15840" w:code="1"/>
          <w:pgMar w:top="1584" w:right="1440" w:bottom="1440" w:left="1440" w:header="720" w:footer="720" w:gutter="0"/>
          <w:cols w:space="720"/>
          <w:formProt w:val="0"/>
          <w:docGrid w:linePitch="360"/>
        </w:sectPr>
      </w:pPr>
      <w:r w:rsidRPr="00423C68">
        <w:rPr>
          <w:noProof/>
        </w:rPr>
        <w:lastRenderedPageBreak/>
        <w:drawing>
          <wp:inline distT="0" distB="0" distL="0" distR="0" wp14:anchorId="677FCB54" wp14:editId="163C6106">
            <wp:extent cx="5943600" cy="46767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676703"/>
                    </a:xfrm>
                    <a:prstGeom prst="rect">
                      <a:avLst/>
                    </a:prstGeom>
                    <a:noFill/>
                    <a:ln>
                      <a:noFill/>
                    </a:ln>
                  </pic:spPr>
                </pic:pic>
              </a:graphicData>
            </a:graphic>
          </wp:inline>
        </w:drawing>
      </w:r>
    </w:p>
    <w:p w14:paraId="271EF380" w14:textId="08BEC1C2" w:rsidR="0021063C" w:rsidRDefault="00423C68">
      <w:pPr>
        <w:pStyle w:val="BodyText"/>
      </w:pPr>
      <w:r w:rsidRPr="00423C68">
        <w:rPr>
          <w:noProof/>
        </w:rPr>
        <w:lastRenderedPageBreak/>
        <w:drawing>
          <wp:inline distT="0" distB="0" distL="0" distR="0" wp14:anchorId="20262853" wp14:editId="7B536100">
            <wp:extent cx="5943600" cy="3955757"/>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955757"/>
                    </a:xfrm>
                    <a:prstGeom prst="rect">
                      <a:avLst/>
                    </a:prstGeom>
                    <a:noFill/>
                    <a:ln>
                      <a:noFill/>
                    </a:ln>
                  </pic:spPr>
                </pic:pic>
              </a:graphicData>
            </a:graphic>
          </wp:inline>
        </w:drawing>
      </w:r>
    </w:p>
    <w:p w14:paraId="0252772B" w14:textId="7452C346" w:rsidR="00152490" w:rsidRDefault="00152490">
      <w:pPr>
        <w:pStyle w:val="BodyText"/>
        <w:sectPr w:rsidR="00152490" w:rsidSect="0068481F">
          <w:headerReference w:type="default" r:id="rId17"/>
          <w:pgSz w:w="12240" w:h="15840" w:code="1"/>
          <w:pgMar w:top="1584" w:right="1440" w:bottom="1440" w:left="1440" w:header="720" w:footer="720" w:gutter="0"/>
          <w:cols w:space="720"/>
          <w:formProt w:val="0"/>
          <w:docGrid w:linePitch="360"/>
        </w:sectPr>
      </w:pPr>
    </w:p>
    <w:p w14:paraId="7B661684" w14:textId="1D828534" w:rsidR="0021063C" w:rsidRDefault="00423C68">
      <w:pPr>
        <w:pStyle w:val="BodyText"/>
      </w:pPr>
      <w:r w:rsidRPr="00423C68">
        <w:rPr>
          <w:noProof/>
        </w:rPr>
        <w:lastRenderedPageBreak/>
        <w:drawing>
          <wp:inline distT="0" distB="0" distL="0" distR="0" wp14:anchorId="0861310D" wp14:editId="54C01D2D">
            <wp:extent cx="5943600" cy="393127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931279"/>
                    </a:xfrm>
                    <a:prstGeom prst="rect">
                      <a:avLst/>
                    </a:prstGeom>
                    <a:noFill/>
                    <a:ln>
                      <a:noFill/>
                    </a:ln>
                  </pic:spPr>
                </pic:pic>
              </a:graphicData>
            </a:graphic>
          </wp:inline>
        </w:drawing>
      </w:r>
    </w:p>
    <w:p w14:paraId="0BA2E92A" w14:textId="309FA21E" w:rsidR="002E45CF" w:rsidRDefault="002E45CF">
      <w:pPr>
        <w:pStyle w:val="BodyText"/>
        <w:sectPr w:rsidR="002E45CF" w:rsidSect="0068481F">
          <w:headerReference w:type="default" r:id="rId19"/>
          <w:pgSz w:w="12240" w:h="15840" w:code="1"/>
          <w:pgMar w:top="1584" w:right="1440" w:bottom="1440" w:left="1440" w:header="720" w:footer="720" w:gutter="0"/>
          <w:cols w:space="720"/>
          <w:formProt w:val="0"/>
          <w:docGrid w:linePitch="360"/>
        </w:sectPr>
      </w:pPr>
    </w:p>
    <w:p w14:paraId="173489B2" w14:textId="01AD3290" w:rsidR="00E338AF" w:rsidRDefault="00113286">
      <w:pPr>
        <w:pStyle w:val="BodyText"/>
        <w:sectPr w:rsidR="00E338AF" w:rsidSect="0068481F">
          <w:headerReference w:type="default" r:id="rId20"/>
          <w:pgSz w:w="12240" w:h="15840" w:code="1"/>
          <w:pgMar w:top="1584" w:right="1440" w:bottom="1440" w:left="1440" w:header="720" w:footer="720" w:gutter="0"/>
          <w:cols w:space="720"/>
          <w:formProt w:val="0"/>
          <w:docGrid w:linePitch="360"/>
        </w:sectPr>
      </w:pPr>
      <w:r w:rsidRPr="00113286">
        <w:rPr>
          <w:noProof/>
        </w:rPr>
        <w:lastRenderedPageBreak/>
        <w:drawing>
          <wp:inline distT="0" distB="0" distL="0" distR="0" wp14:anchorId="26AE464B" wp14:editId="3748FDF8">
            <wp:extent cx="5943600" cy="40266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026606"/>
                    </a:xfrm>
                    <a:prstGeom prst="rect">
                      <a:avLst/>
                    </a:prstGeom>
                    <a:noFill/>
                    <a:ln>
                      <a:noFill/>
                    </a:ln>
                  </pic:spPr>
                </pic:pic>
              </a:graphicData>
            </a:graphic>
          </wp:inline>
        </w:drawing>
      </w:r>
    </w:p>
    <w:p w14:paraId="4F212E59" w14:textId="38C024C0" w:rsidR="002E45CF" w:rsidRDefault="00423C68">
      <w:pPr>
        <w:pStyle w:val="BodyText"/>
      </w:pPr>
      <w:r w:rsidRPr="00423C68">
        <w:rPr>
          <w:noProof/>
        </w:rPr>
        <w:lastRenderedPageBreak/>
        <w:drawing>
          <wp:inline distT="0" distB="0" distL="0" distR="0" wp14:anchorId="43078B24" wp14:editId="663B6A53">
            <wp:extent cx="5943600" cy="38162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3816260"/>
                    </a:xfrm>
                    <a:prstGeom prst="rect">
                      <a:avLst/>
                    </a:prstGeom>
                    <a:noFill/>
                    <a:ln>
                      <a:noFill/>
                    </a:ln>
                  </pic:spPr>
                </pic:pic>
              </a:graphicData>
            </a:graphic>
          </wp:inline>
        </w:drawing>
      </w:r>
    </w:p>
    <w:p w14:paraId="5BB79D8C" w14:textId="58479912" w:rsidR="005F164E" w:rsidRDefault="005F164E">
      <w:pPr>
        <w:pStyle w:val="BodyText"/>
        <w:sectPr w:rsidR="005F164E" w:rsidSect="0068481F">
          <w:headerReference w:type="default" r:id="rId23"/>
          <w:pgSz w:w="12240" w:h="15840" w:code="1"/>
          <w:pgMar w:top="1584" w:right="1440" w:bottom="1440" w:left="1440" w:header="720" w:footer="720" w:gutter="0"/>
          <w:cols w:space="720"/>
          <w:formProt w:val="0"/>
          <w:docGrid w:linePitch="360"/>
        </w:sectPr>
      </w:pPr>
    </w:p>
    <w:p w14:paraId="3745917B" w14:textId="48382DFB" w:rsidR="005F164E" w:rsidRDefault="005F164E">
      <w:pPr>
        <w:pStyle w:val="BodyText"/>
      </w:pPr>
    </w:p>
    <w:p w14:paraId="53FB6174" w14:textId="48C8E945" w:rsidR="005F164E" w:rsidRDefault="00423C68" w:rsidP="005F164E">
      <w:pPr>
        <w:sectPr w:rsidR="005F164E" w:rsidSect="0068481F">
          <w:headerReference w:type="default" r:id="rId24"/>
          <w:pgSz w:w="12240" w:h="15840" w:code="1"/>
          <w:pgMar w:top="1584" w:right="1440" w:bottom="1440" w:left="1440" w:header="720" w:footer="720" w:gutter="0"/>
          <w:cols w:space="720"/>
          <w:formProt w:val="0"/>
          <w:docGrid w:linePitch="360"/>
        </w:sectPr>
      </w:pPr>
      <w:r w:rsidRPr="00423C68">
        <w:rPr>
          <w:noProof/>
        </w:rPr>
        <w:drawing>
          <wp:inline distT="0" distB="0" distL="0" distR="0" wp14:anchorId="2CD7797B" wp14:editId="6B384F32">
            <wp:extent cx="5943600" cy="3769840"/>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3769840"/>
                    </a:xfrm>
                    <a:prstGeom prst="rect">
                      <a:avLst/>
                    </a:prstGeom>
                    <a:noFill/>
                    <a:ln>
                      <a:noFill/>
                    </a:ln>
                  </pic:spPr>
                </pic:pic>
              </a:graphicData>
            </a:graphic>
          </wp:inline>
        </w:drawing>
      </w:r>
    </w:p>
    <w:p w14:paraId="7E7D4F26" w14:textId="326AC612" w:rsidR="00DA63D9" w:rsidRDefault="00DA63D9" w:rsidP="005F164E"/>
    <w:p w14:paraId="2E387A19" w14:textId="76E8ADD0" w:rsidR="005F164E" w:rsidRDefault="00BF29BF" w:rsidP="005F164E">
      <w:pPr>
        <w:sectPr w:rsidR="005F164E" w:rsidSect="0068481F">
          <w:headerReference w:type="default" r:id="rId26"/>
          <w:pgSz w:w="12240" w:h="15840" w:code="1"/>
          <w:pgMar w:top="1584" w:right="1440" w:bottom="1440" w:left="1440" w:header="720" w:footer="720" w:gutter="0"/>
          <w:cols w:space="720"/>
          <w:formProt w:val="0"/>
          <w:docGrid w:linePitch="360"/>
        </w:sectPr>
      </w:pPr>
      <w:r w:rsidRPr="00BF29BF">
        <w:rPr>
          <w:noProof/>
        </w:rPr>
        <w:drawing>
          <wp:inline distT="0" distB="0" distL="0" distR="0" wp14:anchorId="71A5CB07" wp14:editId="0A8C7BCD">
            <wp:extent cx="5943600" cy="3960841"/>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960841"/>
                    </a:xfrm>
                    <a:prstGeom prst="rect">
                      <a:avLst/>
                    </a:prstGeom>
                    <a:noFill/>
                    <a:ln>
                      <a:noFill/>
                    </a:ln>
                  </pic:spPr>
                </pic:pic>
              </a:graphicData>
            </a:graphic>
          </wp:inline>
        </w:drawing>
      </w:r>
    </w:p>
    <w:p w14:paraId="74A3984F" w14:textId="0B049A37" w:rsidR="005F164E" w:rsidRDefault="005F164E" w:rsidP="005F164E"/>
    <w:p w14:paraId="4A9CE88D" w14:textId="4C9E12E7" w:rsidR="00D71D94" w:rsidRDefault="00423C68" w:rsidP="005F164E">
      <w:r w:rsidRPr="00423C68">
        <w:rPr>
          <w:noProof/>
        </w:rPr>
        <w:drawing>
          <wp:inline distT="0" distB="0" distL="0" distR="0" wp14:anchorId="11453DEB" wp14:editId="60F80839">
            <wp:extent cx="5943600" cy="387442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3874422"/>
                    </a:xfrm>
                    <a:prstGeom prst="rect">
                      <a:avLst/>
                    </a:prstGeom>
                    <a:noFill/>
                    <a:ln>
                      <a:noFill/>
                    </a:ln>
                  </pic:spPr>
                </pic:pic>
              </a:graphicData>
            </a:graphic>
          </wp:inline>
        </w:drawing>
      </w:r>
    </w:p>
    <w:p w14:paraId="1602B28D" w14:textId="4CD0944B" w:rsidR="005F164E" w:rsidRDefault="005F164E" w:rsidP="005F164E">
      <w:pPr>
        <w:sectPr w:rsidR="005F164E" w:rsidSect="0068481F">
          <w:headerReference w:type="default" r:id="rId29"/>
          <w:pgSz w:w="12240" w:h="15840" w:code="1"/>
          <w:pgMar w:top="1584" w:right="1440" w:bottom="1440" w:left="1440" w:header="720" w:footer="720" w:gutter="0"/>
          <w:cols w:space="720"/>
          <w:formProt w:val="0"/>
          <w:docGrid w:linePitch="360"/>
        </w:sectPr>
      </w:pPr>
    </w:p>
    <w:p w14:paraId="5DE2790D" w14:textId="699671BD" w:rsidR="005F164E" w:rsidRDefault="005F164E" w:rsidP="005F164E"/>
    <w:p w14:paraId="18D2F0FC" w14:textId="74451E20" w:rsidR="005F164E" w:rsidRDefault="00423C68" w:rsidP="005F164E">
      <w:pPr>
        <w:sectPr w:rsidR="005F164E" w:rsidSect="0068481F">
          <w:headerReference w:type="default" r:id="rId30"/>
          <w:pgSz w:w="12240" w:h="15840" w:code="1"/>
          <w:pgMar w:top="1584" w:right="1440" w:bottom="1440" w:left="1440" w:header="720" w:footer="720" w:gutter="0"/>
          <w:cols w:space="720"/>
          <w:formProt w:val="0"/>
          <w:docGrid w:linePitch="360"/>
        </w:sectPr>
      </w:pPr>
      <w:r w:rsidRPr="00423C68">
        <w:rPr>
          <w:noProof/>
        </w:rPr>
        <w:drawing>
          <wp:inline distT="0" distB="0" distL="0" distR="0" wp14:anchorId="7E6C86E4" wp14:editId="51F12001">
            <wp:extent cx="5943600" cy="415812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4158129"/>
                    </a:xfrm>
                    <a:prstGeom prst="rect">
                      <a:avLst/>
                    </a:prstGeom>
                    <a:noFill/>
                    <a:ln>
                      <a:noFill/>
                    </a:ln>
                  </pic:spPr>
                </pic:pic>
              </a:graphicData>
            </a:graphic>
          </wp:inline>
        </w:drawing>
      </w:r>
    </w:p>
    <w:p w14:paraId="16CE37F0" w14:textId="77777777" w:rsidR="00D71D94" w:rsidRDefault="00D71D94" w:rsidP="005F164E"/>
    <w:p w14:paraId="4E191864" w14:textId="446C334A" w:rsidR="009E43A3" w:rsidRDefault="00423C68" w:rsidP="005F164E">
      <w:r w:rsidRPr="00423C68">
        <w:rPr>
          <w:noProof/>
        </w:rPr>
        <w:drawing>
          <wp:inline distT="0" distB="0" distL="0" distR="0" wp14:anchorId="036C7B63" wp14:editId="69CAAA65">
            <wp:extent cx="5943600" cy="4258569"/>
            <wp:effectExtent l="0" t="0" r="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4258569"/>
                    </a:xfrm>
                    <a:prstGeom prst="rect">
                      <a:avLst/>
                    </a:prstGeom>
                    <a:noFill/>
                    <a:ln>
                      <a:noFill/>
                    </a:ln>
                  </pic:spPr>
                </pic:pic>
              </a:graphicData>
            </a:graphic>
          </wp:inline>
        </w:drawing>
      </w:r>
    </w:p>
    <w:p w14:paraId="191DD9C3" w14:textId="77777777" w:rsidR="00F65586" w:rsidRDefault="00F65586" w:rsidP="005F164E">
      <w:pPr>
        <w:sectPr w:rsidR="00F65586" w:rsidSect="0068481F">
          <w:headerReference w:type="default" r:id="rId33"/>
          <w:pgSz w:w="12240" w:h="15840" w:code="1"/>
          <w:pgMar w:top="1584" w:right="1440" w:bottom="1440" w:left="1440" w:header="720" w:footer="720" w:gutter="0"/>
          <w:cols w:space="720"/>
          <w:formProt w:val="0"/>
          <w:docGrid w:linePitch="360"/>
        </w:sectPr>
      </w:pPr>
    </w:p>
    <w:p w14:paraId="60EF8C96" w14:textId="651914F9" w:rsidR="00F65586" w:rsidRDefault="00F65586" w:rsidP="005F164E"/>
    <w:p w14:paraId="0E4680A8" w14:textId="673D15E4" w:rsidR="00F65586" w:rsidRDefault="0010226E" w:rsidP="00F65586">
      <w:r w:rsidRPr="0010226E">
        <w:rPr>
          <w:noProof/>
        </w:rPr>
        <w:drawing>
          <wp:inline distT="0" distB="0" distL="0" distR="0" wp14:anchorId="59D50CCA" wp14:editId="7CB9C7E2">
            <wp:extent cx="5943600" cy="3231951"/>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0" cy="3231951"/>
                    </a:xfrm>
                    <a:prstGeom prst="rect">
                      <a:avLst/>
                    </a:prstGeom>
                    <a:noFill/>
                    <a:ln>
                      <a:noFill/>
                    </a:ln>
                  </pic:spPr>
                </pic:pic>
              </a:graphicData>
            </a:graphic>
          </wp:inline>
        </w:drawing>
      </w:r>
    </w:p>
    <w:p w14:paraId="55C34467" w14:textId="4C09A16C" w:rsidR="00F65586" w:rsidRPr="00F65586" w:rsidRDefault="00F65586" w:rsidP="00F65586">
      <w:pPr>
        <w:tabs>
          <w:tab w:val="left" w:pos="830"/>
        </w:tabs>
        <w:sectPr w:rsidR="00F65586" w:rsidRPr="00F65586" w:rsidSect="0068481F">
          <w:headerReference w:type="default" r:id="rId35"/>
          <w:pgSz w:w="12240" w:h="15840" w:code="1"/>
          <w:pgMar w:top="1584" w:right="1440" w:bottom="1440" w:left="1440" w:header="720" w:footer="720" w:gutter="0"/>
          <w:cols w:space="720"/>
          <w:formProt w:val="0"/>
          <w:docGrid w:linePitch="360"/>
        </w:sectPr>
      </w:pPr>
      <w:r>
        <w:tab/>
      </w:r>
    </w:p>
    <w:p w14:paraId="06B9A543" w14:textId="2E92076D" w:rsidR="005F164E" w:rsidRDefault="005F164E" w:rsidP="005F164E"/>
    <w:p w14:paraId="4D604456" w14:textId="54F867A7" w:rsidR="00D71D94" w:rsidRDefault="00BF29BF" w:rsidP="005F164E">
      <w:r w:rsidRPr="00BF29BF">
        <w:rPr>
          <w:noProof/>
        </w:rPr>
        <w:drawing>
          <wp:inline distT="0" distB="0" distL="0" distR="0" wp14:anchorId="60868ADC" wp14:editId="4C75993E">
            <wp:extent cx="5943600" cy="49617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4961798"/>
                    </a:xfrm>
                    <a:prstGeom prst="rect">
                      <a:avLst/>
                    </a:prstGeom>
                    <a:noFill/>
                    <a:ln>
                      <a:noFill/>
                    </a:ln>
                  </pic:spPr>
                </pic:pic>
              </a:graphicData>
            </a:graphic>
          </wp:inline>
        </w:drawing>
      </w:r>
    </w:p>
    <w:p w14:paraId="4B47C423" w14:textId="77777777" w:rsidR="00706992" w:rsidRDefault="00706992" w:rsidP="005F164E">
      <w:pPr>
        <w:sectPr w:rsidR="00706992" w:rsidSect="0068481F">
          <w:headerReference w:type="default" r:id="rId37"/>
          <w:pgSz w:w="12240" w:h="15840" w:code="1"/>
          <w:pgMar w:top="1584" w:right="1440" w:bottom="1440" w:left="1440" w:header="720" w:footer="720" w:gutter="0"/>
          <w:cols w:space="720"/>
          <w:formProt w:val="0"/>
          <w:docGrid w:linePitch="360"/>
        </w:sectPr>
      </w:pPr>
    </w:p>
    <w:p w14:paraId="64AA3A36" w14:textId="253FFF0A" w:rsidR="001B6EEF" w:rsidRDefault="001B6EEF" w:rsidP="00706992"/>
    <w:p w14:paraId="2327ED7D" w14:textId="4A439AA9" w:rsidR="00706992" w:rsidRDefault="0010226E" w:rsidP="00706992">
      <w:r w:rsidRPr="0010226E">
        <w:rPr>
          <w:noProof/>
        </w:rPr>
        <w:drawing>
          <wp:inline distT="0" distB="0" distL="0" distR="0" wp14:anchorId="4353F788" wp14:editId="339DDD0C">
            <wp:extent cx="5943600" cy="36963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3696310"/>
                    </a:xfrm>
                    <a:prstGeom prst="rect">
                      <a:avLst/>
                    </a:prstGeom>
                    <a:noFill/>
                    <a:ln>
                      <a:noFill/>
                    </a:ln>
                  </pic:spPr>
                </pic:pic>
              </a:graphicData>
            </a:graphic>
          </wp:inline>
        </w:drawing>
      </w:r>
    </w:p>
    <w:p w14:paraId="4B91E170" w14:textId="77777777" w:rsidR="00706992" w:rsidRPr="00706992" w:rsidRDefault="00706992" w:rsidP="00706992">
      <w:pPr>
        <w:sectPr w:rsidR="00706992" w:rsidRPr="00706992" w:rsidSect="0068481F">
          <w:headerReference w:type="default" r:id="rId39"/>
          <w:pgSz w:w="12240" w:h="15840" w:code="1"/>
          <w:pgMar w:top="1584" w:right="1440" w:bottom="1440" w:left="1440" w:header="720" w:footer="720" w:gutter="0"/>
          <w:cols w:space="720"/>
          <w:formProt w:val="0"/>
          <w:docGrid w:linePitch="360"/>
        </w:sectPr>
      </w:pPr>
    </w:p>
    <w:p w14:paraId="7B1E27E1" w14:textId="090E7E17" w:rsidR="00DA63D9" w:rsidRDefault="00DA63D9">
      <w:pPr>
        <w:pStyle w:val="BodyText"/>
      </w:pPr>
    </w:p>
    <w:p w14:paraId="44A5B170" w14:textId="02ACAABE" w:rsidR="001B6EEF" w:rsidRDefault="00BF29BF" w:rsidP="001B6EEF">
      <w:pPr>
        <w:pStyle w:val="BodyText"/>
        <w:jc w:val="center"/>
      </w:pPr>
      <w:r w:rsidRPr="00BF29BF">
        <w:rPr>
          <w:noProof/>
        </w:rPr>
        <w:drawing>
          <wp:inline distT="0" distB="0" distL="0" distR="0" wp14:anchorId="31E846C9" wp14:editId="448A5E0F">
            <wp:extent cx="5943600" cy="491379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4913794"/>
                    </a:xfrm>
                    <a:prstGeom prst="rect">
                      <a:avLst/>
                    </a:prstGeom>
                    <a:noFill/>
                    <a:ln>
                      <a:noFill/>
                    </a:ln>
                  </pic:spPr>
                </pic:pic>
              </a:graphicData>
            </a:graphic>
          </wp:inline>
        </w:drawing>
      </w:r>
    </w:p>
    <w:sectPr w:rsidR="001B6EEF" w:rsidSect="0068481F">
      <w:headerReference w:type="default" r:id="rId4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70904" w14:textId="77777777" w:rsidR="00BF29BF" w:rsidRDefault="00BF29BF">
      <w:r>
        <w:separator/>
      </w:r>
    </w:p>
  </w:endnote>
  <w:endnote w:type="continuationSeparator" w:id="0">
    <w:p w14:paraId="6C2E3397" w14:textId="77777777" w:rsidR="00BF29BF" w:rsidRDefault="00BF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649F2" w14:textId="2786E79E" w:rsidR="00BF29BF" w:rsidRDefault="00BF29B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12AE5">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7B47" w14:textId="77777777"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85ACD" w14:textId="77777777" w:rsidR="00BF29BF" w:rsidRDefault="00BF29BF">
      <w:r>
        <w:separator/>
      </w:r>
    </w:p>
  </w:footnote>
  <w:footnote w:type="continuationSeparator" w:id="0">
    <w:p w14:paraId="56305C57" w14:textId="77777777" w:rsidR="00BF29BF" w:rsidRDefault="00BF29BF">
      <w:r>
        <w:continuationSeparator/>
      </w:r>
    </w:p>
  </w:footnote>
  <w:footnote w:id="1">
    <w:p w14:paraId="690A65CF" w14:textId="1293F9F1" w:rsidR="00BF29BF" w:rsidRDefault="00BF29BF">
      <w:pPr>
        <w:pStyle w:val="FootnoteText"/>
      </w:pPr>
      <w:r>
        <w:rPr>
          <w:rStyle w:val="FootnoteReference"/>
        </w:rPr>
        <w:footnoteRef/>
      </w:r>
      <w:r>
        <w:t xml:space="preserve"> Order No. PSC-2023-0064-PAA-WS, issued January 30, 2023, in the instant docket.</w:t>
      </w:r>
    </w:p>
  </w:footnote>
  <w:footnote w:id="2">
    <w:p w14:paraId="42AB87C2" w14:textId="4CF487D7" w:rsidR="00BF29BF" w:rsidRDefault="00BF29BF">
      <w:pPr>
        <w:pStyle w:val="FootnoteText"/>
      </w:pPr>
      <w:r>
        <w:rPr>
          <w:rStyle w:val="FootnoteReference"/>
        </w:rPr>
        <w:footnoteRef/>
      </w:r>
      <w:r>
        <w:t xml:space="preserve"> Document No. 03079-2023, filed on May 4, 2023.</w:t>
      </w:r>
    </w:p>
  </w:footnote>
  <w:footnote w:id="3">
    <w:p w14:paraId="3A99BECE" w14:textId="77777777" w:rsidR="00BF29BF" w:rsidRDefault="00BF29BF" w:rsidP="000D301C">
      <w:pPr>
        <w:pStyle w:val="FootnoteText"/>
      </w:pPr>
      <w:r>
        <w:rPr>
          <w:rStyle w:val="FootnoteReference"/>
        </w:rPr>
        <w:footnoteRef/>
      </w:r>
      <w:r>
        <w:t xml:space="preserve"> Order No. PSC-2016-0126-PAA-WU, issued March 28, 2016, in Docket 20140220-WU, </w:t>
      </w:r>
      <w:r w:rsidRPr="008B24F9">
        <w:rPr>
          <w:i/>
        </w:rPr>
        <w:t>In re: Application for staff-assisted rate case in Polk County by Sunrise Utilities, L.L.C.</w:t>
      </w:r>
    </w:p>
  </w:footnote>
  <w:footnote w:id="4">
    <w:p w14:paraId="3739AE1E" w14:textId="77777777" w:rsidR="00BF29BF" w:rsidRDefault="00BF29BF" w:rsidP="000D301C">
      <w:pPr>
        <w:pStyle w:val="FootnoteText"/>
      </w:pPr>
      <w:r>
        <w:rPr>
          <w:rStyle w:val="FootnoteReference"/>
        </w:rPr>
        <w:footnoteRef/>
      </w:r>
      <w:r>
        <w:t xml:space="preserve"> Order No. PSC-2019-0303-PAA-WU, issued July 29, 2019, in Docket No. 20180174-WU, </w:t>
      </w:r>
      <w:r w:rsidRPr="008B24F9">
        <w:rPr>
          <w:i/>
        </w:rPr>
        <w:t>In re: Application to transfer facilities and Certificate No. 627-W in Polk County from Sunrise Utilities, LLC to Sunrise Water, LLC.</w:t>
      </w:r>
    </w:p>
  </w:footnote>
  <w:footnote w:id="5">
    <w:p w14:paraId="3AD9811A" w14:textId="07DB58BB" w:rsidR="00BF29BF" w:rsidRDefault="00BF29BF" w:rsidP="000D301C">
      <w:pPr>
        <w:pStyle w:val="FootnoteText"/>
      </w:pPr>
      <w:r>
        <w:rPr>
          <w:rStyle w:val="FootnoteReference"/>
        </w:rPr>
        <w:footnoteRef/>
      </w:r>
      <w:r>
        <w:t xml:space="preserve"> </w:t>
      </w:r>
      <w:r w:rsidRPr="004F753F">
        <w:t>Section 367.0812, F.S., states, in part, “In fixing rates that are just, reasonable, compensatory, and not unfairly discriminatory, the commission shall consider the extent to which the utility provides water service that meets secondary water quality standards as established by the [DEP].”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DB2B" w14:textId="77777777" w:rsidR="00BF29BF" w:rsidRDefault="00BF29BF" w:rsidP="00220732">
    <w:pPr>
      <w:pStyle w:val="Header"/>
      <w:tabs>
        <w:tab w:val="clear" w:pos="4320"/>
        <w:tab w:val="clear" w:pos="8640"/>
        <w:tab w:val="right" w:pos="9360"/>
      </w:tabs>
    </w:pPr>
    <w:bookmarkStart w:id="12" w:name="DocketLabel"/>
    <w:r>
      <w:t>Docket No.</w:t>
    </w:r>
    <w:bookmarkEnd w:id="12"/>
    <w:r>
      <w:t xml:space="preserve"> </w:t>
    </w:r>
    <w:bookmarkStart w:id="13" w:name="DocketList"/>
    <w:r>
      <w:t>20220185-WS</w:t>
    </w:r>
    <w:bookmarkEnd w:id="13"/>
  </w:p>
  <w:p w14:paraId="289CDE49" w14:textId="10547BA2" w:rsidR="00BF29BF" w:rsidRDefault="00BF29BF">
    <w:pPr>
      <w:pStyle w:val="Header"/>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80D69" w14:textId="4115CBE6"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3D774E89" w14:textId="0957D7D3"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7 of 14</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EAD5" w14:textId="60509497"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5EFCC9FD" w14:textId="4DDD7007"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8 of 14</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0D833" w14:textId="67E4FA21"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1B02E609" w14:textId="36A274DA"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9 of 14</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C6DBB" w14:textId="008E0189"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724A78EB" w14:textId="7EE21486"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10 of 14</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1E62D" w14:textId="4D60812D"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3A58425C" w14:textId="2D2DB895"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11 of 14</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02A4F" w14:textId="61AED70C"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76941381" w14:textId="35675251"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12 of 14</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D560" w14:textId="5F73C15D"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4C1E6D89" w14:textId="5780E7F8"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13 of 14</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E8D51" w14:textId="3B2AE0AC"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16F04687" w14:textId="7FF56290"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14 of 14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0ADA" w14:textId="244416CC"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 xml:space="preserve">Issue </w:t>
    </w:r>
    <w:r w:rsidR="0065153C">
      <w:fldChar w:fldCharType="begin"/>
    </w:r>
    <w:r w:rsidR="0065153C">
      <w:instrText xml:space="preserve"> Seq Issue \</w:instrText>
    </w:r>
    <w:r w:rsidR="0065153C">
      <w:instrText xml:space="preserve">c \* Arabic </w:instrText>
    </w:r>
    <w:r w:rsidR="0065153C">
      <w:fldChar w:fldCharType="separate"/>
    </w:r>
    <w:r w:rsidR="00712AE5">
      <w:rPr>
        <w:noProof/>
      </w:rPr>
      <w:t>4</w:t>
    </w:r>
    <w:r w:rsidR="0065153C">
      <w:rPr>
        <w:noProof/>
      </w:rPr>
      <w:fldChar w:fldCharType="end"/>
    </w:r>
  </w:p>
  <w:p w14:paraId="059430A1" w14:textId="7B90DEA1" w:rsidR="00BF29BF" w:rsidRDefault="00BF29BF">
    <w:pPr>
      <w:pStyle w:val="Header"/>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4C9F3" w14:textId="77777777" w:rsidR="00BF29BF" w:rsidRDefault="00BF29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3A332" w14:textId="70A89700"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57D8B344" w14:textId="7F6A4309"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1 of 14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DFAB3" w14:textId="3315BDE5"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7EE75FEB" w14:textId="6E7FD52C"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2 of 14</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C4E26" w14:textId="286FFB48"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786EC4B8" w14:textId="6E5CDB76"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3 of 14</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51EAB" w14:textId="5D52F5F1"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497677DD" w14:textId="651EABEE"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4 of 14</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ACFCC" w14:textId="357810CF"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3AF29FC6" w14:textId="16BEBAC8"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5 of 14</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3CFB" w14:textId="4398A1C6" w:rsidR="00BF29BF" w:rsidRDefault="00BF29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14:paraId="423E3CE1" w14:textId="4CBA30B1" w:rsidR="00BF29BF" w:rsidRDefault="00BF29BF" w:rsidP="0021063C">
    <w:pPr>
      <w:pStyle w:val="Header"/>
      <w:tabs>
        <w:tab w:val="clear" w:pos="4320"/>
        <w:tab w:val="clear" w:pos="8640"/>
        <w:tab w:val="right" w:pos="9360"/>
      </w:tabs>
    </w:pPr>
    <w:r>
      <w:t xml:space="preserve">Date: </w:t>
    </w:r>
    <w:r w:rsidR="0065153C">
      <w:fldChar w:fldCharType="begin"/>
    </w:r>
    <w:r w:rsidR="0065153C">
      <w:instrText xml:space="preserve"> REF FilingDate </w:instrText>
    </w:r>
    <w:r w:rsidR="0065153C">
      <w:fldChar w:fldCharType="separate"/>
    </w:r>
    <w:r>
      <w:t>June 1, 2023</w:t>
    </w:r>
    <w:r w:rsidR="0065153C">
      <w:fldChar w:fldCharType="end"/>
    </w:r>
    <w:r>
      <w:tab/>
      <w:t>Page 6 of 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472FE"/>
    <w:rsid w:val="000043D5"/>
    <w:rsid w:val="00006170"/>
    <w:rsid w:val="00010E37"/>
    <w:rsid w:val="000172DA"/>
    <w:rsid w:val="00022337"/>
    <w:rsid w:val="00023A0E"/>
    <w:rsid w:val="000247C5"/>
    <w:rsid w:val="000277C2"/>
    <w:rsid w:val="00035B48"/>
    <w:rsid w:val="00036CE2"/>
    <w:rsid w:val="0004011B"/>
    <w:rsid w:val="00042C2D"/>
    <w:rsid w:val="000437FE"/>
    <w:rsid w:val="000513BE"/>
    <w:rsid w:val="00051573"/>
    <w:rsid w:val="00051DA5"/>
    <w:rsid w:val="0005451B"/>
    <w:rsid w:val="00057979"/>
    <w:rsid w:val="000648BB"/>
    <w:rsid w:val="00065A06"/>
    <w:rsid w:val="000666F3"/>
    <w:rsid w:val="00070DCB"/>
    <w:rsid w:val="00072CCA"/>
    <w:rsid w:val="00073120"/>
    <w:rsid w:val="000764D0"/>
    <w:rsid w:val="000828D3"/>
    <w:rsid w:val="00084366"/>
    <w:rsid w:val="00085A5F"/>
    <w:rsid w:val="000A066B"/>
    <w:rsid w:val="000A2B57"/>
    <w:rsid w:val="000A3F36"/>
    <w:rsid w:val="000A418B"/>
    <w:rsid w:val="000B0ACE"/>
    <w:rsid w:val="000C4431"/>
    <w:rsid w:val="000C6607"/>
    <w:rsid w:val="000D1C06"/>
    <w:rsid w:val="000D301C"/>
    <w:rsid w:val="000D3043"/>
    <w:rsid w:val="000D3BDB"/>
    <w:rsid w:val="000D4319"/>
    <w:rsid w:val="000D797F"/>
    <w:rsid w:val="000E24FA"/>
    <w:rsid w:val="000E338A"/>
    <w:rsid w:val="000E4392"/>
    <w:rsid w:val="000E6C52"/>
    <w:rsid w:val="000F374A"/>
    <w:rsid w:val="000F4DAF"/>
    <w:rsid w:val="000F5D13"/>
    <w:rsid w:val="001014E1"/>
    <w:rsid w:val="0010226E"/>
    <w:rsid w:val="00105BA1"/>
    <w:rsid w:val="001076AF"/>
    <w:rsid w:val="00107967"/>
    <w:rsid w:val="001109F6"/>
    <w:rsid w:val="00110B0A"/>
    <w:rsid w:val="00113286"/>
    <w:rsid w:val="00116C6B"/>
    <w:rsid w:val="00117C8C"/>
    <w:rsid w:val="00122DF4"/>
    <w:rsid w:val="001239F0"/>
    <w:rsid w:val="00124802"/>
    <w:rsid w:val="00124C38"/>
    <w:rsid w:val="00124E2E"/>
    <w:rsid w:val="00125ED4"/>
    <w:rsid w:val="00130293"/>
    <w:rsid w:val="001303BF"/>
    <w:rsid w:val="001305E9"/>
    <w:rsid w:val="001307AF"/>
    <w:rsid w:val="00132613"/>
    <w:rsid w:val="0013347E"/>
    <w:rsid w:val="00135687"/>
    <w:rsid w:val="00136BD1"/>
    <w:rsid w:val="00143524"/>
    <w:rsid w:val="00146B5D"/>
    <w:rsid w:val="00150ECE"/>
    <w:rsid w:val="00152490"/>
    <w:rsid w:val="0015506E"/>
    <w:rsid w:val="00155B0B"/>
    <w:rsid w:val="00163031"/>
    <w:rsid w:val="001654C4"/>
    <w:rsid w:val="00171A90"/>
    <w:rsid w:val="001736AD"/>
    <w:rsid w:val="00180254"/>
    <w:rsid w:val="00182DCB"/>
    <w:rsid w:val="00191E1F"/>
    <w:rsid w:val="00191EE8"/>
    <w:rsid w:val="00192943"/>
    <w:rsid w:val="00193BAF"/>
    <w:rsid w:val="00194791"/>
    <w:rsid w:val="00197D67"/>
    <w:rsid w:val="001A7406"/>
    <w:rsid w:val="001A7AE4"/>
    <w:rsid w:val="001B1EDC"/>
    <w:rsid w:val="001B4053"/>
    <w:rsid w:val="001B4FEE"/>
    <w:rsid w:val="001B51C5"/>
    <w:rsid w:val="001B672A"/>
    <w:rsid w:val="001B6EEF"/>
    <w:rsid w:val="001B6F3F"/>
    <w:rsid w:val="001C52B5"/>
    <w:rsid w:val="001D0D3E"/>
    <w:rsid w:val="001D2817"/>
    <w:rsid w:val="001D2899"/>
    <w:rsid w:val="001E14A3"/>
    <w:rsid w:val="001E7FF4"/>
    <w:rsid w:val="001F0724"/>
    <w:rsid w:val="001F2245"/>
    <w:rsid w:val="001F2C63"/>
    <w:rsid w:val="001F48C7"/>
    <w:rsid w:val="001F512A"/>
    <w:rsid w:val="001F6DA1"/>
    <w:rsid w:val="001F7899"/>
    <w:rsid w:val="00200178"/>
    <w:rsid w:val="0020192F"/>
    <w:rsid w:val="00204200"/>
    <w:rsid w:val="002044E6"/>
    <w:rsid w:val="00205C82"/>
    <w:rsid w:val="00205DC2"/>
    <w:rsid w:val="0021063C"/>
    <w:rsid w:val="00212B17"/>
    <w:rsid w:val="002163B6"/>
    <w:rsid w:val="00217215"/>
    <w:rsid w:val="00220732"/>
    <w:rsid w:val="0022121F"/>
    <w:rsid w:val="00221D32"/>
    <w:rsid w:val="00222AC1"/>
    <w:rsid w:val="00225C3F"/>
    <w:rsid w:val="00243569"/>
    <w:rsid w:val="00243A36"/>
    <w:rsid w:val="00250ED6"/>
    <w:rsid w:val="002604A7"/>
    <w:rsid w:val="00263D44"/>
    <w:rsid w:val="00264118"/>
    <w:rsid w:val="002702AD"/>
    <w:rsid w:val="00281EB4"/>
    <w:rsid w:val="00292D82"/>
    <w:rsid w:val="00293EE7"/>
    <w:rsid w:val="002963CB"/>
    <w:rsid w:val="0029778D"/>
    <w:rsid w:val="002B2DAC"/>
    <w:rsid w:val="002B4A01"/>
    <w:rsid w:val="002C291B"/>
    <w:rsid w:val="002C746A"/>
    <w:rsid w:val="002C7E4E"/>
    <w:rsid w:val="002D226D"/>
    <w:rsid w:val="002D5D0B"/>
    <w:rsid w:val="002D74E3"/>
    <w:rsid w:val="002E45CF"/>
    <w:rsid w:val="002F6030"/>
    <w:rsid w:val="003001AC"/>
    <w:rsid w:val="003037E1"/>
    <w:rsid w:val="00307E51"/>
    <w:rsid w:val="003103EC"/>
    <w:rsid w:val="00312132"/>
    <w:rsid w:val="003130BA"/>
    <w:rsid w:val="003144EF"/>
    <w:rsid w:val="0031480E"/>
    <w:rsid w:val="00316877"/>
    <w:rsid w:val="00322F74"/>
    <w:rsid w:val="00325E15"/>
    <w:rsid w:val="0032789C"/>
    <w:rsid w:val="003356AB"/>
    <w:rsid w:val="00335B6A"/>
    <w:rsid w:val="00340073"/>
    <w:rsid w:val="003411D8"/>
    <w:rsid w:val="003445B0"/>
    <w:rsid w:val="003472FE"/>
    <w:rsid w:val="00353B66"/>
    <w:rsid w:val="00355934"/>
    <w:rsid w:val="00355C6E"/>
    <w:rsid w:val="00357547"/>
    <w:rsid w:val="00357928"/>
    <w:rsid w:val="003632FD"/>
    <w:rsid w:val="00364A51"/>
    <w:rsid w:val="00370F78"/>
    <w:rsid w:val="00372805"/>
    <w:rsid w:val="00373180"/>
    <w:rsid w:val="00375AB9"/>
    <w:rsid w:val="003762AD"/>
    <w:rsid w:val="0037691E"/>
    <w:rsid w:val="00376F53"/>
    <w:rsid w:val="003821A0"/>
    <w:rsid w:val="00385B04"/>
    <w:rsid w:val="003864CF"/>
    <w:rsid w:val="003913CE"/>
    <w:rsid w:val="003948AE"/>
    <w:rsid w:val="00396F68"/>
    <w:rsid w:val="003A08C0"/>
    <w:rsid w:val="003A22A6"/>
    <w:rsid w:val="003A30DE"/>
    <w:rsid w:val="003A32EB"/>
    <w:rsid w:val="003A5494"/>
    <w:rsid w:val="003B13DE"/>
    <w:rsid w:val="003B2510"/>
    <w:rsid w:val="003B4355"/>
    <w:rsid w:val="003C2CC4"/>
    <w:rsid w:val="003C3710"/>
    <w:rsid w:val="003C42A3"/>
    <w:rsid w:val="003C48F7"/>
    <w:rsid w:val="003C7856"/>
    <w:rsid w:val="003E0463"/>
    <w:rsid w:val="003E0EFC"/>
    <w:rsid w:val="003E4A2B"/>
    <w:rsid w:val="003E6FE9"/>
    <w:rsid w:val="003E76C2"/>
    <w:rsid w:val="003F1367"/>
    <w:rsid w:val="003F1679"/>
    <w:rsid w:val="003F21EB"/>
    <w:rsid w:val="003F4A35"/>
    <w:rsid w:val="003F5F03"/>
    <w:rsid w:val="003F6AF9"/>
    <w:rsid w:val="003F7FDD"/>
    <w:rsid w:val="00402101"/>
    <w:rsid w:val="00402481"/>
    <w:rsid w:val="004042B4"/>
    <w:rsid w:val="00410DC4"/>
    <w:rsid w:val="00412DAE"/>
    <w:rsid w:val="0041302D"/>
    <w:rsid w:val="00413C17"/>
    <w:rsid w:val="00423C68"/>
    <w:rsid w:val="004242E6"/>
    <w:rsid w:val="00427B35"/>
    <w:rsid w:val="00431598"/>
    <w:rsid w:val="004319AD"/>
    <w:rsid w:val="004426B8"/>
    <w:rsid w:val="00444432"/>
    <w:rsid w:val="00447D5C"/>
    <w:rsid w:val="00450202"/>
    <w:rsid w:val="004502B2"/>
    <w:rsid w:val="0045145E"/>
    <w:rsid w:val="00455499"/>
    <w:rsid w:val="004649A7"/>
    <w:rsid w:val="00471860"/>
    <w:rsid w:val="00477026"/>
    <w:rsid w:val="00477730"/>
    <w:rsid w:val="004900BF"/>
    <w:rsid w:val="004931AB"/>
    <w:rsid w:val="004A1A29"/>
    <w:rsid w:val="004A744D"/>
    <w:rsid w:val="004B60BD"/>
    <w:rsid w:val="004B6B26"/>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4F753F"/>
    <w:rsid w:val="005050A2"/>
    <w:rsid w:val="00506030"/>
    <w:rsid w:val="0050652D"/>
    <w:rsid w:val="00506C03"/>
    <w:rsid w:val="0050757E"/>
    <w:rsid w:val="00511A11"/>
    <w:rsid w:val="00516496"/>
    <w:rsid w:val="00521BFA"/>
    <w:rsid w:val="00522758"/>
    <w:rsid w:val="00522E7D"/>
    <w:rsid w:val="00523B11"/>
    <w:rsid w:val="0052455B"/>
    <w:rsid w:val="0052572A"/>
    <w:rsid w:val="00530C60"/>
    <w:rsid w:val="00532DFB"/>
    <w:rsid w:val="00543CB3"/>
    <w:rsid w:val="005442E4"/>
    <w:rsid w:val="00547652"/>
    <w:rsid w:val="00550718"/>
    <w:rsid w:val="0055529B"/>
    <w:rsid w:val="0055569D"/>
    <w:rsid w:val="00555821"/>
    <w:rsid w:val="00560FF0"/>
    <w:rsid w:val="005614BD"/>
    <w:rsid w:val="00561E03"/>
    <w:rsid w:val="00564827"/>
    <w:rsid w:val="0057154F"/>
    <w:rsid w:val="00580F69"/>
    <w:rsid w:val="00581CA3"/>
    <w:rsid w:val="005840B9"/>
    <w:rsid w:val="00585031"/>
    <w:rsid w:val="00586E8B"/>
    <w:rsid w:val="005879A3"/>
    <w:rsid w:val="00587A44"/>
    <w:rsid w:val="00597730"/>
    <w:rsid w:val="005977EC"/>
    <w:rsid w:val="00597DE7"/>
    <w:rsid w:val="005A4AA2"/>
    <w:rsid w:val="005B33DC"/>
    <w:rsid w:val="005B34B6"/>
    <w:rsid w:val="005B606A"/>
    <w:rsid w:val="005B6986"/>
    <w:rsid w:val="005B6C8F"/>
    <w:rsid w:val="005B6EC3"/>
    <w:rsid w:val="005C17D7"/>
    <w:rsid w:val="005C33CE"/>
    <w:rsid w:val="005C3E2A"/>
    <w:rsid w:val="005D0F74"/>
    <w:rsid w:val="005D2E7D"/>
    <w:rsid w:val="005D4A8F"/>
    <w:rsid w:val="005D561B"/>
    <w:rsid w:val="005D578F"/>
    <w:rsid w:val="005D5ECF"/>
    <w:rsid w:val="005E4AC3"/>
    <w:rsid w:val="005F164E"/>
    <w:rsid w:val="005F468D"/>
    <w:rsid w:val="005F69A3"/>
    <w:rsid w:val="005F76D0"/>
    <w:rsid w:val="00600872"/>
    <w:rsid w:val="00604CC7"/>
    <w:rsid w:val="00613441"/>
    <w:rsid w:val="00615423"/>
    <w:rsid w:val="006165B2"/>
    <w:rsid w:val="00617276"/>
    <w:rsid w:val="00620ED1"/>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7D1"/>
    <w:rsid w:val="00667B89"/>
    <w:rsid w:val="00670960"/>
    <w:rsid w:val="00673BDB"/>
    <w:rsid w:val="00674341"/>
    <w:rsid w:val="006771B8"/>
    <w:rsid w:val="00682631"/>
    <w:rsid w:val="00683A89"/>
    <w:rsid w:val="00683E0A"/>
    <w:rsid w:val="006843B6"/>
    <w:rsid w:val="0068481F"/>
    <w:rsid w:val="00693EA1"/>
    <w:rsid w:val="00694A17"/>
    <w:rsid w:val="0069636F"/>
    <w:rsid w:val="00696F5D"/>
    <w:rsid w:val="00697249"/>
    <w:rsid w:val="006A06F3"/>
    <w:rsid w:val="006A0AAC"/>
    <w:rsid w:val="006A1A67"/>
    <w:rsid w:val="006A3AD4"/>
    <w:rsid w:val="006B09C4"/>
    <w:rsid w:val="006B3947"/>
    <w:rsid w:val="006B4293"/>
    <w:rsid w:val="006B4833"/>
    <w:rsid w:val="006B624F"/>
    <w:rsid w:val="006C0C95"/>
    <w:rsid w:val="006C31E3"/>
    <w:rsid w:val="006D18D3"/>
    <w:rsid w:val="006D1EE9"/>
    <w:rsid w:val="006D3BD1"/>
    <w:rsid w:val="006D526D"/>
    <w:rsid w:val="006E010E"/>
    <w:rsid w:val="006E08CB"/>
    <w:rsid w:val="006E4566"/>
    <w:rsid w:val="006E4D41"/>
    <w:rsid w:val="006E598D"/>
    <w:rsid w:val="00700EF5"/>
    <w:rsid w:val="0070437D"/>
    <w:rsid w:val="00704CF1"/>
    <w:rsid w:val="00705B04"/>
    <w:rsid w:val="00706992"/>
    <w:rsid w:val="0071040E"/>
    <w:rsid w:val="00712AE5"/>
    <w:rsid w:val="007168A9"/>
    <w:rsid w:val="00717EE9"/>
    <w:rsid w:val="00724992"/>
    <w:rsid w:val="00724F64"/>
    <w:rsid w:val="00727F90"/>
    <w:rsid w:val="00734820"/>
    <w:rsid w:val="007349DC"/>
    <w:rsid w:val="00734BAB"/>
    <w:rsid w:val="0074365E"/>
    <w:rsid w:val="00744B55"/>
    <w:rsid w:val="007515FD"/>
    <w:rsid w:val="007579D6"/>
    <w:rsid w:val="00760D80"/>
    <w:rsid w:val="00761CB4"/>
    <w:rsid w:val="00780C09"/>
    <w:rsid w:val="00780DDF"/>
    <w:rsid w:val="007834E9"/>
    <w:rsid w:val="00785B23"/>
    <w:rsid w:val="00787DBC"/>
    <w:rsid w:val="0079019A"/>
    <w:rsid w:val="00792935"/>
    <w:rsid w:val="007A04A1"/>
    <w:rsid w:val="007A1840"/>
    <w:rsid w:val="007A232B"/>
    <w:rsid w:val="007A2CB4"/>
    <w:rsid w:val="007A6F8A"/>
    <w:rsid w:val="007B0D37"/>
    <w:rsid w:val="007B1E03"/>
    <w:rsid w:val="007B730C"/>
    <w:rsid w:val="007C0528"/>
    <w:rsid w:val="007C08EA"/>
    <w:rsid w:val="007C3D38"/>
    <w:rsid w:val="007D0F35"/>
    <w:rsid w:val="007D4546"/>
    <w:rsid w:val="007D4FEB"/>
    <w:rsid w:val="007D6146"/>
    <w:rsid w:val="007E0CE7"/>
    <w:rsid w:val="007E78B7"/>
    <w:rsid w:val="007F1193"/>
    <w:rsid w:val="007F417F"/>
    <w:rsid w:val="007F7644"/>
    <w:rsid w:val="008042BD"/>
    <w:rsid w:val="008050B3"/>
    <w:rsid w:val="0080795B"/>
    <w:rsid w:val="00816624"/>
    <w:rsid w:val="00822427"/>
    <w:rsid w:val="00822562"/>
    <w:rsid w:val="00823663"/>
    <w:rsid w:val="00823664"/>
    <w:rsid w:val="008305B7"/>
    <w:rsid w:val="0083162B"/>
    <w:rsid w:val="00832DDC"/>
    <w:rsid w:val="00842243"/>
    <w:rsid w:val="008426B0"/>
    <w:rsid w:val="008431BB"/>
    <w:rsid w:val="00845E34"/>
    <w:rsid w:val="00850BAC"/>
    <w:rsid w:val="008520BE"/>
    <w:rsid w:val="00854A3E"/>
    <w:rsid w:val="00855D08"/>
    <w:rsid w:val="00855E37"/>
    <w:rsid w:val="008618A4"/>
    <w:rsid w:val="008731AB"/>
    <w:rsid w:val="00874344"/>
    <w:rsid w:val="0087505D"/>
    <w:rsid w:val="00877703"/>
    <w:rsid w:val="00882155"/>
    <w:rsid w:val="0088233B"/>
    <w:rsid w:val="00883838"/>
    <w:rsid w:val="0088599E"/>
    <w:rsid w:val="00886C37"/>
    <w:rsid w:val="008915FC"/>
    <w:rsid w:val="00892D99"/>
    <w:rsid w:val="00893315"/>
    <w:rsid w:val="00894C09"/>
    <w:rsid w:val="00895238"/>
    <w:rsid w:val="008B5C68"/>
    <w:rsid w:val="008B62AE"/>
    <w:rsid w:val="008C04B5"/>
    <w:rsid w:val="008C14FA"/>
    <w:rsid w:val="008C325E"/>
    <w:rsid w:val="008C76C8"/>
    <w:rsid w:val="008C7B0B"/>
    <w:rsid w:val="008D4057"/>
    <w:rsid w:val="008E1F19"/>
    <w:rsid w:val="008F16BE"/>
    <w:rsid w:val="008F2262"/>
    <w:rsid w:val="008F4D2B"/>
    <w:rsid w:val="008F5AA4"/>
    <w:rsid w:val="008F5B91"/>
    <w:rsid w:val="008F70C6"/>
    <w:rsid w:val="008F7736"/>
    <w:rsid w:val="0090019E"/>
    <w:rsid w:val="00900435"/>
    <w:rsid w:val="00901086"/>
    <w:rsid w:val="00901C8A"/>
    <w:rsid w:val="00902F66"/>
    <w:rsid w:val="00904F3B"/>
    <w:rsid w:val="00905886"/>
    <w:rsid w:val="009064DF"/>
    <w:rsid w:val="009069A3"/>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4BED"/>
    <w:rsid w:val="0093658B"/>
    <w:rsid w:val="00936B6B"/>
    <w:rsid w:val="00936FCF"/>
    <w:rsid w:val="009429FF"/>
    <w:rsid w:val="009444D1"/>
    <w:rsid w:val="00945BD6"/>
    <w:rsid w:val="009479FB"/>
    <w:rsid w:val="00951C45"/>
    <w:rsid w:val="00951DD8"/>
    <w:rsid w:val="00964D52"/>
    <w:rsid w:val="009656F2"/>
    <w:rsid w:val="00966A08"/>
    <w:rsid w:val="009701B7"/>
    <w:rsid w:val="00971207"/>
    <w:rsid w:val="00971A72"/>
    <w:rsid w:val="00975CB4"/>
    <w:rsid w:val="00980ACD"/>
    <w:rsid w:val="00985B00"/>
    <w:rsid w:val="009863B0"/>
    <w:rsid w:val="00987DE1"/>
    <w:rsid w:val="00990571"/>
    <w:rsid w:val="00991905"/>
    <w:rsid w:val="009926B2"/>
    <w:rsid w:val="0099673A"/>
    <w:rsid w:val="009A3291"/>
    <w:rsid w:val="009A3330"/>
    <w:rsid w:val="009A548F"/>
    <w:rsid w:val="009A7C96"/>
    <w:rsid w:val="009B2158"/>
    <w:rsid w:val="009B2CBC"/>
    <w:rsid w:val="009B61BF"/>
    <w:rsid w:val="009C3253"/>
    <w:rsid w:val="009C3DB9"/>
    <w:rsid w:val="009C5968"/>
    <w:rsid w:val="009D0436"/>
    <w:rsid w:val="009D46E5"/>
    <w:rsid w:val="009D5333"/>
    <w:rsid w:val="009D568A"/>
    <w:rsid w:val="009D76AA"/>
    <w:rsid w:val="009E43A3"/>
    <w:rsid w:val="009F04EC"/>
    <w:rsid w:val="009F2A7C"/>
    <w:rsid w:val="009F3B36"/>
    <w:rsid w:val="009F4ED9"/>
    <w:rsid w:val="00A00D20"/>
    <w:rsid w:val="00A019B9"/>
    <w:rsid w:val="00A03157"/>
    <w:rsid w:val="00A06975"/>
    <w:rsid w:val="00A108C7"/>
    <w:rsid w:val="00A11756"/>
    <w:rsid w:val="00A12497"/>
    <w:rsid w:val="00A12508"/>
    <w:rsid w:val="00A1282B"/>
    <w:rsid w:val="00A13A27"/>
    <w:rsid w:val="00A147E0"/>
    <w:rsid w:val="00A15B7C"/>
    <w:rsid w:val="00A175B6"/>
    <w:rsid w:val="00A21835"/>
    <w:rsid w:val="00A2374B"/>
    <w:rsid w:val="00A23AAB"/>
    <w:rsid w:val="00A263A7"/>
    <w:rsid w:val="00A2743E"/>
    <w:rsid w:val="00A27D6E"/>
    <w:rsid w:val="00A328EC"/>
    <w:rsid w:val="00A33A51"/>
    <w:rsid w:val="00A41CA6"/>
    <w:rsid w:val="00A431ED"/>
    <w:rsid w:val="00A47927"/>
    <w:rsid w:val="00A47FFC"/>
    <w:rsid w:val="00A5442F"/>
    <w:rsid w:val="00A54FF9"/>
    <w:rsid w:val="00A56765"/>
    <w:rsid w:val="00A675AC"/>
    <w:rsid w:val="00A7097D"/>
    <w:rsid w:val="00A7581F"/>
    <w:rsid w:val="00A80501"/>
    <w:rsid w:val="00A81274"/>
    <w:rsid w:val="00A84B15"/>
    <w:rsid w:val="00A86ACA"/>
    <w:rsid w:val="00A92439"/>
    <w:rsid w:val="00A92FB1"/>
    <w:rsid w:val="00A95980"/>
    <w:rsid w:val="00A95A0C"/>
    <w:rsid w:val="00AA1612"/>
    <w:rsid w:val="00AA1827"/>
    <w:rsid w:val="00AA2765"/>
    <w:rsid w:val="00AA77B5"/>
    <w:rsid w:val="00AB6C5D"/>
    <w:rsid w:val="00AC12AE"/>
    <w:rsid w:val="00AC3401"/>
    <w:rsid w:val="00AC3790"/>
    <w:rsid w:val="00AC51A7"/>
    <w:rsid w:val="00AC603B"/>
    <w:rsid w:val="00AD0E89"/>
    <w:rsid w:val="00AD444B"/>
    <w:rsid w:val="00AD5614"/>
    <w:rsid w:val="00AD6C78"/>
    <w:rsid w:val="00AE03F0"/>
    <w:rsid w:val="00AE0E45"/>
    <w:rsid w:val="00AE2EAB"/>
    <w:rsid w:val="00AF13D0"/>
    <w:rsid w:val="00AF5E0E"/>
    <w:rsid w:val="00AF5F89"/>
    <w:rsid w:val="00AF6FB4"/>
    <w:rsid w:val="00AF73CB"/>
    <w:rsid w:val="00B002D6"/>
    <w:rsid w:val="00B02EF0"/>
    <w:rsid w:val="00B03379"/>
    <w:rsid w:val="00B03FA5"/>
    <w:rsid w:val="00B04110"/>
    <w:rsid w:val="00B05B51"/>
    <w:rsid w:val="00B14E5A"/>
    <w:rsid w:val="00B1507A"/>
    <w:rsid w:val="00B15370"/>
    <w:rsid w:val="00B16DA4"/>
    <w:rsid w:val="00B17BEB"/>
    <w:rsid w:val="00B21A3C"/>
    <w:rsid w:val="00B223C0"/>
    <w:rsid w:val="00B234ED"/>
    <w:rsid w:val="00B249B2"/>
    <w:rsid w:val="00B25CA3"/>
    <w:rsid w:val="00B2765A"/>
    <w:rsid w:val="00B3109A"/>
    <w:rsid w:val="00B32D37"/>
    <w:rsid w:val="00B33D5F"/>
    <w:rsid w:val="00B41AA8"/>
    <w:rsid w:val="00B42B45"/>
    <w:rsid w:val="00B516ED"/>
    <w:rsid w:val="00B5628B"/>
    <w:rsid w:val="00B565DA"/>
    <w:rsid w:val="00B57A6A"/>
    <w:rsid w:val="00B61057"/>
    <w:rsid w:val="00B62A0F"/>
    <w:rsid w:val="00B62D0D"/>
    <w:rsid w:val="00B67010"/>
    <w:rsid w:val="00B760F1"/>
    <w:rsid w:val="00B7669E"/>
    <w:rsid w:val="00B76EBB"/>
    <w:rsid w:val="00B77DA1"/>
    <w:rsid w:val="00B822A0"/>
    <w:rsid w:val="00B82F85"/>
    <w:rsid w:val="00B858AE"/>
    <w:rsid w:val="00B85964"/>
    <w:rsid w:val="00B96250"/>
    <w:rsid w:val="00B967C0"/>
    <w:rsid w:val="00BA0D55"/>
    <w:rsid w:val="00BA37B3"/>
    <w:rsid w:val="00BA4CC6"/>
    <w:rsid w:val="00BA7F46"/>
    <w:rsid w:val="00BB0F1D"/>
    <w:rsid w:val="00BB3493"/>
    <w:rsid w:val="00BB6E4C"/>
    <w:rsid w:val="00BB7468"/>
    <w:rsid w:val="00BC0514"/>
    <w:rsid w:val="00BC188A"/>
    <w:rsid w:val="00BC402E"/>
    <w:rsid w:val="00BC536C"/>
    <w:rsid w:val="00BC70C6"/>
    <w:rsid w:val="00BD0F48"/>
    <w:rsid w:val="00BD14E5"/>
    <w:rsid w:val="00BE0E50"/>
    <w:rsid w:val="00BE21AC"/>
    <w:rsid w:val="00BE6DDB"/>
    <w:rsid w:val="00BF03E0"/>
    <w:rsid w:val="00BF29BF"/>
    <w:rsid w:val="00BF5010"/>
    <w:rsid w:val="00C03009"/>
    <w:rsid w:val="00C0303F"/>
    <w:rsid w:val="00C03D5F"/>
    <w:rsid w:val="00C13791"/>
    <w:rsid w:val="00C143E1"/>
    <w:rsid w:val="00C20F6D"/>
    <w:rsid w:val="00C210BD"/>
    <w:rsid w:val="00C2575A"/>
    <w:rsid w:val="00C31BB3"/>
    <w:rsid w:val="00C36977"/>
    <w:rsid w:val="00C438D4"/>
    <w:rsid w:val="00C46628"/>
    <w:rsid w:val="00C467DA"/>
    <w:rsid w:val="00C477D9"/>
    <w:rsid w:val="00C5633E"/>
    <w:rsid w:val="00C57869"/>
    <w:rsid w:val="00C60BA3"/>
    <w:rsid w:val="00C623F7"/>
    <w:rsid w:val="00C62A81"/>
    <w:rsid w:val="00C63379"/>
    <w:rsid w:val="00C67CD7"/>
    <w:rsid w:val="00C71E00"/>
    <w:rsid w:val="00C75BC5"/>
    <w:rsid w:val="00C81670"/>
    <w:rsid w:val="00C81773"/>
    <w:rsid w:val="00C82861"/>
    <w:rsid w:val="00C86896"/>
    <w:rsid w:val="00C907A8"/>
    <w:rsid w:val="00C90DBB"/>
    <w:rsid w:val="00C91670"/>
    <w:rsid w:val="00C93211"/>
    <w:rsid w:val="00C93DB8"/>
    <w:rsid w:val="00C942EC"/>
    <w:rsid w:val="00C96047"/>
    <w:rsid w:val="00C96506"/>
    <w:rsid w:val="00C965D0"/>
    <w:rsid w:val="00C979D0"/>
    <w:rsid w:val="00CA0818"/>
    <w:rsid w:val="00CA15C8"/>
    <w:rsid w:val="00CA2C8F"/>
    <w:rsid w:val="00CA30DA"/>
    <w:rsid w:val="00CA3A24"/>
    <w:rsid w:val="00CA5792"/>
    <w:rsid w:val="00CA6C2C"/>
    <w:rsid w:val="00CB1777"/>
    <w:rsid w:val="00CB33E9"/>
    <w:rsid w:val="00CC10A9"/>
    <w:rsid w:val="00CC7753"/>
    <w:rsid w:val="00CD0655"/>
    <w:rsid w:val="00CE2BF8"/>
    <w:rsid w:val="00CE484E"/>
    <w:rsid w:val="00CE4D20"/>
    <w:rsid w:val="00CE5329"/>
    <w:rsid w:val="00CE55DC"/>
    <w:rsid w:val="00CE656F"/>
    <w:rsid w:val="00CF0DA8"/>
    <w:rsid w:val="00CF2E25"/>
    <w:rsid w:val="00CF4453"/>
    <w:rsid w:val="00CF5589"/>
    <w:rsid w:val="00CF5D94"/>
    <w:rsid w:val="00CF7C66"/>
    <w:rsid w:val="00CF7E0F"/>
    <w:rsid w:val="00D00893"/>
    <w:rsid w:val="00D034D7"/>
    <w:rsid w:val="00D04BE4"/>
    <w:rsid w:val="00D06FC7"/>
    <w:rsid w:val="00D12565"/>
    <w:rsid w:val="00D140C1"/>
    <w:rsid w:val="00D14127"/>
    <w:rsid w:val="00D24DE0"/>
    <w:rsid w:val="00D40A9E"/>
    <w:rsid w:val="00D479AE"/>
    <w:rsid w:val="00D47A04"/>
    <w:rsid w:val="00D50FCD"/>
    <w:rsid w:val="00D533E3"/>
    <w:rsid w:val="00D559FA"/>
    <w:rsid w:val="00D60B16"/>
    <w:rsid w:val="00D60F02"/>
    <w:rsid w:val="00D66E49"/>
    <w:rsid w:val="00D706DC"/>
    <w:rsid w:val="00D70D71"/>
    <w:rsid w:val="00D71D94"/>
    <w:rsid w:val="00D72F74"/>
    <w:rsid w:val="00D81563"/>
    <w:rsid w:val="00D837C1"/>
    <w:rsid w:val="00D85907"/>
    <w:rsid w:val="00D860AC"/>
    <w:rsid w:val="00D901A4"/>
    <w:rsid w:val="00D9073E"/>
    <w:rsid w:val="00D9221D"/>
    <w:rsid w:val="00D9253C"/>
    <w:rsid w:val="00D958DF"/>
    <w:rsid w:val="00D96DA1"/>
    <w:rsid w:val="00D971A2"/>
    <w:rsid w:val="00DA51E7"/>
    <w:rsid w:val="00DA63D9"/>
    <w:rsid w:val="00DB0260"/>
    <w:rsid w:val="00DB1C78"/>
    <w:rsid w:val="00DB7D96"/>
    <w:rsid w:val="00DC23FE"/>
    <w:rsid w:val="00DC54B2"/>
    <w:rsid w:val="00DC59E6"/>
    <w:rsid w:val="00DD150B"/>
    <w:rsid w:val="00DD3356"/>
    <w:rsid w:val="00DD386A"/>
    <w:rsid w:val="00DD5025"/>
    <w:rsid w:val="00DD5464"/>
    <w:rsid w:val="00DD6F85"/>
    <w:rsid w:val="00DE254E"/>
    <w:rsid w:val="00DE32C0"/>
    <w:rsid w:val="00DE76A7"/>
    <w:rsid w:val="00DF1510"/>
    <w:rsid w:val="00E01CFE"/>
    <w:rsid w:val="00E02F1F"/>
    <w:rsid w:val="00E04B18"/>
    <w:rsid w:val="00E05454"/>
    <w:rsid w:val="00E05FB9"/>
    <w:rsid w:val="00E06484"/>
    <w:rsid w:val="00E06B24"/>
    <w:rsid w:val="00E078B2"/>
    <w:rsid w:val="00E11AAA"/>
    <w:rsid w:val="00E20A7D"/>
    <w:rsid w:val="00E23FE4"/>
    <w:rsid w:val="00E275D8"/>
    <w:rsid w:val="00E2790E"/>
    <w:rsid w:val="00E30F6A"/>
    <w:rsid w:val="00E3117C"/>
    <w:rsid w:val="00E31288"/>
    <w:rsid w:val="00E338AF"/>
    <w:rsid w:val="00E34307"/>
    <w:rsid w:val="00E34511"/>
    <w:rsid w:val="00E3635B"/>
    <w:rsid w:val="00E375C3"/>
    <w:rsid w:val="00E375CA"/>
    <w:rsid w:val="00E43248"/>
    <w:rsid w:val="00E4407E"/>
    <w:rsid w:val="00E5364F"/>
    <w:rsid w:val="00E53CDE"/>
    <w:rsid w:val="00E567E8"/>
    <w:rsid w:val="00E56907"/>
    <w:rsid w:val="00E61FC8"/>
    <w:rsid w:val="00E63766"/>
    <w:rsid w:val="00E64679"/>
    <w:rsid w:val="00E65EBC"/>
    <w:rsid w:val="00E6602E"/>
    <w:rsid w:val="00E677FE"/>
    <w:rsid w:val="00E71FDA"/>
    <w:rsid w:val="00E73432"/>
    <w:rsid w:val="00E74F30"/>
    <w:rsid w:val="00E77B0C"/>
    <w:rsid w:val="00E77DF3"/>
    <w:rsid w:val="00E77FB8"/>
    <w:rsid w:val="00E838B0"/>
    <w:rsid w:val="00E86A7C"/>
    <w:rsid w:val="00E878E1"/>
    <w:rsid w:val="00E87F2C"/>
    <w:rsid w:val="00E95278"/>
    <w:rsid w:val="00E96A42"/>
    <w:rsid w:val="00EA2273"/>
    <w:rsid w:val="00EA7C3C"/>
    <w:rsid w:val="00EB2DB3"/>
    <w:rsid w:val="00EB31AB"/>
    <w:rsid w:val="00EB3841"/>
    <w:rsid w:val="00EC3FBB"/>
    <w:rsid w:val="00EC57AD"/>
    <w:rsid w:val="00EC6B7A"/>
    <w:rsid w:val="00ED3A87"/>
    <w:rsid w:val="00ED5B67"/>
    <w:rsid w:val="00EE0B29"/>
    <w:rsid w:val="00EE1A5C"/>
    <w:rsid w:val="00EE20A6"/>
    <w:rsid w:val="00EE5F5A"/>
    <w:rsid w:val="00EF127D"/>
    <w:rsid w:val="00EF264C"/>
    <w:rsid w:val="00EF3FEE"/>
    <w:rsid w:val="00EF5491"/>
    <w:rsid w:val="00EF6B41"/>
    <w:rsid w:val="00F04B59"/>
    <w:rsid w:val="00F04F97"/>
    <w:rsid w:val="00F07B69"/>
    <w:rsid w:val="00F11741"/>
    <w:rsid w:val="00F117B0"/>
    <w:rsid w:val="00F12B1C"/>
    <w:rsid w:val="00F13CF8"/>
    <w:rsid w:val="00F15855"/>
    <w:rsid w:val="00F200B2"/>
    <w:rsid w:val="00F2215B"/>
    <w:rsid w:val="00F227DC"/>
    <w:rsid w:val="00F266EE"/>
    <w:rsid w:val="00F30701"/>
    <w:rsid w:val="00F32978"/>
    <w:rsid w:val="00F333EA"/>
    <w:rsid w:val="00F34466"/>
    <w:rsid w:val="00F34FEF"/>
    <w:rsid w:val="00F45CB2"/>
    <w:rsid w:val="00F511F3"/>
    <w:rsid w:val="00F544C0"/>
    <w:rsid w:val="00F55332"/>
    <w:rsid w:val="00F6156E"/>
    <w:rsid w:val="00F628C7"/>
    <w:rsid w:val="00F62BCC"/>
    <w:rsid w:val="00F6504A"/>
    <w:rsid w:val="00F65519"/>
    <w:rsid w:val="00F65586"/>
    <w:rsid w:val="00F66D9F"/>
    <w:rsid w:val="00F713C0"/>
    <w:rsid w:val="00F75DDC"/>
    <w:rsid w:val="00F7792F"/>
    <w:rsid w:val="00F82FAD"/>
    <w:rsid w:val="00F842AA"/>
    <w:rsid w:val="00F8476F"/>
    <w:rsid w:val="00F853E1"/>
    <w:rsid w:val="00F85604"/>
    <w:rsid w:val="00F87D3C"/>
    <w:rsid w:val="00F93809"/>
    <w:rsid w:val="00F94B7A"/>
    <w:rsid w:val="00FA17AC"/>
    <w:rsid w:val="00FA1C99"/>
    <w:rsid w:val="00FA32DE"/>
    <w:rsid w:val="00FA3382"/>
    <w:rsid w:val="00FA3CC1"/>
    <w:rsid w:val="00FA59CD"/>
    <w:rsid w:val="00FB0CDC"/>
    <w:rsid w:val="00FB1740"/>
    <w:rsid w:val="00FB4235"/>
    <w:rsid w:val="00FC1D0A"/>
    <w:rsid w:val="00FC4446"/>
    <w:rsid w:val="00FC5469"/>
    <w:rsid w:val="00FC6D7D"/>
    <w:rsid w:val="00FD16B0"/>
    <w:rsid w:val="00FD4FED"/>
    <w:rsid w:val="00FE00C8"/>
    <w:rsid w:val="00FE0577"/>
    <w:rsid w:val="00FE13A8"/>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20100"/>
  <w15:docId w15:val="{71292FB3-54CB-46D5-9E06-551C243C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8F16BE"/>
    <w:rPr>
      <w:vertAlign w:val="superscript"/>
    </w:rPr>
  </w:style>
  <w:style w:type="table" w:customStyle="1" w:styleId="TableGrid1">
    <w:name w:val="Table Grid1"/>
    <w:basedOn w:val="TableNormal"/>
    <w:next w:val="TableGrid"/>
    <w:rsid w:val="008F1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16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0891">
      <w:bodyDiv w:val="1"/>
      <w:marLeft w:val="0"/>
      <w:marRight w:val="0"/>
      <w:marTop w:val="0"/>
      <w:marBottom w:val="0"/>
      <w:divBdr>
        <w:top w:val="none" w:sz="0" w:space="0" w:color="auto"/>
        <w:left w:val="none" w:sz="0" w:space="0" w:color="auto"/>
        <w:bottom w:val="none" w:sz="0" w:space="0" w:color="auto"/>
        <w:right w:val="none" w:sz="0" w:space="0" w:color="auto"/>
      </w:divBdr>
    </w:div>
    <w:div w:id="680011697">
      <w:bodyDiv w:val="1"/>
      <w:marLeft w:val="0"/>
      <w:marRight w:val="0"/>
      <w:marTop w:val="0"/>
      <w:marBottom w:val="0"/>
      <w:divBdr>
        <w:top w:val="none" w:sz="0" w:space="0" w:color="auto"/>
        <w:left w:val="none" w:sz="0" w:space="0" w:color="auto"/>
        <w:bottom w:val="none" w:sz="0" w:space="0" w:color="auto"/>
        <w:right w:val="none" w:sz="0" w:space="0" w:color="auto"/>
      </w:divBdr>
    </w:div>
    <w:div w:id="1003506457">
      <w:bodyDiv w:val="1"/>
      <w:marLeft w:val="0"/>
      <w:marRight w:val="0"/>
      <w:marTop w:val="0"/>
      <w:marBottom w:val="0"/>
      <w:divBdr>
        <w:top w:val="none" w:sz="0" w:space="0" w:color="auto"/>
        <w:left w:val="none" w:sz="0" w:space="0" w:color="auto"/>
        <w:bottom w:val="none" w:sz="0" w:space="0" w:color="auto"/>
        <w:right w:val="none" w:sz="0" w:space="0" w:color="auto"/>
      </w:divBdr>
    </w:div>
    <w:div w:id="115888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header" Target="header10.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2.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7.emf"/><Relationship Id="rId33" Type="http://schemas.openxmlformats.org/officeDocument/2006/relationships/header" Target="header13.xml"/><Relationship Id="rId38"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image" Target="media/image11.emf"/><Relationship Id="rId37" Type="http://schemas.openxmlformats.org/officeDocument/2006/relationships/header" Target="header15.xml"/><Relationship Id="rId40"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8.xml"/><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6.emf"/><Relationship Id="rId27" Type="http://schemas.openxmlformats.org/officeDocument/2006/relationships/image" Target="media/image8.emf"/><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D0E7B-560A-4594-A59A-51881D08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24</Pages>
  <Words>3026</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Andrea Mick</cp:lastModifiedBy>
  <cp:revision>2</cp:revision>
  <cp:lastPrinted>2023-06-01T14:39:00Z</cp:lastPrinted>
  <dcterms:created xsi:type="dcterms:W3CDTF">2023-06-01T15:53:00Z</dcterms:created>
  <dcterms:modified xsi:type="dcterms:W3CDTF">2023-06-01T15:53:00Z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20220185-WS</vt:lpwstr>
  </property>
  <property fmtid="{D5CDD505-2E9C-101B-9397-08002B2CF9AE}" pid="3" name="MasterDocument">
    <vt:bool>false</vt:bool>
  </property>
</Properties>
</file>