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r>
              <w:t>State of Florida</w:t>
            </w:r>
          </w:p>
          <w:p w:rsidR="007C0528" w:rsidRDefault="00072CCA">
            <w:pPr>
              <w:jc w:val="center"/>
            </w:pPr>
            <w:r>
              <w:rPr>
                <w:noProof/>
              </w:rPr>
              <w:drawing>
                <wp:inline distT="0" distB="0" distL="0" distR="0" wp14:anchorId="6B555A31" wp14:editId="447208A8">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3E1CEF" w:rsidP="003E1CEF">
            <w:pPr>
              <w:pStyle w:val="MemoHeading"/>
            </w:pPr>
            <w:bookmarkStart w:id="0" w:name="FilingDate"/>
            <w:r w:rsidRPr="00D413B9">
              <w:t>July</w:t>
            </w:r>
            <w:r w:rsidR="006E2701" w:rsidRPr="00D413B9">
              <w:t xml:space="preserve"> 2</w:t>
            </w:r>
            <w:r w:rsidR="004D373D" w:rsidRPr="00D413B9">
              <w:t>0</w:t>
            </w:r>
            <w:r w:rsidR="007B72ED" w:rsidRPr="00D413B9">
              <w:t>, 2023</w:t>
            </w:r>
            <w:bookmarkEnd w:id="0"/>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7B72ED" w:rsidRDefault="007B72ED">
            <w:pPr>
              <w:pStyle w:val="MemoHeading"/>
            </w:pPr>
            <w:bookmarkStart w:id="1" w:name="From"/>
            <w:r>
              <w:t>Division of Economics (Lang, Barrett, Hampson)</w:t>
            </w:r>
          </w:p>
          <w:p w:rsidR="007C0528" w:rsidRDefault="007B72ED">
            <w:pPr>
              <w:pStyle w:val="MemoHeading"/>
            </w:pPr>
            <w:r>
              <w:t>Off</w:t>
            </w:r>
            <w:r w:rsidR="00104F4D">
              <w:t>ice of the General Counsel (Watrous</w:t>
            </w:r>
            <w:r>
              <w:t>)</w:t>
            </w:r>
            <w:bookmarkEnd w:id="1"/>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7B72ED">
            <w:pPr>
              <w:pStyle w:val="MemoHeadingRe"/>
            </w:pPr>
            <w:bookmarkStart w:id="2" w:name="Re"/>
            <w:r>
              <w:t>Docket No. 20230043-EI – Petition for approval of revised underground residential distribution tariffs, by Duke Energy Florida, LLC.</w:t>
            </w:r>
            <w:bookmarkEnd w:id="2"/>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9070FF" w:rsidP="007524E3">
            <w:pPr>
              <w:pStyle w:val="MemoHeading"/>
            </w:pPr>
            <w:bookmarkStart w:id="3" w:name="AgendaDate"/>
            <w:r>
              <w:t>0</w:t>
            </w:r>
            <w:r w:rsidR="003E1CEF">
              <w:t>8</w:t>
            </w:r>
            <w:r w:rsidR="007B72ED">
              <w:t>/0</w:t>
            </w:r>
            <w:r w:rsidR="003E1CEF">
              <w:t>1</w:t>
            </w:r>
            <w:r w:rsidR="007B72ED">
              <w:t>/23</w:t>
            </w:r>
            <w:bookmarkEnd w:id="3"/>
            <w:r w:rsidR="007C0528">
              <w:t xml:space="preserve"> – </w:t>
            </w:r>
            <w:r w:rsidR="007B72ED">
              <w:t>R</w:t>
            </w:r>
            <w:bookmarkStart w:id="4" w:name="PermittedStatus"/>
            <w:r w:rsidR="007B72ED">
              <w:t>egular Agenda –</w:t>
            </w:r>
            <w:r w:rsidR="002D1E31">
              <w:t xml:space="preserve"> </w:t>
            </w:r>
            <w:bookmarkEnd w:id="4"/>
            <w:r w:rsidR="0024797C">
              <w:t xml:space="preserve"> </w:t>
            </w:r>
            <w:r w:rsidR="007524E3">
              <w:t xml:space="preserve">Tariff Filing – </w:t>
            </w:r>
            <w:r w:rsidR="003E1CEF">
              <w:t>Interested Persons May Participate</w:t>
            </w:r>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780558">
            <w:pPr>
              <w:pStyle w:val="MemoHeading"/>
            </w:pPr>
            <w:bookmarkStart w:id="5" w:name="CommissionersAssigned"/>
            <w:bookmarkEnd w:id="5"/>
            <w:r>
              <w:t>All Commissioners</w:t>
            </w:r>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780558">
            <w:pPr>
              <w:pStyle w:val="MemoHeading"/>
            </w:pPr>
            <w:r>
              <w:t>Administrative</w:t>
            </w:r>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6" w:name="CriticalDatesLabel"/>
            <w:r>
              <w:t>CRITICAL DATES:</w:t>
            </w:r>
            <w:bookmarkEnd w:id="6"/>
          </w:p>
        </w:tc>
        <w:tc>
          <w:tcPr>
            <w:tcW w:w="5785" w:type="dxa"/>
            <w:tcBorders>
              <w:top w:val="nil"/>
              <w:left w:val="nil"/>
              <w:bottom w:val="nil"/>
              <w:right w:val="nil"/>
            </w:tcBorders>
            <w:shd w:val="clear" w:color="auto" w:fill="auto"/>
          </w:tcPr>
          <w:p w:rsidR="007C0528" w:rsidRDefault="003E1CEF" w:rsidP="003E1CEF">
            <w:pPr>
              <w:pStyle w:val="MemoHeading"/>
            </w:pPr>
            <w:bookmarkStart w:id="7" w:name="CriticalDates"/>
            <w:r>
              <w:t>11</w:t>
            </w:r>
            <w:r w:rsidR="002D1E31">
              <w:t>/3</w:t>
            </w:r>
            <w:r w:rsidR="00DB1F47">
              <w:t>0</w:t>
            </w:r>
            <w:r w:rsidR="002D1E31">
              <w:t>/2</w:t>
            </w:r>
            <w:r>
              <w:t>3 (8</w:t>
            </w:r>
            <w:r w:rsidR="007B72ED">
              <w:t>-</w:t>
            </w:r>
            <w:r>
              <w:t>Month</w:t>
            </w:r>
            <w:r w:rsidR="007B72ED">
              <w:t xml:space="preserve"> </w:t>
            </w:r>
            <w:r>
              <w:t xml:space="preserve">Effective </w:t>
            </w:r>
            <w:r w:rsidR="007B72ED">
              <w:t>Date)</w:t>
            </w:r>
            <w:bookmarkEnd w:id="7"/>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7B72ED">
            <w:pPr>
              <w:pStyle w:val="MemoHeading"/>
            </w:pPr>
            <w:bookmarkStart w:id="8" w:name="SpecialInstructions"/>
            <w:r>
              <w:t>None</w:t>
            </w:r>
            <w:bookmarkEnd w:id="8"/>
          </w:p>
        </w:tc>
      </w:tr>
    </w:tbl>
    <w:p w:rsidR="007C0528" w:rsidRDefault="007C0528">
      <w:pPr>
        <w:pStyle w:val="BodyText"/>
      </w:pPr>
    </w:p>
    <w:p w:rsidR="007C0528" w:rsidRDefault="007C0528">
      <w:pPr>
        <w:pStyle w:val="RecommendationMajorSectionHeading"/>
      </w:pPr>
      <w:bookmarkStart w:id="9" w:name="RecToC"/>
      <w:bookmarkEnd w:id="9"/>
      <w:r>
        <w:t xml:space="preserve"> </w:t>
      </w:r>
      <w:bookmarkStart w:id="10" w:name="CaseBackground"/>
      <w:r>
        <w:t>Case Background</w:t>
      </w:r>
      <w:r>
        <w:fldChar w:fldCharType="begin"/>
      </w:r>
      <w:r>
        <w:instrText xml:space="preserve"> TC  "</w:instrText>
      </w:r>
      <w:r>
        <w:tab/>
      </w:r>
      <w:bookmarkStart w:id="11" w:name="_Toc94516455"/>
      <w:r>
        <w:instrText>Case Background</w:instrText>
      </w:r>
      <w:bookmarkEnd w:id="11"/>
      <w:r>
        <w:instrText xml:space="preserve">" \l 1 </w:instrText>
      </w:r>
      <w:r>
        <w:fldChar w:fldCharType="end"/>
      </w:r>
    </w:p>
    <w:p w:rsidR="004D373D" w:rsidRDefault="00104F4D">
      <w:pPr>
        <w:jc w:val="both"/>
      </w:pPr>
      <w:r>
        <w:t>On March 31, 2</w:t>
      </w:r>
      <w:r w:rsidR="007F6AE2">
        <w:t>023, Duke Energy Florida, LLC (</w:t>
      </w:r>
      <w:r>
        <w:t>DEF</w:t>
      </w:r>
      <w:r w:rsidR="00B276BE">
        <w:t xml:space="preserve"> or utility</w:t>
      </w:r>
      <w:r>
        <w:t>) filed a petition for approval of revisions to its underground r</w:t>
      </w:r>
      <w:r w:rsidR="007524E3">
        <w:t>esidential distribution</w:t>
      </w:r>
      <w:r w:rsidR="00A50D70">
        <w:t xml:space="preserve"> </w:t>
      </w:r>
      <w:r>
        <w:t xml:space="preserve">tariffs </w:t>
      </w:r>
      <w:r w:rsidR="00D56F8A">
        <w:t xml:space="preserve">(URD) </w:t>
      </w:r>
      <w:r>
        <w:t>and associated charg</w:t>
      </w:r>
      <w:r w:rsidRPr="00D413B9">
        <w:t>es</w:t>
      </w:r>
      <w:r w:rsidR="004D373D" w:rsidRPr="00D413B9">
        <w:t xml:space="preserve"> (2023 Petition)</w:t>
      </w:r>
      <w:r w:rsidRPr="00D413B9">
        <w:t>.</w:t>
      </w:r>
      <w:r w:rsidR="007D3730">
        <w:t xml:space="preserve"> </w:t>
      </w:r>
      <w:r w:rsidR="00A50D70">
        <w:t>These tariffs represent the</w:t>
      </w:r>
      <w:r w:rsidR="008E20AD">
        <w:t xml:space="preserve"> estimated</w:t>
      </w:r>
      <w:r w:rsidR="00A50D70">
        <w:t xml:space="preserve"> addition</w:t>
      </w:r>
      <w:r w:rsidR="00A50D70" w:rsidRPr="00ED2AD0">
        <w:t xml:space="preserve">al cost, if any, DEF incurs to provide underground service in place of overhead service in new residential subdivisions. </w:t>
      </w:r>
      <w:r w:rsidR="00240C3B">
        <w:t>Th</w:t>
      </w:r>
      <w:r w:rsidR="004220C1">
        <w:t>e current URD tariffs and charges were approved in 2020.</w:t>
      </w:r>
      <w:r w:rsidR="004220C1">
        <w:rPr>
          <w:rStyle w:val="FootnoteReference"/>
        </w:rPr>
        <w:footnoteReference w:id="1"/>
      </w:r>
      <w:r w:rsidR="000409CB">
        <w:t xml:space="preserve"> </w:t>
      </w:r>
      <w:r w:rsidR="001A1EC2">
        <w:t>The proposed URD tariffs are contained in the recommendation as Attachment A.</w:t>
      </w:r>
    </w:p>
    <w:p w:rsidR="004D373D" w:rsidRDefault="004D373D" w:rsidP="004F2DE3">
      <w:pPr>
        <w:jc w:val="both"/>
      </w:pPr>
    </w:p>
    <w:p w:rsidR="00301C75" w:rsidRDefault="004D373D" w:rsidP="004F2DE3">
      <w:pPr>
        <w:jc w:val="both"/>
      </w:pPr>
      <w:r w:rsidRPr="00D413B9">
        <w:t>On May 22, 2023, t</w:t>
      </w:r>
      <w:r w:rsidR="003E1CEF" w:rsidRPr="00D413B9">
        <w:t>he Commission suspended the proposed tariffs to allow staff sufficient time to analyze the utility’s filing</w:t>
      </w:r>
      <w:r w:rsidR="00A5760D">
        <w:t>.</w:t>
      </w:r>
      <w:r w:rsidR="007524E3" w:rsidRPr="00D413B9">
        <w:rPr>
          <w:rStyle w:val="FootnoteReference"/>
        </w:rPr>
        <w:footnoteReference w:id="2"/>
      </w:r>
      <w:r w:rsidR="003E1CEF" w:rsidRPr="00D413B9">
        <w:t xml:space="preserve"> Staff issued its first data request on May 17, 2023</w:t>
      </w:r>
      <w:r w:rsidR="00B276BE">
        <w:t>,</w:t>
      </w:r>
      <w:r w:rsidR="003E1CEF" w:rsidRPr="00D413B9">
        <w:t xml:space="preserve"> for which </w:t>
      </w:r>
      <w:r w:rsidR="003E1CEF" w:rsidRPr="00D413B9">
        <w:lastRenderedPageBreak/>
        <w:t>response was provided on June 1, 20</w:t>
      </w:r>
      <w:r w:rsidR="003E1CEF">
        <w:t>23. Staff issued its second data request on June 21, 2023</w:t>
      </w:r>
      <w:r w:rsidR="00421529">
        <w:t>,</w:t>
      </w:r>
      <w:r w:rsidR="003E1CEF">
        <w:t xml:space="preserve"> for which response was provided on July 6, 2023.</w:t>
      </w:r>
      <w:r w:rsidR="004F2DE3">
        <w:t xml:space="preserve"> </w:t>
      </w:r>
    </w:p>
    <w:p w:rsidR="00301C75" w:rsidRDefault="00301C75" w:rsidP="004F2DE3">
      <w:pPr>
        <w:jc w:val="both"/>
      </w:pPr>
    </w:p>
    <w:p w:rsidR="00EA2273" w:rsidRDefault="004F2DE3" w:rsidP="004F2DE3">
      <w:pPr>
        <w:jc w:val="both"/>
      </w:pPr>
      <w:r>
        <w:t>The Commission has jurisdiction over this matter pursuant to Sections 366.03, 366.04, 366.05, and 366.06, Florida Statutes (F.S.).</w:t>
      </w:r>
      <w:bookmarkEnd w:id="10"/>
    </w:p>
    <w:p w:rsidR="00827338" w:rsidRDefault="00827338" w:rsidP="004F2DE3">
      <w:pPr>
        <w:jc w:val="both"/>
      </w:pPr>
    </w:p>
    <w:p w:rsidR="00827338" w:rsidRDefault="00827338" w:rsidP="004F2DE3">
      <w:pPr>
        <w:jc w:val="both"/>
      </w:pPr>
    </w:p>
    <w:p w:rsidR="00827338" w:rsidRDefault="00827338" w:rsidP="004F2DE3">
      <w:pPr>
        <w:jc w:val="both"/>
      </w:pPr>
    </w:p>
    <w:p w:rsidR="00827338" w:rsidRDefault="00827338" w:rsidP="004F2DE3">
      <w:pPr>
        <w:jc w:val="both"/>
        <w:sectPr w:rsidR="00827338">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4" w:name="DiscussionOfIssues"/>
      <w:r>
        <w:lastRenderedPageBreak/>
        <w:t>Discussion of Issues</w:t>
      </w:r>
    </w:p>
    <w:bookmarkEnd w:id="14"/>
    <w:p w:rsidR="007B72ED" w:rsidRDefault="0003597B">
      <w:pPr>
        <w:pStyle w:val="IssueHeading"/>
        <w:rPr>
          <w:vanish/>
          <w:specVanish/>
        </w:rPr>
      </w:pPr>
      <w:r w:rsidRPr="004C3641">
        <w:t xml:space="preserve">Issue </w:t>
      </w:r>
      <w:fldSimple w:instr=" SEQ Issue \* MERGEFORMAT ">
        <w:r w:rsidR="00C12353">
          <w:rPr>
            <w:noProof/>
          </w:rPr>
          <w:t>1</w:t>
        </w:r>
      </w:fldSimple>
      <w:r w:rsidRPr="004C3641">
        <w:t>:</w:t>
      </w:r>
    </w:p>
    <w:p w:rsidR="007B72ED" w:rsidRPr="00D413B9" w:rsidRDefault="007B72ED">
      <w:pPr>
        <w:pStyle w:val="BodyText"/>
      </w:pPr>
      <w:r>
        <w:t> </w:t>
      </w:r>
      <w:r w:rsidR="00A14A4E">
        <w:t>Should</w:t>
      </w:r>
      <w:r w:rsidR="003E1CEF">
        <w:t xml:space="preserve"> the Commission ap</w:t>
      </w:r>
      <w:r w:rsidR="003E1CEF" w:rsidRPr="00D413B9">
        <w:t>prove D</w:t>
      </w:r>
      <w:r w:rsidR="004D373D" w:rsidRPr="00D413B9">
        <w:t>EF</w:t>
      </w:r>
      <w:r w:rsidR="003E1CEF" w:rsidRPr="00D413B9">
        <w:t>’s proposed underground di</w:t>
      </w:r>
      <w:r w:rsidR="007524E3">
        <w:t>stribution</w:t>
      </w:r>
      <w:r w:rsidR="003E1CEF" w:rsidRPr="00D413B9">
        <w:t xml:space="preserve"> tariffs and associated charges?</w:t>
      </w:r>
    </w:p>
    <w:p w:rsidR="007B72ED" w:rsidRPr="00D413B9" w:rsidRDefault="007B72ED">
      <w:pPr>
        <w:pStyle w:val="IssueSubsectionHeading"/>
        <w:rPr>
          <w:vanish/>
          <w:specVanish/>
        </w:rPr>
      </w:pPr>
      <w:r w:rsidRPr="00D413B9">
        <w:t>Recommendation: </w:t>
      </w:r>
    </w:p>
    <w:p w:rsidR="007B72ED" w:rsidRDefault="007B72ED">
      <w:pPr>
        <w:pStyle w:val="BodyText"/>
      </w:pPr>
      <w:r w:rsidRPr="00D413B9">
        <w:t> </w:t>
      </w:r>
      <w:r w:rsidR="00A14A4E" w:rsidRPr="00D413B9">
        <w:t xml:space="preserve">Yes. </w:t>
      </w:r>
      <w:r w:rsidR="003E1CEF" w:rsidRPr="00D413B9">
        <w:t>The Commission should approve D</w:t>
      </w:r>
      <w:r w:rsidR="004D373D" w:rsidRPr="00D413B9">
        <w:t>EF</w:t>
      </w:r>
      <w:r w:rsidR="003E1CEF" w:rsidRPr="00D413B9">
        <w:t xml:space="preserve">’s proposed underground </w:t>
      </w:r>
      <w:r w:rsidR="001A1906">
        <w:t xml:space="preserve">residential </w:t>
      </w:r>
      <w:r w:rsidR="003E1CEF" w:rsidRPr="00D413B9">
        <w:t>di</w:t>
      </w:r>
      <w:r w:rsidR="007524E3">
        <w:t>stribution</w:t>
      </w:r>
      <w:r w:rsidR="003E1CEF" w:rsidRPr="00D413B9">
        <w:t xml:space="preserve"> t</w:t>
      </w:r>
      <w:r w:rsidR="001A1906">
        <w:t>ariffs and associated charges effective on the date of the Commission vote. The proposed URD charges are cost-based and staff recommends approval of the tariffs</w:t>
      </w:r>
      <w:r w:rsidR="007524E3">
        <w:t xml:space="preserve"> shown in Attachment A. </w:t>
      </w:r>
      <w:r w:rsidR="003E1CEF" w:rsidRPr="00D413B9">
        <w:t>(Lang</w:t>
      </w:r>
      <w:r w:rsidR="004D373D" w:rsidRPr="00D413B9">
        <w:t>, Barrett, Hampson</w:t>
      </w:r>
      <w:r w:rsidR="003E1CEF" w:rsidRPr="00D413B9">
        <w:t>)</w:t>
      </w:r>
      <w:r>
        <w:t xml:space="preserve"> </w:t>
      </w:r>
    </w:p>
    <w:p w:rsidR="007B72ED" w:rsidRPr="004C3641" w:rsidRDefault="007B72ED">
      <w:pPr>
        <w:pStyle w:val="IssueSubsectionHeading"/>
        <w:rPr>
          <w:vanish/>
          <w:specVanish/>
        </w:rPr>
      </w:pPr>
      <w:r w:rsidRPr="004C3641">
        <w:t>Staff Analysis: </w:t>
      </w:r>
    </w:p>
    <w:p w:rsidR="00D55C94" w:rsidRDefault="007B72ED">
      <w:pPr>
        <w:pStyle w:val="BodyText"/>
      </w:pPr>
      <w:r>
        <w:t> </w:t>
      </w:r>
      <w:r w:rsidR="003E1CEF">
        <w:t>Rule 25-6.078, Florida Administrative Code (F.A.C.), defines investor-owned utilities’ (IOU) responsibilities for filing u</w:t>
      </w:r>
      <w:r w:rsidR="003E1CEF" w:rsidRPr="00D413B9">
        <w:t>pdated URD tariffs. D</w:t>
      </w:r>
      <w:r w:rsidR="003F4370" w:rsidRPr="00D413B9">
        <w:t>EF</w:t>
      </w:r>
      <w:r w:rsidR="003E1CEF" w:rsidRPr="00D413B9">
        <w:t xml:space="preserve"> has filed the instant petition pursuant to subsection (3) of the rule, which requires IOUs to file supporting data and analyses for updated URD tariffs if the cost differential, using current labor and material costs, varies from the Commission-approved differential by more than ten percent. </w:t>
      </w:r>
      <w:r w:rsidR="00D55C94">
        <w:t>On October 13, 2022, pursuant to Rule 25-6.078</w:t>
      </w:r>
      <w:r w:rsidR="00FE6053">
        <w:t>(3),</w:t>
      </w:r>
      <w:r w:rsidR="00D55C94">
        <w:t xml:space="preserve"> F.A.C., DEF filed their annual Overhead/Underground Residential Differential Cost Data (Form PSC/ECO 13-E).</w:t>
      </w:r>
    </w:p>
    <w:p w:rsidR="003E1CEF" w:rsidRDefault="003E1CEF">
      <w:pPr>
        <w:pStyle w:val="BodyText"/>
      </w:pPr>
      <w:r>
        <w:t>The URD tariffs provide charges for underground service in new residential subdivisions and represent the addition</w:t>
      </w:r>
      <w:r w:rsidR="003A0C84">
        <w:t>al</w:t>
      </w:r>
      <w:r>
        <w:t xml:space="preserve"> costs, if any, the utility incurs to provide underground service in place of overhead service. The cost of standard overhead construction is recovered through base rates from all ratepayers. In lieu</w:t>
      </w:r>
      <w:r w:rsidR="00A14591">
        <w:t xml:space="preserve"> of overhead construction, customers have the option of requesting underground facilities. Any additional cost is paid by the customer as a contribution-in-aid-of-construction (CIAC). Typically, the URD customer is the developer of a subdivision.</w:t>
      </w:r>
    </w:p>
    <w:p w:rsidR="00A14591" w:rsidRDefault="00A14591">
      <w:pPr>
        <w:pStyle w:val="BodyText"/>
      </w:pPr>
      <w:r>
        <w:t>Traditionally, th</w:t>
      </w:r>
      <w:r w:rsidRPr="00D413B9">
        <w:t>ree standard model subdivision designs have been the basis upon which each IOU submits URD tariff changes for Commission approval: low density</w:t>
      </w:r>
      <w:r w:rsidR="00B607B0" w:rsidRPr="00D413B9">
        <w:t xml:space="preserve"> where there are </w:t>
      </w:r>
      <w:r w:rsidR="00FE0F84">
        <w:t>one</w:t>
      </w:r>
      <w:r w:rsidR="00B607B0" w:rsidRPr="00D413B9">
        <w:t xml:space="preserve"> or more but less than </w:t>
      </w:r>
      <w:r w:rsidR="00FE0F84">
        <w:t>six</w:t>
      </w:r>
      <w:r w:rsidR="00B607B0" w:rsidRPr="00D413B9">
        <w:t xml:space="preserve"> dwelling units per acre</w:t>
      </w:r>
      <w:r w:rsidR="003A0C84">
        <w:t>;</w:t>
      </w:r>
      <w:r w:rsidR="003A0C84" w:rsidRPr="00D413B9">
        <w:t xml:space="preserve"> </w:t>
      </w:r>
      <w:r w:rsidRPr="00D413B9">
        <w:t>high density</w:t>
      </w:r>
      <w:r w:rsidR="00B607B0" w:rsidRPr="00D413B9">
        <w:t xml:space="preserve"> where there are </w:t>
      </w:r>
      <w:r w:rsidR="00FE0F84">
        <w:t>six</w:t>
      </w:r>
      <w:r w:rsidR="00B607B0" w:rsidRPr="00D413B9">
        <w:t xml:space="preserve"> or more dwelling units per acre</w:t>
      </w:r>
      <w:r w:rsidR="003A0C84">
        <w:t>;</w:t>
      </w:r>
      <w:r w:rsidR="003A0C84" w:rsidRPr="00D413B9">
        <w:t xml:space="preserve"> </w:t>
      </w:r>
      <w:r w:rsidRPr="00D413B9">
        <w:t>and a high density subdivision</w:t>
      </w:r>
      <w:r w:rsidR="003A0C84">
        <w:t>,</w:t>
      </w:r>
      <w:r w:rsidRPr="00D413B9">
        <w:t xml:space="preserve"> where dwelling units take service at ganged meter pedestals (group of meters at the same physical location). While actual construction may differ from the model subdivisions</w:t>
      </w:r>
      <w:r w:rsidR="00560721">
        <w:t>,</w:t>
      </w:r>
      <w:r w:rsidRPr="00D413B9">
        <w:t xml:space="preserve"> the model subdivisions are designed to reflect average overhead and underground subdivisions.</w:t>
      </w:r>
    </w:p>
    <w:p w:rsidR="00A14591" w:rsidRPr="00D413B9" w:rsidRDefault="00A14591" w:rsidP="00D07BB0">
      <w:pPr>
        <w:pStyle w:val="BodyText"/>
      </w:pPr>
      <w:r>
        <w:t>Costs for underground construction have historicall</w:t>
      </w:r>
      <w:r w:rsidRPr="00D413B9">
        <w:t>y been higher than costs for standard overhead construction</w:t>
      </w:r>
      <w:r w:rsidR="003A0C84">
        <w:t>,</w:t>
      </w:r>
      <w:r w:rsidRPr="00D413B9">
        <w:t xml:space="preserve"> and the addition</w:t>
      </w:r>
      <w:r w:rsidR="003A0C84">
        <w:t>al</w:t>
      </w:r>
      <w:r w:rsidRPr="00D413B9">
        <w:t xml:space="preserve"> cost is paid by the customer as CIAC. </w:t>
      </w:r>
      <w:r w:rsidR="003F4370" w:rsidRPr="00D413B9">
        <w:t xml:space="preserve">However, </w:t>
      </w:r>
      <w:r w:rsidRPr="00D413B9">
        <w:t>D</w:t>
      </w:r>
      <w:r w:rsidR="004D373D" w:rsidRPr="00D413B9">
        <w:t>EF</w:t>
      </w:r>
      <w:r w:rsidRPr="00D413B9">
        <w:t>’s proposed URD differential charges remain $0 per lot for the low density and ganged meter subdivisions</w:t>
      </w:r>
      <w:r w:rsidR="00560721">
        <w:t xml:space="preserve"> for single phase service</w:t>
      </w:r>
      <w:r w:rsidRPr="00D413B9">
        <w:t>. For the high density subdivision, the</w:t>
      </w:r>
      <w:r w:rsidR="007524E3">
        <w:t xml:space="preserve"> proposed differential increases</w:t>
      </w:r>
      <w:r w:rsidRPr="00D413B9">
        <w:t xml:space="preserve"> from the current $0 to $332 per lot. The increase in the differentials is primarily attributable to</w:t>
      </w:r>
      <w:r w:rsidR="003F4370" w:rsidRPr="00D413B9">
        <w:t xml:space="preserve"> significant</w:t>
      </w:r>
      <w:r w:rsidRPr="00D413B9">
        <w:t xml:space="preserve"> changes in D</w:t>
      </w:r>
      <w:r w:rsidR="004D373D" w:rsidRPr="00D413B9">
        <w:t>EF</w:t>
      </w:r>
      <w:r w:rsidRPr="00D413B9">
        <w:t>’s labor, and material costs</w:t>
      </w:r>
      <w:r w:rsidR="003F4370" w:rsidRPr="00D413B9">
        <w:t xml:space="preserve">, since the last URD </w:t>
      </w:r>
      <w:r w:rsidR="00560721">
        <w:t xml:space="preserve">was </w:t>
      </w:r>
      <w:r w:rsidR="003F4370" w:rsidRPr="00D413B9">
        <w:t>approved</w:t>
      </w:r>
      <w:r w:rsidR="00560721">
        <w:t xml:space="preserve"> for DEF in </w:t>
      </w:r>
      <w:r w:rsidR="00FE0F84">
        <w:t>2020</w:t>
      </w:r>
      <w:r w:rsidRPr="00D413B9">
        <w:t>.</w:t>
      </w:r>
    </w:p>
    <w:p w:rsidR="00C07128" w:rsidRDefault="00A14591" w:rsidP="00C07128">
      <w:pPr>
        <w:pStyle w:val="BodyText"/>
        <w:spacing w:after="0"/>
      </w:pPr>
      <w:r w:rsidRPr="00D413B9">
        <w:t xml:space="preserve">Table 1-1 </w:t>
      </w:r>
      <w:r w:rsidR="004D373D" w:rsidRPr="00D413B9">
        <w:t>below compares the</w:t>
      </w:r>
      <w:r w:rsidRPr="00D413B9">
        <w:t xml:space="preserve"> current and proposed URD differe</w:t>
      </w:r>
      <w:r>
        <w:t>ntials for the low density, high density, and ganged meter subdivisions</w:t>
      </w:r>
      <w:r w:rsidR="00560721">
        <w:t xml:space="preserve"> for single phase service</w:t>
      </w:r>
      <w:r w:rsidR="00FB3F69">
        <w:t xml:space="preserve"> as appears in Section </w:t>
      </w:r>
      <w:r w:rsidR="00D80879">
        <w:t xml:space="preserve">IV, Part </w:t>
      </w:r>
      <w:r w:rsidR="00FB3F69">
        <w:t>11.03 of the current and proposed URD tariff</w:t>
      </w:r>
      <w:r>
        <w:t>. The charges shown are per-lot charges.</w:t>
      </w:r>
      <w:r w:rsidR="00BC6DC3">
        <w:t xml:space="preserve"> </w:t>
      </w:r>
      <w:r w:rsidR="00240C3B">
        <w:t xml:space="preserve">The </w:t>
      </w:r>
      <w:r w:rsidR="00B276BE">
        <w:t>p</w:t>
      </w:r>
      <w:r w:rsidR="00240C3B">
        <w:t xml:space="preserve">roposed URD </w:t>
      </w:r>
      <w:r w:rsidR="00B276BE">
        <w:t>d</w:t>
      </w:r>
      <w:r w:rsidR="00240C3B">
        <w:t xml:space="preserve">ifferential for the High Density subdivision is </w:t>
      </w:r>
      <w:r w:rsidR="00437155">
        <w:t xml:space="preserve">increasing due to </w:t>
      </w:r>
      <w:r w:rsidR="00D33F1C">
        <w:t xml:space="preserve">an increase in </w:t>
      </w:r>
      <w:r w:rsidR="00240C3B">
        <w:t xml:space="preserve">labor and </w:t>
      </w:r>
      <w:r w:rsidR="00437155">
        <w:t>materials</w:t>
      </w:r>
      <w:r w:rsidR="00421529">
        <w:t>,</w:t>
      </w:r>
      <w:r w:rsidR="00240C3B">
        <w:t xml:space="preserve"> </w:t>
      </w:r>
      <w:r w:rsidR="00D33F1C">
        <w:t xml:space="preserve">but </w:t>
      </w:r>
      <w:r w:rsidR="00437155">
        <w:t>more so for underground</w:t>
      </w:r>
      <w:r w:rsidR="00240C3B">
        <w:t xml:space="preserve"> than overhead</w:t>
      </w:r>
      <w:r w:rsidR="00437155">
        <w:t xml:space="preserve">. The increase shown below is </w:t>
      </w:r>
      <w:r w:rsidR="00437155">
        <w:lastRenderedPageBreak/>
        <w:t>due primarily</w:t>
      </w:r>
      <w:r w:rsidR="00FF3260">
        <w:t xml:space="preserve"> to rising material costs</w:t>
      </w:r>
      <w:r w:rsidR="00437155">
        <w:t xml:space="preserve"> </w:t>
      </w:r>
      <w:r w:rsidR="00FF3260">
        <w:t xml:space="preserve">as well as </w:t>
      </w:r>
      <w:r w:rsidR="00437155">
        <w:t xml:space="preserve">the </w:t>
      </w:r>
      <w:r w:rsidR="00D55C94">
        <w:t>utility</w:t>
      </w:r>
      <w:r w:rsidR="00437155">
        <w:t xml:space="preserve"> contracting labor to perform underground activities as opposed to the native crews whi</w:t>
      </w:r>
      <w:r w:rsidR="00FF3260">
        <w:t>ch perform overhead activities.</w:t>
      </w:r>
    </w:p>
    <w:p w:rsidR="002671A0" w:rsidRDefault="002671A0" w:rsidP="00C07128">
      <w:pPr>
        <w:pStyle w:val="BodyText"/>
        <w:spacing w:after="0"/>
      </w:pPr>
      <w:bookmarkStart w:id="15" w:name="_GoBack"/>
      <w:bookmarkEnd w:id="15"/>
    </w:p>
    <w:p w:rsidR="00A14591" w:rsidRPr="00C07128" w:rsidRDefault="00A14591" w:rsidP="00C07128">
      <w:pPr>
        <w:pStyle w:val="BodyText"/>
        <w:spacing w:after="0"/>
        <w:jc w:val="center"/>
        <w:rPr>
          <w:rFonts w:ascii="Arial" w:hAnsi="Arial" w:cs="Arial"/>
          <w:b/>
        </w:rPr>
      </w:pPr>
      <w:r w:rsidRPr="00C07128">
        <w:rPr>
          <w:rFonts w:ascii="Arial" w:hAnsi="Arial" w:cs="Arial"/>
          <w:b/>
        </w:rPr>
        <w:t xml:space="preserve">Table </w:t>
      </w:r>
      <w:r w:rsidR="00CF1AFA" w:rsidRPr="00C07128">
        <w:rPr>
          <w:rFonts w:ascii="Arial" w:hAnsi="Arial" w:cs="Arial"/>
          <w:b/>
        </w:rPr>
        <w:fldChar w:fldCharType="begin"/>
      </w:r>
      <w:r w:rsidR="00CF1AFA" w:rsidRPr="00C07128">
        <w:rPr>
          <w:rFonts w:ascii="Arial" w:hAnsi="Arial" w:cs="Arial"/>
          <w:b/>
        </w:rPr>
        <w:instrText xml:space="preserve"> SEQ Issue \c </w:instrText>
      </w:r>
      <w:r w:rsidR="00CF1AFA" w:rsidRPr="00C07128">
        <w:rPr>
          <w:rFonts w:ascii="Arial" w:hAnsi="Arial" w:cs="Arial"/>
          <w:b/>
        </w:rPr>
        <w:fldChar w:fldCharType="separate"/>
      </w:r>
      <w:r w:rsidR="00C12353">
        <w:rPr>
          <w:rFonts w:ascii="Arial" w:hAnsi="Arial" w:cs="Arial"/>
          <w:b/>
          <w:noProof/>
        </w:rPr>
        <w:t>1</w:t>
      </w:r>
      <w:r w:rsidR="00CF1AFA" w:rsidRPr="00C07128">
        <w:rPr>
          <w:rFonts w:ascii="Arial" w:hAnsi="Arial" w:cs="Arial"/>
          <w:b/>
          <w:noProof/>
        </w:rPr>
        <w:fldChar w:fldCharType="end"/>
      </w:r>
      <w:r w:rsidRPr="00C07128">
        <w:rPr>
          <w:rFonts w:ascii="Arial" w:hAnsi="Arial" w:cs="Arial"/>
          <w:b/>
        </w:rPr>
        <w:t>-1</w:t>
      </w:r>
    </w:p>
    <w:p w:rsidR="00A14591" w:rsidRPr="00D413B9" w:rsidRDefault="00A14591" w:rsidP="00C07128">
      <w:pPr>
        <w:pStyle w:val="TableTitle"/>
        <w:keepNext/>
      </w:pPr>
      <w:r w:rsidRPr="00D413B9">
        <w:t>Comparison of URD Differential per Lot</w:t>
      </w:r>
      <w:r w:rsidR="00560721">
        <w:t xml:space="preserve"> (Single Phase Service)</w:t>
      </w:r>
    </w:p>
    <w:tbl>
      <w:tblPr>
        <w:tblStyle w:val="TableGrid"/>
        <w:tblW w:w="9360" w:type="dxa"/>
        <w:tblInd w:w="108" w:type="dxa"/>
        <w:tblLook w:val="04A0" w:firstRow="1" w:lastRow="0" w:firstColumn="1" w:lastColumn="0" w:noHBand="0" w:noVBand="1"/>
      </w:tblPr>
      <w:tblGrid>
        <w:gridCol w:w="3510"/>
        <w:gridCol w:w="2970"/>
        <w:gridCol w:w="2880"/>
      </w:tblGrid>
      <w:tr w:rsidR="00A14591" w:rsidRPr="00D413B9" w:rsidTr="00C07128">
        <w:tc>
          <w:tcPr>
            <w:tcW w:w="3510" w:type="dxa"/>
            <w:vAlign w:val="center"/>
          </w:tcPr>
          <w:p w:rsidR="00A14591" w:rsidRPr="00D413B9" w:rsidRDefault="00A14591" w:rsidP="00987E67">
            <w:pPr>
              <w:jc w:val="center"/>
              <w:rPr>
                <w:b/>
              </w:rPr>
            </w:pPr>
            <w:r w:rsidRPr="00D413B9">
              <w:rPr>
                <w:b/>
              </w:rPr>
              <w:t>Subdivision</w:t>
            </w:r>
            <w:r w:rsidR="00572513">
              <w:rPr>
                <w:b/>
              </w:rPr>
              <w:t xml:space="preserve"> Designs</w:t>
            </w:r>
          </w:p>
        </w:tc>
        <w:tc>
          <w:tcPr>
            <w:tcW w:w="2970" w:type="dxa"/>
          </w:tcPr>
          <w:p w:rsidR="00987E67" w:rsidRDefault="00A14591" w:rsidP="00897E53">
            <w:pPr>
              <w:jc w:val="center"/>
              <w:rPr>
                <w:b/>
              </w:rPr>
            </w:pPr>
            <w:r w:rsidRPr="00D413B9">
              <w:rPr>
                <w:b/>
              </w:rPr>
              <w:t xml:space="preserve">Current </w:t>
            </w:r>
          </w:p>
          <w:p w:rsidR="00A14591" w:rsidRPr="00D413B9" w:rsidRDefault="00A14591" w:rsidP="00897E53">
            <w:pPr>
              <w:jc w:val="center"/>
              <w:rPr>
                <w:b/>
              </w:rPr>
            </w:pPr>
            <w:r w:rsidRPr="00D413B9">
              <w:rPr>
                <w:b/>
              </w:rPr>
              <w:t>URD Differential</w:t>
            </w:r>
          </w:p>
        </w:tc>
        <w:tc>
          <w:tcPr>
            <w:tcW w:w="2880" w:type="dxa"/>
          </w:tcPr>
          <w:p w:rsidR="00987E67" w:rsidRDefault="00A14591" w:rsidP="00897E53">
            <w:pPr>
              <w:jc w:val="center"/>
              <w:rPr>
                <w:b/>
              </w:rPr>
            </w:pPr>
            <w:r w:rsidRPr="00D413B9">
              <w:rPr>
                <w:b/>
              </w:rPr>
              <w:t xml:space="preserve">Proposed </w:t>
            </w:r>
          </w:p>
          <w:p w:rsidR="00A14591" w:rsidRPr="00D413B9" w:rsidRDefault="00A14591" w:rsidP="00897E53">
            <w:pPr>
              <w:jc w:val="center"/>
              <w:rPr>
                <w:b/>
              </w:rPr>
            </w:pPr>
            <w:r w:rsidRPr="00D413B9">
              <w:rPr>
                <w:b/>
              </w:rPr>
              <w:t>URD Differential</w:t>
            </w:r>
          </w:p>
        </w:tc>
      </w:tr>
      <w:tr w:rsidR="00A14591" w:rsidRPr="00D413B9" w:rsidTr="00C07128">
        <w:tc>
          <w:tcPr>
            <w:tcW w:w="3510" w:type="dxa"/>
          </w:tcPr>
          <w:p w:rsidR="00A14591" w:rsidRPr="00D413B9" w:rsidRDefault="00A14591" w:rsidP="00897E53">
            <w:r w:rsidRPr="00D413B9">
              <w:t>Low Density</w:t>
            </w:r>
          </w:p>
        </w:tc>
        <w:tc>
          <w:tcPr>
            <w:tcW w:w="2970" w:type="dxa"/>
          </w:tcPr>
          <w:p w:rsidR="00A14591" w:rsidRPr="00D413B9" w:rsidRDefault="00A14591" w:rsidP="00897E53">
            <w:pPr>
              <w:jc w:val="center"/>
            </w:pPr>
            <w:r w:rsidRPr="00D413B9">
              <w:t>$0</w:t>
            </w:r>
          </w:p>
        </w:tc>
        <w:tc>
          <w:tcPr>
            <w:tcW w:w="2880" w:type="dxa"/>
          </w:tcPr>
          <w:p w:rsidR="00A14591" w:rsidRPr="00D413B9" w:rsidRDefault="00A14591" w:rsidP="00897E53">
            <w:pPr>
              <w:jc w:val="center"/>
            </w:pPr>
            <w:r w:rsidRPr="00D413B9">
              <w:t>$0</w:t>
            </w:r>
          </w:p>
        </w:tc>
      </w:tr>
      <w:tr w:rsidR="00A14591" w:rsidRPr="00D413B9" w:rsidTr="00C07128">
        <w:tc>
          <w:tcPr>
            <w:tcW w:w="3510" w:type="dxa"/>
          </w:tcPr>
          <w:p w:rsidR="00A14591" w:rsidRPr="00D413B9" w:rsidRDefault="00A14591" w:rsidP="00897E53">
            <w:r w:rsidRPr="00D413B9">
              <w:t>High Density</w:t>
            </w:r>
          </w:p>
        </w:tc>
        <w:tc>
          <w:tcPr>
            <w:tcW w:w="2970" w:type="dxa"/>
          </w:tcPr>
          <w:p w:rsidR="00A14591" w:rsidRPr="00D413B9" w:rsidRDefault="00A14591" w:rsidP="00897E53">
            <w:pPr>
              <w:jc w:val="center"/>
            </w:pPr>
            <w:r w:rsidRPr="00D413B9">
              <w:t>$0</w:t>
            </w:r>
          </w:p>
        </w:tc>
        <w:tc>
          <w:tcPr>
            <w:tcW w:w="2880" w:type="dxa"/>
          </w:tcPr>
          <w:p w:rsidR="00A14591" w:rsidRPr="00D413B9" w:rsidRDefault="00A14591" w:rsidP="00897E53">
            <w:pPr>
              <w:jc w:val="center"/>
            </w:pPr>
            <w:r w:rsidRPr="00D413B9">
              <w:t>$332</w:t>
            </w:r>
          </w:p>
        </w:tc>
      </w:tr>
      <w:tr w:rsidR="00A14591" w:rsidRPr="00D413B9" w:rsidTr="00C07128">
        <w:tc>
          <w:tcPr>
            <w:tcW w:w="3510" w:type="dxa"/>
          </w:tcPr>
          <w:p w:rsidR="00A14591" w:rsidRPr="00D413B9" w:rsidRDefault="00A14591" w:rsidP="003F4370">
            <w:pPr>
              <w:jc w:val="both"/>
            </w:pPr>
            <w:r w:rsidRPr="00D413B9">
              <w:t>Ganged Meter</w:t>
            </w:r>
          </w:p>
        </w:tc>
        <w:tc>
          <w:tcPr>
            <w:tcW w:w="2970" w:type="dxa"/>
          </w:tcPr>
          <w:p w:rsidR="00A14591" w:rsidRPr="00D413B9" w:rsidRDefault="00A14591" w:rsidP="00897E53">
            <w:pPr>
              <w:jc w:val="center"/>
            </w:pPr>
            <w:r w:rsidRPr="00D413B9">
              <w:t>$0</w:t>
            </w:r>
          </w:p>
        </w:tc>
        <w:tc>
          <w:tcPr>
            <w:tcW w:w="2880" w:type="dxa"/>
          </w:tcPr>
          <w:p w:rsidR="00A14591" w:rsidRPr="00D413B9" w:rsidRDefault="00A14591" w:rsidP="00897E53">
            <w:pPr>
              <w:jc w:val="center"/>
            </w:pPr>
            <w:r w:rsidRPr="00D413B9">
              <w:t>$0</w:t>
            </w:r>
          </w:p>
        </w:tc>
      </w:tr>
    </w:tbl>
    <w:p w:rsidR="00A14591" w:rsidRPr="00D413B9" w:rsidRDefault="00A14591" w:rsidP="00C07128">
      <w:pPr>
        <w:pStyle w:val="TableSource"/>
        <w:spacing w:after="0"/>
        <w:rPr>
          <w:sz w:val="20"/>
          <w:szCs w:val="20"/>
        </w:rPr>
      </w:pPr>
      <w:r w:rsidRPr="00D413B9">
        <w:rPr>
          <w:sz w:val="20"/>
          <w:szCs w:val="20"/>
        </w:rPr>
        <w:t>Source: Order</w:t>
      </w:r>
      <w:r w:rsidR="007524E3">
        <w:rPr>
          <w:sz w:val="20"/>
          <w:szCs w:val="20"/>
        </w:rPr>
        <w:t xml:space="preserve"> No.</w:t>
      </w:r>
      <w:r w:rsidRPr="00D413B9">
        <w:rPr>
          <w:sz w:val="20"/>
          <w:szCs w:val="20"/>
        </w:rPr>
        <w:t xml:space="preserve"> PSC-2020-0</w:t>
      </w:r>
      <w:r w:rsidR="001A1906">
        <w:rPr>
          <w:sz w:val="20"/>
          <w:szCs w:val="20"/>
        </w:rPr>
        <w:t>266</w:t>
      </w:r>
      <w:r w:rsidRPr="00D413B9">
        <w:rPr>
          <w:sz w:val="20"/>
          <w:szCs w:val="20"/>
        </w:rPr>
        <w:t xml:space="preserve">-TRF-EI </w:t>
      </w:r>
      <w:r w:rsidR="003F4370" w:rsidRPr="00D413B9">
        <w:rPr>
          <w:sz w:val="20"/>
          <w:szCs w:val="20"/>
        </w:rPr>
        <w:t xml:space="preserve">(Current) </w:t>
      </w:r>
      <w:r w:rsidRPr="00D413B9">
        <w:rPr>
          <w:sz w:val="20"/>
          <w:szCs w:val="20"/>
        </w:rPr>
        <w:t>and D</w:t>
      </w:r>
      <w:r w:rsidR="00F87AEB" w:rsidRPr="00D413B9">
        <w:rPr>
          <w:sz w:val="20"/>
          <w:szCs w:val="20"/>
        </w:rPr>
        <w:t>EF</w:t>
      </w:r>
      <w:r w:rsidRPr="00D413B9">
        <w:rPr>
          <w:sz w:val="20"/>
          <w:szCs w:val="20"/>
        </w:rPr>
        <w:t>’s 2023 Petition</w:t>
      </w:r>
      <w:r w:rsidR="003F4370" w:rsidRPr="00D413B9">
        <w:rPr>
          <w:sz w:val="20"/>
          <w:szCs w:val="20"/>
        </w:rPr>
        <w:t xml:space="preserve"> (Proposed).</w:t>
      </w:r>
    </w:p>
    <w:p w:rsidR="00C07128" w:rsidRDefault="00C07128" w:rsidP="00C07128">
      <w:pPr>
        <w:pStyle w:val="BodyText"/>
        <w:spacing w:after="0"/>
      </w:pPr>
    </w:p>
    <w:p w:rsidR="00A14591" w:rsidRDefault="00A14591" w:rsidP="00C07128">
      <w:pPr>
        <w:pStyle w:val="BodyText"/>
        <w:spacing w:after="0"/>
      </w:pPr>
      <w:r w:rsidRPr="00D413B9">
        <w:t>The calculations of the proposed URD charges include (1) updated labor and material costs along with the associated loading factors and (2) operational costs. The costs are discussed below.</w:t>
      </w:r>
    </w:p>
    <w:p w:rsidR="00C07128" w:rsidRPr="00D413B9" w:rsidRDefault="00C07128" w:rsidP="00C07128">
      <w:pPr>
        <w:pStyle w:val="BodyText"/>
        <w:spacing w:after="0"/>
      </w:pPr>
    </w:p>
    <w:p w:rsidR="00A14591" w:rsidRPr="00D413B9" w:rsidRDefault="001A1906" w:rsidP="00A14591">
      <w:pPr>
        <w:pStyle w:val="First-LevelSubheading"/>
      </w:pPr>
      <w:r>
        <w:t xml:space="preserve">Updated </w:t>
      </w:r>
      <w:r w:rsidR="00A14591" w:rsidRPr="00D413B9">
        <w:t>Labor and Material Costs</w:t>
      </w:r>
    </w:p>
    <w:p w:rsidR="00A14591" w:rsidRPr="00D413B9" w:rsidRDefault="00A14591" w:rsidP="00A14591">
      <w:pPr>
        <w:pStyle w:val="BodyText"/>
      </w:pPr>
      <w:r w:rsidRPr="00D413B9">
        <w:t>The installation costs of both overhead and underground facilities include the labor and material costs to provide primary, secondary, and service distribution lines, as well as transformers. The costs of poles are specific to overhead service while the costs of trenching and backfilling are specific to underground service. The utilitie</w:t>
      </w:r>
      <w:r w:rsidR="007524E3">
        <w:t>s are required by Rule 25-6.078</w:t>
      </w:r>
      <w:r w:rsidRPr="00D413B9">
        <w:t>(5), F.A.C., to use current labor and material costs.</w:t>
      </w:r>
    </w:p>
    <w:p w:rsidR="00A14591" w:rsidRDefault="00A14591" w:rsidP="00C07128">
      <w:pPr>
        <w:pStyle w:val="BodyText"/>
        <w:spacing w:after="0"/>
      </w:pPr>
      <w:r w:rsidRPr="00D413B9">
        <w:t>D</w:t>
      </w:r>
      <w:r w:rsidR="003F4370" w:rsidRPr="00D413B9">
        <w:t>EF</w:t>
      </w:r>
      <w:r w:rsidRPr="00D413B9">
        <w:t>’s labor costs for overhead and underground construction are comprised of costs associated with work performed by both in-house employees and outside contractors. D</w:t>
      </w:r>
      <w:r w:rsidR="00F87AEB" w:rsidRPr="00D413B9">
        <w:t>EF</w:t>
      </w:r>
      <w:r w:rsidRPr="00D413B9">
        <w:t xml:space="preserve">’s contracted labor rates are based upon actual labor costs negotiated in bargaining unit contracts and labor rates with contractors. Table 1-2 </w:t>
      </w:r>
      <w:r w:rsidR="003F4370" w:rsidRPr="00D413B9">
        <w:t xml:space="preserve">shown below </w:t>
      </w:r>
      <w:r w:rsidRPr="00D413B9">
        <w:t>compares total 2020 and 2023 labor and material costs</w:t>
      </w:r>
      <w:r w:rsidR="003F4370" w:rsidRPr="00D413B9">
        <w:t xml:space="preserve"> per lot</w:t>
      </w:r>
      <w:r w:rsidRPr="00D413B9">
        <w:t xml:space="preserve"> for the three subdivision</w:t>
      </w:r>
      <w:r w:rsidR="00572513">
        <w:t xml:space="preserve"> designs</w:t>
      </w:r>
      <w:r w:rsidRPr="00D413B9">
        <w:t>.</w:t>
      </w:r>
    </w:p>
    <w:p w:rsidR="00C07128" w:rsidRPr="00D413B9" w:rsidRDefault="00C07128" w:rsidP="00C07128">
      <w:pPr>
        <w:pStyle w:val="BodyText"/>
        <w:spacing w:after="0"/>
      </w:pPr>
    </w:p>
    <w:p w:rsidR="00A14591" w:rsidRPr="00D413B9" w:rsidRDefault="00A14591" w:rsidP="00C07128">
      <w:pPr>
        <w:pStyle w:val="TableNumber"/>
        <w:keepNext/>
        <w:spacing w:before="0"/>
      </w:pPr>
      <w:r w:rsidRPr="00D413B9">
        <w:t xml:space="preserve">Table </w:t>
      </w:r>
      <w:fldSimple w:instr=" SEQ Issue \c ">
        <w:r w:rsidR="00C12353">
          <w:rPr>
            <w:noProof/>
          </w:rPr>
          <w:t>1</w:t>
        </w:r>
      </w:fldSimple>
      <w:r w:rsidRPr="00D413B9">
        <w:t>-2</w:t>
      </w:r>
    </w:p>
    <w:p w:rsidR="00A14591" w:rsidRPr="00D413B9" w:rsidRDefault="00A14591" w:rsidP="00A14591">
      <w:pPr>
        <w:pStyle w:val="TableTitle"/>
        <w:keepNext/>
      </w:pPr>
      <w:r w:rsidRPr="00D413B9">
        <w:t xml:space="preserve">Labor and Material Costs </w:t>
      </w:r>
      <w:r w:rsidR="007524E3">
        <w:t>P</w:t>
      </w:r>
      <w:r w:rsidRPr="00D413B9">
        <w:t>er Lot</w:t>
      </w:r>
      <w:r w:rsidR="00987E67">
        <w:t xml:space="preserve"> for DEF Trench and Install Conduit</w:t>
      </w:r>
    </w:p>
    <w:tbl>
      <w:tblPr>
        <w:tblStyle w:val="TableGrid"/>
        <w:tblW w:w="0" w:type="auto"/>
        <w:jc w:val="center"/>
        <w:tblLook w:val="04A0" w:firstRow="1" w:lastRow="0" w:firstColumn="1" w:lastColumn="0" w:noHBand="0" w:noVBand="1"/>
      </w:tblPr>
      <w:tblGrid>
        <w:gridCol w:w="4834"/>
        <w:gridCol w:w="1440"/>
        <w:gridCol w:w="1530"/>
        <w:gridCol w:w="1641"/>
      </w:tblGrid>
      <w:tr w:rsidR="00A14591" w:rsidRPr="00D413B9" w:rsidTr="00D17B12">
        <w:trPr>
          <w:jc w:val="center"/>
        </w:trPr>
        <w:tc>
          <w:tcPr>
            <w:tcW w:w="4834" w:type="dxa"/>
          </w:tcPr>
          <w:p w:rsidR="00A14591" w:rsidRPr="00070F2D" w:rsidRDefault="00070F2D" w:rsidP="00897E53">
            <w:pPr>
              <w:jc w:val="both"/>
              <w:rPr>
                <w:b/>
              </w:rPr>
            </w:pPr>
            <w:r>
              <w:rPr>
                <w:b/>
              </w:rPr>
              <w:t>Subdivision Designs</w:t>
            </w:r>
          </w:p>
        </w:tc>
        <w:tc>
          <w:tcPr>
            <w:tcW w:w="1440" w:type="dxa"/>
          </w:tcPr>
          <w:p w:rsidR="00A14591" w:rsidRPr="00D413B9" w:rsidRDefault="00A14591" w:rsidP="00897E53">
            <w:pPr>
              <w:jc w:val="center"/>
              <w:rPr>
                <w:b/>
              </w:rPr>
            </w:pPr>
            <w:r w:rsidRPr="00D413B9">
              <w:rPr>
                <w:b/>
              </w:rPr>
              <w:t>2020 Costs</w:t>
            </w:r>
          </w:p>
        </w:tc>
        <w:tc>
          <w:tcPr>
            <w:tcW w:w="1530" w:type="dxa"/>
          </w:tcPr>
          <w:p w:rsidR="00A14591" w:rsidRPr="00D413B9" w:rsidRDefault="00A14591" w:rsidP="00897E53">
            <w:pPr>
              <w:jc w:val="center"/>
              <w:rPr>
                <w:b/>
              </w:rPr>
            </w:pPr>
            <w:r w:rsidRPr="00D413B9">
              <w:rPr>
                <w:b/>
              </w:rPr>
              <w:t>2023 Costs</w:t>
            </w:r>
          </w:p>
        </w:tc>
        <w:tc>
          <w:tcPr>
            <w:tcW w:w="1641" w:type="dxa"/>
          </w:tcPr>
          <w:p w:rsidR="00A14591" w:rsidRPr="00D413B9" w:rsidRDefault="00A14591" w:rsidP="00897E53">
            <w:pPr>
              <w:jc w:val="center"/>
              <w:rPr>
                <w:b/>
              </w:rPr>
            </w:pPr>
            <w:r w:rsidRPr="00D413B9">
              <w:rPr>
                <w:b/>
              </w:rPr>
              <w:t>Difference</w:t>
            </w:r>
          </w:p>
        </w:tc>
      </w:tr>
      <w:tr w:rsidR="00A14591" w:rsidRPr="00D413B9" w:rsidTr="00D17B12">
        <w:trPr>
          <w:jc w:val="center"/>
        </w:trPr>
        <w:tc>
          <w:tcPr>
            <w:tcW w:w="9445" w:type="dxa"/>
            <w:gridSpan w:val="4"/>
          </w:tcPr>
          <w:p w:rsidR="00A14591" w:rsidRPr="00D413B9" w:rsidRDefault="00A14591" w:rsidP="00897E53">
            <w:pPr>
              <w:jc w:val="both"/>
              <w:rPr>
                <w:b/>
              </w:rPr>
            </w:pPr>
            <w:r w:rsidRPr="00D413B9">
              <w:rPr>
                <w:b/>
              </w:rPr>
              <w:t>Low Density</w:t>
            </w:r>
          </w:p>
        </w:tc>
      </w:tr>
      <w:tr w:rsidR="00A14591" w:rsidRPr="00D413B9" w:rsidTr="00D17B12">
        <w:trPr>
          <w:jc w:val="center"/>
        </w:trPr>
        <w:tc>
          <w:tcPr>
            <w:tcW w:w="4834" w:type="dxa"/>
          </w:tcPr>
          <w:p w:rsidR="00A14591" w:rsidRPr="00D413B9" w:rsidRDefault="00A14591" w:rsidP="007524E3">
            <w:pPr>
              <w:jc w:val="both"/>
            </w:pPr>
            <w:r w:rsidRPr="00D413B9">
              <w:t xml:space="preserve">Underground Labor/Material </w:t>
            </w:r>
            <w:r w:rsidR="007524E3">
              <w:t>C</w:t>
            </w:r>
            <w:r w:rsidRPr="00D413B9">
              <w:t>osts</w:t>
            </w:r>
          </w:p>
        </w:tc>
        <w:tc>
          <w:tcPr>
            <w:tcW w:w="1440" w:type="dxa"/>
          </w:tcPr>
          <w:p w:rsidR="00A14591" w:rsidRPr="00D413B9" w:rsidRDefault="00A14591" w:rsidP="00897E53">
            <w:pPr>
              <w:jc w:val="center"/>
            </w:pPr>
            <w:r w:rsidRPr="00D413B9">
              <w:t>$2,263</w:t>
            </w:r>
          </w:p>
        </w:tc>
        <w:tc>
          <w:tcPr>
            <w:tcW w:w="1530" w:type="dxa"/>
          </w:tcPr>
          <w:p w:rsidR="00A14591" w:rsidRPr="00D413B9" w:rsidRDefault="00A14591" w:rsidP="00897E53">
            <w:pPr>
              <w:jc w:val="center"/>
            </w:pPr>
            <w:r w:rsidRPr="00D413B9">
              <w:t>$3,454</w:t>
            </w:r>
          </w:p>
        </w:tc>
        <w:tc>
          <w:tcPr>
            <w:tcW w:w="1641" w:type="dxa"/>
          </w:tcPr>
          <w:p w:rsidR="00A14591" w:rsidRPr="00D413B9" w:rsidRDefault="00A14591" w:rsidP="00897E53">
            <w:pPr>
              <w:jc w:val="center"/>
            </w:pPr>
            <w:r w:rsidRPr="00D413B9">
              <w:t>$1,191</w:t>
            </w:r>
          </w:p>
        </w:tc>
      </w:tr>
      <w:tr w:rsidR="00A14591" w:rsidRPr="00D413B9" w:rsidTr="00D17B12">
        <w:trPr>
          <w:jc w:val="center"/>
        </w:trPr>
        <w:tc>
          <w:tcPr>
            <w:tcW w:w="4834" w:type="dxa"/>
          </w:tcPr>
          <w:p w:rsidR="00A14591" w:rsidRPr="00D413B9" w:rsidRDefault="00A14591" w:rsidP="007524E3">
            <w:pPr>
              <w:jc w:val="both"/>
            </w:pPr>
            <w:r w:rsidRPr="00D413B9">
              <w:t xml:space="preserve">Overhead Labor/Material </w:t>
            </w:r>
            <w:r w:rsidR="007524E3">
              <w:t>C</w:t>
            </w:r>
            <w:r w:rsidRPr="00D413B9">
              <w:t>osts</w:t>
            </w:r>
          </w:p>
        </w:tc>
        <w:tc>
          <w:tcPr>
            <w:tcW w:w="1440" w:type="dxa"/>
          </w:tcPr>
          <w:p w:rsidR="00A14591" w:rsidRPr="00D413B9" w:rsidRDefault="00A14591" w:rsidP="00897E53">
            <w:pPr>
              <w:jc w:val="center"/>
            </w:pPr>
            <w:r w:rsidRPr="00D413B9">
              <w:t>$2,343</w:t>
            </w:r>
          </w:p>
        </w:tc>
        <w:tc>
          <w:tcPr>
            <w:tcW w:w="1530" w:type="dxa"/>
          </w:tcPr>
          <w:p w:rsidR="00A14591" w:rsidRPr="00D413B9" w:rsidRDefault="00A14591" w:rsidP="00897E53">
            <w:pPr>
              <w:jc w:val="center"/>
            </w:pPr>
            <w:r w:rsidRPr="00D413B9">
              <w:t>$2,749</w:t>
            </w:r>
          </w:p>
        </w:tc>
        <w:tc>
          <w:tcPr>
            <w:tcW w:w="1641" w:type="dxa"/>
          </w:tcPr>
          <w:p w:rsidR="00A14591" w:rsidRPr="00D413B9" w:rsidRDefault="00A14591" w:rsidP="00897E53">
            <w:pPr>
              <w:jc w:val="center"/>
            </w:pPr>
            <w:r w:rsidRPr="00D413B9">
              <w:t>$406</w:t>
            </w:r>
          </w:p>
        </w:tc>
      </w:tr>
      <w:tr w:rsidR="00A14591" w:rsidRPr="00D413B9" w:rsidTr="00D17B12">
        <w:trPr>
          <w:jc w:val="center"/>
        </w:trPr>
        <w:tc>
          <w:tcPr>
            <w:tcW w:w="4834" w:type="dxa"/>
          </w:tcPr>
          <w:p w:rsidR="00A14591" w:rsidRPr="00D413B9" w:rsidRDefault="00A14591" w:rsidP="007524E3">
            <w:pPr>
              <w:jc w:val="both"/>
            </w:pPr>
            <w:r w:rsidRPr="00D413B9">
              <w:t xml:space="preserve">Per </w:t>
            </w:r>
            <w:r w:rsidR="007524E3">
              <w:t>L</w:t>
            </w:r>
            <w:r w:rsidRPr="00D413B9">
              <w:t>ot Differential</w:t>
            </w:r>
          </w:p>
        </w:tc>
        <w:tc>
          <w:tcPr>
            <w:tcW w:w="1440" w:type="dxa"/>
          </w:tcPr>
          <w:p w:rsidR="00A14591" w:rsidRPr="00D413B9" w:rsidRDefault="00A14591" w:rsidP="00897E53">
            <w:pPr>
              <w:jc w:val="center"/>
            </w:pPr>
            <w:r w:rsidRPr="00D413B9">
              <w:t>$(80)</w:t>
            </w:r>
          </w:p>
        </w:tc>
        <w:tc>
          <w:tcPr>
            <w:tcW w:w="1530" w:type="dxa"/>
          </w:tcPr>
          <w:p w:rsidR="00A14591" w:rsidRPr="00D413B9" w:rsidRDefault="00A14591" w:rsidP="00897E53">
            <w:pPr>
              <w:jc w:val="center"/>
            </w:pPr>
            <w:r w:rsidRPr="00D413B9">
              <w:t>$705</w:t>
            </w:r>
          </w:p>
        </w:tc>
        <w:tc>
          <w:tcPr>
            <w:tcW w:w="1641" w:type="dxa"/>
          </w:tcPr>
          <w:p w:rsidR="00A14591" w:rsidRPr="00D413B9" w:rsidRDefault="00A14591" w:rsidP="00897E53">
            <w:pPr>
              <w:jc w:val="center"/>
            </w:pPr>
            <w:r w:rsidRPr="00D413B9">
              <w:t>$785</w:t>
            </w:r>
          </w:p>
        </w:tc>
      </w:tr>
      <w:tr w:rsidR="00A14591" w:rsidRPr="00D413B9" w:rsidTr="00D17B12">
        <w:trPr>
          <w:jc w:val="center"/>
        </w:trPr>
        <w:tc>
          <w:tcPr>
            <w:tcW w:w="9445" w:type="dxa"/>
            <w:gridSpan w:val="4"/>
          </w:tcPr>
          <w:p w:rsidR="00A14591" w:rsidRPr="00D413B9" w:rsidRDefault="00A14591" w:rsidP="00897E53">
            <w:pPr>
              <w:jc w:val="both"/>
              <w:rPr>
                <w:b/>
              </w:rPr>
            </w:pPr>
            <w:r w:rsidRPr="00D413B9">
              <w:rPr>
                <w:b/>
              </w:rPr>
              <w:t>High Density</w:t>
            </w:r>
          </w:p>
        </w:tc>
      </w:tr>
      <w:tr w:rsidR="00A14591" w:rsidRPr="00D413B9" w:rsidTr="00D17B12">
        <w:trPr>
          <w:jc w:val="center"/>
        </w:trPr>
        <w:tc>
          <w:tcPr>
            <w:tcW w:w="4834" w:type="dxa"/>
          </w:tcPr>
          <w:p w:rsidR="00A14591" w:rsidRPr="00D413B9" w:rsidRDefault="00A14591" w:rsidP="00897E53">
            <w:pPr>
              <w:jc w:val="both"/>
            </w:pPr>
            <w:r w:rsidRPr="00D413B9">
              <w:t>Underground Labor/Material Costs</w:t>
            </w:r>
          </w:p>
        </w:tc>
        <w:tc>
          <w:tcPr>
            <w:tcW w:w="1440" w:type="dxa"/>
            <w:vAlign w:val="center"/>
          </w:tcPr>
          <w:p w:rsidR="00A14591" w:rsidRPr="00D413B9" w:rsidRDefault="00A14591" w:rsidP="00897E53">
            <w:pPr>
              <w:jc w:val="center"/>
            </w:pPr>
            <w:r w:rsidRPr="00D413B9">
              <w:t>$1,978</w:t>
            </w:r>
          </w:p>
        </w:tc>
        <w:tc>
          <w:tcPr>
            <w:tcW w:w="1530" w:type="dxa"/>
            <w:vAlign w:val="center"/>
          </w:tcPr>
          <w:p w:rsidR="00A14591" w:rsidRPr="00D413B9" w:rsidRDefault="00A14591" w:rsidP="00897E53">
            <w:pPr>
              <w:jc w:val="center"/>
            </w:pPr>
            <w:r w:rsidRPr="00D413B9">
              <w:t>$3,003</w:t>
            </w:r>
          </w:p>
        </w:tc>
        <w:tc>
          <w:tcPr>
            <w:tcW w:w="1641" w:type="dxa"/>
            <w:vAlign w:val="center"/>
          </w:tcPr>
          <w:p w:rsidR="00A14591" w:rsidRPr="00D413B9" w:rsidRDefault="00A14591" w:rsidP="00897E53">
            <w:pPr>
              <w:jc w:val="center"/>
            </w:pPr>
            <w:r w:rsidRPr="00D413B9">
              <w:t>$1,025</w:t>
            </w:r>
          </w:p>
        </w:tc>
      </w:tr>
      <w:tr w:rsidR="00A14591" w:rsidRPr="00D413B9" w:rsidTr="00D17B12">
        <w:trPr>
          <w:jc w:val="center"/>
        </w:trPr>
        <w:tc>
          <w:tcPr>
            <w:tcW w:w="4834" w:type="dxa"/>
          </w:tcPr>
          <w:p w:rsidR="00A14591" w:rsidRPr="00D413B9" w:rsidRDefault="00A14591" w:rsidP="00897E53">
            <w:pPr>
              <w:jc w:val="both"/>
            </w:pPr>
            <w:r w:rsidRPr="00D413B9">
              <w:t>Overhead Labor/Material Costs</w:t>
            </w:r>
          </w:p>
        </w:tc>
        <w:tc>
          <w:tcPr>
            <w:tcW w:w="1440" w:type="dxa"/>
            <w:vAlign w:val="center"/>
          </w:tcPr>
          <w:p w:rsidR="00A14591" w:rsidRPr="00D413B9" w:rsidRDefault="00A14591" w:rsidP="00897E53">
            <w:pPr>
              <w:jc w:val="center"/>
            </w:pPr>
            <w:r w:rsidRPr="00D413B9">
              <w:t>$1,642</w:t>
            </w:r>
          </w:p>
        </w:tc>
        <w:tc>
          <w:tcPr>
            <w:tcW w:w="1530" w:type="dxa"/>
            <w:vAlign w:val="center"/>
          </w:tcPr>
          <w:p w:rsidR="00A14591" w:rsidRPr="00D413B9" w:rsidRDefault="00A14591" w:rsidP="00897E53">
            <w:pPr>
              <w:jc w:val="center"/>
            </w:pPr>
            <w:r w:rsidRPr="00D413B9">
              <w:t>$2,121</w:t>
            </w:r>
          </w:p>
        </w:tc>
        <w:tc>
          <w:tcPr>
            <w:tcW w:w="1641" w:type="dxa"/>
            <w:vAlign w:val="center"/>
          </w:tcPr>
          <w:p w:rsidR="00A14591" w:rsidRPr="00D413B9" w:rsidRDefault="00A14591" w:rsidP="00897E53">
            <w:pPr>
              <w:jc w:val="center"/>
            </w:pPr>
            <w:r w:rsidRPr="00D413B9">
              <w:t>$479</w:t>
            </w:r>
          </w:p>
        </w:tc>
      </w:tr>
      <w:tr w:rsidR="00D82633" w:rsidRPr="00D413B9" w:rsidTr="00D17B12">
        <w:trPr>
          <w:jc w:val="center"/>
        </w:trPr>
        <w:tc>
          <w:tcPr>
            <w:tcW w:w="4834" w:type="dxa"/>
          </w:tcPr>
          <w:p w:rsidR="00D82633" w:rsidRPr="00D413B9" w:rsidRDefault="00D82633" w:rsidP="00D82633">
            <w:pPr>
              <w:jc w:val="both"/>
            </w:pPr>
            <w:r w:rsidRPr="00D413B9">
              <w:t>Per Lot Differential</w:t>
            </w:r>
          </w:p>
        </w:tc>
        <w:tc>
          <w:tcPr>
            <w:tcW w:w="1440" w:type="dxa"/>
            <w:vAlign w:val="center"/>
          </w:tcPr>
          <w:p w:rsidR="00D82633" w:rsidRPr="00D413B9" w:rsidRDefault="00D82633" w:rsidP="00D82633">
            <w:pPr>
              <w:jc w:val="center"/>
            </w:pPr>
            <w:r w:rsidRPr="00D413B9">
              <w:t>$336</w:t>
            </w:r>
          </w:p>
        </w:tc>
        <w:tc>
          <w:tcPr>
            <w:tcW w:w="1530" w:type="dxa"/>
            <w:vAlign w:val="center"/>
          </w:tcPr>
          <w:p w:rsidR="00D82633" w:rsidRPr="00D413B9" w:rsidRDefault="00D82633" w:rsidP="00D82633">
            <w:pPr>
              <w:jc w:val="center"/>
            </w:pPr>
            <w:r w:rsidRPr="00D413B9">
              <w:t>$882</w:t>
            </w:r>
          </w:p>
        </w:tc>
        <w:tc>
          <w:tcPr>
            <w:tcW w:w="1641" w:type="dxa"/>
            <w:vAlign w:val="center"/>
          </w:tcPr>
          <w:p w:rsidR="00D82633" w:rsidRPr="00D413B9" w:rsidRDefault="00D82633" w:rsidP="00D82633">
            <w:pPr>
              <w:jc w:val="center"/>
            </w:pPr>
            <w:r w:rsidRPr="00D413B9">
              <w:t>$550</w:t>
            </w:r>
          </w:p>
        </w:tc>
      </w:tr>
      <w:tr w:rsidR="00D82633" w:rsidRPr="00D413B9" w:rsidTr="00D17B12">
        <w:trPr>
          <w:jc w:val="center"/>
        </w:trPr>
        <w:tc>
          <w:tcPr>
            <w:tcW w:w="9445" w:type="dxa"/>
            <w:gridSpan w:val="4"/>
          </w:tcPr>
          <w:p w:rsidR="00D82633" w:rsidRPr="00D413B9" w:rsidRDefault="00D82633" w:rsidP="00D82633">
            <w:pPr>
              <w:jc w:val="both"/>
              <w:rPr>
                <w:b/>
              </w:rPr>
            </w:pPr>
            <w:r w:rsidRPr="00D413B9">
              <w:rPr>
                <w:b/>
              </w:rPr>
              <w:t>Ganged Meter</w:t>
            </w:r>
          </w:p>
        </w:tc>
      </w:tr>
      <w:tr w:rsidR="00D82633" w:rsidRPr="00D413B9" w:rsidTr="00D17B12">
        <w:trPr>
          <w:jc w:val="center"/>
        </w:trPr>
        <w:tc>
          <w:tcPr>
            <w:tcW w:w="4834" w:type="dxa"/>
          </w:tcPr>
          <w:p w:rsidR="00D82633" w:rsidRPr="00D413B9" w:rsidRDefault="00D82633" w:rsidP="00D82633">
            <w:pPr>
              <w:jc w:val="both"/>
            </w:pPr>
            <w:r w:rsidRPr="00D413B9">
              <w:t>Underground Labor/Material Costs</w:t>
            </w:r>
          </w:p>
        </w:tc>
        <w:tc>
          <w:tcPr>
            <w:tcW w:w="1440" w:type="dxa"/>
          </w:tcPr>
          <w:p w:rsidR="00D82633" w:rsidRPr="00D413B9" w:rsidRDefault="00D82633" w:rsidP="00D82633">
            <w:pPr>
              <w:jc w:val="center"/>
            </w:pPr>
            <w:r w:rsidRPr="00D413B9">
              <w:t>$774</w:t>
            </w:r>
          </w:p>
        </w:tc>
        <w:tc>
          <w:tcPr>
            <w:tcW w:w="1530" w:type="dxa"/>
          </w:tcPr>
          <w:p w:rsidR="00D82633" w:rsidRPr="00D413B9" w:rsidRDefault="00D82633" w:rsidP="00D82633">
            <w:pPr>
              <w:jc w:val="center"/>
            </w:pPr>
            <w:r w:rsidRPr="00D413B9">
              <w:t>$1,205</w:t>
            </w:r>
          </w:p>
        </w:tc>
        <w:tc>
          <w:tcPr>
            <w:tcW w:w="1641" w:type="dxa"/>
          </w:tcPr>
          <w:p w:rsidR="00D82633" w:rsidRPr="00D413B9" w:rsidRDefault="00D82633" w:rsidP="00D82633">
            <w:pPr>
              <w:jc w:val="center"/>
            </w:pPr>
            <w:r w:rsidRPr="00D413B9">
              <w:t>$431</w:t>
            </w:r>
          </w:p>
        </w:tc>
      </w:tr>
      <w:tr w:rsidR="00D82633" w:rsidRPr="00D413B9" w:rsidTr="00D17B12">
        <w:trPr>
          <w:jc w:val="center"/>
        </w:trPr>
        <w:tc>
          <w:tcPr>
            <w:tcW w:w="4834" w:type="dxa"/>
          </w:tcPr>
          <w:p w:rsidR="00D82633" w:rsidRPr="00D413B9" w:rsidRDefault="00D82633" w:rsidP="00D82633">
            <w:pPr>
              <w:jc w:val="both"/>
            </w:pPr>
            <w:r w:rsidRPr="00D413B9">
              <w:t>Overhead Labor/Material Costs</w:t>
            </w:r>
          </w:p>
        </w:tc>
        <w:tc>
          <w:tcPr>
            <w:tcW w:w="1440" w:type="dxa"/>
          </w:tcPr>
          <w:p w:rsidR="00D82633" w:rsidRPr="00D413B9" w:rsidRDefault="00D82633" w:rsidP="00D82633">
            <w:pPr>
              <w:jc w:val="center"/>
            </w:pPr>
            <w:r w:rsidRPr="00D413B9">
              <w:t>$1,295</w:t>
            </w:r>
          </w:p>
        </w:tc>
        <w:tc>
          <w:tcPr>
            <w:tcW w:w="1530" w:type="dxa"/>
          </w:tcPr>
          <w:p w:rsidR="00D82633" w:rsidRPr="00D413B9" w:rsidRDefault="00D82633" w:rsidP="00D82633">
            <w:pPr>
              <w:jc w:val="center"/>
            </w:pPr>
            <w:r w:rsidRPr="00D413B9">
              <w:t>$1,516</w:t>
            </w:r>
          </w:p>
        </w:tc>
        <w:tc>
          <w:tcPr>
            <w:tcW w:w="1641" w:type="dxa"/>
          </w:tcPr>
          <w:p w:rsidR="00D82633" w:rsidRPr="00D413B9" w:rsidRDefault="00D82633" w:rsidP="00D82633">
            <w:pPr>
              <w:jc w:val="center"/>
            </w:pPr>
            <w:r w:rsidRPr="00D413B9">
              <w:t>$221</w:t>
            </w:r>
          </w:p>
        </w:tc>
      </w:tr>
      <w:tr w:rsidR="00D82633" w:rsidRPr="00D413B9" w:rsidTr="00D17B12">
        <w:trPr>
          <w:jc w:val="center"/>
        </w:trPr>
        <w:tc>
          <w:tcPr>
            <w:tcW w:w="4834" w:type="dxa"/>
          </w:tcPr>
          <w:p w:rsidR="00D82633" w:rsidRPr="00D413B9" w:rsidRDefault="00D82633" w:rsidP="007524E3">
            <w:pPr>
              <w:jc w:val="both"/>
            </w:pPr>
            <w:r w:rsidRPr="00D413B9">
              <w:t xml:space="preserve">Per </w:t>
            </w:r>
            <w:r w:rsidR="007524E3">
              <w:t>L</w:t>
            </w:r>
            <w:r w:rsidRPr="00D413B9">
              <w:t>ot Differential</w:t>
            </w:r>
          </w:p>
        </w:tc>
        <w:tc>
          <w:tcPr>
            <w:tcW w:w="1440" w:type="dxa"/>
          </w:tcPr>
          <w:p w:rsidR="00D82633" w:rsidRPr="00D413B9" w:rsidRDefault="00D82633" w:rsidP="00D82633">
            <w:pPr>
              <w:jc w:val="center"/>
            </w:pPr>
            <w:r w:rsidRPr="00D413B9">
              <w:t>$(521)</w:t>
            </w:r>
          </w:p>
        </w:tc>
        <w:tc>
          <w:tcPr>
            <w:tcW w:w="1530" w:type="dxa"/>
          </w:tcPr>
          <w:p w:rsidR="00D82633" w:rsidRPr="00D413B9" w:rsidRDefault="00D82633" w:rsidP="00D82633">
            <w:pPr>
              <w:jc w:val="center"/>
            </w:pPr>
            <w:r w:rsidRPr="00D413B9">
              <w:t>$(311)</w:t>
            </w:r>
          </w:p>
        </w:tc>
        <w:tc>
          <w:tcPr>
            <w:tcW w:w="1641" w:type="dxa"/>
          </w:tcPr>
          <w:p w:rsidR="00D82633" w:rsidRPr="00D413B9" w:rsidRDefault="00D82633" w:rsidP="00D82633">
            <w:pPr>
              <w:jc w:val="center"/>
            </w:pPr>
            <w:r w:rsidRPr="00D413B9">
              <w:t>$(210)</w:t>
            </w:r>
          </w:p>
        </w:tc>
      </w:tr>
    </w:tbl>
    <w:p w:rsidR="00A14591" w:rsidRPr="00987E67" w:rsidRDefault="00987E67" w:rsidP="00A14591">
      <w:pPr>
        <w:pStyle w:val="BodyText"/>
        <w:rPr>
          <w:sz w:val="20"/>
          <w:szCs w:val="20"/>
        </w:rPr>
      </w:pPr>
      <w:r w:rsidRPr="00987E67">
        <w:rPr>
          <w:sz w:val="20"/>
          <w:szCs w:val="20"/>
        </w:rPr>
        <w:t>Source</w:t>
      </w:r>
      <w:r>
        <w:rPr>
          <w:sz w:val="20"/>
          <w:szCs w:val="20"/>
        </w:rPr>
        <w:t xml:space="preserve">: </w:t>
      </w:r>
      <w:r w:rsidR="001A1906" w:rsidRPr="00D413B9">
        <w:rPr>
          <w:sz w:val="20"/>
          <w:szCs w:val="20"/>
        </w:rPr>
        <w:t xml:space="preserve">Order </w:t>
      </w:r>
      <w:r w:rsidR="007524E3">
        <w:rPr>
          <w:sz w:val="20"/>
          <w:szCs w:val="20"/>
        </w:rPr>
        <w:t xml:space="preserve">No. </w:t>
      </w:r>
      <w:r w:rsidR="001A1906" w:rsidRPr="00D413B9">
        <w:rPr>
          <w:sz w:val="20"/>
          <w:szCs w:val="20"/>
        </w:rPr>
        <w:t>PSC-2020-0</w:t>
      </w:r>
      <w:r w:rsidR="001A1906">
        <w:rPr>
          <w:sz w:val="20"/>
          <w:szCs w:val="20"/>
        </w:rPr>
        <w:t>266</w:t>
      </w:r>
      <w:r w:rsidR="001A1906" w:rsidRPr="00D413B9">
        <w:rPr>
          <w:sz w:val="20"/>
          <w:szCs w:val="20"/>
        </w:rPr>
        <w:t>-TRF-EI (Current) and DEF’s 2023 Petition (Proposed).</w:t>
      </w:r>
    </w:p>
    <w:p w:rsidR="00F130C2" w:rsidRDefault="00F130C2" w:rsidP="00A14591">
      <w:pPr>
        <w:pStyle w:val="BodyText"/>
      </w:pPr>
      <w:r w:rsidRPr="00D413B9">
        <w:lastRenderedPageBreak/>
        <w:t xml:space="preserve">As Table 1-2 shows, the majority of </w:t>
      </w:r>
      <w:r w:rsidR="00743C55">
        <w:t xml:space="preserve">the proposed </w:t>
      </w:r>
      <w:r w:rsidRPr="00D413B9">
        <w:t xml:space="preserve">overhead and underground total labor and material costs </w:t>
      </w:r>
      <w:r w:rsidR="007524E3">
        <w:t xml:space="preserve">have </w:t>
      </w:r>
      <w:r w:rsidRPr="00D413B9">
        <w:t>increased since the</w:t>
      </w:r>
      <w:r w:rsidR="00743C55">
        <w:t xml:space="preserve"> current URD charges were approved in </w:t>
      </w:r>
      <w:r w:rsidRPr="00D413B9">
        <w:t xml:space="preserve">2020. </w:t>
      </w:r>
      <w:r w:rsidR="00743C55">
        <w:t xml:space="preserve">As reflected, </w:t>
      </w:r>
      <w:r w:rsidR="0056705F">
        <w:t xml:space="preserve">the 2023 costs for </w:t>
      </w:r>
      <w:r w:rsidR="00743C55">
        <w:t xml:space="preserve">overhead and underground labor and materials </w:t>
      </w:r>
      <w:r w:rsidR="0056705F">
        <w:t xml:space="preserve">are higher </w:t>
      </w:r>
      <w:r w:rsidR="00743C55">
        <w:t>for each subdivision design</w:t>
      </w:r>
      <w:r w:rsidR="0056705F">
        <w:t>,</w:t>
      </w:r>
      <w:r w:rsidR="00743C55">
        <w:t xml:space="preserve"> although a greater increase has occurred for underground</w:t>
      </w:r>
      <w:r w:rsidR="0056705F">
        <w:t xml:space="preserve">, compared to overhead. </w:t>
      </w:r>
      <w:r w:rsidR="00502A1F">
        <w:t xml:space="preserve">In a data request response, DEF stated that the majority of all undergrounding work activities </w:t>
      </w:r>
      <w:r w:rsidR="00883944">
        <w:t xml:space="preserve">for subdivisions </w:t>
      </w:r>
      <w:r w:rsidR="00502A1F">
        <w:t xml:space="preserve">(such as boring, trenching, or installation of underground equipment) are performed by contracted work crews, whereas </w:t>
      </w:r>
      <w:r w:rsidR="00883944">
        <w:t xml:space="preserve">the costs for overhead placements are comparatively lower because </w:t>
      </w:r>
      <w:r w:rsidR="00D55C94">
        <w:t>native</w:t>
      </w:r>
      <w:r w:rsidR="00883944">
        <w:t xml:space="preserve"> crews perform these work activities.</w:t>
      </w:r>
      <w:r w:rsidR="00883944">
        <w:rPr>
          <w:rStyle w:val="FootnoteReference"/>
        </w:rPr>
        <w:footnoteReference w:id="3"/>
      </w:r>
      <w:r w:rsidR="00883944">
        <w:t xml:space="preserve"> </w:t>
      </w:r>
      <w:r w:rsidRPr="00D413B9">
        <w:t>As such, after adjusting for these changes in material and labor</w:t>
      </w:r>
      <w:r w:rsidR="00E33FCC">
        <w:t xml:space="preserve"> and also</w:t>
      </w:r>
      <w:r w:rsidR="00B276BE">
        <w:t xml:space="preserve"> net present value</w:t>
      </w:r>
      <w:r w:rsidR="00E33FCC">
        <w:t xml:space="preserve"> </w:t>
      </w:r>
      <w:r w:rsidR="00B276BE">
        <w:t>(</w:t>
      </w:r>
      <w:r w:rsidR="00E33FCC">
        <w:t>NPV</w:t>
      </w:r>
      <w:r w:rsidR="00B276BE">
        <w:t>)</w:t>
      </w:r>
      <w:r w:rsidR="00E33FCC">
        <w:t xml:space="preserve"> lifecycle costs</w:t>
      </w:r>
      <w:r w:rsidRPr="00D413B9">
        <w:t xml:space="preserve">, </w:t>
      </w:r>
      <w:r w:rsidR="00542690">
        <w:t>the</w:t>
      </w:r>
      <w:r w:rsidRPr="00D413B9">
        <w:t xml:space="preserve"> High Density design differential increased from $0 to $332 per lot</w:t>
      </w:r>
      <w:r w:rsidR="00743C55">
        <w:t>, as shown in Table 1-1 above</w:t>
      </w:r>
      <w:r w:rsidRPr="00D413B9">
        <w:t>.</w:t>
      </w:r>
      <w:r w:rsidR="007524E3">
        <w:t xml:space="preserve"> </w:t>
      </w:r>
    </w:p>
    <w:p w:rsidR="00031198" w:rsidRDefault="009F3733" w:rsidP="00A14591">
      <w:pPr>
        <w:pStyle w:val="BodyText"/>
      </w:pPr>
      <w:r w:rsidRPr="009F3733">
        <w:t xml:space="preserve">Increasing labor and material costs have similarly </w:t>
      </w:r>
      <w:r w:rsidR="00C90EEC">
        <w:t>a</w:t>
      </w:r>
      <w:r w:rsidRPr="009F3733">
        <w:t>ffected</w:t>
      </w:r>
      <w:r>
        <w:t xml:space="preserve"> </w:t>
      </w:r>
      <w:r w:rsidR="00C90EEC">
        <w:t xml:space="preserve">the URD tariff charges applicable for the installation of underground feeder mains and service laterals. </w:t>
      </w:r>
      <w:r>
        <w:t xml:space="preserve"> </w:t>
      </w:r>
      <w:r w:rsidR="0065780F">
        <w:t>T</w:t>
      </w:r>
      <w:r>
        <w:t xml:space="preserve">he </w:t>
      </w:r>
      <w:r w:rsidR="00136F71">
        <w:t xml:space="preserve">changes in </w:t>
      </w:r>
      <w:r>
        <w:t>c</w:t>
      </w:r>
      <w:r w:rsidR="00A5760D">
        <w:t xml:space="preserve">urrent </w:t>
      </w:r>
      <w:r w:rsidR="00E24014">
        <w:t xml:space="preserve">labor and material costs impacted the </w:t>
      </w:r>
      <w:r w:rsidR="00136F71">
        <w:t xml:space="preserve">differential </w:t>
      </w:r>
      <w:r w:rsidR="00E24014">
        <w:t>for three-phase</w:t>
      </w:r>
      <w:r w:rsidR="00542690">
        <w:t xml:space="preserve"> primary main </w:t>
      </w:r>
      <w:r w:rsidR="000409CB">
        <w:t xml:space="preserve">conduit </w:t>
      </w:r>
      <w:r w:rsidR="00542690" w:rsidRPr="00D413B9">
        <w:t>provided and i</w:t>
      </w:r>
      <w:r w:rsidR="00542690">
        <w:t xml:space="preserve">nstalled </w:t>
      </w:r>
      <w:r w:rsidR="000409CB">
        <w:t>by DEF</w:t>
      </w:r>
      <w:r w:rsidR="00D51B99">
        <w:t>, which is proposed to change</w:t>
      </w:r>
      <w:r w:rsidR="006C679E">
        <w:t xml:space="preserve"> from</w:t>
      </w:r>
      <w:r w:rsidR="000409CB">
        <w:t xml:space="preserve"> </w:t>
      </w:r>
      <w:r w:rsidR="005D4373">
        <w:t xml:space="preserve">$0 per foot to $2.17 per foot. </w:t>
      </w:r>
      <w:r w:rsidR="006C679E" w:rsidRPr="009F3733">
        <w:t>Increasing labor and material costs</w:t>
      </w:r>
      <w:r w:rsidR="006C679E">
        <w:t xml:space="preserve"> also impacted the </w:t>
      </w:r>
      <w:r w:rsidR="005D4373">
        <w:t xml:space="preserve">credits </w:t>
      </w:r>
      <w:r w:rsidR="00D51B99">
        <w:t xml:space="preserve">that are available to </w:t>
      </w:r>
      <w:r w:rsidR="006C679E">
        <w:t>an</w:t>
      </w:r>
      <w:r w:rsidR="005D4373">
        <w:t xml:space="preserve"> applicant (customer) </w:t>
      </w:r>
      <w:r w:rsidR="00D51B99">
        <w:t xml:space="preserve">when the applicant </w:t>
      </w:r>
      <w:r w:rsidR="005D4373">
        <w:t>provide</w:t>
      </w:r>
      <w:r w:rsidR="00D51B99">
        <w:t>s the</w:t>
      </w:r>
      <w:r w:rsidR="005D4373">
        <w:t xml:space="preserve"> trenching and backfill</w:t>
      </w:r>
      <w:r w:rsidR="00031198">
        <w:t xml:space="preserve"> for both primary and/or secondary systems and service laterals</w:t>
      </w:r>
      <w:r w:rsidR="00D51B99">
        <w:t>. Such credits are proposed to increase</w:t>
      </w:r>
      <w:r w:rsidR="00031198">
        <w:t xml:space="preserve"> from $3.35 to $4.06</w:t>
      </w:r>
      <w:r w:rsidR="005D4373">
        <w:t xml:space="preserve"> per foot of trench</w:t>
      </w:r>
      <w:r w:rsidR="00572513">
        <w:t>.</w:t>
      </w:r>
      <w:r w:rsidR="00D02552">
        <w:t xml:space="preserve"> </w:t>
      </w:r>
    </w:p>
    <w:p w:rsidR="00F130C2" w:rsidRPr="00D413B9" w:rsidRDefault="001A1906" w:rsidP="00F130C2">
      <w:pPr>
        <w:pStyle w:val="First-LevelSubheading"/>
      </w:pPr>
      <w:r>
        <w:t xml:space="preserve">Updated </w:t>
      </w:r>
      <w:r w:rsidR="00F130C2" w:rsidRPr="00D413B9">
        <w:t>Operational Costs</w:t>
      </w:r>
    </w:p>
    <w:p w:rsidR="00F130C2" w:rsidRPr="00D413B9" w:rsidRDefault="00F130C2" w:rsidP="00F130C2">
      <w:pPr>
        <w:pStyle w:val="BodyText"/>
      </w:pPr>
      <w:r w:rsidRPr="00D413B9">
        <w:t>Rule 25-6.078(4), F.A.C., requires that the differences in NPV of operation</w:t>
      </w:r>
      <w:r w:rsidR="00A5760D">
        <w:t>al</w:t>
      </w:r>
      <w:r w:rsidRPr="00D413B9">
        <w:t xml:space="preserve"> costs between overhead and underground systems, including average historical storm restoration costs over the life of the facilities, be included in the URD charge. The inclusion of the operational cost is intended to capture longer term costs and benefits of undergrounding.</w:t>
      </w:r>
    </w:p>
    <w:p w:rsidR="00F130C2" w:rsidRPr="00D413B9" w:rsidRDefault="00F130C2" w:rsidP="00F130C2">
      <w:pPr>
        <w:pStyle w:val="BodyText"/>
      </w:pPr>
      <w:r w:rsidRPr="00D413B9">
        <w:t>Operational costs include operations and maintenance costs along with capital costs and represent the cost differential between maintaining and operating an underground versus an overhead system over the life of the facilities.</w:t>
      </w:r>
      <w:r w:rsidR="00A5760D">
        <w:t xml:space="preserve"> Operational capital costs are the costs associated with replacement equipment needed during the lifespan of the facilities.</w:t>
      </w:r>
      <w:r w:rsidRPr="00D413B9">
        <w:t xml:space="preserve"> The inclusion of the storm restoration cost in the URD calculations lowers the differential, since an underground distribution system generally incurs less damage than an overhead system as a result of a storm, and therefore, </w:t>
      </w:r>
      <w:r w:rsidR="00F97C0A">
        <w:t xml:space="preserve">incurs </w:t>
      </w:r>
      <w:r w:rsidRPr="00D413B9">
        <w:t>less restoration costs when compared to an overhead system.</w:t>
      </w:r>
    </w:p>
    <w:p w:rsidR="00A5760D" w:rsidRDefault="00F130C2" w:rsidP="003F4370">
      <w:pPr>
        <w:pStyle w:val="BodyText"/>
      </w:pPr>
      <w:r w:rsidRPr="00D413B9">
        <w:t>The utility used a 5-year average of historical</w:t>
      </w:r>
      <w:r w:rsidR="007221BD" w:rsidRPr="00D413B9">
        <w:t>,</w:t>
      </w:r>
      <w:r w:rsidRPr="00D413B9">
        <w:t xml:space="preserve"> operational costs (2018-2022) for its calculations in this docket. The methodology used by D</w:t>
      </w:r>
      <w:r w:rsidR="003F4370" w:rsidRPr="00D413B9">
        <w:t>EF</w:t>
      </w:r>
      <w:r w:rsidRPr="00D413B9">
        <w:t xml:space="preserve"> in this filing for calculating the NPV of operational costs was approved in Order No. PSC-12-0348-TRF-EI</w:t>
      </w:r>
      <w:r w:rsidR="00A5760D">
        <w:t>.</w:t>
      </w:r>
      <w:r w:rsidRPr="00D413B9">
        <w:rPr>
          <w:rStyle w:val="FootnoteReference"/>
        </w:rPr>
        <w:footnoteReference w:id="4"/>
      </w:r>
      <w:r w:rsidRPr="00D413B9">
        <w:t xml:space="preserve"> Staff notes that operation</w:t>
      </w:r>
      <w:r w:rsidR="00FE3522">
        <w:t>al</w:t>
      </w:r>
      <w:r w:rsidRPr="00D413B9">
        <w:t xml:space="preserve"> costs may vary among IOUs due to multiple factors, including differences in size of service territory, miles of coastline, regions subject to extreme winds, age of the distribution system, or construction standards.</w:t>
      </w:r>
      <w:r w:rsidR="003F4370" w:rsidRPr="00D413B9">
        <w:t xml:space="preserve"> </w:t>
      </w:r>
    </w:p>
    <w:p w:rsidR="003F4370" w:rsidRDefault="003F4370" w:rsidP="00C07128">
      <w:pPr>
        <w:pStyle w:val="BodyText"/>
        <w:spacing w:after="0"/>
      </w:pPr>
      <w:r w:rsidRPr="00D413B9">
        <w:lastRenderedPageBreak/>
        <w:t xml:space="preserve">Table 1-3 shown </w:t>
      </w:r>
      <w:r w:rsidR="00FA56A8" w:rsidRPr="00D413B9">
        <w:t xml:space="preserve">below </w:t>
      </w:r>
      <w:proofErr w:type="gramStart"/>
      <w:r w:rsidRPr="00D413B9">
        <w:t>presents</w:t>
      </w:r>
      <w:proofErr w:type="gramEnd"/>
      <w:r w:rsidRPr="00D413B9">
        <w:t xml:space="preserve"> </w:t>
      </w:r>
      <w:r w:rsidR="00C80B14">
        <w:t>information on costs that are reflected in the URD tariffs for the three subdivision designs</w:t>
      </w:r>
      <w:r w:rsidR="00FA56A8" w:rsidRPr="00D413B9">
        <w:t xml:space="preserve">. </w:t>
      </w:r>
      <w:r w:rsidR="00B607B0" w:rsidRPr="00D413B9">
        <w:t xml:space="preserve">The </w:t>
      </w:r>
      <w:r w:rsidR="00E33FCC">
        <w:t>t</w:t>
      </w:r>
      <w:r w:rsidR="00B607B0" w:rsidRPr="00D413B9">
        <w:t xml:space="preserve">able </w:t>
      </w:r>
      <w:r w:rsidR="00C80B14">
        <w:t>shows the res</w:t>
      </w:r>
      <w:r w:rsidR="00FE3522">
        <w:t xml:space="preserve">ult of adding the proposed 2023 </w:t>
      </w:r>
      <w:r w:rsidR="00C80B14">
        <w:t xml:space="preserve">overhead and underground </w:t>
      </w:r>
      <w:r w:rsidR="001E2662">
        <w:t xml:space="preserve">labor and materials </w:t>
      </w:r>
      <w:r w:rsidR="00C80B14">
        <w:t>cost differentials</w:t>
      </w:r>
      <w:r w:rsidR="00FE3522">
        <w:t>, as found in Table 1-2,</w:t>
      </w:r>
      <w:r w:rsidR="00C80B14">
        <w:t xml:space="preserve"> and the NPV of </w:t>
      </w:r>
      <w:r w:rsidR="001E2662">
        <w:t>o</w:t>
      </w:r>
      <w:r w:rsidR="00C80B14">
        <w:t xml:space="preserve">perational </w:t>
      </w:r>
      <w:r w:rsidR="001E2662">
        <w:t>c</w:t>
      </w:r>
      <w:r w:rsidR="00C80B14">
        <w:t>osts</w:t>
      </w:r>
      <w:r w:rsidR="00970672">
        <w:t xml:space="preserve"> differentials</w:t>
      </w:r>
      <w:r w:rsidR="00C80B14">
        <w:t>, including storm costs</w:t>
      </w:r>
      <w:r w:rsidR="001E2662">
        <w:t>,</w:t>
      </w:r>
      <w:r w:rsidR="00C80B14">
        <w:t xml:space="preserve"> </w:t>
      </w:r>
      <w:r w:rsidR="00E24014">
        <w:t xml:space="preserve">to calculate the </w:t>
      </w:r>
      <w:r w:rsidR="00C80B14">
        <w:t xml:space="preserve">proposed </w:t>
      </w:r>
      <w:r w:rsidR="001E2662">
        <w:t xml:space="preserve">total </w:t>
      </w:r>
      <w:r w:rsidR="00970672">
        <w:t xml:space="preserve">cost differential </w:t>
      </w:r>
      <w:r w:rsidR="00E24014">
        <w:t>for each design</w:t>
      </w:r>
      <w:r w:rsidRPr="00D413B9">
        <w:t xml:space="preserve">. </w:t>
      </w:r>
      <w:r w:rsidR="00970672">
        <w:t>Note that t</w:t>
      </w:r>
      <w:r w:rsidRPr="00D413B9">
        <w:t xml:space="preserve">he </w:t>
      </w:r>
      <w:r w:rsidR="001E2662">
        <w:t xml:space="preserve">per lot differential costs </w:t>
      </w:r>
      <w:r w:rsidR="003B37BC" w:rsidRPr="00D413B9">
        <w:t>appear</w:t>
      </w:r>
      <w:r w:rsidR="00C80B14">
        <w:t>ing</w:t>
      </w:r>
      <w:r w:rsidR="003B37BC" w:rsidRPr="00D413B9">
        <w:t xml:space="preserve"> in parenthes</w:t>
      </w:r>
      <w:r w:rsidR="00F97C0A">
        <w:t>e</w:t>
      </w:r>
      <w:r w:rsidR="00FA56A8" w:rsidRPr="00D413B9">
        <w:t xml:space="preserve">s </w:t>
      </w:r>
      <w:r w:rsidR="001E2662">
        <w:t xml:space="preserve">are negative values, </w:t>
      </w:r>
      <w:r w:rsidR="00C80B14">
        <w:t>indicat</w:t>
      </w:r>
      <w:r w:rsidR="001E2662">
        <w:t>ing</w:t>
      </w:r>
      <w:r w:rsidR="00C80B14">
        <w:t xml:space="preserve"> </w:t>
      </w:r>
      <w:r w:rsidR="00FA56A8" w:rsidRPr="00D413B9">
        <w:t xml:space="preserve">the overhead </w:t>
      </w:r>
      <w:r w:rsidR="001E2662">
        <w:t xml:space="preserve">costs exceed the </w:t>
      </w:r>
      <w:r w:rsidR="00FA56A8" w:rsidRPr="00D413B9">
        <w:t>underground</w:t>
      </w:r>
      <w:r w:rsidR="001E2662">
        <w:t xml:space="preserve"> costs</w:t>
      </w:r>
      <w:r w:rsidRPr="00D413B9">
        <w:t>.</w:t>
      </w:r>
    </w:p>
    <w:p w:rsidR="00C07128" w:rsidRDefault="00C07128" w:rsidP="00C07128">
      <w:pPr>
        <w:pStyle w:val="BodyText"/>
        <w:spacing w:after="0"/>
      </w:pPr>
    </w:p>
    <w:p w:rsidR="00F130C2" w:rsidRPr="00D413B9" w:rsidRDefault="00F130C2" w:rsidP="00C07128">
      <w:pPr>
        <w:pStyle w:val="TableNumber"/>
        <w:keepNext/>
        <w:spacing w:before="0"/>
      </w:pPr>
      <w:r w:rsidRPr="00D413B9">
        <w:t xml:space="preserve">Table </w:t>
      </w:r>
      <w:fldSimple w:instr=" SEQ Issue \c ">
        <w:r w:rsidR="00C12353">
          <w:rPr>
            <w:noProof/>
          </w:rPr>
          <w:t>1</w:t>
        </w:r>
      </w:fldSimple>
      <w:r w:rsidRPr="00D413B9">
        <w:t>-3</w:t>
      </w:r>
    </w:p>
    <w:p w:rsidR="00F130C2" w:rsidRPr="00D413B9" w:rsidRDefault="00970672" w:rsidP="00FA56A8">
      <w:pPr>
        <w:pStyle w:val="TableTitle"/>
        <w:keepNext/>
      </w:pPr>
      <w:r>
        <w:t xml:space="preserve">DEF Updated </w:t>
      </w:r>
      <w:r w:rsidR="00C80B14">
        <w:t xml:space="preserve">Overhead/Underground </w:t>
      </w:r>
      <w:r>
        <w:t xml:space="preserve">Cost </w:t>
      </w:r>
      <w:r w:rsidR="00C80B14">
        <w:t>Differential</w:t>
      </w:r>
    </w:p>
    <w:tbl>
      <w:tblPr>
        <w:tblStyle w:val="TableGrid"/>
        <w:tblW w:w="9423" w:type="dxa"/>
        <w:jc w:val="center"/>
        <w:tblLook w:val="04A0" w:firstRow="1" w:lastRow="0" w:firstColumn="1" w:lastColumn="0" w:noHBand="0" w:noVBand="1"/>
      </w:tblPr>
      <w:tblGrid>
        <w:gridCol w:w="2684"/>
        <w:gridCol w:w="1980"/>
        <w:gridCol w:w="2070"/>
        <w:gridCol w:w="2689"/>
      </w:tblGrid>
      <w:tr w:rsidR="00FA56A8" w:rsidRPr="00D413B9" w:rsidTr="00720EFB">
        <w:trPr>
          <w:trHeight w:val="1277"/>
          <w:jc w:val="center"/>
        </w:trPr>
        <w:tc>
          <w:tcPr>
            <w:tcW w:w="2684" w:type="dxa"/>
            <w:vAlign w:val="center"/>
          </w:tcPr>
          <w:p w:rsidR="00FA56A8" w:rsidRPr="00D413B9" w:rsidRDefault="00FA56A8" w:rsidP="00FA56A8">
            <w:pPr>
              <w:jc w:val="center"/>
            </w:pPr>
            <w:r w:rsidRPr="00D413B9">
              <w:rPr>
                <w:b/>
              </w:rPr>
              <w:t>Subdivision</w:t>
            </w:r>
            <w:r w:rsidR="00572513">
              <w:rPr>
                <w:b/>
              </w:rPr>
              <w:t xml:space="preserve"> Design</w:t>
            </w:r>
          </w:p>
        </w:tc>
        <w:tc>
          <w:tcPr>
            <w:tcW w:w="1980" w:type="dxa"/>
            <w:vAlign w:val="center"/>
          </w:tcPr>
          <w:p w:rsidR="00FA56A8" w:rsidRPr="00D413B9" w:rsidRDefault="00FA56A8" w:rsidP="00D17B12">
            <w:pPr>
              <w:rPr>
                <w:b/>
              </w:rPr>
            </w:pPr>
          </w:p>
          <w:p w:rsidR="00FA56A8" w:rsidRPr="00D413B9" w:rsidRDefault="00572513" w:rsidP="00FA56A8">
            <w:pPr>
              <w:jc w:val="center"/>
              <w:rPr>
                <w:b/>
              </w:rPr>
            </w:pPr>
            <w:r>
              <w:rPr>
                <w:b/>
              </w:rPr>
              <w:t xml:space="preserve">2023 </w:t>
            </w:r>
            <w:r w:rsidR="00970672">
              <w:rPr>
                <w:b/>
              </w:rPr>
              <w:t xml:space="preserve">Labor and Materials </w:t>
            </w:r>
            <w:r w:rsidR="00C80B14">
              <w:rPr>
                <w:b/>
              </w:rPr>
              <w:t>Differential</w:t>
            </w:r>
          </w:p>
          <w:p w:rsidR="00FA56A8" w:rsidRPr="00D413B9" w:rsidRDefault="00FA56A8" w:rsidP="00FA56A8">
            <w:pPr>
              <w:jc w:val="center"/>
            </w:pPr>
            <w:r w:rsidRPr="00D413B9">
              <w:rPr>
                <w:b/>
              </w:rPr>
              <w:t>(A)</w:t>
            </w:r>
          </w:p>
        </w:tc>
        <w:tc>
          <w:tcPr>
            <w:tcW w:w="2070" w:type="dxa"/>
            <w:vAlign w:val="center"/>
          </w:tcPr>
          <w:p w:rsidR="00D17B12" w:rsidRDefault="00D17B12" w:rsidP="00FA56A8">
            <w:pPr>
              <w:jc w:val="center"/>
              <w:rPr>
                <w:b/>
              </w:rPr>
            </w:pPr>
          </w:p>
          <w:p w:rsidR="00FA56A8" w:rsidRPr="00D413B9" w:rsidRDefault="00970672" w:rsidP="00FA56A8">
            <w:pPr>
              <w:jc w:val="center"/>
              <w:rPr>
                <w:b/>
              </w:rPr>
            </w:pPr>
            <w:r>
              <w:rPr>
                <w:b/>
              </w:rPr>
              <w:t xml:space="preserve">2023 </w:t>
            </w:r>
            <w:r w:rsidR="00C80B14">
              <w:rPr>
                <w:b/>
              </w:rPr>
              <w:t xml:space="preserve">NPV of Operational </w:t>
            </w:r>
          </w:p>
          <w:p w:rsidR="00FA56A8" w:rsidRPr="00D413B9" w:rsidRDefault="00FA56A8" w:rsidP="00FA56A8">
            <w:pPr>
              <w:jc w:val="center"/>
              <w:rPr>
                <w:b/>
              </w:rPr>
            </w:pPr>
            <w:r w:rsidRPr="00D413B9">
              <w:rPr>
                <w:b/>
              </w:rPr>
              <w:t>Costs</w:t>
            </w:r>
            <w:r w:rsidR="00970672">
              <w:rPr>
                <w:b/>
              </w:rPr>
              <w:t xml:space="preserve"> Differential</w:t>
            </w:r>
          </w:p>
          <w:p w:rsidR="00FA56A8" w:rsidRPr="00D413B9" w:rsidRDefault="00FA56A8" w:rsidP="00FA56A8">
            <w:pPr>
              <w:jc w:val="center"/>
            </w:pPr>
            <w:r w:rsidRPr="00D413B9">
              <w:rPr>
                <w:b/>
              </w:rPr>
              <w:t>(B)</w:t>
            </w:r>
          </w:p>
        </w:tc>
        <w:tc>
          <w:tcPr>
            <w:tcW w:w="2689" w:type="dxa"/>
            <w:vAlign w:val="center"/>
          </w:tcPr>
          <w:p w:rsidR="00FA56A8" w:rsidRPr="00D413B9" w:rsidRDefault="00FA56A8" w:rsidP="00D17B12">
            <w:pPr>
              <w:rPr>
                <w:b/>
              </w:rPr>
            </w:pPr>
          </w:p>
          <w:p w:rsidR="00FA56A8" w:rsidRPr="00D413B9" w:rsidRDefault="00970672" w:rsidP="00FA56A8">
            <w:pPr>
              <w:jc w:val="center"/>
              <w:rPr>
                <w:b/>
              </w:rPr>
            </w:pPr>
            <w:r>
              <w:rPr>
                <w:b/>
              </w:rPr>
              <w:t>Total Cost Differential Supporting Proposed URD</w:t>
            </w:r>
          </w:p>
          <w:p w:rsidR="00FA56A8" w:rsidRPr="00D413B9" w:rsidRDefault="00572513" w:rsidP="00970672">
            <w:pPr>
              <w:jc w:val="center"/>
            </w:pPr>
            <w:r w:rsidRPr="00572513">
              <w:rPr>
                <w:b/>
              </w:rPr>
              <w:t>(</w:t>
            </w:r>
            <w:r>
              <w:rPr>
                <w:b/>
              </w:rPr>
              <w:t>C</w:t>
            </w:r>
            <w:r w:rsidRPr="00572513">
              <w:rPr>
                <w:b/>
              </w:rPr>
              <w:t>)</w:t>
            </w:r>
            <w:r w:rsidR="00970672">
              <w:rPr>
                <w:b/>
              </w:rPr>
              <w:t xml:space="preserve"> = (A) + (B)</w:t>
            </w:r>
          </w:p>
        </w:tc>
      </w:tr>
      <w:tr w:rsidR="00E24014" w:rsidRPr="00D413B9" w:rsidTr="00720EFB">
        <w:trPr>
          <w:jc w:val="center"/>
        </w:trPr>
        <w:tc>
          <w:tcPr>
            <w:tcW w:w="2684" w:type="dxa"/>
          </w:tcPr>
          <w:p w:rsidR="00E24014" w:rsidRPr="00D413B9" w:rsidRDefault="00E24014" w:rsidP="00E24014">
            <w:pPr>
              <w:jc w:val="center"/>
            </w:pPr>
            <w:r w:rsidRPr="00D413B9">
              <w:t>Low Density</w:t>
            </w:r>
          </w:p>
        </w:tc>
        <w:tc>
          <w:tcPr>
            <w:tcW w:w="1980" w:type="dxa"/>
          </w:tcPr>
          <w:p w:rsidR="00E24014" w:rsidRPr="00D413B9" w:rsidRDefault="00E24014" w:rsidP="00E24014">
            <w:pPr>
              <w:jc w:val="center"/>
            </w:pPr>
            <w:r>
              <w:t>$705</w:t>
            </w:r>
          </w:p>
        </w:tc>
        <w:tc>
          <w:tcPr>
            <w:tcW w:w="2070" w:type="dxa"/>
          </w:tcPr>
          <w:p w:rsidR="00E24014" w:rsidRPr="00D413B9" w:rsidRDefault="00E24014" w:rsidP="00E24014">
            <w:pPr>
              <w:jc w:val="center"/>
            </w:pPr>
            <w:r w:rsidRPr="00D413B9">
              <w:t>$(741)</w:t>
            </w:r>
          </w:p>
        </w:tc>
        <w:tc>
          <w:tcPr>
            <w:tcW w:w="2689" w:type="dxa"/>
          </w:tcPr>
          <w:p w:rsidR="00E24014" w:rsidRPr="00D413B9" w:rsidRDefault="00E24014" w:rsidP="00E24014">
            <w:pPr>
              <w:jc w:val="center"/>
            </w:pPr>
            <w:r>
              <w:t>$(36)</w:t>
            </w:r>
          </w:p>
        </w:tc>
      </w:tr>
      <w:tr w:rsidR="00E24014" w:rsidRPr="00D413B9" w:rsidTr="00720EFB">
        <w:trPr>
          <w:jc w:val="center"/>
        </w:trPr>
        <w:tc>
          <w:tcPr>
            <w:tcW w:w="2684" w:type="dxa"/>
          </w:tcPr>
          <w:p w:rsidR="00E24014" w:rsidRPr="00D413B9" w:rsidRDefault="00E24014" w:rsidP="00E24014">
            <w:pPr>
              <w:jc w:val="center"/>
            </w:pPr>
            <w:r w:rsidRPr="00D413B9">
              <w:t>High Density</w:t>
            </w:r>
          </w:p>
        </w:tc>
        <w:tc>
          <w:tcPr>
            <w:tcW w:w="1980" w:type="dxa"/>
          </w:tcPr>
          <w:p w:rsidR="00E24014" w:rsidRPr="00D413B9" w:rsidRDefault="00E24014" w:rsidP="00E24014">
            <w:pPr>
              <w:jc w:val="center"/>
            </w:pPr>
            <w:r>
              <w:t>$882</w:t>
            </w:r>
          </w:p>
        </w:tc>
        <w:tc>
          <w:tcPr>
            <w:tcW w:w="2070" w:type="dxa"/>
          </w:tcPr>
          <w:p w:rsidR="00E24014" w:rsidRPr="00D413B9" w:rsidRDefault="00E24014" w:rsidP="00E24014">
            <w:pPr>
              <w:jc w:val="center"/>
            </w:pPr>
            <w:r w:rsidRPr="00D413B9">
              <w:t>$(550)</w:t>
            </w:r>
          </w:p>
        </w:tc>
        <w:tc>
          <w:tcPr>
            <w:tcW w:w="2689" w:type="dxa"/>
          </w:tcPr>
          <w:p w:rsidR="00E24014" w:rsidRPr="00D413B9" w:rsidRDefault="00E24014" w:rsidP="00E24014">
            <w:pPr>
              <w:jc w:val="center"/>
            </w:pPr>
            <w:r>
              <w:t>$332</w:t>
            </w:r>
          </w:p>
        </w:tc>
      </w:tr>
      <w:tr w:rsidR="00E24014" w:rsidRPr="00D413B9" w:rsidTr="00720EFB">
        <w:trPr>
          <w:jc w:val="center"/>
        </w:trPr>
        <w:tc>
          <w:tcPr>
            <w:tcW w:w="2684" w:type="dxa"/>
          </w:tcPr>
          <w:p w:rsidR="00E24014" w:rsidRPr="00D413B9" w:rsidRDefault="00E24014" w:rsidP="00E24014">
            <w:pPr>
              <w:jc w:val="center"/>
            </w:pPr>
            <w:r w:rsidRPr="00D413B9">
              <w:t>Ganged Meter</w:t>
            </w:r>
          </w:p>
        </w:tc>
        <w:tc>
          <w:tcPr>
            <w:tcW w:w="1980" w:type="dxa"/>
          </w:tcPr>
          <w:p w:rsidR="00E24014" w:rsidRPr="00D413B9" w:rsidRDefault="00E24014" w:rsidP="00E24014">
            <w:pPr>
              <w:jc w:val="center"/>
            </w:pPr>
            <w:r>
              <w:t>$(311)</w:t>
            </w:r>
          </w:p>
        </w:tc>
        <w:tc>
          <w:tcPr>
            <w:tcW w:w="2070" w:type="dxa"/>
          </w:tcPr>
          <w:p w:rsidR="00E24014" w:rsidRPr="00D413B9" w:rsidRDefault="00E24014" w:rsidP="00E24014">
            <w:pPr>
              <w:jc w:val="center"/>
            </w:pPr>
            <w:r w:rsidRPr="00D413B9">
              <w:t>($409)</w:t>
            </w:r>
          </w:p>
        </w:tc>
        <w:tc>
          <w:tcPr>
            <w:tcW w:w="2689" w:type="dxa"/>
          </w:tcPr>
          <w:p w:rsidR="00E24014" w:rsidRPr="00D413B9" w:rsidRDefault="00E24014" w:rsidP="00E24014">
            <w:pPr>
              <w:jc w:val="center"/>
            </w:pPr>
            <w:r>
              <w:t>$(720)</w:t>
            </w:r>
          </w:p>
        </w:tc>
      </w:tr>
    </w:tbl>
    <w:p w:rsidR="00751968" w:rsidRDefault="00F130C2" w:rsidP="00751968">
      <w:pPr>
        <w:pStyle w:val="BodyText"/>
      </w:pPr>
      <w:r w:rsidRPr="00D413B9">
        <w:rPr>
          <w:sz w:val="20"/>
          <w:szCs w:val="20"/>
        </w:rPr>
        <w:t>Source:</w:t>
      </w:r>
      <w:r w:rsidR="00C80B14">
        <w:rPr>
          <w:sz w:val="20"/>
          <w:szCs w:val="20"/>
        </w:rPr>
        <w:t xml:space="preserve"> DEF’s Response to Staff’s First Data Request, Items 2A and 2B</w:t>
      </w:r>
      <w:r w:rsidRPr="00D413B9">
        <w:rPr>
          <w:sz w:val="20"/>
          <w:szCs w:val="20"/>
        </w:rPr>
        <w:t>.</w:t>
      </w:r>
      <w:r w:rsidR="00751968" w:rsidRPr="00751968">
        <w:t xml:space="preserve"> </w:t>
      </w:r>
    </w:p>
    <w:p w:rsidR="00BC6DC3" w:rsidRDefault="00F97C0A" w:rsidP="00751968">
      <w:pPr>
        <w:pStyle w:val="BodyText"/>
      </w:pPr>
      <w:r>
        <w:t xml:space="preserve">Negative </w:t>
      </w:r>
      <w:r w:rsidR="00236823">
        <w:t>t</w:t>
      </w:r>
      <w:r w:rsidR="007346EE">
        <w:t xml:space="preserve">otal </w:t>
      </w:r>
      <w:r w:rsidR="00236823">
        <w:t>c</w:t>
      </w:r>
      <w:r w:rsidR="007346EE">
        <w:t xml:space="preserve">ost </w:t>
      </w:r>
      <w:r w:rsidR="00236823">
        <w:t>d</w:t>
      </w:r>
      <w:r w:rsidR="007346EE">
        <w:t>ifferential</w:t>
      </w:r>
      <w:r>
        <w:t xml:space="preserve">s, as shown in Table 1-3 for </w:t>
      </w:r>
      <w:r w:rsidR="00236823">
        <w:t>L</w:t>
      </w:r>
      <w:r>
        <w:t xml:space="preserve">ow </w:t>
      </w:r>
      <w:r w:rsidR="00236823">
        <w:t>D</w:t>
      </w:r>
      <w:r>
        <w:t xml:space="preserve">ensity and Ganged Meter designs, result in </w:t>
      </w:r>
      <w:r w:rsidR="00FE3522">
        <w:t xml:space="preserve">the proposed </w:t>
      </w:r>
      <w:r w:rsidR="007346EE">
        <w:t xml:space="preserve">URD </w:t>
      </w:r>
      <w:r w:rsidR="00FE3522">
        <w:t xml:space="preserve">differential </w:t>
      </w:r>
      <w:r w:rsidR="00236823">
        <w:t>of</w:t>
      </w:r>
      <w:r w:rsidR="00FE3522">
        <w:t xml:space="preserve"> $0</w:t>
      </w:r>
      <w:r w:rsidR="007346EE">
        <w:t>, as shown in Table 1-1</w:t>
      </w:r>
      <w:r w:rsidR="00FE3522">
        <w:t xml:space="preserve">. </w:t>
      </w:r>
      <w:r w:rsidR="007346EE">
        <w:t xml:space="preserve">For the </w:t>
      </w:r>
      <w:r w:rsidR="00236823">
        <w:t>L</w:t>
      </w:r>
      <w:r w:rsidR="00FE3522">
        <w:t xml:space="preserve">ow </w:t>
      </w:r>
      <w:r w:rsidR="00236823">
        <w:t>D</w:t>
      </w:r>
      <w:r w:rsidR="00FE3522">
        <w:t xml:space="preserve">ensity </w:t>
      </w:r>
      <w:r w:rsidR="00236823">
        <w:t>s</w:t>
      </w:r>
      <w:r w:rsidR="007346EE">
        <w:t xml:space="preserve">ubdivision </w:t>
      </w:r>
      <w:r w:rsidR="00236823">
        <w:t>d</w:t>
      </w:r>
      <w:r w:rsidR="007346EE">
        <w:t xml:space="preserve">esign, </w:t>
      </w:r>
      <w:r w:rsidR="00236823">
        <w:t xml:space="preserve">DEF’s positive labor and material cost differential is completely offset by its negative </w:t>
      </w:r>
      <w:r w:rsidR="00FE3522">
        <w:t xml:space="preserve">NPV of </w:t>
      </w:r>
      <w:r w:rsidR="00236823">
        <w:t>o</w:t>
      </w:r>
      <w:r w:rsidR="00FE3522">
        <w:t xml:space="preserve">perational </w:t>
      </w:r>
      <w:r w:rsidR="00236823">
        <w:t>c</w:t>
      </w:r>
      <w:r w:rsidR="00FE3522">
        <w:t xml:space="preserve">osts </w:t>
      </w:r>
      <w:r w:rsidR="00236823">
        <w:t>d</w:t>
      </w:r>
      <w:r w:rsidR="00FE3522">
        <w:t>ifferential.</w:t>
      </w:r>
      <w:r w:rsidR="00393E6E">
        <w:t xml:space="preserve"> </w:t>
      </w:r>
      <w:r w:rsidR="007346EE">
        <w:t>For t</w:t>
      </w:r>
      <w:r w:rsidR="00FE3522">
        <w:t xml:space="preserve">he High Density </w:t>
      </w:r>
      <w:r w:rsidR="00720EFB">
        <w:t>s</w:t>
      </w:r>
      <w:r w:rsidR="007346EE">
        <w:t xml:space="preserve">ubdivision </w:t>
      </w:r>
      <w:r w:rsidR="00E82C76">
        <w:t>d</w:t>
      </w:r>
      <w:r w:rsidR="00FE3522">
        <w:t>esign</w:t>
      </w:r>
      <w:r w:rsidR="007346EE">
        <w:t xml:space="preserve">, </w:t>
      </w:r>
      <w:r w:rsidR="008B16D5">
        <w:t>the proposed 2023</w:t>
      </w:r>
      <w:r w:rsidR="00FE3522">
        <w:t xml:space="preserve"> NPV of </w:t>
      </w:r>
      <w:r w:rsidR="00236823">
        <w:t>o</w:t>
      </w:r>
      <w:r w:rsidR="00FE3522">
        <w:t>peration</w:t>
      </w:r>
      <w:r w:rsidR="00236823">
        <w:t>al</w:t>
      </w:r>
      <w:r w:rsidR="00FE3522">
        <w:t xml:space="preserve"> </w:t>
      </w:r>
      <w:r w:rsidR="00236823">
        <w:t>c</w:t>
      </w:r>
      <w:r w:rsidR="00FE3522">
        <w:t xml:space="preserve">osts </w:t>
      </w:r>
      <w:r w:rsidR="00236823">
        <w:t>d</w:t>
      </w:r>
      <w:r w:rsidR="00FE3522">
        <w:t xml:space="preserve">ifferential </w:t>
      </w:r>
      <w:r w:rsidR="008B16D5">
        <w:t>only partially offsets the proposed</w:t>
      </w:r>
      <w:r w:rsidR="00FE3522">
        <w:t xml:space="preserve"> 2023 </w:t>
      </w:r>
      <w:r w:rsidR="00236823">
        <w:t>l</w:t>
      </w:r>
      <w:r w:rsidR="00FE3522">
        <w:t xml:space="preserve">abor and </w:t>
      </w:r>
      <w:r w:rsidR="00236823">
        <w:t>m</w:t>
      </w:r>
      <w:r w:rsidR="00FE3522">
        <w:t xml:space="preserve">aterials </w:t>
      </w:r>
      <w:r w:rsidR="003E2186">
        <w:t>d</w:t>
      </w:r>
      <w:r w:rsidR="00FE3522">
        <w:t>ifferential</w:t>
      </w:r>
      <w:r w:rsidR="008B16D5">
        <w:t xml:space="preserve">, resulting in the </w:t>
      </w:r>
      <w:r w:rsidR="00393E6E">
        <w:t>t</w:t>
      </w:r>
      <w:r w:rsidR="008B16D5">
        <w:t xml:space="preserve">otal </w:t>
      </w:r>
      <w:r w:rsidR="00393E6E">
        <w:t>c</w:t>
      </w:r>
      <w:r w:rsidR="008B16D5">
        <w:t xml:space="preserve">ost </w:t>
      </w:r>
      <w:r w:rsidR="00393E6E">
        <w:t>d</w:t>
      </w:r>
      <w:r w:rsidR="008B16D5">
        <w:t>ifferential of $332</w:t>
      </w:r>
      <w:r w:rsidR="00FE3522">
        <w:t>.</w:t>
      </w:r>
      <w:r w:rsidR="00393E6E">
        <w:t xml:space="preserve"> </w:t>
      </w:r>
    </w:p>
    <w:p w:rsidR="00751968" w:rsidRDefault="00751968" w:rsidP="00751968">
      <w:pPr>
        <w:pStyle w:val="First-LevelSubheading"/>
      </w:pPr>
      <w:r>
        <w:t xml:space="preserve">Other </w:t>
      </w:r>
      <w:r w:rsidR="001A1906">
        <w:t>Proposed Tariff Changes</w:t>
      </w:r>
    </w:p>
    <w:p w:rsidR="00751968" w:rsidRDefault="00751968" w:rsidP="00751968">
      <w:pPr>
        <w:pStyle w:val="BodyText"/>
      </w:pPr>
      <w:r>
        <w:t xml:space="preserve">In addition, current labor and material costs for underground service laterals from overhead systems to newly constructed residential buildings (with less than five separate dwelling units) increased compared to the costs approved in 2020. Section </w:t>
      </w:r>
      <w:r w:rsidR="00D80879">
        <w:t xml:space="preserve">IV, Part </w:t>
      </w:r>
      <w:r>
        <w:t xml:space="preserve">11.04 of the </w:t>
      </w:r>
      <w:r w:rsidR="00D55C94">
        <w:t>utility</w:t>
      </w:r>
      <w:r>
        <w:t xml:space="preserve">’s proposed URD tariff reflects a requested increase in the charge for DEF supplied and installed </w:t>
      </w:r>
      <w:r w:rsidR="00B276BE">
        <w:t>c</w:t>
      </w:r>
      <w:r>
        <w:t xml:space="preserve">onduit (service laterals, up to 80 feet) from $641 to $983. For customer supplied and installed conduit, the proposed increase is $339 to $619. </w:t>
      </w:r>
      <w:r w:rsidR="00D80879">
        <w:t xml:space="preserve">Section IV, Part </w:t>
      </w:r>
      <w:r>
        <w:t xml:space="preserve">11.05 of the </w:t>
      </w:r>
      <w:r w:rsidR="00D55C94">
        <w:t>utility</w:t>
      </w:r>
      <w:r>
        <w:t xml:space="preserve">’s proposed URD tariff reflects that the costs for underground service laterals replacing existing residential overhead services has also increased compared to costs approved in 2020. DEF proposes to increase its charge for installed conduit service lateral from $1,762 to $1,930 per service. The </w:t>
      </w:r>
      <w:r w:rsidR="00D55C94">
        <w:t>utilit</w:t>
      </w:r>
      <w:r>
        <w:t>y proposes to increase its customer installed conduit service lateral from $1,522 to $1,765 per service.</w:t>
      </w:r>
    </w:p>
    <w:p w:rsidR="00F87AEB" w:rsidRPr="00D413B9" w:rsidRDefault="00F87AEB" w:rsidP="00F87AEB">
      <w:pPr>
        <w:pStyle w:val="First-LevelSubheading"/>
      </w:pPr>
      <w:r w:rsidRPr="00D413B9">
        <w:t>Conclusion</w:t>
      </w:r>
    </w:p>
    <w:p w:rsidR="00A5760D" w:rsidRDefault="00E33FCC" w:rsidP="00F130C2">
      <w:pPr>
        <w:pStyle w:val="BodyText"/>
        <w:sectPr w:rsidR="00A5760D"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r w:rsidRPr="00D413B9">
        <w:t>Staff has reviewed DEF’s proposed underground di</w:t>
      </w:r>
      <w:r w:rsidR="00240C3B">
        <w:t>stribution</w:t>
      </w:r>
      <w:r w:rsidRPr="00D413B9">
        <w:t xml:space="preserve"> tariffs and associated charges, its accompanying work papers, and the </w:t>
      </w:r>
      <w:r w:rsidR="00D55C94">
        <w:t>utilit</w:t>
      </w:r>
      <w:r w:rsidRPr="00D413B9">
        <w:t xml:space="preserve">y’s responses to staff’s data requests. Based on this review, staff believes the proposed URD tariffs and associated charges are </w:t>
      </w:r>
      <w:r w:rsidR="00C80B14">
        <w:t>cost-based and recommends approval of the tariffs shown in Attachment A</w:t>
      </w:r>
      <w:r w:rsidR="00F130C2" w:rsidRPr="00D413B9">
        <w:t>.</w:t>
      </w:r>
    </w:p>
    <w:p w:rsidR="00F130C2" w:rsidRPr="00D413B9" w:rsidRDefault="00F130C2" w:rsidP="00A14591">
      <w:pPr>
        <w:pStyle w:val="BodyText"/>
      </w:pPr>
    </w:p>
    <w:p w:rsidR="001205C6" w:rsidRDefault="007B72ED" w:rsidP="001205C6">
      <w:pPr>
        <w:pStyle w:val="IssueHeading"/>
        <w:rPr>
          <w:vanish/>
          <w:specVanish/>
        </w:rPr>
      </w:pPr>
      <w:r w:rsidRPr="00D413B9">
        <w:br w:type="page"/>
      </w:r>
      <w:r w:rsidR="001205C6" w:rsidRPr="004C3641">
        <w:lastRenderedPageBreak/>
        <w:t xml:space="preserve">Issue </w:t>
      </w:r>
      <w:fldSimple w:instr=" SEQ Issue \* MERGEFORMAT ">
        <w:r w:rsidR="00C12353">
          <w:rPr>
            <w:noProof/>
          </w:rPr>
          <w:t>2</w:t>
        </w:r>
      </w:fldSimple>
      <w:r w:rsidR="001205C6" w:rsidRPr="004C3641">
        <w:t>:</w:t>
      </w:r>
    </w:p>
    <w:p w:rsidR="00A5760D" w:rsidRPr="00D413B9" w:rsidRDefault="00A5760D" w:rsidP="00A5760D">
      <w:pPr>
        <w:pStyle w:val="BodyText"/>
      </w:pPr>
      <w:r>
        <w:t> Should the Commission ap</w:t>
      </w:r>
      <w:r w:rsidRPr="00D413B9">
        <w:t>prove DEF’s proposed underground di</w:t>
      </w:r>
      <w:r>
        <w:t>stribution</w:t>
      </w:r>
      <w:r w:rsidRPr="00D413B9">
        <w:t xml:space="preserve"> tariffs and associated charges?</w:t>
      </w:r>
    </w:p>
    <w:p w:rsidR="007B72ED" w:rsidRPr="00D413B9" w:rsidRDefault="007B72ED">
      <w:pPr>
        <w:pStyle w:val="IssueSubsectionHeading"/>
        <w:rPr>
          <w:vanish/>
          <w:specVanish/>
        </w:rPr>
      </w:pPr>
      <w:r w:rsidRPr="00D413B9">
        <w:t>Recommendation: </w:t>
      </w:r>
    </w:p>
    <w:p w:rsidR="007B72ED" w:rsidRPr="00D413B9" w:rsidRDefault="007B72ED">
      <w:pPr>
        <w:pStyle w:val="BodyText"/>
      </w:pPr>
      <w:r w:rsidRPr="00D413B9">
        <w:t> </w:t>
      </w:r>
      <w:r w:rsidR="00F130C2" w:rsidRPr="00D413B9">
        <w:t>If Issue 1 is approved and a protest is filed within 21 days of the issuance of the order, the tariffs should remain in effect, with any revenues held subject to refund, pending resolution of the protest. If no timely protest is filed, this docket should be closed upon the issuance of a consummating order. (Watrous)</w:t>
      </w:r>
    </w:p>
    <w:p w:rsidR="007B72ED" w:rsidRPr="00D413B9" w:rsidRDefault="007B72ED">
      <w:pPr>
        <w:pStyle w:val="IssueSubsectionHeading"/>
        <w:rPr>
          <w:vanish/>
          <w:specVanish/>
        </w:rPr>
      </w:pPr>
      <w:r w:rsidRPr="00D413B9">
        <w:t>Staff Analysis: </w:t>
      </w:r>
    </w:p>
    <w:p w:rsidR="00233F4D" w:rsidRDefault="007B72ED" w:rsidP="00E275D8">
      <w:pPr>
        <w:pStyle w:val="BodyText"/>
        <w:sectPr w:rsidR="00233F4D" w:rsidSect="00A5760D">
          <w:headerReference w:type="default" r:id="rId14"/>
          <w:type w:val="continuous"/>
          <w:pgSz w:w="12240" w:h="15840" w:code="1"/>
          <w:pgMar w:top="1584" w:right="1440" w:bottom="1440" w:left="1440" w:header="720" w:footer="720" w:gutter="0"/>
          <w:cols w:space="720"/>
          <w:formProt w:val="0"/>
          <w:docGrid w:linePitch="360"/>
        </w:sectPr>
      </w:pPr>
      <w:r w:rsidRPr="00D413B9">
        <w:t> </w:t>
      </w:r>
      <w:r w:rsidR="00F130C2" w:rsidRPr="00D413B9">
        <w:t>If Issue 1 is approved and a protest is filed within 21 days of the issuance of the order, the tariffs should remain in effect, with any revenues held subject to refund, pending resolution of the protest. If no timely protest is filed, this docket should be closed upon the issuance of a consummating order.</w:t>
      </w:r>
    </w:p>
    <w:p w:rsidR="00C6225B" w:rsidRDefault="00C6225B" w:rsidP="00E275D8">
      <w:pPr>
        <w:pStyle w:val="BodyText"/>
      </w:pPr>
    </w:p>
    <w:p w:rsidR="00C6225B" w:rsidRDefault="00C6225B" w:rsidP="00E275D8">
      <w:pPr>
        <w:pStyle w:val="BodyText"/>
      </w:pPr>
      <w:r>
        <w:rPr>
          <w:noProof/>
        </w:rPr>
        <w:lastRenderedPageBreak/>
        <w:drawing>
          <wp:inline distT="0" distB="0" distL="0" distR="0" wp14:anchorId="65C2DC70" wp14:editId="7F8F927F">
            <wp:extent cx="5944235" cy="77120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7712075"/>
                    </a:xfrm>
                    <a:prstGeom prst="rect">
                      <a:avLst/>
                    </a:prstGeom>
                    <a:noFill/>
                  </pic:spPr>
                </pic:pic>
              </a:graphicData>
            </a:graphic>
          </wp:inline>
        </w:drawing>
      </w:r>
    </w:p>
    <w:p w:rsidR="00C6225B" w:rsidRDefault="00C6225B" w:rsidP="00E275D8">
      <w:pPr>
        <w:pStyle w:val="BodyText"/>
      </w:pPr>
    </w:p>
    <w:p w:rsidR="00C6225B" w:rsidRDefault="00C6225B" w:rsidP="00E275D8">
      <w:pPr>
        <w:pStyle w:val="BodyText"/>
      </w:pPr>
      <w:r>
        <w:rPr>
          <w:noProof/>
        </w:rPr>
        <w:lastRenderedPageBreak/>
        <w:drawing>
          <wp:inline distT="0" distB="0" distL="0" distR="0" wp14:anchorId="41F3FBDC" wp14:editId="48120C26">
            <wp:extent cx="5944235" cy="76752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235" cy="7675245"/>
                    </a:xfrm>
                    <a:prstGeom prst="rect">
                      <a:avLst/>
                    </a:prstGeom>
                    <a:noFill/>
                  </pic:spPr>
                </pic:pic>
              </a:graphicData>
            </a:graphic>
          </wp:inline>
        </w:drawing>
      </w:r>
    </w:p>
    <w:p w:rsidR="00C6225B" w:rsidRDefault="00C6225B" w:rsidP="00E275D8">
      <w:pPr>
        <w:pStyle w:val="BodyText"/>
      </w:pPr>
    </w:p>
    <w:p w:rsidR="00C6225B" w:rsidRDefault="00C6225B" w:rsidP="00E275D8">
      <w:pPr>
        <w:pStyle w:val="BodyText"/>
      </w:pPr>
      <w:r>
        <w:rPr>
          <w:noProof/>
        </w:rPr>
        <w:lastRenderedPageBreak/>
        <w:drawing>
          <wp:inline distT="0" distB="0" distL="0" distR="0" wp14:anchorId="7768F6DA" wp14:editId="10D2FC5D">
            <wp:extent cx="5944235" cy="76695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235" cy="7669530"/>
                    </a:xfrm>
                    <a:prstGeom prst="rect">
                      <a:avLst/>
                    </a:prstGeom>
                    <a:noFill/>
                  </pic:spPr>
                </pic:pic>
              </a:graphicData>
            </a:graphic>
          </wp:inline>
        </w:drawing>
      </w:r>
    </w:p>
    <w:sectPr w:rsidR="00C6225B" w:rsidSect="00233F4D">
      <w:headerReference w:type="default" r:id="rId18"/>
      <w:type w:val="continuous"/>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5771" w:rsidRDefault="00035771">
      <w:r>
        <w:separator/>
      </w:r>
    </w:p>
  </w:endnote>
  <w:endnote w:type="continuationSeparator" w:id="0">
    <w:p w:rsidR="00035771" w:rsidRDefault="000357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F452B9">
      <w:rPr>
        <w:rStyle w:val="PageNumber"/>
        <w:noProof/>
      </w:rPr>
      <w:t>4</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5771" w:rsidRDefault="00035771">
      <w:r>
        <w:separator/>
      </w:r>
    </w:p>
  </w:footnote>
  <w:footnote w:type="continuationSeparator" w:id="0">
    <w:p w:rsidR="00035771" w:rsidRDefault="00035771">
      <w:r>
        <w:continuationSeparator/>
      </w:r>
    </w:p>
  </w:footnote>
  <w:footnote w:id="1">
    <w:p w:rsidR="004220C1" w:rsidRPr="00C07128" w:rsidRDefault="004220C1">
      <w:pPr>
        <w:pStyle w:val="FootnoteText"/>
        <w:rPr>
          <w:i/>
        </w:rPr>
      </w:pPr>
      <w:r>
        <w:rPr>
          <w:rStyle w:val="FootnoteReference"/>
        </w:rPr>
        <w:footnoteRef/>
      </w:r>
      <w:r w:rsidR="00B276BE">
        <w:t xml:space="preserve"> </w:t>
      </w:r>
      <w:r>
        <w:t xml:space="preserve">Order No. PSC-2020-0266-TRF-EI, issued July 27, 2020, </w:t>
      </w:r>
      <w:r w:rsidR="00E47750">
        <w:t xml:space="preserve">in Docket No. 20200110-EI, </w:t>
      </w:r>
      <w:r w:rsidR="00E47750" w:rsidRPr="00E47750">
        <w:rPr>
          <w:i/>
        </w:rPr>
        <w:t>I</w:t>
      </w:r>
      <w:r w:rsidR="00E47750" w:rsidRPr="00C07128">
        <w:rPr>
          <w:i/>
        </w:rPr>
        <w:t>n re: Petition for approval of revised underground residential distribution tariffs, by Duke Energy Florida, LLC.</w:t>
      </w:r>
    </w:p>
  </w:footnote>
  <w:footnote w:id="2">
    <w:p w:rsidR="007524E3" w:rsidRPr="004D373D" w:rsidRDefault="007524E3" w:rsidP="007524E3">
      <w:pPr>
        <w:pStyle w:val="FootnoteText"/>
        <w:rPr>
          <w:i/>
        </w:rPr>
      </w:pPr>
      <w:r w:rsidRPr="00D413B9">
        <w:rPr>
          <w:rStyle w:val="FootnoteReference"/>
        </w:rPr>
        <w:footnoteRef/>
      </w:r>
      <w:r w:rsidRPr="00D413B9">
        <w:t xml:space="preserve"> Order No. PSC-2023-0168-PCO-EI, issued May 22, 2023,</w:t>
      </w:r>
      <w:r>
        <w:t xml:space="preserve"> in Docket No. 20230043-EI,</w:t>
      </w:r>
      <w:r w:rsidRPr="00D413B9">
        <w:t xml:space="preserve"> </w:t>
      </w:r>
      <w:r w:rsidRPr="00D413B9">
        <w:rPr>
          <w:i/>
        </w:rPr>
        <w:t>In re: Petition for approval of revised underground residential distribution tariffs, by Duke Energy Florida, LLC.</w:t>
      </w:r>
    </w:p>
  </w:footnote>
  <w:footnote w:id="3">
    <w:p w:rsidR="00883944" w:rsidRDefault="00883944">
      <w:pPr>
        <w:pStyle w:val="FootnoteText"/>
      </w:pPr>
      <w:r>
        <w:rPr>
          <w:rStyle w:val="FootnoteReference"/>
        </w:rPr>
        <w:footnoteRef/>
      </w:r>
      <w:r>
        <w:t xml:space="preserve"> DEF’s Response to Staff’s Second Data Request, Item 4A.</w:t>
      </w:r>
    </w:p>
  </w:footnote>
  <w:footnote w:id="4">
    <w:p w:rsidR="00F130C2" w:rsidRPr="00891B59" w:rsidRDefault="00F130C2" w:rsidP="00F130C2">
      <w:pPr>
        <w:pStyle w:val="FootnoteText"/>
        <w:rPr>
          <w:i/>
        </w:rPr>
      </w:pPr>
      <w:r>
        <w:rPr>
          <w:rStyle w:val="FootnoteReference"/>
        </w:rPr>
        <w:footnoteRef/>
      </w:r>
      <w:r>
        <w:t xml:space="preserve"> Order No. PSC-12-0348-TRF-EI, issue</w:t>
      </w:r>
      <w:r w:rsidR="008B16D5">
        <w:t>d</w:t>
      </w:r>
      <w:r>
        <w:t xml:space="preserve"> July 5, 2012, in Docket No. 110293-EI, </w:t>
      </w:r>
      <w:r>
        <w:rPr>
          <w:i/>
        </w:rPr>
        <w:t>In re: Petition for approval of revised underground residential distribution tariffs, by Progress Energy Florida, Inc.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7B72ED" w:rsidP="00220732">
    <w:pPr>
      <w:pStyle w:val="Header"/>
      <w:tabs>
        <w:tab w:val="clear" w:pos="4320"/>
        <w:tab w:val="clear" w:pos="8640"/>
        <w:tab w:val="right" w:pos="9360"/>
      </w:tabs>
    </w:pPr>
    <w:bookmarkStart w:id="12" w:name="DocketLabel"/>
    <w:r>
      <w:t>Docket No.</w:t>
    </w:r>
    <w:bookmarkEnd w:id="12"/>
    <w:r w:rsidR="00BC402E">
      <w:t xml:space="preserve"> </w:t>
    </w:r>
    <w:bookmarkStart w:id="13" w:name="DocketList"/>
    <w:r>
      <w:t>20230043-EI</w:t>
    </w:r>
    <w:bookmarkEnd w:id="13"/>
  </w:p>
  <w:p w:rsidR="00B33FF6" w:rsidRDefault="00B33FF6" w:rsidP="00B33FF6">
    <w:pPr>
      <w:pStyle w:val="Header"/>
    </w:pPr>
    <w:r>
      <w:t xml:space="preserve">Date: </w:t>
    </w:r>
    <w:fldSimple w:instr=" REF FilingDate ">
      <w:r w:rsidR="00C12353" w:rsidRPr="00D413B9">
        <w:t>July 20, 2023</w:t>
      </w:r>
    </w:fldSimple>
  </w:p>
  <w:p w:rsidR="00BC402E" w:rsidRDefault="00BC402E" w:rsidP="00B33F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C12353">
      <w:t>Docket No.</w:t>
    </w:r>
    <w:r>
      <w:fldChar w:fldCharType="end"/>
    </w:r>
    <w:r>
      <w:t xml:space="preserve"> </w:t>
    </w:r>
    <w:r>
      <w:fldChar w:fldCharType="begin"/>
    </w:r>
    <w:r>
      <w:instrText xml:space="preserve"> REF DocketList</w:instrText>
    </w:r>
    <w:r>
      <w:fldChar w:fldCharType="separate"/>
    </w:r>
    <w:r w:rsidR="00C12353">
      <w:t>20230043-EI</w:t>
    </w:r>
    <w:r>
      <w:fldChar w:fldCharType="end"/>
    </w:r>
    <w:r>
      <w:tab/>
      <w:t xml:space="preserve">Issue </w:t>
    </w:r>
    <w:fldSimple w:instr=" Seq Issue \c \* Arabic ">
      <w:r w:rsidR="00F452B9">
        <w:rPr>
          <w:noProof/>
        </w:rPr>
        <w:t>1</w:t>
      </w:r>
    </w:fldSimple>
  </w:p>
  <w:p w:rsidR="00BC402E" w:rsidRDefault="001E1595" w:rsidP="001E1595">
    <w:pPr>
      <w:pStyle w:val="Header"/>
    </w:pPr>
    <w:r>
      <w:t xml:space="preserve">Date: </w:t>
    </w:r>
    <w:fldSimple w:instr=" REF FilingDate ">
      <w:r w:rsidR="00C12353" w:rsidRPr="00D413B9">
        <w:t>July 20, 2023</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97B" w:rsidRDefault="0003597B" w:rsidP="0003597B">
    <w:pPr>
      <w:pStyle w:val="Header"/>
      <w:tabs>
        <w:tab w:val="clear" w:pos="4320"/>
        <w:tab w:val="clear" w:pos="8640"/>
        <w:tab w:val="right" w:pos="9360"/>
      </w:tabs>
    </w:pPr>
    <w:r>
      <w:fldChar w:fldCharType="begin"/>
    </w:r>
    <w:r>
      <w:instrText xml:space="preserve"> REF DocketLabel</w:instrText>
    </w:r>
    <w:r>
      <w:fldChar w:fldCharType="separate"/>
    </w:r>
    <w:r w:rsidR="00C12353">
      <w:t>Docket No.</w:t>
    </w:r>
    <w:r>
      <w:fldChar w:fldCharType="end"/>
    </w:r>
    <w:r>
      <w:t xml:space="preserve"> </w:t>
    </w:r>
    <w:r>
      <w:fldChar w:fldCharType="begin"/>
    </w:r>
    <w:r>
      <w:instrText xml:space="preserve"> REF DocketList</w:instrText>
    </w:r>
    <w:r>
      <w:fldChar w:fldCharType="separate"/>
    </w:r>
    <w:r w:rsidR="00C12353">
      <w:t>20230043-EI</w:t>
    </w:r>
    <w:r>
      <w:fldChar w:fldCharType="end"/>
    </w:r>
    <w:r>
      <w:tab/>
      <w:t xml:space="preserve">Issue </w:t>
    </w:r>
    <w:fldSimple w:instr=" Seq Issue \c \* Arabic ">
      <w:r w:rsidR="00F452B9">
        <w:rPr>
          <w:noProof/>
        </w:rPr>
        <w:t>2</w:t>
      </w:r>
    </w:fldSimple>
  </w:p>
  <w:p w:rsidR="0003597B" w:rsidRDefault="0003597B" w:rsidP="0003597B">
    <w:pPr>
      <w:pStyle w:val="Header"/>
    </w:pPr>
    <w:r>
      <w:t xml:space="preserve">Date: </w:t>
    </w:r>
    <w:fldSimple w:instr=" REF FilingDate ">
      <w:r w:rsidR="00C12353" w:rsidRPr="00D413B9">
        <w:t>July 20, 2023</w:t>
      </w:r>
    </w:fldSimple>
  </w:p>
  <w:p w:rsidR="00A5760D" w:rsidRPr="0003597B" w:rsidRDefault="00A5760D" w:rsidP="0003597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F4D" w:rsidRDefault="00233F4D" w:rsidP="00220732">
    <w:pPr>
      <w:pStyle w:val="Header"/>
      <w:tabs>
        <w:tab w:val="clear" w:pos="4320"/>
        <w:tab w:val="clear" w:pos="8640"/>
        <w:tab w:val="right" w:pos="9360"/>
      </w:tabs>
    </w:pPr>
    <w:r>
      <w:fldChar w:fldCharType="begin"/>
    </w:r>
    <w:r>
      <w:instrText xml:space="preserve"> REF DocketLabel</w:instrText>
    </w:r>
    <w:r>
      <w:fldChar w:fldCharType="separate"/>
    </w:r>
    <w:r w:rsidR="00C12353">
      <w:t>Docket No.</w:t>
    </w:r>
    <w:r>
      <w:fldChar w:fldCharType="end"/>
    </w:r>
    <w:r>
      <w:t xml:space="preserve"> </w:t>
    </w:r>
    <w:r>
      <w:fldChar w:fldCharType="begin"/>
    </w:r>
    <w:r>
      <w:instrText xml:space="preserve"> REF DocketList</w:instrText>
    </w:r>
    <w:r>
      <w:fldChar w:fldCharType="separate"/>
    </w:r>
    <w:r w:rsidR="00C12353">
      <w:t>20230043-EI</w:t>
    </w:r>
    <w:r>
      <w:fldChar w:fldCharType="end"/>
    </w:r>
    <w:r>
      <w:tab/>
      <w:t>Attachment A</w:t>
    </w:r>
  </w:p>
  <w:p w:rsidR="00233F4D" w:rsidRDefault="00233F4D" w:rsidP="00233F4D">
    <w:pPr>
      <w:pStyle w:val="Header"/>
      <w:tabs>
        <w:tab w:val="clear" w:pos="4320"/>
        <w:tab w:val="clear" w:pos="8640"/>
        <w:tab w:val="right" w:pos="9360"/>
      </w:tabs>
    </w:pPr>
    <w:r>
      <w:t xml:space="preserve">Date: July </w:t>
    </w:r>
    <w:r w:rsidR="00EC6B79">
      <w:t>20</w:t>
    </w:r>
    <w:r>
      <w:t>, 2023</w:t>
    </w:r>
    <w:r>
      <w:tab/>
      <w:t xml:space="preserve">Page </w:t>
    </w:r>
    <w:r>
      <w:fldChar w:fldCharType="begin"/>
    </w:r>
    <w:r>
      <w:instrText xml:space="preserve">= </w:instrText>
    </w:r>
    <w:r>
      <w:fldChar w:fldCharType="begin"/>
    </w:r>
    <w:r>
      <w:instrText xml:space="preserve">Page </w:instrText>
    </w:r>
    <w:r>
      <w:fldChar w:fldCharType="separate"/>
    </w:r>
    <w:r w:rsidR="00F452B9">
      <w:rPr>
        <w:noProof/>
      </w:rPr>
      <w:instrText>10</w:instrText>
    </w:r>
    <w:r>
      <w:fldChar w:fldCharType="end"/>
    </w:r>
    <w:r>
      <w:instrText>- 7</w:instrText>
    </w:r>
    <w:r>
      <w:fldChar w:fldCharType="separate"/>
    </w:r>
    <w:r w:rsidR="00F452B9">
      <w:rPr>
        <w:noProof/>
      </w:rPr>
      <w:t>3</w:t>
    </w:r>
    <w:r>
      <w:fldChar w:fldCharType="end"/>
    </w:r>
    <w:r>
      <w:t xml:space="preserve"> of 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46940FD"/>
    <w:multiLevelType w:val="hybridMultilevel"/>
    <w:tmpl w:val="AFF868EA"/>
    <w:lvl w:ilvl="0" w:tplc="C9D68BE0">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6D60613"/>
    <w:multiLevelType w:val="hybridMultilevel"/>
    <w:tmpl w:val="19BA3798"/>
    <w:lvl w:ilvl="0" w:tplc="4AC82BD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103781"/>
    <w:multiLevelType w:val="hybridMultilevel"/>
    <w:tmpl w:val="6FF2F738"/>
    <w:lvl w:ilvl="0" w:tplc="FCC8416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614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7B72ED"/>
    <w:rsid w:val="00001361"/>
    <w:rsid w:val="000043D5"/>
    <w:rsid w:val="00006170"/>
    <w:rsid w:val="00007BB2"/>
    <w:rsid w:val="00010E37"/>
    <w:rsid w:val="000172DA"/>
    <w:rsid w:val="00022337"/>
    <w:rsid w:val="00023A0E"/>
    <w:rsid w:val="000247C5"/>
    <w:rsid w:val="000277C2"/>
    <w:rsid w:val="00031198"/>
    <w:rsid w:val="00033F77"/>
    <w:rsid w:val="00035771"/>
    <w:rsid w:val="0003597B"/>
    <w:rsid w:val="00035B48"/>
    <w:rsid w:val="00036CE2"/>
    <w:rsid w:val="000409CB"/>
    <w:rsid w:val="000437FE"/>
    <w:rsid w:val="00046CB3"/>
    <w:rsid w:val="000513BE"/>
    <w:rsid w:val="00051573"/>
    <w:rsid w:val="0005451B"/>
    <w:rsid w:val="00065A06"/>
    <w:rsid w:val="000666F3"/>
    <w:rsid w:val="00070DCB"/>
    <w:rsid w:val="00070F2D"/>
    <w:rsid w:val="00072CCA"/>
    <w:rsid w:val="00073120"/>
    <w:rsid w:val="000764D0"/>
    <w:rsid w:val="000828D3"/>
    <w:rsid w:val="000A1151"/>
    <w:rsid w:val="000A2B57"/>
    <w:rsid w:val="000A418B"/>
    <w:rsid w:val="000B0ACE"/>
    <w:rsid w:val="000C4431"/>
    <w:rsid w:val="000C6607"/>
    <w:rsid w:val="000C72D2"/>
    <w:rsid w:val="000D1C06"/>
    <w:rsid w:val="000D3043"/>
    <w:rsid w:val="000D4319"/>
    <w:rsid w:val="000D67BD"/>
    <w:rsid w:val="000E061E"/>
    <w:rsid w:val="000E24FA"/>
    <w:rsid w:val="000E338A"/>
    <w:rsid w:val="000E4392"/>
    <w:rsid w:val="000E5289"/>
    <w:rsid w:val="000F374A"/>
    <w:rsid w:val="000F4DAF"/>
    <w:rsid w:val="00104F4D"/>
    <w:rsid w:val="00105BA1"/>
    <w:rsid w:val="001076AF"/>
    <w:rsid w:val="001109F6"/>
    <w:rsid w:val="00111C71"/>
    <w:rsid w:val="00116C6B"/>
    <w:rsid w:val="00117C8C"/>
    <w:rsid w:val="001205C6"/>
    <w:rsid w:val="001239F0"/>
    <w:rsid w:val="00124C38"/>
    <w:rsid w:val="00124E2E"/>
    <w:rsid w:val="00125ED4"/>
    <w:rsid w:val="001265C4"/>
    <w:rsid w:val="001303BF"/>
    <w:rsid w:val="001305E9"/>
    <w:rsid w:val="001307AF"/>
    <w:rsid w:val="0013347E"/>
    <w:rsid w:val="00135687"/>
    <w:rsid w:val="00136BD1"/>
    <w:rsid w:val="00136F71"/>
    <w:rsid w:val="0014585C"/>
    <w:rsid w:val="00146B5D"/>
    <w:rsid w:val="00150ECE"/>
    <w:rsid w:val="0015506E"/>
    <w:rsid w:val="00163031"/>
    <w:rsid w:val="001654C4"/>
    <w:rsid w:val="00170EC1"/>
    <w:rsid w:val="00171A90"/>
    <w:rsid w:val="001801C2"/>
    <w:rsid w:val="00180254"/>
    <w:rsid w:val="001854A8"/>
    <w:rsid w:val="00191E1F"/>
    <w:rsid w:val="00191EE8"/>
    <w:rsid w:val="00192943"/>
    <w:rsid w:val="00193BAF"/>
    <w:rsid w:val="00194791"/>
    <w:rsid w:val="00197388"/>
    <w:rsid w:val="001A1906"/>
    <w:rsid w:val="001A1EC2"/>
    <w:rsid w:val="001A7406"/>
    <w:rsid w:val="001A7AE4"/>
    <w:rsid w:val="001B1EDC"/>
    <w:rsid w:val="001B4053"/>
    <w:rsid w:val="001B4FEE"/>
    <w:rsid w:val="001B51C5"/>
    <w:rsid w:val="001B672A"/>
    <w:rsid w:val="001B6F3F"/>
    <w:rsid w:val="001C52B5"/>
    <w:rsid w:val="001D0D3E"/>
    <w:rsid w:val="001D2817"/>
    <w:rsid w:val="001D2899"/>
    <w:rsid w:val="001E1380"/>
    <w:rsid w:val="001E14A3"/>
    <w:rsid w:val="001E1595"/>
    <w:rsid w:val="001E2662"/>
    <w:rsid w:val="001E7FF4"/>
    <w:rsid w:val="001F2245"/>
    <w:rsid w:val="001F2C63"/>
    <w:rsid w:val="001F35FB"/>
    <w:rsid w:val="001F48C7"/>
    <w:rsid w:val="001F6DA1"/>
    <w:rsid w:val="00200178"/>
    <w:rsid w:val="00204200"/>
    <w:rsid w:val="002044E6"/>
    <w:rsid w:val="00205C82"/>
    <w:rsid w:val="00205DC2"/>
    <w:rsid w:val="00212B17"/>
    <w:rsid w:val="002152AA"/>
    <w:rsid w:val="002163B6"/>
    <w:rsid w:val="00217215"/>
    <w:rsid w:val="00220732"/>
    <w:rsid w:val="0022121F"/>
    <w:rsid w:val="00221D32"/>
    <w:rsid w:val="00222AC1"/>
    <w:rsid w:val="00225C3F"/>
    <w:rsid w:val="00233F4D"/>
    <w:rsid w:val="00236823"/>
    <w:rsid w:val="00240C3B"/>
    <w:rsid w:val="0024797C"/>
    <w:rsid w:val="00255236"/>
    <w:rsid w:val="00263D44"/>
    <w:rsid w:val="002671A0"/>
    <w:rsid w:val="00270043"/>
    <w:rsid w:val="002702AD"/>
    <w:rsid w:val="00281EB4"/>
    <w:rsid w:val="00292D82"/>
    <w:rsid w:val="00293EE7"/>
    <w:rsid w:val="002948EB"/>
    <w:rsid w:val="002963CB"/>
    <w:rsid w:val="002A36EA"/>
    <w:rsid w:val="002A6C94"/>
    <w:rsid w:val="002B2DAC"/>
    <w:rsid w:val="002B4A01"/>
    <w:rsid w:val="002C291B"/>
    <w:rsid w:val="002C746A"/>
    <w:rsid w:val="002C7E4E"/>
    <w:rsid w:val="002D1E31"/>
    <w:rsid w:val="002D226D"/>
    <w:rsid w:val="002D2771"/>
    <w:rsid w:val="002D6C45"/>
    <w:rsid w:val="002D74E3"/>
    <w:rsid w:val="002F6030"/>
    <w:rsid w:val="003001AC"/>
    <w:rsid w:val="00300EBB"/>
    <w:rsid w:val="00301C75"/>
    <w:rsid w:val="003037E1"/>
    <w:rsid w:val="00307E51"/>
    <w:rsid w:val="003103EC"/>
    <w:rsid w:val="00312132"/>
    <w:rsid w:val="003130BA"/>
    <w:rsid w:val="003144EF"/>
    <w:rsid w:val="0031480E"/>
    <w:rsid w:val="00316877"/>
    <w:rsid w:val="00322F74"/>
    <w:rsid w:val="00325E15"/>
    <w:rsid w:val="00330FBF"/>
    <w:rsid w:val="003370ED"/>
    <w:rsid w:val="00340073"/>
    <w:rsid w:val="003411D8"/>
    <w:rsid w:val="003445B0"/>
    <w:rsid w:val="00353B66"/>
    <w:rsid w:val="00355934"/>
    <w:rsid w:val="00357928"/>
    <w:rsid w:val="00360C17"/>
    <w:rsid w:val="003632FD"/>
    <w:rsid w:val="00370F78"/>
    <w:rsid w:val="00372805"/>
    <w:rsid w:val="00373180"/>
    <w:rsid w:val="00375AB9"/>
    <w:rsid w:val="0037691E"/>
    <w:rsid w:val="003821A0"/>
    <w:rsid w:val="00384DE5"/>
    <w:rsid w:val="00385B04"/>
    <w:rsid w:val="003864CF"/>
    <w:rsid w:val="00393E6E"/>
    <w:rsid w:val="003948AE"/>
    <w:rsid w:val="003A08C0"/>
    <w:rsid w:val="003A0C84"/>
    <w:rsid w:val="003A0CD9"/>
    <w:rsid w:val="003A22A6"/>
    <w:rsid w:val="003A32EB"/>
    <w:rsid w:val="003A5494"/>
    <w:rsid w:val="003B2510"/>
    <w:rsid w:val="003B37BC"/>
    <w:rsid w:val="003B4355"/>
    <w:rsid w:val="003C2CC4"/>
    <w:rsid w:val="003C3710"/>
    <w:rsid w:val="003C42A3"/>
    <w:rsid w:val="003C48F7"/>
    <w:rsid w:val="003E0463"/>
    <w:rsid w:val="003E0EFC"/>
    <w:rsid w:val="003E1CEF"/>
    <w:rsid w:val="003E1FC3"/>
    <w:rsid w:val="003E2186"/>
    <w:rsid w:val="003E4A2B"/>
    <w:rsid w:val="003E6FE9"/>
    <w:rsid w:val="003E76C2"/>
    <w:rsid w:val="003F1367"/>
    <w:rsid w:val="003F1679"/>
    <w:rsid w:val="003F21EB"/>
    <w:rsid w:val="003F4370"/>
    <w:rsid w:val="003F4A35"/>
    <w:rsid w:val="003F5F03"/>
    <w:rsid w:val="003F7FDD"/>
    <w:rsid w:val="00402101"/>
    <w:rsid w:val="00402481"/>
    <w:rsid w:val="004042B4"/>
    <w:rsid w:val="00410DC4"/>
    <w:rsid w:val="00412DAE"/>
    <w:rsid w:val="0041302D"/>
    <w:rsid w:val="00421529"/>
    <w:rsid w:val="004220C1"/>
    <w:rsid w:val="00422A07"/>
    <w:rsid w:val="004242E6"/>
    <w:rsid w:val="00427B35"/>
    <w:rsid w:val="00431598"/>
    <w:rsid w:val="004319AD"/>
    <w:rsid w:val="00437155"/>
    <w:rsid w:val="00441ADE"/>
    <w:rsid w:val="004426B8"/>
    <w:rsid w:val="00444432"/>
    <w:rsid w:val="00447D5C"/>
    <w:rsid w:val="00450202"/>
    <w:rsid w:val="004502B2"/>
    <w:rsid w:val="00452679"/>
    <w:rsid w:val="00455499"/>
    <w:rsid w:val="00463507"/>
    <w:rsid w:val="004649A7"/>
    <w:rsid w:val="00471860"/>
    <w:rsid w:val="00477026"/>
    <w:rsid w:val="00477730"/>
    <w:rsid w:val="0048034B"/>
    <w:rsid w:val="004923A3"/>
    <w:rsid w:val="0049710A"/>
    <w:rsid w:val="004A744D"/>
    <w:rsid w:val="004B60BD"/>
    <w:rsid w:val="004B72AD"/>
    <w:rsid w:val="004C3150"/>
    <w:rsid w:val="004C3641"/>
    <w:rsid w:val="004C3873"/>
    <w:rsid w:val="004C4390"/>
    <w:rsid w:val="004C4AF7"/>
    <w:rsid w:val="004C5ED8"/>
    <w:rsid w:val="004C746E"/>
    <w:rsid w:val="004C7501"/>
    <w:rsid w:val="004C7947"/>
    <w:rsid w:val="004D020C"/>
    <w:rsid w:val="004D2881"/>
    <w:rsid w:val="004D2D7D"/>
    <w:rsid w:val="004D373D"/>
    <w:rsid w:val="004D385F"/>
    <w:rsid w:val="004D5B39"/>
    <w:rsid w:val="004D7976"/>
    <w:rsid w:val="004E0CEA"/>
    <w:rsid w:val="004E330D"/>
    <w:rsid w:val="004E4985"/>
    <w:rsid w:val="004E5147"/>
    <w:rsid w:val="004E69B5"/>
    <w:rsid w:val="004F2DE3"/>
    <w:rsid w:val="004F50D1"/>
    <w:rsid w:val="004F5C43"/>
    <w:rsid w:val="00502A1F"/>
    <w:rsid w:val="005050A2"/>
    <w:rsid w:val="00506030"/>
    <w:rsid w:val="0050652D"/>
    <w:rsid w:val="00506C03"/>
    <w:rsid w:val="00511A11"/>
    <w:rsid w:val="00516496"/>
    <w:rsid w:val="00522E7D"/>
    <w:rsid w:val="00523B11"/>
    <w:rsid w:val="0052455B"/>
    <w:rsid w:val="0052572A"/>
    <w:rsid w:val="00532DFB"/>
    <w:rsid w:val="00542690"/>
    <w:rsid w:val="00543CB3"/>
    <w:rsid w:val="005442E4"/>
    <w:rsid w:val="00547652"/>
    <w:rsid w:val="0055529B"/>
    <w:rsid w:val="00560721"/>
    <w:rsid w:val="00560FF0"/>
    <w:rsid w:val="005614BD"/>
    <w:rsid w:val="0056705F"/>
    <w:rsid w:val="0057154F"/>
    <w:rsid w:val="00572513"/>
    <w:rsid w:val="00580F69"/>
    <w:rsid w:val="00581CA3"/>
    <w:rsid w:val="00585031"/>
    <w:rsid w:val="00586E8B"/>
    <w:rsid w:val="00587A44"/>
    <w:rsid w:val="00597730"/>
    <w:rsid w:val="005977EC"/>
    <w:rsid w:val="00597DE7"/>
    <w:rsid w:val="005A4AA2"/>
    <w:rsid w:val="005B34B6"/>
    <w:rsid w:val="005B606A"/>
    <w:rsid w:val="005B6C8F"/>
    <w:rsid w:val="005B6EC3"/>
    <w:rsid w:val="005C17D7"/>
    <w:rsid w:val="005C33CE"/>
    <w:rsid w:val="005D0F74"/>
    <w:rsid w:val="005D2E7D"/>
    <w:rsid w:val="005D428B"/>
    <w:rsid w:val="005D4373"/>
    <w:rsid w:val="005D4A8F"/>
    <w:rsid w:val="005D561B"/>
    <w:rsid w:val="005D578F"/>
    <w:rsid w:val="005D5ECF"/>
    <w:rsid w:val="005F468D"/>
    <w:rsid w:val="005F69A3"/>
    <w:rsid w:val="00604CC7"/>
    <w:rsid w:val="00613441"/>
    <w:rsid w:val="00614CF0"/>
    <w:rsid w:val="00615423"/>
    <w:rsid w:val="006165B2"/>
    <w:rsid w:val="00617276"/>
    <w:rsid w:val="006242DF"/>
    <w:rsid w:val="0062527B"/>
    <w:rsid w:val="00625D97"/>
    <w:rsid w:val="00625F1C"/>
    <w:rsid w:val="0062658E"/>
    <w:rsid w:val="0062765E"/>
    <w:rsid w:val="006279E1"/>
    <w:rsid w:val="00630CEB"/>
    <w:rsid w:val="00632264"/>
    <w:rsid w:val="006355F2"/>
    <w:rsid w:val="00637762"/>
    <w:rsid w:val="006470BC"/>
    <w:rsid w:val="006554D3"/>
    <w:rsid w:val="0065780F"/>
    <w:rsid w:val="006603F4"/>
    <w:rsid w:val="00661708"/>
    <w:rsid w:val="00666522"/>
    <w:rsid w:val="00667036"/>
    <w:rsid w:val="00667B89"/>
    <w:rsid w:val="00673BDB"/>
    <w:rsid w:val="00674341"/>
    <w:rsid w:val="006771B8"/>
    <w:rsid w:val="00682631"/>
    <w:rsid w:val="00683A89"/>
    <w:rsid w:val="006843B6"/>
    <w:rsid w:val="0068481F"/>
    <w:rsid w:val="00693EA1"/>
    <w:rsid w:val="0069636F"/>
    <w:rsid w:val="00696F5D"/>
    <w:rsid w:val="00697249"/>
    <w:rsid w:val="006A06F3"/>
    <w:rsid w:val="006A1A67"/>
    <w:rsid w:val="006A44E2"/>
    <w:rsid w:val="006B09C4"/>
    <w:rsid w:val="006B3947"/>
    <w:rsid w:val="006B4293"/>
    <w:rsid w:val="006B624F"/>
    <w:rsid w:val="006C0C95"/>
    <w:rsid w:val="006C31E3"/>
    <w:rsid w:val="006C679E"/>
    <w:rsid w:val="006D18D3"/>
    <w:rsid w:val="006D1EE9"/>
    <w:rsid w:val="006D2151"/>
    <w:rsid w:val="006D3BD1"/>
    <w:rsid w:val="006E010E"/>
    <w:rsid w:val="006E08CB"/>
    <w:rsid w:val="006E2701"/>
    <w:rsid w:val="006E598D"/>
    <w:rsid w:val="0070437D"/>
    <w:rsid w:val="00704CF1"/>
    <w:rsid w:val="00705B04"/>
    <w:rsid w:val="0071040E"/>
    <w:rsid w:val="007168CF"/>
    <w:rsid w:val="00717EE9"/>
    <w:rsid w:val="00720EFB"/>
    <w:rsid w:val="007221BD"/>
    <w:rsid w:val="00724992"/>
    <w:rsid w:val="00724F64"/>
    <w:rsid w:val="00727F90"/>
    <w:rsid w:val="0073220C"/>
    <w:rsid w:val="007324EF"/>
    <w:rsid w:val="007346EE"/>
    <w:rsid w:val="00734820"/>
    <w:rsid w:val="007349DC"/>
    <w:rsid w:val="0074365E"/>
    <w:rsid w:val="00743C55"/>
    <w:rsid w:val="00744B55"/>
    <w:rsid w:val="007515FD"/>
    <w:rsid w:val="00751968"/>
    <w:rsid w:val="007524E3"/>
    <w:rsid w:val="00755A1E"/>
    <w:rsid w:val="007607EA"/>
    <w:rsid w:val="00760D80"/>
    <w:rsid w:val="00761CB4"/>
    <w:rsid w:val="00780558"/>
    <w:rsid w:val="00780C09"/>
    <w:rsid w:val="00780DDF"/>
    <w:rsid w:val="00781BC3"/>
    <w:rsid w:val="007834E9"/>
    <w:rsid w:val="00787DBC"/>
    <w:rsid w:val="0079019A"/>
    <w:rsid w:val="00792935"/>
    <w:rsid w:val="007A04A1"/>
    <w:rsid w:val="007A1840"/>
    <w:rsid w:val="007A3250"/>
    <w:rsid w:val="007B72ED"/>
    <w:rsid w:val="007B730C"/>
    <w:rsid w:val="007C0528"/>
    <w:rsid w:val="007C08EA"/>
    <w:rsid w:val="007C3D38"/>
    <w:rsid w:val="007D0F35"/>
    <w:rsid w:val="007D3730"/>
    <w:rsid w:val="007D4546"/>
    <w:rsid w:val="007D4FEB"/>
    <w:rsid w:val="007D6146"/>
    <w:rsid w:val="007E0CE7"/>
    <w:rsid w:val="007F1193"/>
    <w:rsid w:val="007F417F"/>
    <w:rsid w:val="007F6AE2"/>
    <w:rsid w:val="007F7644"/>
    <w:rsid w:val="008042BD"/>
    <w:rsid w:val="008050B3"/>
    <w:rsid w:val="00816624"/>
    <w:rsid w:val="0082144D"/>
    <w:rsid w:val="00822427"/>
    <w:rsid w:val="00822562"/>
    <w:rsid w:val="00823663"/>
    <w:rsid w:val="00823664"/>
    <w:rsid w:val="00827338"/>
    <w:rsid w:val="008305B7"/>
    <w:rsid w:val="00832DDC"/>
    <w:rsid w:val="00836808"/>
    <w:rsid w:val="008426B0"/>
    <w:rsid w:val="008431BB"/>
    <w:rsid w:val="00845E34"/>
    <w:rsid w:val="00850BAC"/>
    <w:rsid w:val="00854A3E"/>
    <w:rsid w:val="00855D08"/>
    <w:rsid w:val="008618A4"/>
    <w:rsid w:val="008731AB"/>
    <w:rsid w:val="00874344"/>
    <w:rsid w:val="0087505D"/>
    <w:rsid w:val="00877703"/>
    <w:rsid w:val="008813BF"/>
    <w:rsid w:val="00882155"/>
    <w:rsid w:val="0088233B"/>
    <w:rsid w:val="00883944"/>
    <w:rsid w:val="0088599E"/>
    <w:rsid w:val="00886C37"/>
    <w:rsid w:val="008915FC"/>
    <w:rsid w:val="00892D99"/>
    <w:rsid w:val="00893315"/>
    <w:rsid w:val="00894C09"/>
    <w:rsid w:val="00897BFA"/>
    <w:rsid w:val="008B16D5"/>
    <w:rsid w:val="008B5C68"/>
    <w:rsid w:val="008B62AE"/>
    <w:rsid w:val="008B6910"/>
    <w:rsid w:val="008C04B5"/>
    <w:rsid w:val="008C14FA"/>
    <w:rsid w:val="008C7B0B"/>
    <w:rsid w:val="008D4057"/>
    <w:rsid w:val="008E1F19"/>
    <w:rsid w:val="008E20AA"/>
    <w:rsid w:val="008E20AD"/>
    <w:rsid w:val="008F2262"/>
    <w:rsid w:val="008F4D2B"/>
    <w:rsid w:val="008F5B91"/>
    <w:rsid w:val="008F7736"/>
    <w:rsid w:val="0090019E"/>
    <w:rsid w:val="00900435"/>
    <w:rsid w:val="00901086"/>
    <w:rsid w:val="00901C8A"/>
    <w:rsid w:val="00902F66"/>
    <w:rsid w:val="00904F3B"/>
    <w:rsid w:val="00905886"/>
    <w:rsid w:val="009070D6"/>
    <w:rsid w:val="009070FF"/>
    <w:rsid w:val="009076C6"/>
    <w:rsid w:val="0091019E"/>
    <w:rsid w:val="009106F1"/>
    <w:rsid w:val="00912404"/>
    <w:rsid w:val="009145D6"/>
    <w:rsid w:val="00915541"/>
    <w:rsid w:val="00920E64"/>
    <w:rsid w:val="00922002"/>
    <w:rsid w:val="009225CB"/>
    <w:rsid w:val="00924020"/>
    <w:rsid w:val="00924BF4"/>
    <w:rsid w:val="009271A7"/>
    <w:rsid w:val="0092762F"/>
    <w:rsid w:val="00933D2B"/>
    <w:rsid w:val="00934544"/>
    <w:rsid w:val="0093658B"/>
    <w:rsid w:val="00940F07"/>
    <w:rsid w:val="009429FF"/>
    <w:rsid w:val="009444D1"/>
    <w:rsid w:val="00945BD6"/>
    <w:rsid w:val="009479FB"/>
    <w:rsid w:val="00951C45"/>
    <w:rsid w:val="00951DD8"/>
    <w:rsid w:val="00952308"/>
    <w:rsid w:val="009559FF"/>
    <w:rsid w:val="009656F2"/>
    <w:rsid w:val="00966A08"/>
    <w:rsid w:val="009701B7"/>
    <w:rsid w:val="00970672"/>
    <w:rsid w:val="00971207"/>
    <w:rsid w:val="00975CB4"/>
    <w:rsid w:val="009863B0"/>
    <w:rsid w:val="00987DE1"/>
    <w:rsid w:val="00987E67"/>
    <w:rsid w:val="00990571"/>
    <w:rsid w:val="00991905"/>
    <w:rsid w:val="009926B2"/>
    <w:rsid w:val="0099673A"/>
    <w:rsid w:val="009A3291"/>
    <w:rsid w:val="009A3330"/>
    <w:rsid w:val="009A548F"/>
    <w:rsid w:val="009A7C96"/>
    <w:rsid w:val="009B0CD1"/>
    <w:rsid w:val="009B61BF"/>
    <w:rsid w:val="009C3253"/>
    <w:rsid w:val="009C3DB9"/>
    <w:rsid w:val="009C5968"/>
    <w:rsid w:val="009D0436"/>
    <w:rsid w:val="009D469B"/>
    <w:rsid w:val="009D46E5"/>
    <w:rsid w:val="009D568A"/>
    <w:rsid w:val="009F04EC"/>
    <w:rsid w:val="009F2A7C"/>
    <w:rsid w:val="009F3733"/>
    <w:rsid w:val="009F3B36"/>
    <w:rsid w:val="00A00166"/>
    <w:rsid w:val="00A019B9"/>
    <w:rsid w:val="00A03157"/>
    <w:rsid w:val="00A068B1"/>
    <w:rsid w:val="00A11756"/>
    <w:rsid w:val="00A12497"/>
    <w:rsid w:val="00A12508"/>
    <w:rsid w:val="00A1282B"/>
    <w:rsid w:val="00A13A27"/>
    <w:rsid w:val="00A14591"/>
    <w:rsid w:val="00A14A4E"/>
    <w:rsid w:val="00A15B7C"/>
    <w:rsid w:val="00A175B6"/>
    <w:rsid w:val="00A21835"/>
    <w:rsid w:val="00A2374B"/>
    <w:rsid w:val="00A23AAB"/>
    <w:rsid w:val="00A27D6E"/>
    <w:rsid w:val="00A328EC"/>
    <w:rsid w:val="00A33A51"/>
    <w:rsid w:val="00A41CA6"/>
    <w:rsid w:val="00A431ED"/>
    <w:rsid w:val="00A47927"/>
    <w:rsid w:val="00A47FFC"/>
    <w:rsid w:val="00A50D70"/>
    <w:rsid w:val="00A5442F"/>
    <w:rsid w:val="00A54FF9"/>
    <w:rsid w:val="00A56765"/>
    <w:rsid w:val="00A5760D"/>
    <w:rsid w:val="00A675AC"/>
    <w:rsid w:val="00A7097D"/>
    <w:rsid w:val="00A7581F"/>
    <w:rsid w:val="00A81274"/>
    <w:rsid w:val="00A86ACA"/>
    <w:rsid w:val="00A92439"/>
    <w:rsid w:val="00A92FB1"/>
    <w:rsid w:val="00A93B6E"/>
    <w:rsid w:val="00A95980"/>
    <w:rsid w:val="00A95A0C"/>
    <w:rsid w:val="00AA2765"/>
    <w:rsid w:val="00AA6A15"/>
    <w:rsid w:val="00AA77B5"/>
    <w:rsid w:val="00AB6C5D"/>
    <w:rsid w:val="00AC3401"/>
    <w:rsid w:val="00AC51A7"/>
    <w:rsid w:val="00AC52EB"/>
    <w:rsid w:val="00AC603B"/>
    <w:rsid w:val="00AD0E89"/>
    <w:rsid w:val="00AD444B"/>
    <w:rsid w:val="00AD5614"/>
    <w:rsid w:val="00AD6C78"/>
    <w:rsid w:val="00AE03F0"/>
    <w:rsid w:val="00AE2EAB"/>
    <w:rsid w:val="00AF13D0"/>
    <w:rsid w:val="00AF5E0E"/>
    <w:rsid w:val="00AF5F89"/>
    <w:rsid w:val="00AF6FB4"/>
    <w:rsid w:val="00AF73CB"/>
    <w:rsid w:val="00B002D6"/>
    <w:rsid w:val="00B02EF0"/>
    <w:rsid w:val="00B03379"/>
    <w:rsid w:val="00B03FA5"/>
    <w:rsid w:val="00B04110"/>
    <w:rsid w:val="00B05B51"/>
    <w:rsid w:val="00B071D5"/>
    <w:rsid w:val="00B14E5A"/>
    <w:rsid w:val="00B15370"/>
    <w:rsid w:val="00B16DA4"/>
    <w:rsid w:val="00B17BEB"/>
    <w:rsid w:val="00B21A3C"/>
    <w:rsid w:val="00B223C0"/>
    <w:rsid w:val="00B234ED"/>
    <w:rsid w:val="00B249B2"/>
    <w:rsid w:val="00B25CA3"/>
    <w:rsid w:val="00B2765A"/>
    <w:rsid w:val="00B276BE"/>
    <w:rsid w:val="00B3109A"/>
    <w:rsid w:val="00B32D37"/>
    <w:rsid w:val="00B3319F"/>
    <w:rsid w:val="00B33FF6"/>
    <w:rsid w:val="00B41AA8"/>
    <w:rsid w:val="00B42B45"/>
    <w:rsid w:val="00B516ED"/>
    <w:rsid w:val="00B565DA"/>
    <w:rsid w:val="00B57A6A"/>
    <w:rsid w:val="00B607B0"/>
    <w:rsid w:val="00B62D0D"/>
    <w:rsid w:val="00B6798E"/>
    <w:rsid w:val="00B760F1"/>
    <w:rsid w:val="00B7669E"/>
    <w:rsid w:val="00B76EBB"/>
    <w:rsid w:val="00B77DA1"/>
    <w:rsid w:val="00B822A0"/>
    <w:rsid w:val="00B82F85"/>
    <w:rsid w:val="00B84C10"/>
    <w:rsid w:val="00B84FC7"/>
    <w:rsid w:val="00B858AE"/>
    <w:rsid w:val="00B85964"/>
    <w:rsid w:val="00B96250"/>
    <w:rsid w:val="00BA0D55"/>
    <w:rsid w:val="00BA37B3"/>
    <w:rsid w:val="00BA4CC6"/>
    <w:rsid w:val="00BA7F46"/>
    <w:rsid w:val="00BB0F1D"/>
    <w:rsid w:val="00BB309C"/>
    <w:rsid w:val="00BB3493"/>
    <w:rsid w:val="00BB6E4C"/>
    <w:rsid w:val="00BB6ECC"/>
    <w:rsid w:val="00BB7468"/>
    <w:rsid w:val="00BC0514"/>
    <w:rsid w:val="00BC188A"/>
    <w:rsid w:val="00BC2F78"/>
    <w:rsid w:val="00BC402E"/>
    <w:rsid w:val="00BC63C7"/>
    <w:rsid w:val="00BC6DC3"/>
    <w:rsid w:val="00BC70C6"/>
    <w:rsid w:val="00BD04B0"/>
    <w:rsid w:val="00BD0F48"/>
    <w:rsid w:val="00BD14E5"/>
    <w:rsid w:val="00BE0E50"/>
    <w:rsid w:val="00BE6DDB"/>
    <w:rsid w:val="00BF03E0"/>
    <w:rsid w:val="00BF5010"/>
    <w:rsid w:val="00C03009"/>
    <w:rsid w:val="00C03D5F"/>
    <w:rsid w:val="00C07128"/>
    <w:rsid w:val="00C12353"/>
    <w:rsid w:val="00C13791"/>
    <w:rsid w:val="00C210BD"/>
    <w:rsid w:val="00C2575A"/>
    <w:rsid w:val="00C31BB3"/>
    <w:rsid w:val="00C36977"/>
    <w:rsid w:val="00C46628"/>
    <w:rsid w:val="00C467DA"/>
    <w:rsid w:val="00C477D9"/>
    <w:rsid w:val="00C57869"/>
    <w:rsid w:val="00C60BA3"/>
    <w:rsid w:val="00C6225B"/>
    <w:rsid w:val="00C623F7"/>
    <w:rsid w:val="00C62A81"/>
    <w:rsid w:val="00C67CD7"/>
    <w:rsid w:val="00C71E00"/>
    <w:rsid w:val="00C75BC5"/>
    <w:rsid w:val="00C80B14"/>
    <w:rsid w:val="00C81670"/>
    <w:rsid w:val="00C81773"/>
    <w:rsid w:val="00C82861"/>
    <w:rsid w:val="00C83F55"/>
    <w:rsid w:val="00C86896"/>
    <w:rsid w:val="00C907A8"/>
    <w:rsid w:val="00C90EEC"/>
    <w:rsid w:val="00C91670"/>
    <w:rsid w:val="00C93211"/>
    <w:rsid w:val="00C93DB8"/>
    <w:rsid w:val="00C942EC"/>
    <w:rsid w:val="00C953A3"/>
    <w:rsid w:val="00C96047"/>
    <w:rsid w:val="00C979D0"/>
    <w:rsid w:val="00CA0818"/>
    <w:rsid w:val="00CA15C8"/>
    <w:rsid w:val="00CA2C8F"/>
    <w:rsid w:val="00CA30DA"/>
    <w:rsid w:val="00CA3A24"/>
    <w:rsid w:val="00CB1777"/>
    <w:rsid w:val="00CB33E9"/>
    <w:rsid w:val="00CC10A9"/>
    <w:rsid w:val="00CD0655"/>
    <w:rsid w:val="00CE2BF8"/>
    <w:rsid w:val="00CE484E"/>
    <w:rsid w:val="00CE4D20"/>
    <w:rsid w:val="00CE656F"/>
    <w:rsid w:val="00CF0DA8"/>
    <w:rsid w:val="00CF1AFA"/>
    <w:rsid w:val="00CF2E25"/>
    <w:rsid w:val="00CF4453"/>
    <w:rsid w:val="00CF5589"/>
    <w:rsid w:val="00CF5D94"/>
    <w:rsid w:val="00CF7E0F"/>
    <w:rsid w:val="00D00893"/>
    <w:rsid w:val="00D02552"/>
    <w:rsid w:val="00D02BD6"/>
    <w:rsid w:val="00D034D7"/>
    <w:rsid w:val="00D04BE4"/>
    <w:rsid w:val="00D06FC7"/>
    <w:rsid w:val="00D07BB0"/>
    <w:rsid w:val="00D12565"/>
    <w:rsid w:val="00D131B5"/>
    <w:rsid w:val="00D140C1"/>
    <w:rsid w:val="00D14127"/>
    <w:rsid w:val="00D17B12"/>
    <w:rsid w:val="00D208EE"/>
    <w:rsid w:val="00D33F1C"/>
    <w:rsid w:val="00D413B9"/>
    <w:rsid w:val="00D479AE"/>
    <w:rsid w:val="00D50FCD"/>
    <w:rsid w:val="00D51B99"/>
    <w:rsid w:val="00D52E26"/>
    <w:rsid w:val="00D533E3"/>
    <w:rsid w:val="00D55C94"/>
    <w:rsid w:val="00D56F8A"/>
    <w:rsid w:val="00D60B16"/>
    <w:rsid w:val="00D60F02"/>
    <w:rsid w:val="00D66E49"/>
    <w:rsid w:val="00D70D71"/>
    <w:rsid w:val="00D72F74"/>
    <w:rsid w:val="00D80879"/>
    <w:rsid w:val="00D81563"/>
    <w:rsid w:val="00D82633"/>
    <w:rsid w:val="00D837C1"/>
    <w:rsid w:val="00D85907"/>
    <w:rsid w:val="00D860AC"/>
    <w:rsid w:val="00D9073E"/>
    <w:rsid w:val="00D90941"/>
    <w:rsid w:val="00D9221D"/>
    <w:rsid w:val="00D9253C"/>
    <w:rsid w:val="00D958DF"/>
    <w:rsid w:val="00D96DA1"/>
    <w:rsid w:val="00DA51E7"/>
    <w:rsid w:val="00DB0260"/>
    <w:rsid w:val="00DB1C78"/>
    <w:rsid w:val="00DB1F47"/>
    <w:rsid w:val="00DB7D96"/>
    <w:rsid w:val="00DC23FE"/>
    <w:rsid w:val="00DC59E6"/>
    <w:rsid w:val="00DD150B"/>
    <w:rsid w:val="00DD3356"/>
    <w:rsid w:val="00DD49A9"/>
    <w:rsid w:val="00DD5025"/>
    <w:rsid w:val="00DD5464"/>
    <w:rsid w:val="00DD6F85"/>
    <w:rsid w:val="00DE254E"/>
    <w:rsid w:val="00DE32C0"/>
    <w:rsid w:val="00DE76A7"/>
    <w:rsid w:val="00DF1510"/>
    <w:rsid w:val="00E01466"/>
    <w:rsid w:val="00E02F1F"/>
    <w:rsid w:val="00E05454"/>
    <w:rsid w:val="00E06484"/>
    <w:rsid w:val="00E06B24"/>
    <w:rsid w:val="00E1131C"/>
    <w:rsid w:val="00E11B96"/>
    <w:rsid w:val="00E20A7D"/>
    <w:rsid w:val="00E23FE4"/>
    <w:rsid w:val="00E24014"/>
    <w:rsid w:val="00E275D8"/>
    <w:rsid w:val="00E30F6A"/>
    <w:rsid w:val="00E3117C"/>
    <w:rsid w:val="00E31288"/>
    <w:rsid w:val="00E33FCC"/>
    <w:rsid w:val="00E34307"/>
    <w:rsid w:val="00E34511"/>
    <w:rsid w:val="00E3635B"/>
    <w:rsid w:val="00E36A9D"/>
    <w:rsid w:val="00E375C3"/>
    <w:rsid w:val="00E375CA"/>
    <w:rsid w:val="00E47750"/>
    <w:rsid w:val="00E5364F"/>
    <w:rsid w:val="00E53CDE"/>
    <w:rsid w:val="00E567E8"/>
    <w:rsid w:val="00E57DE6"/>
    <w:rsid w:val="00E63766"/>
    <w:rsid w:val="00E64679"/>
    <w:rsid w:val="00E65EBC"/>
    <w:rsid w:val="00E6602E"/>
    <w:rsid w:val="00E677FE"/>
    <w:rsid w:val="00E73432"/>
    <w:rsid w:val="00E77B0C"/>
    <w:rsid w:val="00E77FB8"/>
    <w:rsid w:val="00E82C76"/>
    <w:rsid w:val="00E838B0"/>
    <w:rsid w:val="00E86A7C"/>
    <w:rsid w:val="00E870F8"/>
    <w:rsid w:val="00E878E1"/>
    <w:rsid w:val="00E87F2C"/>
    <w:rsid w:val="00E91690"/>
    <w:rsid w:val="00E94253"/>
    <w:rsid w:val="00E95278"/>
    <w:rsid w:val="00E96A42"/>
    <w:rsid w:val="00EA2273"/>
    <w:rsid w:val="00EA7C3C"/>
    <w:rsid w:val="00EB2DB3"/>
    <w:rsid w:val="00EB5FFA"/>
    <w:rsid w:val="00EC3FBB"/>
    <w:rsid w:val="00EC6B79"/>
    <w:rsid w:val="00EC6B7A"/>
    <w:rsid w:val="00EC735A"/>
    <w:rsid w:val="00ED2AD0"/>
    <w:rsid w:val="00ED3A87"/>
    <w:rsid w:val="00ED5B67"/>
    <w:rsid w:val="00EE1A5C"/>
    <w:rsid w:val="00EE5F5A"/>
    <w:rsid w:val="00EF264C"/>
    <w:rsid w:val="00EF3FEE"/>
    <w:rsid w:val="00EF6B41"/>
    <w:rsid w:val="00F0272B"/>
    <w:rsid w:val="00F04B59"/>
    <w:rsid w:val="00F07B69"/>
    <w:rsid w:val="00F11741"/>
    <w:rsid w:val="00F117B0"/>
    <w:rsid w:val="00F12B1C"/>
    <w:rsid w:val="00F130C2"/>
    <w:rsid w:val="00F13CF8"/>
    <w:rsid w:val="00F148EE"/>
    <w:rsid w:val="00F15855"/>
    <w:rsid w:val="00F200B2"/>
    <w:rsid w:val="00F227DC"/>
    <w:rsid w:val="00F30701"/>
    <w:rsid w:val="00F32978"/>
    <w:rsid w:val="00F452B9"/>
    <w:rsid w:val="00F45CB2"/>
    <w:rsid w:val="00F511F3"/>
    <w:rsid w:val="00F544C0"/>
    <w:rsid w:val="00F55332"/>
    <w:rsid w:val="00F6156E"/>
    <w:rsid w:val="00F629F2"/>
    <w:rsid w:val="00F6504A"/>
    <w:rsid w:val="00F65519"/>
    <w:rsid w:val="00F66D9F"/>
    <w:rsid w:val="00F713C0"/>
    <w:rsid w:val="00F75DDC"/>
    <w:rsid w:val="00F7792F"/>
    <w:rsid w:val="00F842AA"/>
    <w:rsid w:val="00F8476F"/>
    <w:rsid w:val="00F853E1"/>
    <w:rsid w:val="00F85604"/>
    <w:rsid w:val="00F87AEB"/>
    <w:rsid w:val="00F93809"/>
    <w:rsid w:val="00F94B7A"/>
    <w:rsid w:val="00F97C0A"/>
    <w:rsid w:val="00FA17AC"/>
    <w:rsid w:val="00FA32DE"/>
    <w:rsid w:val="00FA3382"/>
    <w:rsid w:val="00FA56A8"/>
    <w:rsid w:val="00FA59CD"/>
    <w:rsid w:val="00FB0CDC"/>
    <w:rsid w:val="00FB11E2"/>
    <w:rsid w:val="00FB1740"/>
    <w:rsid w:val="00FB3F69"/>
    <w:rsid w:val="00FB4235"/>
    <w:rsid w:val="00FC4446"/>
    <w:rsid w:val="00FC5469"/>
    <w:rsid w:val="00FC6AB4"/>
    <w:rsid w:val="00FC6D7D"/>
    <w:rsid w:val="00FD16B0"/>
    <w:rsid w:val="00FD4FED"/>
    <w:rsid w:val="00FE00C8"/>
    <w:rsid w:val="00FE0577"/>
    <w:rsid w:val="00FE0F84"/>
    <w:rsid w:val="00FE2FF8"/>
    <w:rsid w:val="00FE3522"/>
    <w:rsid w:val="00FE59EC"/>
    <w:rsid w:val="00FE5B67"/>
    <w:rsid w:val="00FE6053"/>
    <w:rsid w:val="00FE60D6"/>
    <w:rsid w:val="00FF3260"/>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C5E9DD3E-AAAE-46A0-AB85-8CCFCD88B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F130C2"/>
    <w:rPr>
      <w:vertAlign w:val="superscript"/>
    </w:rPr>
  </w:style>
  <w:style w:type="character" w:styleId="CommentReference">
    <w:name w:val="annotation reference"/>
    <w:basedOn w:val="DefaultParagraphFont"/>
    <w:semiHidden/>
    <w:unhideWhenUsed/>
    <w:rsid w:val="00E36A9D"/>
    <w:rPr>
      <w:sz w:val="16"/>
      <w:szCs w:val="16"/>
    </w:rPr>
  </w:style>
  <w:style w:type="paragraph" w:styleId="ListParagraph">
    <w:name w:val="List Paragraph"/>
    <w:basedOn w:val="Normal"/>
    <w:uiPriority w:val="34"/>
    <w:qFormat/>
    <w:rsid w:val="005725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A48759-9D6C-4A51-9380-51FE94E17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Template>
  <TotalTime>0</TotalTime>
  <Pages>10</Pages>
  <Words>2067</Words>
  <Characters>12059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Bailey Lang</dc:creator>
  <cp:lastModifiedBy>Bailey Lang</cp:lastModifiedBy>
  <cp:revision>2</cp:revision>
  <cp:lastPrinted>2023-07-19T12:39:00Z</cp:lastPrinted>
  <dcterms:created xsi:type="dcterms:W3CDTF">2023-07-20T12:30:00Z</dcterms:created>
  <dcterms:modified xsi:type="dcterms:W3CDTF">2023-07-20T12:30:00Z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20230043-EI</vt:lpwstr>
  </property>
  <property fmtid="{D5CDD505-2E9C-101B-9397-08002B2CF9AE}" pid="3" name="MasterDocument">
    <vt:bool>false</vt:bool>
  </property>
</Properties>
</file>