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B4544" w:rsidP="00CB4544">
      <w:pPr>
        <w:pStyle w:val="OrderHeading"/>
      </w:pPr>
      <w:r>
        <w:t>BEFORE THE FLORIDA PUBLIC SERVICE COMMISSION</w:t>
      </w:r>
    </w:p>
    <w:p w:rsidR="00CB4544" w:rsidRDefault="00CB4544" w:rsidP="00CB4544">
      <w:pPr>
        <w:pStyle w:val="OrderBody"/>
      </w:pPr>
    </w:p>
    <w:p w:rsidR="00CB4544" w:rsidRDefault="00CB4544" w:rsidP="00CB454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B4544" w:rsidRPr="00C63FCF" w:rsidTr="00C63FCF">
        <w:trPr>
          <w:trHeight w:val="828"/>
        </w:trPr>
        <w:tc>
          <w:tcPr>
            <w:tcW w:w="4788" w:type="dxa"/>
            <w:tcBorders>
              <w:bottom w:val="single" w:sz="8" w:space="0" w:color="auto"/>
              <w:right w:val="double" w:sz="6" w:space="0" w:color="auto"/>
            </w:tcBorders>
            <w:shd w:val="clear" w:color="auto" w:fill="auto"/>
          </w:tcPr>
          <w:p w:rsidR="00CB4544" w:rsidRDefault="00CB454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B4544" w:rsidRDefault="00CB4544" w:rsidP="00CB4544">
            <w:pPr>
              <w:pStyle w:val="OrderBody"/>
            </w:pPr>
            <w:r>
              <w:t xml:space="preserve">DOCKET NO. </w:t>
            </w:r>
            <w:bookmarkStart w:id="1" w:name="SSDocketNo"/>
            <w:bookmarkEnd w:id="1"/>
            <w:r>
              <w:t>20230001-EI</w:t>
            </w:r>
          </w:p>
          <w:p w:rsidR="00CB4544" w:rsidRDefault="00CB4544" w:rsidP="00C63FCF">
            <w:pPr>
              <w:pStyle w:val="OrderBody"/>
              <w:tabs>
                <w:tab w:val="center" w:pos="4320"/>
                <w:tab w:val="right" w:pos="8640"/>
              </w:tabs>
              <w:jc w:val="left"/>
            </w:pPr>
            <w:r>
              <w:t xml:space="preserve">ORDER NO. </w:t>
            </w:r>
            <w:bookmarkStart w:id="2" w:name="OrderNo0207"/>
            <w:r w:rsidR="004D2283">
              <w:t>PSC-2023-0207-PCO-EI</w:t>
            </w:r>
            <w:bookmarkEnd w:id="2"/>
          </w:p>
          <w:p w:rsidR="00CB4544" w:rsidRDefault="00CB4544" w:rsidP="00C63FCF">
            <w:pPr>
              <w:pStyle w:val="OrderBody"/>
              <w:tabs>
                <w:tab w:val="center" w:pos="4320"/>
                <w:tab w:val="right" w:pos="8640"/>
              </w:tabs>
              <w:jc w:val="left"/>
            </w:pPr>
            <w:r>
              <w:t xml:space="preserve">ISSUED: </w:t>
            </w:r>
            <w:r w:rsidR="004D2283">
              <w:t>July 24, 2023</w:t>
            </w:r>
          </w:p>
        </w:tc>
      </w:tr>
    </w:tbl>
    <w:p w:rsidR="00CB4544" w:rsidRDefault="00CB4544" w:rsidP="00CB4544"/>
    <w:p w:rsidR="00CB5276" w:rsidRDefault="00CB4544" w:rsidP="00CB4544">
      <w:pPr>
        <w:pStyle w:val="CenterUnderline"/>
      </w:pPr>
      <w:bookmarkStart w:id="3" w:name="Commissioners"/>
      <w:bookmarkEnd w:id="3"/>
      <w:r>
        <w:t>ORDER</w:t>
      </w:r>
      <w:bookmarkStart w:id="4" w:name="OrderTitle"/>
      <w:r>
        <w:t xml:space="preserve"> GRANTING MOTION TO DEFER ISSUES </w:t>
      </w:r>
      <w:bookmarkEnd w:id="4"/>
    </w:p>
    <w:p w:rsidR="00CB4544" w:rsidRDefault="00CB4544" w:rsidP="00CB4544">
      <w:pPr>
        <w:pStyle w:val="CenterUnderline"/>
      </w:pPr>
    </w:p>
    <w:p w:rsidR="00FF1C37" w:rsidRDefault="00CB4544" w:rsidP="00CB4544">
      <w:pPr>
        <w:pStyle w:val="CenterUnderline"/>
        <w:jc w:val="both"/>
        <w:rPr>
          <w:u w:val="none"/>
        </w:rPr>
      </w:pPr>
      <w:r>
        <w:rPr>
          <w:u w:val="none"/>
        </w:rPr>
        <w:tab/>
        <w:t>On July 14, 2023, Commission Staff (Staff) filed a Motion to Defer Issues requesting that Issues 2G through 2J</w:t>
      </w:r>
      <w:r w:rsidR="003B3236">
        <w:rPr>
          <w:rStyle w:val="FootnoteReference"/>
          <w:u w:val="none"/>
        </w:rPr>
        <w:footnoteReference w:id="1"/>
      </w:r>
      <w:r>
        <w:rPr>
          <w:u w:val="none"/>
        </w:rPr>
        <w:t xml:space="preserve"> identified in Order No. PSC-2023-0066-PCO-EI, is</w:t>
      </w:r>
      <w:r w:rsidR="006D773B">
        <w:rPr>
          <w:u w:val="none"/>
        </w:rPr>
        <w:t>s</w:t>
      </w:r>
      <w:r>
        <w:rPr>
          <w:u w:val="none"/>
        </w:rPr>
        <w:t xml:space="preserve">ued </w:t>
      </w:r>
      <w:r w:rsidR="006D773B">
        <w:rPr>
          <w:u w:val="none"/>
        </w:rPr>
        <w:t xml:space="preserve">February 3, 2023, be deferred for hearing until the first quarter of 2023. </w:t>
      </w:r>
      <w:r w:rsidR="003B3236">
        <w:rPr>
          <w:u w:val="none"/>
        </w:rPr>
        <w:t xml:space="preserve"> Florida Power &amp; Light Company </w:t>
      </w:r>
      <w:r w:rsidR="00CC33A4">
        <w:rPr>
          <w:u w:val="none"/>
        </w:rPr>
        <w:t xml:space="preserve">(FPL) </w:t>
      </w:r>
      <w:r w:rsidR="003B3236">
        <w:rPr>
          <w:u w:val="none"/>
        </w:rPr>
        <w:t xml:space="preserve">filed its Response to Staff’s Motion on July 17, 2023.  Florida Retail Federation, Florida Public Utilities Company, Duke Energy Florida, LLC, Tampa Electric Company and PCS Phosphate –White Springs take no position on the Motion; </w:t>
      </w:r>
      <w:r w:rsidR="00CC33A4">
        <w:rPr>
          <w:u w:val="none"/>
        </w:rPr>
        <w:t>Office of Public Counsel (</w:t>
      </w:r>
      <w:r w:rsidR="003B3236">
        <w:rPr>
          <w:u w:val="none"/>
        </w:rPr>
        <w:t>OPC</w:t>
      </w:r>
      <w:r w:rsidR="00CC33A4">
        <w:rPr>
          <w:u w:val="none"/>
        </w:rPr>
        <w:t>)</w:t>
      </w:r>
      <w:r w:rsidR="003B3236">
        <w:rPr>
          <w:u w:val="none"/>
        </w:rPr>
        <w:t xml:space="preserve"> and Florida Industrial Power Users Group have no objection.</w:t>
      </w:r>
    </w:p>
    <w:p w:rsidR="007C12CE" w:rsidRDefault="007C12CE" w:rsidP="00CB4544">
      <w:pPr>
        <w:pStyle w:val="CenterUnderline"/>
        <w:jc w:val="both"/>
        <w:rPr>
          <w:u w:val="none"/>
        </w:rPr>
      </w:pPr>
    </w:p>
    <w:p w:rsidR="003B3236" w:rsidRPr="003B3236" w:rsidRDefault="003B3236" w:rsidP="003B3236">
      <w:pPr>
        <w:jc w:val="center"/>
        <w:rPr>
          <w:u w:val="single"/>
        </w:rPr>
      </w:pPr>
      <w:r w:rsidRPr="003B3236">
        <w:rPr>
          <w:u w:val="single"/>
        </w:rPr>
        <w:t>BACKGROUND</w:t>
      </w:r>
    </w:p>
    <w:p w:rsidR="003B3236" w:rsidRDefault="003B3236" w:rsidP="003B3236">
      <w:pPr>
        <w:jc w:val="center"/>
      </w:pPr>
    </w:p>
    <w:p w:rsidR="006D773B" w:rsidRDefault="006D773B" w:rsidP="006D773B">
      <w:pPr>
        <w:jc w:val="both"/>
      </w:pPr>
      <w:r>
        <w:tab/>
        <w:t>At the Prehearing Conference held on November 2, 2022, in last year’s Fuel Clause docket, Issues 2G through 2J that deal with F</w:t>
      </w:r>
      <w:r w:rsidR="007C12CE">
        <w:t>PL</w:t>
      </w:r>
      <w:r>
        <w:t>’s nuclear plant outages for the years 2020 through 2022 were deferred to this hearing cycle.</w:t>
      </w:r>
      <w:r>
        <w:rPr>
          <w:rStyle w:val="FootnoteReference"/>
        </w:rPr>
        <w:footnoteReference w:id="2"/>
      </w:r>
      <w:r>
        <w:t xml:space="preserve">   </w:t>
      </w:r>
    </w:p>
    <w:p w:rsidR="006D773B" w:rsidRDefault="006D773B" w:rsidP="006D773B">
      <w:pPr>
        <w:jc w:val="both"/>
      </w:pPr>
    </w:p>
    <w:p w:rsidR="006D773B" w:rsidRDefault="006D773B" w:rsidP="006D773B">
      <w:pPr>
        <w:pStyle w:val="CenterUnderline"/>
        <w:jc w:val="both"/>
        <w:rPr>
          <w:u w:val="none"/>
        </w:rPr>
      </w:pPr>
      <w:r w:rsidRPr="006D773B">
        <w:rPr>
          <w:u w:val="none"/>
        </w:rPr>
        <w:tab/>
        <w:t>Consistent with that ruling, the Order Establishing Procedure (OEP)</w:t>
      </w:r>
      <w:r w:rsidRPr="006D773B">
        <w:rPr>
          <w:rStyle w:val="FootnoteReference"/>
          <w:u w:val="none"/>
        </w:rPr>
        <w:footnoteReference w:id="3"/>
      </w:r>
      <w:r w:rsidRPr="006D773B">
        <w:rPr>
          <w:u w:val="none"/>
        </w:rPr>
        <w:t xml:space="preserve"> in this docket established dates for filing company direct, intervenor, and company rebuttal testimony addressing FPL’s nuclear power plant outages for the years 2020 through 2022.  Compliant with the Prehearing Order, FPL filed the testimony of Dean Curtland and Joel Gebbie on June 9, 2023.  Intervenors are required to file their testimony on the FPL nuclear power plant outages on August 11, 2023, with FPL filing its rebuttal testimony on September 28, 2023.</w:t>
      </w:r>
    </w:p>
    <w:p w:rsidR="006D773B" w:rsidRDefault="006D773B" w:rsidP="006D773B">
      <w:pPr>
        <w:pStyle w:val="CenterUnderline"/>
        <w:jc w:val="both"/>
        <w:rPr>
          <w:u w:val="none"/>
        </w:rPr>
      </w:pPr>
    </w:p>
    <w:p w:rsidR="000747D8" w:rsidRDefault="006D773B" w:rsidP="006D773B">
      <w:pPr>
        <w:pStyle w:val="CenterUnderline"/>
        <w:jc w:val="both"/>
        <w:rPr>
          <w:u w:val="none"/>
        </w:rPr>
      </w:pPr>
      <w:r>
        <w:rPr>
          <w:u w:val="none"/>
        </w:rPr>
        <w:tab/>
      </w:r>
      <w:r w:rsidR="003B3236">
        <w:rPr>
          <w:u w:val="none"/>
        </w:rPr>
        <w:t xml:space="preserve">In support of its Motion, Staff states that </w:t>
      </w:r>
      <w:r w:rsidR="000747D8" w:rsidRPr="000747D8">
        <w:rPr>
          <w:u w:val="none"/>
        </w:rPr>
        <w:t>it has become apparent that additional time is needed for the parties to secure and review the relevant and voluminous data concerning these outages.</w:t>
      </w:r>
      <w:r w:rsidR="00CC33A4">
        <w:rPr>
          <w:u w:val="none"/>
        </w:rPr>
        <w:t xml:space="preserve">  </w:t>
      </w:r>
      <w:r w:rsidR="000747D8">
        <w:rPr>
          <w:u w:val="none"/>
        </w:rPr>
        <w:t>Staff has requested that the hearing on these issues be held prior to March 31, 2024.  Staff has also requested that Section IX(8) of the OEP be revised to eliminate the requirement that OPC/Intervenors file FPL Nuclear Power Plant testimony on August 11, 2023</w:t>
      </w:r>
      <w:r w:rsidR="00054153">
        <w:rPr>
          <w:u w:val="none"/>
        </w:rPr>
        <w:t>,</w:t>
      </w:r>
      <w:r w:rsidR="000747D8">
        <w:rPr>
          <w:u w:val="none"/>
        </w:rPr>
        <w:t xml:space="preserve"> and that FPL file associated rebuttal testimony on September 28, 2023.  </w:t>
      </w:r>
    </w:p>
    <w:p w:rsidR="000747D8" w:rsidRDefault="000747D8" w:rsidP="006D773B">
      <w:pPr>
        <w:pStyle w:val="CenterUnderline"/>
        <w:jc w:val="both"/>
        <w:rPr>
          <w:u w:val="none"/>
        </w:rPr>
      </w:pPr>
    </w:p>
    <w:p w:rsidR="006A4C75" w:rsidRDefault="000747D8" w:rsidP="006D773B">
      <w:pPr>
        <w:pStyle w:val="CenterUnderline"/>
        <w:jc w:val="both"/>
        <w:rPr>
          <w:u w:val="none"/>
        </w:rPr>
      </w:pPr>
      <w:r>
        <w:rPr>
          <w:u w:val="none"/>
        </w:rPr>
        <w:lastRenderedPageBreak/>
        <w:tab/>
        <w:t xml:space="preserve">FPL agrees that the hearing on these issues can </w:t>
      </w:r>
      <w:r w:rsidR="00CC33A4">
        <w:rPr>
          <w:u w:val="none"/>
        </w:rPr>
        <w:t xml:space="preserve">be </w:t>
      </w:r>
      <w:r>
        <w:rPr>
          <w:u w:val="none"/>
        </w:rPr>
        <w:t xml:space="preserve">continued as long as it is held prior to March 31, 2024.  However, FPL does not agree that </w:t>
      </w:r>
      <w:r w:rsidR="006A4C75">
        <w:rPr>
          <w:u w:val="none"/>
        </w:rPr>
        <w:t xml:space="preserve">OPC’s testimony related to the replacement power costs associated with nuclear power plant outages should be deferred arguing that restarting testimony deadlines in 2024 “may lead to an unduly compressed schedule” and inhibit the ability </w:t>
      </w:r>
      <w:r w:rsidR="00FB0191">
        <w:rPr>
          <w:u w:val="none"/>
        </w:rPr>
        <w:t xml:space="preserve">of the parties </w:t>
      </w:r>
      <w:r w:rsidR="006A4C75">
        <w:rPr>
          <w:u w:val="none"/>
        </w:rPr>
        <w:t>to reach a settlement agreement on these issues.</w:t>
      </w:r>
    </w:p>
    <w:p w:rsidR="006A4C75" w:rsidRDefault="006A4C75" w:rsidP="006D773B">
      <w:pPr>
        <w:pStyle w:val="CenterUnderline"/>
        <w:jc w:val="both"/>
        <w:rPr>
          <w:u w:val="none"/>
        </w:rPr>
      </w:pPr>
    </w:p>
    <w:p w:rsidR="006D773B" w:rsidRDefault="006A4C75" w:rsidP="006D773B">
      <w:pPr>
        <w:pStyle w:val="CenterUnderline"/>
        <w:jc w:val="both"/>
        <w:rPr>
          <w:u w:val="none"/>
        </w:rPr>
      </w:pPr>
      <w:r>
        <w:rPr>
          <w:u w:val="none"/>
        </w:rPr>
        <w:tab/>
        <w:t xml:space="preserve">The rationale for continuing </w:t>
      </w:r>
      <w:r w:rsidR="0077512D">
        <w:rPr>
          <w:u w:val="none"/>
        </w:rPr>
        <w:t xml:space="preserve">the hearing on </w:t>
      </w:r>
      <w:r>
        <w:rPr>
          <w:u w:val="none"/>
        </w:rPr>
        <w:t>these issues is based</w:t>
      </w:r>
      <w:r w:rsidR="00C361D7">
        <w:rPr>
          <w:u w:val="none"/>
        </w:rPr>
        <w:t xml:space="preserve"> on a unique circumstance that requires extra time to gather vital thi</w:t>
      </w:r>
      <w:r w:rsidR="0033132F">
        <w:rPr>
          <w:u w:val="none"/>
        </w:rPr>
        <w:t>r</w:t>
      </w:r>
      <w:r w:rsidR="00C361D7">
        <w:rPr>
          <w:u w:val="none"/>
        </w:rPr>
        <w:t xml:space="preserve">d-party information that is not available at this time.  The </w:t>
      </w:r>
      <w:r w:rsidR="003F1374">
        <w:rPr>
          <w:u w:val="none"/>
        </w:rPr>
        <w:t>Commission</w:t>
      </w:r>
      <w:r w:rsidR="00C361D7">
        <w:rPr>
          <w:u w:val="none"/>
        </w:rPr>
        <w:t xml:space="preserve">’s administrative procedures required to secure these documents cannot be completed in a </w:t>
      </w:r>
      <w:r w:rsidR="00275A74">
        <w:rPr>
          <w:u w:val="none"/>
        </w:rPr>
        <w:t xml:space="preserve">short </w:t>
      </w:r>
      <w:r w:rsidR="00C361D7">
        <w:rPr>
          <w:u w:val="none"/>
        </w:rPr>
        <w:t xml:space="preserve">timeframe.  To promote administrative efficiency, it is reasonable to adjust the testimony filing schedule in this docket. </w:t>
      </w:r>
      <w:r w:rsidR="0086463C">
        <w:rPr>
          <w:u w:val="none"/>
        </w:rPr>
        <w:t xml:space="preserve">   </w:t>
      </w:r>
      <w:r w:rsidR="00FB0191">
        <w:rPr>
          <w:u w:val="none"/>
        </w:rPr>
        <w:t xml:space="preserve">    </w:t>
      </w:r>
      <w:r w:rsidR="00EE3D7E">
        <w:rPr>
          <w:u w:val="none"/>
        </w:rPr>
        <w:t xml:space="preserve">  </w:t>
      </w:r>
    </w:p>
    <w:p w:rsidR="00EE3D7E" w:rsidRDefault="00EE3D7E" w:rsidP="006D773B">
      <w:pPr>
        <w:pStyle w:val="CenterUnderline"/>
        <w:jc w:val="both"/>
        <w:rPr>
          <w:u w:val="none"/>
        </w:rPr>
      </w:pPr>
    </w:p>
    <w:p w:rsidR="00FB0191" w:rsidRDefault="00EE3D7E" w:rsidP="006D773B">
      <w:pPr>
        <w:pStyle w:val="CenterUnderline"/>
        <w:jc w:val="both"/>
        <w:rPr>
          <w:u w:val="none"/>
        </w:rPr>
      </w:pPr>
      <w:r>
        <w:rPr>
          <w:u w:val="none"/>
        </w:rPr>
        <w:tab/>
      </w:r>
      <w:r w:rsidR="00FB0191">
        <w:rPr>
          <w:u w:val="none"/>
        </w:rPr>
        <w:t>In response to FPL’s valid concern about a compressed testimony filing schedule, the following filing schedule shall be followed:</w:t>
      </w:r>
    </w:p>
    <w:p w:rsidR="00FB0191" w:rsidRDefault="00FB0191" w:rsidP="006D773B">
      <w:pPr>
        <w:pStyle w:val="CenterUnderline"/>
        <w:jc w:val="both"/>
        <w:rPr>
          <w:u w:val="none"/>
        </w:rPr>
      </w:pPr>
    </w:p>
    <w:p w:rsidR="00EE3D7E" w:rsidRDefault="00FB0191" w:rsidP="008B6173">
      <w:pPr>
        <w:pStyle w:val="CenterUnderline"/>
        <w:jc w:val="both"/>
        <w:rPr>
          <w:u w:val="none"/>
        </w:rPr>
      </w:pPr>
      <w:r>
        <w:rPr>
          <w:u w:val="none"/>
        </w:rPr>
        <w:tab/>
        <w:t xml:space="preserve">FPL </w:t>
      </w:r>
      <w:r w:rsidR="008B6173">
        <w:rPr>
          <w:u w:val="none"/>
        </w:rPr>
        <w:t xml:space="preserve">Supplemental </w:t>
      </w:r>
      <w:r>
        <w:rPr>
          <w:u w:val="none"/>
        </w:rPr>
        <w:t>Testimony</w:t>
      </w:r>
      <w:r w:rsidR="008B6173">
        <w:rPr>
          <w:u w:val="none"/>
        </w:rPr>
        <w:t>, if any</w:t>
      </w:r>
      <w:r>
        <w:rPr>
          <w:u w:val="none"/>
        </w:rPr>
        <w:tab/>
      </w:r>
      <w:r>
        <w:rPr>
          <w:u w:val="none"/>
        </w:rPr>
        <w:tab/>
      </w:r>
      <w:r>
        <w:rPr>
          <w:u w:val="none"/>
        </w:rPr>
        <w:tab/>
        <w:t xml:space="preserve">January </w:t>
      </w:r>
      <w:r w:rsidR="008B6173">
        <w:rPr>
          <w:u w:val="none"/>
        </w:rPr>
        <w:t>5</w:t>
      </w:r>
      <w:r>
        <w:rPr>
          <w:u w:val="none"/>
        </w:rPr>
        <w:t>, 2024</w:t>
      </w:r>
    </w:p>
    <w:p w:rsidR="00FB0191" w:rsidRDefault="00FB0191" w:rsidP="006D773B">
      <w:pPr>
        <w:pStyle w:val="CenterUnderline"/>
        <w:jc w:val="both"/>
        <w:rPr>
          <w:u w:val="none"/>
        </w:rPr>
      </w:pPr>
      <w:r>
        <w:rPr>
          <w:u w:val="none"/>
        </w:rPr>
        <w:tab/>
        <w:t>OPC/Intervenor Testimony</w:t>
      </w:r>
      <w:r>
        <w:rPr>
          <w:u w:val="none"/>
        </w:rPr>
        <w:tab/>
      </w:r>
      <w:r>
        <w:rPr>
          <w:u w:val="none"/>
        </w:rPr>
        <w:tab/>
      </w:r>
      <w:r>
        <w:rPr>
          <w:u w:val="none"/>
        </w:rPr>
        <w:tab/>
      </w:r>
      <w:r>
        <w:rPr>
          <w:u w:val="none"/>
        </w:rPr>
        <w:tab/>
        <w:t>February 5, 2024</w:t>
      </w:r>
    </w:p>
    <w:p w:rsidR="00FB0191" w:rsidRDefault="00FB0191" w:rsidP="006D773B">
      <w:pPr>
        <w:pStyle w:val="CenterUnderline"/>
        <w:jc w:val="both"/>
        <w:rPr>
          <w:u w:val="none"/>
        </w:rPr>
      </w:pPr>
      <w:r>
        <w:rPr>
          <w:u w:val="none"/>
        </w:rPr>
        <w:tab/>
        <w:t>Staff Testimony</w:t>
      </w:r>
      <w:r>
        <w:rPr>
          <w:u w:val="none"/>
        </w:rPr>
        <w:tab/>
      </w:r>
      <w:r>
        <w:rPr>
          <w:u w:val="none"/>
        </w:rPr>
        <w:tab/>
      </w:r>
      <w:r>
        <w:rPr>
          <w:u w:val="none"/>
        </w:rPr>
        <w:tab/>
      </w:r>
      <w:r>
        <w:rPr>
          <w:u w:val="none"/>
        </w:rPr>
        <w:tab/>
      </w:r>
      <w:r>
        <w:rPr>
          <w:u w:val="none"/>
        </w:rPr>
        <w:tab/>
        <w:t>February 5</w:t>
      </w:r>
      <w:r w:rsidR="00CC33A4">
        <w:rPr>
          <w:u w:val="none"/>
        </w:rPr>
        <w:t>,</w:t>
      </w:r>
      <w:r>
        <w:rPr>
          <w:u w:val="none"/>
        </w:rPr>
        <w:t xml:space="preserve"> 2024</w:t>
      </w:r>
    </w:p>
    <w:p w:rsidR="00FB0191" w:rsidRDefault="00FB0191" w:rsidP="006D773B">
      <w:pPr>
        <w:pStyle w:val="CenterUnderline"/>
        <w:jc w:val="both"/>
        <w:rPr>
          <w:u w:val="none"/>
        </w:rPr>
      </w:pPr>
      <w:r>
        <w:rPr>
          <w:u w:val="none"/>
        </w:rPr>
        <w:tab/>
        <w:t>Rebuttal Testimony</w:t>
      </w:r>
      <w:r>
        <w:rPr>
          <w:u w:val="none"/>
        </w:rPr>
        <w:tab/>
      </w:r>
      <w:r>
        <w:rPr>
          <w:u w:val="none"/>
        </w:rPr>
        <w:tab/>
      </w:r>
      <w:r>
        <w:rPr>
          <w:u w:val="none"/>
        </w:rPr>
        <w:tab/>
      </w:r>
      <w:r>
        <w:rPr>
          <w:u w:val="none"/>
        </w:rPr>
        <w:tab/>
      </w:r>
      <w:r>
        <w:rPr>
          <w:u w:val="none"/>
        </w:rPr>
        <w:tab/>
        <w:t xml:space="preserve">March </w:t>
      </w:r>
      <w:r w:rsidR="008B6173">
        <w:rPr>
          <w:u w:val="none"/>
        </w:rPr>
        <w:t>12</w:t>
      </w:r>
      <w:r>
        <w:rPr>
          <w:u w:val="none"/>
        </w:rPr>
        <w:t>, 2024</w:t>
      </w:r>
    </w:p>
    <w:p w:rsidR="008B6173" w:rsidRDefault="00FB0191" w:rsidP="006D773B">
      <w:pPr>
        <w:pStyle w:val="CenterUnderline"/>
        <w:jc w:val="both"/>
        <w:rPr>
          <w:u w:val="none"/>
        </w:rPr>
      </w:pPr>
      <w:r>
        <w:rPr>
          <w:u w:val="none"/>
        </w:rPr>
        <w:tab/>
        <w:t>Prehearing Statements</w:t>
      </w:r>
      <w:r>
        <w:rPr>
          <w:u w:val="none"/>
        </w:rPr>
        <w:tab/>
      </w:r>
      <w:r>
        <w:rPr>
          <w:u w:val="none"/>
        </w:rPr>
        <w:tab/>
      </w:r>
      <w:r>
        <w:rPr>
          <w:u w:val="none"/>
        </w:rPr>
        <w:tab/>
      </w:r>
      <w:r>
        <w:rPr>
          <w:u w:val="none"/>
        </w:rPr>
        <w:tab/>
      </w:r>
      <w:r>
        <w:rPr>
          <w:u w:val="none"/>
        </w:rPr>
        <w:tab/>
        <w:t xml:space="preserve">March </w:t>
      </w:r>
      <w:r w:rsidR="008B6173">
        <w:rPr>
          <w:u w:val="none"/>
        </w:rPr>
        <w:t>12, 2024</w:t>
      </w:r>
    </w:p>
    <w:p w:rsidR="008B6173" w:rsidRDefault="008B6173" w:rsidP="006D773B">
      <w:pPr>
        <w:pStyle w:val="CenterUnderline"/>
        <w:jc w:val="both"/>
        <w:rPr>
          <w:u w:val="none"/>
        </w:rPr>
      </w:pPr>
      <w:r>
        <w:rPr>
          <w:u w:val="none"/>
        </w:rPr>
        <w:tab/>
        <w:t>Prehearing</w:t>
      </w:r>
      <w:r>
        <w:rPr>
          <w:u w:val="none"/>
        </w:rPr>
        <w:tab/>
      </w:r>
      <w:r>
        <w:rPr>
          <w:u w:val="none"/>
        </w:rPr>
        <w:tab/>
      </w:r>
      <w:r>
        <w:rPr>
          <w:u w:val="none"/>
        </w:rPr>
        <w:tab/>
      </w:r>
      <w:r>
        <w:rPr>
          <w:u w:val="none"/>
        </w:rPr>
        <w:tab/>
      </w:r>
      <w:r>
        <w:rPr>
          <w:u w:val="none"/>
        </w:rPr>
        <w:tab/>
      </w:r>
      <w:r>
        <w:rPr>
          <w:u w:val="none"/>
        </w:rPr>
        <w:tab/>
        <w:t>March 19, 2024</w:t>
      </w:r>
    </w:p>
    <w:p w:rsidR="008B6173" w:rsidRDefault="008B6173" w:rsidP="006D773B">
      <w:pPr>
        <w:pStyle w:val="CenterUnderline"/>
        <w:jc w:val="both"/>
        <w:rPr>
          <w:u w:val="none"/>
        </w:rPr>
      </w:pPr>
      <w:r>
        <w:rPr>
          <w:u w:val="none"/>
        </w:rPr>
        <w:tab/>
        <w:t>Hearing</w:t>
      </w:r>
      <w:r>
        <w:rPr>
          <w:u w:val="none"/>
        </w:rPr>
        <w:tab/>
      </w:r>
      <w:r>
        <w:rPr>
          <w:u w:val="none"/>
        </w:rPr>
        <w:tab/>
      </w:r>
      <w:r>
        <w:rPr>
          <w:u w:val="none"/>
        </w:rPr>
        <w:tab/>
      </w:r>
      <w:r>
        <w:rPr>
          <w:u w:val="none"/>
        </w:rPr>
        <w:tab/>
      </w:r>
      <w:r>
        <w:rPr>
          <w:u w:val="none"/>
        </w:rPr>
        <w:tab/>
      </w:r>
      <w:r>
        <w:rPr>
          <w:u w:val="none"/>
        </w:rPr>
        <w:tab/>
        <w:t>March 26-27, 2024</w:t>
      </w:r>
    </w:p>
    <w:p w:rsidR="008B6173" w:rsidRDefault="008B6173" w:rsidP="006D773B">
      <w:pPr>
        <w:pStyle w:val="CenterUnderline"/>
        <w:jc w:val="both"/>
        <w:rPr>
          <w:u w:val="none"/>
        </w:rPr>
      </w:pPr>
      <w:r>
        <w:rPr>
          <w:u w:val="none"/>
        </w:rPr>
        <w:tab/>
        <w:t>Posthearing Statements or Briefs</w:t>
      </w:r>
      <w:r>
        <w:rPr>
          <w:u w:val="none"/>
        </w:rPr>
        <w:tab/>
      </w:r>
      <w:r>
        <w:rPr>
          <w:u w:val="none"/>
        </w:rPr>
        <w:tab/>
      </w:r>
      <w:r>
        <w:rPr>
          <w:u w:val="none"/>
        </w:rPr>
        <w:tab/>
        <w:t>April 8, 2024</w:t>
      </w:r>
    </w:p>
    <w:p w:rsidR="008B6173" w:rsidRDefault="008B6173" w:rsidP="006D773B">
      <w:pPr>
        <w:pStyle w:val="CenterUnderline"/>
        <w:jc w:val="both"/>
        <w:rPr>
          <w:u w:val="none"/>
        </w:rPr>
      </w:pPr>
    </w:p>
    <w:p w:rsidR="00517A32" w:rsidRDefault="008B6173" w:rsidP="0086463C">
      <w:pPr>
        <w:jc w:val="both"/>
      </w:pPr>
      <w:r>
        <w:tab/>
        <w:t xml:space="preserve">This schedule provides </w:t>
      </w:r>
      <w:r w:rsidR="0086463C">
        <w:t xml:space="preserve">approximately </w:t>
      </w:r>
      <w:r>
        <w:t>the same amount of time for FPL</w:t>
      </w:r>
      <w:r w:rsidR="0086463C">
        <w:t xml:space="preserve"> </w:t>
      </w:r>
      <w:r>
        <w:t>to</w:t>
      </w:r>
      <w:r w:rsidR="0086463C">
        <w:t xml:space="preserve"> </w:t>
      </w:r>
      <w:r>
        <w:t>respond to OPC/Intervenor/Staff testimony as the original schedule set forth in the OEP.</w:t>
      </w:r>
      <w:r w:rsidR="0086463C">
        <w:t xml:space="preserve">  This schedule also gives FPL the opportunity to present supplemental testimony based on information developed after its June 9, 2023 testimony was filed.</w:t>
      </w:r>
      <w:r w:rsidR="00517A32">
        <w:t xml:space="preserve">  This schedule allows all parties to review all relevant information and provides an adequate opportunity for </w:t>
      </w:r>
      <w:r w:rsidR="00114C5D">
        <w:t xml:space="preserve">all </w:t>
      </w:r>
      <w:r w:rsidR="00517A32">
        <w:t xml:space="preserve">parties to file testimony addressing that information.  </w:t>
      </w:r>
      <w:r w:rsidR="0086463C">
        <w:t>For the</w:t>
      </w:r>
      <w:r w:rsidR="00CC33A4">
        <w:t>se</w:t>
      </w:r>
      <w:r w:rsidR="0086463C">
        <w:t xml:space="preserve"> reasons, </w:t>
      </w:r>
      <w:r w:rsidR="00517A32">
        <w:t xml:space="preserve">the </w:t>
      </w:r>
      <w:r w:rsidR="0086463C">
        <w:t>Commission Staff’s Motion to Defer Issues is hereby granted</w:t>
      </w:r>
      <w:r w:rsidR="006213FF">
        <w:t xml:space="preserve"> as set forth herein</w:t>
      </w:r>
      <w:r w:rsidR="00517A32">
        <w:t>.</w:t>
      </w:r>
    </w:p>
    <w:p w:rsidR="00517A32" w:rsidRDefault="00517A32" w:rsidP="0086463C">
      <w:pPr>
        <w:jc w:val="both"/>
      </w:pPr>
    </w:p>
    <w:p w:rsidR="0086463C" w:rsidRDefault="00517A32" w:rsidP="0086463C">
      <w:pPr>
        <w:jc w:val="both"/>
      </w:pPr>
      <w:r>
        <w:tab/>
        <w:t>Therefore, it is</w:t>
      </w:r>
    </w:p>
    <w:p w:rsidR="00517A32" w:rsidRDefault="00517A32" w:rsidP="0086463C">
      <w:pPr>
        <w:jc w:val="both"/>
      </w:pPr>
    </w:p>
    <w:p w:rsidR="00517A32" w:rsidRDefault="00517A32" w:rsidP="0086463C">
      <w:pPr>
        <w:jc w:val="both"/>
      </w:pPr>
      <w:r>
        <w:tab/>
        <w:t>ORDERED that Commission Staff’s Motion to defer Issues is hereby granted</w:t>
      </w:r>
      <w:r w:rsidR="006213FF">
        <w:t xml:space="preserve"> as set forth herein</w:t>
      </w:r>
      <w:r>
        <w:t>.  It is further</w:t>
      </w:r>
    </w:p>
    <w:p w:rsidR="00517A32" w:rsidRDefault="00517A32" w:rsidP="0086463C">
      <w:pPr>
        <w:jc w:val="both"/>
      </w:pPr>
    </w:p>
    <w:p w:rsidR="00517A32" w:rsidRDefault="00517A32" w:rsidP="0086463C">
      <w:pPr>
        <w:jc w:val="both"/>
      </w:pPr>
      <w:r>
        <w:tab/>
        <w:t>ORDERED that Section IX(8) of the OEP, Order No. PSC-2023-0066-PCO-EI</w:t>
      </w:r>
      <w:r w:rsidR="00114C5D">
        <w:t>,</w:t>
      </w:r>
      <w:r>
        <w:t xml:space="preserve"> is deleted to eliminate the requirement that OPC/Intervenors file FPL Nuclear Power Plant testimony on August 11, 2023 and that FPL file its Nuclear Power Plant rebuttal on September 28, 2023.  </w:t>
      </w:r>
      <w:r w:rsidR="006213FF">
        <w:t xml:space="preserve">The new controlling dates with respect to Issues 2G through 2J are set forth above.  </w:t>
      </w:r>
      <w:r>
        <w:t>It is further</w:t>
      </w:r>
    </w:p>
    <w:p w:rsidR="00517A32" w:rsidRDefault="00517A32" w:rsidP="0086463C">
      <w:pPr>
        <w:jc w:val="both"/>
      </w:pPr>
    </w:p>
    <w:p w:rsidR="00517A32" w:rsidRDefault="00517A32" w:rsidP="0086463C">
      <w:pPr>
        <w:jc w:val="both"/>
      </w:pPr>
      <w:r>
        <w:tab/>
        <w:t>ORDERED that Order No. PSC-2023-0066-PCO-EI is reaffirmed in all other respects not inconsistent with this order.</w:t>
      </w:r>
    </w:p>
    <w:p w:rsidR="00517A32" w:rsidRDefault="00517A32" w:rsidP="0086463C">
      <w:pPr>
        <w:jc w:val="both"/>
      </w:pPr>
    </w:p>
    <w:p w:rsidR="00517A32" w:rsidRDefault="00517A32" w:rsidP="00517A32">
      <w:pPr>
        <w:keepNext/>
        <w:keepLines/>
        <w:jc w:val="both"/>
      </w:pPr>
      <w:r>
        <w:lastRenderedPageBreak/>
        <w:tab/>
        <w:t xml:space="preserve">By ORDER of Commissioner Mike La Rosa, as Prehearing Officer, this </w:t>
      </w:r>
      <w:bookmarkStart w:id="5" w:name="replaceDate"/>
      <w:bookmarkEnd w:id="5"/>
      <w:r w:rsidR="004D2283">
        <w:rPr>
          <w:u w:val="single"/>
        </w:rPr>
        <w:t>24th</w:t>
      </w:r>
      <w:r w:rsidR="004D2283">
        <w:t xml:space="preserve"> day of </w:t>
      </w:r>
      <w:r w:rsidR="004D2283">
        <w:rPr>
          <w:u w:val="single"/>
        </w:rPr>
        <w:t>July</w:t>
      </w:r>
      <w:r w:rsidR="004D2283">
        <w:t xml:space="preserve">, </w:t>
      </w:r>
      <w:r w:rsidR="004D2283">
        <w:rPr>
          <w:u w:val="single"/>
        </w:rPr>
        <w:t>2023</w:t>
      </w:r>
      <w:r w:rsidR="004D2283">
        <w:t>.</w:t>
      </w:r>
    </w:p>
    <w:p w:rsidR="004D2283" w:rsidRPr="004D2283" w:rsidRDefault="004D2283" w:rsidP="00517A32">
      <w:pPr>
        <w:keepNext/>
        <w:keepLines/>
        <w:jc w:val="both"/>
      </w:pPr>
    </w:p>
    <w:p w:rsidR="00517A32" w:rsidRDefault="00517A32" w:rsidP="00517A32">
      <w:pPr>
        <w:keepNext/>
        <w:keepLines/>
        <w:jc w:val="both"/>
      </w:pPr>
    </w:p>
    <w:p w:rsidR="00517A32" w:rsidRDefault="00517A32" w:rsidP="00517A32">
      <w:pPr>
        <w:keepNext/>
        <w:keepLines/>
        <w:jc w:val="both"/>
      </w:pPr>
    </w:p>
    <w:tbl>
      <w:tblPr>
        <w:tblW w:w="4599" w:type="dxa"/>
        <w:tblInd w:w="3800" w:type="dxa"/>
        <w:tblLayout w:type="fixed"/>
        <w:tblLook w:val="0000" w:firstRow="0" w:lastRow="0" w:firstColumn="0" w:lastColumn="0" w:noHBand="0" w:noVBand="0"/>
      </w:tblPr>
      <w:tblGrid>
        <w:gridCol w:w="668"/>
        <w:gridCol w:w="3931"/>
      </w:tblGrid>
      <w:tr w:rsidR="00517A32" w:rsidTr="004D2283">
        <w:trPr>
          <w:trHeight w:val="274"/>
        </w:trPr>
        <w:tc>
          <w:tcPr>
            <w:tcW w:w="668" w:type="dxa"/>
            <w:shd w:val="clear" w:color="auto" w:fill="auto"/>
          </w:tcPr>
          <w:p w:rsidR="00517A32" w:rsidRDefault="00517A32" w:rsidP="00517A32">
            <w:pPr>
              <w:keepNext/>
              <w:keepLines/>
              <w:jc w:val="both"/>
            </w:pPr>
            <w:bookmarkStart w:id="6" w:name="bkmrkSignature" w:colFirst="0" w:colLast="0"/>
          </w:p>
        </w:tc>
        <w:tc>
          <w:tcPr>
            <w:tcW w:w="3931" w:type="dxa"/>
            <w:tcBorders>
              <w:bottom w:val="single" w:sz="4" w:space="0" w:color="auto"/>
            </w:tcBorders>
            <w:shd w:val="clear" w:color="auto" w:fill="auto"/>
          </w:tcPr>
          <w:p w:rsidR="00517A32" w:rsidRDefault="004D2283" w:rsidP="00517A32">
            <w:pPr>
              <w:keepNext/>
              <w:keepLines/>
              <w:jc w:val="both"/>
            </w:pPr>
            <w:r>
              <w:t>/s/ Mike La Rosa</w:t>
            </w:r>
            <w:bookmarkStart w:id="7" w:name="_GoBack"/>
            <w:bookmarkEnd w:id="7"/>
          </w:p>
        </w:tc>
      </w:tr>
      <w:bookmarkEnd w:id="6"/>
      <w:tr w:rsidR="00517A32" w:rsidTr="004D2283">
        <w:trPr>
          <w:trHeight w:val="565"/>
        </w:trPr>
        <w:tc>
          <w:tcPr>
            <w:tcW w:w="668" w:type="dxa"/>
            <w:shd w:val="clear" w:color="auto" w:fill="auto"/>
          </w:tcPr>
          <w:p w:rsidR="00517A32" w:rsidRDefault="00517A32" w:rsidP="00517A32">
            <w:pPr>
              <w:keepNext/>
              <w:keepLines/>
              <w:jc w:val="both"/>
            </w:pPr>
          </w:p>
        </w:tc>
        <w:tc>
          <w:tcPr>
            <w:tcW w:w="3931" w:type="dxa"/>
            <w:tcBorders>
              <w:top w:val="single" w:sz="4" w:space="0" w:color="auto"/>
            </w:tcBorders>
            <w:shd w:val="clear" w:color="auto" w:fill="auto"/>
          </w:tcPr>
          <w:p w:rsidR="00517A32" w:rsidRDefault="00517A32" w:rsidP="00517A32">
            <w:pPr>
              <w:keepNext/>
              <w:keepLines/>
              <w:jc w:val="both"/>
            </w:pPr>
            <w:r>
              <w:t>Mike La Rosa</w:t>
            </w:r>
          </w:p>
          <w:p w:rsidR="00517A32" w:rsidRDefault="00517A32" w:rsidP="00517A32">
            <w:pPr>
              <w:keepNext/>
              <w:keepLines/>
              <w:jc w:val="both"/>
            </w:pPr>
            <w:r>
              <w:t>Commissioner and Prehearing Officer</w:t>
            </w:r>
          </w:p>
        </w:tc>
      </w:tr>
    </w:tbl>
    <w:p w:rsidR="00517A32" w:rsidRDefault="00517A32" w:rsidP="00517A32">
      <w:pPr>
        <w:pStyle w:val="OrderSigInfo"/>
        <w:keepNext/>
        <w:keepLines/>
      </w:pPr>
      <w:r>
        <w:t>Florida Public Service Commission</w:t>
      </w:r>
    </w:p>
    <w:p w:rsidR="00517A32" w:rsidRDefault="00517A32" w:rsidP="00517A32">
      <w:pPr>
        <w:pStyle w:val="OrderSigInfo"/>
        <w:keepNext/>
        <w:keepLines/>
      </w:pPr>
      <w:r>
        <w:t>2540 Shumard Oak Boulevard</w:t>
      </w:r>
    </w:p>
    <w:p w:rsidR="00517A32" w:rsidRDefault="00517A32" w:rsidP="00517A32">
      <w:pPr>
        <w:pStyle w:val="OrderSigInfo"/>
        <w:keepNext/>
        <w:keepLines/>
      </w:pPr>
      <w:r>
        <w:t>Tallahassee, Florida 32399</w:t>
      </w:r>
    </w:p>
    <w:p w:rsidR="00517A32" w:rsidRDefault="00517A32" w:rsidP="00517A32">
      <w:pPr>
        <w:pStyle w:val="OrderSigInfo"/>
        <w:keepNext/>
        <w:keepLines/>
      </w:pPr>
      <w:r>
        <w:t>(850) 413</w:t>
      </w:r>
      <w:r>
        <w:noBreakHyphen/>
        <w:t>6770</w:t>
      </w:r>
    </w:p>
    <w:p w:rsidR="00517A32" w:rsidRDefault="00517A32" w:rsidP="00517A32">
      <w:pPr>
        <w:pStyle w:val="OrderSigInfo"/>
        <w:keepNext/>
        <w:keepLines/>
      </w:pPr>
      <w:r>
        <w:t>www.floridapsc.com</w:t>
      </w:r>
    </w:p>
    <w:p w:rsidR="00517A32" w:rsidRDefault="00517A32" w:rsidP="00517A32">
      <w:pPr>
        <w:pStyle w:val="OrderSigInfo"/>
        <w:keepNext/>
        <w:keepLines/>
      </w:pPr>
    </w:p>
    <w:p w:rsidR="00517A32" w:rsidRDefault="00517A32" w:rsidP="00517A32">
      <w:pPr>
        <w:pStyle w:val="OrderSigInfo"/>
        <w:keepNext/>
        <w:keepLines/>
      </w:pPr>
      <w:r>
        <w:t>Copies furnished:  A copy of this document is provided to the parties of record at the time of issuance and, if applicable, interested persons.</w:t>
      </w:r>
    </w:p>
    <w:p w:rsidR="00517A32" w:rsidRDefault="00517A32" w:rsidP="00517A32">
      <w:pPr>
        <w:pStyle w:val="OrderBody"/>
        <w:keepNext/>
        <w:keepLines/>
      </w:pPr>
    </w:p>
    <w:p w:rsidR="00517A32" w:rsidRDefault="00517A32" w:rsidP="00517A32">
      <w:pPr>
        <w:keepNext/>
        <w:keepLines/>
        <w:jc w:val="both"/>
      </w:pPr>
      <w:r>
        <w:t>SBr</w:t>
      </w:r>
    </w:p>
    <w:p w:rsidR="00517A32" w:rsidRDefault="00517A32" w:rsidP="00517A32">
      <w:pPr>
        <w:keepNext/>
        <w:keepLines/>
        <w:jc w:val="both"/>
      </w:pPr>
    </w:p>
    <w:p w:rsidR="00114C5D" w:rsidRDefault="00114C5D" w:rsidP="00114C5D">
      <w:pPr>
        <w:pStyle w:val="CenterUnderline"/>
      </w:pPr>
      <w:r>
        <w:t>NOTICE OF FURTHER PROCEEDINGS OR JUDICIAL REVIEW</w:t>
      </w:r>
    </w:p>
    <w:p w:rsidR="00517A32" w:rsidRDefault="00517A32" w:rsidP="00114C5D">
      <w:pPr>
        <w:pStyle w:val="CenterUnderline"/>
      </w:pPr>
    </w:p>
    <w:p w:rsidR="00114C5D" w:rsidRDefault="00114C5D" w:rsidP="00114C5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14C5D" w:rsidRDefault="00114C5D" w:rsidP="00114C5D">
      <w:pPr>
        <w:pStyle w:val="OrderBody"/>
      </w:pPr>
    </w:p>
    <w:p w:rsidR="00114C5D" w:rsidRDefault="00114C5D" w:rsidP="00114C5D">
      <w:pPr>
        <w:pStyle w:val="OrderBody"/>
      </w:pPr>
      <w:r>
        <w:tab/>
        <w:t>Mediation may be available on a case-by-case basis.  If mediation is conducted, it does not affect a substantially interested person's right to a hearing.</w:t>
      </w:r>
    </w:p>
    <w:p w:rsidR="00114C5D" w:rsidRDefault="00114C5D" w:rsidP="00114C5D">
      <w:pPr>
        <w:pStyle w:val="OrderBody"/>
      </w:pPr>
    </w:p>
    <w:p w:rsidR="00114C5D" w:rsidRDefault="00114C5D" w:rsidP="00114C5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14C5D" w:rsidRDefault="00114C5D" w:rsidP="00114C5D">
      <w:pPr>
        <w:pStyle w:val="OrderBody"/>
      </w:pPr>
    </w:p>
    <w:sectPr w:rsidR="00114C5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544" w:rsidRDefault="00CB4544">
      <w:r>
        <w:separator/>
      </w:r>
    </w:p>
  </w:endnote>
  <w:endnote w:type="continuationSeparator" w:id="0">
    <w:p w:rsidR="00CB4544" w:rsidRDefault="00CB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544" w:rsidRDefault="00CB4544">
      <w:r>
        <w:separator/>
      </w:r>
    </w:p>
  </w:footnote>
  <w:footnote w:type="continuationSeparator" w:id="0">
    <w:p w:rsidR="00CB4544" w:rsidRDefault="00CB4544">
      <w:r>
        <w:continuationSeparator/>
      </w:r>
    </w:p>
  </w:footnote>
  <w:footnote w:id="1">
    <w:p w:rsidR="003B3236" w:rsidRPr="003B3236" w:rsidRDefault="003B3236" w:rsidP="00CC33A4">
      <w:pPr>
        <w:jc w:val="both"/>
        <w:rPr>
          <w:sz w:val="20"/>
          <w:szCs w:val="20"/>
        </w:rPr>
      </w:pPr>
      <w:r>
        <w:rPr>
          <w:rStyle w:val="FootnoteReference"/>
        </w:rPr>
        <w:footnoteRef/>
      </w:r>
      <w:r>
        <w:t xml:space="preserve"> </w:t>
      </w:r>
      <w:r w:rsidRPr="003B3236">
        <w:rPr>
          <w:sz w:val="20"/>
          <w:szCs w:val="20"/>
        </w:rPr>
        <w:t>Issue 2G: What is the proper methodology for FPL to calculate replacement power costs associated with an unplanned outage?</w:t>
      </w:r>
      <w:r>
        <w:rPr>
          <w:sz w:val="20"/>
          <w:szCs w:val="20"/>
        </w:rPr>
        <w:t xml:space="preserve">; </w:t>
      </w:r>
      <w:r w:rsidRPr="003B3236">
        <w:rPr>
          <w:sz w:val="20"/>
          <w:szCs w:val="20"/>
        </w:rPr>
        <w:t>Issue 2H: Were FPL’s actions, or failures to act, that resulted in unplanned outages that occurred during 2020 prudent?  If not, what adjustments should be made?</w:t>
      </w:r>
      <w:r>
        <w:rPr>
          <w:sz w:val="20"/>
          <w:szCs w:val="20"/>
        </w:rPr>
        <w:t xml:space="preserve">; </w:t>
      </w:r>
      <w:r w:rsidRPr="003B3236">
        <w:rPr>
          <w:sz w:val="20"/>
          <w:szCs w:val="20"/>
        </w:rPr>
        <w:t>Issue 2I:  Were FPL’s actions, or failures to act, that resulted in unplanned outages that occurred during 2021 prudent?  If not, what adjustments should be made?</w:t>
      </w:r>
      <w:r>
        <w:rPr>
          <w:sz w:val="20"/>
          <w:szCs w:val="20"/>
        </w:rPr>
        <w:t>;</w:t>
      </w:r>
    </w:p>
    <w:p w:rsidR="003B3236" w:rsidRDefault="003B3236" w:rsidP="00CC33A4">
      <w:pPr>
        <w:pStyle w:val="FootnoteText"/>
      </w:pPr>
      <w:r w:rsidRPr="006D773B">
        <w:t>Issue 2J: Were FPL’s actions, or failures to act, that resulted in unplanned outages that occurred during 2022 prudent?  If not, what adjustments should be made?</w:t>
      </w:r>
    </w:p>
  </w:footnote>
  <w:footnote w:id="2">
    <w:p w:rsidR="006D773B" w:rsidRPr="00B2006E" w:rsidRDefault="006D773B" w:rsidP="00CC33A4">
      <w:pPr>
        <w:pStyle w:val="FootnoteText"/>
        <w:rPr>
          <w:i/>
        </w:rPr>
      </w:pPr>
      <w:r>
        <w:rPr>
          <w:rStyle w:val="FootnoteReference"/>
        </w:rPr>
        <w:footnoteRef/>
      </w:r>
      <w:r>
        <w:t xml:space="preserve"> Order No. PSC-2022-0390-PHO-EI, issued November 14, 2022, in Docket No. 20220001-EI, </w:t>
      </w:r>
      <w:r>
        <w:rPr>
          <w:i/>
        </w:rPr>
        <w:t>In re: Fuel and purchased power cost recovery clause with generating performance incentive factor.</w:t>
      </w:r>
    </w:p>
  </w:footnote>
  <w:footnote w:id="3">
    <w:p w:rsidR="006D773B" w:rsidRDefault="006D773B" w:rsidP="00CC33A4">
      <w:pPr>
        <w:pStyle w:val="FootnoteText"/>
      </w:pPr>
      <w:r>
        <w:rPr>
          <w:rStyle w:val="FootnoteReference"/>
        </w:rPr>
        <w:footnoteRef/>
      </w:r>
      <w:r>
        <w:t xml:space="preserve"> Order No. PSC-2023-0066-PCO-EI, issued February 3, 2023, in Docket No. 20230001-EI, </w:t>
      </w:r>
      <w:r>
        <w:rPr>
          <w:i/>
        </w:rPr>
        <w:t xml:space="preserve">In re: Fuel and purchased power cost recovery clause with generating performance incentive factor.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07 ">
      <w:r w:rsidR="004D2283">
        <w:t>PSC-2023-0207-PCO-EI</w:t>
      </w:r>
    </w:fldSimple>
  </w:p>
  <w:p w:rsidR="00FA6EFD" w:rsidRDefault="00CB4544">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D228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CB4544"/>
    <w:rsid w:val="000022B8"/>
    <w:rsid w:val="00003883"/>
    <w:rsid w:val="00011251"/>
    <w:rsid w:val="00025C2A"/>
    <w:rsid w:val="00025C9D"/>
    <w:rsid w:val="0003433F"/>
    <w:rsid w:val="00035A8C"/>
    <w:rsid w:val="00036BDD"/>
    <w:rsid w:val="00041FFD"/>
    <w:rsid w:val="00042C99"/>
    <w:rsid w:val="00053AB9"/>
    <w:rsid w:val="00054153"/>
    <w:rsid w:val="00056229"/>
    <w:rsid w:val="00057AF1"/>
    <w:rsid w:val="00065FC2"/>
    <w:rsid w:val="00067685"/>
    <w:rsid w:val="00067B07"/>
    <w:rsid w:val="000730D7"/>
    <w:rsid w:val="000747D8"/>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4C5D"/>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5A74"/>
    <w:rsid w:val="00276CDC"/>
    <w:rsid w:val="00277655"/>
    <w:rsid w:val="002824B7"/>
    <w:rsid w:val="00282AC4"/>
    <w:rsid w:val="0029049F"/>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32F"/>
    <w:rsid w:val="00331ED0"/>
    <w:rsid w:val="00332B0A"/>
    <w:rsid w:val="00333A41"/>
    <w:rsid w:val="00341036"/>
    <w:rsid w:val="00345434"/>
    <w:rsid w:val="00351C22"/>
    <w:rsid w:val="0035495B"/>
    <w:rsid w:val="00355A93"/>
    <w:rsid w:val="00360AC1"/>
    <w:rsid w:val="00361522"/>
    <w:rsid w:val="0037196E"/>
    <w:rsid w:val="003744F5"/>
    <w:rsid w:val="00382C6A"/>
    <w:rsid w:val="003875A9"/>
    <w:rsid w:val="00387BDE"/>
    <w:rsid w:val="00390DD8"/>
    <w:rsid w:val="00394DC6"/>
    <w:rsid w:val="00397C3E"/>
    <w:rsid w:val="003B1A09"/>
    <w:rsid w:val="003B3236"/>
    <w:rsid w:val="003B6F02"/>
    <w:rsid w:val="003C0431"/>
    <w:rsid w:val="003C29BB"/>
    <w:rsid w:val="003D3989"/>
    <w:rsid w:val="003D4CCA"/>
    <w:rsid w:val="003D52A6"/>
    <w:rsid w:val="003D6416"/>
    <w:rsid w:val="003E1D48"/>
    <w:rsid w:val="003E711F"/>
    <w:rsid w:val="003F1374"/>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283"/>
    <w:rsid w:val="004D2D1B"/>
    <w:rsid w:val="004D5067"/>
    <w:rsid w:val="004D6838"/>
    <w:rsid w:val="004D72BC"/>
    <w:rsid w:val="004E469D"/>
    <w:rsid w:val="004E7F4F"/>
    <w:rsid w:val="004F2DDE"/>
    <w:rsid w:val="004F5A55"/>
    <w:rsid w:val="004F7826"/>
    <w:rsid w:val="0050097F"/>
    <w:rsid w:val="00514B1F"/>
    <w:rsid w:val="00517A32"/>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13FF"/>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A4C75"/>
    <w:rsid w:val="006B0036"/>
    <w:rsid w:val="006B0DA6"/>
    <w:rsid w:val="006B3FA9"/>
    <w:rsid w:val="006C547E"/>
    <w:rsid w:val="006D2B51"/>
    <w:rsid w:val="006D5575"/>
    <w:rsid w:val="006D7191"/>
    <w:rsid w:val="006D773B"/>
    <w:rsid w:val="006E21C4"/>
    <w:rsid w:val="006E42BE"/>
    <w:rsid w:val="006E5D4D"/>
    <w:rsid w:val="006E6D16"/>
    <w:rsid w:val="006F5A99"/>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512D"/>
    <w:rsid w:val="00777727"/>
    <w:rsid w:val="0078166A"/>
    <w:rsid w:val="00782B79"/>
    <w:rsid w:val="00783811"/>
    <w:rsid w:val="007865E9"/>
    <w:rsid w:val="0079237D"/>
    <w:rsid w:val="00792383"/>
    <w:rsid w:val="00794D5A"/>
    <w:rsid w:val="00794DD9"/>
    <w:rsid w:val="007A060F"/>
    <w:rsid w:val="007B1C5E"/>
    <w:rsid w:val="007B350E"/>
    <w:rsid w:val="007C0FBC"/>
    <w:rsid w:val="007C12CE"/>
    <w:rsid w:val="007C29C9"/>
    <w:rsid w:val="007C35B8"/>
    <w:rsid w:val="007C36E3"/>
    <w:rsid w:val="007C3ABB"/>
    <w:rsid w:val="007C7134"/>
    <w:rsid w:val="007C7ECF"/>
    <w:rsid w:val="007D3D20"/>
    <w:rsid w:val="007D44F9"/>
    <w:rsid w:val="007D742E"/>
    <w:rsid w:val="007E3AFD"/>
    <w:rsid w:val="007E4450"/>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6463C"/>
    <w:rsid w:val="008703D7"/>
    <w:rsid w:val="00874429"/>
    <w:rsid w:val="00875D22"/>
    <w:rsid w:val="00883D9A"/>
    <w:rsid w:val="008919EF"/>
    <w:rsid w:val="00892B20"/>
    <w:rsid w:val="008931BC"/>
    <w:rsid w:val="0089695B"/>
    <w:rsid w:val="00897740"/>
    <w:rsid w:val="008A12EC"/>
    <w:rsid w:val="008B14BE"/>
    <w:rsid w:val="008B19A6"/>
    <w:rsid w:val="008B4EFB"/>
    <w:rsid w:val="008B6173"/>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61D7"/>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4544"/>
    <w:rsid w:val="00CB5276"/>
    <w:rsid w:val="00CB5BFC"/>
    <w:rsid w:val="00CB68D7"/>
    <w:rsid w:val="00CB785B"/>
    <w:rsid w:val="00CC33A4"/>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26D2"/>
    <w:rsid w:val="00D45F93"/>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3D7E"/>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0191"/>
    <w:rsid w:val="00FB3791"/>
    <w:rsid w:val="00FB6780"/>
    <w:rsid w:val="00FB74EA"/>
    <w:rsid w:val="00FD0ADB"/>
    <w:rsid w:val="00FD2C9E"/>
    <w:rsid w:val="00FD4786"/>
    <w:rsid w:val="00FD616C"/>
    <w:rsid w:val="00FE53F2"/>
    <w:rsid w:val="00FF0A00"/>
    <w:rsid w:val="00FF1C37"/>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6D773B"/>
  </w:style>
  <w:style w:type="paragraph" w:styleId="BalloonText">
    <w:name w:val="Balloon Text"/>
    <w:basedOn w:val="Normal"/>
    <w:link w:val="BalloonTextChar"/>
    <w:semiHidden/>
    <w:unhideWhenUsed/>
    <w:rsid w:val="0029049F"/>
    <w:rPr>
      <w:rFonts w:ascii="Segoe UI" w:hAnsi="Segoe UI" w:cs="Segoe UI"/>
      <w:sz w:val="18"/>
      <w:szCs w:val="18"/>
    </w:rPr>
  </w:style>
  <w:style w:type="character" w:customStyle="1" w:styleId="BalloonTextChar">
    <w:name w:val="Balloon Text Char"/>
    <w:basedOn w:val="DefaultParagraphFont"/>
    <w:link w:val="BalloonText"/>
    <w:semiHidden/>
    <w:rsid w:val="002904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B3501-3556-4558-80CA-210D47417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2023-07-24T12:27:00Z</dcterms:created>
  <dcterms:modified xsi:type="dcterms:W3CDTF">2023-07-24T12:43:00Z</dcterms:modified>
</cp:coreProperties>
</file>