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0D9AF" w14:textId="0BF54F79" w:rsidR="00EA7B4F" w:rsidRPr="00612272" w:rsidRDefault="00EA7B4F" w:rsidP="00EA7B4F">
      <w:pPr>
        <w:pStyle w:val="sectionname"/>
        <w:pBdr>
          <w:bottom w:val="none" w:sz="0" w:space="0" w:color="auto"/>
        </w:pBdr>
        <w:rPr>
          <w:rFonts w:eastAsia="Times New Roman"/>
          <w:color w:val="auto"/>
          <w:sz w:val="22"/>
          <w:szCs w:val="22"/>
        </w:rPr>
      </w:pPr>
      <w:bookmarkStart w:id="0" w:name="_Toc474771100"/>
      <w:bookmarkStart w:id="1" w:name="_Toc475529559"/>
      <w:bookmarkStart w:id="2" w:name="_Toc536023075"/>
      <w:r>
        <w:rPr>
          <w:rFonts w:eastAsia="Times New Roman"/>
          <w:color w:val="auto"/>
          <w:sz w:val="22"/>
          <w:szCs w:val="22"/>
        </w:rPr>
        <w:t>Gregg Therrien</w:t>
      </w:r>
    </w:p>
    <w:p w14:paraId="542C088E" w14:textId="77777777" w:rsidR="00EA7B4F" w:rsidRPr="00612272" w:rsidRDefault="00EA7B4F" w:rsidP="00EA7B4F">
      <w:pPr>
        <w:pStyle w:val="sectionname"/>
        <w:pBdr>
          <w:bottom w:val="none" w:sz="0" w:space="0" w:color="auto"/>
        </w:pBdr>
        <w:rPr>
          <w:rFonts w:eastAsia="Times New Roman"/>
          <w:b w:val="0"/>
          <w:caps w:val="0"/>
          <w:sz w:val="22"/>
          <w:szCs w:val="22"/>
        </w:rPr>
      </w:pPr>
      <w:r w:rsidRPr="00612272">
        <w:rPr>
          <w:rFonts w:ascii="Cambria" w:eastAsia="Times New Roman" w:hAnsi="Cambria" w:cs="Times New Roman"/>
          <w:caps w:val="0"/>
          <w:noProof/>
          <w:color w:val="404040"/>
          <w:sz w:val="22"/>
          <w:szCs w:val="20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4C8C2AB7" wp14:editId="384F86D2">
                <wp:simplePos x="0" y="0"/>
                <wp:positionH relativeFrom="margin">
                  <wp:posOffset>-85725</wp:posOffset>
                </wp:positionH>
                <wp:positionV relativeFrom="paragraph">
                  <wp:posOffset>290195</wp:posOffset>
                </wp:positionV>
                <wp:extent cx="5967095" cy="33432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095" cy="3343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7FBD0" w14:textId="77777777" w:rsidR="00EA7B4F" w:rsidRDefault="00EA7B4F" w:rsidP="00EA7B4F">
                            <w:pPr>
                              <w:pBdr>
                                <w:top w:val="single" w:sz="24" w:space="8" w:color="860000"/>
                                <w:bottom w:val="single" w:sz="24" w:space="8" w:color="860000"/>
                              </w:pBdr>
                              <w:suppressAutoHyphens/>
                              <w:spacing w:line="264" w:lineRule="auto"/>
                              <w:jc w:val="both"/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</w:pPr>
                            <w:r w:rsidRPr="00A72D65"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  <w:t>Mr. Therrien</w:t>
                            </w:r>
                            <w:r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  <w:t xml:space="preserve"> provides</w:t>
                            </w:r>
                            <w:r w:rsidRPr="00A72D65"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  <w:t xml:space="preserve"> regulatory strateg</w:t>
                            </w:r>
                            <w:r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  <w:t xml:space="preserve">y </w:t>
                            </w:r>
                            <w:r w:rsidRPr="00A72D65"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  <w:t xml:space="preserve">and </w:t>
                            </w:r>
                            <w:r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  <w:t xml:space="preserve">financial </w:t>
                            </w:r>
                            <w:r w:rsidRPr="00A72D65"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  <w:t xml:space="preserve">rate case </w:t>
                            </w:r>
                            <w:r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  <w:t>expertise to regulated and unregulated entities in the natural gas, electric, and water industries.</w:t>
                            </w:r>
                            <w:r w:rsidRPr="00A72D65"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  <w:t xml:space="preserve"> Since joining Concentric in 2016</w:t>
                            </w:r>
                            <w:r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  <w:t>,</w:t>
                            </w:r>
                            <w:r w:rsidRPr="00A72D65"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  <w:t xml:space="preserve"> Mr. Therrien has performed a multitude of </w:t>
                            </w:r>
                            <w:r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  <w:t xml:space="preserve">consulting </w:t>
                            </w:r>
                            <w:r w:rsidRPr="00A72D65"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  <w:t xml:space="preserve">engagements including </w:t>
                            </w:r>
                            <w:r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  <w:t>expert testimony on the subjects of allocated cost of service, rate design, rate consolidation, alternative rate plans, decoupling,</w:t>
                            </w:r>
                            <w:r w:rsidRPr="00FD3F5C"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  <w:t xml:space="preserve">revenue requirements, and natural gas infrastructure replacement programs.  Other engagements include </w:t>
                            </w:r>
                            <w:r w:rsidRPr="00A72D65"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  <w:t>merger and acquisition due diligence,</w:t>
                            </w:r>
                            <w:r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  <w:t xml:space="preserve"> electric power plant retirement analysis (including securitization),</w:t>
                            </w:r>
                            <w:r w:rsidRPr="007C0A37"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  <w:t>billing system and rate mechanism audits,</w:t>
                            </w:r>
                            <w:r w:rsidRPr="00A72D65"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  <w:t xml:space="preserve">natural gas storage rate analysis, solar/renewable project evaluation, line extension policies, </w:t>
                            </w:r>
                            <w:r w:rsidRPr="00A72D65"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  <w:t>power procurement advisory services</w:t>
                            </w:r>
                            <w:r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  <w:t>, i</w:t>
                            </w:r>
                            <w:r w:rsidRPr="003E2142"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  <w:t>nterstate pipeline rate settlement assistanc</w:t>
                            </w:r>
                            <w:r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  <w:t xml:space="preserve">e and </w:t>
                            </w:r>
                            <w:r w:rsidRPr="00A72D65"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  <w:t>tariff writing and administration</w:t>
                            </w:r>
                            <w:r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  <w:t>.</w:t>
                            </w:r>
                            <w:r w:rsidRPr="00A72D65"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  <w:t xml:space="preserve"> </w:t>
                            </w:r>
                          </w:p>
                          <w:p w14:paraId="0C942DBD" w14:textId="77777777" w:rsidR="00EA7B4F" w:rsidRDefault="00EA7B4F" w:rsidP="00EA7B4F">
                            <w:pPr>
                              <w:pBdr>
                                <w:top w:val="single" w:sz="24" w:space="8" w:color="860000"/>
                                <w:bottom w:val="single" w:sz="24" w:space="8" w:color="860000"/>
                              </w:pBdr>
                              <w:suppressAutoHyphens/>
                              <w:spacing w:line="264" w:lineRule="auto"/>
                              <w:jc w:val="both"/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  <w:t>Prior to entering consulting Mr. Therrien held previous leadership level positions at Connecticut Natural Gas Corporation and its affiliated companies for over 19 years. H</w:t>
                            </w:r>
                            <w:r w:rsidRPr="00A72D65"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  <w:t xml:space="preserve">e </w:t>
                            </w:r>
                            <w:r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  <w:t xml:space="preserve">formerly </w:t>
                            </w:r>
                            <w:r w:rsidRPr="00A72D65"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  <w:t>served as Director, Gas Construction at Connecticut Natural Gas and The Southern Connecticut Gas Company and Director, Regulatory &amp; Tariffs at UIL Holdings, Inc.</w:t>
                            </w:r>
                          </w:p>
                          <w:p w14:paraId="2BAB509A" w14:textId="77777777" w:rsidR="00EA7B4F" w:rsidRDefault="00EA7B4F" w:rsidP="00EA7B4F">
                            <w:pPr>
                              <w:pBdr>
                                <w:top w:val="single" w:sz="24" w:space="8" w:color="860000"/>
                                <w:bottom w:val="single" w:sz="24" w:space="8" w:color="860000"/>
                              </w:pBdr>
                              <w:suppressAutoHyphens/>
                              <w:spacing w:line="264" w:lineRule="auto"/>
                              <w:jc w:val="both"/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</w:pPr>
                            <w:r w:rsidRPr="00A72D65"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  <w:t>Mr. Therrien</w:t>
                            </w:r>
                            <w:r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  <w:t xml:space="preserve"> holds </w:t>
                            </w:r>
                            <w:r w:rsidRPr="00A72D65"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  <w:t>an M.B.A. from the University of Connecticut</w:t>
                            </w:r>
                            <w:r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  <w:t>,</w:t>
                            </w:r>
                            <w:r w:rsidRPr="00A72D65"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  <w:t xml:space="preserve"> a B.S. in Finance from Bryant University</w:t>
                            </w:r>
                            <w:r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  <w:t xml:space="preserve">, and is </w:t>
                            </w:r>
                            <w:r w:rsidRPr="00A72D65"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  <w:t>certified Project Management Professional (PMP</w:t>
                            </w:r>
                            <w:r>
                              <w:rPr>
                                <w:rFonts w:ascii="Century Gothic" w:hAnsi="Century Gothic"/>
                                <w:iCs/>
                                <w:color w:val="400000"/>
                                <w:kern w:val="20"/>
                                <w:sz w:val="20"/>
                                <w:szCs w:val="24"/>
                                <w14:ligatures w14:val="standard"/>
                                <w14:numSpacing w14:val="proportional"/>
                                <w14:cntxtAlts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C2A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22.85pt;width:469.85pt;height:263.25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" filled="f" stroked="f">
                <v:textbox>
                  <w:txbxContent>
                    <w:p w14:paraId="4847FBD0" w14:textId="77777777" w:rsidR="00EA7B4F" w:rsidRDefault="00EA7B4F" w:rsidP="00EA7B4F">
                      <w:pPr>
                        <w:pBdr>
                          <w:top w:val="single" w:sz="24" w:space="8" w:color="860000"/>
                          <w:bottom w:val="single" w:sz="24" w:space="8" w:color="860000"/>
                        </w:pBdr>
                        <w:suppressAutoHyphens/>
                        <w:spacing w:line="264" w:lineRule="auto"/>
                        <w:jc w:val="both"/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</w:pPr>
                      <w:r w:rsidRPr="00A72D65"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  <w:t>Mr. Therrien</w:t>
                      </w:r>
                      <w:r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  <w:t xml:space="preserve"> provides</w:t>
                      </w:r>
                      <w:r w:rsidRPr="00A72D65"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  <w:t xml:space="preserve"> regulatory strateg</w:t>
                      </w:r>
                      <w:r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  <w:t xml:space="preserve">y </w:t>
                      </w:r>
                      <w:r w:rsidRPr="00A72D65"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  <w:t xml:space="preserve">and </w:t>
                      </w:r>
                      <w:r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  <w:t xml:space="preserve">financial </w:t>
                      </w:r>
                      <w:r w:rsidRPr="00A72D65"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  <w:t xml:space="preserve">rate case </w:t>
                      </w:r>
                      <w:r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  <w:t>expertise to regulated and unregulated entities in the natural gas, electric, and water industries.</w:t>
                      </w:r>
                      <w:r w:rsidRPr="00A72D65"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  <w:t xml:space="preserve"> Since joining Concentric in 2016</w:t>
                      </w:r>
                      <w:r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  <w:t>,</w:t>
                      </w:r>
                      <w:r w:rsidRPr="00A72D65"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  <w:t xml:space="preserve"> Mr. Therrien has performed a multitude of </w:t>
                      </w:r>
                      <w:r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  <w:t xml:space="preserve">consulting </w:t>
                      </w:r>
                      <w:r w:rsidRPr="00A72D65"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  <w:t xml:space="preserve">engagements including </w:t>
                      </w:r>
                      <w:r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  <w:t>expert testimony on the subjects of allocated cost of service, rate design, rate consolidation, alternative rate plans, decoupling,</w:t>
                      </w:r>
                      <w:r w:rsidRPr="00FD3F5C"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  <w:t xml:space="preserve">revenue requirements, and natural gas infrastructure replacement programs.  Other engagements include </w:t>
                      </w:r>
                      <w:r w:rsidRPr="00A72D65"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  <w:t>merger and acquisition due diligence,</w:t>
                      </w:r>
                      <w:r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  <w:t xml:space="preserve"> electric power plant retirement analysis (including securitization),</w:t>
                      </w:r>
                      <w:r w:rsidRPr="007C0A37"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  <w:t>billing system and rate mechanism audits,</w:t>
                      </w:r>
                      <w:r w:rsidRPr="00A72D65"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  <w:t xml:space="preserve">natural gas storage rate analysis, solar/renewable project evaluation, line extension policies, </w:t>
                      </w:r>
                      <w:r w:rsidRPr="00A72D65"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  <w:t>power procurement advisory services</w:t>
                      </w:r>
                      <w:r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  <w:t>, i</w:t>
                      </w:r>
                      <w:r w:rsidRPr="003E2142"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  <w:t>nterstate pipeline rate settlement assistanc</w:t>
                      </w:r>
                      <w:r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  <w:t xml:space="preserve">e and </w:t>
                      </w:r>
                      <w:r w:rsidRPr="00A72D65"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  <w:t>tariff writing and administration</w:t>
                      </w:r>
                      <w:r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  <w:t>.</w:t>
                      </w:r>
                      <w:r w:rsidRPr="00A72D65"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  <w:t xml:space="preserve"> </w:t>
                      </w:r>
                    </w:p>
                    <w:p w14:paraId="0C942DBD" w14:textId="77777777" w:rsidR="00EA7B4F" w:rsidRDefault="00EA7B4F" w:rsidP="00EA7B4F">
                      <w:pPr>
                        <w:pBdr>
                          <w:top w:val="single" w:sz="24" w:space="8" w:color="860000"/>
                          <w:bottom w:val="single" w:sz="24" w:space="8" w:color="860000"/>
                        </w:pBdr>
                        <w:suppressAutoHyphens/>
                        <w:spacing w:line="264" w:lineRule="auto"/>
                        <w:jc w:val="both"/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</w:pPr>
                      <w:r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  <w:t>Prior to entering consulting Mr. Therrien held previous leadership level positions at Connecticut Natural Gas Corporation and its affiliated companies for over 19 years. H</w:t>
                      </w:r>
                      <w:r w:rsidRPr="00A72D65"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  <w:t xml:space="preserve">e </w:t>
                      </w:r>
                      <w:r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  <w:t xml:space="preserve">formerly </w:t>
                      </w:r>
                      <w:r w:rsidRPr="00A72D65"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  <w:t>served as Director, Gas Construction at Connecticut Natural Gas and The Southern Connecticut Gas Company and Director, Regulatory &amp; Tariffs at UIL Holdings, Inc.</w:t>
                      </w:r>
                    </w:p>
                    <w:p w14:paraId="2BAB509A" w14:textId="77777777" w:rsidR="00EA7B4F" w:rsidRDefault="00EA7B4F" w:rsidP="00EA7B4F">
                      <w:pPr>
                        <w:pBdr>
                          <w:top w:val="single" w:sz="24" w:space="8" w:color="860000"/>
                          <w:bottom w:val="single" w:sz="24" w:space="8" w:color="860000"/>
                        </w:pBdr>
                        <w:suppressAutoHyphens/>
                        <w:spacing w:line="264" w:lineRule="auto"/>
                        <w:jc w:val="both"/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</w:pPr>
                      <w:r w:rsidRPr="00A72D65"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  <w:t>Mr. Therrien</w:t>
                      </w:r>
                      <w:r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  <w:t xml:space="preserve"> holds </w:t>
                      </w:r>
                      <w:r w:rsidRPr="00A72D65"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  <w:t>an M.B.A. from the University of Connecticut</w:t>
                      </w:r>
                      <w:r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  <w:t>,</w:t>
                      </w:r>
                      <w:r w:rsidRPr="00A72D65"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  <w:t xml:space="preserve"> a B.S. in Finance from Bryant University</w:t>
                      </w:r>
                      <w:r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  <w:t xml:space="preserve">, and is </w:t>
                      </w:r>
                      <w:r w:rsidRPr="00A72D65"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  <w:t>certified Project Management Professional (PMP</w:t>
                      </w:r>
                      <w:r>
                        <w:rPr>
                          <w:rFonts w:ascii="Century Gothic" w:hAnsi="Century Gothic"/>
                          <w:iCs/>
                          <w:color w:val="400000"/>
                          <w:kern w:val="20"/>
                          <w:sz w:val="20"/>
                          <w:szCs w:val="24"/>
                          <w14:ligatures w14:val="standard"/>
                          <w14:numSpacing w14:val="proportional"/>
                          <w14:cntxtAlts/>
                        </w:rPr>
                        <w:t>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eastAsia="Times New Roman"/>
          <w:b w:val="0"/>
          <w:caps w:val="0"/>
          <w:sz w:val="22"/>
          <w:szCs w:val="22"/>
        </w:rPr>
        <w:t>Vice President</w:t>
      </w:r>
    </w:p>
    <w:p w14:paraId="385124B3" w14:textId="77777777" w:rsidR="00EA7B4F" w:rsidRDefault="00EA7B4F" w:rsidP="00EA7B4F">
      <w:pPr>
        <w:pStyle w:val="Subheading1"/>
        <w:spacing w:after="0" w:line="257" w:lineRule="auto"/>
        <w:rPr>
          <w:caps/>
        </w:rPr>
      </w:pPr>
      <w:r w:rsidRPr="001B7B53">
        <w:rPr>
          <w:caps/>
        </w:rPr>
        <w:t>Representative Project Experience</w:t>
      </w:r>
    </w:p>
    <w:p w14:paraId="1BF9BD33" w14:textId="77777777" w:rsidR="00EA7B4F" w:rsidRDefault="00EA7B4F" w:rsidP="00EA7B4F">
      <w:pPr>
        <w:pStyle w:val="Subheading2"/>
        <w:spacing w:before="80" w:line="257" w:lineRule="auto"/>
        <w:jc w:val="left"/>
        <w:rPr>
          <w:sz w:val="20"/>
        </w:rPr>
      </w:pPr>
      <w:r>
        <w:rPr>
          <w:sz w:val="20"/>
        </w:rPr>
        <w:t>Consultancy</w:t>
      </w:r>
    </w:p>
    <w:p w14:paraId="56DBFCA8" w14:textId="77777777" w:rsidR="00EA7B4F" w:rsidRPr="001B1852" w:rsidRDefault="00EA7B4F" w:rsidP="00EA7B4F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Cambria" w:eastAsia="Times New Roman" w:hAnsi="Cambria" w:cs="Times New Roman"/>
        </w:rPr>
      </w:pPr>
      <w:r w:rsidRPr="001B1852">
        <w:rPr>
          <w:rFonts w:ascii="Cambria" w:eastAsia="Times New Roman" w:hAnsi="Cambria" w:cs="Times New Roman"/>
        </w:rPr>
        <w:t>Regulatory risk assessments</w:t>
      </w:r>
    </w:p>
    <w:p w14:paraId="50789C89" w14:textId="77777777" w:rsidR="00EA7B4F" w:rsidRPr="001B1852" w:rsidRDefault="00EA7B4F" w:rsidP="00EA7B4F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Cambria" w:eastAsia="Times New Roman" w:hAnsi="Cambria" w:cs="Times New Roman"/>
        </w:rPr>
      </w:pPr>
      <w:r w:rsidRPr="001B1852">
        <w:rPr>
          <w:rFonts w:ascii="Cambria" w:eastAsia="Times New Roman" w:hAnsi="Cambria" w:cs="Times New Roman"/>
        </w:rPr>
        <w:t xml:space="preserve">Gas infrastructure replacement program </w:t>
      </w:r>
      <w:r>
        <w:rPr>
          <w:rFonts w:ascii="Cambria" w:eastAsia="Times New Roman" w:hAnsi="Cambria" w:cs="Times New Roman"/>
        </w:rPr>
        <w:t xml:space="preserve">benchmarking, </w:t>
      </w:r>
      <w:r w:rsidRPr="001B1852">
        <w:rPr>
          <w:rFonts w:ascii="Cambria" w:eastAsia="Times New Roman" w:hAnsi="Cambria" w:cs="Times New Roman"/>
        </w:rPr>
        <w:t>technical</w:t>
      </w:r>
      <w:r>
        <w:rPr>
          <w:rFonts w:ascii="Cambria" w:eastAsia="Times New Roman" w:hAnsi="Cambria" w:cs="Times New Roman"/>
        </w:rPr>
        <w:t xml:space="preserve"> </w:t>
      </w:r>
      <w:r w:rsidRPr="001B1852">
        <w:rPr>
          <w:rFonts w:ascii="Cambria" w:eastAsia="Times New Roman" w:hAnsi="Cambria" w:cs="Times New Roman"/>
        </w:rPr>
        <w:t>and financial analysis</w:t>
      </w:r>
      <w:r>
        <w:rPr>
          <w:rFonts w:ascii="Cambria" w:eastAsia="Times New Roman" w:hAnsi="Cambria" w:cs="Times New Roman"/>
        </w:rPr>
        <w:t>,</w:t>
      </w:r>
      <w:r w:rsidRPr="001B1852">
        <w:rPr>
          <w:rFonts w:ascii="Cambria" w:eastAsia="Times New Roman" w:hAnsi="Cambria" w:cs="Times New Roman"/>
        </w:rPr>
        <w:t xml:space="preserve"> and </w:t>
      </w:r>
      <w:r>
        <w:rPr>
          <w:rFonts w:ascii="Cambria" w:eastAsia="Times New Roman" w:hAnsi="Cambria" w:cs="Times New Roman"/>
        </w:rPr>
        <w:t xml:space="preserve">expert </w:t>
      </w:r>
      <w:r w:rsidRPr="001B1852">
        <w:rPr>
          <w:rFonts w:ascii="Cambria" w:eastAsia="Times New Roman" w:hAnsi="Cambria" w:cs="Times New Roman"/>
        </w:rPr>
        <w:t>testimony</w:t>
      </w:r>
    </w:p>
    <w:p w14:paraId="3E1A1600" w14:textId="77777777" w:rsidR="00EA7B4F" w:rsidRPr="001B1852" w:rsidRDefault="00EA7B4F" w:rsidP="00EA7B4F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Cambria" w:eastAsia="Times New Roman" w:hAnsi="Cambria" w:cs="Times New Roman"/>
        </w:rPr>
      </w:pPr>
      <w:r w:rsidRPr="001B1852">
        <w:rPr>
          <w:rFonts w:ascii="Cambria" w:eastAsia="Times New Roman" w:hAnsi="Cambria" w:cs="Times New Roman"/>
        </w:rPr>
        <w:t>Market analysis for international clients</w:t>
      </w:r>
    </w:p>
    <w:p w14:paraId="09CADCDD" w14:textId="77777777" w:rsidR="00EA7B4F" w:rsidRPr="001B1852" w:rsidRDefault="00EA7B4F" w:rsidP="00EA7B4F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Cambria" w:eastAsia="Times New Roman" w:hAnsi="Cambria" w:cs="Times New Roman"/>
        </w:rPr>
      </w:pPr>
      <w:r w:rsidRPr="001B1852">
        <w:rPr>
          <w:rFonts w:ascii="Cambria" w:eastAsia="Times New Roman" w:hAnsi="Cambria" w:cs="Times New Roman"/>
        </w:rPr>
        <w:t>M&amp;A due diligence (regulatory</w:t>
      </w:r>
      <w:r>
        <w:rPr>
          <w:rFonts w:ascii="Cambria" w:eastAsia="Times New Roman" w:hAnsi="Cambria" w:cs="Times New Roman"/>
        </w:rPr>
        <w:t xml:space="preserve"> and financial</w:t>
      </w:r>
      <w:r w:rsidRPr="001B1852">
        <w:rPr>
          <w:rFonts w:ascii="Cambria" w:eastAsia="Times New Roman" w:hAnsi="Cambria" w:cs="Times New Roman"/>
        </w:rPr>
        <w:t>)</w:t>
      </w:r>
    </w:p>
    <w:p w14:paraId="4687BC1D" w14:textId="77777777" w:rsidR="00EA7B4F" w:rsidRPr="001B1852" w:rsidRDefault="00EA7B4F" w:rsidP="00EA7B4F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Gas and </w:t>
      </w:r>
      <w:r w:rsidRPr="001B1852">
        <w:rPr>
          <w:rFonts w:ascii="Cambria" w:eastAsia="Times New Roman" w:hAnsi="Cambria" w:cs="Times New Roman"/>
        </w:rPr>
        <w:t>Electric distribution alternative rate plan analysis</w:t>
      </w:r>
    </w:p>
    <w:p w14:paraId="6048765B" w14:textId="77777777" w:rsidR="00EA7B4F" w:rsidRPr="001B1852" w:rsidRDefault="00EA7B4F" w:rsidP="00EA7B4F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Cambria" w:eastAsia="Times New Roman" w:hAnsi="Cambria" w:cs="Times New Roman"/>
        </w:rPr>
      </w:pPr>
      <w:r w:rsidRPr="001B1852">
        <w:rPr>
          <w:rFonts w:ascii="Cambria" w:eastAsia="Times New Roman" w:hAnsi="Cambria" w:cs="Times New Roman"/>
        </w:rPr>
        <w:t>Economic Development</w:t>
      </w:r>
      <w:r>
        <w:rPr>
          <w:rFonts w:ascii="Cambria" w:eastAsia="Times New Roman" w:hAnsi="Cambria" w:cs="Times New Roman"/>
        </w:rPr>
        <w:t xml:space="preserve"> and large customer</w:t>
      </w:r>
      <w:r w:rsidRPr="001B1852">
        <w:rPr>
          <w:rFonts w:ascii="Cambria" w:eastAsia="Times New Roman" w:hAnsi="Cambria" w:cs="Times New Roman"/>
        </w:rPr>
        <w:t xml:space="preserve"> tariff development</w:t>
      </w:r>
    </w:p>
    <w:p w14:paraId="56F16862" w14:textId="77777777" w:rsidR="00EA7B4F" w:rsidRPr="001B1852" w:rsidRDefault="00EA7B4F" w:rsidP="00EA7B4F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Cambria" w:eastAsia="Times New Roman" w:hAnsi="Cambria" w:cs="Times New Roman"/>
        </w:rPr>
      </w:pPr>
      <w:r w:rsidRPr="001B1852">
        <w:rPr>
          <w:rFonts w:ascii="Cambria" w:eastAsia="Times New Roman" w:hAnsi="Cambria" w:cs="Times New Roman"/>
        </w:rPr>
        <w:t>Decoupling testimony assistance for a Western Gas LDC</w:t>
      </w:r>
    </w:p>
    <w:p w14:paraId="063E63F4" w14:textId="77777777" w:rsidR="00EA7B4F" w:rsidRPr="001B1852" w:rsidRDefault="00EA7B4F" w:rsidP="00EA7B4F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Cambria" w:eastAsia="Times New Roman" w:hAnsi="Cambria" w:cs="Times New Roman"/>
        </w:rPr>
      </w:pPr>
      <w:r w:rsidRPr="001B1852">
        <w:rPr>
          <w:rFonts w:ascii="Cambria" w:eastAsia="Times New Roman" w:hAnsi="Cambria" w:cs="Times New Roman"/>
        </w:rPr>
        <w:t>Decoupling and Rate Design expert witness testimony for a New England Gas LDC</w:t>
      </w:r>
    </w:p>
    <w:p w14:paraId="228D2DC8" w14:textId="77777777" w:rsidR="00EA7B4F" w:rsidRPr="001B1852" w:rsidRDefault="00EA7B4F" w:rsidP="00EA7B4F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Cambria" w:eastAsia="Times New Roman" w:hAnsi="Cambria" w:cs="Times New Roman"/>
        </w:rPr>
      </w:pPr>
      <w:r w:rsidRPr="001B1852">
        <w:rPr>
          <w:rFonts w:ascii="Cambria" w:eastAsia="Times New Roman" w:hAnsi="Cambria" w:cs="Times New Roman"/>
        </w:rPr>
        <w:t>Revenue Requirements witness for an electric distribution company</w:t>
      </w:r>
    </w:p>
    <w:p w14:paraId="1D221698" w14:textId="77777777" w:rsidR="00EA7B4F" w:rsidRPr="001B1852" w:rsidRDefault="00EA7B4F" w:rsidP="00EA7B4F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Cambria" w:eastAsia="Times New Roman" w:hAnsi="Cambria" w:cs="Times New Roman"/>
        </w:rPr>
      </w:pPr>
      <w:r w:rsidRPr="001B1852">
        <w:rPr>
          <w:rFonts w:ascii="Cambria" w:eastAsia="Times New Roman" w:hAnsi="Cambria" w:cs="Times New Roman"/>
        </w:rPr>
        <w:t>Regulatory rate strategies for a vertically integrated electric utility</w:t>
      </w:r>
    </w:p>
    <w:p w14:paraId="3FC97CE4" w14:textId="77777777" w:rsidR="00EA7B4F" w:rsidRPr="001B1852" w:rsidRDefault="00EA7B4F" w:rsidP="00EA7B4F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Cambria" w:eastAsia="Times New Roman" w:hAnsi="Cambria" w:cs="Times New Roman"/>
        </w:rPr>
      </w:pPr>
      <w:r w:rsidRPr="001B1852">
        <w:rPr>
          <w:rFonts w:ascii="Cambria" w:eastAsia="Times New Roman" w:hAnsi="Cambria" w:cs="Times New Roman"/>
        </w:rPr>
        <w:t>Testified on behalf of a New England gas LDC on the subjects of decoupling, capital trackers and rate design</w:t>
      </w:r>
    </w:p>
    <w:p w14:paraId="2FC90F18" w14:textId="77777777" w:rsidR="00EA7B4F" w:rsidRPr="001B1852" w:rsidRDefault="00EA7B4F" w:rsidP="00EA7B4F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Cambria" w:eastAsia="Times New Roman" w:hAnsi="Cambria" w:cs="Times New Roman"/>
        </w:rPr>
      </w:pPr>
      <w:r w:rsidRPr="001B1852">
        <w:rPr>
          <w:rFonts w:ascii="Cambria" w:eastAsia="Times New Roman" w:hAnsi="Cambria" w:cs="Times New Roman"/>
        </w:rPr>
        <w:t>Developed an Alternative Rate Plan for a New England gas LDC</w:t>
      </w:r>
    </w:p>
    <w:p w14:paraId="4F54E482" w14:textId="77777777" w:rsidR="00EA7B4F" w:rsidRPr="001B1852" w:rsidRDefault="00EA7B4F" w:rsidP="00EA7B4F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Cambria" w:eastAsia="Times New Roman" w:hAnsi="Cambria" w:cs="Times New Roman"/>
        </w:rPr>
      </w:pPr>
      <w:r w:rsidRPr="001B1852">
        <w:rPr>
          <w:rFonts w:ascii="Cambria" w:eastAsia="Times New Roman" w:hAnsi="Cambria" w:cs="Times New Roman"/>
        </w:rPr>
        <w:t>Rate comparison study for the Government of Alberta, Canada</w:t>
      </w:r>
    </w:p>
    <w:p w14:paraId="06CF326F" w14:textId="77777777" w:rsidR="00EA7B4F" w:rsidRPr="001B1852" w:rsidRDefault="00EA7B4F" w:rsidP="00EA7B4F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Cambria" w:eastAsia="Times New Roman" w:hAnsi="Cambria" w:cs="Times New Roman"/>
        </w:rPr>
      </w:pPr>
      <w:r w:rsidRPr="001B1852">
        <w:rPr>
          <w:rFonts w:ascii="Cambria" w:eastAsia="Times New Roman" w:hAnsi="Cambria" w:cs="Times New Roman"/>
        </w:rPr>
        <w:t xml:space="preserve">Established a cost of service-based pricing model for a 10MW fuel cell developer </w:t>
      </w:r>
    </w:p>
    <w:p w14:paraId="55CE92AE" w14:textId="77777777" w:rsidR="00EA7B4F" w:rsidRDefault="00EA7B4F" w:rsidP="00EA7B4F">
      <w:pPr>
        <w:pStyle w:val="ListParagraph"/>
        <w:numPr>
          <w:ilvl w:val="0"/>
          <w:numId w:val="1"/>
        </w:numPr>
        <w:spacing w:line="276" w:lineRule="auto"/>
        <w:contextualSpacing w:val="0"/>
        <w:jc w:val="both"/>
        <w:rPr>
          <w:rFonts w:ascii="Cambria" w:eastAsia="Times New Roman" w:hAnsi="Cambria" w:cs="Times New Roman"/>
        </w:rPr>
      </w:pPr>
      <w:r w:rsidRPr="001B1852">
        <w:rPr>
          <w:rFonts w:ascii="Cambria" w:eastAsia="Times New Roman" w:hAnsi="Cambria" w:cs="Times New Roman"/>
        </w:rPr>
        <w:lastRenderedPageBreak/>
        <w:t>Power procurement consultancy for a New England investor-owned water utility</w:t>
      </w:r>
    </w:p>
    <w:p w14:paraId="70DE0C8D" w14:textId="77777777" w:rsidR="00EA7B4F" w:rsidRDefault="00EA7B4F" w:rsidP="00EA7B4F">
      <w:pPr>
        <w:pStyle w:val="ListParagraph"/>
        <w:numPr>
          <w:ilvl w:val="0"/>
          <w:numId w:val="1"/>
        </w:numPr>
        <w:spacing w:line="276" w:lineRule="auto"/>
        <w:contextualSpacing w:val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Rates comparisons for U.S. electric and gas distribution utilities</w:t>
      </w:r>
    </w:p>
    <w:p w14:paraId="11947A48" w14:textId="77777777" w:rsidR="00EA7B4F" w:rsidRDefault="00EA7B4F" w:rsidP="00EA7B4F">
      <w:pPr>
        <w:pStyle w:val="ListParagraph"/>
        <w:numPr>
          <w:ilvl w:val="0"/>
          <w:numId w:val="1"/>
        </w:numPr>
        <w:spacing w:line="276" w:lineRule="auto"/>
        <w:contextualSpacing w:val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Revenue requirements and tariff review of a gas storage facility</w:t>
      </w:r>
    </w:p>
    <w:p w14:paraId="0823D5C8" w14:textId="77777777" w:rsidR="00EA7B4F" w:rsidRDefault="00EA7B4F" w:rsidP="00EA7B4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Rate consolidation analysis for gas and water distribution companies</w:t>
      </w:r>
    </w:p>
    <w:p w14:paraId="61CD00EB" w14:textId="77777777" w:rsidR="00EA7B4F" w:rsidRDefault="00EA7B4F" w:rsidP="00EA7B4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Renewable project financial evaluation</w:t>
      </w:r>
    </w:p>
    <w:p w14:paraId="10A9181B" w14:textId="77777777" w:rsidR="00EA7B4F" w:rsidRDefault="00EA7B4F" w:rsidP="00EA7B4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Review of natural gas company regulatory and operational performance in response to a commission Show Cause Order</w:t>
      </w:r>
    </w:p>
    <w:p w14:paraId="420E8A64" w14:textId="77777777" w:rsidR="00EA7B4F" w:rsidRDefault="00EA7B4F" w:rsidP="00EA7B4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Led an investigation of billing errors related to a municipal electric, gas, water, and refuse utility in support of a class action lawsuit investigation</w:t>
      </w:r>
    </w:p>
    <w:p w14:paraId="42DFFC37" w14:textId="77777777" w:rsidR="00EA7B4F" w:rsidRDefault="00EA7B4F" w:rsidP="00EA7B4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Assessed the impact of and strategy to comply with the Tax Cuts and Jobs Act (“TCJA”)</w:t>
      </w:r>
    </w:p>
    <w:p w14:paraId="25DB9450" w14:textId="77777777" w:rsidR="00EA7B4F" w:rsidRDefault="00EA7B4F" w:rsidP="00EA7B4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Reviewed and recommended changes to electric line extension policies</w:t>
      </w:r>
    </w:p>
    <w:p w14:paraId="73D57BBB" w14:textId="77777777" w:rsidR="00EA7B4F" w:rsidRDefault="00EA7B4F" w:rsidP="00EA7B4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Evaluated Renewable Natural Gas (“RNG”) investments as part of buy-side due diligence</w:t>
      </w:r>
    </w:p>
    <w:p w14:paraId="5FF89763" w14:textId="77777777" w:rsidR="00EA7B4F" w:rsidRDefault="00EA7B4F" w:rsidP="00EA7B4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Modeled alternative time of use (“TOU”) tariff structures in support of a utility customer’s evaluation of a large customer potential electric system bypass</w:t>
      </w:r>
    </w:p>
    <w:p w14:paraId="5ED4A4E1" w14:textId="77777777" w:rsidR="00EA7B4F" w:rsidRDefault="00EA7B4F" w:rsidP="00EA7B4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Provided regulatory assistance and strategy to a market broker in a state utility investigation of Consumer Choice Aggregation</w:t>
      </w:r>
    </w:p>
    <w:p w14:paraId="1EC62581" w14:textId="77777777" w:rsidR="00EA7B4F" w:rsidRDefault="00EA7B4F" w:rsidP="00EA7B4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Assisted in the development of a lead/lag study for a Southwestern electric utility</w:t>
      </w:r>
    </w:p>
    <w:p w14:paraId="32999091" w14:textId="77777777" w:rsidR="00EA7B4F" w:rsidRDefault="00EA7B4F" w:rsidP="00EA7B4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Part of a team that developed a multi-year rate plan regulatory strategy for a Mid-Atlantic natural gas utility</w:t>
      </w:r>
    </w:p>
    <w:p w14:paraId="484BE830" w14:textId="77777777" w:rsidR="00EA7B4F" w:rsidRDefault="00EA7B4F" w:rsidP="00EA7B4F">
      <w:pPr>
        <w:pStyle w:val="ListParagraph"/>
        <w:numPr>
          <w:ilvl w:val="0"/>
          <w:numId w:val="1"/>
        </w:numPr>
        <w:spacing w:line="276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Co-authored a RNG white paper for a Southern U.S. natural gas company</w:t>
      </w:r>
    </w:p>
    <w:p w14:paraId="2317474A" w14:textId="77777777" w:rsidR="00EA7B4F" w:rsidRDefault="00EA7B4F" w:rsidP="00EA7B4F">
      <w:pPr>
        <w:pStyle w:val="ListParagraph"/>
        <w:numPr>
          <w:ilvl w:val="0"/>
          <w:numId w:val="1"/>
        </w:numPr>
        <w:spacing w:line="276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Authored a report on behalf of a major U.S. interstate pipeline in support of an ongoing FERC settlement proceeding</w:t>
      </w:r>
    </w:p>
    <w:p w14:paraId="4F16B128" w14:textId="77777777" w:rsidR="00EA7B4F" w:rsidRDefault="00EA7B4F" w:rsidP="00EA7B4F">
      <w:pPr>
        <w:pStyle w:val="ListParagraph"/>
        <w:numPr>
          <w:ilvl w:val="0"/>
          <w:numId w:val="1"/>
        </w:numPr>
        <w:spacing w:line="276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Prepared extensive rate analyses in support of electric transmission and generation project development and acquisition</w:t>
      </w:r>
    </w:p>
    <w:p w14:paraId="34972C1D" w14:textId="77777777" w:rsidR="00EA7B4F" w:rsidRPr="00612272" w:rsidRDefault="00EA7B4F" w:rsidP="00EA7B4F">
      <w:pPr>
        <w:pStyle w:val="ListParagraph"/>
        <w:numPr>
          <w:ilvl w:val="0"/>
          <w:numId w:val="1"/>
        </w:numPr>
        <w:spacing w:line="276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Developed a rate design model, performed rate analysis, drafted position papers and data responses for an international electric utility</w:t>
      </w:r>
    </w:p>
    <w:p w14:paraId="2684338C" w14:textId="77777777" w:rsidR="00EA7B4F" w:rsidRDefault="00EA7B4F" w:rsidP="00EA7B4F">
      <w:pPr>
        <w:pStyle w:val="Subheading2"/>
        <w:spacing w:before="80" w:line="257" w:lineRule="auto"/>
        <w:jc w:val="left"/>
        <w:rPr>
          <w:sz w:val="20"/>
        </w:rPr>
      </w:pPr>
      <w:r>
        <w:rPr>
          <w:sz w:val="20"/>
        </w:rPr>
        <w:t>Regulatory Affairs</w:t>
      </w:r>
    </w:p>
    <w:p w14:paraId="38BA41A0" w14:textId="77777777" w:rsidR="00EA7B4F" w:rsidRPr="001B1852" w:rsidRDefault="00EA7B4F" w:rsidP="00EA7B4F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Cambria" w:eastAsia="Times New Roman" w:hAnsi="Cambria" w:cs="Times New Roman"/>
        </w:rPr>
      </w:pPr>
      <w:r w:rsidRPr="001B1852">
        <w:rPr>
          <w:rFonts w:ascii="Cambria" w:eastAsia="Times New Roman" w:hAnsi="Cambria" w:cs="Times New Roman"/>
        </w:rPr>
        <w:t>Led the preparation, filing, discovery and implementation of several rate cases</w:t>
      </w:r>
    </w:p>
    <w:p w14:paraId="5C7460B4" w14:textId="77777777" w:rsidR="00EA7B4F" w:rsidRPr="001B1852" w:rsidRDefault="00EA7B4F" w:rsidP="00EA7B4F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Cambria" w:eastAsia="Times New Roman" w:hAnsi="Cambria" w:cs="Times New Roman"/>
        </w:rPr>
      </w:pPr>
      <w:r w:rsidRPr="001B1852">
        <w:rPr>
          <w:rFonts w:ascii="Cambria" w:eastAsia="Times New Roman" w:hAnsi="Cambria" w:cs="Times New Roman"/>
        </w:rPr>
        <w:t>Designed rates and prepared testimony, and served as the primary rate design witness</w:t>
      </w:r>
    </w:p>
    <w:p w14:paraId="77AEC177" w14:textId="77777777" w:rsidR="00EA7B4F" w:rsidRPr="001B1852" w:rsidRDefault="00EA7B4F" w:rsidP="00EA7B4F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Cambria" w:eastAsia="Times New Roman" w:hAnsi="Cambria" w:cs="Times New Roman"/>
        </w:rPr>
      </w:pPr>
      <w:r w:rsidRPr="001B1852">
        <w:rPr>
          <w:rFonts w:ascii="Cambria" w:eastAsia="Times New Roman" w:hAnsi="Cambria" w:cs="Times New Roman"/>
        </w:rPr>
        <w:t>Prepared, testified, and implemented revenue requirement rate mechanisms for new customer growth and pipeline replacement programs</w:t>
      </w:r>
    </w:p>
    <w:p w14:paraId="0640D78A" w14:textId="77777777" w:rsidR="00EA7B4F" w:rsidRPr="001B1852" w:rsidRDefault="00EA7B4F" w:rsidP="00EA7B4F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Cambria" w:eastAsia="Times New Roman" w:hAnsi="Cambria" w:cs="Times New Roman"/>
        </w:rPr>
      </w:pPr>
      <w:r w:rsidRPr="001B1852">
        <w:rPr>
          <w:rFonts w:ascii="Cambria" w:eastAsia="Times New Roman" w:hAnsi="Cambria" w:cs="Times New Roman"/>
        </w:rPr>
        <w:t>Prepared gas Integrated Resource Plans</w:t>
      </w:r>
    </w:p>
    <w:p w14:paraId="00996C6E" w14:textId="77777777" w:rsidR="00EA7B4F" w:rsidRPr="001B1852" w:rsidRDefault="00EA7B4F" w:rsidP="00EA7B4F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Cambria" w:eastAsia="Times New Roman" w:hAnsi="Cambria" w:cs="Times New Roman"/>
        </w:rPr>
      </w:pPr>
      <w:r w:rsidRPr="001B1852">
        <w:rPr>
          <w:rFonts w:ascii="Cambria" w:eastAsia="Times New Roman" w:hAnsi="Cambria" w:cs="Times New Roman"/>
        </w:rPr>
        <w:t>Prepared assessment of forecast methodology and forecast accuracy of gas demands</w:t>
      </w:r>
    </w:p>
    <w:p w14:paraId="18E15A48" w14:textId="77777777" w:rsidR="00EA7B4F" w:rsidRPr="001B1852" w:rsidRDefault="00EA7B4F" w:rsidP="00EA7B4F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Cambria" w:eastAsia="Times New Roman" w:hAnsi="Cambria" w:cs="Times New Roman"/>
        </w:rPr>
      </w:pPr>
      <w:r w:rsidRPr="001B1852">
        <w:rPr>
          <w:rFonts w:ascii="Cambria" w:eastAsia="Times New Roman" w:hAnsi="Cambria" w:cs="Times New Roman"/>
        </w:rPr>
        <w:t>Prepared validation of sales forecast and analysis of declining use per customer</w:t>
      </w:r>
    </w:p>
    <w:p w14:paraId="185136FB" w14:textId="77777777" w:rsidR="00EA7B4F" w:rsidRPr="001B1852" w:rsidRDefault="00EA7B4F" w:rsidP="00EA7B4F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Cambria" w:eastAsia="Times New Roman" w:hAnsi="Cambria" w:cs="Times New Roman"/>
        </w:rPr>
      </w:pPr>
      <w:r w:rsidRPr="001B1852">
        <w:rPr>
          <w:rFonts w:ascii="Cambria" w:eastAsia="Times New Roman" w:hAnsi="Cambria" w:cs="Times New Roman"/>
        </w:rPr>
        <w:t>Proposed, testified, and implemented Connecticut’s first gas decoupling mechanism</w:t>
      </w:r>
    </w:p>
    <w:p w14:paraId="7EB6EA59" w14:textId="77777777" w:rsidR="00EA7B4F" w:rsidRPr="001B1852" w:rsidRDefault="00EA7B4F" w:rsidP="00EA7B4F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Cambria" w:eastAsia="Times New Roman" w:hAnsi="Cambria" w:cs="Times New Roman"/>
        </w:rPr>
      </w:pPr>
      <w:r w:rsidRPr="001B1852">
        <w:rPr>
          <w:rFonts w:ascii="Cambria" w:eastAsia="Times New Roman" w:hAnsi="Cambria" w:cs="Times New Roman"/>
        </w:rPr>
        <w:lastRenderedPageBreak/>
        <w:t>Key contributor in settlement negotiations for rate cases and other litigated regulatory matters, including the LDC gas expansion plan</w:t>
      </w:r>
    </w:p>
    <w:p w14:paraId="4A495281" w14:textId="77777777" w:rsidR="00EA7B4F" w:rsidRDefault="00EA7B4F" w:rsidP="00EA7B4F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Cambria" w:eastAsia="Times New Roman" w:hAnsi="Cambria" w:cs="Times New Roman"/>
        </w:rPr>
      </w:pPr>
      <w:r w:rsidRPr="001B1852">
        <w:rPr>
          <w:rFonts w:ascii="Cambria" w:eastAsia="Times New Roman" w:hAnsi="Cambria" w:cs="Times New Roman"/>
        </w:rPr>
        <w:t>Prepared testimony and exhibits for bi-annual Purchased Gas Adjustment proceedings</w:t>
      </w:r>
    </w:p>
    <w:p w14:paraId="79EEEBF6" w14:textId="77777777" w:rsidR="00EA7B4F" w:rsidRPr="001B1852" w:rsidRDefault="00EA7B4F" w:rsidP="00EA7B4F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Prepared biennial Gas LDC Demand and Supply filings</w:t>
      </w:r>
    </w:p>
    <w:p w14:paraId="5DDF390C" w14:textId="77777777" w:rsidR="00EA7B4F" w:rsidRDefault="00EA7B4F" w:rsidP="00EA7B4F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Cambria" w:eastAsia="Times New Roman" w:hAnsi="Cambria" w:cs="Times New Roman"/>
        </w:rPr>
      </w:pPr>
      <w:r w:rsidRPr="001B1852">
        <w:rPr>
          <w:rFonts w:ascii="Cambria" w:eastAsia="Times New Roman" w:hAnsi="Cambria" w:cs="Times New Roman"/>
        </w:rPr>
        <w:t>Prepared testimony and new program tariffs in support of gas unbundling</w:t>
      </w:r>
    </w:p>
    <w:p w14:paraId="579C64CA" w14:textId="77777777" w:rsidR="00EA7B4F" w:rsidRDefault="00EA7B4F" w:rsidP="00EA7B4F">
      <w:pPr>
        <w:pStyle w:val="Subheading2"/>
        <w:spacing w:before="80" w:line="257" w:lineRule="auto"/>
        <w:jc w:val="left"/>
        <w:rPr>
          <w:sz w:val="20"/>
        </w:rPr>
      </w:pPr>
      <w:r>
        <w:rPr>
          <w:sz w:val="20"/>
        </w:rPr>
        <w:t>Business Strategy and Operations</w:t>
      </w:r>
    </w:p>
    <w:p w14:paraId="25D374A6" w14:textId="77777777" w:rsidR="00EA7B4F" w:rsidRPr="001B1852" w:rsidRDefault="00EA7B4F" w:rsidP="00EA7B4F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Cambria" w:eastAsia="Times New Roman" w:hAnsi="Cambria" w:cs="Times New Roman"/>
        </w:rPr>
      </w:pPr>
      <w:r w:rsidRPr="001B1852">
        <w:rPr>
          <w:rFonts w:ascii="Cambria" w:eastAsia="Times New Roman" w:hAnsi="Cambria" w:cs="Times New Roman"/>
        </w:rPr>
        <w:t>Led a gas construction organization, leveraging project management practices to plan and execute a $100M annual capital budget</w:t>
      </w:r>
    </w:p>
    <w:p w14:paraId="3C2EC0EC" w14:textId="77777777" w:rsidR="00EA7B4F" w:rsidRPr="001B1852" w:rsidRDefault="00EA7B4F" w:rsidP="00EA7B4F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Cambria" w:eastAsia="Times New Roman" w:hAnsi="Cambria" w:cs="Times New Roman"/>
        </w:rPr>
      </w:pPr>
      <w:r w:rsidRPr="001B1852">
        <w:rPr>
          <w:rFonts w:ascii="Cambria" w:eastAsia="Times New Roman" w:hAnsi="Cambria" w:cs="Times New Roman"/>
        </w:rPr>
        <w:t>Responsible for RFP development and bid selection of five-year contracts of local, regional and national gas construction and restoration contractors representing approximately seventy work crews</w:t>
      </w:r>
    </w:p>
    <w:p w14:paraId="68ABF58C" w14:textId="77777777" w:rsidR="00EA7B4F" w:rsidRPr="001B1852" w:rsidRDefault="00EA7B4F" w:rsidP="00EA7B4F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Cambria" w:eastAsia="Times New Roman" w:hAnsi="Cambria" w:cs="Times New Roman"/>
        </w:rPr>
      </w:pPr>
      <w:r w:rsidRPr="001B1852">
        <w:rPr>
          <w:rFonts w:ascii="Cambria" w:eastAsia="Times New Roman" w:hAnsi="Cambria" w:cs="Times New Roman"/>
        </w:rPr>
        <w:t>Developed and implemented a tablet-based QA/QC inspection program</w:t>
      </w:r>
    </w:p>
    <w:p w14:paraId="27F7F791" w14:textId="77777777" w:rsidR="00EA7B4F" w:rsidRPr="001B1852" w:rsidRDefault="00EA7B4F" w:rsidP="00EA7B4F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Cambria" w:eastAsia="Times New Roman" w:hAnsi="Cambria" w:cs="Times New Roman"/>
        </w:rPr>
      </w:pPr>
      <w:r w:rsidRPr="001B1852">
        <w:rPr>
          <w:rFonts w:ascii="Cambria" w:eastAsia="Times New Roman" w:hAnsi="Cambria" w:cs="Times New Roman"/>
        </w:rPr>
        <w:t>Developed annual sales and revenue operating budgets</w:t>
      </w:r>
    </w:p>
    <w:p w14:paraId="6EE14B3E" w14:textId="77777777" w:rsidR="00EA7B4F" w:rsidRPr="001B1852" w:rsidRDefault="00EA7B4F" w:rsidP="00EA7B4F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Cambria" w:eastAsia="Times New Roman" w:hAnsi="Cambria" w:cs="Times New Roman"/>
        </w:rPr>
      </w:pPr>
      <w:r w:rsidRPr="001B1852">
        <w:rPr>
          <w:rFonts w:ascii="Cambria" w:eastAsia="Times New Roman" w:hAnsi="Cambria" w:cs="Times New Roman"/>
        </w:rPr>
        <w:t>Developed rate of return new customer acquisition model</w:t>
      </w:r>
    </w:p>
    <w:p w14:paraId="541073FF" w14:textId="77777777" w:rsidR="00EA7B4F" w:rsidRPr="001B1852" w:rsidRDefault="00EA7B4F" w:rsidP="00EA7B4F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Cambria" w:eastAsia="Times New Roman" w:hAnsi="Cambria" w:cs="Times New Roman"/>
        </w:rPr>
      </w:pPr>
      <w:r w:rsidRPr="001B1852">
        <w:rPr>
          <w:rFonts w:ascii="Cambria" w:eastAsia="Times New Roman" w:hAnsi="Cambria" w:cs="Times New Roman"/>
        </w:rPr>
        <w:t>Guided several process improvement teams</w:t>
      </w:r>
    </w:p>
    <w:p w14:paraId="163EDBD3" w14:textId="77777777" w:rsidR="00EA7B4F" w:rsidRPr="00D43C2E" w:rsidRDefault="00EA7B4F" w:rsidP="00EA7B4F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Cambria" w:eastAsia="Times New Roman" w:hAnsi="Cambria" w:cs="Times New Roman"/>
        </w:rPr>
      </w:pPr>
      <w:r w:rsidRPr="001B1852">
        <w:rPr>
          <w:rFonts w:ascii="Cambria" w:eastAsia="Times New Roman" w:hAnsi="Cambria" w:cs="Times New Roman"/>
        </w:rPr>
        <w:t>Successfully negotiated contracts with large cogeneration users avoiding system bypass and obtaining regulatory approval</w:t>
      </w:r>
    </w:p>
    <w:p w14:paraId="0483ED7F" w14:textId="77777777" w:rsidR="00EA7B4F" w:rsidRDefault="00EA7B4F" w:rsidP="00EA7B4F">
      <w:pPr>
        <w:pStyle w:val="Subheading1"/>
        <w:spacing w:before="360" w:line="257" w:lineRule="auto"/>
        <w:rPr>
          <w:caps/>
        </w:rPr>
      </w:pPr>
      <w:r w:rsidRPr="00AE2616">
        <w:rPr>
          <w:caps/>
        </w:rPr>
        <w:t>Professional History</w:t>
      </w:r>
    </w:p>
    <w:p w14:paraId="543ACB52" w14:textId="77777777" w:rsidR="00EA7B4F" w:rsidRDefault="00EA7B4F" w:rsidP="00EA7B4F">
      <w:pPr>
        <w:keepNext/>
        <w:spacing w:line="276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Concentric Energy Advisors, Inc. (2016 – Present)</w:t>
      </w:r>
    </w:p>
    <w:p w14:paraId="6E96ECBE" w14:textId="77777777" w:rsidR="00EA7B4F" w:rsidRDefault="00EA7B4F" w:rsidP="00EA7B4F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Vice President (2022-Present)</w:t>
      </w:r>
    </w:p>
    <w:p w14:paraId="2F051AB4" w14:textId="77777777" w:rsidR="00EA7B4F" w:rsidRPr="00612272" w:rsidRDefault="00EA7B4F" w:rsidP="00EA7B4F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Assistant Vice President (2016-2021)</w:t>
      </w:r>
    </w:p>
    <w:p w14:paraId="71DE3199" w14:textId="77777777" w:rsidR="00EA7B4F" w:rsidRDefault="00EA7B4F" w:rsidP="00EA7B4F">
      <w:pPr>
        <w:keepNext/>
        <w:spacing w:line="276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AVANGRID and affiliated companies (2016)</w:t>
      </w:r>
    </w:p>
    <w:p w14:paraId="74219BFC" w14:textId="77777777" w:rsidR="00EA7B4F" w:rsidRDefault="00EA7B4F" w:rsidP="00EA7B4F">
      <w:pPr>
        <w:keepNext/>
        <w:spacing w:line="276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Connecticut Natural Gas and The Southern Connecticut Gas Company (2014 – 2016)</w:t>
      </w:r>
    </w:p>
    <w:p w14:paraId="486A17D8" w14:textId="77777777" w:rsidR="00EA7B4F" w:rsidRPr="00612272" w:rsidRDefault="00EA7B4F" w:rsidP="00EA7B4F">
      <w:pPr>
        <w:spacing w:after="120" w:line="276" w:lineRule="auto"/>
        <w:rPr>
          <w:rFonts w:ascii="Cambria" w:hAnsi="Cambria"/>
        </w:rPr>
      </w:pPr>
      <w:r>
        <w:rPr>
          <w:rFonts w:ascii="Cambria" w:hAnsi="Cambria"/>
        </w:rPr>
        <w:t>Director, Gas Construction</w:t>
      </w:r>
    </w:p>
    <w:p w14:paraId="292198B4" w14:textId="77777777" w:rsidR="00EA7B4F" w:rsidRDefault="00EA7B4F" w:rsidP="00EA7B4F">
      <w:pPr>
        <w:keepNext/>
        <w:spacing w:line="276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UIL Holdings, Inc. (2010 – 2014)</w:t>
      </w:r>
    </w:p>
    <w:p w14:paraId="08EC0610" w14:textId="77777777" w:rsidR="00EA7B4F" w:rsidRDefault="00EA7B4F" w:rsidP="00EA7B4F">
      <w:pPr>
        <w:spacing w:after="120" w:line="276" w:lineRule="auto"/>
        <w:rPr>
          <w:rFonts w:ascii="Cambria" w:hAnsi="Cambria"/>
        </w:rPr>
      </w:pPr>
      <w:r>
        <w:rPr>
          <w:rFonts w:ascii="Cambria" w:hAnsi="Cambria"/>
        </w:rPr>
        <w:t>Director, Regulatory &amp; Tariffs</w:t>
      </w:r>
    </w:p>
    <w:p w14:paraId="61B15107" w14:textId="77777777" w:rsidR="00EA7B4F" w:rsidRDefault="00EA7B4F" w:rsidP="00EA7B4F">
      <w:pPr>
        <w:keepNext/>
        <w:spacing w:line="276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Iberdrola S.A. / Energy East Corporation / Connecticut Natural Gas and The Southern Connecticut Gas Company (2001 – 2010)</w:t>
      </w:r>
    </w:p>
    <w:p w14:paraId="6A7E62BD" w14:textId="77777777" w:rsidR="00EA7B4F" w:rsidRPr="00612272" w:rsidRDefault="00EA7B4F" w:rsidP="00EA7B4F">
      <w:pPr>
        <w:spacing w:after="120" w:line="276" w:lineRule="auto"/>
        <w:rPr>
          <w:rFonts w:ascii="Cambria" w:hAnsi="Cambria"/>
        </w:rPr>
      </w:pPr>
      <w:r>
        <w:rPr>
          <w:rFonts w:ascii="Cambria" w:hAnsi="Cambria"/>
        </w:rPr>
        <w:t>Director, Regulatory &amp; Pricing / Director, Pricing &amp; Analysis</w:t>
      </w:r>
    </w:p>
    <w:p w14:paraId="0D9EEDC4" w14:textId="77777777" w:rsidR="00EA7B4F" w:rsidRDefault="00EA7B4F" w:rsidP="00EA7B4F">
      <w:pPr>
        <w:keepNext/>
        <w:spacing w:line="276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Connecticut Natural Gas Corporation (1997 – 2001)</w:t>
      </w:r>
    </w:p>
    <w:p w14:paraId="25142A68" w14:textId="77777777" w:rsidR="00EA7B4F" w:rsidRDefault="00EA7B4F" w:rsidP="00EA7B4F">
      <w:pPr>
        <w:spacing w:after="120" w:line="276" w:lineRule="auto"/>
        <w:rPr>
          <w:rFonts w:ascii="Cambria" w:hAnsi="Cambria"/>
        </w:rPr>
      </w:pPr>
      <w:r>
        <w:rPr>
          <w:rFonts w:ascii="Cambria" w:hAnsi="Cambria"/>
        </w:rPr>
        <w:t>Manager, Pricing</w:t>
      </w:r>
    </w:p>
    <w:p w14:paraId="11ABA616" w14:textId="77777777" w:rsidR="00EA7B4F" w:rsidRDefault="00EA7B4F" w:rsidP="00EA7B4F">
      <w:pPr>
        <w:keepNext/>
        <w:spacing w:line="276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>United Technologies, Inc. – Pratt &amp; Whitney</w:t>
      </w:r>
      <w:r>
        <w:rPr>
          <w:rFonts w:ascii="Cambria" w:hAnsi="Cambria"/>
          <w:b/>
          <w:bCs/>
        </w:rPr>
        <w:br/>
        <w:t>Turbo Power &amp; Marine Systems (1996 – 1997)</w:t>
      </w:r>
    </w:p>
    <w:p w14:paraId="010F465B" w14:textId="77777777" w:rsidR="00EA7B4F" w:rsidRPr="00612272" w:rsidRDefault="00EA7B4F" w:rsidP="00EA7B4F">
      <w:pPr>
        <w:spacing w:after="120" w:line="276" w:lineRule="auto"/>
        <w:rPr>
          <w:rFonts w:ascii="Cambria" w:hAnsi="Cambria"/>
        </w:rPr>
      </w:pPr>
      <w:r>
        <w:rPr>
          <w:rFonts w:ascii="Cambria" w:hAnsi="Cambria"/>
        </w:rPr>
        <w:t>Manager, Financial Planning &amp; Analysis</w:t>
      </w:r>
    </w:p>
    <w:p w14:paraId="420AB28D" w14:textId="77777777" w:rsidR="00EA7B4F" w:rsidRDefault="00EA7B4F" w:rsidP="00EA7B4F">
      <w:pPr>
        <w:keepNext/>
        <w:spacing w:line="276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Pratt &amp; Whitney Aircraft</w:t>
      </w:r>
    </w:p>
    <w:p w14:paraId="2F70AC7B" w14:textId="77777777" w:rsidR="00EA7B4F" w:rsidRDefault="00EA7B4F" w:rsidP="00EA7B4F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Business Unit Cell Leader, Overhaul &amp; Repair / Manufacturing – turbine airfoils (1994 – 1996)</w:t>
      </w:r>
    </w:p>
    <w:p w14:paraId="1095C726" w14:textId="77777777" w:rsidR="00EA7B4F" w:rsidRPr="00612272" w:rsidRDefault="00EA7B4F" w:rsidP="00EA7B4F">
      <w:pPr>
        <w:spacing w:after="120" w:line="276" w:lineRule="auto"/>
        <w:rPr>
          <w:rFonts w:ascii="Cambria" w:hAnsi="Cambria"/>
        </w:rPr>
      </w:pPr>
      <w:r>
        <w:rPr>
          <w:rFonts w:ascii="Cambria" w:hAnsi="Cambria"/>
        </w:rPr>
        <w:t>Financial Analyst, Commercial Engine Business (1987 – 1994)</w:t>
      </w:r>
    </w:p>
    <w:p w14:paraId="5D05B5D3" w14:textId="77777777" w:rsidR="00EA7B4F" w:rsidRPr="001B7B53" w:rsidRDefault="00EA7B4F" w:rsidP="00EA7B4F">
      <w:pPr>
        <w:pStyle w:val="Subheading1"/>
        <w:spacing w:before="360" w:line="257" w:lineRule="auto"/>
        <w:rPr>
          <w:caps/>
        </w:rPr>
      </w:pPr>
      <w:r w:rsidRPr="00AE2616">
        <w:rPr>
          <w:caps/>
        </w:rPr>
        <w:t>Education</w:t>
      </w:r>
    </w:p>
    <w:p w14:paraId="3F1D4242" w14:textId="77777777" w:rsidR="00EA7B4F" w:rsidRPr="00F86A7F" w:rsidRDefault="00EA7B4F" w:rsidP="00EA7B4F">
      <w:pPr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University of Connecticut</w:t>
      </w:r>
    </w:p>
    <w:p w14:paraId="6083B950" w14:textId="77777777" w:rsidR="00EA7B4F" w:rsidRPr="00F86A7F" w:rsidRDefault="00EA7B4F" w:rsidP="00EA7B4F">
      <w:pPr>
        <w:spacing w:after="12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M.B.A., Concentration in Finance, 1993</w:t>
      </w:r>
    </w:p>
    <w:p w14:paraId="38691C03" w14:textId="77777777" w:rsidR="00EA7B4F" w:rsidRPr="00F86A7F" w:rsidRDefault="00EA7B4F" w:rsidP="00EA7B4F">
      <w:pPr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Bryant University (College)</w:t>
      </w:r>
    </w:p>
    <w:p w14:paraId="336472C9" w14:textId="77777777" w:rsidR="00EA7B4F" w:rsidRPr="00F86A7F" w:rsidRDefault="00EA7B4F" w:rsidP="00EA7B4F">
      <w:pPr>
        <w:spacing w:after="12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B.S., Finance, 1987</w:t>
      </w:r>
    </w:p>
    <w:p w14:paraId="2F945EBD" w14:textId="77777777" w:rsidR="00EA7B4F" w:rsidRDefault="00EA7B4F" w:rsidP="00EA7B4F">
      <w:pPr>
        <w:pStyle w:val="Subheading1"/>
        <w:spacing w:before="360" w:line="257" w:lineRule="auto"/>
        <w:rPr>
          <w:caps/>
        </w:rPr>
      </w:pPr>
      <w:r w:rsidRPr="00AE2616">
        <w:rPr>
          <w:caps/>
        </w:rPr>
        <w:t xml:space="preserve">PROFESSIONAL </w:t>
      </w:r>
      <w:r>
        <w:rPr>
          <w:caps/>
        </w:rPr>
        <w:t>Affiliations</w:t>
      </w:r>
    </w:p>
    <w:p w14:paraId="6A034AB4" w14:textId="77777777" w:rsidR="00EA7B4F" w:rsidRDefault="00EA7B4F" w:rsidP="00EA7B4F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American Gas Association</w:t>
      </w:r>
      <w:r>
        <w:rPr>
          <w:rFonts w:ascii="Cambria" w:hAnsi="Cambria"/>
        </w:rPr>
        <w:br/>
        <w:t>Guild of Gas Managers</w:t>
      </w:r>
    </w:p>
    <w:p w14:paraId="1B55D7A0" w14:textId="77777777" w:rsidR="00EA7B4F" w:rsidRPr="00612272" w:rsidRDefault="00EA7B4F" w:rsidP="00EA7B4F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Northeast Gas Association</w:t>
      </w:r>
    </w:p>
    <w:p w14:paraId="473DCEBF" w14:textId="77777777" w:rsidR="00EA7B4F" w:rsidRPr="00612272" w:rsidRDefault="00EA7B4F" w:rsidP="00EA7B4F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Project Management Institute</w:t>
      </w:r>
    </w:p>
    <w:p w14:paraId="29314304" w14:textId="77777777" w:rsidR="00EA7B4F" w:rsidRDefault="00EA7B4F" w:rsidP="00EA7B4F">
      <w:pPr>
        <w:pStyle w:val="Subheading1"/>
        <w:spacing w:before="360" w:line="257" w:lineRule="auto"/>
        <w:rPr>
          <w:caps/>
        </w:rPr>
      </w:pPr>
      <w:r>
        <w:rPr>
          <w:caps/>
        </w:rPr>
        <w:t>certifications</w:t>
      </w:r>
    </w:p>
    <w:p w14:paraId="61E4AAD2" w14:textId="77777777" w:rsidR="00EA7B4F" w:rsidRPr="00612272" w:rsidRDefault="00EA7B4F" w:rsidP="00EA7B4F">
      <w:pPr>
        <w:spacing w:after="120" w:line="276" w:lineRule="auto"/>
        <w:rPr>
          <w:rFonts w:ascii="Cambria" w:hAnsi="Cambria"/>
        </w:rPr>
      </w:pPr>
      <w:r>
        <w:rPr>
          <w:rFonts w:ascii="Cambria" w:hAnsi="Cambria"/>
        </w:rPr>
        <w:t>Certified Project Management Professional (PMP)</w:t>
      </w:r>
    </w:p>
    <w:p w14:paraId="1C7A273D" w14:textId="77777777" w:rsidR="00EA7B4F" w:rsidRDefault="00EA7B4F" w:rsidP="00EA7B4F">
      <w:pPr>
        <w:pStyle w:val="Subheading1"/>
        <w:spacing w:before="360" w:line="257" w:lineRule="auto"/>
        <w:rPr>
          <w:caps/>
        </w:rPr>
      </w:pPr>
      <w:r>
        <w:rPr>
          <w:caps/>
        </w:rPr>
        <w:t>Leadership</w:t>
      </w:r>
    </w:p>
    <w:p w14:paraId="154006AF" w14:textId="77777777" w:rsidR="00EA7B4F" w:rsidRPr="00F86A7F" w:rsidRDefault="00EA7B4F" w:rsidP="00EA7B4F">
      <w:pPr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Connecticut Economic Resource Center (CERC)</w:t>
      </w:r>
    </w:p>
    <w:p w14:paraId="544D31E7" w14:textId="77777777" w:rsidR="00EA7B4F" w:rsidRDefault="00EA7B4F" w:rsidP="00EA7B4F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Member, Board of Directors 2008 – 2011</w:t>
      </w:r>
    </w:p>
    <w:p w14:paraId="30804BF4" w14:textId="77777777" w:rsidR="00EA7B4F" w:rsidRPr="00F86A7F" w:rsidRDefault="00EA7B4F" w:rsidP="00EA7B4F">
      <w:pPr>
        <w:spacing w:after="12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Treasurer, 2011 – 2016</w:t>
      </w:r>
    </w:p>
    <w:p w14:paraId="44EE8BBC" w14:textId="77777777" w:rsidR="00EA7B4F" w:rsidRPr="00F86A7F" w:rsidRDefault="00EA7B4F" w:rsidP="00EA7B4F">
      <w:pPr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Connecticut Power and Energy Society (CPES)</w:t>
      </w:r>
    </w:p>
    <w:p w14:paraId="0E7378B3" w14:textId="77777777" w:rsidR="00EA7B4F" w:rsidRPr="00A3598E" w:rsidRDefault="00EA7B4F" w:rsidP="00EA7B4F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Treasurer and Director 2022 - present</w:t>
      </w:r>
    </w:p>
    <w:p w14:paraId="7EEA36DA" w14:textId="77777777" w:rsidR="00EA7B4F" w:rsidRDefault="00EA7B4F" w:rsidP="00EA7B4F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Secretary and Director  2018 – 2022</w:t>
      </w:r>
    </w:p>
    <w:p w14:paraId="7A474280" w14:textId="77777777" w:rsidR="00EA7B4F" w:rsidRDefault="00EA7B4F" w:rsidP="00EA7B4F">
      <w:pPr>
        <w:spacing w:after="120" w:line="276" w:lineRule="auto"/>
        <w:rPr>
          <w:rFonts w:ascii="Cambria" w:hAnsi="Cambria"/>
        </w:rPr>
      </w:pPr>
      <w:r>
        <w:rPr>
          <w:rFonts w:ascii="Cambria" w:hAnsi="Cambria"/>
        </w:rPr>
        <w:t>Member, Board of Directors 2017 – 2018</w:t>
      </w:r>
    </w:p>
    <w:p w14:paraId="1ACF2BB4" w14:textId="77777777" w:rsidR="00EA7B4F" w:rsidRDefault="00EA7B4F" w:rsidP="00EA7B4F">
      <w:pPr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AGA Executive Leadership Development Program – 2012</w:t>
      </w:r>
    </w:p>
    <w:p w14:paraId="18CC4DF8" w14:textId="77777777" w:rsidR="00EA7B4F" w:rsidRPr="006026F5" w:rsidRDefault="00EA7B4F" w:rsidP="00EA7B4F">
      <w:pPr>
        <w:spacing w:line="276" w:lineRule="auto"/>
        <w:jc w:val="both"/>
        <w:rPr>
          <w:rFonts w:ascii="Cambria" w:hAnsi="Cambria"/>
          <w:b/>
        </w:rPr>
        <w:sectPr w:rsidR="00EA7B4F" w:rsidRPr="006026F5" w:rsidSect="008E707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872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tbl>
      <w:tblPr>
        <w:tblW w:w="9450" w:type="dxa"/>
        <w:tblBorders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070"/>
        <w:gridCol w:w="990"/>
        <w:gridCol w:w="2340"/>
        <w:gridCol w:w="1350"/>
        <w:gridCol w:w="2700"/>
      </w:tblGrid>
      <w:tr w:rsidR="00EA7B4F" w:rsidRPr="00437FC8" w14:paraId="61522573" w14:textId="77777777" w:rsidTr="00EE5431">
        <w:trPr>
          <w:cantSplit/>
          <w:tblHeader/>
        </w:trPr>
        <w:tc>
          <w:tcPr>
            <w:tcW w:w="20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D7D1B2" w14:textId="77777777" w:rsidR="00EA7B4F" w:rsidRPr="00437FC8" w:rsidRDefault="00EA7B4F" w:rsidP="00EE5431">
            <w:pPr>
              <w:spacing w:line="276" w:lineRule="auto"/>
              <w:rPr>
                <w:rFonts w:ascii="Century Gothic" w:eastAsia="Calibri" w:hAnsi="Century Gothic"/>
                <w:b/>
                <w:smallCaps/>
                <w:color w:val="400000"/>
                <w:sz w:val="20"/>
              </w:rPr>
            </w:pPr>
            <w:bookmarkStart w:id="3" w:name="_Hlk25309874"/>
            <w:bookmarkEnd w:id="0"/>
            <w:bookmarkEnd w:id="1"/>
            <w:bookmarkEnd w:id="2"/>
            <w:r w:rsidRPr="00437FC8">
              <w:rPr>
                <w:rFonts w:ascii="Century Gothic" w:eastAsia="Calibri" w:hAnsi="Century Gothic"/>
                <w:b/>
                <w:smallCaps/>
                <w:color w:val="400000"/>
                <w:sz w:val="20"/>
              </w:rPr>
              <w:lastRenderedPageBreak/>
              <w:t>SPONSOR</w:t>
            </w:r>
          </w:p>
        </w:tc>
        <w:tc>
          <w:tcPr>
            <w:tcW w:w="99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94991F" w14:textId="77777777" w:rsidR="00EA7B4F" w:rsidRPr="00437FC8" w:rsidRDefault="00EA7B4F" w:rsidP="00EE5431">
            <w:pPr>
              <w:spacing w:line="276" w:lineRule="auto"/>
              <w:rPr>
                <w:rFonts w:ascii="Century Gothic" w:eastAsia="Calibri" w:hAnsi="Century Gothic"/>
                <w:b/>
                <w:smallCaps/>
                <w:color w:val="400000"/>
                <w:sz w:val="20"/>
              </w:rPr>
            </w:pPr>
            <w:r w:rsidRPr="00437FC8">
              <w:rPr>
                <w:rFonts w:ascii="Century Gothic" w:eastAsia="Calibri" w:hAnsi="Century Gothic"/>
                <w:b/>
                <w:smallCaps/>
                <w:color w:val="400000"/>
                <w:sz w:val="20"/>
              </w:rPr>
              <w:t>DATE</w:t>
            </w:r>
          </w:p>
        </w:tc>
        <w:tc>
          <w:tcPr>
            <w:tcW w:w="23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C2ECB0" w14:textId="77777777" w:rsidR="00EA7B4F" w:rsidRPr="00437FC8" w:rsidRDefault="00EA7B4F" w:rsidP="00EE5431">
            <w:pPr>
              <w:spacing w:line="276" w:lineRule="auto"/>
              <w:rPr>
                <w:rFonts w:ascii="Century Gothic" w:eastAsia="Calibri" w:hAnsi="Century Gothic"/>
                <w:b/>
                <w:smallCaps/>
                <w:color w:val="400000"/>
                <w:sz w:val="20"/>
              </w:rPr>
            </w:pPr>
            <w:r w:rsidRPr="00437FC8">
              <w:rPr>
                <w:rFonts w:ascii="Century Gothic" w:eastAsia="Calibri" w:hAnsi="Century Gothic"/>
                <w:b/>
                <w:smallCaps/>
                <w:color w:val="400000"/>
                <w:sz w:val="20"/>
              </w:rPr>
              <w:t>CASE/APPLICANT</w:t>
            </w:r>
          </w:p>
        </w:tc>
        <w:tc>
          <w:tcPr>
            <w:tcW w:w="135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FEFF25" w14:textId="77777777" w:rsidR="00EA7B4F" w:rsidRPr="00437FC8" w:rsidRDefault="00EA7B4F" w:rsidP="00EE5431">
            <w:pPr>
              <w:spacing w:line="276" w:lineRule="auto"/>
              <w:rPr>
                <w:rFonts w:ascii="Century Gothic" w:eastAsia="Calibri" w:hAnsi="Century Gothic"/>
                <w:b/>
                <w:smallCaps/>
                <w:color w:val="400000"/>
                <w:sz w:val="20"/>
              </w:rPr>
            </w:pPr>
            <w:r w:rsidRPr="00437FC8">
              <w:rPr>
                <w:rFonts w:ascii="Century Gothic" w:eastAsia="Calibri" w:hAnsi="Century Gothic"/>
                <w:b/>
                <w:smallCaps/>
                <w:color w:val="400000"/>
                <w:sz w:val="20"/>
              </w:rPr>
              <w:t>DOCKET /CASE NO.</w:t>
            </w: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8EF4CD" w14:textId="77777777" w:rsidR="00EA7B4F" w:rsidRPr="00437FC8" w:rsidRDefault="00EA7B4F" w:rsidP="00EE5431">
            <w:pPr>
              <w:spacing w:line="276" w:lineRule="auto"/>
              <w:rPr>
                <w:rFonts w:ascii="Century Gothic" w:eastAsia="Calibri" w:hAnsi="Century Gothic"/>
                <w:b/>
                <w:smallCaps/>
                <w:color w:val="400000"/>
                <w:sz w:val="20"/>
              </w:rPr>
            </w:pPr>
            <w:r w:rsidRPr="00437FC8">
              <w:rPr>
                <w:rFonts w:ascii="Century Gothic" w:eastAsia="Calibri" w:hAnsi="Century Gothic"/>
                <w:b/>
                <w:smallCaps/>
                <w:color w:val="400000"/>
                <w:sz w:val="20"/>
              </w:rPr>
              <w:t>SUBJECT</w:t>
            </w:r>
          </w:p>
        </w:tc>
      </w:tr>
      <w:tr w:rsidR="00EA7B4F" w:rsidRPr="00437FC8" w14:paraId="1B47304A" w14:textId="77777777" w:rsidTr="00EE5431">
        <w:trPr>
          <w:cantSplit/>
          <w:trHeight w:val="20"/>
        </w:trPr>
        <w:tc>
          <w:tcPr>
            <w:tcW w:w="9450" w:type="dxa"/>
            <w:gridSpan w:val="5"/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73A9D6" w14:textId="77777777" w:rsidR="00EA7B4F" w:rsidRPr="00437FC8" w:rsidRDefault="00EA7B4F" w:rsidP="00EE5431">
            <w:pPr>
              <w:spacing w:line="276" w:lineRule="auto"/>
              <w:rPr>
                <w:rFonts w:ascii="Cambria" w:eastAsia="Calibri" w:hAnsi="Cambria"/>
                <w:b/>
                <w:color w:val="400000"/>
                <w:sz w:val="20"/>
              </w:rPr>
            </w:pPr>
            <w:r w:rsidRPr="00437FC8">
              <w:rPr>
                <w:rFonts w:ascii="Cambria" w:eastAsia="Calibri" w:hAnsi="Cambria"/>
                <w:b/>
                <w:color w:val="400000"/>
                <w:sz w:val="20"/>
              </w:rPr>
              <w:t>Connecticut Public Utilities Regulatory Authority</w:t>
            </w:r>
          </w:p>
        </w:tc>
      </w:tr>
      <w:tr w:rsidR="00EA7B4F" w:rsidRPr="00437FC8" w14:paraId="28BC743A" w14:textId="77777777" w:rsidTr="00EE5431">
        <w:trPr>
          <w:cantSplit/>
        </w:trPr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144D8B" w14:textId="77777777" w:rsidR="00EA7B4F" w:rsidRPr="00BD2126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>
              <w:rPr>
                <w:rFonts w:ascii="Cambria" w:eastAsia="Calibri" w:hAnsi="Cambria"/>
                <w:sz w:val="20"/>
              </w:rPr>
              <w:t>United Illuminating Company</w:t>
            </w:r>
          </w:p>
        </w:tc>
        <w:tc>
          <w:tcPr>
            <w:tcW w:w="99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EF8BFC" w14:textId="77777777" w:rsidR="00EA7B4F" w:rsidRPr="00BD2126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>
              <w:rPr>
                <w:rFonts w:ascii="Cambria" w:eastAsia="Calibri" w:hAnsi="Cambria"/>
                <w:sz w:val="20"/>
              </w:rPr>
              <w:t>2023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DA2F1E" w14:textId="77777777" w:rsidR="00EA7B4F" w:rsidRPr="00BD2126" w:rsidRDefault="00EA7B4F" w:rsidP="00EE5431">
            <w:pPr>
              <w:adjustRightInd w:val="0"/>
              <w:spacing w:line="276" w:lineRule="auto"/>
              <w:rPr>
                <w:rFonts w:ascii="Cambria" w:hAnsi="Cambria"/>
                <w:sz w:val="18"/>
              </w:rPr>
            </w:pPr>
            <w:r>
              <w:rPr>
                <w:rFonts w:ascii="Cambria" w:eastAsia="Calibri" w:hAnsi="Cambria"/>
                <w:sz w:val="20"/>
              </w:rPr>
              <w:t>United Illuminating Company Application for a rate increase</w:t>
            </w:r>
          </w:p>
        </w:tc>
        <w:tc>
          <w:tcPr>
            <w:tcW w:w="135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4E734E" w14:textId="77777777" w:rsidR="00EA7B4F" w:rsidRPr="00BD2126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>
              <w:rPr>
                <w:rFonts w:ascii="Cambria" w:eastAsia="Calibri" w:hAnsi="Cambria"/>
                <w:sz w:val="20"/>
              </w:rPr>
              <w:t>Docket No. 22-08-08</w:t>
            </w:r>
          </w:p>
        </w:tc>
        <w:tc>
          <w:tcPr>
            <w:tcW w:w="270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3AA5645" w14:textId="77777777" w:rsidR="00EA7B4F" w:rsidRPr="00BD2126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>
              <w:rPr>
                <w:rFonts w:ascii="Cambria" w:eastAsia="Calibri" w:hAnsi="Cambria"/>
                <w:sz w:val="20"/>
              </w:rPr>
              <w:t>Rate design, Economic Development rate</w:t>
            </w:r>
          </w:p>
        </w:tc>
      </w:tr>
      <w:tr w:rsidR="00EA7B4F" w:rsidRPr="00437FC8" w14:paraId="619FA7DE" w14:textId="77777777" w:rsidTr="00EE5431">
        <w:trPr>
          <w:cantSplit/>
        </w:trPr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0C3A2C5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BD2126">
              <w:rPr>
                <w:rFonts w:ascii="Cambria" w:eastAsia="Calibri" w:hAnsi="Cambria"/>
                <w:sz w:val="20"/>
              </w:rPr>
              <w:t>NuPower, LLC</w:t>
            </w:r>
          </w:p>
        </w:tc>
        <w:tc>
          <w:tcPr>
            <w:tcW w:w="99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484744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BD2126">
              <w:rPr>
                <w:rFonts w:ascii="Cambria" w:eastAsia="Calibri" w:hAnsi="Cambria"/>
                <w:sz w:val="20"/>
              </w:rPr>
              <w:t>20</w:t>
            </w:r>
            <w:r>
              <w:rPr>
                <w:rFonts w:ascii="Cambria" w:eastAsia="Calibri" w:hAnsi="Cambria"/>
                <w:sz w:val="20"/>
              </w:rPr>
              <w:t>22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E2E488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BD2126">
              <w:rPr>
                <w:rFonts w:ascii="Cambria" w:hAnsi="Cambria"/>
                <w:sz w:val="18"/>
              </w:rPr>
              <w:t xml:space="preserve">PURA – review of combined heat and power projection solicitation. </w:t>
            </w:r>
          </w:p>
        </w:tc>
        <w:tc>
          <w:tcPr>
            <w:tcW w:w="135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65ED4E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BD2126">
              <w:rPr>
                <w:rFonts w:ascii="Cambria" w:eastAsia="Calibri" w:hAnsi="Cambria"/>
                <w:sz w:val="20"/>
              </w:rPr>
              <w:t>Docket No. 18-08-14</w:t>
            </w:r>
            <w:r>
              <w:rPr>
                <w:rFonts w:ascii="Cambria" w:eastAsia="Calibri" w:hAnsi="Cambria"/>
                <w:sz w:val="20"/>
              </w:rPr>
              <w:t>RE01</w:t>
            </w:r>
          </w:p>
        </w:tc>
        <w:tc>
          <w:tcPr>
            <w:tcW w:w="270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34D9024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BD2126">
              <w:rPr>
                <w:rFonts w:ascii="Cambria" w:eastAsia="Calibri" w:hAnsi="Cambria"/>
                <w:sz w:val="20"/>
              </w:rPr>
              <w:t>Cost of Service analysis for a regulated fuel cell project</w:t>
            </w:r>
            <w:r>
              <w:rPr>
                <w:rFonts w:ascii="Cambria" w:eastAsia="Calibri" w:hAnsi="Cambria"/>
                <w:sz w:val="20"/>
              </w:rPr>
              <w:t>, as amended</w:t>
            </w:r>
          </w:p>
        </w:tc>
      </w:tr>
      <w:tr w:rsidR="00EA7B4F" w:rsidRPr="00437FC8" w14:paraId="64E52A64" w14:textId="77777777" w:rsidTr="00EE5431">
        <w:trPr>
          <w:cantSplit/>
        </w:trPr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F7D3FA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The Connecticut Water Company</w:t>
            </w:r>
          </w:p>
        </w:tc>
        <w:tc>
          <w:tcPr>
            <w:tcW w:w="99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8BFFF9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2021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E7F1B5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The Connecticut Water Company</w:t>
            </w:r>
          </w:p>
        </w:tc>
        <w:tc>
          <w:tcPr>
            <w:tcW w:w="135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30AF82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20-12-30</w:t>
            </w:r>
          </w:p>
        </w:tc>
        <w:tc>
          <w:tcPr>
            <w:tcW w:w="270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6C9C05A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Allocated Cost of Service, Rate Design and Rate Consolidation</w:t>
            </w:r>
          </w:p>
        </w:tc>
      </w:tr>
      <w:tr w:rsidR="00EA7B4F" w:rsidRPr="00437FC8" w14:paraId="3EDBA2AB" w14:textId="77777777" w:rsidTr="00EE5431">
        <w:trPr>
          <w:cantSplit/>
        </w:trPr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98238E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NuPower, LLC</w:t>
            </w:r>
          </w:p>
        </w:tc>
        <w:tc>
          <w:tcPr>
            <w:tcW w:w="99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98E7A2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2019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FB2504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hAnsi="Cambria"/>
                <w:sz w:val="18"/>
              </w:rPr>
              <w:t xml:space="preserve">PURA – review of combined heat and power projection solicitation. </w:t>
            </w:r>
          </w:p>
        </w:tc>
        <w:tc>
          <w:tcPr>
            <w:tcW w:w="135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C7EB42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Docket No. 18-08-14</w:t>
            </w:r>
          </w:p>
        </w:tc>
        <w:tc>
          <w:tcPr>
            <w:tcW w:w="270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69936E5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Cost of Service analysis for a regulated fuel cell project</w:t>
            </w:r>
          </w:p>
        </w:tc>
      </w:tr>
      <w:tr w:rsidR="00EA7B4F" w:rsidRPr="00437FC8" w14:paraId="01A76171" w14:textId="77777777" w:rsidTr="00EE5431">
        <w:trPr>
          <w:cantSplit/>
        </w:trPr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FC4BCC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Yankee Gas Services (Eversource Energy)</w:t>
            </w:r>
          </w:p>
        </w:tc>
        <w:tc>
          <w:tcPr>
            <w:tcW w:w="99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F48424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2018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7E00F1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hAnsi="Cambria"/>
                <w:sz w:val="18"/>
              </w:rPr>
              <w:t>Yankee Gas Services DBA Eversource Energy – amend rate schedules.</w:t>
            </w:r>
          </w:p>
        </w:tc>
        <w:tc>
          <w:tcPr>
            <w:tcW w:w="135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F6E94F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Docket No. 18-05-10</w:t>
            </w:r>
          </w:p>
        </w:tc>
        <w:tc>
          <w:tcPr>
            <w:tcW w:w="270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5612150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Distribution Rate Case</w:t>
            </w:r>
          </w:p>
          <w:p w14:paraId="0A47DAF3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Rate design, decoupling, and capital trackers</w:t>
            </w:r>
          </w:p>
        </w:tc>
      </w:tr>
      <w:tr w:rsidR="00EA7B4F" w:rsidRPr="00437FC8" w14:paraId="5D42E354" w14:textId="77777777" w:rsidTr="00EE5431">
        <w:trPr>
          <w:cantSplit/>
        </w:trPr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51D245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Connecticut Natural Gas Corporation &amp; Southern Connecticut Gas Company</w:t>
            </w:r>
          </w:p>
        </w:tc>
        <w:tc>
          <w:tcPr>
            <w:tcW w:w="99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FC469C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2016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2D8DB9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hAnsi="Cambria"/>
                <w:sz w:val="18"/>
              </w:rPr>
            </w:pPr>
            <w:r w:rsidRPr="00437FC8">
              <w:rPr>
                <w:rFonts w:ascii="Cambria" w:hAnsi="Cambria"/>
                <w:sz w:val="18"/>
              </w:rPr>
              <w:t>Connecticut Natural Gas Corporation &amp; Southern Connecticut Gas Company - OCC successfully advocated that the</w:t>
            </w:r>
          </w:p>
          <w:p w14:paraId="59A2D97F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hAnsi="Cambria"/>
                <w:sz w:val="18"/>
              </w:rPr>
              <w:t>gas utilities should not be allowed to recover certain expenses</w:t>
            </w:r>
          </w:p>
        </w:tc>
        <w:tc>
          <w:tcPr>
            <w:tcW w:w="135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7EB2DB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Docket No. 16-04-10</w:t>
            </w:r>
          </w:p>
        </w:tc>
        <w:tc>
          <w:tcPr>
            <w:tcW w:w="270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2A04D9B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State of Connecticut LDC Gas Expansion Plan: System Expansion Reconciliation</w:t>
            </w:r>
          </w:p>
          <w:p w14:paraId="4ACE092D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Capital Expenditures, System Improvement/Reinforcement Projects</w:t>
            </w:r>
          </w:p>
        </w:tc>
      </w:tr>
      <w:tr w:rsidR="00EA7B4F" w:rsidRPr="00437FC8" w14:paraId="7925A259" w14:textId="77777777" w:rsidTr="00EE5431">
        <w:trPr>
          <w:cantSplit/>
        </w:trPr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180181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Connecticut Natural Gas Corporation &amp; Southern Connecticut Gas Company</w:t>
            </w:r>
          </w:p>
        </w:tc>
        <w:tc>
          <w:tcPr>
            <w:tcW w:w="99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FE9299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2014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24ABE2B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hAnsi="Cambria"/>
                <w:sz w:val="18"/>
              </w:rPr>
              <w:t>Connecticut Natural Gas Corporation &amp; Southern Connecticut Gas Company</w:t>
            </w:r>
          </w:p>
        </w:tc>
        <w:tc>
          <w:tcPr>
            <w:tcW w:w="135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6E2F26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Docket No. 13-06-02RE01</w:t>
            </w:r>
          </w:p>
        </w:tc>
        <w:tc>
          <w:tcPr>
            <w:tcW w:w="270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61368C7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State of Connecticut LDC Gas Expansion Plan</w:t>
            </w:r>
          </w:p>
          <w:p w14:paraId="31A74598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Settlement Agreement</w:t>
            </w:r>
          </w:p>
        </w:tc>
      </w:tr>
      <w:tr w:rsidR="00EA7B4F" w:rsidRPr="00437FC8" w14:paraId="4B8D4B8E" w14:textId="77777777" w:rsidTr="00EE5431">
        <w:trPr>
          <w:cantSplit/>
        </w:trPr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D22A3E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Connecticut Natural Gas Corporation &amp; Southern Connecticut Gas Company</w:t>
            </w:r>
          </w:p>
        </w:tc>
        <w:tc>
          <w:tcPr>
            <w:tcW w:w="99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AB5462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2013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D0EE7E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hAnsi="Cambria"/>
                <w:sz w:val="18"/>
              </w:rPr>
              <w:t>Connecticut Natural Gas Corporation &amp; Southern Connecticut Gas Company</w:t>
            </w:r>
          </w:p>
        </w:tc>
        <w:tc>
          <w:tcPr>
            <w:tcW w:w="135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5A4F22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Docket No. 13-06-02</w:t>
            </w:r>
          </w:p>
        </w:tc>
        <w:tc>
          <w:tcPr>
            <w:tcW w:w="270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49AB2C2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State of Connecticut LDC Gas Expansion Plan</w:t>
            </w:r>
          </w:p>
          <w:p w14:paraId="3DC86311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Rates, Hurdle Rate analysis, Demand forecast, Rate Mechanism</w:t>
            </w:r>
          </w:p>
        </w:tc>
      </w:tr>
      <w:tr w:rsidR="00EA7B4F" w:rsidRPr="00437FC8" w14:paraId="00F8A7A8" w14:textId="77777777" w:rsidTr="00EE5431">
        <w:trPr>
          <w:cantSplit/>
        </w:trPr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987243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Connecticut Natural Gas Corporation</w:t>
            </w:r>
          </w:p>
        </w:tc>
        <w:tc>
          <w:tcPr>
            <w:tcW w:w="99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64287E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2013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722D70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hAnsi="Cambria"/>
                <w:sz w:val="18"/>
              </w:rPr>
              <w:t>Connecticut Natural Gas Corporation</w:t>
            </w:r>
          </w:p>
        </w:tc>
        <w:tc>
          <w:tcPr>
            <w:tcW w:w="135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45D5FD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Docket No. 13-06-08</w:t>
            </w:r>
          </w:p>
        </w:tc>
        <w:tc>
          <w:tcPr>
            <w:tcW w:w="270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72F1C81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Distribution Rate Case</w:t>
            </w:r>
          </w:p>
          <w:p w14:paraId="656579A5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Revenue Requirements, Cost of Service, Rate Design, Demand Forecast, and Forecasted Revenues; Decoupling, DIMP and System Expansion Reconciliation Rate Mechanisms, Tariffs</w:t>
            </w:r>
          </w:p>
        </w:tc>
      </w:tr>
      <w:tr w:rsidR="00EA7B4F" w:rsidRPr="00437FC8" w14:paraId="4FE421BC" w14:textId="77777777" w:rsidTr="00EE5431">
        <w:trPr>
          <w:cantSplit/>
        </w:trPr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447D0B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lastRenderedPageBreak/>
              <w:t>The Southern Connecticut Gas Company</w:t>
            </w:r>
          </w:p>
        </w:tc>
        <w:tc>
          <w:tcPr>
            <w:tcW w:w="99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7E04DD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2013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8D4682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hAnsi="Cambria"/>
                <w:sz w:val="18"/>
              </w:rPr>
              <w:t>The Southern Connecticut Gas Company</w:t>
            </w:r>
          </w:p>
        </w:tc>
        <w:tc>
          <w:tcPr>
            <w:tcW w:w="135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D6DA38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Docket No. 99-10-25RE01</w:t>
            </w:r>
          </w:p>
        </w:tc>
        <w:tc>
          <w:tcPr>
            <w:tcW w:w="270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47E6CE2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Firm Transportation Service Agreement and Gas Exchange Agreement</w:t>
            </w:r>
          </w:p>
          <w:p w14:paraId="31241270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 xml:space="preserve"> - Review of Revenue Requirement Allocation</w:t>
            </w:r>
          </w:p>
        </w:tc>
      </w:tr>
      <w:tr w:rsidR="00EA7B4F" w:rsidRPr="00437FC8" w14:paraId="01B50FED" w14:textId="77777777" w:rsidTr="00EE5431">
        <w:trPr>
          <w:cantSplit/>
        </w:trPr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EF1B56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Connecticut Natural Gas Corporation &amp; Southern Connecticut Gas Company</w:t>
            </w:r>
          </w:p>
        </w:tc>
        <w:tc>
          <w:tcPr>
            <w:tcW w:w="99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F89D9D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2011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C3751D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hAnsi="Cambria"/>
                <w:sz w:val="18"/>
              </w:rPr>
              <w:t>Connecticut Natural Gas Corporation &amp; Southern Connecticut Gas Company</w:t>
            </w:r>
          </w:p>
        </w:tc>
        <w:tc>
          <w:tcPr>
            <w:tcW w:w="135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70B4A5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 xml:space="preserve">Docket No. </w:t>
            </w:r>
          </w:p>
          <w:p w14:paraId="23CF195A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fldChar w:fldCharType="begin"/>
            </w:r>
            <w:r w:rsidRPr="00437FC8">
              <w:rPr>
                <w:rFonts w:ascii="Cambria" w:eastAsia="Calibri" w:hAnsi="Cambria"/>
                <w:sz w:val="20"/>
              </w:rPr>
              <w:instrText>Ask Docknum "Enter the docket number of the case (i.e., 92-11-11)"</w:instrText>
            </w:r>
            <w:r w:rsidRPr="00437FC8">
              <w:rPr>
                <w:rFonts w:ascii="Cambria" w:eastAsia="Calibri" w:hAnsi="Cambria"/>
                <w:sz w:val="20"/>
              </w:rPr>
              <w:fldChar w:fldCharType="separate"/>
            </w:r>
            <w:bookmarkStart w:id="4" w:name="Docknum"/>
            <w:r w:rsidRPr="00437FC8">
              <w:rPr>
                <w:rFonts w:ascii="Cambria" w:eastAsia="Calibri" w:hAnsi="Cambria"/>
                <w:sz w:val="20"/>
              </w:rPr>
              <w:t>08-12-06RE02</w:t>
            </w:r>
            <w:bookmarkEnd w:id="4"/>
            <w:r w:rsidRPr="00437FC8">
              <w:rPr>
                <w:rFonts w:ascii="Cambria" w:eastAsia="Calibri" w:hAnsi="Cambria"/>
                <w:sz w:val="20"/>
              </w:rPr>
              <w:fldChar w:fldCharType="end"/>
            </w:r>
            <w:r w:rsidRPr="00437FC8">
              <w:rPr>
                <w:rFonts w:ascii="Cambria" w:eastAsia="Calibri" w:hAnsi="Cambria"/>
                <w:sz w:val="20"/>
              </w:rPr>
              <w:fldChar w:fldCharType="begin"/>
            </w:r>
            <w:r w:rsidRPr="00437FC8">
              <w:rPr>
                <w:rFonts w:ascii="Cambria" w:eastAsia="Calibri" w:hAnsi="Cambria"/>
                <w:sz w:val="20"/>
              </w:rPr>
              <w:instrText xml:space="preserve">ref docknum \* MERGEFORMAT </w:instrText>
            </w:r>
            <w:r w:rsidRPr="00437FC8">
              <w:rPr>
                <w:rFonts w:ascii="Cambria" w:eastAsia="Calibri" w:hAnsi="Cambria"/>
                <w:sz w:val="20"/>
              </w:rPr>
              <w:fldChar w:fldCharType="separate"/>
            </w:r>
            <w:r w:rsidRPr="00437FC8">
              <w:rPr>
                <w:rFonts w:ascii="Cambria" w:eastAsia="Calibri" w:hAnsi="Cambria"/>
                <w:sz w:val="20"/>
              </w:rPr>
              <w:t>08-12-06RE02</w:t>
            </w:r>
            <w:r w:rsidRPr="00437FC8">
              <w:rPr>
                <w:rFonts w:ascii="Cambria" w:eastAsia="Calibri" w:hAnsi="Cambria"/>
                <w:sz w:val="20"/>
              </w:rPr>
              <w:fldChar w:fldCharType="end"/>
            </w:r>
            <w:r w:rsidRPr="00437FC8">
              <w:rPr>
                <w:rFonts w:ascii="Cambria" w:eastAsia="Calibri" w:hAnsi="Cambria"/>
                <w:sz w:val="20"/>
              </w:rPr>
              <w:t>, 08-12-07RE02</w:t>
            </w:r>
          </w:p>
        </w:tc>
        <w:tc>
          <w:tcPr>
            <w:tcW w:w="270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0C4B64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fldChar w:fldCharType="begin"/>
            </w:r>
            <w:r w:rsidRPr="00437FC8">
              <w:rPr>
                <w:rFonts w:ascii="Cambria" w:eastAsia="Calibri" w:hAnsi="Cambria"/>
                <w:sz w:val="20"/>
              </w:rPr>
              <w:instrText>Ask title "Enter the complete title</w:instrText>
            </w:r>
            <w:r w:rsidRPr="00437FC8">
              <w:rPr>
                <w:rFonts w:ascii="Cambria" w:eastAsia="Calibri" w:hAnsi="Cambria"/>
                <w:sz w:val="20"/>
              </w:rPr>
              <w:fldChar w:fldCharType="separate"/>
            </w:r>
            <w:bookmarkStart w:id="5" w:name="title"/>
            <w:r w:rsidRPr="00437FC8">
              <w:rPr>
                <w:rFonts w:ascii="Cambria" w:eastAsia="Calibri" w:hAnsi="Cambria"/>
                <w:sz w:val="20"/>
              </w:rPr>
              <w:t>Application of Connecticut Natural Gas Corporation for a Rate Increase - Settlement Agreement</w:t>
            </w:r>
            <w:bookmarkEnd w:id="5"/>
            <w:r w:rsidRPr="00437FC8">
              <w:rPr>
                <w:rFonts w:ascii="Cambria" w:eastAsia="Calibri" w:hAnsi="Cambria"/>
                <w:sz w:val="20"/>
              </w:rPr>
              <w:fldChar w:fldCharType="end"/>
            </w:r>
            <w:r w:rsidRPr="00437FC8">
              <w:rPr>
                <w:rFonts w:ascii="Cambria" w:eastAsia="Calibri" w:hAnsi="Cambria"/>
                <w:sz w:val="20"/>
              </w:rPr>
              <w:t xml:space="preserve">Settlement Agreement RE: Resolve Stayed Decisions and Orders from Appealed CNG and SCG Rate Cases, and resolve SCG overearnings </w:t>
            </w:r>
          </w:p>
        </w:tc>
      </w:tr>
      <w:tr w:rsidR="00EA7B4F" w:rsidRPr="00437FC8" w14:paraId="07E3ACE3" w14:textId="77777777" w:rsidTr="00EE5431">
        <w:trPr>
          <w:cantSplit/>
        </w:trPr>
        <w:tc>
          <w:tcPr>
            <w:tcW w:w="207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30AD59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The Southern Connecticut Gas Company</w:t>
            </w:r>
          </w:p>
        </w:tc>
        <w:tc>
          <w:tcPr>
            <w:tcW w:w="99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76F64A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2011</w:t>
            </w:r>
          </w:p>
        </w:tc>
        <w:tc>
          <w:tcPr>
            <w:tcW w:w="234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D3663F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hAnsi="Cambria"/>
                <w:sz w:val="18"/>
              </w:rPr>
              <w:t>DPUC review Overearnings for SCG</w:t>
            </w:r>
          </w:p>
        </w:tc>
        <w:tc>
          <w:tcPr>
            <w:tcW w:w="135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067845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Docket No. 10-12-17</w:t>
            </w:r>
          </w:p>
        </w:tc>
        <w:tc>
          <w:tcPr>
            <w:tcW w:w="270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40D2CC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Just and Reasonable Rates – Potential Overearnings Investigation</w:t>
            </w:r>
          </w:p>
        </w:tc>
      </w:tr>
      <w:tr w:rsidR="00EA7B4F" w:rsidRPr="00437FC8" w14:paraId="04F7C2E7" w14:textId="77777777" w:rsidTr="00EE5431">
        <w:trPr>
          <w:cantSplit/>
        </w:trPr>
        <w:tc>
          <w:tcPr>
            <w:tcW w:w="9450" w:type="dxa"/>
            <w:gridSpan w:val="5"/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6C2C99" w14:textId="77777777" w:rsidR="00EA7B4F" w:rsidRPr="00437FC8" w:rsidRDefault="00EA7B4F" w:rsidP="00EE5431">
            <w:pPr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hAnsi="Cambria"/>
                <w:b/>
                <w:color w:val="400000"/>
                <w:sz w:val="20"/>
              </w:rPr>
              <w:t>Georgia Public Service Commission</w:t>
            </w:r>
          </w:p>
        </w:tc>
      </w:tr>
      <w:tr w:rsidR="00EA7B4F" w:rsidRPr="00437FC8" w14:paraId="30579CCA" w14:textId="77777777" w:rsidTr="00EE5431">
        <w:trPr>
          <w:cantSplit/>
        </w:trPr>
        <w:tc>
          <w:tcPr>
            <w:tcW w:w="20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FCB8D0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hAnsi="Cambria"/>
                <w:sz w:val="18"/>
              </w:rPr>
              <w:t>Liberty Utilities Georgia d/b/a/ Peachtree Natural Gas</w:t>
            </w:r>
          </w:p>
        </w:tc>
        <w:tc>
          <w:tcPr>
            <w:tcW w:w="99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4AD371" w14:textId="77777777" w:rsidR="00EA7B4F" w:rsidRPr="00437FC8" w:rsidRDefault="00EA7B4F" w:rsidP="00EE5431">
            <w:pPr>
              <w:adjustRightInd w:val="0"/>
              <w:spacing w:line="276" w:lineRule="auto"/>
              <w:jc w:val="both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2020</w:t>
            </w:r>
          </w:p>
        </w:tc>
        <w:tc>
          <w:tcPr>
            <w:tcW w:w="23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9E3B4B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hAnsi="Cambria"/>
                <w:sz w:val="18"/>
              </w:rPr>
              <w:t>Liberty Utilities</w:t>
            </w:r>
            <w:r>
              <w:rPr>
                <w:rFonts w:ascii="Cambria" w:hAnsi="Cambria"/>
                <w:sz w:val="18"/>
              </w:rPr>
              <w:t xml:space="preserve"> Corp.</w:t>
            </w:r>
          </w:p>
        </w:tc>
        <w:tc>
          <w:tcPr>
            <w:tcW w:w="135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556A49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Docket 42959</w:t>
            </w: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EDB5BA5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hAnsi="Cambria"/>
                <w:sz w:val="18"/>
              </w:rPr>
              <w:t>Distribution Rate Case Allocated Cost of Service and Rate Design</w:t>
            </w:r>
          </w:p>
        </w:tc>
      </w:tr>
      <w:tr w:rsidR="00EA7B4F" w:rsidRPr="00437FC8" w14:paraId="6307ECA6" w14:textId="77777777" w:rsidTr="00EE5431">
        <w:trPr>
          <w:cantSplit/>
        </w:trPr>
        <w:tc>
          <w:tcPr>
            <w:tcW w:w="9450" w:type="dxa"/>
            <w:gridSpan w:val="5"/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26AEAD" w14:textId="77777777" w:rsidR="00EA7B4F" w:rsidRPr="00437FC8" w:rsidRDefault="00EA7B4F" w:rsidP="00EE5431">
            <w:pPr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b/>
                <w:color w:val="400000"/>
                <w:sz w:val="20"/>
              </w:rPr>
              <w:t>Illinois Commerce Commission</w:t>
            </w:r>
          </w:p>
        </w:tc>
      </w:tr>
      <w:tr w:rsidR="00EA7B4F" w:rsidRPr="00437FC8" w14:paraId="79011460" w14:textId="77777777" w:rsidTr="00EE5431">
        <w:trPr>
          <w:cantSplit/>
        </w:trPr>
        <w:tc>
          <w:tcPr>
            <w:tcW w:w="20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0E9949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hAnsi="Cambria"/>
                <w:sz w:val="18"/>
              </w:rPr>
              <w:t>The Peoples Gas Light &amp; Coke Company</w:t>
            </w:r>
          </w:p>
        </w:tc>
        <w:tc>
          <w:tcPr>
            <w:tcW w:w="99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1B5E76" w14:textId="77777777" w:rsidR="00EA7B4F" w:rsidRPr="00437FC8" w:rsidRDefault="00EA7B4F" w:rsidP="00EE5431">
            <w:pPr>
              <w:adjustRightInd w:val="0"/>
              <w:spacing w:line="276" w:lineRule="auto"/>
              <w:jc w:val="both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2017</w:t>
            </w:r>
          </w:p>
        </w:tc>
        <w:tc>
          <w:tcPr>
            <w:tcW w:w="23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039FA5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hAnsi="Cambria"/>
                <w:sz w:val="18"/>
              </w:rPr>
              <w:t>ICC vs The Peoples Gas Light &amp; Coke Company</w:t>
            </w:r>
          </w:p>
        </w:tc>
        <w:tc>
          <w:tcPr>
            <w:tcW w:w="135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10616C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hAnsi="Cambria"/>
                <w:sz w:val="18"/>
              </w:rPr>
              <w:t>Docket No. 16-0376</w:t>
            </w: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37635F7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hAnsi="Cambria"/>
                <w:sz w:val="18"/>
              </w:rPr>
              <w:t>Gas Distribution Aging Infrastructure Peer Utility Benchmark Study, Affordability</w:t>
            </w:r>
          </w:p>
        </w:tc>
      </w:tr>
      <w:tr w:rsidR="00EA7B4F" w:rsidRPr="00437FC8" w14:paraId="3ECD1687" w14:textId="77777777" w:rsidTr="00EE5431">
        <w:trPr>
          <w:cantSplit/>
        </w:trPr>
        <w:tc>
          <w:tcPr>
            <w:tcW w:w="9450" w:type="dxa"/>
            <w:gridSpan w:val="5"/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77AA4D" w14:textId="77777777" w:rsidR="00EA7B4F" w:rsidRPr="00437FC8" w:rsidRDefault="00EA7B4F" w:rsidP="00EE5431">
            <w:pPr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b/>
                <w:color w:val="400000"/>
                <w:sz w:val="20"/>
              </w:rPr>
              <w:t>Maine Public Utilities Commission</w:t>
            </w:r>
          </w:p>
        </w:tc>
      </w:tr>
      <w:tr w:rsidR="00EA7B4F" w:rsidRPr="00437FC8" w14:paraId="4D1B9A0C" w14:textId="77777777" w:rsidTr="00EE5431">
        <w:trPr>
          <w:cantSplit/>
        </w:trPr>
        <w:tc>
          <w:tcPr>
            <w:tcW w:w="20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E6089E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Emera, Maine</w:t>
            </w:r>
          </w:p>
        </w:tc>
        <w:tc>
          <w:tcPr>
            <w:tcW w:w="99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E56B7D" w14:textId="77777777" w:rsidR="00EA7B4F" w:rsidRPr="00437FC8" w:rsidRDefault="00EA7B4F" w:rsidP="00EE5431">
            <w:pPr>
              <w:adjustRightInd w:val="0"/>
              <w:spacing w:line="276" w:lineRule="auto"/>
              <w:jc w:val="both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2017</w:t>
            </w:r>
          </w:p>
        </w:tc>
        <w:tc>
          <w:tcPr>
            <w:tcW w:w="23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598F4D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hAnsi="Cambria"/>
                <w:sz w:val="18"/>
              </w:rPr>
              <w:t>Request for approval of rate change Emera</w:t>
            </w:r>
          </w:p>
        </w:tc>
        <w:tc>
          <w:tcPr>
            <w:tcW w:w="135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DB3E3C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hAnsi="Cambria"/>
                <w:sz w:val="18"/>
              </w:rPr>
              <w:t>Docket No. 2017-00198</w:t>
            </w: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AEF65A6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hAnsi="Cambria"/>
                <w:sz w:val="18"/>
              </w:rPr>
              <w:t>Electric Distribution Revenue Requirements</w:t>
            </w:r>
          </w:p>
        </w:tc>
      </w:tr>
      <w:tr w:rsidR="00EA7B4F" w:rsidRPr="00437FC8" w14:paraId="7042CD59" w14:textId="77777777" w:rsidTr="00EE5431">
        <w:trPr>
          <w:cantSplit/>
        </w:trPr>
        <w:tc>
          <w:tcPr>
            <w:tcW w:w="9450" w:type="dxa"/>
            <w:gridSpan w:val="5"/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F1AB3B" w14:textId="77777777" w:rsidR="00EA7B4F" w:rsidRPr="00437FC8" w:rsidRDefault="00EA7B4F" w:rsidP="00EE5431">
            <w:pPr>
              <w:spacing w:line="276" w:lineRule="auto"/>
              <w:rPr>
                <w:rFonts w:ascii="Cambria" w:eastAsia="Calibri" w:hAnsi="Cambria"/>
                <w:b/>
                <w:color w:val="400000"/>
                <w:sz w:val="20"/>
              </w:rPr>
            </w:pPr>
            <w:r w:rsidRPr="00437FC8">
              <w:rPr>
                <w:rFonts w:ascii="Cambria" w:eastAsia="Calibri" w:hAnsi="Cambria"/>
                <w:b/>
                <w:color w:val="400000"/>
                <w:sz w:val="20"/>
              </w:rPr>
              <w:t>Massachusetts Department of Public Utilities</w:t>
            </w:r>
          </w:p>
        </w:tc>
      </w:tr>
      <w:tr w:rsidR="00EA7B4F" w:rsidRPr="00437FC8" w14:paraId="2E67D06E" w14:textId="77777777" w:rsidTr="00EE5431">
        <w:trPr>
          <w:cantSplit/>
        </w:trPr>
        <w:tc>
          <w:tcPr>
            <w:tcW w:w="20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CCC425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437FC8">
              <w:rPr>
                <w:rFonts w:ascii="Cambria" w:hAnsi="Cambria"/>
                <w:bCs/>
                <w:sz w:val="18"/>
                <w:szCs w:val="18"/>
              </w:rPr>
              <w:t>Berkshire Gas Company</w:t>
            </w:r>
          </w:p>
        </w:tc>
        <w:tc>
          <w:tcPr>
            <w:tcW w:w="99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8DA02D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20</w:t>
            </w:r>
            <w:r>
              <w:rPr>
                <w:rFonts w:ascii="Cambria" w:eastAsia="Calibri" w:hAnsi="Cambria"/>
                <w:sz w:val="20"/>
              </w:rPr>
              <w:t>22</w:t>
            </w:r>
          </w:p>
        </w:tc>
        <w:tc>
          <w:tcPr>
            <w:tcW w:w="23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46A4EF" w14:textId="77777777" w:rsidR="00EA7B4F" w:rsidRDefault="00EA7B4F" w:rsidP="00EE5431">
            <w:pPr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hAnsi="Cambria"/>
                <w:bCs/>
                <w:sz w:val="18"/>
                <w:szCs w:val="18"/>
              </w:rPr>
              <w:t>The Berkshire Gas Company filed</w:t>
            </w:r>
            <w:r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r w:rsidRPr="00437FC8">
              <w:rPr>
                <w:rFonts w:ascii="Cambria" w:hAnsi="Cambria"/>
                <w:bCs/>
                <w:sz w:val="18"/>
                <w:szCs w:val="18"/>
              </w:rPr>
              <w:t>a petition with the Department of Public Utilities for an increase in gas</w:t>
            </w:r>
            <w:r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r w:rsidRPr="00437FC8">
              <w:rPr>
                <w:rFonts w:ascii="Cambria" w:hAnsi="Cambria"/>
                <w:bCs/>
                <w:sz w:val="18"/>
                <w:szCs w:val="18"/>
              </w:rPr>
              <w:t>distribution rates.</w:t>
            </w:r>
          </w:p>
        </w:tc>
        <w:tc>
          <w:tcPr>
            <w:tcW w:w="135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321C58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437FC8">
              <w:rPr>
                <w:rFonts w:ascii="Cambria" w:hAnsi="Cambria"/>
                <w:bCs/>
                <w:sz w:val="18"/>
                <w:szCs w:val="18"/>
              </w:rPr>
              <w:t xml:space="preserve">D.P.U. </w:t>
            </w:r>
            <w:r>
              <w:rPr>
                <w:rFonts w:ascii="Cambria" w:hAnsi="Cambria"/>
                <w:bCs/>
                <w:sz w:val="18"/>
                <w:szCs w:val="18"/>
              </w:rPr>
              <w:t>22-20</w:t>
            </w: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764CAA" w14:textId="77777777" w:rsidR="00EA7B4F" w:rsidRPr="00437FC8" w:rsidRDefault="00EA7B4F" w:rsidP="00EE5431">
            <w:pPr>
              <w:keepNext/>
              <w:keepLines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 xml:space="preserve">Weather Normalization, </w:t>
            </w:r>
            <w:r w:rsidRPr="00437FC8">
              <w:rPr>
                <w:rFonts w:ascii="Cambria" w:hAnsi="Cambria"/>
                <w:bCs/>
                <w:sz w:val="18"/>
                <w:szCs w:val="18"/>
              </w:rPr>
              <w:t>Rate Design</w:t>
            </w:r>
            <w:r>
              <w:rPr>
                <w:rFonts w:ascii="Cambria" w:hAnsi="Cambria"/>
                <w:bCs/>
                <w:sz w:val="18"/>
                <w:szCs w:val="18"/>
              </w:rPr>
              <w:t xml:space="preserve"> and Bill Impacts</w:t>
            </w:r>
          </w:p>
        </w:tc>
      </w:tr>
      <w:tr w:rsidR="00EA7B4F" w:rsidRPr="00437FC8" w14:paraId="0B6A7DF0" w14:textId="77777777" w:rsidTr="00EE5431">
        <w:trPr>
          <w:cantSplit/>
        </w:trPr>
        <w:tc>
          <w:tcPr>
            <w:tcW w:w="20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B3C80D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hAnsi="Cambria"/>
                <w:bCs/>
                <w:sz w:val="18"/>
                <w:szCs w:val="18"/>
              </w:rPr>
              <w:t>Boston Gas Company d/b/a National Grid</w:t>
            </w:r>
          </w:p>
        </w:tc>
        <w:tc>
          <w:tcPr>
            <w:tcW w:w="99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0E8E7D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2020</w:t>
            </w:r>
          </w:p>
        </w:tc>
        <w:tc>
          <w:tcPr>
            <w:tcW w:w="23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7D1D3D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>
              <w:rPr>
                <w:rFonts w:ascii="Cambria" w:eastAsia="Calibri" w:hAnsi="Cambria"/>
                <w:sz w:val="20"/>
              </w:rPr>
              <w:t>Boston Gas Company</w:t>
            </w:r>
          </w:p>
        </w:tc>
        <w:tc>
          <w:tcPr>
            <w:tcW w:w="135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D7801C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hAnsi="Cambria"/>
                <w:bCs/>
                <w:sz w:val="18"/>
                <w:szCs w:val="18"/>
              </w:rPr>
              <w:t>D.P.U. 20-120</w:t>
            </w: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5A6892" w14:textId="77777777" w:rsidR="00EA7B4F" w:rsidRPr="00437FC8" w:rsidRDefault="00EA7B4F" w:rsidP="00EE5431">
            <w:pPr>
              <w:keepNext/>
              <w:keepLines/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hAnsi="Cambria"/>
                <w:bCs/>
                <w:sz w:val="18"/>
                <w:szCs w:val="18"/>
              </w:rPr>
              <w:t>Allocated Cost of Service, Rate Design and Rate Consolidation</w:t>
            </w:r>
          </w:p>
        </w:tc>
      </w:tr>
      <w:tr w:rsidR="00EA7B4F" w:rsidRPr="00437FC8" w14:paraId="631C1606" w14:textId="77777777" w:rsidTr="00EE5431">
        <w:trPr>
          <w:cantSplit/>
        </w:trPr>
        <w:tc>
          <w:tcPr>
            <w:tcW w:w="20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6E0BF3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hAnsi="Cambria"/>
                <w:bCs/>
                <w:sz w:val="18"/>
                <w:szCs w:val="18"/>
              </w:rPr>
              <w:t>Berkshire Gas Company</w:t>
            </w:r>
          </w:p>
        </w:tc>
        <w:tc>
          <w:tcPr>
            <w:tcW w:w="99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CD1FC1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sz w:val="20"/>
              </w:rPr>
              <w:t>2018</w:t>
            </w:r>
          </w:p>
        </w:tc>
        <w:tc>
          <w:tcPr>
            <w:tcW w:w="23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47E49C" w14:textId="77777777" w:rsidR="00EA7B4F" w:rsidRPr="00437FC8" w:rsidRDefault="00EA7B4F" w:rsidP="00EE5431">
            <w:pPr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hAnsi="Cambria"/>
                <w:bCs/>
                <w:sz w:val="18"/>
                <w:szCs w:val="18"/>
              </w:rPr>
              <w:t>The Berkshire Gas Company filed</w:t>
            </w:r>
            <w:r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r w:rsidRPr="00437FC8">
              <w:rPr>
                <w:rFonts w:ascii="Cambria" w:hAnsi="Cambria"/>
                <w:bCs/>
                <w:sz w:val="18"/>
                <w:szCs w:val="18"/>
              </w:rPr>
              <w:t>a petition with the Department of Public Utilities for an increase in gas</w:t>
            </w:r>
            <w:r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r w:rsidRPr="00437FC8">
              <w:rPr>
                <w:rFonts w:ascii="Cambria" w:hAnsi="Cambria"/>
                <w:bCs/>
                <w:sz w:val="18"/>
                <w:szCs w:val="18"/>
              </w:rPr>
              <w:t>distribution rates.</w:t>
            </w:r>
          </w:p>
        </w:tc>
        <w:tc>
          <w:tcPr>
            <w:tcW w:w="135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1A2908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hAnsi="Cambria"/>
                <w:bCs/>
                <w:sz w:val="18"/>
                <w:szCs w:val="18"/>
              </w:rPr>
              <w:t>D.P.U. 18-40</w:t>
            </w: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A51B7C" w14:textId="77777777" w:rsidR="00EA7B4F" w:rsidRPr="00437FC8" w:rsidRDefault="00EA7B4F" w:rsidP="00EE5431">
            <w:pPr>
              <w:keepNext/>
              <w:keepLines/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hAnsi="Cambria"/>
                <w:bCs/>
                <w:sz w:val="18"/>
                <w:szCs w:val="18"/>
              </w:rPr>
              <w:t>Rate Design, Decoupling and Performance-Based Ratemaking</w:t>
            </w:r>
          </w:p>
        </w:tc>
      </w:tr>
      <w:tr w:rsidR="00EA7B4F" w:rsidRPr="00437FC8" w14:paraId="71BAAD45" w14:textId="77777777" w:rsidTr="00EE5431">
        <w:trPr>
          <w:cantSplit/>
        </w:trPr>
        <w:tc>
          <w:tcPr>
            <w:tcW w:w="9450" w:type="dxa"/>
            <w:gridSpan w:val="5"/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85C3F0" w14:textId="77777777" w:rsidR="00EA7B4F" w:rsidRPr="00437FC8" w:rsidRDefault="00EA7B4F" w:rsidP="00EE5431">
            <w:pPr>
              <w:keepNext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eastAsia="Calibri" w:hAnsi="Cambria"/>
                <w:b/>
                <w:color w:val="400000"/>
                <w:sz w:val="20"/>
              </w:rPr>
              <w:lastRenderedPageBreak/>
              <w:t>New Hampshire Public Utilities Commission</w:t>
            </w:r>
          </w:p>
        </w:tc>
      </w:tr>
      <w:tr w:rsidR="00EA7B4F" w:rsidRPr="00437FC8" w14:paraId="70E36799" w14:textId="77777777" w:rsidTr="00EE5431">
        <w:trPr>
          <w:cantSplit/>
        </w:trPr>
        <w:tc>
          <w:tcPr>
            <w:tcW w:w="20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961D2A" w14:textId="77777777" w:rsidR="00EA7B4F" w:rsidRPr="00BD2126" w:rsidRDefault="00EA7B4F" w:rsidP="00EE5431">
            <w:pPr>
              <w:adjustRightInd w:val="0"/>
              <w:spacing w:line="276" w:lineRule="auto"/>
              <w:rPr>
                <w:rFonts w:ascii="Cambria" w:hAnsi="Cambria"/>
                <w:sz w:val="18"/>
              </w:rPr>
            </w:pPr>
            <w:r w:rsidRPr="00BD2126">
              <w:rPr>
                <w:rFonts w:ascii="Cambria" w:hAnsi="Cambria"/>
                <w:sz w:val="18"/>
              </w:rPr>
              <w:t>Liberty Utilities – New Hampshire</w:t>
            </w:r>
          </w:p>
          <w:p w14:paraId="16E999B8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hAnsi="Cambria"/>
                <w:sz w:val="18"/>
              </w:rPr>
            </w:pPr>
            <w:r w:rsidRPr="00BD2126">
              <w:rPr>
                <w:rFonts w:ascii="Cambria" w:hAnsi="Cambria"/>
                <w:sz w:val="18"/>
              </w:rPr>
              <w:t>d/b/a/ Granite State Electric</w:t>
            </w:r>
          </w:p>
        </w:tc>
        <w:tc>
          <w:tcPr>
            <w:tcW w:w="99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BAE9EF" w14:textId="77777777" w:rsidR="00EA7B4F" w:rsidRPr="00437FC8" w:rsidRDefault="00EA7B4F" w:rsidP="00EE5431">
            <w:pPr>
              <w:keepNext/>
              <w:adjustRightInd w:val="0"/>
              <w:spacing w:line="276" w:lineRule="auto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2022</w:t>
            </w:r>
          </w:p>
        </w:tc>
        <w:tc>
          <w:tcPr>
            <w:tcW w:w="23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AD313F" w14:textId="77777777" w:rsidR="00EA7B4F" w:rsidRPr="00437FC8" w:rsidRDefault="00EA7B4F" w:rsidP="00EE5431">
            <w:pPr>
              <w:keepNext/>
              <w:keepLines/>
              <w:adjustRightInd w:val="0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Request for Approval of Revenue Decoupling Adjustment</w:t>
            </w:r>
          </w:p>
        </w:tc>
        <w:tc>
          <w:tcPr>
            <w:tcW w:w="135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46F2F1" w14:textId="77777777" w:rsidR="00EA7B4F" w:rsidRPr="00437FC8" w:rsidRDefault="00EA7B4F" w:rsidP="00EE5431">
            <w:pPr>
              <w:keepNext/>
              <w:keepLines/>
              <w:adjustRightInd w:val="0"/>
              <w:spacing w:line="276" w:lineRule="auto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DE 22-052</w:t>
            </w: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E2ABBD" w14:textId="77777777" w:rsidR="00EA7B4F" w:rsidRPr="00437FC8" w:rsidRDefault="00EA7B4F" w:rsidP="00EE5431">
            <w:pPr>
              <w:keepNext/>
              <w:keepLines/>
              <w:adjustRightInd w:val="0"/>
              <w:spacing w:line="276" w:lineRule="auto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Revenue Decoupling - Compliance</w:t>
            </w:r>
          </w:p>
        </w:tc>
      </w:tr>
      <w:tr w:rsidR="00EA7B4F" w:rsidRPr="00437FC8" w14:paraId="52359F8C" w14:textId="77777777" w:rsidTr="00EE5431">
        <w:trPr>
          <w:cantSplit/>
        </w:trPr>
        <w:tc>
          <w:tcPr>
            <w:tcW w:w="20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0A45C0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hAnsi="Cambria"/>
                <w:sz w:val="18"/>
              </w:rPr>
            </w:pPr>
            <w:r w:rsidRPr="00437FC8">
              <w:rPr>
                <w:rFonts w:ascii="Cambria" w:hAnsi="Cambria"/>
                <w:sz w:val="18"/>
              </w:rPr>
              <w:t>Liberty Utilities – New Hampshire</w:t>
            </w:r>
          </w:p>
          <w:p w14:paraId="2822C99E" w14:textId="77777777" w:rsidR="00EA7B4F" w:rsidRPr="00437FC8" w:rsidRDefault="00EA7B4F" w:rsidP="00EE5431">
            <w:pPr>
              <w:keepNext/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hAnsi="Cambria"/>
                <w:sz w:val="18"/>
              </w:rPr>
              <w:t>d/b/a/ Granite State Electric</w:t>
            </w:r>
          </w:p>
        </w:tc>
        <w:tc>
          <w:tcPr>
            <w:tcW w:w="99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9D7755" w14:textId="77777777" w:rsidR="00EA7B4F" w:rsidRPr="00437FC8" w:rsidRDefault="00EA7B4F" w:rsidP="00EE5431">
            <w:pPr>
              <w:keepNext/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hAnsi="Cambria"/>
                <w:sz w:val="18"/>
              </w:rPr>
              <w:t>2019</w:t>
            </w:r>
          </w:p>
        </w:tc>
        <w:tc>
          <w:tcPr>
            <w:tcW w:w="23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F7D5EB" w14:textId="77777777" w:rsidR="00EA7B4F" w:rsidRPr="00437FC8" w:rsidRDefault="00EA7B4F" w:rsidP="00EE5431">
            <w:pPr>
              <w:keepNext/>
              <w:keepLines/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hAnsi="Cambria"/>
                <w:sz w:val="18"/>
                <w:szCs w:val="18"/>
              </w:rPr>
              <w:t>Granite State Electric - Petition for Permanent and Temporary Rates</w:t>
            </w:r>
          </w:p>
        </w:tc>
        <w:tc>
          <w:tcPr>
            <w:tcW w:w="135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D64A46" w14:textId="77777777" w:rsidR="00EA7B4F" w:rsidRPr="00437FC8" w:rsidRDefault="00EA7B4F" w:rsidP="00EE5431">
            <w:pPr>
              <w:keepNext/>
              <w:keepLines/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hAnsi="Cambria"/>
                <w:sz w:val="18"/>
              </w:rPr>
              <w:t>DE 19-064</w:t>
            </w: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EC3839" w14:textId="77777777" w:rsidR="00EA7B4F" w:rsidRPr="00437FC8" w:rsidRDefault="00EA7B4F" w:rsidP="00EE5431">
            <w:pPr>
              <w:keepNext/>
              <w:keepLines/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hAnsi="Cambria"/>
                <w:sz w:val="18"/>
              </w:rPr>
              <w:t>Revenue Decoupling</w:t>
            </w:r>
          </w:p>
        </w:tc>
      </w:tr>
      <w:tr w:rsidR="00EA7B4F" w:rsidRPr="00437FC8" w14:paraId="573A568C" w14:textId="77777777" w:rsidTr="00EE5431">
        <w:trPr>
          <w:cantSplit/>
        </w:trPr>
        <w:tc>
          <w:tcPr>
            <w:tcW w:w="20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36AA94" w14:textId="77777777" w:rsidR="00EA7B4F" w:rsidRPr="00437FC8" w:rsidRDefault="00EA7B4F" w:rsidP="00EE5431">
            <w:pPr>
              <w:keepNext/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hAnsi="Cambria"/>
                <w:sz w:val="18"/>
              </w:rPr>
              <w:t>Pennichuck Water Works</w:t>
            </w:r>
          </w:p>
        </w:tc>
        <w:tc>
          <w:tcPr>
            <w:tcW w:w="99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3ADF1C" w14:textId="77777777" w:rsidR="00EA7B4F" w:rsidRPr="00437FC8" w:rsidRDefault="00EA7B4F" w:rsidP="00EE5431">
            <w:pPr>
              <w:keepNext/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hAnsi="Cambria"/>
                <w:sz w:val="18"/>
              </w:rPr>
              <w:t>2018</w:t>
            </w:r>
          </w:p>
        </w:tc>
        <w:tc>
          <w:tcPr>
            <w:tcW w:w="23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8E0C03" w14:textId="77777777" w:rsidR="00EA7B4F" w:rsidRPr="00437FC8" w:rsidRDefault="00EA7B4F" w:rsidP="00EE5431">
            <w:pPr>
              <w:keepNext/>
              <w:keepLines/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hAnsi="Cambria"/>
                <w:sz w:val="18"/>
              </w:rPr>
              <w:t>Pennichuck Water Works, Inc. – Rate Proceeding</w:t>
            </w:r>
          </w:p>
        </w:tc>
        <w:tc>
          <w:tcPr>
            <w:tcW w:w="135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6FBCEF" w14:textId="77777777" w:rsidR="00EA7B4F" w:rsidRPr="00437FC8" w:rsidRDefault="00EA7B4F" w:rsidP="00EE5431">
            <w:pPr>
              <w:keepNext/>
              <w:keepLines/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hAnsi="Cambria"/>
                <w:sz w:val="18"/>
              </w:rPr>
              <w:t>DG 19-084</w:t>
            </w: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B0019B" w14:textId="77777777" w:rsidR="00EA7B4F" w:rsidRPr="00437FC8" w:rsidRDefault="00EA7B4F" w:rsidP="00EE5431">
            <w:pPr>
              <w:keepNext/>
              <w:keepLines/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hAnsi="Cambria"/>
                <w:sz w:val="18"/>
              </w:rPr>
              <w:t>Allocated Cost of Service</w:t>
            </w:r>
          </w:p>
        </w:tc>
      </w:tr>
      <w:tr w:rsidR="00EA7B4F" w:rsidRPr="00437FC8" w14:paraId="3FBA42CC" w14:textId="77777777" w:rsidTr="00EE5431">
        <w:trPr>
          <w:cantSplit/>
        </w:trPr>
        <w:tc>
          <w:tcPr>
            <w:tcW w:w="20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171E62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hAnsi="Cambria"/>
                <w:sz w:val="18"/>
              </w:rPr>
            </w:pPr>
            <w:r w:rsidRPr="00437FC8">
              <w:rPr>
                <w:rFonts w:ascii="Cambria" w:hAnsi="Cambria"/>
                <w:sz w:val="18"/>
              </w:rPr>
              <w:t>Liberty Utilities – New Hampshire</w:t>
            </w:r>
          </w:p>
          <w:p w14:paraId="35F59A86" w14:textId="77777777" w:rsidR="00EA7B4F" w:rsidRPr="00437FC8" w:rsidRDefault="00EA7B4F" w:rsidP="00EE5431">
            <w:pPr>
              <w:keepNext/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hAnsi="Cambria"/>
                <w:sz w:val="18"/>
              </w:rPr>
              <w:t>d/b/a/ EnergyNorth Natural Gas</w:t>
            </w:r>
          </w:p>
        </w:tc>
        <w:tc>
          <w:tcPr>
            <w:tcW w:w="99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35E983" w14:textId="77777777" w:rsidR="00EA7B4F" w:rsidRPr="00437FC8" w:rsidRDefault="00EA7B4F" w:rsidP="00EE5431">
            <w:pPr>
              <w:keepNext/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hAnsi="Cambria"/>
                <w:sz w:val="18"/>
              </w:rPr>
              <w:t>2017</w:t>
            </w:r>
          </w:p>
        </w:tc>
        <w:tc>
          <w:tcPr>
            <w:tcW w:w="23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4C1077" w14:textId="77777777" w:rsidR="00EA7B4F" w:rsidRPr="00437FC8" w:rsidRDefault="00EA7B4F" w:rsidP="00EE5431">
            <w:pPr>
              <w:keepNext/>
              <w:keepLines/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23ADE031">
              <w:rPr>
                <w:rFonts w:ascii="Cambria" w:hAnsi="Cambria"/>
                <w:sz w:val="18"/>
                <w:szCs w:val="18"/>
              </w:rPr>
              <w:t>Liberty Distribution Service Rate Case – Request for change in rates</w:t>
            </w:r>
          </w:p>
        </w:tc>
        <w:tc>
          <w:tcPr>
            <w:tcW w:w="135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20A92F" w14:textId="77777777" w:rsidR="00EA7B4F" w:rsidRPr="00437FC8" w:rsidRDefault="00EA7B4F" w:rsidP="00EE5431">
            <w:pPr>
              <w:keepNext/>
              <w:keepLines/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hAnsi="Cambria"/>
                <w:sz w:val="18"/>
              </w:rPr>
              <w:t>DG 17-048</w:t>
            </w: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071E9C" w14:textId="77777777" w:rsidR="00EA7B4F" w:rsidRPr="00437FC8" w:rsidRDefault="00EA7B4F" w:rsidP="00EE5431">
            <w:pPr>
              <w:adjustRightInd w:val="0"/>
              <w:spacing w:line="276" w:lineRule="auto"/>
              <w:rPr>
                <w:rFonts w:ascii="Cambria" w:hAnsi="Cambria"/>
                <w:sz w:val="18"/>
              </w:rPr>
            </w:pPr>
            <w:r w:rsidRPr="00437FC8">
              <w:rPr>
                <w:rFonts w:ascii="Cambria" w:hAnsi="Cambria"/>
                <w:sz w:val="18"/>
              </w:rPr>
              <w:t>Revenue Decoupling</w:t>
            </w:r>
          </w:p>
          <w:p w14:paraId="2A2DF26F" w14:textId="77777777" w:rsidR="00EA7B4F" w:rsidRPr="00437FC8" w:rsidRDefault="00EA7B4F" w:rsidP="00EE5431">
            <w:pPr>
              <w:keepNext/>
              <w:keepLines/>
              <w:adjustRightInd w:val="0"/>
              <w:spacing w:line="276" w:lineRule="auto"/>
              <w:rPr>
                <w:rFonts w:ascii="Cambria" w:eastAsia="Calibri" w:hAnsi="Cambria"/>
                <w:sz w:val="20"/>
              </w:rPr>
            </w:pPr>
            <w:r w:rsidRPr="00437FC8">
              <w:rPr>
                <w:rFonts w:ascii="Cambria" w:hAnsi="Cambria"/>
                <w:sz w:val="18"/>
              </w:rPr>
              <w:t>Rate Design</w:t>
            </w:r>
          </w:p>
        </w:tc>
      </w:tr>
    </w:tbl>
    <w:bookmarkEnd w:id="3"/>
    <w:p w14:paraId="67A167F8" w14:textId="77777777" w:rsidR="00EA7B4F" w:rsidRPr="0079393E" w:rsidRDefault="00EA7B4F" w:rsidP="00EA7B4F">
      <w:pPr>
        <w:rPr>
          <w:rFonts w:cs="Courier New"/>
          <w:b/>
          <w:sz w:val="28"/>
          <w:szCs w:val="28"/>
        </w:rPr>
      </w:pPr>
      <w:r w:rsidRPr="0079393E">
        <w:rPr>
          <w:rFonts w:cs="Courier New"/>
          <w:b/>
          <w:sz w:val="28"/>
          <w:szCs w:val="28"/>
        </w:rPr>
        <w:t xml:space="preserve"> </w:t>
      </w:r>
    </w:p>
    <w:p w14:paraId="361E8975" w14:textId="77777777" w:rsidR="00EA7B4F" w:rsidRDefault="00EA7B4F" w:rsidP="00EA7B4F">
      <w:pPr>
        <w:ind w:left="-1440"/>
        <w:jc w:val="center"/>
        <w:rPr>
          <w:rFonts w:cs="Courier New"/>
          <w:b/>
          <w:sz w:val="28"/>
          <w:szCs w:val="28"/>
        </w:rPr>
      </w:pPr>
    </w:p>
    <w:p w14:paraId="61B5F2B9" w14:textId="77777777" w:rsidR="00EA7B4F" w:rsidRDefault="00EA7B4F"/>
    <w:sectPr w:rsidR="00EA7B4F" w:rsidSect="007F1F85">
      <w:pgSz w:w="12240" w:h="15840" w:code="1"/>
      <w:pgMar w:top="1440" w:right="720" w:bottom="720" w:left="2160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42475" w14:textId="77777777" w:rsidR="00622395" w:rsidRDefault="00622395" w:rsidP="00EA7B4F">
      <w:pPr>
        <w:spacing w:line="240" w:lineRule="auto"/>
      </w:pPr>
      <w:r>
        <w:separator/>
      </w:r>
    </w:p>
  </w:endnote>
  <w:endnote w:type="continuationSeparator" w:id="0">
    <w:p w14:paraId="61AA9E4A" w14:textId="77777777" w:rsidR="00622395" w:rsidRDefault="00622395" w:rsidP="00EA7B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jan Pro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jan Pro 3">
    <w:altName w:val="Cambria"/>
    <w:panose1 w:val="00000000000000000000"/>
    <w:charset w:val="00"/>
    <w:family w:val="roma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CE505" w14:textId="77777777" w:rsidR="00D13DAC" w:rsidRDefault="006223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E5536" w14:textId="77777777" w:rsidR="00D13DAC" w:rsidRPr="00CD713C" w:rsidRDefault="00EA7B4F" w:rsidP="008E7075">
    <w:pPr>
      <w:pStyle w:val="Footer"/>
      <w:jc w:val="right"/>
      <w:rPr>
        <w:rFonts w:ascii="Trajan Pro 3" w:hAnsi="Trajan Pro 3"/>
        <w:smallCaps/>
        <w:sz w:val="18"/>
        <w:szCs w:val="18"/>
      </w:rPr>
    </w:pPr>
    <w:r w:rsidRPr="00CD713C">
      <w:rPr>
        <w:rFonts w:ascii="Trajan Pro 3" w:hAnsi="Trajan Pro 3"/>
        <w:smallCaps/>
        <w:sz w:val="18"/>
        <w:szCs w:val="18"/>
      </w:rPr>
      <w:t xml:space="preserve">Concentric Energy Advisors | </w:t>
    </w:r>
    <w:r w:rsidRPr="00437FC8">
      <w:rPr>
        <w:rFonts w:ascii="Trajan Pro 3" w:hAnsi="Trajan Pro 3"/>
        <w:smallCaps/>
        <w:sz w:val="18"/>
        <w:szCs w:val="18"/>
      </w:rPr>
      <w:t>Pg. A-</w:t>
    </w:r>
    <w:r w:rsidRPr="00437FC8">
      <w:rPr>
        <w:rFonts w:ascii="Trajan Pro 3" w:hAnsi="Trajan Pro 3"/>
        <w:smallCaps/>
        <w:sz w:val="18"/>
        <w:szCs w:val="18"/>
      </w:rPr>
      <w:fldChar w:fldCharType="begin"/>
    </w:r>
    <w:r w:rsidRPr="00CD713C">
      <w:rPr>
        <w:rFonts w:ascii="Trajan Pro 3" w:hAnsi="Trajan Pro 3"/>
        <w:smallCaps/>
        <w:sz w:val="18"/>
        <w:szCs w:val="18"/>
      </w:rPr>
      <w:instrText xml:space="preserve"> PAGE    \* MERGEFORMAT </w:instrText>
    </w:r>
    <w:r w:rsidRPr="00437FC8">
      <w:rPr>
        <w:rFonts w:ascii="Trajan Pro 3" w:hAnsi="Trajan Pro 3"/>
        <w:smallCaps/>
        <w:sz w:val="18"/>
        <w:szCs w:val="18"/>
      </w:rPr>
      <w:fldChar w:fldCharType="separate"/>
    </w:r>
    <w:r w:rsidRPr="00437FC8">
      <w:rPr>
        <w:rFonts w:ascii="Trajan Pro 3" w:hAnsi="Trajan Pro 3"/>
        <w:smallCaps/>
        <w:sz w:val="18"/>
        <w:szCs w:val="18"/>
      </w:rPr>
      <w:t>1</w:t>
    </w:r>
    <w:r w:rsidRPr="00437FC8">
      <w:rPr>
        <w:rFonts w:ascii="Trajan Pro 3" w:hAnsi="Trajan Pro 3"/>
        <w:smallCap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ED686" w14:textId="77777777" w:rsidR="00D13DAC" w:rsidRPr="00CD713C" w:rsidRDefault="00EA7B4F" w:rsidP="008E7075">
    <w:pPr>
      <w:pStyle w:val="Footer"/>
      <w:jc w:val="right"/>
      <w:rPr>
        <w:rFonts w:ascii="Trajan Pro 3" w:hAnsi="Trajan Pro 3"/>
        <w:smallCaps/>
        <w:sz w:val="18"/>
        <w:szCs w:val="18"/>
      </w:rPr>
    </w:pPr>
    <w:r w:rsidRPr="00CD713C">
      <w:rPr>
        <w:rFonts w:ascii="Trajan Pro 3" w:hAnsi="Trajan Pro 3"/>
        <w:smallCaps/>
        <w:sz w:val="18"/>
        <w:szCs w:val="18"/>
      </w:rPr>
      <w:t xml:space="preserve">Concentric Energy Advisors | </w:t>
    </w:r>
    <w:r w:rsidRPr="00CD713C">
      <w:rPr>
        <w:rFonts w:ascii="Trajan Pro 3" w:eastAsiaTheme="majorEastAsia" w:hAnsi="Trajan Pro 3" w:cstheme="majorBidi"/>
        <w:smallCaps/>
        <w:sz w:val="18"/>
        <w:szCs w:val="18"/>
      </w:rPr>
      <w:t>Pg. A-</w:t>
    </w:r>
    <w:r w:rsidRPr="00CD713C">
      <w:rPr>
        <w:rFonts w:ascii="Trajan Pro 3" w:eastAsiaTheme="minorEastAsia" w:hAnsi="Trajan Pro 3" w:cstheme="minorBidi"/>
        <w:smallCaps/>
        <w:sz w:val="18"/>
        <w:szCs w:val="18"/>
      </w:rPr>
      <w:fldChar w:fldCharType="begin"/>
    </w:r>
    <w:r w:rsidRPr="00CD713C">
      <w:rPr>
        <w:rFonts w:ascii="Trajan Pro 3" w:hAnsi="Trajan Pro 3"/>
        <w:smallCaps/>
        <w:sz w:val="18"/>
        <w:szCs w:val="18"/>
      </w:rPr>
      <w:instrText xml:space="preserve"> PAGE    \* MERGEFORMAT </w:instrText>
    </w:r>
    <w:r w:rsidRPr="00CD713C">
      <w:rPr>
        <w:rFonts w:ascii="Trajan Pro 3" w:eastAsiaTheme="minorEastAsia" w:hAnsi="Trajan Pro 3" w:cstheme="minorBidi"/>
        <w:smallCaps/>
        <w:sz w:val="18"/>
        <w:szCs w:val="18"/>
      </w:rPr>
      <w:fldChar w:fldCharType="separate"/>
    </w:r>
    <w:r w:rsidRPr="00CD713C">
      <w:rPr>
        <w:rFonts w:ascii="Trajan Pro 3" w:eastAsiaTheme="majorEastAsia" w:hAnsi="Trajan Pro 3" w:cstheme="majorBidi"/>
        <w:smallCaps/>
        <w:noProof/>
        <w:sz w:val="18"/>
        <w:szCs w:val="18"/>
      </w:rPr>
      <w:t>1</w:t>
    </w:r>
    <w:r w:rsidRPr="00CD713C">
      <w:rPr>
        <w:rFonts w:ascii="Trajan Pro 3" w:eastAsiaTheme="majorEastAsia" w:hAnsi="Trajan Pro 3" w:cstheme="majorBidi"/>
        <w:smallCap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5F5E3" w14:textId="77777777" w:rsidR="00622395" w:rsidRDefault="00622395" w:rsidP="00EA7B4F">
      <w:pPr>
        <w:spacing w:line="240" w:lineRule="auto"/>
      </w:pPr>
      <w:r>
        <w:separator/>
      </w:r>
    </w:p>
  </w:footnote>
  <w:footnote w:type="continuationSeparator" w:id="0">
    <w:p w14:paraId="4E4AB18D" w14:textId="77777777" w:rsidR="00622395" w:rsidRDefault="00622395" w:rsidP="00EA7B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18FD2" w14:textId="77777777" w:rsidR="00D13DAC" w:rsidRDefault="006223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9A4F4" w14:textId="6357CE64" w:rsidR="00D13DAC" w:rsidRPr="00CD713C" w:rsidRDefault="00EA7B4F" w:rsidP="008E7075">
    <w:pPr>
      <w:pStyle w:val="Header2"/>
      <w:rPr>
        <w:rFonts w:ascii="Trajan Pro 3" w:hAnsi="Trajan Pro 3"/>
        <w:lang w:val="en-US"/>
      </w:rPr>
    </w:pPr>
    <w:r w:rsidRPr="00CD713C">
      <w:rPr>
        <w:rFonts w:ascii="Trajan Pro 3" w:hAnsi="Trajan Pro 3"/>
      </w:rPr>
      <w:drawing>
        <wp:anchor distT="0" distB="0" distL="114300" distR="114300" simplePos="0" relativeHeight="251659264" behindDoc="0" locked="0" layoutInCell="1" allowOverlap="1" wp14:anchorId="05C06669" wp14:editId="4125862A">
          <wp:simplePos x="0" y="0"/>
          <wp:positionH relativeFrom="margin">
            <wp:align>left</wp:align>
          </wp:positionH>
          <wp:positionV relativeFrom="page">
            <wp:posOffset>457523</wp:posOffset>
          </wp:positionV>
          <wp:extent cx="539496" cy="4572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abyrinth Icon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713C">
      <w:rPr>
        <w:rFonts w:ascii="Trajan Pro 3" w:hAnsi="Trajan Pro 3"/>
        <w:lang w:val="en-US"/>
      </w:rPr>
      <w:t>Attachment A: Resume of Gregg</w:t>
    </w:r>
    <w:r>
      <w:rPr>
        <w:rFonts w:ascii="Trajan Pro 3" w:hAnsi="Trajan Pro 3"/>
        <w:lang w:val="en-US"/>
      </w:rPr>
      <w:t xml:space="preserve"> </w:t>
    </w:r>
    <w:r w:rsidRPr="00CD713C">
      <w:rPr>
        <w:rFonts w:ascii="Trajan Pro 3" w:hAnsi="Trajan Pro 3"/>
        <w:lang w:val="en-US"/>
      </w:rPr>
      <w:t>Therrien</w:t>
    </w:r>
  </w:p>
  <w:p w14:paraId="445A128F" w14:textId="77777777" w:rsidR="00D13DAC" w:rsidRDefault="006223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73E8F" w14:textId="52048AA4" w:rsidR="00D13DAC" w:rsidRPr="00CD713C" w:rsidRDefault="00EA7B4F" w:rsidP="008E7075">
    <w:pPr>
      <w:pStyle w:val="Header2"/>
      <w:rPr>
        <w:rFonts w:ascii="Trajan Pro 3" w:hAnsi="Trajan Pro 3"/>
        <w:lang w:val="en-US"/>
      </w:rPr>
    </w:pPr>
    <w:r>
      <w:drawing>
        <wp:anchor distT="0" distB="0" distL="114300" distR="114300" simplePos="0" relativeHeight="251660288" behindDoc="0" locked="0" layoutInCell="1" allowOverlap="1" wp14:anchorId="5798BFB0" wp14:editId="19FEB940">
          <wp:simplePos x="0" y="0"/>
          <wp:positionH relativeFrom="page">
            <wp:posOffset>831850</wp:posOffset>
          </wp:positionH>
          <wp:positionV relativeFrom="page">
            <wp:posOffset>495916</wp:posOffset>
          </wp:positionV>
          <wp:extent cx="1737115" cy="425487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115" cy="425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713C">
      <w:rPr>
        <w:rFonts w:ascii="Trajan Pro 3" w:hAnsi="Trajan Pro 3"/>
        <w:lang w:val="en-US"/>
      </w:rPr>
      <w:t>Attachment A: Resume of Gregg</w:t>
    </w:r>
    <w:r>
      <w:rPr>
        <w:rFonts w:ascii="Trajan Pro 3" w:hAnsi="Trajan Pro 3"/>
        <w:lang w:val="en-US"/>
      </w:rPr>
      <w:t xml:space="preserve"> </w:t>
    </w:r>
    <w:r w:rsidRPr="00CD713C">
      <w:rPr>
        <w:rFonts w:ascii="Trajan Pro 3" w:hAnsi="Trajan Pro 3"/>
        <w:lang w:val="en-US"/>
      </w:rPr>
      <w:t>Therrien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07B78"/>
    <w:multiLevelType w:val="hybridMultilevel"/>
    <w:tmpl w:val="F3825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832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4F"/>
    <w:rsid w:val="00622395"/>
    <w:rsid w:val="00D458B4"/>
    <w:rsid w:val="00E310EF"/>
    <w:rsid w:val="00EA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833B1"/>
  <w15:chartTrackingRefBased/>
  <w15:docId w15:val="{09DF6061-E426-4CDD-B9C6-97615CDC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B4F"/>
    <w:pPr>
      <w:spacing w:after="0" w:line="500" w:lineRule="exact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A7B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A7B4F"/>
    <w:rPr>
      <w:rFonts w:ascii="Courier New" w:eastAsia="Times New Roman" w:hAnsi="Courier New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EA7B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B4F"/>
    <w:rPr>
      <w:rFonts w:ascii="Courier New" w:eastAsia="Times New Roman" w:hAnsi="Courier New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A7B4F"/>
    <w:pPr>
      <w:ind w:left="720"/>
      <w:contextualSpacing/>
    </w:pPr>
    <w:rPr>
      <w:rFonts w:ascii="Times New Roman" w:eastAsiaTheme="minorHAnsi" w:hAnsi="Times New Roman" w:cstheme="majorBidi"/>
    </w:rPr>
  </w:style>
  <w:style w:type="paragraph" w:customStyle="1" w:styleId="Header2">
    <w:name w:val="Header 2"/>
    <w:basedOn w:val="Header"/>
    <w:link w:val="Header2Char"/>
    <w:rsid w:val="00EA7B4F"/>
    <w:pPr>
      <w:tabs>
        <w:tab w:val="clear" w:pos="4320"/>
        <w:tab w:val="clear" w:pos="8640"/>
        <w:tab w:val="center" w:pos="4680"/>
        <w:tab w:val="right" w:pos="9360"/>
      </w:tabs>
      <w:spacing w:line="240" w:lineRule="auto"/>
      <w:jc w:val="right"/>
    </w:pPr>
    <w:rPr>
      <w:rFonts w:ascii="Trajan Pro" w:hAnsi="Trajan Pro"/>
      <w:smallCaps/>
      <w:noProof/>
      <w:sz w:val="18"/>
      <w:szCs w:val="18"/>
      <w:lang w:val="x-none" w:eastAsia="x-none"/>
    </w:rPr>
  </w:style>
  <w:style w:type="character" w:customStyle="1" w:styleId="Header2Char">
    <w:name w:val="Header 2 Char"/>
    <w:basedOn w:val="HeaderChar"/>
    <w:link w:val="Header2"/>
    <w:rsid w:val="00EA7B4F"/>
    <w:rPr>
      <w:rFonts w:ascii="Trajan Pro" w:eastAsia="Times New Roman" w:hAnsi="Trajan Pro" w:cs="Times New Roman"/>
      <w:smallCaps/>
      <w:noProof/>
      <w:sz w:val="18"/>
      <w:szCs w:val="18"/>
      <w:lang w:val="x-none" w:eastAsia="x-none"/>
    </w:rPr>
  </w:style>
  <w:style w:type="paragraph" w:customStyle="1" w:styleId="sectionname">
    <w:name w:val="section name"/>
    <w:basedOn w:val="Normal"/>
    <w:link w:val="sectionnameChar"/>
    <w:qFormat/>
    <w:rsid w:val="00EA7B4F"/>
    <w:pPr>
      <w:pBdr>
        <w:bottom w:val="single" w:sz="4" w:space="1" w:color="auto"/>
      </w:pBdr>
      <w:spacing w:after="240" w:line="276" w:lineRule="auto"/>
      <w:contextualSpacing/>
    </w:pPr>
    <w:rPr>
      <w:rFonts w:ascii="Century Gothic" w:eastAsiaTheme="minorEastAsia" w:hAnsi="Century Gothic" w:cstheme="minorBidi"/>
      <w:b/>
      <w:caps/>
      <w:color w:val="400000"/>
      <w:sz w:val="28"/>
      <w:szCs w:val="28"/>
    </w:rPr>
  </w:style>
  <w:style w:type="character" w:customStyle="1" w:styleId="sectionnameChar">
    <w:name w:val="section name Char"/>
    <w:basedOn w:val="DefaultParagraphFont"/>
    <w:link w:val="sectionname"/>
    <w:rsid w:val="00EA7B4F"/>
    <w:rPr>
      <w:rFonts w:ascii="Century Gothic" w:eastAsiaTheme="minorEastAsia" w:hAnsi="Century Gothic"/>
      <w:b/>
      <w:caps/>
      <w:color w:val="400000"/>
      <w:sz w:val="28"/>
      <w:szCs w:val="28"/>
    </w:rPr>
  </w:style>
  <w:style w:type="paragraph" w:customStyle="1" w:styleId="Subheading1">
    <w:name w:val="Subheading 1"/>
    <w:basedOn w:val="Normal"/>
    <w:link w:val="Subheading1Char"/>
    <w:qFormat/>
    <w:rsid w:val="00EA7B4F"/>
    <w:pPr>
      <w:keepNext/>
      <w:keepLines/>
      <w:spacing w:before="240" w:after="160" w:line="256" w:lineRule="auto"/>
      <w:jc w:val="both"/>
    </w:pPr>
    <w:rPr>
      <w:rFonts w:ascii="Cambria" w:eastAsia="Calibri" w:hAnsi="Cambria"/>
      <w:b/>
      <w:sz w:val="22"/>
      <w:szCs w:val="22"/>
    </w:rPr>
  </w:style>
  <w:style w:type="paragraph" w:customStyle="1" w:styleId="Subheading2">
    <w:name w:val="Subheading 2"/>
    <w:basedOn w:val="Subheading1"/>
    <w:link w:val="Subheading2Char"/>
    <w:qFormat/>
    <w:rsid w:val="00EA7B4F"/>
    <w:rPr>
      <w:rFonts w:ascii="Century Gothic" w:hAnsi="Century Gothic"/>
      <w:b w:val="0"/>
      <w:color w:val="400000"/>
    </w:rPr>
  </w:style>
  <w:style w:type="character" w:customStyle="1" w:styleId="Subheading1Char">
    <w:name w:val="Subheading 1 Char"/>
    <w:basedOn w:val="DefaultParagraphFont"/>
    <w:link w:val="Subheading1"/>
    <w:rsid w:val="00EA7B4F"/>
    <w:rPr>
      <w:rFonts w:ascii="Cambria" w:eastAsia="Calibri" w:hAnsi="Cambria" w:cs="Times New Roman"/>
      <w:b/>
    </w:rPr>
  </w:style>
  <w:style w:type="character" w:customStyle="1" w:styleId="Subheading2Char">
    <w:name w:val="Subheading 2 Char"/>
    <w:basedOn w:val="Subheading1Char"/>
    <w:link w:val="Subheading2"/>
    <w:rsid w:val="00EA7B4F"/>
    <w:rPr>
      <w:rFonts w:ascii="Century Gothic" w:eastAsia="Calibri" w:hAnsi="Century Gothic" w:cs="Times New Roman"/>
      <w:b w:val="0"/>
      <w:color w:val="4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469E761E20748A773F85B33816D32" ma:contentTypeVersion="2" ma:contentTypeDescription="Create a new document." ma:contentTypeScope="" ma:versionID="e5268eab065339c051eaf8aaeff5f44b">
  <xsd:schema xmlns:xsd="http://www.w3.org/2001/XMLSchema" xmlns:xs="http://www.w3.org/2001/XMLSchema" xmlns:p="http://schemas.microsoft.com/office/2006/metadata/properties" xmlns:ns2="9bbac886-2f20-4c15-ac8f-bd6773befed2" targetNamespace="http://schemas.microsoft.com/office/2006/metadata/properties" ma:root="true" ma:fieldsID="8de529939eb037e419d1462f88b80023" ns2:_="">
    <xsd:import namespace="9bbac886-2f20-4c15-ac8f-bd6773befe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ac886-2f20-4c15-ac8f-bd6773bef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9B27A9-AE6F-41EF-948A-D18E05E54541}"/>
</file>

<file path=customXml/itemProps2.xml><?xml version="1.0" encoding="utf-8"?>
<ds:datastoreItem xmlns:ds="http://schemas.openxmlformats.org/officeDocument/2006/customXml" ds:itemID="{CBD5ECDB-9373-48B4-903A-70A35B0DA1AE}"/>
</file>

<file path=customXml/itemProps3.xml><?xml version="1.0" encoding="utf-8"?>
<ds:datastoreItem xmlns:ds="http://schemas.openxmlformats.org/officeDocument/2006/customXml" ds:itemID="{6CEAF222-9CCE-4CBF-8663-137E9635AE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1626</Words>
  <Characters>9271</Characters>
  <Application>Microsoft Office Word</Application>
  <DocSecurity>0</DocSecurity>
  <Lines>77</Lines>
  <Paragraphs>21</Paragraphs>
  <ScaleCrop>false</ScaleCrop>
  <Company/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Irizarry, Brenda L.</dc:creator>
  <cp:keywords/>
  <dc:description/>
  <cp:lastModifiedBy>Irizarry, Brenda L.</cp:lastModifiedBy>
  <cp:revision>3</cp:revision>
  <dcterms:created xsi:type="dcterms:W3CDTF">2023-03-23T20:35:00Z</dcterms:created>
  <dcterms:modified xsi:type="dcterms:W3CDTF">2023-03-24T14:14:00Z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3f872e-d8d7-43ac-9961-0f2ad31e50e5_Enabled">
    <vt:lpwstr>true</vt:lpwstr>
  </property>
  <property fmtid="{D5CDD505-2E9C-101B-9397-08002B2CF9AE}" pid="3" name="MSIP_Label_a83f872e-d8d7-43ac-9961-0f2ad31e50e5_SetDate">
    <vt:lpwstr>2023-03-24T14:13:40Z</vt:lpwstr>
  </property>
  <property fmtid="{D5CDD505-2E9C-101B-9397-08002B2CF9AE}" pid="4" name="MSIP_Label_a83f872e-d8d7-43ac-9961-0f2ad31e50e5_Method">
    <vt:lpwstr>Standard</vt:lpwstr>
  </property>
  <property fmtid="{D5CDD505-2E9C-101B-9397-08002B2CF9AE}" pid="5" name="MSIP_Label_a83f872e-d8d7-43ac-9961-0f2ad31e50e5_Name">
    <vt:lpwstr>a83f872e-d8d7-43ac-9961-0f2ad31e50e5</vt:lpwstr>
  </property>
  <property fmtid="{D5CDD505-2E9C-101B-9397-08002B2CF9AE}" pid="6" name="MSIP_Label_a83f872e-d8d7-43ac-9961-0f2ad31e50e5_SiteId">
    <vt:lpwstr>fa8c194a-f8e2-43c5-bc39-b637579e39e0</vt:lpwstr>
  </property>
  <property fmtid="{D5CDD505-2E9C-101B-9397-08002B2CF9AE}" pid="7" name="MSIP_Label_a83f872e-d8d7-43ac-9961-0f2ad31e50e5_ActionId">
    <vt:lpwstr>5f4408fb-fdd3-4c0e-87d9-8f5422257253</vt:lpwstr>
  </property>
  <property fmtid="{D5CDD505-2E9C-101B-9397-08002B2CF9AE}" pid="8" name="MSIP_Label_a83f872e-d8d7-43ac-9961-0f2ad31e50e5_ContentBits">
    <vt:lpwstr>0</vt:lpwstr>
  </property>
  <property fmtid="{D5CDD505-2E9C-101B-9397-08002B2CF9AE}" pid="9" name="ContentTypeId">
    <vt:lpwstr>0x0101001B9469E761E20748A773F85B33816D32</vt:lpwstr>
  </property>
</Properties>
</file>