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FC2F" w14:textId="0783E56F" w:rsidR="001D74BB" w:rsidRDefault="001D74BB" w:rsidP="00CE7AD9">
      <w:pPr>
        <w:pStyle w:val="ListParagraph"/>
        <w:numPr>
          <w:ilvl w:val="0"/>
          <w:numId w:val="11"/>
        </w:numPr>
        <w:rPr>
          <w:rFonts w:ascii="Times New Roman" w:hAnsi="Times New Roman" w:cs="Times New Roman"/>
        </w:rPr>
      </w:pPr>
      <w:r w:rsidRPr="004E4D36">
        <w:rPr>
          <w:rFonts w:ascii="Times New Roman" w:hAnsi="Times New Roman" w:cs="Times New Roman"/>
        </w:rPr>
        <w:t>Federal Power Comm’n v. Hope Natural Gas Co., 320 U.S. 591 (1944) (“Hope”).</w:t>
      </w:r>
    </w:p>
    <w:p w14:paraId="6A0599D4" w14:textId="1165F486"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Florida Public Service Commission, Undocketed, Document No. 00107-2023, RE: Peoples Gas System, Inc. (formerly Peoples Gas System, a division of Tampa Electric Company,</w:t>
      </w:r>
      <w:r>
        <w:rPr>
          <w:rFonts w:ascii="Times New Roman" w:hAnsi="Times New Roman" w:cs="Times New Roman"/>
        </w:rPr>
        <w:t xml:space="preserve"> </w:t>
      </w:r>
      <w:r w:rsidRPr="00F06DAF">
        <w:rPr>
          <w:rFonts w:ascii="Times New Roman" w:hAnsi="Times New Roman" w:cs="Times New Roman"/>
        </w:rPr>
        <w:t>(January 6, 2023).</w:t>
      </w:r>
    </w:p>
    <w:p w14:paraId="3647992F" w14:textId="406F598E"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Eugene F. Brigham and Joel F. Houston, Fundamentals of Financial Management, Concise 4th Ed., Thomson South-Western, 2004, at 574.</w:t>
      </w:r>
    </w:p>
    <w:p w14:paraId="585F30CB" w14:textId="1C5E1446"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In re: Petition for rate increase by Peoples Gas, Docket No. 080318-GU, Final Order Granting in </w:t>
      </w:r>
      <w:proofErr w:type="gramStart"/>
      <w:r w:rsidRPr="00F06DAF">
        <w:rPr>
          <w:rFonts w:ascii="Times New Roman" w:hAnsi="Times New Roman" w:cs="Times New Roman"/>
        </w:rPr>
        <w:t>Part</w:t>
      </w:r>
      <w:proofErr w:type="gramEnd"/>
      <w:r w:rsidRPr="00F06DAF">
        <w:rPr>
          <w:rFonts w:ascii="Times New Roman" w:hAnsi="Times New Roman" w:cs="Times New Roman"/>
        </w:rPr>
        <w:t xml:space="preserve"> and Denying in Part Petition for Rate Increase, at 12 (June 9, 2009).</w:t>
      </w:r>
    </w:p>
    <w:p w14:paraId="603C86BD" w14:textId="5E952908"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Pauline M. Ahern, Frank J. Hanley, and 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A New Approach for Estimating the Equity Risk Premium for Public Utilities, The Journal of Regulatory Economics (August 2011), 40:261-278.</w:t>
      </w:r>
    </w:p>
    <w:p w14:paraId="29450E6B" w14:textId="77777777"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Eugene A. </w:t>
      </w:r>
      <w:proofErr w:type="spellStart"/>
      <w:r w:rsidRPr="00F06DAF">
        <w:rPr>
          <w:rFonts w:ascii="Times New Roman" w:hAnsi="Times New Roman" w:cs="Times New Roman"/>
        </w:rPr>
        <w:t>Pilotte</w:t>
      </w:r>
      <w:proofErr w:type="spellEnd"/>
      <w:r w:rsidRPr="00F06DAF">
        <w:rPr>
          <w:rFonts w:ascii="Times New Roman" w:hAnsi="Times New Roman" w:cs="Times New Roman"/>
        </w:rPr>
        <w:t xml:space="preserve">, and 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xml:space="preserve">, Treasury Bond Risk and Return, the Implications for the Hedging of Consumption and Lessons for Asset Pricing, Journal of Economics and Business, June 2011, 582-604. </w:t>
      </w:r>
    </w:p>
    <w:p w14:paraId="1B540D79" w14:textId="5946DE2F"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Empirical Analysis of the Generalized Consumption Asset Pricing Model: Estimating the Cost of Capital, Journal of Economics and Business, April 2015, 37-50.</w:t>
      </w:r>
    </w:p>
    <w:p w14:paraId="21415499" w14:textId="56FFEF3E"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Pauline M. Ahern, Dylan W. D’Ascendis, and Frank J. Hanley, Comparative Evaluation of the Predictive Risk Premium Model, the Discounted Cash Flow Model and the Capital Asset Pricing Model for Estimating the Cost of Common Equity, The Electricity Journal, April 2013, at 84-89</w:t>
      </w:r>
      <w:r>
        <w:rPr>
          <w:rFonts w:ascii="Times New Roman" w:hAnsi="Times New Roman" w:cs="Times New Roman"/>
        </w:rPr>
        <w:t>.</w:t>
      </w:r>
    </w:p>
    <w:p w14:paraId="0EC69D93" w14:textId="338A0D64"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Pauline M. Ahern, and Dylan W. D’Ascendis, Decoupling, Risk Impacts and the Cost of Capital, The Electricity Journal, January 2020.</w:t>
      </w:r>
    </w:p>
    <w:p w14:paraId="5230966F" w14:textId="31B9D7D5"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Richard A. </w:t>
      </w:r>
      <w:proofErr w:type="spellStart"/>
      <w:r w:rsidRPr="00F06DAF">
        <w:rPr>
          <w:rFonts w:ascii="Times New Roman" w:hAnsi="Times New Roman" w:cs="Times New Roman"/>
        </w:rPr>
        <w:t>Michelfelder</w:t>
      </w:r>
      <w:proofErr w:type="spellEnd"/>
      <w:r w:rsidRPr="00F06DAF">
        <w:rPr>
          <w:rFonts w:ascii="Times New Roman" w:hAnsi="Times New Roman" w:cs="Times New Roman"/>
        </w:rPr>
        <w:t>, Pauline M. Ahern, and Dylan W. D’Ascendis, Decoupling Impact and Public Utility Conservation Investment, Energy Policy, April 2019, 311-319.</w:t>
      </w:r>
    </w:p>
    <w:p w14:paraId="4199CF6F" w14:textId="66690ED4"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SBBI-2022, at </w:t>
      </w:r>
      <w:r>
        <w:rPr>
          <w:rFonts w:ascii="Times New Roman" w:hAnsi="Times New Roman" w:cs="Times New Roman"/>
        </w:rPr>
        <w:t xml:space="preserve">201, </w:t>
      </w:r>
      <w:r w:rsidRPr="00F06DAF">
        <w:rPr>
          <w:rFonts w:ascii="Times New Roman" w:hAnsi="Times New Roman" w:cs="Times New Roman"/>
        </w:rPr>
        <w:t>256-258, 274-276.</w:t>
      </w:r>
    </w:p>
    <w:p w14:paraId="676ACDE1" w14:textId="6DC09C92"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Robert S. Harris and Felicia C. Marston, The Market Risk Premium: Expectational Estimates Using Analysts’ Forecasts, Journal of Applied Finance, Vol. 11, No. 1, 2001, at 11-12</w:t>
      </w:r>
      <w:r>
        <w:rPr>
          <w:rFonts w:ascii="Times New Roman" w:hAnsi="Times New Roman" w:cs="Times New Roman"/>
        </w:rPr>
        <w:t>.</w:t>
      </w:r>
    </w:p>
    <w:p w14:paraId="11437052" w14:textId="344BC3E5"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Eugene F. Brigham, </w:t>
      </w:r>
      <w:proofErr w:type="spellStart"/>
      <w:r w:rsidRPr="00F06DAF">
        <w:rPr>
          <w:rFonts w:ascii="Times New Roman" w:hAnsi="Times New Roman" w:cs="Times New Roman"/>
        </w:rPr>
        <w:t>Dilip</w:t>
      </w:r>
      <w:proofErr w:type="spellEnd"/>
      <w:r w:rsidRPr="00F06DAF">
        <w:rPr>
          <w:rFonts w:ascii="Times New Roman" w:hAnsi="Times New Roman" w:cs="Times New Roman"/>
        </w:rPr>
        <w:t xml:space="preserve"> K. </w:t>
      </w:r>
      <w:proofErr w:type="spellStart"/>
      <w:r w:rsidRPr="00F06DAF">
        <w:rPr>
          <w:rFonts w:ascii="Times New Roman" w:hAnsi="Times New Roman" w:cs="Times New Roman"/>
        </w:rPr>
        <w:t>Shome</w:t>
      </w:r>
      <w:proofErr w:type="spellEnd"/>
      <w:r w:rsidRPr="00F06DAF">
        <w:rPr>
          <w:rFonts w:ascii="Times New Roman" w:hAnsi="Times New Roman" w:cs="Times New Roman"/>
        </w:rPr>
        <w:t>, and Steve R. Vinson, The Risk Premium Approach to Measuring a Utility’s Cost of Equity, Financial Management, Spring 1985, at 33-45.</w:t>
      </w:r>
    </w:p>
    <w:p w14:paraId="59A70853" w14:textId="5CD81484"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Roger A. Morin, Modern Regulatory Finance, (2021) at 205-209</w:t>
      </w:r>
      <w:r>
        <w:rPr>
          <w:rFonts w:ascii="Times New Roman" w:hAnsi="Times New Roman" w:cs="Times New Roman"/>
        </w:rPr>
        <w:t>, 221, 329, 337-339 (“Morin”)</w:t>
      </w:r>
      <w:r w:rsidRPr="00F06DAF">
        <w:rPr>
          <w:rFonts w:ascii="Times New Roman" w:hAnsi="Times New Roman" w:cs="Times New Roman"/>
        </w:rPr>
        <w:t>.</w:t>
      </w:r>
    </w:p>
    <w:p w14:paraId="6D1F40A3" w14:textId="0BE62BD4"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Eugene F. </w:t>
      </w:r>
      <w:proofErr w:type="spellStart"/>
      <w:r w:rsidRPr="00F06DAF">
        <w:rPr>
          <w:rFonts w:ascii="Times New Roman" w:hAnsi="Times New Roman" w:cs="Times New Roman"/>
        </w:rPr>
        <w:t>Fama</w:t>
      </w:r>
      <w:proofErr w:type="spellEnd"/>
      <w:r w:rsidRPr="00F06DAF">
        <w:rPr>
          <w:rFonts w:ascii="Times New Roman" w:hAnsi="Times New Roman" w:cs="Times New Roman"/>
        </w:rPr>
        <w:t xml:space="preserve"> and Kenneth R. French, The Capital Asset Pricing Model:  Theory and Evidence, Journal of Economic Perspectives, Vol. 18, No. 3, Summer 2004 at </w:t>
      </w:r>
      <w:r>
        <w:rPr>
          <w:rFonts w:ascii="Times New Roman" w:hAnsi="Times New Roman" w:cs="Times New Roman"/>
        </w:rPr>
        <w:t>25-4</w:t>
      </w:r>
      <w:r w:rsidRPr="00F06DAF">
        <w:rPr>
          <w:rFonts w:ascii="Times New Roman" w:hAnsi="Times New Roman" w:cs="Times New Roman"/>
        </w:rPr>
        <w:t>3 (“</w:t>
      </w:r>
      <w:proofErr w:type="spellStart"/>
      <w:r w:rsidRPr="00F06DAF">
        <w:rPr>
          <w:rFonts w:ascii="Times New Roman" w:hAnsi="Times New Roman" w:cs="Times New Roman"/>
        </w:rPr>
        <w:t>Fama</w:t>
      </w:r>
      <w:proofErr w:type="spellEnd"/>
      <w:r w:rsidRPr="00F06DAF">
        <w:rPr>
          <w:rFonts w:ascii="Times New Roman" w:hAnsi="Times New Roman" w:cs="Times New Roman"/>
        </w:rPr>
        <w:t xml:space="preserve"> &amp; French”).  </w:t>
      </w:r>
    </w:p>
    <w:p w14:paraId="1DD9AA27" w14:textId="6989C5B0"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 xml:space="preserve">Eugene F. Brigham and Phillip R. </w:t>
      </w:r>
      <w:proofErr w:type="spellStart"/>
      <w:r w:rsidRPr="00F06DAF">
        <w:rPr>
          <w:rFonts w:ascii="Times New Roman" w:hAnsi="Times New Roman" w:cs="Times New Roman"/>
        </w:rPr>
        <w:t>Daves</w:t>
      </w:r>
      <w:proofErr w:type="spellEnd"/>
      <w:r w:rsidRPr="00F06DAF">
        <w:rPr>
          <w:rFonts w:ascii="Times New Roman" w:hAnsi="Times New Roman" w:cs="Times New Roman"/>
        </w:rPr>
        <w:t>, Intermediate Financial Management, 9th Edition, Thomson/Southwestern, at 342.</w:t>
      </w:r>
    </w:p>
    <w:p w14:paraId="6571E659" w14:textId="5AB4D2DB"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Kroll, Cost of Capital Navigator: U.S. Cost of Capital Module, Size as a Predictor of Equity Returns, at 1.</w:t>
      </w:r>
    </w:p>
    <w:p w14:paraId="660A0B0D" w14:textId="17EF54E7" w:rsidR="00F06DAF" w:rsidRDefault="00F06DAF" w:rsidP="00CE7AD9">
      <w:pPr>
        <w:pStyle w:val="ListParagraph"/>
        <w:numPr>
          <w:ilvl w:val="0"/>
          <w:numId w:val="11"/>
        </w:numPr>
        <w:rPr>
          <w:rFonts w:ascii="Times New Roman" w:hAnsi="Times New Roman" w:cs="Times New Roman"/>
        </w:rPr>
      </w:pPr>
      <w:r w:rsidRPr="00F06DAF">
        <w:rPr>
          <w:rFonts w:ascii="Times New Roman" w:hAnsi="Times New Roman" w:cs="Times New Roman"/>
        </w:rPr>
        <w:t>Richard A. Brealey and Steward C. Myers, Principles of Corporate Finance (McGraw-Hill Book Company, 1996), at 204-205, 229.</w:t>
      </w:r>
    </w:p>
    <w:p w14:paraId="5398E0B5" w14:textId="2673A964" w:rsidR="00E5426D" w:rsidRDefault="00E5426D" w:rsidP="00CE7AD9">
      <w:pPr>
        <w:pStyle w:val="ListParagraph"/>
        <w:numPr>
          <w:ilvl w:val="0"/>
          <w:numId w:val="11"/>
        </w:numPr>
        <w:rPr>
          <w:rFonts w:ascii="Times New Roman" w:hAnsi="Times New Roman" w:cs="Times New Roman"/>
        </w:rPr>
      </w:pPr>
      <w:r w:rsidRPr="00E5426D">
        <w:rPr>
          <w:rFonts w:ascii="Times New Roman" w:hAnsi="Times New Roman" w:cs="Times New Roman"/>
        </w:rPr>
        <w:t>Eugene F. Brigham, Fundamentals of Financial Management, Fifth Edition (The Dryden Press, 1989), at 623.</w:t>
      </w:r>
    </w:p>
    <w:p w14:paraId="3E361FE5" w14:textId="704324E1" w:rsidR="00E5426D" w:rsidRDefault="00E5426D" w:rsidP="00CE7AD9">
      <w:pPr>
        <w:pStyle w:val="ListParagraph"/>
        <w:numPr>
          <w:ilvl w:val="0"/>
          <w:numId w:val="11"/>
        </w:numPr>
        <w:rPr>
          <w:rFonts w:ascii="Times New Roman" w:hAnsi="Times New Roman" w:cs="Times New Roman"/>
        </w:rPr>
      </w:pPr>
      <w:r w:rsidRPr="00E5426D">
        <w:rPr>
          <w:rFonts w:ascii="Times New Roman" w:hAnsi="Times New Roman" w:cs="Times New Roman"/>
        </w:rPr>
        <w:t>JD Power Press Release, November 30, 2022.</w:t>
      </w:r>
    </w:p>
    <w:p w14:paraId="6230C317" w14:textId="67B7E274" w:rsidR="00E5426D" w:rsidRP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t>Gas Utility Business Customer Satisfaction Study.</w:t>
      </w:r>
    </w:p>
    <w:p w14:paraId="2B3E002F" w14:textId="14777933" w:rsid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t>Peoples Gas System, Inc. – Test Year Notification Pursuant to Rule 25-7.140, Florida Administrative Code, February 3, 2023.</w:t>
      </w:r>
    </w:p>
    <w:p w14:paraId="6027826A" w14:textId="4EC60F13" w:rsid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lastRenderedPageBreak/>
        <w:t xml:space="preserve">Standard &amp; Poor’s, Industry Report Card: Utility Sectors in the Americas Remain Stable, While Challenges Beset European, Australian, and New Zealand Counterparts, </w:t>
      </w:r>
      <w:proofErr w:type="spellStart"/>
      <w:r w:rsidRPr="00E5426D">
        <w:rPr>
          <w:rFonts w:ascii="Times New Roman" w:hAnsi="Times New Roman" w:cs="Times New Roman"/>
        </w:rPr>
        <w:t>RatingsDirect</w:t>
      </w:r>
      <w:proofErr w:type="spellEnd"/>
      <w:r w:rsidRPr="00E5426D">
        <w:rPr>
          <w:rFonts w:ascii="Times New Roman" w:hAnsi="Times New Roman" w:cs="Times New Roman"/>
        </w:rPr>
        <w:t>, June 27, 2008, at 4.</w:t>
      </w:r>
    </w:p>
    <w:p w14:paraId="46715312" w14:textId="6D869C4F" w:rsidR="00E5426D" w:rsidRP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t xml:space="preserve">Standard &amp; Poor’s, Industry Top Trends 2017: Utilities, </w:t>
      </w:r>
      <w:proofErr w:type="spellStart"/>
      <w:r w:rsidRPr="00E5426D">
        <w:rPr>
          <w:rFonts w:ascii="Times New Roman" w:hAnsi="Times New Roman" w:cs="Times New Roman"/>
        </w:rPr>
        <w:t>RatingsDirect</w:t>
      </w:r>
      <w:proofErr w:type="spellEnd"/>
      <w:r w:rsidRPr="00E5426D">
        <w:rPr>
          <w:rFonts w:ascii="Times New Roman" w:hAnsi="Times New Roman" w:cs="Times New Roman"/>
        </w:rPr>
        <w:t>, February 16, 2017, at 4.</w:t>
      </w:r>
    </w:p>
    <w:p w14:paraId="2F9D138F" w14:textId="6B41AEF2" w:rsid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t>Supporting Data from Value Line Summary and Index.</w:t>
      </w:r>
    </w:p>
    <w:p w14:paraId="51E17B64" w14:textId="100DE299" w:rsidR="00E5426D" w:rsidRPr="00E5426D" w:rsidRDefault="00E5426D" w:rsidP="00E5426D">
      <w:pPr>
        <w:pStyle w:val="ListParagraph"/>
        <w:numPr>
          <w:ilvl w:val="0"/>
          <w:numId w:val="11"/>
        </w:numPr>
        <w:rPr>
          <w:rFonts w:ascii="Times New Roman" w:hAnsi="Times New Roman" w:cs="Times New Roman"/>
        </w:rPr>
      </w:pPr>
      <w:r w:rsidRPr="00E5426D">
        <w:rPr>
          <w:rFonts w:ascii="Times New Roman" w:hAnsi="Times New Roman" w:cs="Times New Roman"/>
        </w:rPr>
        <w:t>Supporting Data from Zacks Investment Research.</w:t>
      </w:r>
    </w:p>
    <w:p w14:paraId="64ADCBBC" w14:textId="18166E95" w:rsidR="00F82D7E" w:rsidRPr="004E4D36" w:rsidRDefault="00F82D7E" w:rsidP="00CE7AD9">
      <w:pPr>
        <w:pStyle w:val="ListParagraph"/>
        <w:numPr>
          <w:ilvl w:val="0"/>
          <w:numId w:val="11"/>
        </w:numPr>
        <w:rPr>
          <w:rFonts w:ascii="Times New Roman" w:hAnsi="Times New Roman" w:cs="Times New Roman"/>
        </w:rPr>
      </w:pPr>
      <w:r w:rsidRPr="004E4D36">
        <w:rPr>
          <w:rFonts w:ascii="Times New Roman" w:hAnsi="Times New Roman" w:cs="Times New Roman"/>
        </w:rPr>
        <w:t>Supporting Data from Yahoo! Finance.</w:t>
      </w:r>
    </w:p>
    <w:p w14:paraId="7A911981" w14:textId="1DFDB5B0" w:rsidR="00196662" w:rsidRDefault="00196662" w:rsidP="00CE7AD9">
      <w:pPr>
        <w:pStyle w:val="ListParagraph"/>
        <w:numPr>
          <w:ilvl w:val="0"/>
          <w:numId w:val="11"/>
        </w:numPr>
        <w:rPr>
          <w:rFonts w:ascii="Times New Roman" w:hAnsi="Times New Roman" w:cs="Times New Roman"/>
        </w:rPr>
      </w:pPr>
      <w:r>
        <w:rPr>
          <w:rFonts w:ascii="Times New Roman" w:hAnsi="Times New Roman" w:cs="Times New Roman"/>
        </w:rPr>
        <w:t>Supporting Data from Value Line Standard Edition.</w:t>
      </w:r>
    </w:p>
    <w:p w14:paraId="528C4D1C" w14:textId="0BBBF175" w:rsidR="00F82D7E" w:rsidRPr="00A979E4" w:rsidRDefault="00F82D7E" w:rsidP="00CE7AD9">
      <w:pPr>
        <w:pStyle w:val="ListParagraph"/>
        <w:numPr>
          <w:ilvl w:val="0"/>
          <w:numId w:val="11"/>
        </w:numPr>
        <w:rPr>
          <w:rFonts w:ascii="Times New Roman" w:hAnsi="Times New Roman" w:cs="Times New Roman"/>
        </w:rPr>
      </w:pPr>
      <w:r w:rsidRPr="00A979E4">
        <w:rPr>
          <w:rFonts w:ascii="Times New Roman" w:hAnsi="Times New Roman" w:cs="Times New Roman"/>
        </w:rPr>
        <w:t xml:space="preserve">Supporting Credit Ratings from </w:t>
      </w:r>
      <w:proofErr w:type="spellStart"/>
      <w:r w:rsidRPr="00A979E4">
        <w:rPr>
          <w:rFonts w:ascii="Times New Roman" w:hAnsi="Times New Roman" w:cs="Times New Roman"/>
        </w:rPr>
        <w:t>Moodys</w:t>
      </w:r>
      <w:proofErr w:type="spellEnd"/>
      <w:r w:rsidRPr="00A979E4">
        <w:rPr>
          <w:rFonts w:ascii="Times New Roman" w:hAnsi="Times New Roman" w:cs="Times New Roman"/>
        </w:rPr>
        <w:t>.</w:t>
      </w:r>
    </w:p>
    <w:p w14:paraId="1098626C" w14:textId="22C907C5" w:rsidR="00F82D7E" w:rsidRPr="00A979E4" w:rsidRDefault="00F82D7E" w:rsidP="00CE7AD9">
      <w:pPr>
        <w:pStyle w:val="ListParagraph"/>
        <w:numPr>
          <w:ilvl w:val="0"/>
          <w:numId w:val="11"/>
        </w:numPr>
        <w:rPr>
          <w:rFonts w:ascii="Times New Roman" w:hAnsi="Times New Roman" w:cs="Times New Roman"/>
        </w:rPr>
      </w:pPr>
      <w:r w:rsidRPr="00A979E4">
        <w:rPr>
          <w:rFonts w:ascii="Times New Roman" w:hAnsi="Times New Roman" w:cs="Times New Roman"/>
        </w:rPr>
        <w:t>Supporting Credit Ratings from S&amp;P Global.</w:t>
      </w:r>
    </w:p>
    <w:p w14:paraId="6DC22F45" w14:textId="174FD212" w:rsidR="00F04346" w:rsidRPr="00A979E4" w:rsidRDefault="00F82D7E" w:rsidP="001D74BB">
      <w:pPr>
        <w:pStyle w:val="ListParagraph"/>
        <w:numPr>
          <w:ilvl w:val="0"/>
          <w:numId w:val="11"/>
        </w:numPr>
        <w:rPr>
          <w:rFonts w:ascii="Times New Roman" w:hAnsi="Times New Roman" w:cs="Times New Roman"/>
        </w:rPr>
      </w:pPr>
      <w:r w:rsidRPr="00A979E4">
        <w:rPr>
          <w:rFonts w:ascii="Times New Roman" w:hAnsi="Times New Roman" w:cs="Times New Roman"/>
        </w:rPr>
        <w:t xml:space="preserve">Supporting Data from </w:t>
      </w:r>
      <w:proofErr w:type="spellStart"/>
      <w:r w:rsidRPr="00A979E4">
        <w:rPr>
          <w:rFonts w:ascii="Times New Roman" w:hAnsi="Times New Roman" w:cs="Times New Roman"/>
        </w:rPr>
        <w:t>Eviews</w:t>
      </w:r>
      <w:proofErr w:type="spellEnd"/>
      <w:r w:rsidRPr="00A979E4">
        <w:rPr>
          <w:rFonts w:ascii="Times New Roman" w:hAnsi="Times New Roman" w:cs="Times New Roman"/>
        </w:rPr>
        <w:t>.</w:t>
      </w:r>
    </w:p>
    <w:p w14:paraId="6C3AB58F" w14:textId="48B263FC" w:rsidR="000C79D6" w:rsidRPr="00A979E4" w:rsidRDefault="00E5426D" w:rsidP="00E5426D">
      <w:pPr>
        <w:pStyle w:val="ListParagraph"/>
        <w:numPr>
          <w:ilvl w:val="0"/>
          <w:numId w:val="11"/>
        </w:numPr>
        <w:spacing w:after="0"/>
        <w:rPr>
          <w:rFonts w:ascii="Times New Roman" w:hAnsi="Times New Roman" w:cs="Times New Roman"/>
        </w:rPr>
      </w:pPr>
      <w:r w:rsidRPr="00E5426D">
        <w:rPr>
          <w:rFonts w:ascii="Times New Roman" w:hAnsi="Times New Roman" w:cs="Times New Roman"/>
        </w:rPr>
        <w:t>Supporting Data from Northern Indiana Public Service Company FERC FORM 1</w:t>
      </w:r>
      <w:r>
        <w:rPr>
          <w:rFonts w:ascii="Times New Roman" w:hAnsi="Times New Roman" w:cs="Times New Roman"/>
        </w:rPr>
        <w:t>.</w:t>
      </w:r>
    </w:p>
    <w:sectPr w:rsidR="000C79D6" w:rsidRPr="00A979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B25B" w14:textId="77777777" w:rsidR="00EF5E80" w:rsidRDefault="00EF5E80" w:rsidP="005D186F">
      <w:pPr>
        <w:spacing w:after="0" w:line="240" w:lineRule="auto"/>
      </w:pPr>
      <w:r>
        <w:separator/>
      </w:r>
    </w:p>
  </w:endnote>
  <w:endnote w:type="continuationSeparator" w:id="0">
    <w:p w14:paraId="2E8C0AD0" w14:textId="77777777" w:rsidR="00EF5E80" w:rsidRDefault="00EF5E80" w:rsidP="005D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FFC1" w14:textId="77777777" w:rsidR="00EF5E80" w:rsidRDefault="00EF5E80" w:rsidP="005D186F">
      <w:pPr>
        <w:spacing w:after="0" w:line="240" w:lineRule="auto"/>
      </w:pPr>
      <w:r>
        <w:separator/>
      </w:r>
    </w:p>
  </w:footnote>
  <w:footnote w:type="continuationSeparator" w:id="0">
    <w:p w14:paraId="3A10CE10" w14:textId="77777777" w:rsidR="00EF5E80" w:rsidRDefault="00EF5E80" w:rsidP="005D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DD4E" w14:textId="4409E968" w:rsidR="005D186F" w:rsidRPr="00DA3C14" w:rsidRDefault="00F06DAF" w:rsidP="005D186F">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u w:val="none"/>
      </w:rPr>
    </w:pPr>
    <w:r>
      <w:rPr>
        <w:rFonts w:ascii="Times New Roman" w:hAnsi="Times New Roman" w:cs="Times New Roman"/>
        <w:u w:val="none"/>
      </w:rPr>
      <w:t>Peoples Gas System, Inc.</w:t>
    </w:r>
  </w:p>
  <w:p w14:paraId="1D9AA300" w14:textId="4FE5DD7A" w:rsidR="005D186F" w:rsidRPr="00DA3C14" w:rsidRDefault="005D186F" w:rsidP="005D186F">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u w:val="none"/>
      </w:rPr>
    </w:pPr>
    <w:r>
      <w:rPr>
        <w:rFonts w:ascii="Times New Roman" w:hAnsi="Times New Roman" w:cs="Times New Roman"/>
        <w:u w:val="none"/>
      </w:rPr>
      <w:t xml:space="preserve">Index of </w:t>
    </w:r>
    <w:r w:rsidRPr="00DA3C14">
      <w:rPr>
        <w:rFonts w:ascii="Times New Roman" w:hAnsi="Times New Roman" w:cs="Times New Roman"/>
        <w:u w:val="none"/>
      </w:rPr>
      <w:t xml:space="preserve">Workpapers </w:t>
    </w:r>
  </w:p>
  <w:p w14:paraId="0FF853C4" w14:textId="44B23FD3" w:rsidR="00A979E4" w:rsidRPr="005D186F" w:rsidRDefault="005D186F" w:rsidP="00A979E4">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to Mr. Dylan W. D’Ascendis’ </w:t>
    </w:r>
    <w:r w:rsidR="00A979E4">
      <w:rPr>
        <w:rFonts w:ascii="Times New Roman" w:hAnsi="Times New Roman" w:cs="Times New Roman"/>
        <w:sz w:val="24"/>
        <w:szCs w:val="24"/>
        <w:u w:val="single"/>
      </w:rPr>
      <w:t>Direct Testimony</w:t>
    </w:r>
    <w:r w:rsidR="002957BF">
      <w:rPr>
        <w:rFonts w:ascii="Times New Roman" w:hAnsi="Times New Roman" w:cs="Times New Roman"/>
        <w:sz w:val="24"/>
        <w:szCs w:val="24"/>
        <w:u w:val="single"/>
      </w:rPr>
      <w:t xml:space="preserve"> </w:t>
    </w:r>
  </w:p>
  <w:p w14:paraId="260EC7F6" w14:textId="77777777" w:rsidR="005D186F" w:rsidRDefault="005D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5271"/>
    <w:multiLevelType w:val="hybridMultilevel"/>
    <w:tmpl w:val="E514E78E"/>
    <w:lvl w:ilvl="0" w:tplc="0409000F">
      <w:start w:val="1"/>
      <w:numFmt w:val="decimal"/>
      <w:lvlText w:val="%1."/>
      <w:lvlJc w:val="left"/>
      <w:pPr>
        <w:ind w:left="369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346CCF"/>
    <w:multiLevelType w:val="hybridMultilevel"/>
    <w:tmpl w:val="0134731E"/>
    <w:lvl w:ilvl="0" w:tplc="9EB294C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F7779"/>
    <w:multiLevelType w:val="hybridMultilevel"/>
    <w:tmpl w:val="CC7EA37C"/>
    <w:lvl w:ilvl="0" w:tplc="6648415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A7090"/>
    <w:multiLevelType w:val="hybridMultilevel"/>
    <w:tmpl w:val="8D2091F2"/>
    <w:lvl w:ilvl="0" w:tplc="C1AC815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5051F"/>
    <w:multiLevelType w:val="hybridMultilevel"/>
    <w:tmpl w:val="3FFE58FA"/>
    <w:lvl w:ilvl="0" w:tplc="0450B430">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5E3126"/>
    <w:multiLevelType w:val="hybridMultilevel"/>
    <w:tmpl w:val="5BBCB4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2D045B8"/>
    <w:multiLevelType w:val="hybridMultilevel"/>
    <w:tmpl w:val="ED6E5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93664C"/>
    <w:multiLevelType w:val="hybridMultilevel"/>
    <w:tmpl w:val="6990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65039"/>
    <w:multiLevelType w:val="hybridMultilevel"/>
    <w:tmpl w:val="AFDC4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C4730"/>
    <w:multiLevelType w:val="hybridMultilevel"/>
    <w:tmpl w:val="C4CECBD4"/>
    <w:lvl w:ilvl="0" w:tplc="32100FE0">
      <w:start w:val="1"/>
      <w:numFmt w:val="decimal"/>
      <w:lvlText w:val="%1."/>
      <w:lvlJc w:val="left"/>
      <w:pPr>
        <w:ind w:left="369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9F0BCA"/>
    <w:multiLevelType w:val="hybridMultilevel"/>
    <w:tmpl w:val="E514E78E"/>
    <w:lvl w:ilvl="0" w:tplc="0409000F">
      <w:start w:val="1"/>
      <w:numFmt w:val="decimal"/>
      <w:lvlText w:val="%1."/>
      <w:lvlJc w:val="left"/>
      <w:pPr>
        <w:ind w:left="369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002872">
    <w:abstractNumId w:val="8"/>
  </w:num>
  <w:num w:numId="2" w16cid:durableId="199904360">
    <w:abstractNumId w:val="1"/>
  </w:num>
  <w:num w:numId="3" w16cid:durableId="578946469">
    <w:abstractNumId w:val="6"/>
  </w:num>
  <w:num w:numId="4" w16cid:durableId="1458600617">
    <w:abstractNumId w:val="4"/>
  </w:num>
  <w:num w:numId="5" w16cid:durableId="261765933">
    <w:abstractNumId w:val="9"/>
  </w:num>
  <w:num w:numId="6" w16cid:durableId="406997094">
    <w:abstractNumId w:val="5"/>
  </w:num>
  <w:num w:numId="7" w16cid:durableId="1632058502">
    <w:abstractNumId w:val="10"/>
  </w:num>
  <w:num w:numId="8" w16cid:durableId="686057499">
    <w:abstractNumId w:val="0"/>
  </w:num>
  <w:num w:numId="9" w16cid:durableId="275526570">
    <w:abstractNumId w:val="2"/>
  </w:num>
  <w:num w:numId="10" w16cid:durableId="2023898952">
    <w:abstractNumId w:val="3"/>
  </w:num>
  <w:num w:numId="11" w16cid:durableId="1901474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6F"/>
    <w:rsid w:val="00000432"/>
    <w:rsid w:val="00001F8B"/>
    <w:rsid w:val="0000433F"/>
    <w:rsid w:val="00006BDB"/>
    <w:rsid w:val="00015ECC"/>
    <w:rsid w:val="00021244"/>
    <w:rsid w:val="000215D4"/>
    <w:rsid w:val="00033DC2"/>
    <w:rsid w:val="00042CA9"/>
    <w:rsid w:val="00053918"/>
    <w:rsid w:val="00053C24"/>
    <w:rsid w:val="00076518"/>
    <w:rsid w:val="00084BD7"/>
    <w:rsid w:val="00087096"/>
    <w:rsid w:val="00091B85"/>
    <w:rsid w:val="00095744"/>
    <w:rsid w:val="000A3D25"/>
    <w:rsid w:val="000C0C66"/>
    <w:rsid w:val="000C79D6"/>
    <w:rsid w:val="000E18D3"/>
    <w:rsid w:val="000E50EE"/>
    <w:rsid w:val="000F04B5"/>
    <w:rsid w:val="00102152"/>
    <w:rsid w:val="001060B2"/>
    <w:rsid w:val="00106129"/>
    <w:rsid w:val="00112963"/>
    <w:rsid w:val="0013078A"/>
    <w:rsid w:val="00146809"/>
    <w:rsid w:val="00160A07"/>
    <w:rsid w:val="00166372"/>
    <w:rsid w:val="00170166"/>
    <w:rsid w:val="001749A8"/>
    <w:rsid w:val="00187A90"/>
    <w:rsid w:val="00196662"/>
    <w:rsid w:val="001B6B81"/>
    <w:rsid w:val="001D74BB"/>
    <w:rsid w:val="001E17B4"/>
    <w:rsid w:val="001E1996"/>
    <w:rsid w:val="001F1195"/>
    <w:rsid w:val="001F4D76"/>
    <w:rsid w:val="00202C62"/>
    <w:rsid w:val="00203D1E"/>
    <w:rsid w:val="00204D44"/>
    <w:rsid w:val="002175C8"/>
    <w:rsid w:val="00223F27"/>
    <w:rsid w:val="00225FF5"/>
    <w:rsid w:val="00231BBF"/>
    <w:rsid w:val="00236F25"/>
    <w:rsid w:val="00265878"/>
    <w:rsid w:val="00266509"/>
    <w:rsid w:val="00270CF6"/>
    <w:rsid w:val="00281672"/>
    <w:rsid w:val="00291E56"/>
    <w:rsid w:val="002957BF"/>
    <w:rsid w:val="002A2DC0"/>
    <w:rsid w:val="002B1CFE"/>
    <w:rsid w:val="002B6C00"/>
    <w:rsid w:val="002C171E"/>
    <w:rsid w:val="002E58E1"/>
    <w:rsid w:val="002E7500"/>
    <w:rsid w:val="00302EF6"/>
    <w:rsid w:val="00313628"/>
    <w:rsid w:val="00322A54"/>
    <w:rsid w:val="003243C9"/>
    <w:rsid w:val="0032774E"/>
    <w:rsid w:val="00331ABC"/>
    <w:rsid w:val="00334078"/>
    <w:rsid w:val="003356E6"/>
    <w:rsid w:val="0035162D"/>
    <w:rsid w:val="00364434"/>
    <w:rsid w:val="00364CD1"/>
    <w:rsid w:val="00365054"/>
    <w:rsid w:val="003809F7"/>
    <w:rsid w:val="003A2A5A"/>
    <w:rsid w:val="003B486B"/>
    <w:rsid w:val="003C525A"/>
    <w:rsid w:val="003C6644"/>
    <w:rsid w:val="003F4EAD"/>
    <w:rsid w:val="00401DBA"/>
    <w:rsid w:val="00463448"/>
    <w:rsid w:val="00472F30"/>
    <w:rsid w:val="00485FE7"/>
    <w:rsid w:val="00486265"/>
    <w:rsid w:val="004937B7"/>
    <w:rsid w:val="004B3097"/>
    <w:rsid w:val="004B60E5"/>
    <w:rsid w:val="004B6D8E"/>
    <w:rsid w:val="004E114D"/>
    <w:rsid w:val="004E222D"/>
    <w:rsid w:val="004E4D36"/>
    <w:rsid w:val="004F47E6"/>
    <w:rsid w:val="004F5039"/>
    <w:rsid w:val="00502EFD"/>
    <w:rsid w:val="0050797B"/>
    <w:rsid w:val="00511B17"/>
    <w:rsid w:val="00515C05"/>
    <w:rsid w:val="0053041F"/>
    <w:rsid w:val="00541B42"/>
    <w:rsid w:val="005446E3"/>
    <w:rsid w:val="0054473A"/>
    <w:rsid w:val="005524FA"/>
    <w:rsid w:val="00557D46"/>
    <w:rsid w:val="00565650"/>
    <w:rsid w:val="00571194"/>
    <w:rsid w:val="00571B35"/>
    <w:rsid w:val="00572D9C"/>
    <w:rsid w:val="00573AA1"/>
    <w:rsid w:val="00586332"/>
    <w:rsid w:val="005A1769"/>
    <w:rsid w:val="005A377E"/>
    <w:rsid w:val="005A4C83"/>
    <w:rsid w:val="005A5EFA"/>
    <w:rsid w:val="005A5FFC"/>
    <w:rsid w:val="005B5DD9"/>
    <w:rsid w:val="005D186F"/>
    <w:rsid w:val="005F2074"/>
    <w:rsid w:val="005F27A2"/>
    <w:rsid w:val="005F4CC1"/>
    <w:rsid w:val="0061521A"/>
    <w:rsid w:val="00615E64"/>
    <w:rsid w:val="00624CA4"/>
    <w:rsid w:val="006302DF"/>
    <w:rsid w:val="00631A40"/>
    <w:rsid w:val="00631A8D"/>
    <w:rsid w:val="00631FF2"/>
    <w:rsid w:val="006463C9"/>
    <w:rsid w:val="006466DD"/>
    <w:rsid w:val="0066096A"/>
    <w:rsid w:val="00667637"/>
    <w:rsid w:val="00682494"/>
    <w:rsid w:val="00690677"/>
    <w:rsid w:val="006936DD"/>
    <w:rsid w:val="006A0E52"/>
    <w:rsid w:val="006A4233"/>
    <w:rsid w:val="006B1697"/>
    <w:rsid w:val="006B467D"/>
    <w:rsid w:val="006C36BA"/>
    <w:rsid w:val="006D3D15"/>
    <w:rsid w:val="006D5B1D"/>
    <w:rsid w:val="006F2AA9"/>
    <w:rsid w:val="006F5848"/>
    <w:rsid w:val="00700AA7"/>
    <w:rsid w:val="0070453D"/>
    <w:rsid w:val="007163B9"/>
    <w:rsid w:val="0072427E"/>
    <w:rsid w:val="00734CBB"/>
    <w:rsid w:val="0073568F"/>
    <w:rsid w:val="00735DAA"/>
    <w:rsid w:val="0074462D"/>
    <w:rsid w:val="007505D9"/>
    <w:rsid w:val="00750BC6"/>
    <w:rsid w:val="0075353A"/>
    <w:rsid w:val="00761237"/>
    <w:rsid w:val="00764BB4"/>
    <w:rsid w:val="007653E4"/>
    <w:rsid w:val="007722C4"/>
    <w:rsid w:val="00777CF9"/>
    <w:rsid w:val="00793FF4"/>
    <w:rsid w:val="007A1162"/>
    <w:rsid w:val="007B50B7"/>
    <w:rsid w:val="007B5AB6"/>
    <w:rsid w:val="007C3D2E"/>
    <w:rsid w:val="007C52E9"/>
    <w:rsid w:val="007E2902"/>
    <w:rsid w:val="007F42FA"/>
    <w:rsid w:val="007F48C2"/>
    <w:rsid w:val="007F6836"/>
    <w:rsid w:val="00822626"/>
    <w:rsid w:val="00823D60"/>
    <w:rsid w:val="0082521A"/>
    <w:rsid w:val="00827F44"/>
    <w:rsid w:val="0083724E"/>
    <w:rsid w:val="00840A63"/>
    <w:rsid w:val="00854083"/>
    <w:rsid w:val="00854850"/>
    <w:rsid w:val="00860F67"/>
    <w:rsid w:val="00871789"/>
    <w:rsid w:val="008800AC"/>
    <w:rsid w:val="00887368"/>
    <w:rsid w:val="008965B8"/>
    <w:rsid w:val="00897CE4"/>
    <w:rsid w:val="008A1A1B"/>
    <w:rsid w:val="008A5E22"/>
    <w:rsid w:val="008A740E"/>
    <w:rsid w:val="008A7631"/>
    <w:rsid w:val="008B5FB6"/>
    <w:rsid w:val="008B64DB"/>
    <w:rsid w:val="008C0F15"/>
    <w:rsid w:val="008C42EE"/>
    <w:rsid w:val="008C7AB5"/>
    <w:rsid w:val="008D2496"/>
    <w:rsid w:val="008E01DC"/>
    <w:rsid w:val="008E47A6"/>
    <w:rsid w:val="008F6673"/>
    <w:rsid w:val="00904BC8"/>
    <w:rsid w:val="00912138"/>
    <w:rsid w:val="00913782"/>
    <w:rsid w:val="0091437F"/>
    <w:rsid w:val="00915AA9"/>
    <w:rsid w:val="00916E3A"/>
    <w:rsid w:val="009241C9"/>
    <w:rsid w:val="0094165F"/>
    <w:rsid w:val="009446D6"/>
    <w:rsid w:val="00970C97"/>
    <w:rsid w:val="00970D68"/>
    <w:rsid w:val="00983404"/>
    <w:rsid w:val="00994808"/>
    <w:rsid w:val="009A0FF5"/>
    <w:rsid w:val="009A435B"/>
    <w:rsid w:val="009A4391"/>
    <w:rsid w:val="009B2CA0"/>
    <w:rsid w:val="009E1500"/>
    <w:rsid w:val="009E27CB"/>
    <w:rsid w:val="009E2B52"/>
    <w:rsid w:val="009E464A"/>
    <w:rsid w:val="009E6550"/>
    <w:rsid w:val="009F05ED"/>
    <w:rsid w:val="00A022F3"/>
    <w:rsid w:val="00A22762"/>
    <w:rsid w:val="00A27246"/>
    <w:rsid w:val="00A331E9"/>
    <w:rsid w:val="00A546B9"/>
    <w:rsid w:val="00A811E6"/>
    <w:rsid w:val="00A87904"/>
    <w:rsid w:val="00A94068"/>
    <w:rsid w:val="00A94FCD"/>
    <w:rsid w:val="00A979E4"/>
    <w:rsid w:val="00A97E62"/>
    <w:rsid w:val="00AB0C8A"/>
    <w:rsid w:val="00AB73FF"/>
    <w:rsid w:val="00AC2C7F"/>
    <w:rsid w:val="00AC5CCB"/>
    <w:rsid w:val="00AD7E33"/>
    <w:rsid w:val="00B22330"/>
    <w:rsid w:val="00B25878"/>
    <w:rsid w:val="00B27AE4"/>
    <w:rsid w:val="00B30237"/>
    <w:rsid w:val="00B30B79"/>
    <w:rsid w:val="00B37EA9"/>
    <w:rsid w:val="00B457D0"/>
    <w:rsid w:val="00B53EF9"/>
    <w:rsid w:val="00B543EB"/>
    <w:rsid w:val="00B552F2"/>
    <w:rsid w:val="00B71079"/>
    <w:rsid w:val="00B74E04"/>
    <w:rsid w:val="00B8149F"/>
    <w:rsid w:val="00BA1922"/>
    <w:rsid w:val="00BA1FD3"/>
    <w:rsid w:val="00BB1527"/>
    <w:rsid w:val="00BC00F4"/>
    <w:rsid w:val="00BE5102"/>
    <w:rsid w:val="00BE6E42"/>
    <w:rsid w:val="00BF22B6"/>
    <w:rsid w:val="00C23ADE"/>
    <w:rsid w:val="00C23D1C"/>
    <w:rsid w:val="00C26749"/>
    <w:rsid w:val="00C31382"/>
    <w:rsid w:val="00C47210"/>
    <w:rsid w:val="00C55F24"/>
    <w:rsid w:val="00C65B79"/>
    <w:rsid w:val="00C73887"/>
    <w:rsid w:val="00C93A22"/>
    <w:rsid w:val="00CA3518"/>
    <w:rsid w:val="00CC70CA"/>
    <w:rsid w:val="00CD2E7A"/>
    <w:rsid w:val="00CD30FA"/>
    <w:rsid w:val="00CD75FA"/>
    <w:rsid w:val="00CE4DEB"/>
    <w:rsid w:val="00CE7AD9"/>
    <w:rsid w:val="00CF1974"/>
    <w:rsid w:val="00CF40E5"/>
    <w:rsid w:val="00CF53EE"/>
    <w:rsid w:val="00D0386E"/>
    <w:rsid w:val="00D211DD"/>
    <w:rsid w:val="00D24ADF"/>
    <w:rsid w:val="00D25B26"/>
    <w:rsid w:val="00D31B41"/>
    <w:rsid w:val="00D61A47"/>
    <w:rsid w:val="00D66B01"/>
    <w:rsid w:val="00D84A9B"/>
    <w:rsid w:val="00D91568"/>
    <w:rsid w:val="00DA0060"/>
    <w:rsid w:val="00DB00A4"/>
    <w:rsid w:val="00DC03A2"/>
    <w:rsid w:val="00DC3576"/>
    <w:rsid w:val="00DC5A0B"/>
    <w:rsid w:val="00DD1A1E"/>
    <w:rsid w:val="00DD7DED"/>
    <w:rsid w:val="00DE75CA"/>
    <w:rsid w:val="00DE7C7C"/>
    <w:rsid w:val="00DF4683"/>
    <w:rsid w:val="00DF7916"/>
    <w:rsid w:val="00E013CB"/>
    <w:rsid w:val="00E322B1"/>
    <w:rsid w:val="00E41793"/>
    <w:rsid w:val="00E462E5"/>
    <w:rsid w:val="00E50C99"/>
    <w:rsid w:val="00E514F0"/>
    <w:rsid w:val="00E51924"/>
    <w:rsid w:val="00E5426D"/>
    <w:rsid w:val="00E6022C"/>
    <w:rsid w:val="00E61DFD"/>
    <w:rsid w:val="00E65C70"/>
    <w:rsid w:val="00E65E20"/>
    <w:rsid w:val="00E71A3A"/>
    <w:rsid w:val="00E72C7A"/>
    <w:rsid w:val="00E74F69"/>
    <w:rsid w:val="00E753C8"/>
    <w:rsid w:val="00E76EF6"/>
    <w:rsid w:val="00E831E7"/>
    <w:rsid w:val="00E90752"/>
    <w:rsid w:val="00E97611"/>
    <w:rsid w:val="00EB0CDD"/>
    <w:rsid w:val="00EC14E9"/>
    <w:rsid w:val="00EC7D0C"/>
    <w:rsid w:val="00EE77DD"/>
    <w:rsid w:val="00EF0086"/>
    <w:rsid w:val="00EF49AA"/>
    <w:rsid w:val="00EF5E80"/>
    <w:rsid w:val="00F04346"/>
    <w:rsid w:val="00F06DAF"/>
    <w:rsid w:val="00F118EA"/>
    <w:rsid w:val="00F3290E"/>
    <w:rsid w:val="00F4159C"/>
    <w:rsid w:val="00F5613D"/>
    <w:rsid w:val="00F63FAF"/>
    <w:rsid w:val="00F82D7E"/>
    <w:rsid w:val="00F84837"/>
    <w:rsid w:val="00F87111"/>
    <w:rsid w:val="00FB640A"/>
    <w:rsid w:val="00FC1C5B"/>
    <w:rsid w:val="00FC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4052"/>
  <w15:chartTrackingRefBased/>
  <w15:docId w15:val="{B4194D2F-4AA8-4F9A-8BA6-B4920261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6F"/>
  </w:style>
  <w:style w:type="paragraph" w:styleId="Footer">
    <w:name w:val="footer"/>
    <w:basedOn w:val="Normal"/>
    <w:link w:val="FooterChar"/>
    <w:uiPriority w:val="99"/>
    <w:unhideWhenUsed/>
    <w:rsid w:val="005D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6F"/>
  </w:style>
  <w:style w:type="paragraph" w:styleId="Title">
    <w:name w:val="Title"/>
    <w:basedOn w:val="Normal"/>
    <w:link w:val="TitleChar"/>
    <w:qFormat/>
    <w:rsid w:val="005D186F"/>
    <w:pPr>
      <w:widowControl w:val="0"/>
      <w:autoSpaceDE w:val="0"/>
      <w:autoSpaceDN w:val="0"/>
      <w:adjustRightInd w:val="0"/>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5D186F"/>
    <w:rPr>
      <w:rFonts w:ascii="Arial" w:eastAsia="Times New Roman" w:hAnsi="Arial" w:cs="Arial"/>
      <w:sz w:val="24"/>
      <w:szCs w:val="24"/>
      <w:u w:val="single"/>
    </w:rPr>
  </w:style>
  <w:style w:type="paragraph" w:styleId="ListParagraph">
    <w:name w:val="List Paragraph"/>
    <w:basedOn w:val="Normal"/>
    <w:uiPriority w:val="34"/>
    <w:qFormat/>
    <w:rsid w:val="005D186F"/>
    <w:pPr>
      <w:ind w:left="720"/>
      <w:contextualSpacing/>
    </w:pPr>
  </w:style>
  <w:style w:type="paragraph" w:styleId="FootnoteText">
    <w:name w:val="footnote text"/>
    <w:aliases w:val="Style 22,fn,Footnote Text Char Char Char Char Char Char Char Char Char,BG Footnote Text,TBG Style,footnote text1,Footnote Text Char1 Char,Footnote Text Char Char Char,Footnote Text Char Char1,ft Char,Car,ALTS FOOTNOTE,ft,Style 12,Style 9"/>
    <w:basedOn w:val="Normal"/>
    <w:link w:val="FootnoteTextChar"/>
    <w:uiPriority w:val="99"/>
    <w:qFormat/>
    <w:rsid w:val="00557D46"/>
    <w:pPr>
      <w:spacing w:after="120" w:line="240" w:lineRule="auto"/>
      <w:ind w:left="720" w:firstLine="720"/>
      <w:jc w:val="both"/>
    </w:pPr>
    <w:rPr>
      <w:rFonts w:ascii="Arial" w:eastAsiaTheme="minorEastAsia" w:hAnsi="Arial" w:cs="Arial"/>
      <w:sz w:val="20"/>
      <w:szCs w:val="24"/>
    </w:rPr>
  </w:style>
  <w:style w:type="character" w:customStyle="1" w:styleId="FootnoteTextChar">
    <w:name w:val="Footnote Text Char"/>
    <w:aliases w:val="Style 22 Char,fn Char,Footnote Text Char Char Char Char Char Char Char Char Char Char,BG Footnote Text Char,TBG Style Char,footnote text1 Char,Footnote Text Char1 Char Char,Footnote Text Char Char Char Char,ft Char Char,Car Char"/>
    <w:basedOn w:val="DefaultParagraphFont"/>
    <w:link w:val="FootnoteText"/>
    <w:uiPriority w:val="99"/>
    <w:rsid w:val="00557D46"/>
    <w:rPr>
      <w:rFonts w:ascii="Arial" w:eastAsiaTheme="minorEastAsia" w:hAnsi="Arial" w:cs="Arial"/>
      <w:sz w:val="20"/>
      <w:szCs w:val="24"/>
    </w:rPr>
  </w:style>
  <w:style w:type="paragraph" w:styleId="BalloonText">
    <w:name w:val="Balloon Text"/>
    <w:basedOn w:val="Normal"/>
    <w:link w:val="BalloonTextChar"/>
    <w:uiPriority w:val="99"/>
    <w:semiHidden/>
    <w:unhideWhenUsed/>
    <w:rsid w:val="004B6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D8E"/>
    <w:rPr>
      <w:rFonts w:ascii="Segoe UI" w:hAnsi="Segoe UI" w:cs="Segoe UI"/>
      <w:sz w:val="18"/>
      <w:szCs w:val="18"/>
    </w:rPr>
  </w:style>
  <w:style w:type="character" w:styleId="Hyperlink">
    <w:name w:val="Hyperlink"/>
    <w:basedOn w:val="DefaultParagraphFont"/>
    <w:uiPriority w:val="99"/>
    <w:unhideWhenUsed/>
    <w:rsid w:val="002175C8"/>
    <w:rPr>
      <w:color w:val="0563C1" w:themeColor="hyperlink"/>
      <w:u w:val="single"/>
    </w:rPr>
  </w:style>
  <w:style w:type="character" w:styleId="UnresolvedMention">
    <w:name w:val="Unresolved Mention"/>
    <w:basedOn w:val="DefaultParagraphFont"/>
    <w:uiPriority w:val="99"/>
    <w:semiHidden/>
    <w:unhideWhenUsed/>
    <w:rsid w:val="002175C8"/>
    <w:rPr>
      <w:color w:val="605E5C"/>
      <w:shd w:val="clear" w:color="auto" w:fill="E1DFDD"/>
    </w:rPr>
  </w:style>
  <w:style w:type="character" w:styleId="FootnoteReference">
    <w:name w:val="footnote reference"/>
    <w:aliases w:val="Style 11,Style 28,Style 8,Style 21,Style 4,o,fr,Style 17,Style 13,o1,fr1,o2,fr2,o3,fr3,Style 18,(NECG) Footnote Reference,Style 20,Style 7,Style 19,Style 5,Footnote Reference (EIS),Styl,.,SR FR,Sty,fnr,Style 24,Style 15,Style,Style 16"/>
    <w:basedOn w:val="DefaultParagraphFont"/>
    <w:uiPriority w:val="99"/>
    <w:qFormat/>
    <w:rsid w:val="007F42FA"/>
    <w:rPr>
      <w:rFonts w:ascii="Times New Roman" w:hAnsi="Times New Roman"/>
      <w:sz w:val="24"/>
      <w:vertAlign w:val="superscript"/>
    </w:rPr>
  </w:style>
  <w:style w:type="paragraph" w:customStyle="1" w:styleId="Footnotes">
    <w:name w:val="Footnotes"/>
    <w:basedOn w:val="Normal"/>
    <w:link w:val="FootnotesChar"/>
    <w:qFormat/>
    <w:rsid w:val="007A1162"/>
    <w:pPr>
      <w:spacing w:after="0" w:line="240" w:lineRule="auto"/>
    </w:pPr>
    <w:rPr>
      <w:rFonts w:ascii="Arial" w:eastAsia="Times New Roman" w:hAnsi="Arial" w:cs="Arial"/>
      <w:sz w:val="20"/>
      <w:szCs w:val="20"/>
    </w:rPr>
  </w:style>
  <w:style w:type="character" w:customStyle="1" w:styleId="FootnotesChar">
    <w:name w:val="Footnotes Char"/>
    <w:basedOn w:val="DefaultParagraphFont"/>
    <w:link w:val="Footnotes"/>
    <w:rsid w:val="007A1162"/>
    <w:rPr>
      <w:rFonts w:ascii="Arial" w:eastAsia="Times New Roman" w:hAnsi="Arial" w:cs="Arial"/>
      <w:sz w:val="20"/>
      <w:szCs w:val="20"/>
    </w:rPr>
  </w:style>
  <w:style w:type="paragraph" w:customStyle="1" w:styleId="TestimonyTitle">
    <w:name w:val="Testimony Title"/>
    <w:basedOn w:val="Normal"/>
    <w:next w:val="Normal"/>
    <w:rsid w:val="00631FF2"/>
    <w:pPr>
      <w:widowControl w:val="0"/>
      <w:spacing w:after="0" w:line="240" w:lineRule="auto"/>
      <w:jc w:val="right"/>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A2E9E-90F2-4D45-820B-8A536A76460F}"/>
</file>

<file path=customXml/itemProps2.xml><?xml version="1.0" encoding="utf-8"?>
<ds:datastoreItem xmlns:ds="http://schemas.openxmlformats.org/officeDocument/2006/customXml" ds:itemID="{2ED382A9-94E4-4E53-9206-E33065FA7B98}"/>
</file>

<file path=customXml/itemProps3.xml><?xml version="1.0" encoding="utf-8"?>
<ds:datastoreItem xmlns:ds="http://schemas.openxmlformats.org/officeDocument/2006/customXml" ds:itemID="{EFFCFEE0-3C35-48A8-B5E6-0C81EABC8BAE}"/>
</file>

<file path=customXml/itemProps4.xml><?xml version="1.0" encoding="utf-8"?>
<ds:datastoreItem xmlns:ds="http://schemas.openxmlformats.org/officeDocument/2006/customXml" ds:itemID="{D003E5CB-0923-4874-8571-81E608EBCA29}"/>
</file>

<file path=docProps/app.xml><?xml version="1.0" encoding="utf-8"?>
<Properties xmlns="http://schemas.openxmlformats.org/officeDocument/2006/extended-properties" xmlns:vt="http://schemas.openxmlformats.org/officeDocument/2006/docPropsVTypes">
  <Template>Normal</Template>
  <TotalTime>3889</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Gustafson</dc:creator>
  <cp:keywords/>
  <dc:description/>
  <cp:lastModifiedBy>John Semenza</cp:lastModifiedBy>
  <cp:revision>7</cp:revision>
  <dcterms:created xsi:type="dcterms:W3CDTF">2023-02-03T22:21:00Z</dcterms:created>
  <dcterms:modified xsi:type="dcterms:W3CDTF">2023-02-13T20:20:00Z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ies>
</file>