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330A" w14:textId="7B596B7E" w:rsidR="00564F23" w:rsidRDefault="00564F23" w:rsidP="48B42E7C">
      <w:pPr>
        <w:widowControl w:val="0"/>
        <w:rPr>
          <w:rFonts w:cs="Courier New"/>
          <w:noProof/>
        </w:rPr>
      </w:pPr>
    </w:p>
    <w:p w14:paraId="30DDC5D2" w14:textId="77777777" w:rsidR="009C6238" w:rsidRPr="00B23997" w:rsidRDefault="009C6238" w:rsidP="00B23997">
      <w:pPr>
        <w:widowControl w:val="0"/>
        <w:ind w:right="432"/>
        <w:jc w:val="center"/>
        <w:rPr>
          <w:rFonts w:cs="Courier New"/>
          <w:b/>
          <w:sz w:val="32"/>
        </w:rPr>
      </w:pPr>
    </w:p>
    <w:p w14:paraId="46FAE440" w14:textId="77777777" w:rsidR="009C6238" w:rsidRPr="00B23997" w:rsidRDefault="009C6238" w:rsidP="00B23997">
      <w:pPr>
        <w:widowControl w:val="0"/>
        <w:ind w:right="432"/>
        <w:jc w:val="center"/>
        <w:rPr>
          <w:rFonts w:cs="Courier New"/>
          <w:b/>
          <w:sz w:val="32"/>
        </w:rPr>
      </w:pPr>
    </w:p>
    <w:p w14:paraId="221358B9" w14:textId="77777777" w:rsidR="00F20BDE" w:rsidRPr="00B23997" w:rsidRDefault="00F20BDE" w:rsidP="00B23997">
      <w:pPr>
        <w:widowControl w:val="0"/>
        <w:ind w:right="432"/>
        <w:jc w:val="center"/>
        <w:rPr>
          <w:rFonts w:cs="Courier New"/>
          <w:b/>
          <w:sz w:val="32"/>
        </w:rPr>
      </w:pPr>
    </w:p>
    <w:p w14:paraId="5B3F7325"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2C31264A" w14:textId="77777777" w:rsidR="009C6238" w:rsidRPr="00B23997" w:rsidRDefault="009C6238" w:rsidP="00B23997">
      <w:pPr>
        <w:widowControl w:val="0"/>
        <w:ind w:right="432"/>
        <w:jc w:val="center"/>
        <w:rPr>
          <w:rFonts w:cs="Courier New"/>
          <w:b/>
          <w:sz w:val="32"/>
        </w:rPr>
      </w:pPr>
      <w:smartTag w:uri="urn:schemas-microsoft-com:office:smarttags" w:element="State">
        <w:smartTag w:uri="urn:schemas-microsoft-com:office:smarttags" w:element="place">
          <w:r w:rsidRPr="00B23997">
            <w:rPr>
              <w:rFonts w:cs="Courier New"/>
              <w:b/>
              <w:sz w:val="32"/>
            </w:rPr>
            <w:t>FLORIDA</w:t>
          </w:r>
        </w:smartTag>
      </w:smartTag>
      <w:r w:rsidRPr="00B23997">
        <w:rPr>
          <w:rFonts w:cs="Courier New"/>
          <w:b/>
          <w:sz w:val="32"/>
        </w:rPr>
        <w:t xml:space="preserve"> PUBLIC SERVICE COMMISSION</w:t>
      </w:r>
    </w:p>
    <w:p w14:paraId="7496A22C" w14:textId="77777777" w:rsidR="009C6238" w:rsidRPr="00B23997" w:rsidRDefault="009C6238" w:rsidP="00B23997">
      <w:pPr>
        <w:widowControl w:val="0"/>
        <w:ind w:right="432"/>
        <w:jc w:val="center"/>
        <w:rPr>
          <w:rFonts w:cs="Courier New"/>
          <w:b/>
          <w:sz w:val="32"/>
        </w:rPr>
      </w:pPr>
    </w:p>
    <w:p w14:paraId="51D86227" w14:textId="77777777" w:rsidR="009C6238" w:rsidRPr="00B23997" w:rsidRDefault="009C6238" w:rsidP="00B23997">
      <w:pPr>
        <w:widowControl w:val="0"/>
        <w:ind w:right="432"/>
        <w:jc w:val="center"/>
        <w:rPr>
          <w:rFonts w:cs="Courier New"/>
          <w:b/>
          <w:sz w:val="32"/>
        </w:rPr>
      </w:pPr>
    </w:p>
    <w:p w14:paraId="753A48DB" w14:textId="73C3A606" w:rsidR="009C6238" w:rsidRPr="00B23997" w:rsidRDefault="00236630" w:rsidP="00B23997">
      <w:pPr>
        <w:widowControl w:val="0"/>
        <w:ind w:right="432"/>
        <w:jc w:val="center"/>
        <w:rPr>
          <w:rFonts w:cs="Courier New"/>
          <w:b/>
          <w:sz w:val="32"/>
        </w:rPr>
      </w:pPr>
      <w:r w:rsidRPr="00B23997">
        <w:rPr>
          <w:rFonts w:cs="Courier New"/>
          <w:b/>
          <w:sz w:val="32"/>
        </w:rPr>
        <w:t xml:space="preserve">DOCKET NO. </w:t>
      </w:r>
      <w:r w:rsidR="00483F7C" w:rsidRPr="00B23997">
        <w:rPr>
          <w:rFonts w:cs="Courier New"/>
          <w:b/>
          <w:sz w:val="32"/>
        </w:rPr>
        <w:t>20</w:t>
      </w:r>
      <w:r w:rsidR="000D79FB">
        <w:rPr>
          <w:rFonts w:cs="Courier New"/>
          <w:b/>
          <w:sz w:val="32"/>
        </w:rPr>
        <w:t>2</w:t>
      </w:r>
      <w:r w:rsidR="00F63891">
        <w:rPr>
          <w:rFonts w:cs="Courier New"/>
          <w:b/>
          <w:sz w:val="32"/>
        </w:rPr>
        <w:t>3</w:t>
      </w:r>
      <w:r w:rsidR="00CD290C">
        <w:rPr>
          <w:rFonts w:cs="Courier New"/>
          <w:b/>
          <w:sz w:val="32"/>
        </w:rPr>
        <w:t>0023</w:t>
      </w:r>
      <w:r w:rsidR="00483F7C" w:rsidRPr="00B23997">
        <w:rPr>
          <w:rFonts w:cs="Courier New"/>
          <w:b/>
          <w:sz w:val="32"/>
        </w:rPr>
        <w:t>-</w:t>
      </w:r>
      <w:r w:rsidR="001E4DDA" w:rsidRPr="00B23997">
        <w:rPr>
          <w:rFonts w:cs="Courier New"/>
          <w:b/>
          <w:sz w:val="32"/>
        </w:rPr>
        <w:t>GU</w:t>
      </w:r>
    </w:p>
    <w:p w14:paraId="5809FFD4" w14:textId="77777777" w:rsidR="008C2D29" w:rsidRPr="00B23997" w:rsidRDefault="008C2D29" w:rsidP="00B23997">
      <w:pPr>
        <w:widowControl w:val="0"/>
        <w:ind w:right="432"/>
        <w:jc w:val="center"/>
        <w:rPr>
          <w:rFonts w:cs="Courier New"/>
          <w:b/>
          <w:sz w:val="32"/>
        </w:rPr>
      </w:pPr>
    </w:p>
    <w:p w14:paraId="6D69D7FB" w14:textId="77777777" w:rsidR="00C75515" w:rsidRDefault="009C6238" w:rsidP="00B23997">
      <w:pPr>
        <w:widowControl w:val="0"/>
        <w:ind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8D0A74">
        <w:rPr>
          <w:rFonts w:cs="Courier New"/>
          <w:b/>
          <w:sz w:val="32"/>
        </w:rPr>
        <w:t>R</w:t>
      </w:r>
      <w:r w:rsidR="000D79FB">
        <w:rPr>
          <w:rFonts w:cs="Courier New"/>
          <w:b/>
          <w:sz w:val="32"/>
        </w:rPr>
        <w:t>EASE</w:t>
      </w:r>
      <w:r w:rsidR="004540AE" w:rsidRPr="00B23997">
        <w:rPr>
          <w:rFonts w:cs="Courier New"/>
          <w:b/>
          <w:sz w:val="32"/>
        </w:rPr>
        <w:t xml:space="preserve"> </w:t>
      </w:r>
    </w:p>
    <w:p w14:paraId="12A8550A" w14:textId="66591F24" w:rsidR="009C6238" w:rsidRPr="00B23997" w:rsidRDefault="00C75515" w:rsidP="00B23997">
      <w:pPr>
        <w:widowControl w:val="0"/>
        <w:ind w:right="432"/>
        <w:jc w:val="center"/>
        <w:rPr>
          <w:rFonts w:cs="Courier New"/>
          <w:b/>
          <w:sz w:val="32"/>
        </w:rPr>
      </w:pPr>
      <w:r>
        <w:rPr>
          <w:rFonts w:cs="Courier New"/>
          <w:b/>
          <w:sz w:val="32"/>
        </w:rPr>
        <w:t xml:space="preserve">BY </w:t>
      </w:r>
      <w:r w:rsidR="00805765">
        <w:rPr>
          <w:rFonts w:cs="Courier New"/>
          <w:b/>
          <w:sz w:val="32"/>
        </w:rPr>
        <w:t>PEOPLES</w:t>
      </w:r>
      <w:r w:rsidR="004540AE" w:rsidRPr="00B23997">
        <w:rPr>
          <w:rFonts w:cs="Courier New"/>
          <w:b/>
          <w:sz w:val="32"/>
        </w:rPr>
        <w:t xml:space="preserve"> </w:t>
      </w:r>
      <w:r w:rsidR="00E6002B">
        <w:rPr>
          <w:rFonts w:cs="Courier New"/>
          <w:b/>
          <w:sz w:val="32"/>
        </w:rPr>
        <w:t>GAS</w:t>
      </w:r>
      <w:r w:rsidR="00E74ADA">
        <w:rPr>
          <w:rFonts w:cs="Courier New"/>
          <w:b/>
          <w:sz w:val="32"/>
        </w:rPr>
        <w:t xml:space="preserve"> SYSTEM</w:t>
      </w:r>
      <w:r w:rsidR="00AD666B">
        <w:rPr>
          <w:rFonts w:cs="Courier New"/>
          <w:b/>
          <w:sz w:val="32"/>
        </w:rPr>
        <w:t>, INC.</w:t>
      </w:r>
    </w:p>
    <w:p w14:paraId="5ED31F1F" w14:textId="77777777" w:rsidR="009C6238" w:rsidRPr="00B23997" w:rsidRDefault="009C6238" w:rsidP="00B23997">
      <w:pPr>
        <w:widowControl w:val="0"/>
        <w:ind w:right="432"/>
        <w:jc w:val="center"/>
        <w:rPr>
          <w:rFonts w:cs="Courier New"/>
          <w:b/>
          <w:sz w:val="32"/>
        </w:rPr>
      </w:pPr>
    </w:p>
    <w:p w14:paraId="645DD4D5" w14:textId="77777777" w:rsidR="009C6238" w:rsidRDefault="009C6238" w:rsidP="00B23997">
      <w:pPr>
        <w:widowControl w:val="0"/>
        <w:ind w:right="432"/>
        <w:jc w:val="center"/>
        <w:rPr>
          <w:rFonts w:cs="Courier New"/>
          <w:b/>
          <w:sz w:val="32"/>
        </w:rPr>
      </w:pPr>
    </w:p>
    <w:p w14:paraId="7EBAD0C8" w14:textId="77777777" w:rsidR="0015250A" w:rsidRPr="00B23997" w:rsidRDefault="0015250A" w:rsidP="00B23997">
      <w:pPr>
        <w:widowControl w:val="0"/>
        <w:ind w:right="432"/>
        <w:jc w:val="center"/>
        <w:rPr>
          <w:rFonts w:cs="Courier New"/>
          <w:b/>
          <w:sz w:val="32"/>
        </w:rPr>
      </w:pPr>
    </w:p>
    <w:p w14:paraId="5FE88DF4" w14:textId="77777777" w:rsidR="009C6238" w:rsidRPr="00B23997" w:rsidRDefault="009C6238" w:rsidP="00B23997">
      <w:pPr>
        <w:widowControl w:val="0"/>
        <w:ind w:right="432"/>
        <w:jc w:val="center"/>
        <w:rPr>
          <w:rFonts w:cs="Courier New"/>
          <w:b/>
          <w:sz w:val="32"/>
        </w:rPr>
      </w:pPr>
    </w:p>
    <w:p w14:paraId="779AA8DF"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034D6E0C"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4C837FBA" w14:textId="7EA3C3A3" w:rsidR="009C6238" w:rsidRDefault="007E28A3" w:rsidP="00B23997">
      <w:pPr>
        <w:widowControl w:val="0"/>
        <w:ind w:right="432"/>
        <w:jc w:val="center"/>
        <w:rPr>
          <w:rFonts w:cs="Courier New"/>
          <w:b/>
          <w:sz w:val="32"/>
        </w:rPr>
      </w:pPr>
      <w:r w:rsidRPr="007E28A3">
        <w:rPr>
          <w:rFonts w:cs="Courier New"/>
          <w:b/>
          <w:sz w:val="32"/>
        </w:rPr>
        <w:t xml:space="preserve">DYLAN </w:t>
      </w:r>
      <w:r w:rsidR="00411600">
        <w:rPr>
          <w:rFonts w:cs="Courier New"/>
          <w:b/>
          <w:sz w:val="32"/>
        </w:rPr>
        <w:t xml:space="preserve">W. </w:t>
      </w:r>
      <w:r w:rsidRPr="007E28A3">
        <w:rPr>
          <w:rFonts w:cs="Courier New"/>
          <w:b/>
          <w:sz w:val="32"/>
        </w:rPr>
        <w:t>D’ASCENDIS</w:t>
      </w:r>
    </w:p>
    <w:p w14:paraId="6BC7D358" w14:textId="77777777" w:rsidR="00635F03" w:rsidRDefault="00635F03" w:rsidP="00B23997">
      <w:pPr>
        <w:widowControl w:val="0"/>
        <w:ind w:right="432"/>
        <w:jc w:val="center"/>
        <w:rPr>
          <w:rFonts w:cs="Courier New"/>
          <w:b/>
          <w:sz w:val="32"/>
        </w:rPr>
      </w:pPr>
    </w:p>
    <w:p w14:paraId="6C03C077" w14:textId="77777777" w:rsidR="00635F03" w:rsidRDefault="00635F03" w:rsidP="00B23997">
      <w:pPr>
        <w:widowControl w:val="0"/>
        <w:ind w:right="432"/>
        <w:jc w:val="center"/>
        <w:rPr>
          <w:rFonts w:cs="Courier New"/>
          <w:b/>
          <w:sz w:val="32"/>
        </w:rPr>
      </w:pPr>
      <w:r>
        <w:rPr>
          <w:rFonts w:cs="Courier New"/>
          <w:b/>
          <w:sz w:val="32"/>
        </w:rPr>
        <w:t>ON BEHALF OF</w:t>
      </w:r>
    </w:p>
    <w:p w14:paraId="66FB8BD7" w14:textId="71CE71B6" w:rsidR="00635F03" w:rsidRPr="00B23997" w:rsidRDefault="00805765" w:rsidP="00B23997">
      <w:pPr>
        <w:widowControl w:val="0"/>
        <w:ind w:right="432"/>
        <w:jc w:val="center"/>
        <w:rPr>
          <w:rFonts w:cs="Courier New"/>
          <w:b/>
          <w:sz w:val="32"/>
        </w:rPr>
      </w:pPr>
      <w:r>
        <w:rPr>
          <w:rFonts w:cs="Courier New"/>
          <w:b/>
          <w:sz w:val="32"/>
        </w:rPr>
        <w:t>PEOPLES</w:t>
      </w:r>
      <w:r w:rsidR="00635F03">
        <w:rPr>
          <w:rFonts w:cs="Courier New"/>
          <w:b/>
          <w:sz w:val="32"/>
        </w:rPr>
        <w:t xml:space="preserve"> </w:t>
      </w:r>
      <w:r w:rsidR="00E6002B">
        <w:rPr>
          <w:rFonts w:cs="Courier New"/>
          <w:b/>
          <w:sz w:val="32"/>
        </w:rPr>
        <w:t>GAS</w:t>
      </w:r>
      <w:r w:rsidR="00E74ADA">
        <w:rPr>
          <w:rFonts w:cs="Courier New"/>
          <w:b/>
          <w:sz w:val="32"/>
        </w:rPr>
        <w:t xml:space="preserve"> SYSTEM</w:t>
      </w:r>
      <w:r w:rsidR="00AD666B">
        <w:rPr>
          <w:rFonts w:cs="Courier New"/>
          <w:b/>
          <w:sz w:val="32"/>
        </w:rPr>
        <w:t>, INC.</w:t>
      </w:r>
    </w:p>
    <w:p w14:paraId="5B30A5A0" w14:textId="77777777" w:rsidR="009C6238" w:rsidRPr="00B23997" w:rsidRDefault="009C6238" w:rsidP="00B23997">
      <w:pPr>
        <w:pStyle w:val="Title"/>
        <w:widowControl w:val="0"/>
        <w:tabs>
          <w:tab w:val="clear" w:pos="-1440"/>
          <w:tab w:val="clear" w:pos="-720"/>
          <w:tab w:val="clear" w:pos="720"/>
          <w:tab w:val="clear" w:pos="1440"/>
          <w:tab w:val="clear" w:pos="4440"/>
        </w:tabs>
        <w:rPr>
          <w:rFonts w:cs="Courier New"/>
        </w:rPr>
      </w:pPr>
    </w:p>
    <w:p w14:paraId="744EC1E4" w14:textId="77777777" w:rsidR="009B2965" w:rsidRPr="00B23997" w:rsidRDefault="009B2965" w:rsidP="00B23997">
      <w:pPr>
        <w:pStyle w:val="Title"/>
        <w:widowControl w:val="0"/>
        <w:tabs>
          <w:tab w:val="clear" w:pos="-1440"/>
          <w:tab w:val="clear" w:pos="-720"/>
          <w:tab w:val="clear" w:pos="720"/>
          <w:tab w:val="clear" w:pos="1440"/>
          <w:tab w:val="clear" w:pos="4440"/>
        </w:tabs>
        <w:rPr>
          <w:rFonts w:cs="Courier New"/>
        </w:rPr>
        <w:sectPr w:rsidR="009B2965" w:rsidRPr="00B23997" w:rsidSect="00B23997">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21671B12" w14:textId="5A161BE8" w:rsidR="003E7478" w:rsidRDefault="00F40667" w:rsidP="00135690">
      <w:pPr>
        <w:widowControl w:val="0"/>
        <w:suppressLineNumbers/>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lastRenderedPageBreak/>
        <w:t>TABLE OF CONTENTS</w:t>
      </w:r>
    </w:p>
    <w:p w14:paraId="417B65A3" w14:textId="77777777" w:rsidR="00F40667" w:rsidRPr="00B23997" w:rsidRDefault="00F40667" w:rsidP="00135690">
      <w:pPr>
        <w:widowControl w:val="0"/>
        <w:suppressLineNumbers/>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PREPARED DIRECT TESTIMONY</w:t>
      </w:r>
    </w:p>
    <w:p w14:paraId="35F6FC67" w14:textId="77777777" w:rsidR="00F40667" w:rsidRPr="00B23997" w:rsidRDefault="00F40667" w:rsidP="00135690">
      <w:pPr>
        <w:widowControl w:val="0"/>
        <w:suppressLineNumbers/>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OF</w:t>
      </w:r>
    </w:p>
    <w:p w14:paraId="5F3DBB41" w14:textId="169572F6" w:rsidR="00F40667" w:rsidRDefault="00F40667" w:rsidP="00135690">
      <w:pPr>
        <w:widowControl w:val="0"/>
        <w:suppressLineNumbers/>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7E28A3">
        <w:rPr>
          <w:rFonts w:cs="Courier New"/>
          <w:b/>
          <w:color w:val="000000"/>
        </w:rPr>
        <w:t xml:space="preserve">DYLAN </w:t>
      </w:r>
      <w:r w:rsidR="00411600">
        <w:rPr>
          <w:rFonts w:cs="Courier New"/>
          <w:b/>
          <w:color w:val="000000"/>
        </w:rPr>
        <w:t xml:space="preserve">W. </w:t>
      </w:r>
      <w:r w:rsidRPr="007E28A3">
        <w:rPr>
          <w:rFonts w:cs="Courier New"/>
          <w:b/>
          <w:color w:val="000000"/>
        </w:rPr>
        <w:t>D’ASCENDIS</w:t>
      </w:r>
    </w:p>
    <w:p w14:paraId="1157C5C1" w14:textId="085CA748" w:rsidR="00AD666B" w:rsidRDefault="00AD666B" w:rsidP="00135690">
      <w:pPr>
        <w:widowControl w:val="0"/>
        <w:suppressLineNumbers/>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t xml:space="preserve">ON BEHALF OF </w:t>
      </w:r>
      <w:r w:rsidR="00805765">
        <w:rPr>
          <w:rFonts w:cs="Courier New"/>
          <w:b/>
          <w:color w:val="000000"/>
        </w:rPr>
        <w:t>PEOPLES</w:t>
      </w:r>
      <w:r>
        <w:rPr>
          <w:rFonts w:cs="Courier New"/>
          <w:b/>
          <w:color w:val="000000"/>
        </w:rPr>
        <w:t xml:space="preserve"> </w:t>
      </w:r>
      <w:r w:rsidR="00126F28">
        <w:rPr>
          <w:rFonts w:cs="Courier New"/>
          <w:b/>
          <w:color w:val="000000"/>
        </w:rPr>
        <w:t xml:space="preserve">GAS </w:t>
      </w:r>
      <w:r>
        <w:rPr>
          <w:rFonts w:cs="Courier New"/>
          <w:b/>
          <w:color w:val="000000"/>
        </w:rPr>
        <w:t>SYSTEM</w:t>
      </w:r>
      <w:r w:rsidR="00012C7E">
        <w:rPr>
          <w:rFonts w:cs="Courier New"/>
          <w:b/>
          <w:color w:val="000000"/>
        </w:rPr>
        <w:t>, INC.</w:t>
      </w:r>
    </w:p>
    <w:p w14:paraId="1D3986E6" w14:textId="7F64A529" w:rsidR="00F40667" w:rsidRDefault="00F40667" w:rsidP="00135690">
      <w:pPr>
        <w:widowControl w:val="0"/>
        <w:suppressLineNumbers/>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b/>
          <w:color w:val="000000"/>
        </w:rPr>
      </w:pPr>
    </w:p>
    <w:p w14:paraId="23B7AB87" w14:textId="130C8CE0" w:rsidR="009D36B0" w:rsidRDefault="009D36B0">
      <w:pPr>
        <w:pStyle w:val="TOC1"/>
        <w:rPr>
          <w:rFonts w:asciiTheme="minorHAnsi" w:eastAsiaTheme="minorEastAsia" w:hAnsiTheme="minorHAnsi" w:cstheme="minorBidi"/>
          <w:noProof/>
          <w:sz w:val="22"/>
          <w:szCs w:val="22"/>
        </w:rPr>
      </w:pPr>
      <w:r>
        <w:rPr>
          <w:rFonts w:cs="Courier New"/>
          <w:b/>
          <w:color w:val="000000"/>
        </w:rPr>
        <w:fldChar w:fldCharType="begin"/>
      </w:r>
      <w:r>
        <w:rPr>
          <w:rFonts w:cs="Courier New"/>
          <w:b/>
          <w:color w:val="000000"/>
        </w:rPr>
        <w:instrText xml:space="preserve"> TOC \o "1-3" \h \z \u </w:instrText>
      </w:r>
      <w:r>
        <w:rPr>
          <w:rFonts w:cs="Courier New"/>
          <w:b/>
          <w:color w:val="000000"/>
        </w:rPr>
        <w:fldChar w:fldCharType="separate"/>
      </w:r>
      <w:hyperlink w:anchor="_Toc129962198" w:history="1">
        <w:r w:rsidRPr="00317CE1">
          <w:rPr>
            <w:rStyle w:val="Hyperlink"/>
            <w:noProof/>
          </w:rPr>
          <w:t>I.</w:t>
        </w:r>
        <w:r>
          <w:rPr>
            <w:rFonts w:asciiTheme="minorHAnsi" w:eastAsiaTheme="minorEastAsia" w:hAnsiTheme="minorHAnsi" w:cstheme="minorBidi"/>
            <w:noProof/>
            <w:sz w:val="22"/>
            <w:szCs w:val="22"/>
          </w:rPr>
          <w:tab/>
        </w:r>
        <w:r w:rsidRPr="00317CE1">
          <w:rPr>
            <w:rStyle w:val="Hyperlink"/>
            <w:noProof/>
          </w:rPr>
          <w:t>Introduction</w:t>
        </w:r>
        <w:r>
          <w:rPr>
            <w:noProof/>
            <w:webHidden/>
          </w:rPr>
          <w:tab/>
        </w:r>
        <w:r>
          <w:rPr>
            <w:noProof/>
            <w:webHidden/>
          </w:rPr>
          <w:fldChar w:fldCharType="begin"/>
        </w:r>
        <w:r>
          <w:rPr>
            <w:noProof/>
            <w:webHidden/>
          </w:rPr>
          <w:instrText xml:space="preserve"> PAGEREF _Toc129962198 \h </w:instrText>
        </w:r>
        <w:r>
          <w:rPr>
            <w:noProof/>
            <w:webHidden/>
          </w:rPr>
        </w:r>
        <w:r>
          <w:rPr>
            <w:noProof/>
            <w:webHidden/>
          </w:rPr>
          <w:fldChar w:fldCharType="separate"/>
        </w:r>
        <w:r w:rsidR="00E81BB2">
          <w:rPr>
            <w:noProof/>
            <w:webHidden/>
          </w:rPr>
          <w:t>1</w:t>
        </w:r>
        <w:r>
          <w:rPr>
            <w:noProof/>
            <w:webHidden/>
          </w:rPr>
          <w:fldChar w:fldCharType="end"/>
        </w:r>
      </w:hyperlink>
    </w:p>
    <w:p w14:paraId="583C1A7B" w14:textId="195E21C3" w:rsidR="009D36B0" w:rsidRDefault="001B43CB">
      <w:pPr>
        <w:pStyle w:val="TOC1"/>
        <w:rPr>
          <w:rFonts w:asciiTheme="minorHAnsi" w:eastAsiaTheme="minorEastAsia" w:hAnsiTheme="minorHAnsi" w:cstheme="minorBidi"/>
          <w:noProof/>
          <w:sz w:val="22"/>
          <w:szCs w:val="22"/>
        </w:rPr>
      </w:pPr>
      <w:hyperlink w:anchor="_Toc129962199" w:history="1">
        <w:r w:rsidR="009D36B0" w:rsidRPr="00317CE1">
          <w:rPr>
            <w:rStyle w:val="Hyperlink"/>
            <w:noProof/>
          </w:rPr>
          <w:t>II.</w:t>
        </w:r>
        <w:r w:rsidR="009D36B0">
          <w:rPr>
            <w:rFonts w:asciiTheme="minorHAnsi" w:eastAsiaTheme="minorEastAsia" w:hAnsiTheme="minorHAnsi" w:cstheme="minorBidi"/>
            <w:noProof/>
            <w:sz w:val="22"/>
            <w:szCs w:val="22"/>
          </w:rPr>
          <w:tab/>
        </w:r>
        <w:r w:rsidR="009D36B0" w:rsidRPr="00317CE1">
          <w:rPr>
            <w:rStyle w:val="Hyperlink"/>
            <w:noProof/>
          </w:rPr>
          <w:t>General Principles</w:t>
        </w:r>
        <w:r w:rsidR="009D36B0">
          <w:rPr>
            <w:noProof/>
            <w:webHidden/>
          </w:rPr>
          <w:tab/>
        </w:r>
        <w:r w:rsidR="009D36B0">
          <w:rPr>
            <w:noProof/>
            <w:webHidden/>
          </w:rPr>
          <w:fldChar w:fldCharType="begin"/>
        </w:r>
        <w:r w:rsidR="009D36B0">
          <w:rPr>
            <w:noProof/>
            <w:webHidden/>
          </w:rPr>
          <w:instrText xml:space="preserve"> PAGEREF _Toc129962199 \h </w:instrText>
        </w:r>
        <w:r w:rsidR="009D36B0">
          <w:rPr>
            <w:noProof/>
            <w:webHidden/>
          </w:rPr>
        </w:r>
        <w:r w:rsidR="009D36B0">
          <w:rPr>
            <w:noProof/>
            <w:webHidden/>
          </w:rPr>
          <w:fldChar w:fldCharType="separate"/>
        </w:r>
        <w:r w:rsidR="00E81BB2">
          <w:rPr>
            <w:noProof/>
            <w:webHidden/>
          </w:rPr>
          <w:t>7</w:t>
        </w:r>
        <w:r w:rsidR="009D36B0">
          <w:rPr>
            <w:noProof/>
            <w:webHidden/>
          </w:rPr>
          <w:fldChar w:fldCharType="end"/>
        </w:r>
      </w:hyperlink>
    </w:p>
    <w:p w14:paraId="14D0C29E" w14:textId="3D583ACD" w:rsidR="009D36B0" w:rsidRDefault="001B43CB">
      <w:pPr>
        <w:pStyle w:val="TOC2"/>
        <w:rPr>
          <w:rFonts w:asciiTheme="minorHAnsi" w:eastAsiaTheme="minorEastAsia" w:hAnsiTheme="minorHAnsi" w:cstheme="minorBidi"/>
          <w:noProof/>
          <w:sz w:val="22"/>
          <w:szCs w:val="22"/>
        </w:rPr>
      </w:pPr>
      <w:hyperlink w:anchor="_Toc129962200" w:history="1">
        <w:r w:rsidR="009D36B0" w:rsidRPr="00317CE1">
          <w:rPr>
            <w:rStyle w:val="Hyperlink"/>
            <w:noProof/>
          </w:rPr>
          <w:t>A.</w:t>
        </w:r>
        <w:r w:rsidR="009D36B0">
          <w:rPr>
            <w:rFonts w:asciiTheme="minorHAnsi" w:eastAsiaTheme="minorEastAsia" w:hAnsiTheme="minorHAnsi" w:cstheme="minorBidi"/>
            <w:noProof/>
            <w:sz w:val="22"/>
            <w:szCs w:val="22"/>
          </w:rPr>
          <w:tab/>
        </w:r>
        <w:r w:rsidR="009D36B0" w:rsidRPr="00317CE1">
          <w:rPr>
            <w:rStyle w:val="Hyperlink"/>
            <w:noProof/>
          </w:rPr>
          <w:t>Business Risk</w:t>
        </w:r>
        <w:r w:rsidR="009D36B0">
          <w:rPr>
            <w:noProof/>
            <w:webHidden/>
          </w:rPr>
          <w:tab/>
        </w:r>
        <w:r w:rsidR="009D36B0">
          <w:rPr>
            <w:noProof/>
            <w:webHidden/>
          </w:rPr>
          <w:fldChar w:fldCharType="begin"/>
        </w:r>
        <w:r w:rsidR="009D36B0">
          <w:rPr>
            <w:noProof/>
            <w:webHidden/>
          </w:rPr>
          <w:instrText xml:space="preserve"> PAGEREF _Toc129962200 \h </w:instrText>
        </w:r>
        <w:r w:rsidR="009D36B0">
          <w:rPr>
            <w:noProof/>
            <w:webHidden/>
          </w:rPr>
        </w:r>
        <w:r w:rsidR="009D36B0">
          <w:rPr>
            <w:noProof/>
            <w:webHidden/>
          </w:rPr>
          <w:fldChar w:fldCharType="separate"/>
        </w:r>
        <w:r w:rsidR="00E81BB2">
          <w:rPr>
            <w:noProof/>
            <w:webHidden/>
          </w:rPr>
          <w:t>13</w:t>
        </w:r>
        <w:r w:rsidR="009D36B0">
          <w:rPr>
            <w:noProof/>
            <w:webHidden/>
          </w:rPr>
          <w:fldChar w:fldCharType="end"/>
        </w:r>
      </w:hyperlink>
    </w:p>
    <w:p w14:paraId="27C6EA63" w14:textId="04A4E341" w:rsidR="009D36B0" w:rsidRDefault="001B43CB">
      <w:pPr>
        <w:pStyle w:val="TOC2"/>
        <w:rPr>
          <w:rFonts w:asciiTheme="minorHAnsi" w:eastAsiaTheme="minorEastAsia" w:hAnsiTheme="minorHAnsi" w:cstheme="minorBidi"/>
          <w:noProof/>
          <w:sz w:val="22"/>
          <w:szCs w:val="22"/>
        </w:rPr>
      </w:pPr>
      <w:hyperlink w:anchor="_Toc129962201" w:history="1">
        <w:r w:rsidR="009D36B0" w:rsidRPr="00317CE1">
          <w:rPr>
            <w:rStyle w:val="Hyperlink"/>
            <w:noProof/>
          </w:rPr>
          <w:t>B.</w:t>
        </w:r>
        <w:r w:rsidR="009D36B0">
          <w:rPr>
            <w:rFonts w:asciiTheme="minorHAnsi" w:eastAsiaTheme="minorEastAsia" w:hAnsiTheme="minorHAnsi" w:cstheme="minorBidi"/>
            <w:noProof/>
            <w:sz w:val="22"/>
            <w:szCs w:val="22"/>
          </w:rPr>
          <w:tab/>
        </w:r>
        <w:r w:rsidR="009D36B0" w:rsidRPr="00317CE1">
          <w:rPr>
            <w:rStyle w:val="Hyperlink"/>
            <w:noProof/>
          </w:rPr>
          <w:t>Financial Risk</w:t>
        </w:r>
        <w:r w:rsidR="009D36B0">
          <w:rPr>
            <w:noProof/>
            <w:webHidden/>
          </w:rPr>
          <w:tab/>
        </w:r>
        <w:r w:rsidR="009D36B0">
          <w:rPr>
            <w:noProof/>
            <w:webHidden/>
          </w:rPr>
          <w:fldChar w:fldCharType="begin"/>
        </w:r>
        <w:r w:rsidR="009D36B0">
          <w:rPr>
            <w:noProof/>
            <w:webHidden/>
          </w:rPr>
          <w:instrText xml:space="preserve"> PAGEREF _Toc129962201 \h </w:instrText>
        </w:r>
        <w:r w:rsidR="009D36B0">
          <w:rPr>
            <w:noProof/>
            <w:webHidden/>
          </w:rPr>
        </w:r>
        <w:r w:rsidR="009D36B0">
          <w:rPr>
            <w:noProof/>
            <w:webHidden/>
          </w:rPr>
          <w:fldChar w:fldCharType="separate"/>
        </w:r>
        <w:r w:rsidR="00E81BB2">
          <w:rPr>
            <w:noProof/>
            <w:webHidden/>
          </w:rPr>
          <w:t>15</w:t>
        </w:r>
        <w:r w:rsidR="009D36B0">
          <w:rPr>
            <w:noProof/>
            <w:webHidden/>
          </w:rPr>
          <w:fldChar w:fldCharType="end"/>
        </w:r>
      </w:hyperlink>
    </w:p>
    <w:p w14:paraId="151A9A48" w14:textId="07777019" w:rsidR="009D36B0" w:rsidRDefault="001B43CB">
      <w:pPr>
        <w:pStyle w:val="TOC1"/>
        <w:rPr>
          <w:rFonts w:asciiTheme="minorHAnsi" w:eastAsiaTheme="minorEastAsia" w:hAnsiTheme="minorHAnsi" w:cstheme="minorBidi"/>
          <w:noProof/>
          <w:sz w:val="22"/>
          <w:szCs w:val="22"/>
        </w:rPr>
      </w:pPr>
      <w:hyperlink w:anchor="_Toc129962202" w:history="1">
        <w:r w:rsidR="009D36B0" w:rsidRPr="00317CE1">
          <w:rPr>
            <w:rStyle w:val="Hyperlink"/>
            <w:noProof/>
          </w:rPr>
          <w:t>III.</w:t>
        </w:r>
        <w:r w:rsidR="009D36B0">
          <w:rPr>
            <w:rFonts w:asciiTheme="minorHAnsi" w:eastAsiaTheme="minorEastAsia" w:hAnsiTheme="minorHAnsi" w:cstheme="minorBidi"/>
            <w:noProof/>
            <w:sz w:val="22"/>
            <w:szCs w:val="22"/>
          </w:rPr>
          <w:tab/>
        </w:r>
        <w:r w:rsidR="009D36B0" w:rsidRPr="00317CE1">
          <w:rPr>
            <w:rStyle w:val="Hyperlink"/>
            <w:noProof/>
          </w:rPr>
          <w:t>Peoples and the Utility Proxy Group</w:t>
        </w:r>
        <w:r w:rsidR="009D36B0">
          <w:rPr>
            <w:noProof/>
            <w:webHidden/>
          </w:rPr>
          <w:tab/>
        </w:r>
        <w:r w:rsidR="009D36B0">
          <w:rPr>
            <w:noProof/>
            <w:webHidden/>
          </w:rPr>
          <w:fldChar w:fldCharType="begin"/>
        </w:r>
        <w:r w:rsidR="009D36B0">
          <w:rPr>
            <w:noProof/>
            <w:webHidden/>
          </w:rPr>
          <w:instrText xml:space="preserve"> PAGEREF _Toc129962202 \h </w:instrText>
        </w:r>
        <w:r w:rsidR="009D36B0">
          <w:rPr>
            <w:noProof/>
            <w:webHidden/>
          </w:rPr>
        </w:r>
        <w:r w:rsidR="009D36B0">
          <w:rPr>
            <w:noProof/>
            <w:webHidden/>
          </w:rPr>
          <w:fldChar w:fldCharType="separate"/>
        </w:r>
        <w:r w:rsidR="00E81BB2">
          <w:rPr>
            <w:noProof/>
            <w:webHidden/>
          </w:rPr>
          <w:t>17</w:t>
        </w:r>
        <w:r w:rsidR="009D36B0">
          <w:rPr>
            <w:noProof/>
            <w:webHidden/>
          </w:rPr>
          <w:fldChar w:fldCharType="end"/>
        </w:r>
      </w:hyperlink>
    </w:p>
    <w:p w14:paraId="389D661E" w14:textId="7A4267D8" w:rsidR="009D36B0" w:rsidRDefault="001B43CB">
      <w:pPr>
        <w:pStyle w:val="TOC1"/>
        <w:rPr>
          <w:rFonts w:asciiTheme="minorHAnsi" w:eastAsiaTheme="minorEastAsia" w:hAnsiTheme="minorHAnsi" w:cstheme="minorBidi"/>
          <w:noProof/>
          <w:sz w:val="22"/>
          <w:szCs w:val="22"/>
        </w:rPr>
      </w:pPr>
      <w:hyperlink w:anchor="_Toc129962203" w:history="1">
        <w:r w:rsidR="009D36B0" w:rsidRPr="00317CE1">
          <w:rPr>
            <w:rStyle w:val="Hyperlink"/>
            <w:noProof/>
          </w:rPr>
          <w:t>IV.</w:t>
        </w:r>
        <w:r w:rsidR="009D36B0">
          <w:rPr>
            <w:rFonts w:asciiTheme="minorHAnsi" w:eastAsiaTheme="minorEastAsia" w:hAnsiTheme="minorHAnsi" w:cstheme="minorBidi"/>
            <w:noProof/>
            <w:sz w:val="22"/>
            <w:szCs w:val="22"/>
          </w:rPr>
          <w:tab/>
        </w:r>
        <w:r w:rsidR="009D36B0" w:rsidRPr="00317CE1">
          <w:rPr>
            <w:rStyle w:val="Hyperlink"/>
            <w:noProof/>
          </w:rPr>
          <w:t>Capital Structure</w:t>
        </w:r>
        <w:r w:rsidR="009D36B0">
          <w:rPr>
            <w:noProof/>
            <w:webHidden/>
          </w:rPr>
          <w:tab/>
        </w:r>
        <w:r w:rsidR="009D36B0">
          <w:rPr>
            <w:noProof/>
            <w:webHidden/>
          </w:rPr>
          <w:fldChar w:fldCharType="begin"/>
        </w:r>
        <w:r w:rsidR="009D36B0">
          <w:rPr>
            <w:noProof/>
            <w:webHidden/>
          </w:rPr>
          <w:instrText xml:space="preserve"> PAGEREF _Toc129962203 \h </w:instrText>
        </w:r>
        <w:r w:rsidR="009D36B0">
          <w:rPr>
            <w:noProof/>
            <w:webHidden/>
          </w:rPr>
        </w:r>
        <w:r w:rsidR="009D36B0">
          <w:rPr>
            <w:noProof/>
            <w:webHidden/>
          </w:rPr>
          <w:fldChar w:fldCharType="separate"/>
        </w:r>
        <w:r w:rsidR="00E81BB2">
          <w:rPr>
            <w:noProof/>
            <w:webHidden/>
          </w:rPr>
          <w:t>21</w:t>
        </w:r>
        <w:r w:rsidR="009D36B0">
          <w:rPr>
            <w:noProof/>
            <w:webHidden/>
          </w:rPr>
          <w:fldChar w:fldCharType="end"/>
        </w:r>
      </w:hyperlink>
    </w:p>
    <w:p w14:paraId="09635BF4" w14:textId="12A42A2B" w:rsidR="009D36B0" w:rsidRDefault="001B43CB">
      <w:pPr>
        <w:pStyle w:val="TOC1"/>
        <w:rPr>
          <w:rFonts w:asciiTheme="minorHAnsi" w:eastAsiaTheme="minorEastAsia" w:hAnsiTheme="minorHAnsi" w:cstheme="minorBidi"/>
          <w:noProof/>
          <w:sz w:val="22"/>
          <w:szCs w:val="22"/>
        </w:rPr>
      </w:pPr>
      <w:hyperlink w:anchor="_Toc129962204" w:history="1">
        <w:r w:rsidR="009D36B0" w:rsidRPr="00317CE1">
          <w:rPr>
            <w:rStyle w:val="Hyperlink"/>
            <w:noProof/>
          </w:rPr>
          <w:t>V.</w:t>
        </w:r>
        <w:r w:rsidR="009D36B0">
          <w:rPr>
            <w:rFonts w:asciiTheme="minorHAnsi" w:eastAsiaTheme="minorEastAsia" w:hAnsiTheme="minorHAnsi" w:cstheme="minorBidi"/>
            <w:noProof/>
            <w:sz w:val="22"/>
            <w:szCs w:val="22"/>
          </w:rPr>
          <w:tab/>
        </w:r>
        <w:r w:rsidR="009D36B0" w:rsidRPr="00317CE1">
          <w:rPr>
            <w:rStyle w:val="Hyperlink"/>
            <w:noProof/>
          </w:rPr>
          <w:t>Common Equity Cost Rate Model</w:t>
        </w:r>
        <w:r w:rsidR="009D36B0">
          <w:rPr>
            <w:noProof/>
            <w:webHidden/>
          </w:rPr>
          <w:tab/>
        </w:r>
        <w:r w:rsidR="009D36B0">
          <w:rPr>
            <w:noProof/>
            <w:webHidden/>
          </w:rPr>
          <w:fldChar w:fldCharType="begin"/>
        </w:r>
        <w:r w:rsidR="009D36B0">
          <w:rPr>
            <w:noProof/>
            <w:webHidden/>
          </w:rPr>
          <w:instrText xml:space="preserve"> PAGEREF _Toc129962204 \h </w:instrText>
        </w:r>
        <w:r w:rsidR="009D36B0">
          <w:rPr>
            <w:noProof/>
            <w:webHidden/>
          </w:rPr>
        </w:r>
        <w:r w:rsidR="009D36B0">
          <w:rPr>
            <w:noProof/>
            <w:webHidden/>
          </w:rPr>
          <w:fldChar w:fldCharType="separate"/>
        </w:r>
        <w:r w:rsidR="00E81BB2">
          <w:rPr>
            <w:noProof/>
            <w:webHidden/>
          </w:rPr>
          <w:t>25</w:t>
        </w:r>
        <w:r w:rsidR="009D36B0">
          <w:rPr>
            <w:noProof/>
            <w:webHidden/>
          </w:rPr>
          <w:fldChar w:fldCharType="end"/>
        </w:r>
      </w:hyperlink>
    </w:p>
    <w:p w14:paraId="43CB44F4" w14:textId="73E8A192" w:rsidR="009D36B0" w:rsidRDefault="001B43CB">
      <w:pPr>
        <w:pStyle w:val="TOC2"/>
        <w:rPr>
          <w:rFonts w:asciiTheme="minorHAnsi" w:eastAsiaTheme="minorEastAsia" w:hAnsiTheme="minorHAnsi" w:cstheme="minorBidi"/>
          <w:noProof/>
          <w:sz w:val="22"/>
          <w:szCs w:val="22"/>
        </w:rPr>
      </w:pPr>
      <w:hyperlink w:anchor="_Toc129962205" w:history="1">
        <w:r w:rsidR="009D36B0" w:rsidRPr="00317CE1">
          <w:rPr>
            <w:rStyle w:val="Hyperlink"/>
            <w:noProof/>
          </w:rPr>
          <w:t>A.</w:t>
        </w:r>
        <w:r w:rsidR="009D36B0">
          <w:rPr>
            <w:rFonts w:asciiTheme="minorHAnsi" w:eastAsiaTheme="minorEastAsia" w:hAnsiTheme="minorHAnsi" w:cstheme="minorBidi"/>
            <w:noProof/>
            <w:sz w:val="22"/>
            <w:szCs w:val="22"/>
          </w:rPr>
          <w:tab/>
        </w:r>
        <w:r w:rsidR="009D36B0" w:rsidRPr="00317CE1">
          <w:rPr>
            <w:rStyle w:val="Hyperlink"/>
            <w:noProof/>
          </w:rPr>
          <w:t>Discounted Cash Flow Model</w:t>
        </w:r>
        <w:r w:rsidR="009D36B0">
          <w:rPr>
            <w:noProof/>
            <w:webHidden/>
          </w:rPr>
          <w:tab/>
        </w:r>
        <w:r w:rsidR="009D36B0">
          <w:rPr>
            <w:noProof/>
            <w:webHidden/>
          </w:rPr>
          <w:fldChar w:fldCharType="begin"/>
        </w:r>
        <w:r w:rsidR="009D36B0">
          <w:rPr>
            <w:noProof/>
            <w:webHidden/>
          </w:rPr>
          <w:instrText xml:space="preserve"> PAGEREF _Toc129962205 \h </w:instrText>
        </w:r>
        <w:r w:rsidR="009D36B0">
          <w:rPr>
            <w:noProof/>
            <w:webHidden/>
          </w:rPr>
        </w:r>
        <w:r w:rsidR="009D36B0">
          <w:rPr>
            <w:noProof/>
            <w:webHidden/>
          </w:rPr>
          <w:fldChar w:fldCharType="separate"/>
        </w:r>
        <w:r w:rsidR="00E81BB2">
          <w:rPr>
            <w:noProof/>
            <w:webHidden/>
          </w:rPr>
          <w:t>28</w:t>
        </w:r>
        <w:r w:rsidR="009D36B0">
          <w:rPr>
            <w:noProof/>
            <w:webHidden/>
          </w:rPr>
          <w:fldChar w:fldCharType="end"/>
        </w:r>
      </w:hyperlink>
    </w:p>
    <w:p w14:paraId="68213003" w14:textId="02A5ADF8" w:rsidR="009D36B0" w:rsidRDefault="001B43CB">
      <w:pPr>
        <w:pStyle w:val="TOC2"/>
        <w:rPr>
          <w:rFonts w:asciiTheme="minorHAnsi" w:eastAsiaTheme="minorEastAsia" w:hAnsiTheme="minorHAnsi" w:cstheme="minorBidi"/>
          <w:noProof/>
          <w:sz w:val="22"/>
          <w:szCs w:val="22"/>
        </w:rPr>
      </w:pPr>
      <w:hyperlink w:anchor="_Toc129962206" w:history="1">
        <w:r w:rsidR="009D36B0" w:rsidRPr="00317CE1">
          <w:rPr>
            <w:rStyle w:val="Hyperlink"/>
            <w:noProof/>
          </w:rPr>
          <w:t>B.</w:t>
        </w:r>
        <w:r w:rsidR="009D36B0">
          <w:rPr>
            <w:rFonts w:asciiTheme="minorHAnsi" w:eastAsiaTheme="minorEastAsia" w:hAnsiTheme="minorHAnsi" w:cstheme="minorBidi"/>
            <w:noProof/>
            <w:sz w:val="22"/>
            <w:szCs w:val="22"/>
          </w:rPr>
          <w:tab/>
        </w:r>
        <w:r w:rsidR="009D36B0" w:rsidRPr="00317CE1">
          <w:rPr>
            <w:rStyle w:val="Hyperlink"/>
            <w:noProof/>
          </w:rPr>
          <w:t>The Risk Premium Model</w:t>
        </w:r>
        <w:r w:rsidR="009D36B0">
          <w:rPr>
            <w:noProof/>
            <w:webHidden/>
          </w:rPr>
          <w:tab/>
        </w:r>
        <w:r w:rsidR="009D36B0">
          <w:rPr>
            <w:noProof/>
            <w:webHidden/>
          </w:rPr>
          <w:fldChar w:fldCharType="begin"/>
        </w:r>
        <w:r w:rsidR="009D36B0">
          <w:rPr>
            <w:noProof/>
            <w:webHidden/>
          </w:rPr>
          <w:instrText xml:space="preserve"> PAGEREF _Toc129962206 \h </w:instrText>
        </w:r>
        <w:r w:rsidR="009D36B0">
          <w:rPr>
            <w:noProof/>
            <w:webHidden/>
          </w:rPr>
        </w:r>
        <w:r w:rsidR="009D36B0">
          <w:rPr>
            <w:noProof/>
            <w:webHidden/>
          </w:rPr>
          <w:fldChar w:fldCharType="separate"/>
        </w:r>
        <w:r w:rsidR="00E81BB2">
          <w:rPr>
            <w:noProof/>
            <w:webHidden/>
          </w:rPr>
          <w:t>32</w:t>
        </w:r>
        <w:r w:rsidR="009D36B0">
          <w:rPr>
            <w:noProof/>
            <w:webHidden/>
          </w:rPr>
          <w:fldChar w:fldCharType="end"/>
        </w:r>
      </w:hyperlink>
    </w:p>
    <w:p w14:paraId="5C3BC817" w14:textId="5980005C" w:rsidR="009D36B0" w:rsidRDefault="001B43CB">
      <w:pPr>
        <w:pStyle w:val="TOC3"/>
        <w:tabs>
          <w:tab w:val="right" w:leader="dot" w:pos="9350"/>
        </w:tabs>
        <w:rPr>
          <w:rFonts w:asciiTheme="minorHAnsi" w:eastAsiaTheme="minorEastAsia" w:hAnsiTheme="minorHAnsi" w:cstheme="minorBidi"/>
          <w:noProof/>
          <w:sz w:val="22"/>
          <w:szCs w:val="22"/>
        </w:rPr>
      </w:pPr>
      <w:hyperlink w:anchor="_Toc129962207" w:history="1">
        <w:r w:rsidR="009D36B0" w:rsidRPr="00317CE1">
          <w:rPr>
            <w:rStyle w:val="Hyperlink"/>
            <w:noProof/>
          </w:rPr>
          <w:t>The Predictive Risk Premium Model</w:t>
        </w:r>
        <w:r w:rsidR="009D36B0">
          <w:rPr>
            <w:noProof/>
            <w:webHidden/>
          </w:rPr>
          <w:tab/>
        </w:r>
        <w:r w:rsidR="009D36B0">
          <w:rPr>
            <w:noProof/>
            <w:webHidden/>
          </w:rPr>
          <w:fldChar w:fldCharType="begin"/>
        </w:r>
        <w:r w:rsidR="009D36B0">
          <w:rPr>
            <w:noProof/>
            <w:webHidden/>
          </w:rPr>
          <w:instrText xml:space="preserve"> PAGEREF _Toc129962207 \h </w:instrText>
        </w:r>
        <w:r w:rsidR="009D36B0">
          <w:rPr>
            <w:noProof/>
            <w:webHidden/>
          </w:rPr>
        </w:r>
        <w:r w:rsidR="009D36B0">
          <w:rPr>
            <w:noProof/>
            <w:webHidden/>
          </w:rPr>
          <w:fldChar w:fldCharType="separate"/>
        </w:r>
        <w:r w:rsidR="00E81BB2">
          <w:rPr>
            <w:noProof/>
            <w:webHidden/>
          </w:rPr>
          <w:t>33</w:t>
        </w:r>
        <w:r w:rsidR="009D36B0">
          <w:rPr>
            <w:noProof/>
            <w:webHidden/>
          </w:rPr>
          <w:fldChar w:fldCharType="end"/>
        </w:r>
      </w:hyperlink>
    </w:p>
    <w:p w14:paraId="7C7814DC" w14:textId="30D46C37" w:rsidR="009D36B0" w:rsidRDefault="001B43CB">
      <w:pPr>
        <w:pStyle w:val="TOC3"/>
        <w:tabs>
          <w:tab w:val="right" w:leader="dot" w:pos="9350"/>
        </w:tabs>
        <w:rPr>
          <w:rFonts w:asciiTheme="minorHAnsi" w:eastAsiaTheme="minorEastAsia" w:hAnsiTheme="minorHAnsi" w:cstheme="minorBidi"/>
          <w:noProof/>
          <w:sz w:val="22"/>
          <w:szCs w:val="22"/>
        </w:rPr>
      </w:pPr>
      <w:hyperlink w:anchor="_Toc129962208" w:history="1">
        <w:r w:rsidR="009D36B0" w:rsidRPr="00317CE1">
          <w:rPr>
            <w:rStyle w:val="Hyperlink"/>
            <w:noProof/>
          </w:rPr>
          <w:t>The Total Market Approach Risk Premium Model (RPM)</w:t>
        </w:r>
        <w:r w:rsidR="009D36B0">
          <w:rPr>
            <w:noProof/>
            <w:webHidden/>
          </w:rPr>
          <w:tab/>
        </w:r>
        <w:r w:rsidR="009D36B0">
          <w:rPr>
            <w:noProof/>
            <w:webHidden/>
          </w:rPr>
          <w:fldChar w:fldCharType="begin"/>
        </w:r>
        <w:r w:rsidR="009D36B0">
          <w:rPr>
            <w:noProof/>
            <w:webHidden/>
          </w:rPr>
          <w:instrText xml:space="preserve"> PAGEREF _Toc129962208 \h </w:instrText>
        </w:r>
        <w:r w:rsidR="009D36B0">
          <w:rPr>
            <w:noProof/>
            <w:webHidden/>
          </w:rPr>
        </w:r>
        <w:r w:rsidR="009D36B0">
          <w:rPr>
            <w:noProof/>
            <w:webHidden/>
          </w:rPr>
          <w:fldChar w:fldCharType="separate"/>
        </w:r>
        <w:r w:rsidR="00E81BB2">
          <w:rPr>
            <w:noProof/>
            <w:webHidden/>
          </w:rPr>
          <w:t>37</w:t>
        </w:r>
        <w:r w:rsidR="009D36B0">
          <w:rPr>
            <w:noProof/>
            <w:webHidden/>
          </w:rPr>
          <w:fldChar w:fldCharType="end"/>
        </w:r>
      </w:hyperlink>
    </w:p>
    <w:p w14:paraId="25C53B74" w14:textId="5065C0BD" w:rsidR="009D36B0" w:rsidRDefault="001B43CB">
      <w:pPr>
        <w:pStyle w:val="TOC2"/>
        <w:rPr>
          <w:rFonts w:asciiTheme="minorHAnsi" w:eastAsiaTheme="minorEastAsia" w:hAnsiTheme="minorHAnsi" w:cstheme="minorBidi"/>
          <w:noProof/>
          <w:sz w:val="22"/>
          <w:szCs w:val="22"/>
        </w:rPr>
      </w:pPr>
      <w:hyperlink w:anchor="_Toc129962209" w:history="1">
        <w:r w:rsidR="009D36B0" w:rsidRPr="00317CE1">
          <w:rPr>
            <w:rStyle w:val="Hyperlink"/>
            <w:noProof/>
          </w:rPr>
          <w:t>C.</w:t>
        </w:r>
        <w:r w:rsidR="009D36B0">
          <w:rPr>
            <w:rFonts w:asciiTheme="minorHAnsi" w:eastAsiaTheme="minorEastAsia" w:hAnsiTheme="minorHAnsi" w:cstheme="minorBidi"/>
            <w:noProof/>
            <w:sz w:val="22"/>
            <w:szCs w:val="22"/>
          </w:rPr>
          <w:tab/>
        </w:r>
        <w:r w:rsidR="009D36B0" w:rsidRPr="00317CE1">
          <w:rPr>
            <w:rStyle w:val="Hyperlink"/>
            <w:noProof/>
          </w:rPr>
          <w:t>The Capital Asset Pricing Model</w:t>
        </w:r>
        <w:r w:rsidR="009D36B0">
          <w:rPr>
            <w:noProof/>
            <w:webHidden/>
          </w:rPr>
          <w:tab/>
        </w:r>
        <w:r w:rsidR="009D36B0">
          <w:rPr>
            <w:noProof/>
            <w:webHidden/>
          </w:rPr>
          <w:fldChar w:fldCharType="begin"/>
        </w:r>
        <w:r w:rsidR="009D36B0">
          <w:rPr>
            <w:noProof/>
            <w:webHidden/>
          </w:rPr>
          <w:instrText xml:space="preserve"> PAGEREF _Toc129962209 \h </w:instrText>
        </w:r>
        <w:r w:rsidR="009D36B0">
          <w:rPr>
            <w:noProof/>
            <w:webHidden/>
          </w:rPr>
        </w:r>
        <w:r w:rsidR="009D36B0">
          <w:rPr>
            <w:noProof/>
            <w:webHidden/>
          </w:rPr>
          <w:fldChar w:fldCharType="separate"/>
        </w:r>
        <w:r w:rsidR="00E81BB2">
          <w:rPr>
            <w:noProof/>
            <w:webHidden/>
          </w:rPr>
          <w:t>49</w:t>
        </w:r>
        <w:r w:rsidR="009D36B0">
          <w:rPr>
            <w:noProof/>
            <w:webHidden/>
          </w:rPr>
          <w:fldChar w:fldCharType="end"/>
        </w:r>
      </w:hyperlink>
    </w:p>
    <w:p w14:paraId="1A868A9D" w14:textId="14CAB5F8" w:rsidR="009D36B0" w:rsidRDefault="001B43CB">
      <w:pPr>
        <w:pStyle w:val="TOC2"/>
        <w:rPr>
          <w:rFonts w:asciiTheme="minorHAnsi" w:eastAsiaTheme="minorEastAsia" w:hAnsiTheme="minorHAnsi" w:cstheme="minorBidi"/>
          <w:noProof/>
          <w:sz w:val="22"/>
          <w:szCs w:val="22"/>
        </w:rPr>
      </w:pPr>
      <w:hyperlink w:anchor="_Toc129962210" w:history="1">
        <w:r w:rsidR="009D36B0" w:rsidRPr="00317CE1">
          <w:rPr>
            <w:rStyle w:val="Hyperlink"/>
            <w:noProof/>
          </w:rPr>
          <w:t>D.</w:t>
        </w:r>
        <w:r w:rsidR="009D36B0">
          <w:rPr>
            <w:rFonts w:asciiTheme="minorHAnsi" w:eastAsiaTheme="minorEastAsia" w:hAnsiTheme="minorHAnsi" w:cstheme="minorBidi"/>
            <w:noProof/>
            <w:sz w:val="22"/>
            <w:szCs w:val="22"/>
          </w:rPr>
          <w:tab/>
        </w:r>
        <w:r w:rsidR="009D36B0" w:rsidRPr="00317CE1">
          <w:rPr>
            <w:rStyle w:val="Hyperlink"/>
            <w:noProof/>
          </w:rPr>
          <w:t>Common Equity Cost Rates for a Proxy Group of Domestic, Non-Price Regulated Companies Based on the DCF, RPM, and CAPM</w:t>
        </w:r>
        <w:r w:rsidR="009D36B0">
          <w:rPr>
            <w:noProof/>
            <w:webHidden/>
          </w:rPr>
          <w:tab/>
        </w:r>
        <w:r w:rsidR="009D36B0">
          <w:rPr>
            <w:noProof/>
            <w:webHidden/>
          </w:rPr>
          <w:fldChar w:fldCharType="begin"/>
        </w:r>
        <w:r w:rsidR="009D36B0">
          <w:rPr>
            <w:noProof/>
            <w:webHidden/>
          </w:rPr>
          <w:instrText xml:space="preserve"> PAGEREF _Toc129962210 \h </w:instrText>
        </w:r>
        <w:r w:rsidR="009D36B0">
          <w:rPr>
            <w:noProof/>
            <w:webHidden/>
          </w:rPr>
        </w:r>
        <w:r w:rsidR="009D36B0">
          <w:rPr>
            <w:noProof/>
            <w:webHidden/>
          </w:rPr>
          <w:fldChar w:fldCharType="separate"/>
        </w:r>
        <w:r w:rsidR="00E81BB2">
          <w:rPr>
            <w:noProof/>
            <w:webHidden/>
          </w:rPr>
          <w:t>55</w:t>
        </w:r>
        <w:r w:rsidR="009D36B0">
          <w:rPr>
            <w:noProof/>
            <w:webHidden/>
          </w:rPr>
          <w:fldChar w:fldCharType="end"/>
        </w:r>
      </w:hyperlink>
    </w:p>
    <w:p w14:paraId="368068BA" w14:textId="67DFE3D5" w:rsidR="009D36B0" w:rsidRDefault="001B43CB">
      <w:pPr>
        <w:pStyle w:val="TOC1"/>
        <w:rPr>
          <w:rFonts w:asciiTheme="minorHAnsi" w:eastAsiaTheme="minorEastAsia" w:hAnsiTheme="minorHAnsi" w:cstheme="minorBidi"/>
          <w:noProof/>
          <w:sz w:val="22"/>
          <w:szCs w:val="22"/>
        </w:rPr>
      </w:pPr>
      <w:hyperlink w:anchor="_Toc129962211" w:history="1">
        <w:r w:rsidR="009D36B0" w:rsidRPr="00317CE1">
          <w:rPr>
            <w:rStyle w:val="Hyperlink"/>
            <w:noProof/>
          </w:rPr>
          <w:t>VI.</w:t>
        </w:r>
        <w:r w:rsidR="009D36B0">
          <w:rPr>
            <w:rFonts w:asciiTheme="minorHAnsi" w:eastAsiaTheme="minorEastAsia" w:hAnsiTheme="minorHAnsi" w:cstheme="minorBidi"/>
            <w:noProof/>
            <w:sz w:val="22"/>
            <w:szCs w:val="22"/>
          </w:rPr>
          <w:tab/>
        </w:r>
        <w:r w:rsidR="009D36B0" w:rsidRPr="00317CE1">
          <w:rPr>
            <w:rStyle w:val="Hyperlink"/>
            <w:noProof/>
          </w:rPr>
          <w:t>Range of Common Equity Cost Rates Before Adjustments</w:t>
        </w:r>
        <w:r w:rsidR="009D36B0">
          <w:rPr>
            <w:noProof/>
            <w:webHidden/>
          </w:rPr>
          <w:tab/>
        </w:r>
        <w:r w:rsidR="009D36B0">
          <w:rPr>
            <w:noProof/>
            <w:webHidden/>
          </w:rPr>
          <w:fldChar w:fldCharType="begin"/>
        </w:r>
        <w:r w:rsidR="009D36B0">
          <w:rPr>
            <w:noProof/>
            <w:webHidden/>
          </w:rPr>
          <w:instrText xml:space="preserve"> PAGEREF _Toc129962211 \h </w:instrText>
        </w:r>
        <w:r w:rsidR="009D36B0">
          <w:rPr>
            <w:noProof/>
            <w:webHidden/>
          </w:rPr>
        </w:r>
        <w:r w:rsidR="009D36B0">
          <w:rPr>
            <w:noProof/>
            <w:webHidden/>
          </w:rPr>
          <w:fldChar w:fldCharType="separate"/>
        </w:r>
        <w:r w:rsidR="00E81BB2">
          <w:rPr>
            <w:noProof/>
            <w:webHidden/>
          </w:rPr>
          <w:t>60</w:t>
        </w:r>
        <w:r w:rsidR="009D36B0">
          <w:rPr>
            <w:noProof/>
            <w:webHidden/>
          </w:rPr>
          <w:fldChar w:fldCharType="end"/>
        </w:r>
      </w:hyperlink>
    </w:p>
    <w:p w14:paraId="773E6A2E" w14:textId="57447303" w:rsidR="009D36B0" w:rsidRDefault="001B43CB">
      <w:pPr>
        <w:pStyle w:val="TOC1"/>
        <w:rPr>
          <w:rFonts w:asciiTheme="minorHAnsi" w:eastAsiaTheme="minorEastAsia" w:hAnsiTheme="minorHAnsi" w:cstheme="minorBidi"/>
          <w:noProof/>
          <w:sz w:val="22"/>
          <w:szCs w:val="22"/>
        </w:rPr>
      </w:pPr>
      <w:hyperlink w:anchor="_Toc129962212" w:history="1">
        <w:r w:rsidR="009D36B0" w:rsidRPr="00317CE1">
          <w:rPr>
            <w:rStyle w:val="Hyperlink"/>
            <w:noProof/>
          </w:rPr>
          <w:t>VII.</w:t>
        </w:r>
        <w:r w:rsidR="009D36B0">
          <w:rPr>
            <w:rFonts w:asciiTheme="minorHAnsi" w:eastAsiaTheme="minorEastAsia" w:hAnsiTheme="minorHAnsi" w:cstheme="minorBidi"/>
            <w:noProof/>
            <w:sz w:val="22"/>
            <w:szCs w:val="22"/>
          </w:rPr>
          <w:tab/>
        </w:r>
        <w:r w:rsidR="009D36B0" w:rsidRPr="00317CE1">
          <w:rPr>
            <w:rStyle w:val="Hyperlink"/>
            <w:noProof/>
          </w:rPr>
          <w:t>Adjustments to the Common Equity Cost Rate</w:t>
        </w:r>
        <w:r w:rsidR="009D36B0">
          <w:rPr>
            <w:noProof/>
            <w:webHidden/>
          </w:rPr>
          <w:tab/>
        </w:r>
        <w:r w:rsidR="009D36B0">
          <w:rPr>
            <w:noProof/>
            <w:webHidden/>
          </w:rPr>
          <w:fldChar w:fldCharType="begin"/>
        </w:r>
        <w:r w:rsidR="009D36B0">
          <w:rPr>
            <w:noProof/>
            <w:webHidden/>
          </w:rPr>
          <w:instrText xml:space="preserve"> PAGEREF _Toc129962212 \h </w:instrText>
        </w:r>
        <w:r w:rsidR="009D36B0">
          <w:rPr>
            <w:noProof/>
            <w:webHidden/>
          </w:rPr>
        </w:r>
        <w:r w:rsidR="009D36B0">
          <w:rPr>
            <w:noProof/>
            <w:webHidden/>
          </w:rPr>
          <w:fldChar w:fldCharType="separate"/>
        </w:r>
        <w:r w:rsidR="00E81BB2">
          <w:rPr>
            <w:noProof/>
            <w:webHidden/>
          </w:rPr>
          <w:t>61</w:t>
        </w:r>
        <w:r w:rsidR="009D36B0">
          <w:rPr>
            <w:noProof/>
            <w:webHidden/>
          </w:rPr>
          <w:fldChar w:fldCharType="end"/>
        </w:r>
      </w:hyperlink>
    </w:p>
    <w:p w14:paraId="307C52E9" w14:textId="45FA8037" w:rsidR="009D36B0" w:rsidRDefault="001B43CB">
      <w:pPr>
        <w:pStyle w:val="TOC2"/>
        <w:rPr>
          <w:rFonts w:asciiTheme="minorHAnsi" w:eastAsiaTheme="minorEastAsia" w:hAnsiTheme="minorHAnsi" w:cstheme="minorBidi"/>
          <w:noProof/>
          <w:sz w:val="22"/>
          <w:szCs w:val="22"/>
        </w:rPr>
      </w:pPr>
      <w:hyperlink w:anchor="_Toc129962213" w:history="1">
        <w:r w:rsidR="009D36B0" w:rsidRPr="00317CE1">
          <w:rPr>
            <w:rStyle w:val="Hyperlink"/>
            <w:noProof/>
          </w:rPr>
          <w:t>A.</w:t>
        </w:r>
        <w:r w:rsidR="009D36B0">
          <w:rPr>
            <w:rFonts w:asciiTheme="minorHAnsi" w:eastAsiaTheme="minorEastAsia" w:hAnsiTheme="minorHAnsi" w:cstheme="minorBidi"/>
            <w:noProof/>
            <w:sz w:val="22"/>
            <w:szCs w:val="22"/>
          </w:rPr>
          <w:tab/>
        </w:r>
        <w:r w:rsidR="009D36B0" w:rsidRPr="00317CE1">
          <w:rPr>
            <w:rStyle w:val="Hyperlink"/>
            <w:noProof/>
          </w:rPr>
          <w:t>Flotation Costs</w:t>
        </w:r>
        <w:r w:rsidR="009D36B0">
          <w:rPr>
            <w:noProof/>
            <w:webHidden/>
          </w:rPr>
          <w:tab/>
        </w:r>
        <w:r w:rsidR="009D36B0">
          <w:rPr>
            <w:noProof/>
            <w:webHidden/>
          </w:rPr>
          <w:fldChar w:fldCharType="begin"/>
        </w:r>
        <w:r w:rsidR="009D36B0">
          <w:rPr>
            <w:noProof/>
            <w:webHidden/>
          </w:rPr>
          <w:instrText xml:space="preserve"> PAGEREF _Toc129962213 \h </w:instrText>
        </w:r>
        <w:r w:rsidR="009D36B0">
          <w:rPr>
            <w:noProof/>
            <w:webHidden/>
          </w:rPr>
        </w:r>
        <w:r w:rsidR="009D36B0">
          <w:rPr>
            <w:noProof/>
            <w:webHidden/>
          </w:rPr>
          <w:fldChar w:fldCharType="separate"/>
        </w:r>
        <w:r w:rsidR="00E81BB2">
          <w:rPr>
            <w:noProof/>
            <w:webHidden/>
          </w:rPr>
          <w:t>61</w:t>
        </w:r>
        <w:r w:rsidR="009D36B0">
          <w:rPr>
            <w:noProof/>
            <w:webHidden/>
          </w:rPr>
          <w:fldChar w:fldCharType="end"/>
        </w:r>
      </w:hyperlink>
    </w:p>
    <w:p w14:paraId="2C857336" w14:textId="755725FE" w:rsidR="009D36B0" w:rsidRDefault="001B43CB">
      <w:pPr>
        <w:pStyle w:val="TOC2"/>
        <w:rPr>
          <w:rFonts w:asciiTheme="minorHAnsi" w:eastAsiaTheme="minorEastAsia" w:hAnsiTheme="minorHAnsi" w:cstheme="minorBidi"/>
          <w:noProof/>
          <w:sz w:val="22"/>
          <w:szCs w:val="22"/>
        </w:rPr>
      </w:pPr>
      <w:hyperlink w:anchor="_Toc129962214" w:history="1">
        <w:r w:rsidR="009D36B0" w:rsidRPr="00317CE1">
          <w:rPr>
            <w:rStyle w:val="Hyperlink"/>
            <w:noProof/>
          </w:rPr>
          <w:t>B.</w:t>
        </w:r>
        <w:r w:rsidR="009D36B0">
          <w:rPr>
            <w:rFonts w:asciiTheme="minorHAnsi" w:eastAsiaTheme="minorEastAsia" w:hAnsiTheme="minorHAnsi" w:cstheme="minorBidi"/>
            <w:noProof/>
            <w:sz w:val="22"/>
            <w:szCs w:val="22"/>
          </w:rPr>
          <w:tab/>
        </w:r>
        <w:r w:rsidR="009D36B0" w:rsidRPr="00317CE1">
          <w:rPr>
            <w:rStyle w:val="Hyperlink"/>
            <w:noProof/>
          </w:rPr>
          <w:t>Business Risk Adjustment</w:t>
        </w:r>
        <w:r w:rsidR="009D36B0">
          <w:rPr>
            <w:noProof/>
            <w:webHidden/>
          </w:rPr>
          <w:tab/>
        </w:r>
        <w:r w:rsidR="009D36B0">
          <w:rPr>
            <w:noProof/>
            <w:webHidden/>
          </w:rPr>
          <w:fldChar w:fldCharType="begin"/>
        </w:r>
        <w:r w:rsidR="009D36B0">
          <w:rPr>
            <w:noProof/>
            <w:webHidden/>
          </w:rPr>
          <w:instrText xml:space="preserve"> PAGEREF _Toc129962214 \h </w:instrText>
        </w:r>
        <w:r w:rsidR="009D36B0">
          <w:rPr>
            <w:noProof/>
            <w:webHidden/>
          </w:rPr>
        </w:r>
        <w:r w:rsidR="009D36B0">
          <w:rPr>
            <w:noProof/>
            <w:webHidden/>
          </w:rPr>
          <w:fldChar w:fldCharType="separate"/>
        </w:r>
        <w:r w:rsidR="00E81BB2">
          <w:rPr>
            <w:noProof/>
            <w:webHidden/>
          </w:rPr>
          <w:t>65</w:t>
        </w:r>
        <w:r w:rsidR="009D36B0">
          <w:rPr>
            <w:noProof/>
            <w:webHidden/>
          </w:rPr>
          <w:fldChar w:fldCharType="end"/>
        </w:r>
      </w:hyperlink>
    </w:p>
    <w:p w14:paraId="16A1ABCC" w14:textId="22E8C128" w:rsidR="009D36B0" w:rsidRDefault="001B43CB">
      <w:pPr>
        <w:pStyle w:val="TOC1"/>
        <w:rPr>
          <w:rFonts w:asciiTheme="minorHAnsi" w:eastAsiaTheme="minorEastAsia" w:hAnsiTheme="minorHAnsi" w:cstheme="minorBidi"/>
          <w:noProof/>
          <w:sz w:val="22"/>
          <w:szCs w:val="22"/>
        </w:rPr>
      </w:pPr>
      <w:hyperlink w:anchor="_Toc129962215" w:history="1">
        <w:r w:rsidR="009D36B0" w:rsidRPr="00317CE1">
          <w:rPr>
            <w:rStyle w:val="Hyperlink"/>
            <w:noProof/>
          </w:rPr>
          <w:t>VIII. Conclusion</w:t>
        </w:r>
        <w:r w:rsidR="009D36B0">
          <w:rPr>
            <w:noProof/>
            <w:webHidden/>
          </w:rPr>
          <w:tab/>
        </w:r>
        <w:r w:rsidR="009D36B0">
          <w:rPr>
            <w:noProof/>
            <w:webHidden/>
          </w:rPr>
          <w:fldChar w:fldCharType="begin"/>
        </w:r>
        <w:r w:rsidR="009D36B0">
          <w:rPr>
            <w:noProof/>
            <w:webHidden/>
          </w:rPr>
          <w:instrText xml:space="preserve"> PAGEREF _Toc129962215 \h </w:instrText>
        </w:r>
        <w:r w:rsidR="009D36B0">
          <w:rPr>
            <w:noProof/>
            <w:webHidden/>
          </w:rPr>
        </w:r>
        <w:r w:rsidR="009D36B0">
          <w:rPr>
            <w:noProof/>
            <w:webHidden/>
          </w:rPr>
          <w:fldChar w:fldCharType="separate"/>
        </w:r>
        <w:r w:rsidR="00E81BB2">
          <w:rPr>
            <w:noProof/>
            <w:webHidden/>
          </w:rPr>
          <w:t>77</w:t>
        </w:r>
        <w:r w:rsidR="009D36B0">
          <w:rPr>
            <w:noProof/>
            <w:webHidden/>
          </w:rPr>
          <w:fldChar w:fldCharType="end"/>
        </w:r>
      </w:hyperlink>
    </w:p>
    <w:p w14:paraId="53486808" w14:textId="78A80D0E" w:rsidR="009D36B0" w:rsidRDefault="001B43CB">
      <w:pPr>
        <w:pStyle w:val="TOC1"/>
        <w:rPr>
          <w:rFonts w:asciiTheme="minorHAnsi" w:eastAsiaTheme="minorEastAsia" w:hAnsiTheme="minorHAnsi" w:cstheme="minorBidi"/>
          <w:noProof/>
          <w:sz w:val="22"/>
          <w:szCs w:val="22"/>
        </w:rPr>
      </w:pPr>
      <w:hyperlink w:anchor="_Toc129962216" w:history="1">
        <w:r w:rsidR="009D36B0" w:rsidRPr="00317CE1">
          <w:rPr>
            <w:rStyle w:val="Hyperlink"/>
            <w:bCs/>
            <w:noProof/>
          </w:rPr>
          <w:t>EXHIBIT</w:t>
        </w:r>
        <w:r w:rsidR="009D36B0">
          <w:rPr>
            <w:noProof/>
            <w:webHidden/>
          </w:rPr>
          <w:tab/>
        </w:r>
        <w:r w:rsidR="009D36B0">
          <w:rPr>
            <w:noProof/>
            <w:webHidden/>
          </w:rPr>
          <w:fldChar w:fldCharType="begin"/>
        </w:r>
        <w:r w:rsidR="009D36B0">
          <w:rPr>
            <w:noProof/>
            <w:webHidden/>
          </w:rPr>
          <w:instrText xml:space="preserve"> PAGEREF _Toc129962216 \h </w:instrText>
        </w:r>
        <w:r w:rsidR="009D36B0">
          <w:rPr>
            <w:noProof/>
            <w:webHidden/>
          </w:rPr>
        </w:r>
        <w:r w:rsidR="009D36B0">
          <w:rPr>
            <w:noProof/>
            <w:webHidden/>
          </w:rPr>
          <w:fldChar w:fldCharType="separate"/>
        </w:r>
        <w:r w:rsidR="00E81BB2">
          <w:rPr>
            <w:noProof/>
            <w:webHidden/>
          </w:rPr>
          <w:t>79</w:t>
        </w:r>
        <w:r w:rsidR="009D36B0">
          <w:rPr>
            <w:noProof/>
            <w:webHidden/>
          </w:rPr>
          <w:fldChar w:fldCharType="end"/>
        </w:r>
      </w:hyperlink>
    </w:p>
    <w:p w14:paraId="5321199E" w14:textId="1BCBDA38" w:rsidR="00F40667" w:rsidRDefault="009D36B0" w:rsidP="00135690">
      <w:pPr>
        <w:widowControl w:val="0"/>
        <w:suppressLineNumbers/>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b/>
          <w:color w:val="000000"/>
        </w:rPr>
      </w:pPr>
      <w:r>
        <w:rPr>
          <w:rFonts w:cs="Courier New"/>
          <w:b/>
          <w:color w:val="000000"/>
        </w:rPr>
        <w:fldChar w:fldCharType="end"/>
      </w:r>
    </w:p>
    <w:p w14:paraId="5985C075" w14:textId="77777777" w:rsidR="00F40667" w:rsidRDefault="00F40667" w:rsidP="00135690">
      <w:pPr>
        <w:widowControl w:val="0"/>
        <w:suppressLineNumbers/>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b/>
          <w:color w:val="000000"/>
        </w:rPr>
      </w:pPr>
    </w:p>
    <w:p w14:paraId="1AEA4511" w14:textId="77777777" w:rsidR="00F40667" w:rsidRDefault="00F40667" w:rsidP="00C66C38">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629F355E" w14:textId="77777777" w:rsidR="00805765" w:rsidRPr="00805765" w:rsidRDefault="00805765" w:rsidP="00805765">
      <w:pPr>
        <w:rPr>
          <w:rFonts w:cs="Courier New"/>
        </w:rPr>
      </w:pPr>
    </w:p>
    <w:p w14:paraId="2FA51642" w14:textId="77777777" w:rsidR="00805765" w:rsidRPr="00805765" w:rsidRDefault="00805765" w:rsidP="00805765">
      <w:pPr>
        <w:rPr>
          <w:rFonts w:cs="Courier New"/>
        </w:rPr>
      </w:pPr>
    </w:p>
    <w:p w14:paraId="05D4D88D" w14:textId="77777777" w:rsidR="00805765" w:rsidRPr="00805765" w:rsidRDefault="00805765" w:rsidP="00805765">
      <w:pPr>
        <w:rPr>
          <w:rFonts w:cs="Courier New"/>
        </w:rPr>
      </w:pPr>
    </w:p>
    <w:p w14:paraId="5B17C55B" w14:textId="77777777" w:rsidR="00805765" w:rsidRPr="00805765" w:rsidRDefault="00805765" w:rsidP="00805765">
      <w:pPr>
        <w:rPr>
          <w:rFonts w:cs="Courier New"/>
        </w:rPr>
      </w:pPr>
    </w:p>
    <w:p w14:paraId="6E7C4BCB" w14:textId="77777777" w:rsidR="00805765" w:rsidRPr="00805765" w:rsidRDefault="00805765" w:rsidP="00805765">
      <w:pPr>
        <w:rPr>
          <w:rFonts w:cs="Courier New"/>
        </w:rPr>
      </w:pPr>
    </w:p>
    <w:p w14:paraId="63730229" w14:textId="77777777" w:rsidR="00805765" w:rsidRPr="00805765" w:rsidRDefault="00805765" w:rsidP="00805765">
      <w:pPr>
        <w:jc w:val="center"/>
        <w:rPr>
          <w:rFonts w:cs="Courier New"/>
        </w:rPr>
      </w:pPr>
    </w:p>
    <w:p w14:paraId="4207CDC0" w14:textId="77777777" w:rsidR="00805765" w:rsidRDefault="00805765" w:rsidP="00805765">
      <w:pPr>
        <w:rPr>
          <w:rFonts w:cs="Courier New"/>
          <w:b/>
          <w:color w:val="000000"/>
        </w:rPr>
      </w:pPr>
    </w:p>
    <w:p w14:paraId="0C8A8377" w14:textId="4E26D009" w:rsidR="00805765" w:rsidRPr="00805765" w:rsidRDefault="00805765" w:rsidP="00805765">
      <w:pPr>
        <w:rPr>
          <w:rFonts w:cs="Courier New"/>
        </w:rPr>
        <w:sectPr w:rsidR="00805765" w:rsidRPr="00805765" w:rsidSect="00C66C38">
          <w:footerReference w:type="default" r:id="rId14"/>
          <w:headerReference w:type="first" r:id="rId15"/>
          <w:footerReference w:type="first" r:id="rId16"/>
          <w:pgSz w:w="12240" w:h="15840" w:code="1"/>
          <w:pgMar w:top="1440" w:right="720" w:bottom="806" w:left="2160" w:header="720" w:footer="720" w:gutter="0"/>
          <w:paperSrc w:first="7" w:other="7"/>
          <w:pgBorders>
            <w:left w:val="single" w:sz="4" w:space="4" w:color="auto"/>
            <w:right w:val="single" w:sz="4" w:space="4" w:color="auto"/>
          </w:pgBorders>
          <w:pgNumType w:fmt="lowerRoman" w:start="1"/>
          <w:cols w:space="720"/>
          <w:titlePg/>
        </w:sectPr>
      </w:pPr>
    </w:p>
    <w:p w14:paraId="0C712EB5" w14:textId="77777777" w:rsidR="00FF5AF5" w:rsidRPr="00B23997" w:rsidRDefault="00FF5AF5" w:rsidP="00EE19D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lastRenderedPageBreak/>
        <w:t>BEFORE THE FLORIDA PUBLIC SERVICE COMMISSION</w:t>
      </w:r>
    </w:p>
    <w:p w14:paraId="6D19985D" w14:textId="77777777" w:rsidR="00FF5AF5" w:rsidRPr="00B23997" w:rsidRDefault="00FF5AF5" w:rsidP="00EE19D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PREPARED DIRECT TESTIMONY</w:t>
      </w:r>
    </w:p>
    <w:p w14:paraId="09F713FC" w14:textId="77777777" w:rsidR="00FF5AF5" w:rsidRPr="00B23997" w:rsidRDefault="00FF5AF5" w:rsidP="00EE19D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OF</w:t>
      </w:r>
    </w:p>
    <w:p w14:paraId="66C6691C" w14:textId="258E471E" w:rsidR="00FF5AF5" w:rsidRDefault="007E28A3" w:rsidP="00EE19D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7E28A3">
        <w:rPr>
          <w:rFonts w:cs="Courier New"/>
          <w:b/>
          <w:color w:val="000000"/>
        </w:rPr>
        <w:t xml:space="preserve">DYLAN </w:t>
      </w:r>
      <w:r w:rsidR="00763AAB">
        <w:rPr>
          <w:rFonts w:cs="Courier New"/>
          <w:b/>
          <w:color w:val="000000"/>
        </w:rPr>
        <w:t xml:space="preserve">W. </w:t>
      </w:r>
      <w:r w:rsidRPr="007E28A3">
        <w:rPr>
          <w:rFonts w:cs="Courier New"/>
          <w:b/>
          <w:color w:val="000000"/>
        </w:rPr>
        <w:t>D’ASCENDIS</w:t>
      </w:r>
    </w:p>
    <w:p w14:paraId="64BB4AB6" w14:textId="23CD7994" w:rsidR="00635F03" w:rsidRPr="00B23997" w:rsidRDefault="00635F03" w:rsidP="00EE19D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Pr>
          <w:rFonts w:cs="Courier New"/>
          <w:b/>
          <w:color w:val="000000"/>
        </w:rPr>
        <w:t xml:space="preserve">ON BEHALF OF </w:t>
      </w:r>
      <w:r w:rsidR="00805765">
        <w:rPr>
          <w:rFonts w:cs="Courier New"/>
          <w:b/>
          <w:color w:val="000000"/>
        </w:rPr>
        <w:t>PEOPLES</w:t>
      </w:r>
      <w:r>
        <w:rPr>
          <w:rFonts w:cs="Courier New"/>
          <w:b/>
          <w:color w:val="000000"/>
        </w:rPr>
        <w:t xml:space="preserve"> </w:t>
      </w:r>
      <w:r w:rsidR="00E6002B">
        <w:rPr>
          <w:rFonts w:cs="Courier New"/>
          <w:b/>
          <w:color w:val="000000"/>
        </w:rPr>
        <w:t>GAS</w:t>
      </w:r>
      <w:r w:rsidR="00126F28">
        <w:rPr>
          <w:rFonts w:cs="Courier New"/>
          <w:b/>
          <w:color w:val="000000"/>
        </w:rPr>
        <w:t xml:space="preserve"> SYSTEM</w:t>
      </w:r>
      <w:r w:rsidR="00805765">
        <w:rPr>
          <w:rFonts w:cs="Courier New"/>
          <w:b/>
          <w:color w:val="000000"/>
        </w:rPr>
        <w:t>, INC.</w:t>
      </w:r>
    </w:p>
    <w:p w14:paraId="002E0568" w14:textId="77777777" w:rsidR="00911275" w:rsidRPr="00B23997" w:rsidRDefault="00911275" w:rsidP="00EE19D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7C14E891" w14:textId="0070BDF9" w:rsidR="004E252C" w:rsidRPr="00170349" w:rsidRDefault="00341A14" w:rsidP="00F413CA">
      <w:pPr>
        <w:pStyle w:val="Heading1"/>
        <w:pBdr>
          <w:left w:val="none" w:sz="0" w:space="0" w:color="auto"/>
          <w:right w:val="none" w:sz="0" w:space="0" w:color="auto"/>
        </w:pBdr>
        <w:jc w:val="left"/>
      </w:pPr>
      <w:bookmarkStart w:id="0" w:name="_Toc129962198"/>
      <w:r w:rsidRPr="00170349">
        <w:t>Introduction</w:t>
      </w:r>
      <w:bookmarkEnd w:id="0"/>
    </w:p>
    <w:p w14:paraId="00921FBB" w14:textId="77777777" w:rsidR="0033341D" w:rsidRPr="00B23997" w:rsidRDefault="0033341D" w:rsidP="00EE19DD">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B23997">
        <w:rPr>
          <w:rFonts w:cs="Courier New"/>
          <w:b/>
        </w:rPr>
        <w:t>Q.</w:t>
      </w:r>
      <w:r w:rsidRPr="00B23997">
        <w:rPr>
          <w:rFonts w:cs="Courier New"/>
        </w:rPr>
        <w:tab/>
      </w:r>
      <w:r w:rsidRPr="00B23997">
        <w:rPr>
          <w:rFonts w:cs="Courier New"/>
          <w:color w:val="000000"/>
        </w:rPr>
        <w:t>Please state your name, address, occupation and employer.</w:t>
      </w:r>
    </w:p>
    <w:p w14:paraId="00D7FE37" w14:textId="77777777" w:rsidR="0033341D" w:rsidRPr="00B23997" w:rsidRDefault="0033341D" w:rsidP="00EE19DD">
      <w:pPr>
        <w:pStyle w:val="Header"/>
        <w:widowControl w:val="0"/>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rPr>
      </w:pPr>
    </w:p>
    <w:p w14:paraId="79402515" w14:textId="30E1FA02" w:rsidR="00262F53" w:rsidRPr="00B23997" w:rsidRDefault="0033341D"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B23997">
        <w:rPr>
          <w:rFonts w:ascii="Courier New" w:hAnsi="Courier New" w:cs="Courier New"/>
          <w:b/>
        </w:rPr>
        <w:t>A.</w:t>
      </w:r>
      <w:r w:rsidRPr="00B23997">
        <w:rPr>
          <w:rFonts w:ascii="Courier New" w:hAnsi="Courier New" w:cs="Courier New"/>
        </w:rPr>
        <w:tab/>
      </w:r>
      <w:r w:rsidR="008A3A08" w:rsidRPr="00B23997">
        <w:rPr>
          <w:rFonts w:ascii="Courier New" w:hAnsi="Courier New" w:cs="Courier New"/>
          <w:color w:val="000000"/>
        </w:rPr>
        <w:t xml:space="preserve">My name is </w:t>
      </w:r>
      <w:r w:rsidR="007E28A3" w:rsidRPr="007E28A3">
        <w:rPr>
          <w:rFonts w:ascii="Courier New" w:hAnsi="Courier New" w:cs="Courier New"/>
          <w:color w:val="000000"/>
        </w:rPr>
        <w:t>Dylan</w:t>
      </w:r>
      <w:r w:rsidR="007E28A3">
        <w:rPr>
          <w:rFonts w:ascii="Courier New" w:hAnsi="Courier New" w:cs="Courier New"/>
          <w:color w:val="000000"/>
        </w:rPr>
        <w:t xml:space="preserve"> W.</w:t>
      </w:r>
      <w:r w:rsidR="007E28A3" w:rsidRPr="007E28A3">
        <w:rPr>
          <w:rFonts w:ascii="Courier New" w:hAnsi="Courier New" w:cs="Courier New"/>
          <w:color w:val="000000"/>
        </w:rPr>
        <w:t xml:space="preserve"> D’Ascendis</w:t>
      </w:r>
      <w:r w:rsidR="008A3A08" w:rsidRPr="00B23997">
        <w:rPr>
          <w:rFonts w:ascii="Courier New" w:hAnsi="Courier New" w:cs="Courier New"/>
          <w:color w:val="000000"/>
        </w:rPr>
        <w:t xml:space="preserve">.  My business address is </w:t>
      </w:r>
      <w:r w:rsidR="007E28A3">
        <w:rPr>
          <w:rFonts w:ascii="Courier New" w:hAnsi="Courier New" w:cs="Courier New"/>
          <w:color w:val="000000"/>
        </w:rPr>
        <w:t>3000 Atrium Way, Suite 2</w:t>
      </w:r>
      <w:r w:rsidR="002246D4">
        <w:rPr>
          <w:rFonts w:ascii="Courier New" w:hAnsi="Courier New" w:cs="Courier New"/>
          <w:color w:val="000000"/>
        </w:rPr>
        <w:t>00</w:t>
      </w:r>
      <w:r w:rsidR="007E28A3">
        <w:rPr>
          <w:rFonts w:ascii="Courier New" w:hAnsi="Courier New" w:cs="Courier New"/>
          <w:color w:val="000000"/>
        </w:rPr>
        <w:t>, Mount Laurel, N</w:t>
      </w:r>
      <w:r w:rsidR="0065507F">
        <w:rPr>
          <w:rFonts w:ascii="Courier New" w:hAnsi="Courier New" w:cs="Courier New"/>
          <w:color w:val="000000"/>
        </w:rPr>
        <w:t xml:space="preserve">ew </w:t>
      </w:r>
      <w:r w:rsidR="007E28A3">
        <w:rPr>
          <w:rFonts w:ascii="Courier New" w:hAnsi="Courier New" w:cs="Courier New"/>
          <w:color w:val="000000"/>
        </w:rPr>
        <w:t>J</w:t>
      </w:r>
      <w:r w:rsidR="0065507F">
        <w:rPr>
          <w:rFonts w:ascii="Courier New" w:hAnsi="Courier New" w:cs="Courier New"/>
          <w:color w:val="000000"/>
        </w:rPr>
        <w:t>ersey</w:t>
      </w:r>
      <w:r w:rsidR="007E28A3">
        <w:rPr>
          <w:rFonts w:ascii="Courier New" w:hAnsi="Courier New" w:cs="Courier New"/>
          <w:color w:val="000000"/>
        </w:rPr>
        <w:t xml:space="preserve"> 08054</w:t>
      </w:r>
      <w:r w:rsidR="0065507F">
        <w:rPr>
          <w:rFonts w:ascii="Courier New" w:hAnsi="Courier New" w:cs="Courier New"/>
          <w:color w:val="000000"/>
        </w:rPr>
        <w:t>.</w:t>
      </w:r>
      <w:r w:rsidR="00635F03">
        <w:rPr>
          <w:rFonts w:ascii="Courier New" w:hAnsi="Courier New" w:cs="Courier New"/>
          <w:color w:val="000000"/>
        </w:rPr>
        <w:t xml:space="preserve">  </w:t>
      </w:r>
      <w:r w:rsidR="008A3A08" w:rsidRPr="00B23997">
        <w:rPr>
          <w:rFonts w:ascii="Courier New" w:hAnsi="Courier New" w:cs="Courier New"/>
          <w:color w:val="000000"/>
        </w:rPr>
        <w:t>I am employed by</w:t>
      </w:r>
      <w:r w:rsidR="00020470">
        <w:rPr>
          <w:rFonts w:ascii="Courier New" w:hAnsi="Courier New" w:cs="Courier New"/>
          <w:color w:val="000000"/>
        </w:rPr>
        <w:t xml:space="preserve"> </w:t>
      </w:r>
      <w:r w:rsidR="00697319">
        <w:rPr>
          <w:rFonts w:ascii="Courier New" w:hAnsi="Courier New" w:cs="Courier New"/>
          <w:color w:val="000000"/>
        </w:rPr>
        <w:t>ScottMadden, Inc.</w:t>
      </w:r>
      <w:r w:rsidR="005046B0" w:rsidRPr="00B23997">
        <w:rPr>
          <w:rFonts w:ascii="Courier New" w:hAnsi="Courier New" w:cs="Courier New"/>
          <w:color w:val="000000"/>
        </w:rPr>
        <w:t xml:space="preserve"> </w:t>
      </w:r>
      <w:r w:rsidR="0065507F">
        <w:rPr>
          <w:rFonts w:ascii="Courier New" w:hAnsi="Courier New" w:cs="Courier New"/>
          <w:color w:val="000000"/>
        </w:rPr>
        <w:t>a</w:t>
      </w:r>
      <w:r w:rsidR="00CF22DF">
        <w:rPr>
          <w:rFonts w:ascii="Courier New" w:hAnsi="Courier New" w:cs="Courier New"/>
          <w:color w:val="000000"/>
        </w:rPr>
        <w:t>s</w:t>
      </w:r>
      <w:r w:rsidR="0065507F">
        <w:rPr>
          <w:rFonts w:ascii="Courier New" w:hAnsi="Courier New" w:cs="Courier New"/>
          <w:color w:val="000000"/>
        </w:rPr>
        <w:t xml:space="preserve"> a Partner.</w:t>
      </w:r>
    </w:p>
    <w:p w14:paraId="2CDB9663" w14:textId="77777777" w:rsidR="00262F53" w:rsidRPr="00B23997" w:rsidRDefault="00262F53"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5E3A8CD2" w14:textId="5928A3E0" w:rsidR="0033341D" w:rsidRPr="00B23997" w:rsidRDefault="0033341D"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w:t>
      </w:r>
      <w:r w:rsidRPr="00B23997">
        <w:rPr>
          <w:rFonts w:ascii="Courier New" w:hAnsi="Courier New" w:cs="Courier New"/>
        </w:rPr>
        <w:tab/>
        <w:t xml:space="preserve">Please provide a brief outline of your educational background and </w:t>
      </w:r>
      <w:r w:rsidR="00963C15">
        <w:rPr>
          <w:rFonts w:ascii="Courier New" w:hAnsi="Courier New" w:cs="Courier New"/>
        </w:rPr>
        <w:t xml:space="preserve">relevant </w:t>
      </w:r>
      <w:r w:rsidRPr="00B23997">
        <w:rPr>
          <w:rFonts w:ascii="Courier New" w:hAnsi="Courier New" w:cs="Courier New"/>
        </w:rPr>
        <w:t>business experience.</w:t>
      </w:r>
    </w:p>
    <w:p w14:paraId="07392ECE" w14:textId="77777777" w:rsidR="0033341D" w:rsidRPr="00B23997" w:rsidRDefault="0033341D"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27626727" w14:textId="77777777" w:rsidR="007F55CE" w:rsidRPr="00A75FD4" w:rsidRDefault="00D95B75" w:rsidP="007F55CE">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7F55CE" w:rsidRPr="00A75FD4">
        <w:rPr>
          <w:rFonts w:ascii="Courier New" w:hAnsi="Courier New" w:cs="Courier New"/>
        </w:rPr>
        <w:t>I am a graduate of the University of Pennsylvania, where I received a Bachelor of Arts degree in Economic History.  I also received a Master of Business Administration with high honors and concentrations in Finance and International Business from Rutgers University.</w:t>
      </w:r>
    </w:p>
    <w:p w14:paraId="051C0A5B" w14:textId="77777777" w:rsidR="007F55CE" w:rsidRDefault="007F55CE" w:rsidP="007F55CE">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7C5587F" w14:textId="187C8669" w:rsidR="0033341D" w:rsidRPr="00B23997" w:rsidRDefault="00763AAB" w:rsidP="5C8DBC97">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54CE6884" w:rsidRPr="00DE7E21">
        <w:rPr>
          <w:rFonts w:ascii="Courier New" w:hAnsi="Courier New" w:cs="Courier New"/>
        </w:rPr>
        <w:t xml:space="preserve">I have offered expert testimony on behalf of investor-owned utilities before </w:t>
      </w:r>
      <w:r w:rsidR="3921E3A2">
        <w:rPr>
          <w:rFonts w:ascii="Courier New" w:hAnsi="Courier New" w:cs="Courier New"/>
        </w:rPr>
        <w:t xml:space="preserve">more than </w:t>
      </w:r>
      <w:r w:rsidR="54CE6884" w:rsidRPr="00DE7E21">
        <w:rPr>
          <w:rFonts w:ascii="Courier New" w:hAnsi="Courier New" w:cs="Courier New"/>
        </w:rPr>
        <w:t xml:space="preserve">35 state regulatory commissions in the United States, the Federal Energy Regulatory Commission, </w:t>
      </w:r>
      <w:r w:rsidR="54CE6884" w:rsidRPr="00DE7E21">
        <w:rPr>
          <w:rFonts w:ascii="Courier New" w:hAnsi="Courier New" w:cs="Courier New"/>
        </w:rPr>
        <w:lastRenderedPageBreak/>
        <w:t>the Alberta Utility Commission, an American Arbitration Association panel, and the Superior Court of Rhode Island on issues including, but not limited to, common equity cost rate, rate of return, valuation, capital structure, class cost of service, and rate design.</w:t>
      </w:r>
    </w:p>
    <w:p w14:paraId="28E0DACD" w14:textId="395A49A0" w:rsidR="0033341D" w:rsidRDefault="0033341D"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637A5EEC" w14:textId="3A20177B" w:rsidR="00A75FD4" w:rsidRPr="00A75FD4" w:rsidRDefault="00A75FD4"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Pr="00A75FD4">
        <w:rPr>
          <w:rFonts w:ascii="Courier New" w:hAnsi="Courier New" w:cs="Courier New"/>
        </w:rPr>
        <w:t xml:space="preserve">I also provide services on behalf of the American Gas Association (“AGA”). </w:t>
      </w:r>
      <w:r w:rsidR="00CF22DF">
        <w:rPr>
          <w:rFonts w:ascii="Courier New" w:hAnsi="Courier New" w:cs="Courier New"/>
        </w:rPr>
        <w:t xml:space="preserve"> </w:t>
      </w:r>
      <w:r w:rsidRPr="00A75FD4">
        <w:rPr>
          <w:rFonts w:ascii="Courier New" w:hAnsi="Courier New" w:cs="Courier New"/>
        </w:rPr>
        <w:t>I calculate the AGA Gas Index, which serves as the benchmark against which the performance of the American Gas Index Fund (“AGIF”) is measured on a monthly basis.  The AGA Gas Index and AGIF are a market capitalization weighted index and mutual fund, respectively, comprised of the common stocks of the publicly traded corporate members of the AGA.</w:t>
      </w:r>
    </w:p>
    <w:p w14:paraId="520A3BF2" w14:textId="77777777" w:rsidR="00A75FD4" w:rsidRDefault="00A75FD4"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68987BEB" w14:textId="2165999D" w:rsidR="00A75FD4" w:rsidRPr="00A75FD4" w:rsidRDefault="00A75FD4"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rPr>
        <w:tab/>
      </w:r>
      <w:r w:rsidRPr="00A75FD4">
        <w:rPr>
          <w:rFonts w:ascii="Courier New" w:hAnsi="Courier New" w:cs="Courier New"/>
        </w:rPr>
        <w:t>I am a member of the Society of Utility and Regulatory Financial Analysts (“SURFA”).  In 2011, I was awarded the professional designation “Certified Rate of Return Analyst” by SURFA, which is based on education, experience, and the successful completion of a comprehensive written examination.</w:t>
      </w:r>
    </w:p>
    <w:p w14:paraId="5F5C906C" w14:textId="77777777" w:rsidR="00A75FD4" w:rsidRDefault="00A75FD4"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3CD6CDB3" w14:textId="02800EAD" w:rsidR="00A75FD4" w:rsidRPr="00A75FD4" w:rsidRDefault="00A75FD4" w:rsidP="31C49094">
      <w:pPr>
        <w:pStyle w:val="QuickA"/>
        <w:tabs>
          <w:tab w:val="left" w:pos="720"/>
          <w:tab w:val="left" w:pos="1440"/>
          <w:tab w:val="left" w:pos="2160"/>
          <w:tab w:val="left" w:pos="5040"/>
          <w:tab w:val="left" w:pos="6480"/>
          <w:tab w:val="left" w:pos="7200"/>
          <w:tab w:val="left" w:pos="7920"/>
          <w:tab w:val="left" w:pos="8640"/>
          <w:tab w:val="left" w:pos="9360"/>
        </w:tabs>
        <w:ind w:left="720"/>
        <w:jc w:val="both"/>
        <w:rPr>
          <w:rFonts w:ascii="Courier New" w:hAnsi="Courier New" w:cs="Courier New"/>
        </w:rPr>
      </w:pPr>
      <w:r w:rsidRPr="00A75FD4">
        <w:rPr>
          <w:rFonts w:ascii="Courier New" w:hAnsi="Courier New" w:cs="Courier New"/>
        </w:rPr>
        <w:t>I am also a member of the National Association of Certified Valuation Analysts (“NACVA”) and was awarded the professional designation “Certified Valuation Analyst” by the NACVA in 2015.</w:t>
      </w:r>
    </w:p>
    <w:p w14:paraId="57C754C4" w14:textId="131E9CC9" w:rsidR="00360BF4" w:rsidRDefault="00A75FD4" w:rsidP="31C49094">
      <w:pPr>
        <w:pStyle w:val="QuickA"/>
        <w:tabs>
          <w:tab w:val="left" w:pos="720"/>
          <w:tab w:val="left" w:pos="1440"/>
          <w:tab w:val="left" w:pos="2160"/>
          <w:tab w:val="left" w:pos="5040"/>
          <w:tab w:val="left" w:pos="6480"/>
          <w:tab w:val="left" w:pos="7200"/>
          <w:tab w:val="left" w:pos="7920"/>
          <w:tab w:val="left" w:pos="8640"/>
          <w:tab w:val="left" w:pos="9360"/>
        </w:tabs>
        <w:ind w:left="720"/>
        <w:jc w:val="both"/>
        <w:rPr>
          <w:rFonts w:ascii="Courier New" w:hAnsi="Courier New" w:cs="Courier New"/>
        </w:rPr>
      </w:pPr>
      <w:r w:rsidRPr="00A75FD4">
        <w:rPr>
          <w:rFonts w:ascii="Courier New" w:hAnsi="Courier New" w:cs="Courier New"/>
        </w:rPr>
        <w:lastRenderedPageBreak/>
        <w:t xml:space="preserve">The details of my educational background and expert witness appearances are </w:t>
      </w:r>
      <w:r w:rsidR="00B47D94">
        <w:rPr>
          <w:rFonts w:ascii="Courier New" w:hAnsi="Courier New" w:cs="Courier New"/>
        </w:rPr>
        <w:t>provided</w:t>
      </w:r>
      <w:r w:rsidRPr="00A75FD4">
        <w:rPr>
          <w:rFonts w:ascii="Courier New" w:hAnsi="Courier New" w:cs="Courier New"/>
        </w:rPr>
        <w:t xml:space="preserve"> in </w:t>
      </w:r>
      <w:r w:rsidR="003B2AB8">
        <w:rPr>
          <w:rFonts w:ascii="Courier New" w:hAnsi="Courier New" w:cs="Courier New"/>
        </w:rPr>
        <w:t xml:space="preserve">Document </w:t>
      </w:r>
      <w:r w:rsidR="00B47D94">
        <w:rPr>
          <w:rFonts w:ascii="Courier New" w:hAnsi="Courier New" w:cs="Courier New"/>
        </w:rPr>
        <w:t xml:space="preserve">No. </w:t>
      </w:r>
      <w:r w:rsidR="003B2AB8">
        <w:rPr>
          <w:rFonts w:ascii="Courier New" w:hAnsi="Courier New" w:cs="Courier New"/>
        </w:rPr>
        <w:t>13</w:t>
      </w:r>
      <w:r w:rsidR="00DD6985">
        <w:rPr>
          <w:rFonts w:ascii="Courier New" w:hAnsi="Courier New" w:cs="Courier New"/>
        </w:rPr>
        <w:t xml:space="preserve"> to my </w:t>
      </w:r>
      <w:r w:rsidR="006C0445">
        <w:rPr>
          <w:rFonts w:ascii="Courier New" w:hAnsi="Courier New" w:cs="Courier New"/>
        </w:rPr>
        <w:t>d</w:t>
      </w:r>
      <w:r w:rsidR="00DD6985">
        <w:rPr>
          <w:rFonts w:ascii="Courier New" w:hAnsi="Courier New" w:cs="Courier New"/>
        </w:rPr>
        <w:t xml:space="preserve">irect </w:t>
      </w:r>
      <w:r w:rsidR="006C0445">
        <w:rPr>
          <w:rFonts w:ascii="Courier New" w:hAnsi="Courier New" w:cs="Courier New"/>
        </w:rPr>
        <w:t>t</w:t>
      </w:r>
      <w:r w:rsidR="00DD6985">
        <w:rPr>
          <w:rFonts w:ascii="Courier New" w:hAnsi="Courier New" w:cs="Courier New"/>
        </w:rPr>
        <w:t>estimony</w:t>
      </w:r>
      <w:r w:rsidRPr="00A75FD4">
        <w:rPr>
          <w:rFonts w:ascii="Courier New" w:hAnsi="Courier New" w:cs="Courier New"/>
        </w:rPr>
        <w:t>.</w:t>
      </w:r>
    </w:p>
    <w:p w14:paraId="59CED803" w14:textId="77777777" w:rsidR="00360BF4" w:rsidRPr="00B23997" w:rsidRDefault="00360BF4"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536BC12" w14:textId="66CA275C" w:rsidR="0033341D" w:rsidRPr="00B23997" w:rsidRDefault="0033341D"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 xml:space="preserve">What </w:t>
      </w:r>
      <w:r w:rsidR="00763AAB">
        <w:rPr>
          <w:rFonts w:ascii="Courier New" w:hAnsi="Courier New" w:cs="Courier New"/>
        </w:rPr>
        <w:t>is</w:t>
      </w:r>
      <w:r w:rsidR="00763AAB" w:rsidRPr="00B23997">
        <w:rPr>
          <w:rFonts w:ascii="Courier New" w:hAnsi="Courier New" w:cs="Courier New"/>
        </w:rPr>
        <w:t xml:space="preserve"> </w:t>
      </w:r>
      <w:r w:rsidRPr="00B23997">
        <w:rPr>
          <w:rFonts w:ascii="Courier New" w:hAnsi="Courier New" w:cs="Courier New"/>
        </w:rPr>
        <w:t xml:space="preserve">the purpose of your </w:t>
      </w:r>
      <w:r w:rsidR="000D79FB">
        <w:rPr>
          <w:rFonts w:ascii="Courier New" w:hAnsi="Courier New" w:cs="Courier New"/>
        </w:rPr>
        <w:t xml:space="preserve">prepared </w:t>
      </w:r>
      <w:r w:rsidRPr="00B23997">
        <w:rPr>
          <w:rFonts w:ascii="Courier New" w:hAnsi="Courier New" w:cs="Courier New"/>
        </w:rPr>
        <w:t>direct testimony in this proceeding?</w:t>
      </w:r>
    </w:p>
    <w:p w14:paraId="2FD9D0F6" w14:textId="77777777" w:rsidR="0033341D" w:rsidRPr="00B23997" w:rsidRDefault="0033341D" w:rsidP="00EE19DD">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20043DB9" w14:textId="70F4220D" w:rsidR="002D50DD" w:rsidRPr="00B23997" w:rsidRDefault="00D95B75" w:rsidP="002D50DD">
      <w:pPr>
        <w:pStyle w:val="QuickA"/>
        <w:tabs>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12211A" w:rsidRPr="0012211A">
        <w:rPr>
          <w:rFonts w:ascii="Courier New" w:hAnsi="Courier New" w:cs="Courier New"/>
        </w:rPr>
        <w:t xml:space="preserve">The purpose of my </w:t>
      </w:r>
      <w:r w:rsidR="006C0445">
        <w:rPr>
          <w:rFonts w:ascii="Courier New" w:hAnsi="Courier New" w:cs="Courier New"/>
        </w:rPr>
        <w:t>d</w:t>
      </w:r>
      <w:r w:rsidR="0012211A" w:rsidRPr="0012211A">
        <w:rPr>
          <w:rFonts w:ascii="Courier New" w:hAnsi="Courier New" w:cs="Courier New"/>
        </w:rPr>
        <w:t xml:space="preserve">irect </w:t>
      </w:r>
      <w:r w:rsidR="006C0445">
        <w:rPr>
          <w:rFonts w:ascii="Courier New" w:hAnsi="Courier New" w:cs="Courier New"/>
        </w:rPr>
        <w:t>t</w:t>
      </w:r>
      <w:r w:rsidR="0012211A" w:rsidRPr="0012211A">
        <w:rPr>
          <w:rFonts w:ascii="Courier New" w:hAnsi="Courier New" w:cs="Courier New"/>
        </w:rPr>
        <w:t xml:space="preserve">estimony is to present evidence and provide the </w:t>
      </w:r>
      <w:r w:rsidR="00F04172">
        <w:rPr>
          <w:rFonts w:ascii="Courier New" w:hAnsi="Courier New" w:cs="Courier New"/>
        </w:rPr>
        <w:t>Florida Public Service</w:t>
      </w:r>
      <w:r w:rsidR="0012211A" w:rsidRPr="0012211A">
        <w:rPr>
          <w:rFonts w:ascii="Courier New" w:hAnsi="Courier New" w:cs="Courier New"/>
        </w:rPr>
        <w:t xml:space="preserve"> Commission (“Commission”) with a recommendation regarding </w:t>
      </w:r>
      <w:r w:rsidR="00805765">
        <w:rPr>
          <w:rFonts w:ascii="Courier New" w:hAnsi="Courier New" w:cs="Courier New"/>
        </w:rPr>
        <w:t>Peoples</w:t>
      </w:r>
      <w:r w:rsidR="0012211A" w:rsidRPr="0012211A">
        <w:rPr>
          <w:rFonts w:ascii="Courier New" w:hAnsi="Courier New" w:cs="Courier New"/>
        </w:rPr>
        <w:t xml:space="preserve"> </w:t>
      </w:r>
      <w:r w:rsidR="0091158B">
        <w:rPr>
          <w:rFonts w:ascii="Courier New" w:hAnsi="Courier New" w:cs="Courier New"/>
        </w:rPr>
        <w:t>Gas</w:t>
      </w:r>
      <w:r w:rsidR="00126F28">
        <w:rPr>
          <w:rFonts w:ascii="Courier New" w:hAnsi="Courier New" w:cs="Courier New"/>
        </w:rPr>
        <w:t xml:space="preserve"> System</w:t>
      </w:r>
      <w:r w:rsidR="008314F6">
        <w:rPr>
          <w:rFonts w:ascii="Courier New" w:hAnsi="Courier New" w:cs="Courier New"/>
        </w:rPr>
        <w:t>,</w:t>
      </w:r>
      <w:r w:rsidR="00AD666B">
        <w:rPr>
          <w:rFonts w:ascii="Courier New" w:hAnsi="Courier New" w:cs="Courier New"/>
        </w:rPr>
        <w:t xml:space="preserve"> Inc.</w:t>
      </w:r>
      <w:r w:rsidR="005C7284">
        <w:rPr>
          <w:rFonts w:ascii="Courier New" w:hAnsi="Courier New" w:cs="Courier New"/>
        </w:rPr>
        <w:t>’s</w:t>
      </w:r>
      <w:r w:rsidR="0012211A" w:rsidRPr="0012211A">
        <w:rPr>
          <w:rFonts w:ascii="Courier New" w:hAnsi="Courier New" w:cs="Courier New"/>
        </w:rPr>
        <w:t xml:space="preserve"> (“Peoples” or the “</w:t>
      </w:r>
      <w:r w:rsidR="00012C7E">
        <w:rPr>
          <w:rFonts w:ascii="Courier New" w:hAnsi="Courier New" w:cs="Courier New"/>
        </w:rPr>
        <w:t>c</w:t>
      </w:r>
      <w:r w:rsidR="0012211A" w:rsidRPr="0012211A">
        <w:rPr>
          <w:rFonts w:ascii="Courier New" w:hAnsi="Courier New" w:cs="Courier New"/>
        </w:rPr>
        <w:t xml:space="preserve">ompany”) return on common equity (“ROE”) for its natural gas operations, and to provide an assessment of the capital structure to be used for ratemaking purposes, as proposed in the </w:t>
      </w:r>
      <w:r w:rsidR="00805765">
        <w:rPr>
          <w:rFonts w:ascii="Courier New" w:hAnsi="Courier New" w:cs="Courier New"/>
        </w:rPr>
        <w:t>d</w:t>
      </w:r>
      <w:r w:rsidR="00040FB4">
        <w:rPr>
          <w:rFonts w:ascii="Courier New" w:hAnsi="Courier New" w:cs="Courier New"/>
        </w:rPr>
        <w:t xml:space="preserve">irect </w:t>
      </w:r>
      <w:r w:rsidR="00805765">
        <w:rPr>
          <w:rFonts w:ascii="Courier New" w:hAnsi="Courier New" w:cs="Courier New"/>
        </w:rPr>
        <w:t>t</w:t>
      </w:r>
      <w:r w:rsidR="0012211A" w:rsidRPr="0012211A">
        <w:rPr>
          <w:rFonts w:ascii="Courier New" w:hAnsi="Courier New" w:cs="Courier New"/>
        </w:rPr>
        <w:t xml:space="preserve">estimony of </w:t>
      </w:r>
      <w:r w:rsidR="00805765">
        <w:rPr>
          <w:rFonts w:ascii="Courier New" w:hAnsi="Courier New" w:cs="Courier New"/>
        </w:rPr>
        <w:t>Peoples</w:t>
      </w:r>
      <w:r w:rsidR="0012211A" w:rsidRPr="0012211A">
        <w:rPr>
          <w:rFonts w:ascii="Courier New" w:hAnsi="Courier New" w:cs="Courier New"/>
        </w:rPr>
        <w:t xml:space="preserve"> </w:t>
      </w:r>
      <w:r w:rsidR="00040FB4">
        <w:rPr>
          <w:rFonts w:ascii="Courier New" w:hAnsi="Courier New" w:cs="Courier New"/>
        </w:rPr>
        <w:t>witnesses</w:t>
      </w:r>
      <w:r w:rsidR="0012211A" w:rsidRPr="0012211A">
        <w:rPr>
          <w:rFonts w:ascii="Courier New" w:hAnsi="Courier New" w:cs="Courier New"/>
        </w:rPr>
        <w:t xml:space="preserve"> </w:t>
      </w:r>
      <w:r w:rsidR="002320AE" w:rsidRPr="121746E3">
        <w:rPr>
          <w:rFonts w:ascii="Courier New" w:hAnsi="Courier New" w:cs="Courier New"/>
        </w:rPr>
        <w:t xml:space="preserve">Rachel </w:t>
      </w:r>
      <w:r w:rsidR="00805765">
        <w:rPr>
          <w:rFonts w:ascii="Courier New" w:hAnsi="Courier New" w:cs="Courier New"/>
        </w:rPr>
        <w:t xml:space="preserve">B. </w:t>
      </w:r>
      <w:r w:rsidR="002320AE" w:rsidRPr="121746E3">
        <w:rPr>
          <w:rFonts w:ascii="Courier New" w:hAnsi="Courier New" w:cs="Courier New"/>
        </w:rPr>
        <w:t>Parsons</w:t>
      </w:r>
      <w:r w:rsidR="002320AE">
        <w:rPr>
          <w:rFonts w:ascii="Courier New" w:hAnsi="Courier New" w:cs="Courier New"/>
        </w:rPr>
        <w:t xml:space="preserve"> and </w:t>
      </w:r>
      <w:r w:rsidR="0070585A">
        <w:rPr>
          <w:rFonts w:ascii="Courier New" w:hAnsi="Courier New" w:cs="Courier New"/>
        </w:rPr>
        <w:t>Kenneth</w:t>
      </w:r>
      <w:r w:rsidR="00805765">
        <w:rPr>
          <w:rFonts w:ascii="Courier New" w:hAnsi="Courier New" w:cs="Courier New"/>
        </w:rPr>
        <w:t xml:space="preserve"> D.</w:t>
      </w:r>
      <w:r w:rsidR="0070585A">
        <w:rPr>
          <w:rFonts w:ascii="Courier New" w:hAnsi="Courier New" w:cs="Courier New"/>
        </w:rPr>
        <w:t xml:space="preserve"> McOnie</w:t>
      </w:r>
      <w:r w:rsidR="002D50DD" w:rsidRPr="121746E3">
        <w:rPr>
          <w:rFonts w:ascii="Courier New" w:hAnsi="Courier New" w:cs="Courier New"/>
        </w:rPr>
        <w:t>.</w:t>
      </w:r>
    </w:p>
    <w:p w14:paraId="6CC31ADB" w14:textId="77777777" w:rsidR="00DE7FCE" w:rsidRPr="00B23997" w:rsidRDefault="00DE7FCE" w:rsidP="00C55E3B">
      <w:pPr>
        <w:pStyle w:val="QuickA"/>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3EA396C" w14:textId="77777777" w:rsidR="00DE7FCE" w:rsidRDefault="00DE7FCE" w:rsidP="00EE19DD">
      <w:pPr>
        <w:widowControl w:val="0"/>
        <w:ind w:left="720" w:hanging="720"/>
        <w:jc w:val="both"/>
        <w:rPr>
          <w:rFonts w:cs="Courier New"/>
          <w:snapToGrid w:val="0"/>
        </w:rPr>
      </w:pPr>
      <w:r w:rsidRPr="00B23997">
        <w:rPr>
          <w:rFonts w:cs="Courier New"/>
          <w:b/>
          <w:snapToGrid w:val="0"/>
        </w:rPr>
        <w:t>Q.</w:t>
      </w:r>
      <w:r w:rsidRPr="00B23997">
        <w:rPr>
          <w:rFonts w:cs="Courier New"/>
          <w:snapToGrid w:val="0"/>
        </w:rPr>
        <w:tab/>
        <w:t xml:space="preserve">Did you prepare any exhibits in support of your </w:t>
      </w:r>
      <w:r w:rsidR="000D79FB">
        <w:rPr>
          <w:rFonts w:cs="Courier New"/>
          <w:snapToGrid w:val="0"/>
        </w:rPr>
        <w:t xml:space="preserve">prepared </w:t>
      </w:r>
      <w:r w:rsidRPr="00B23997">
        <w:rPr>
          <w:rFonts w:cs="Courier New"/>
          <w:snapToGrid w:val="0"/>
        </w:rPr>
        <w:t>direct testimony?</w:t>
      </w:r>
    </w:p>
    <w:p w14:paraId="1BA9B370" w14:textId="77777777" w:rsidR="002B01F9" w:rsidRPr="00B23997" w:rsidRDefault="002B01F9" w:rsidP="00EE19DD">
      <w:pPr>
        <w:widowControl w:val="0"/>
        <w:ind w:left="720" w:hanging="720"/>
        <w:jc w:val="both"/>
        <w:rPr>
          <w:rFonts w:cs="Courier New"/>
          <w:snapToGrid w:val="0"/>
        </w:rPr>
      </w:pPr>
    </w:p>
    <w:p w14:paraId="585582F0" w14:textId="0B30C87D" w:rsidR="00DE7FCE" w:rsidRPr="00B23997" w:rsidRDefault="00D95B75" w:rsidP="00EE19DD">
      <w:pPr>
        <w:pStyle w:val="QuickA"/>
        <w:ind w:left="720" w:hanging="720"/>
        <w:jc w:val="both"/>
        <w:rPr>
          <w:rFonts w:ascii="Courier New" w:hAnsi="Courier New" w:cs="Courier New"/>
        </w:rPr>
      </w:pPr>
      <w:bookmarkStart w:id="1" w:name="_Hlk508788172"/>
      <w:r w:rsidRPr="00B23997">
        <w:rPr>
          <w:rFonts w:ascii="Courier New" w:hAnsi="Courier New" w:cs="Courier New"/>
          <w:b/>
        </w:rPr>
        <w:t>A.</w:t>
      </w:r>
      <w:r w:rsidRPr="00B23997">
        <w:rPr>
          <w:rFonts w:ascii="Courier New" w:hAnsi="Courier New" w:cs="Courier New"/>
        </w:rPr>
        <w:tab/>
      </w:r>
      <w:r w:rsidR="00DE7FCE" w:rsidRPr="00B23997">
        <w:rPr>
          <w:rFonts w:ascii="Courier New" w:hAnsi="Courier New" w:cs="Courier New"/>
        </w:rPr>
        <w:t xml:space="preserve">Yes.  Exhibit No. </w:t>
      </w:r>
      <w:r w:rsidR="00697319">
        <w:rPr>
          <w:rFonts w:ascii="Courier New" w:hAnsi="Courier New" w:cs="Courier New"/>
        </w:rPr>
        <w:t>DWD</w:t>
      </w:r>
      <w:r w:rsidR="00DE7FCE" w:rsidRPr="00B23997">
        <w:rPr>
          <w:rFonts w:ascii="Courier New" w:hAnsi="Courier New" w:cs="Courier New"/>
        </w:rPr>
        <w:t xml:space="preserve">-1 was prepared </w:t>
      </w:r>
      <w:r w:rsidR="00700D7A">
        <w:rPr>
          <w:rFonts w:ascii="Courier New" w:hAnsi="Courier New" w:cs="Courier New"/>
        </w:rPr>
        <w:t xml:space="preserve">by me or </w:t>
      </w:r>
      <w:r w:rsidR="00DE7FCE" w:rsidRPr="00B23997">
        <w:rPr>
          <w:rFonts w:ascii="Courier New" w:hAnsi="Courier New" w:cs="Courier New"/>
        </w:rPr>
        <w:t xml:space="preserve">under my direction and supervision.  My </w:t>
      </w:r>
      <w:r w:rsidR="00FC0E94" w:rsidRPr="0012211A">
        <w:rPr>
          <w:rFonts w:ascii="Courier New" w:hAnsi="Courier New" w:cs="Courier New"/>
        </w:rPr>
        <w:t xml:space="preserve">analyses and conclusions are supported by the data presented in </w:t>
      </w:r>
      <w:r w:rsidR="00385896" w:rsidRPr="007E7F10">
        <w:rPr>
          <w:rFonts w:ascii="Courier New" w:hAnsi="Courier New" w:cs="Courier New"/>
        </w:rPr>
        <w:t>Document No</w:t>
      </w:r>
      <w:r w:rsidR="00FC0E94" w:rsidRPr="007E7F10">
        <w:rPr>
          <w:rFonts w:ascii="Courier New" w:hAnsi="Courier New" w:cs="Courier New"/>
        </w:rPr>
        <w:t>s</w:t>
      </w:r>
      <w:r w:rsidR="00385896" w:rsidRPr="007E7F10">
        <w:rPr>
          <w:rFonts w:ascii="Courier New" w:hAnsi="Courier New" w:cs="Courier New"/>
        </w:rPr>
        <w:t>.</w:t>
      </w:r>
      <w:r w:rsidR="00FC0E94" w:rsidRPr="007E7F10">
        <w:rPr>
          <w:rFonts w:ascii="Courier New" w:hAnsi="Courier New" w:cs="Courier New"/>
        </w:rPr>
        <w:t xml:space="preserve"> 1 through </w:t>
      </w:r>
      <w:r w:rsidR="003B382C" w:rsidRPr="000A5DEE">
        <w:rPr>
          <w:rFonts w:ascii="Courier New" w:hAnsi="Courier New" w:cs="Courier New"/>
        </w:rPr>
        <w:t>1</w:t>
      </w:r>
      <w:r w:rsidR="00AE7653">
        <w:rPr>
          <w:rFonts w:ascii="Courier New" w:hAnsi="Courier New" w:cs="Courier New"/>
        </w:rPr>
        <w:t>3</w:t>
      </w:r>
      <w:r w:rsidR="00FC0E94" w:rsidRPr="0012211A">
        <w:rPr>
          <w:rFonts w:ascii="Courier New" w:hAnsi="Courier New" w:cs="Courier New"/>
        </w:rPr>
        <w:t>.</w:t>
      </w:r>
    </w:p>
    <w:bookmarkEnd w:id="1"/>
    <w:p w14:paraId="7C47C3E0" w14:textId="1F0B9A2F" w:rsidR="00D9797F" w:rsidRPr="00B23997" w:rsidRDefault="00837B3B"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1</w:t>
      </w:r>
      <w:r>
        <w:rPr>
          <w:rFonts w:ascii="Courier New" w:hAnsi="Courier New" w:cs="Courier New"/>
        </w:rPr>
        <w:tab/>
      </w:r>
      <w:r w:rsidR="00A45CE4">
        <w:rPr>
          <w:rFonts w:ascii="Courier New" w:hAnsi="Courier New" w:cs="Courier New"/>
        </w:rPr>
        <w:t>Summary of Common Equity Cost Rate</w:t>
      </w:r>
    </w:p>
    <w:p w14:paraId="123582FC" w14:textId="11C22EAF" w:rsidR="00A45CE4" w:rsidRDefault="00A45CE4"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2</w:t>
      </w:r>
      <w:r>
        <w:rPr>
          <w:rFonts w:ascii="Courier New" w:hAnsi="Courier New" w:cs="Courier New"/>
        </w:rPr>
        <w:tab/>
        <w:t>Financial Profile of th</w:t>
      </w:r>
      <w:r w:rsidR="00DA3F13">
        <w:rPr>
          <w:rFonts w:ascii="Courier New" w:hAnsi="Courier New" w:cs="Courier New"/>
        </w:rPr>
        <w:t xml:space="preserve">e Utility Proxy </w:t>
      </w:r>
      <w:r w:rsidR="00DA3F13">
        <w:rPr>
          <w:rFonts w:ascii="Courier New" w:hAnsi="Courier New" w:cs="Courier New"/>
        </w:rPr>
        <w:lastRenderedPageBreak/>
        <w:t>Group</w:t>
      </w:r>
    </w:p>
    <w:p w14:paraId="279BB604" w14:textId="1474EAB1" w:rsidR="00A45CE4" w:rsidRDefault="00A45CE4"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3</w:t>
      </w:r>
      <w:r>
        <w:rPr>
          <w:rFonts w:ascii="Courier New" w:hAnsi="Courier New" w:cs="Courier New"/>
        </w:rPr>
        <w:tab/>
        <w:t>Application of the Discounted Cash Flow Model</w:t>
      </w:r>
    </w:p>
    <w:p w14:paraId="04BF8A9D" w14:textId="51EE08E0" w:rsidR="00E9733C" w:rsidRDefault="00E9733C"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4</w:t>
      </w:r>
      <w:r>
        <w:rPr>
          <w:rFonts w:ascii="Courier New" w:hAnsi="Courier New" w:cs="Courier New"/>
        </w:rPr>
        <w:tab/>
        <w:t>Application of the Risk Premium Model</w:t>
      </w:r>
    </w:p>
    <w:p w14:paraId="36FCADDC" w14:textId="2D58129F" w:rsidR="00E9733C" w:rsidRDefault="00E9733C"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5</w:t>
      </w:r>
      <w:r>
        <w:rPr>
          <w:rFonts w:ascii="Courier New" w:hAnsi="Courier New" w:cs="Courier New"/>
        </w:rPr>
        <w:tab/>
        <w:t xml:space="preserve">Application of the </w:t>
      </w:r>
      <w:r w:rsidR="003F5A67">
        <w:rPr>
          <w:rFonts w:ascii="Courier New" w:hAnsi="Courier New" w:cs="Courier New"/>
        </w:rPr>
        <w:t>Capital Asset Pric</w:t>
      </w:r>
      <w:r w:rsidR="009B77CC">
        <w:rPr>
          <w:rFonts w:ascii="Courier New" w:hAnsi="Courier New" w:cs="Courier New"/>
        </w:rPr>
        <w:t>ing</w:t>
      </w:r>
      <w:r w:rsidR="003F5A67">
        <w:rPr>
          <w:rFonts w:ascii="Courier New" w:hAnsi="Courier New" w:cs="Courier New"/>
        </w:rPr>
        <w:t xml:space="preserve"> Model</w:t>
      </w:r>
    </w:p>
    <w:p w14:paraId="3B48594C" w14:textId="245C30DC" w:rsidR="003F5A67" w:rsidRDefault="003F5A67"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6</w:t>
      </w:r>
      <w:r>
        <w:rPr>
          <w:rFonts w:ascii="Courier New" w:hAnsi="Courier New" w:cs="Courier New"/>
        </w:rPr>
        <w:tab/>
        <w:t xml:space="preserve">Basis of Selection </w:t>
      </w:r>
      <w:r w:rsidR="00490303">
        <w:rPr>
          <w:rFonts w:ascii="Courier New" w:hAnsi="Courier New" w:cs="Courier New"/>
        </w:rPr>
        <w:t>for the Non-Price Regulated Companies Comparable in Total Risk to the Utility Proxy Group</w:t>
      </w:r>
    </w:p>
    <w:p w14:paraId="2669B874" w14:textId="3B93C2AD" w:rsidR="00490303" w:rsidRDefault="00490303"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7</w:t>
      </w:r>
      <w:r>
        <w:rPr>
          <w:rFonts w:ascii="Courier New" w:hAnsi="Courier New" w:cs="Courier New"/>
        </w:rPr>
        <w:tab/>
        <w:t>Application of Cost of Common Equity Models to the Non-Price Regulated Proxy Group</w:t>
      </w:r>
    </w:p>
    <w:p w14:paraId="48069D72" w14:textId="202887DC" w:rsidR="00490303" w:rsidRDefault="00490303"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8</w:t>
      </w:r>
      <w:r>
        <w:rPr>
          <w:rFonts w:ascii="Courier New" w:hAnsi="Courier New" w:cs="Courier New"/>
        </w:rPr>
        <w:tab/>
        <w:t xml:space="preserve">Derivation of the Flotation Cost Adjustment </w:t>
      </w:r>
      <w:r w:rsidR="000812BD">
        <w:rPr>
          <w:rFonts w:ascii="Courier New" w:hAnsi="Courier New" w:cs="Courier New"/>
        </w:rPr>
        <w:t xml:space="preserve">to the Cost of Common </w:t>
      </w:r>
      <w:r w:rsidR="0095626A">
        <w:rPr>
          <w:rFonts w:ascii="Courier New" w:hAnsi="Courier New" w:cs="Courier New"/>
        </w:rPr>
        <w:t>Equity</w:t>
      </w:r>
    </w:p>
    <w:p w14:paraId="391F8783" w14:textId="462E28E8" w:rsidR="0095626A" w:rsidRDefault="005A33D8" w:rsidP="00EE19DD">
      <w:pPr>
        <w:pStyle w:val="QuickA"/>
        <w:tabs>
          <w:tab w:val="left" w:pos="720"/>
        </w:tabs>
        <w:ind w:left="3240" w:hanging="3240"/>
        <w:jc w:val="both"/>
        <w:rPr>
          <w:rFonts w:ascii="Courier New" w:hAnsi="Courier New" w:cs="Courier New"/>
        </w:rPr>
      </w:pPr>
      <w:r>
        <w:rPr>
          <w:rFonts w:ascii="Courier New" w:hAnsi="Courier New" w:cs="Courier New"/>
        </w:rPr>
        <w:tab/>
      </w:r>
      <w:r w:rsidR="00543166">
        <w:rPr>
          <w:rFonts w:ascii="Courier New" w:hAnsi="Courier New" w:cs="Courier New"/>
        </w:rPr>
        <w:t>Document No. 9</w:t>
      </w:r>
      <w:r w:rsidR="00543166">
        <w:rPr>
          <w:rFonts w:ascii="Courier New" w:hAnsi="Courier New" w:cs="Courier New"/>
        </w:rPr>
        <w:tab/>
        <w:t xml:space="preserve">Derivation of the Indicated Size Premium for </w:t>
      </w:r>
      <w:r w:rsidR="00805765">
        <w:rPr>
          <w:rFonts w:ascii="Courier New" w:hAnsi="Courier New" w:cs="Courier New"/>
        </w:rPr>
        <w:t>Peoples</w:t>
      </w:r>
      <w:r w:rsidR="00543166">
        <w:rPr>
          <w:rFonts w:ascii="Courier New" w:hAnsi="Courier New" w:cs="Courier New"/>
        </w:rPr>
        <w:t xml:space="preserve"> Relative to the Utility Proxy Group</w:t>
      </w:r>
    </w:p>
    <w:p w14:paraId="514A8CB5" w14:textId="0CCCFAD2" w:rsidR="00543166" w:rsidRDefault="00543166"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10</w:t>
      </w:r>
      <w:r>
        <w:rPr>
          <w:rFonts w:ascii="Courier New" w:hAnsi="Courier New" w:cs="Courier New"/>
        </w:rPr>
        <w:tab/>
        <w:t xml:space="preserve">Comparison of Projected Capital Expenditures </w:t>
      </w:r>
      <w:r w:rsidR="00DD7895">
        <w:rPr>
          <w:rFonts w:ascii="Courier New" w:hAnsi="Courier New" w:cs="Courier New"/>
        </w:rPr>
        <w:t>Relative to Net Plant</w:t>
      </w:r>
    </w:p>
    <w:p w14:paraId="0D18D997" w14:textId="2CE4D598" w:rsidR="00DD7895" w:rsidRDefault="00DD7895"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11</w:t>
      </w:r>
      <w:r>
        <w:rPr>
          <w:rFonts w:ascii="Courier New" w:hAnsi="Courier New" w:cs="Courier New"/>
        </w:rPr>
        <w:tab/>
        <w:t>Fama &amp; French – Figure 2</w:t>
      </w:r>
    </w:p>
    <w:p w14:paraId="040696CA" w14:textId="3DA299F0" w:rsidR="00DD7895" w:rsidRDefault="00DD7895" w:rsidP="00EE19DD">
      <w:pPr>
        <w:pStyle w:val="QuickA"/>
        <w:tabs>
          <w:tab w:val="left" w:pos="720"/>
        </w:tabs>
        <w:ind w:left="3240" w:hanging="3240"/>
        <w:jc w:val="both"/>
        <w:rPr>
          <w:rFonts w:ascii="Courier New" w:hAnsi="Courier New" w:cs="Courier New"/>
        </w:rPr>
      </w:pPr>
      <w:r>
        <w:rPr>
          <w:rFonts w:ascii="Courier New" w:hAnsi="Courier New" w:cs="Courier New"/>
        </w:rPr>
        <w:tab/>
      </w:r>
      <w:r w:rsidR="00E923F3">
        <w:rPr>
          <w:rFonts w:ascii="Courier New" w:hAnsi="Courier New" w:cs="Courier New"/>
        </w:rPr>
        <w:t>Document No. 12</w:t>
      </w:r>
      <w:r w:rsidR="00E923F3">
        <w:rPr>
          <w:rFonts w:ascii="Courier New" w:hAnsi="Courier New" w:cs="Courier New"/>
        </w:rPr>
        <w:tab/>
        <w:t xml:space="preserve">Referenced Endnotes for the Prepared Direct Testimony </w:t>
      </w:r>
      <w:r w:rsidR="00567A94">
        <w:rPr>
          <w:rFonts w:ascii="Courier New" w:hAnsi="Courier New" w:cs="Courier New"/>
        </w:rPr>
        <w:t>of Dylan W. D’Ascendis</w:t>
      </w:r>
    </w:p>
    <w:p w14:paraId="1F55E452" w14:textId="3DA152B0" w:rsidR="00567A94" w:rsidRDefault="00567A94" w:rsidP="00EE19DD">
      <w:pPr>
        <w:pStyle w:val="QuickA"/>
        <w:tabs>
          <w:tab w:val="left" w:pos="720"/>
        </w:tabs>
        <w:ind w:left="3240" w:hanging="3240"/>
        <w:jc w:val="both"/>
        <w:rPr>
          <w:rFonts w:ascii="Courier New" w:hAnsi="Courier New" w:cs="Courier New"/>
        </w:rPr>
      </w:pPr>
      <w:r>
        <w:rPr>
          <w:rFonts w:ascii="Courier New" w:hAnsi="Courier New" w:cs="Courier New"/>
        </w:rPr>
        <w:tab/>
        <w:t>Document No. 13</w:t>
      </w:r>
      <w:r>
        <w:rPr>
          <w:rFonts w:ascii="Courier New" w:hAnsi="Courier New" w:cs="Courier New"/>
        </w:rPr>
        <w:tab/>
        <w:t>Resume and Testimony Listing of Dylan W. D’Ascendis</w:t>
      </w:r>
    </w:p>
    <w:p w14:paraId="70EE0CFD" w14:textId="171E627E" w:rsidR="00DE5348" w:rsidRDefault="00DE5348" w:rsidP="00DE5348">
      <w:pPr>
        <w:pStyle w:val="QuickA"/>
        <w:tabs>
          <w:tab w:val="left" w:pos="720"/>
        </w:tabs>
        <w:ind w:left="3240" w:hanging="3240"/>
        <w:jc w:val="both"/>
        <w:rPr>
          <w:rFonts w:ascii="Courier New" w:hAnsi="Courier New" w:cs="Courier New"/>
        </w:rPr>
      </w:pPr>
    </w:p>
    <w:p w14:paraId="6832722A" w14:textId="04981CF7" w:rsidR="007C5BF4" w:rsidRDefault="0033341D" w:rsidP="00DE5348">
      <w:pPr>
        <w:widowControl w:val="0"/>
        <w:ind w:left="720" w:hanging="720"/>
        <w:jc w:val="both"/>
        <w:rPr>
          <w:rFonts w:cs="Courier New"/>
        </w:rPr>
      </w:pPr>
      <w:r w:rsidRPr="00B23997">
        <w:rPr>
          <w:rFonts w:cs="Courier New"/>
          <w:b/>
        </w:rPr>
        <w:t>Q.</w:t>
      </w:r>
      <w:r w:rsidRPr="00B23997">
        <w:rPr>
          <w:rFonts w:cs="Courier New"/>
        </w:rPr>
        <w:tab/>
      </w:r>
      <w:r w:rsidR="00E5135B" w:rsidRPr="00E5135B">
        <w:rPr>
          <w:rFonts w:cs="Courier New"/>
        </w:rPr>
        <w:t>What is your recommended common equity cost rate?</w:t>
      </w:r>
    </w:p>
    <w:p w14:paraId="6A41BEF3" w14:textId="7D188E7E" w:rsidR="007C5BF4" w:rsidRPr="00F13BAD" w:rsidRDefault="00D95B75" w:rsidP="00EC5F9D">
      <w:pPr>
        <w:widowControl w:val="0"/>
        <w:ind w:left="720" w:hanging="720"/>
        <w:jc w:val="both"/>
        <w:rPr>
          <w:rFonts w:cs="Courier New"/>
        </w:rPr>
      </w:pPr>
      <w:r w:rsidRPr="00B23997">
        <w:rPr>
          <w:rFonts w:cs="Courier New"/>
          <w:b/>
        </w:rPr>
        <w:lastRenderedPageBreak/>
        <w:t>A.</w:t>
      </w:r>
      <w:r>
        <w:tab/>
      </w:r>
      <w:r w:rsidR="006F0CFA" w:rsidRPr="00F13BAD">
        <w:rPr>
          <w:rFonts w:cs="Courier New"/>
        </w:rPr>
        <w:t xml:space="preserve">I recommend that the Commission authorize Peoples the opportunity to earn an ROE of </w:t>
      </w:r>
      <w:r w:rsidR="00040FB4">
        <w:rPr>
          <w:rFonts w:cs="Courier New"/>
        </w:rPr>
        <w:t>11.00</w:t>
      </w:r>
      <w:r w:rsidR="00636706">
        <w:rPr>
          <w:rFonts w:cs="Courier New"/>
        </w:rPr>
        <w:t xml:space="preserve"> percent</w:t>
      </w:r>
      <w:r w:rsidR="006F0CFA" w:rsidRPr="00F13BAD">
        <w:rPr>
          <w:rFonts w:cs="Courier New"/>
        </w:rPr>
        <w:t xml:space="preserve"> on its jurisdictional rate base, based on its </w:t>
      </w:r>
      <w:r w:rsidR="006F0CFA" w:rsidRPr="00CD4830">
        <w:rPr>
          <w:rFonts w:cs="Courier New"/>
        </w:rPr>
        <w:t>proposed</w:t>
      </w:r>
      <w:r w:rsidR="006F0CFA" w:rsidRPr="00F13BAD">
        <w:rPr>
          <w:rFonts w:cs="Courier New"/>
        </w:rPr>
        <w:t xml:space="preserve"> ratemaking capital structure.  The </w:t>
      </w:r>
      <w:r w:rsidR="00012C7E">
        <w:rPr>
          <w:rFonts w:cs="Courier New"/>
        </w:rPr>
        <w:t>c</w:t>
      </w:r>
      <w:r w:rsidR="006F0CFA" w:rsidRPr="00F13BAD">
        <w:rPr>
          <w:rFonts w:cs="Courier New"/>
        </w:rPr>
        <w:t xml:space="preserve">ompany’s requested ratemaking capital structure consists of </w:t>
      </w:r>
      <w:r w:rsidR="00D86B10">
        <w:rPr>
          <w:rFonts w:cs="Courier New"/>
        </w:rPr>
        <w:t>40.48</w:t>
      </w:r>
      <w:r w:rsidR="00636706">
        <w:rPr>
          <w:rFonts w:cs="Courier New"/>
        </w:rPr>
        <w:t xml:space="preserve"> percent</w:t>
      </w:r>
      <w:r w:rsidR="006F0CFA" w:rsidRPr="00F13BAD">
        <w:rPr>
          <w:rFonts w:cs="Courier New"/>
        </w:rPr>
        <w:t xml:space="preserve"> long-term debt and </w:t>
      </w:r>
      <w:r w:rsidR="002606EE" w:rsidRPr="00040FB4">
        <w:rPr>
          <w:rFonts w:cs="Courier New"/>
        </w:rPr>
        <w:t>54.</w:t>
      </w:r>
      <w:r w:rsidR="00D86B10" w:rsidRPr="00040FB4">
        <w:rPr>
          <w:rFonts w:cs="Courier New"/>
        </w:rPr>
        <w:t>68</w:t>
      </w:r>
      <w:r w:rsidR="00636706">
        <w:rPr>
          <w:rFonts w:cs="Courier New"/>
        </w:rPr>
        <w:t xml:space="preserve"> percent</w:t>
      </w:r>
      <w:r w:rsidR="006F0CFA" w:rsidRPr="00F13BAD">
        <w:rPr>
          <w:rFonts w:cs="Courier New"/>
        </w:rPr>
        <w:t xml:space="preserve"> common equity, to which my recommended ROE of </w:t>
      </w:r>
      <w:r w:rsidR="00040FB4">
        <w:rPr>
          <w:rFonts w:cs="Courier New"/>
        </w:rPr>
        <w:t>11.00</w:t>
      </w:r>
      <w:r w:rsidR="00636706">
        <w:rPr>
          <w:rFonts w:cs="Courier New"/>
        </w:rPr>
        <w:t xml:space="preserve"> percent</w:t>
      </w:r>
      <w:r w:rsidR="006F0CFA" w:rsidRPr="00F13BAD">
        <w:rPr>
          <w:rFonts w:cs="Courier New"/>
        </w:rPr>
        <w:t xml:space="preserve"> would apply.  </w:t>
      </w:r>
      <w:r w:rsidR="004B7861" w:rsidRPr="009515BD">
        <w:rPr>
          <w:rFonts w:cs="Courier New"/>
        </w:rPr>
        <w:t xml:space="preserve">That common equity ratio is </w:t>
      </w:r>
      <w:r w:rsidR="004B7861" w:rsidRPr="005E2611">
        <w:rPr>
          <w:rFonts w:cs="Courier New"/>
        </w:rPr>
        <w:t xml:space="preserve">consistent with </w:t>
      </w:r>
      <w:r w:rsidR="004B7861" w:rsidRPr="001E526B">
        <w:rPr>
          <w:rFonts w:cs="Courier New"/>
        </w:rPr>
        <w:t xml:space="preserve">the </w:t>
      </w:r>
      <w:r w:rsidR="00012C7E">
        <w:rPr>
          <w:rFonts w:cs="Courier New"/>
        </w:rPr>
        <w:t>c</w:t>
      </w:r>
      <w:r w:rsidR="003D72E9" w:rsidRPr="001E526B">
        <w:rPr>
          <w:rFonts w:cs="Courier New"/>
        </w:rPr>
        <w:t xml:space="preserve">ompany’s </w:t>
      </w:r>
      <w:r w:rsidR="004B7861" w:rsidRPr="001E526B">
        <w:rPr>
          <w:rFonts w:cs="Courier New"/>
        </w:rPr>
        <w:t xml:space="preserve">historical equity ratios, and the equity ratios maintained by the </w:t>
      </w:r>
      <w:r w:rsidR="00F416CB">
        <w:rPr>
          <w:rFonts w:cs="Courier New"/>
        </w:rPr>
        <w:t>Utility Proxy Group</w:t>
      </w:r>
      <w:r w:rsidR="007D7EBF">
        <w:rPr>
          <w:rFonts w:cs="Courier New"/>
        </w:rPr>
        <w:t xml:space="preserve"> (discussed below)</w:t>
      </w:r>
      <w:r w:rsidR="004B7861" w:rsidRPr="001E526B">
        <w:rPr>
          <w:rFonts w:cs="Courier New"/>
        </w:rPr>
        <w:t xml:space="preserve"> and their operating subsidiary utility companies</w:t>
      </w:r>
      <w:r w:rsidR="004B7861" w:rsidRPr="009515BD">
        <w:rPr>
          <w:rFonts w:cs="Courier New"/>
        </w:rPr>
        <w:t>.</w:t>
      </w:r>
      <w:r w:rsidR="004B7861">
        <w:rPr>
          <w:rFonts w:cs="Courier New"/>
        </w:rPr>
        <w:t xml:space="preserve">  </w:t>
      </w:r>
      <w:r w:rsidR="006F0CFA" w:rsidRPr="00F13BAD">
        <w:rPr>
          <w:rFonts w:cs="Courier New"/>
        </w:rPr>
        <w:t xml:space="preserve">The overall rate of return is </w:t>
      </w:r>
      <w:r w:rsidR="006F0CFA" w:rsidRPr="000456D5">
        <w:rPr>
          <w:rFonts w:cs="Courier New"/>
        </w:rPr>
        <w:t xml:space="preserve">summarized on page 1 of </w:t>
      </w:r>
      <w:r w:rsidR="00171E0E" w:rsidRPr="000456D5">
        <w:rPr>
          <w:rFonts w:cs="Courier New"/>
        </w:rPr>
        <w:t xml:space="preserve">Document No. </w:t>
      </w:r>
      <w:r w:rsidR="006F0CFA" w:rsidRPr="000456D5">
        <w:rPr>
          <w:rFonts w:cs="Courier New"/>
        </w:rPr>
        <w:t>1</w:t>
      </w:r>
      <w:r w:rsidR="000A1F23" w:rsidRPr="000456D5">
        <w:rPr>
          <w:rFonts w:cs="Courier New"/>
        </w:rPr>
        <w:t>.</w:t>
      </w:r>
    </w:p>
    <w:p w14:paraId="77476A7B" w14:textId="77777777" w:rsidR="007C5BF4" w:rsidRDefault="007C5BF4" w:rsidP="00EE19DD">
      <w:pPr>
        <w:widowControl w:val="0"/>
        <w:ind w:left="720" w:hanging="720"/>
        <w:jc w:val="both"/>
        <w:rPr>
          <w:rFonts w:cs="Courier New"/>
          <w:b/>
          <w:bCs/>
        </w:rPr>
      </w:pPr>
    </w:p>
    <w:p w14:paraId="09CCFAB5" w14:textId="48DC7643" w:rsidR="00E8330D" w:rsidRDefault="007C5BF4" w:rsidP="00EE19DD">
      <w:pPr>
        <w:widowControl w:val="0"/>
        <w:ind w:left="720" w:hanging="720"/>
        <w:jc w:val="both"/>
        <w:rPr>
          <w:rFonts w:cs="Courier New"/>
        </w:rPr>
      </w:pPr>
      <w:r w:rsidRPr="00B23997">
        <w:rPr>
          <w:rFonts w:cs="Courier New"/>
          <w:b/>
        </w:rPr>
        <w:t>Q.</w:t>
      </w:r>
      <w:r w:rsidRPr="00B23997">
        <w:rPr>
          <w:rFonts w:cs="Courier New"/>
        </w:rPr>
        <w:tab/>
      </w:r>
      <w:r w:rsidR="00A17796">
        <w:rPr>
          <w:rFonts w:cs="Courier New"/>
        </w:rPr>
        <w:t>Please summarize your recommended ROE.</w:t>
      </w:r>
    </w:p>
    <w:p w14:paraId="17BA9559" w14:textId="77777777" w:rsidR="00E8330D" w:rsidRDefault="00E8330D" w:rsidP="00EE19DD">
      <w:pPr>
        <w:widowControl w:val="0"/>
        <w:ind w:left="720" w:hanging="720"/>
        <w:jc w:val="both"/>
        <w:rPr>
          <w:rFonts w:cs="Courier New"/>
        </w:rPr>
      </w:pPr>
    </w:p>
    <w:p w14:paraId="7783CD6F" w14:textId="5B78D299" w:rsidR="009A5A7C" w:rsidRPr="004C1CE3" w:rsidRDefault="00D95B75" w:rsidP="00EE19DD">
      <w:pPr>
        <w:widowControl w:val="0"/>
        <w:ind w:left="720" w:hanging="720"/>
        <w:jc w:val="both"/>
        <w:rPr>
          <w:rFonts w:cs="Courier New"/>
        </w:rPr>
      </w:pPr>
      <w:r w:rsidRPr="00B23997">
        <w:rPr>
          <w:rFonts w:cs="Courier New"/>
          <w:b/>
        </w:rPr>
        <w:t>A.</w:t>
      </w:r>
      <w:r w:rsidRPr="00B23997">
        <w:rPr>
          <w:rFonts w:cs="Courier New"/>
        </w:rPr>
        <w:tab/>
      </w:r>
      <w:r w:rsidR="004C1CE3" w:rsidRPr="004C1CE3">
        <w:rPr>
          <w:rFonts w:cs="Courier New"/>
        </w:rPr>
        <w:t xml:space="preserve">My recommended ROE of </w:t>
      </w:r>
      <w:r w:rsidR="00040FB4">
        <w:rPr>
          <w:rFonts w:cs="Courier New"/>
        </w:rPr>
        <w:t>11.00</w:t>
      </w:r>
      <w:r w:rsidR="002B05DB">
        <w:rPr>
          <w:rFonts w:cs="Courier New"/>
        </w:rPr>
        <w:t xml:space="preserve"> percent</w:t>
      </w:r>
      <w:r w:rsidR="004C1CE3" w:rsidRPr="004C1CE3">
        <w:rPr>
          <w:rFonts w:cs="Courier New"/>
        </w:rPr>
        <w:t xml:space="preserve"> is summarized on </w:t>
      </w:r>
      <w:r w:rsidR="004C1CE3" w:rsidRPr="00B71CE3">
        <w:rPr>
          <w:rFonts w:cs="Courier New"/>
        </w:rPr>
        <w:t xml:space="preserve">page 2 </w:t>
      </w:r>
      <w:r w:rsidR="004C1CE3" w:rsidRPr="000456D5">
        <w:rPr>
          <w:rFonts w:cs="Courier New"/>
        </w:rPr>
        <w:t xml:space="preserve">of </w:t>
      </w:r>
      <w:r w:rsidR="0036147C" w:rsidRPr="000456D5">
        <w:rPr>
          <w:rFonts w:cs="Courier New"/>
        </w:rPr>
        <w:t xml:space="preserve">Document No. </w:t>
      </w:r>
      <w:r w:rsidR="004C1CE3" w:rsidRPr="000456D5">
        <w:rPr>
          <w:rFonts w:cs="Courier New"/>
        </w:rPr>
        <w:t>1.  I have</w:t>
      </w:r>
      <w:r w:rsidR="004C1CE3" w:rsidRPr="004C1CE3">
        <w:rPr>
          <w:rFonts w:cs="Courier New"/>
        </w:rPr>
        <w:t xml:space="preserve"> assessed the market-based common equity cost rates of companies of relatively similar, but not necessarily identical, risk to </w:t>
      </w:r>
      <w:r w:rsidR="00805765">
        <w:rPr>
          <w:rFonts w:cs="Courier New"/>
        </w:rPr>
        <w:t>Peoples</w:t>
      </w:r>
      <w:r w:rsidR="004C1CE3" w:rsidRPr="004C1CE3">
        <w:rPr>
          <w:rFonts w:cs="Courier New"/>
        </w:rPr>
        <w:t xml:space="preserve">.  Using companies of relatively comparable risk as proxies is consistent with the principles of fair rate of return established </w:t>
      </w:r>
      <w:r w:rsidR="00CE1C70" w:rsidRPr="00CE1C70">
        <w:rPr>
          <w:rFonts w:cs="Courier New"/>
        </w:rPr>
        <w:t>by the U</w:t>
      </w:r>
      <w:r w:rsidR="00360E61">
        <w:rPr>
          <w:rFonts w:cs="Courier New"/>
        </w:rPr>
        <w:t>.</w:t>
      </w:r>
      <w:r w:rsidR="00CE1C70" w:rsidRPr="00CE1C70">
        <w:rPr>
          <w:rFonts w:cs="Courier New"/>
        </w:rPr>
        <w:t>S</w:t>
      </w:r>
      <w:r w:rsidR="00360E61">
        <w:rPr>
          <w:rFonts w:cs="Courier New"/>
        </w:rPr>
        <w:t>.</w:t>
      </w:r>
      <w:r w:rsidR="00CE1C70" w:rsidRPr="00CE1C70">
        <w:rPr>
          <w:rFonts w:cs="Courier New"/>
        </w:rPr>
        <w:t xml:space="preserve"> Supreme Court in two cases: (1) </w:t>
      </w:r>
      <w:r w:rsidR="00CE1C70" w:rsidRPr="00CE1C70">
        <w:rPr>
          <w:rFonts w:cs="Courier New"/>
          <w:i/>
          <w:iCs/>
        </w:rPr>
        <w:t>Federal Power Comm’n v. Hope Natural Gas Co.</w:t>
      </w:r>
      <w:r w:rsidR="00CE1C70" w:rsidRPr="00CE1C70">
        <w:rPr>
          <w:rFonts w:cs="Courier New"/>
        </w:rPr>
        <w:t xml:space="preserve">, 320 U.S. 591 (1944) </w:t>
      </w:r>
      <w:r w:rsidR="00CE1C70" w:rsidRPr="00CE1C70">
        <w:rPr>
          <w:rFonts w:cs="Courier New"/>
          <w:i/>
          <w:iCs/>
        </w:rPr>
        <w:t>(“Hope”)</w:t>
      </w:r>
      <w:r w:rsidR="00CE1C70" w:rsidRPr="00CE1C70">
        <w:rPr>
          <w:rFonts w:cs="Courier New"/>
        </w:rPr>
        <w:t xml:space="preserve">; and (2) </w:t>
      </w:r>
      <w:r w:rsidR="00CE1C70" w:rsidRPr="00CE1C70">
        <w:rPr>
          <w:rFonts w:cs="Courier New"/>
          <w:i/>
          <w:iCs/>
        </w:rPr>
        <w:t>Bluefield Water Works Improvement Co. v. Public Serv. Comm’n</w:t>
      </w:r>
      <w:r w:rsidR="00CE1C70" w:rsidRPr="00CE1C70">
        <w:rPr>
          <w:rFonts w:cs="Courier New"/>
        </w:rPr>
        <w:t xml:space="preserve">, 262 U.S. 679 (1923) </w:t>
      </w:r>
      <w:r w:rsidR="00CE1C70" w:rsidRPr="00CE1C70">
        <w:rPr>
          <w:rFonts w:cs="Courier New"/>
          <w:i/>
          <w:iCs/>
        </w:rPr>
        <w:t>(“Bluefield”)</w:t>
      </w:r>
      <w:r w:rsidR="009A5A7C" w:rsidRPr="004C1CE3">
        <w:rPr>
          <w:rFonts w:cs="Courier New"/>
        </w:rPr>
        <w:t xml:space="preserve">.  No proxy group can be </w:t>
      </w:r>
      <w:r w:rsidR="009A5A7C" w:rsidRPr="004C1CE3">
        <w:rPr>
          <w:rFonts w:cs="Courier New"/>
          <w:u w:val="single"/>
        </w:rPr>
        <w:lastRenderedPageBreak/>
        <w:t>identical</w:t>
      </w:r>
      <w:r w:rsidR="009A5A7C" w:rsidRPr="004C1CE3">
        <w:rPr>
          <w:rFonts w:cs="Courier New"/>
        </w:rPr>
        <w:t xml:space="preserve"> in risk to any single company.  Consequently, there must be an evaluation of relative risk between the </w:t>
      </w:r>
      <w:r w:rsidR="00012C7E">
        <w:rPr>
          <w:rFonts w:cs="Courier New"/>
        </w:rPr>
        <w:t>c</w:t>
      </w:r>
      <w:r w:rsidR="009A5A7C" w:rsidRPr="004C1CE3">
        <w:rPr>
          <w:rFonts w:cs="Courier New"/>
        </w:rPr>
        <w:t>ompany and the proxy group to determine if it is appropriate to adjust the proxy group’s indicated rate of return.</w:t>
      </w:r>
    </w:p>
    <w:p w14:paraId="0C466951" w14:textId="77777777" w:rsidR="009A5A7C" w:rsidRDefault="009A5A7C" w:rsidP="00EE19DD">
      <w:pPr>
        <w:widowControl w:val="0"/>
        <w:ind w:left="720" w:hanging="720"/>
        <w:jc w:val="both"/>
        <w:rPr>
          <w:rFonts w:cs="Courier New"/>
        </w:rPr>
      </w:pPr>
    </w:p>
    <w:p w14:paraId="6C003585" w14:textId="76BE48BA" w:rsidR="009A5A7C" w:rsidRPr="004C1CE3" w:rsidRDefault="009A5A7C" w:rsidP="00EE19DD">
      <w:pPr>
        <w:widowControl w:val="0"/>
        <w:ind w:left="720" w:hanging="720"/>
        <w:jc w:val="both"/>
        <w:rPr>
          <w:rFonts w:cs="Courier New"/>
        </w:rPr>
      </w:pPr>
      <w:r>
        <w:rPr>
          <w:rFonts w:cs="Courier New"/>
        </w:rPr>
        <w:tab/>
      </w:r>
      <w:r w:rsidRPr="004C1CE3">
        <w:rPr>
          <w:rFonts w:cs="Courier New"/>
        </w:rPr>
        <w:t>My recommendation results from the application of several cost of common equity models, specifically the Discounted Cash Flow (“DCF”) model, the Risk Premium Model (“RPM”), and the Capital Asset Pricing Model (“CAPM”), to the market data of a proxy group of six natural gas distribution utilities (“</w:t>
      </w:r>
      <w:r w:rsidR="00F416CB">
        <w:rPr>
          <w:rFonts w:cs="Courier New"/>
        </w:rPr>
        <w:t>Utility Proxy Group</w:t>
      </w:r>
      <w:r w:rsidRPr="004C1CE3">
        <w:rPr>
          <w:rFonts w:cs="Courier New"/>
        </w:rPr>
        <w:t xml:space="preserve">”) whose selection criteria will be discussed below.  In addition, I applied the DCF model, RPM, and CAPM to </w:t>
      </w:r>
      <w:r w:rsidR="00772BE0">
        <w:rPr>
          <w:rFonts w:cs="Courier New"/>
        </w:rPr>
        <w:t xml:space="preserve">a </w:t>
      </w:r>
      <w:r w:rsidRPr="004C1CE3">
        <w:rPr>
          <w:rFonts w:cs="Courier New"/>
        </w:rPr>
        <w:t xml:space="preserve">Non-Price Regulated Proxy Group similar in total risk to the </w:t>
      </w:r>
      <w:r w:rsidR="00F416CB">
        <w:rPr>
          <w:rFonts w:cs="Courier New"/>
        </w:rPr>
        <w:t>Utility Proxy Group</w:t>
      </w:r>
      <w:r w:rsidRPr="004C1CE3">
        <w:rPr>
          <w:rFonts w:cs="Courier New"/>
        </w:rPr>
        <w:t xml:space="preserve">.  </w:t>
      </w:r>
      <w:r w:rsidR="00763AAB">
        <w:rPr>
          <w:rFonts w:cs="Courier New"/>
        </w:rPr>
        <w:t xml:space="preserve">In order to be conservative, I did not consider the ROE model results applied to my Non-Price Regulated Proxy Group in the determination of my recommended range. </w:t>
      </w:r>
      <w:r w:rsidR="002320AE">
        <w:rPr>
          <w:rFonts w:cs="Courier New"/>
        </w:rPr>
        <w:t xml:space="preserve"> </w:t>
      </w:r>
      <w:r w:rsidRPr="004C1CE3">
        <w:rPr>
          <w:rFonts w:cs="Courier New"/>
        </w:rPr>
        <w:t xml:space="preserve">The results derived from each are </w:t>
      </w:r>
      <w:r>
        <w:rPr>
          <w:rFonts w:cs="Courier New"/>
        </w:rPr>
        <w:t xml:space="preserve">summarized on </w:t>
      </w:r>
      <w:r w:rsidRPr="00B71CE3">
        <w:rPr>
          <w:rFonts w:cs="Courier New"/>
        </w:rPr>
        <w:t xml:space="preserve">page 2 </w:t>
      </w:r>
      <w:r w:rsidRPr="000456D5">
        <w:rPr>
          <w:rFonts w:cs="Courier New"/>
        </w:rPr>
        <w:t>of Document No. 1.</w:t>
      </w:r>
    </w:p>
    <w:p w14:paraId="5F122660" w14:textId="68CDDFC7" w:rsidR="009A5A7C" w:rsidRDefault="009A5A7C" w:rsidP="00EE19DD">
      <w:pPr>
        <w:widowControl w:val="0"/>
        <w:ind w:left="720" w:hanging="720"/>
        <w:jc w:val="both"/>
        <w:rPr>
          <w:rFonts w:cs="Courier New"/>
        </w:rPr>
      </w:pPr>
    </w:p>
    <w:p w14:paraId="3D0EC5E9" w14:textId="7330E130" w:rsidR="009A5A7C" w:rsidRDefault="009A5A7C" w:rsidP="00EE19DD">
      <w:pPr>
        <w:widowControl w:val="0"/>
        <w:ind w:left="720" w:hanging="720"/>
        <w:jc w:val="both"/>
        <w:rPr>
          <w:rFonts w:cs="Courier New"/>
        </w:rPr>
      </w:pPr>
      <w:r>
        <w:rPr>
          <w:rFonts w:cs="Courier New"/>
        </w:rPr>
        <w:tab/>
      </w:r>
      <w:r w:rsidRPr="00694373">
        <w:rPr>
          <w:rFonts w:cs="Courier New"/>
        </w:rPr>
        <w:t xml:space="preserve">The indicated range of common equity cost rates applicable to the </w:t>
      </w:r>
      <w:r w:rsidR="00F416CB">
        <w:rPr>
          <w:rFonts w:cs="Courier New"/>
        </w:rPr>
        <w:t>Utility Proxy Group</w:t>
      </w:r>
      <w:r w:rsidRPr="00694373">
        <w:rPr>
          <w:rFonts w:cs="Courier New"/>
        </w:rPr>
        <w:t xml:space="preserve"> is </w:t>
      </w:r>
      <w:r w:rsidRPr="000456D5">
        <w:rPr>
          <w:rFonts w:cs="Courier New"/>
        </w:rPr>
        <w:t xml:space="preserve">between </w:t>
      </w:r>
      <w:r w:rsidR="00D67694" w:rsidRPr="000456D5">
        <w:rPr>
          <w:rFonts w:cs="Courier New"/>
        </w:rPr>
        <w:t>10.00</w:t>
      </w:r>
      <w:r w:rsidR="005726EA" w:rsidRPr="000456D5">
        <w:rPr>
          <w:rFonts w:cs="Courier New"/>
        </w:rPr>
        <w:t xml:space="preserve"> percent</w:t>
      </w:r>
      <w:r w:rsidRPr="000456D5">
        <w:rPr>
          <w:rFonts w:cs="Courier New"/>
        </w:rPr>
        <w:t xml:space="preserve"> and 11.</w:t>
      </w:r>
      <w:r w:rsidR="00763AAB" w:rsidRPr="000456D5">
        <w:rPr>
          <w:rFonts w:cs="Courier New"/>
        </w:rPr>
        <w:t>62</w:t>
      </w:r>
      <w:r w:rsidR="00763AAB">
        <w:rPr>
          <w:rFonts w:cs="Courier New"/>
        </w:rPr>
        <w:t xml:space="preserve"> </w:t>
      </w:r>
      <w:r w:rsidR="005726EA">
        <w:rPr>
          <w:rFonts w:cs="Courier New"/>
        </w:rPr>
        <w:t>percent</w:t>
      </w:r>
      <w:r w:rsidRPr="00694373">
        <w:rPr>
          <w:rFonts w:cs="Courier New"/>
        </w:rPr>
        <w:t xml:space="preserve"> before any </w:t>
      </w:r>
      <w:r w:rsidR="00012C7E">
        <w:rPr>
          <w:rFonts w:cs="Courier New"/>
        </w:rPr>
        <w:t>c</w:t>
      </w:r>
      <w:r w:rsidRPr="00694373">
        <w:rPr>
          <w:rFonts w:cs="Courier New"/>
        </w:rPr>
        <w:t>ompany-specific adjustments.</w:t>
      </w:r>
    </w:p>
    <w:p w14:paraId="029A5C7D" w14:textId="3CCF80FD" w:rsidR="009A5A7C" w:rsidRDefault="009A5A7C" w:rsidP="00EE19DD">
      <w:pPr>
        <w:widowControl w:val="0"/>
        <w:ind w:left="720" w:hanging="720"/>
        <w:jc w:val="both"/>
        <w:rPr>
          <w:rFonts w:cs="Courier New"/>
        </w:rPr>
      </w:pPr>
    </w:p>
    <w:p w14:paraId="7F944BFD" w14:textId="7A6D63D1" w:rsidR="009A5A7C" w:rsidRDefault="009A5A7C" w:rsidP="00EE19DD">
      <w:pPr>
        <w:widowControl w:val="0"/>
        <w:ind w:left="720" w:hanging="720"/>
        <w:jc w:val="both"/>
        <w:rPr>
          <w:rFonts w:cs="Courier New"/>
        </w:rPr>
      </w:pPr>
      <w:r>
        <w:rPr>
          <w:rFonts w:cs="Courier New"/>
        </w:rPr>
        <w:tab/>
      </w:r>
      <w:r w:rsidRPr="008A5E95">
        <w:rPr>
          <w:rFonts w:cs="Courier New"/>
        </w:rPr>
        <w:t xml:space="preserve">To reflect </w:t>
      </w:r>
      <w:r w:rsidR="00805765">
        <w:rPr>
          <w:rFonts w:cs="Courier New"/>
        </w:rPr>
        <w:t>Peoples</w:t>
      </w:r>
      <w:r w:rsidRPr="008A5E95">
        <w:rPr>
          <w:rFonts w:cs="Courier New"/>
        </w:rPr>
        <w:t xml:space="preserve">’ specific </w:t>
      </w:r>
      <w:r w:rsidR="00C818E7">
        <w:rPr>
          <w:rFonts w:cs="Courier New"/>
        </w:rPr>
        <w:t xml:space="preserve">business </w:t>
      </w:r>
      <w:r w:rsidRPr="008A5E95">
        <w:rPr>
          <w:rFonts w:cs="Courier New"/>
        </w:rPr>
        <w:t xml:space="preserve">risks, I adjusted the indicated common equity cost rate model results to reflect </w:t>
      </w:r>
      <w:r w:rsidRPr="008A5E95">
        <w:rPr>
          <w:rFonts w:cs="Courier New"/>
        </w:rPr>
        <w:lastRenderedPageBreak/>
        <w:t xml:space="preserve">the </w:t>
      </w:r>
      <w:r w:rsidR="00012C7E">
        <w:rPr>
          <w:rFonts w:cs="Courier New"/>
        </w:rPr>
        <w:t>c</w:t>
      </w:r>
      <w:r w:rsidRPr="008A5E95">
        <w:rPr>
          <w:rFonts w:cs="Courier New"/>
        </w:rPr>
        <w:t xml:space="preserve">ompany’s </w:t>
      </w:r>
      <w:r w:rsidRPr="00AB0127">
        <w:rPr>
          <w:rFonts w:cs="Courier New"/>
        </w:rPr>
        <w:t>smaller relative size</w:t>
      </w:r>
      <w:r w:rsidR="00C818E7" w:rsidRPr="00443543">
        <w:rPr>
          <w:rFonts w:cs="Courier New"/>
        </w:rPr>
        <w:t xml:space="preserve">, </w:t>
      </w:r>
      <w:r w:rsidR="00C818E7">
        <w:rPr>
          <w:rFonts w:cs="Courier New"/>
        </w:rPr>
        <w:t xml:space="preserve">as well as </w:t>
      </w:r>
      <w:r w:rsidR="00C818E7" w:rsidRPr="00AB0127">
        <w:rPr>
          <w:rFonts w:cs="Courier New"/>
        </w:rPr>
        <w:t xml:space="preserve">high </w:t>
      </w:r>
      <w:r w:rsidR="00C818E7">
        <w:rPr>
          <w:rFonts w:cs="Courier New"/>
        </w:rPr>
        <w:t xml:space="preserve">level of </w:t>
      </w:r>
      <w:r w:rsidR="00C818E7" w:rsidRPr="00AB0127">
        <w:rPr>
          <w:rFonts w:cs="Courier New"/>
        </w:rPr>
        <w:t>customer growth,</w:t>
      </w:r>
      <w:r w:rsidR="00C818E7" w:rsidRPr="005D2258">
        <w:rPr>
          <w:rFonts w:cs="Courier New"/>
        </w:rPr>
        <w:t xml:space="preserve"> </w:t>
      </w:r>
      <w:r w:rsidR="00C818E7" w:rsidRPr="00411600">
        <w:rPr>
          <w:rFonts w:cs="Courier New"/>
        </w:rPr>
        <w:t>overall performance</w:t>
      </w:r>
      <w:r w:rsidR="00C818E7" w:rsidRPr="00AB0127">
        <w:rPr>
          <w:rFonts w:cs="Courier New"/>
        </w:rPr>
        <w:t xml:space="preserve">, </w:t>
      </w:r>
      <w:r w:rsidR="00C818E7" w:rsidRPr="005D2258">
        <w:rPr>
          <w:rFonts w:cs="Courier New"/>
        </w:rPr>
        <w:t>and capital investment plans</w:t>
      </w:r>
      <w:r w:rsidR="00C818E7">
        <w:rPr>
          <w:rFonts w:cs="Courier New"/>
        </w:rPr>
        <w:t>,</w:t>
      </w:r>
      <w:r w:rsidRPr="0016520B">
        <w:rPr>
          <w:rFonts w:cs="Courier New"/>
        </w:rPr>
        <w:t xml:space="preserve"> as compared to the Utility Proxy Group.  I also adjusted the indicated range of common equity cost rate </w:t>
      </w:r>
      <w:r w:rsidRPr="00AB0127">
        <w:rPr>
          <w:rFonts w:cs="Courier New"/>
        </w:rPr>
        <w:t>upward to reflect flotation costs</w:t>
      </w:r>
      <w:r w:rsidRPr="008A5E95">
        <w:rPr>
          <w:rFonts w:cs="Courier New"/>
        </w:rPr>
        <w:t>.</w:t>
      </w:r>
      <w:r>
        <w:rPr>
          <w:rStyle w:val="EndnoteReference"/>
          <w:rFonts w:cs="Courier New"/>
        </w:rPr>
        <w:endnoteReference w:id="2"/>
      </w:r>
      <w:r w:rsidRPr="008A5E95">
        <w:rPr>
          <w:rFonts w:cs="Courier New"/>
        </w:rPr>
        <w:t xml:space="preserve">  These adjustments resulted in a </w:t>
      </w:r>
      <w:r w:rsidR="00012C7E">
        <w:rPr>
          <w:rFonts w:cs="Courier New"/>
        </w:rPr>
        <w:t>c</w:t>
      </w:r>
      <w:r w:rsidRPr="008A5E95">
        <w:rPr>
          <w:rFonts w:cs="Courier New"/>
        </w:rPr>
        <w:t xml:space="preserve">ompany-specific indicated range of common equity cost rates between </w:t>
      </w:r>
      <w:r w:rsidR="00F82171">
        <w:rPr>
          <w:rFonts w:cs="Courier New"/>
        </w:rPr>
        <w:t xml:space="preserve">10.32 </w:t>
      </w:r>
      <w:r w:rsidR="005726EA">
        <w:rPr>
          <w:rFonts w:cs="Courier New"/>
        </w:rPr>
        <w:t>percent</w:t>
      </w:r>
      <w:r w:rsidRPr="008A5E95">
        <w:rPr>
          <w:rFonts w:cs="Courier New"/>
        </w:rPr>
        <w:t xml:space="preserve"> and </w:t>
      </w:r>
      <w:r w:rsidR="00F82171">
        <w:rPr>
          <w:rFonts w:cs="Courier New"/>
        </w:rPr>
        <w:t>11.70</w:t>
      </w:r>
      <w:r w:rsidR="005726EA">
        <w:rPr>
          <w:rFonts w:cs="Courier New"/>
        </w:rPr>
        <w:t xml:space="preserve"> percent</w:t>
      </w:r>
      <w:r w:rsidRPr="008A5E95">
        <w:rPr>
          <w:rFonts w:cs="Courier New"/>
        </w:rPr>
        <w:t xml:space="preserve">.  </w:t>
      </w:r>
      <w:r w:rsidR="00443543" w:rsidRPr="00443543">
        <w:rPr>
          <w:rFonts w:cs="Courier New"/>
        </w:rPr>
        <w:t xml:space="preserve">Given the Utility Proxy Group and </w:t>
      </w:r>
      <w:r w:rsidR="00012C7E">
        <w:rPr>
          <w:rFonts w:cs="Courier New"/>
        </w:rPr>
        <w:t>c</w:t>
      </w:r>
      <w:r w:rsidR="00443543" w:rsidRPr="00443543">
        <w:rPr>
          <w:rFonts w:cs="Courier New"/>
        </w:rPr>
        <w:t>ompany-specific ranges of common equity cost rates</w:t>
      </w:r>
      <w:r w:rsidR="00C818E7">
        <w:rPr>
          <w:rFonts w:cs="Courier New"/>
        </w:rPr>
        <w:t>,</w:t>
      </w:r>
      <w:r w:rsidR="006A4B51">
        <w:rPr>
          <w:rFonts w:cs="Courier New"/>
        </w:rPr>
        <w:t xml:space="preserve"> </w:t>
      </w:r>
      <w:r w:rsidRPr="008A5E95">
        <w:rPr>
          <w:rFonts w:cs="Courier New"/>
        </w:rPr>
        <w:t xml:space="preserve">I recommend the Commission adopt an ROE of </w:t>
      </w:r>
      <w:r w:rsidR="004F7F52">
        <w:rPr>
          <w:rFonts w:cs="Courier New"/>
        </w:rPr>
        <w:t xml:space="preserve">11.00 </w:t>
      </w:r>
      <w:r w:rsidR="005726EA">
        <w:rPr>
          <w:rFonts w:cs="Courier New"/>
        </w:rPr>
        <w:t>percent</w:t>
      </w:r>
      <w:r w:rsidRPr="008A5E95">
        <w:rPr>
          <w:rFonts w:cs="Courier New"/>
        </w:rPr>
        <w:t xml:space="preserve"> for ratemaking purposes in this case.</w:t>
      </w:r>
    </w:p>
    <w:p w14:paraId="251C15F0" w14:textId="226427A8" w:rsidR="009A5A7C" w:rsidRDefault="009A5A7C" w:rsidP="00EE19DD">
      <w:pPr>
        <w:widowControl w:val="0"/>
        <w:ind w:left="720" w:hanging="720"/>
        <w:jc w:val="both"/>
        <w:rPr>
          <w:rFonts w:cs="Courier New"/>
        </w:rPr>
      </w:pPr>
    </w:p>
    <w:p w14:paraId="775213F9" w14:textId="5F035FA8" w:rsidR="009A5A7C" w:rsidRPr="00170349" w:rsidRDefault="009A5A7C" w:rsidP="00F413CA">
      <w:pPr>
        <w:pStyle w:val="Heading1"/>
        <w:pBdr>
          <w:left w:val="none" w:sz="0" w:space="0" w:color="auto"/>
          <w:right w:val="none" w:sz="0" w:space="0" w:color="auto"/>
        </w:pBdr>
        <w:jc w:val="left"/>
      </w:pPr>
      <w:bookmarkStart w:id="2" w:name="_Toc129962199"/>
      <w:r w:rsidRPr="00170349">
        <w:t>General Principles</w:t>
      </w:r>
      <w:bookmarkEnd w:id="2"/>
    </w:p>
    <w:p w14:paraId="565722D7" w14:textId="157D4245" w:rsidR="009A5A7C" w:rsidRPr="00AA3411" w:rsidRDefault="009A5A7C" w:rsidP="00EE19DD">
      <w:pPr>
        <w:widowControl w:val="0"/>
        <w:ind w:left="720" w:hanging="720"/>
        <w:jc w:val="both"/>
        <w:rPr>
          <w:rFonts w:cs="Courier New"/>
        </w:rPr>
      </w:pPr>
      <w:r w:rsidRPr="00E8330D">
        <w:rPr>
          <w:rFonts w:cs="Courier New"/>
          <w:b/>
          <w:bCs/>
        </w:rPr>
        <w:t>Q.</w:t>
      </w:r>
      <w:r w:rsidRPr="00E8330D">
        <w:rPr>
          <w:rFonts w:cs="Courier New"/>
          <w:b/>
          <w:bCs/>
        </w:rPr>
        <w:tab/>
      </w:r>
      <w:r w:rsidRPr="00AA3411">
        <w:rPr>
          <w:rFonts w:cs="Courier New"/>
        </w:rPr>
        <w:t xml:space="preserve">What general principles have you considered in arriving at your recommended common equity cost rate of </w:t>
      </w:r>
      <w:r w:rsidR="004F7F52">
        <w:rPr>
          <w:rFonts w:cs="Courier New"/>
        </w:rPr>
        <w:t>11.00</w:t>
      </w:r>
      <w:r w:rsidR="005726EA" w:rsidRPr="00AA3411">
        <w:rPr>
          <w:rFonts w:cs="Courier New"/>
        </w:rPr>
        <w:t xml:space="preserve"> percent</w:t>
      </w:r>
      <w:r w:rsidRPr="00AA3411">
        <w:rPr>
          <w:rFonts w:cs="Courier New"/>
        </w:rPr>
        <w:t>?</w:t>
      </w:r>
    </w:p>
    <w:p w14:paraId="67E07682" w14:textId="77777777" w:rsidR="009A5A7C" w:rsidRDefault="009A5A7C" w:rsidP="00EE19DD">
      <w:pPr>
        <w:widowControl w:val="0"/>
        <w:ind w:left="720" w:hanging="720"/>
        <w:jc w:val="both"/>
        <w:rPr>
          <w:rFonts w:cs="Courier New"/>
        </w:rPr>
      </w:pPr>
    </w:p>
    <w:p w14:paraId="292F425A" w14:textId="5020A2A7" w:rsidR="009A5A7C" w:rsidRPr="00E17884" w:rsidRDefault="009A5A7C" w:rsidP="00EE19DD">
      <w:pPr>
        <w:widowControl w:val="0"/>
        <w:ind w:left="720" w:hanging="720"/>
        <w:jc w:val="both"/>
        <w:rPr>
          <w:rFonts w:cs="Courier New"/>
        </w:rPr>
      </w:pPr>
      <w:r w:rsidRPr="00B23997">
        <w:rPr>
          <w:rFonts w:cs="Courier New"/>
          <w:b/>
        </w:rPr>
        <w:t>A.</w:t>
      </w:r>
      <w:r w:rsidRPr="00B23997">
        <w:rPr>
          <w:rFonts w:cs="Courier New"/>
        </w:rPr>
        <w:tab/>
      </w:r>
      <w:r w:rsidRPr="00E17884">
        <w:rPr>
          <w:rFonts w:cs="Courier New"/>
        </w:rPr>
        <w:t xml:space="preserve">In unregulated industries, marketplace competition is the principal determinant of the price of products or services.  For regulated public utilities, regulation must act as a substitute for marketplace competition.  Assuring that the utility can fulfill its obligations to the public, while providing safe and reliable service at all times, requires a level of earnings sufficient to maintain the integrity of presently invested capital.  Sufficient earnings also permit the attraction of needed new capital at a reasonable cost, for which the utility must compete with other companies of </w:t>
      </w:r>
      <w:r w:rsidRPr="00E17884">
        <w:rPr>
          <w:rFonts w:cs="Courier New"/>
        </w:rPr>
        <w:lastRenderedPageBreak/>
        <w:t xml:space="preserve">comparable risk, consistent with the fair rate of return standards established by the U.S. Supreme Court in the previously cited </w:t>
      </w:r>
      <w:r w:rsidRPr="00E17884">
        <w:rPr>
          <w:rFonts w:cs="Courier New"/>
          <w:i/>
        </w:rPr>
        <w:t>Hope</w:t>
      </w:r>
      <w:r w:rsidRPr="00E17884">
        <w:rPr>
          <w:rFonts w:cs="Courier New"/>
        </w:rPr>
        <w:t xml:space="preserve"> and </w:t>
      </w:r>
      <w:r w:rsidRPr="00E17884">
        <w:rPr>
          <w:rFonts w:cs="Courier New"/>
          <w:i/>
        </w:rPr>
        <w:t>Bluefield</w:t>
      </w:r>
      <w:r w:rsidRPr="00E17884">
        <w:rPr>
          <w:rFonts w:cs="Courier New"/>
        </w:rPr>
        <w:t xml:space="preserve"> cases.</w:t>
      </w:r>
    </w:p>
    <w:p w14:paraId="15114A78" w14:textId="2CE8F1FB" w:rsidR="009A5A7C" w:rsidRDefault="009A5A7C" w:rsidP="00EE19DD">
      <w:pPr>
        <w:widowControl w:val="0"/>
        <w:ind w:left="720" w:hanging="720"/>
        <w:jc w:val="both"/>
        <w:rPr>
          <w:rFonts w:cs="Courier New"/>
        </w:rPr>
      </w:pPr>
      <w:bookmarkStart w:id="3" w:name="_Hlk17212440"/>
    </w:p>
    <w:p w14:paraId="7F980837" w14:textId="7715CA79" w:rsidR="009A5A7C" w:rsidRDefault="009A5A7C" w:rsidP="31C49094">
      <w:pPr>
        <w:widowControl w:val="0"/>
        <w:ind w:left="720"/>
        <w:jc w:val="both"/>
        <w:rPr>
          <w:rFonts w:cs="Courier New"/>
        </w:rPr>
      </w:pPr>
      <w:r>
        <w:rPr>
          <w:rFonts w:cs="Courier New"/>
        </w:rPr>
        <w:t xml:space="preserve">The U.S. Supreme Court affirmed the fair rate of return standards in </w:t>
      </w:r>
      <w:r w:rsidRPr="31C49094">
        <w:rPr>
          <w:rFonts w:cs="Courier New"/>
          <w:i/>
          <w:iCs/>
        </w:rPr>
        <w:t>Hope</w:t>
      </w:r>
      <w:r>
        <w:rPr>
          <w:rFonts w:cs="Courier New"/>
        </w:rPr>
        <w:t xml:space="preserve"> when it stated:</w:t>
      </w:r>
    </w:p>
    <w:p w14:paraId="1B03BCF1" w14:textId="4E735B70" w:rsidR="009A5A7C" w:rsidRDefault="009A5A7C" w:rsidP="31C49094">
      <w:pPr>
        <w:widowControl w:val="0"/>
        <w:ind w:left="1440" w:right="720" w:hanging="720"/>
        <w:jc w:val="both"/>
        <w:rPr>
          <w:rFonts w:cs="Courier New"/>
        </w:rPr>
      </w:pPr>
      <w:r>
        <w:rPr>
          <w:rFonts w:cs="Courier New"/>
        </w:rPr>
        <w:tab/>
      </w:r>
      <w:r w:rsidRPr="00B97DDF">
        <w:rPr>
          <w:rFonts w:cs="Courier New"/>
        </w:rPr>
        <w:t xml:space="preserve">The rate-making process under the Act, </w:t>
      </w:r>
      <w:r w:rsidRPr="31C49094">
        <w:rPr>
          <w:rFonts w:cs="Courier New"/>
          <w:i/>
          <w:iCs/>
        </w:rPr>
        <w:t>i.e.,</w:t>
      </w:r>
      <w:r w:rsidRPr="00B97DDF">
        <w:rPr>
          <w:rFonts w:cs="Courier New"/>
        </w:rPr>
        <w:t xml:space="preserve"> the</w:t>
      </w:r>
      <w:r w:rsidR="00DE5348">
        <w:rPr>
          <w:rFonts w:cs="Courier New"/>
        </w:rPr>
        <w:t xml:space="preserve"> </w:t>
      </w:r>
      <w:r w:rsidRPr="00B97DDF">
        <w:rPr>
          <w:rFonts w:cs="Courier New"/>
        </w:rPr>
        <w:t>fixing of ‘just and reasonable’ rates, involves a</w:t>
      </w:r>
      <w:r w:rsidR="00DE5348">
        <w:rPr>
          <w:rFonts w:cs="Courier New"/>
        </w:rPr>
        <w:t xml:space="preserve"> </w:t>
      </w:r>
      <w:r w:rsidRPr="00B97DDF">
        <w:rPr>
          <w:rFonts w:cs="Courier New"/>
        </w:rPr>
        <w:t>balancing of the investor and the consumer interests.</w:t>
      </w:r>
      <w:r w:rsidR="00DE5348">
        <w:rPr>
          <w:rFonts w:cs="Courier New"/>
        </w:rPr>
        <w:t xml:space="preserve"> </w:t>
      </w:r>
    </w:p>
    <w:p w14:paraId="3A87C7EE" w14:textId="77777777" w:rsidR="00E102D6" w:rsidRDefault="00E102D6" w:rsidP="31C49094">
      <w:pPr>
        <w:widowControl w:val="0"/>
        <w:ind w:left="1440" w:right="720" w:hanging="720"/>
        <w:jc w:val="both"/>
        <w:rPr>
          <w:rFonts w:cs="Courier New"/>
        </w:rPr>
      </w:pPr>
    </w:p>
    <w:p w14:paraId="5D180243" w14:textId="414A46F7" w:rsidR="009A5A7C" w:rsidRDefault="009A5A7C" w:rsidP="00DE5348">
      <w:pPr>
        <w:widowControl w:val="0"/>
        <w:ind w:left="1440" w:right="720"/>
        <w:jc w:val="both"/>
        <w:rPr>
          <w:rFonts w:cs="Courier New"/>
        </w:rPr>
      </w:pPr>
      <w:r w:rsidRPr="00B97DDF">
        <w:rPr>
          <w:rFonts w:cs="Courier New"/>
        </w:rPr>
        <w:t xml:space="preserve">Thus we stated in the </w:t>
      </w:r>
      <w:r w:rsidRPr="31C49094">
        <w:rPr>
          <w:rFonts w:cs="Courier New"/>
          <w:i/>
          <w:iCs/>
        </w:rPr>
        <w:t>Natural Gas Pipeline Co</w:t>
      </w:r>
      <w:r w:rsidRPr="00B97DDF">
        <w:rPr>
          <w:rFonts w:cs="Courier New"/>
        </w:rPr>
        <w:t xml:space="preserve">. </w:t>
      </w:r>
      <w:r w:rsidR="5BADB97F" w:rsidRPr="00B97DDF">
        <w:rPr>
          <w:rFonts w:cs="Courier New"/>
        </w:rPr>
        <w:t>C</w:t>
      </w:r>
      <w:r w:rsidRPr="00B97DDF">
        <w:rPr>
          <w:rFonts w:cs="Courier New"/>
        </w:rPr>
        <w:t>ase</w:t>
      </w:r>
      <w:r w:rsidR="00DE5348">
        <w:rPr>
          <w:rFonts w:cs="Courier New"/>
        </w:rPr>
        <w:t xml:space="preserve"> </w:t>
      </w:r>
      <w:r w:rsidRPr="00B97DDF">
        <w:rPr>
          <w:rFonts w:cs="Courier New"/>
        </w:rPr>
        <w:t>that ‘regulation does not insure that the business</w:t>
      </w:r>
      <w:r w:rsidR="00DE5348">
        <w:rPr>
          <w:rFonts w:cs="Courier New"/>
        </w:rPr>
        <w:t xml:space="preserve"> </w:t>
      </w:r>
      <w:r w:rsidRPr="00B97DDF">
        <w:rPr>
          <w:rFonts w:cs="Courier New"/>
        </w:rPr>
        <w:t>shall produce net revenues.’ 315 U.S. at page 590, 62</w:t>
      </w:r>
      <w:r w:rsidR="00DE5348">
        <w:rPr>
          <w:rFonts w:cs="Courier New"/>
        </w:rPr>
        <w:t xml:space="preserve"> </w:t>
      </w:r>
      <w:r w:rsidRPr="00B97DDF">
        <w:rPr>
          <w:rFonts w:cs="Courier New"/>
        </w:rPr>
        <w:t>S.Ct. at page 745.  But such considerations aside, the</w:t>
      </w:r>
      <w:r w:rsidR="00DE5348">
        <w:rPr>
          <w:rFonts w:cs="Courier New"/>
        </w:rPr>
        <w:t xml:space="preserve"> </w:t>
      </w:r>
      <w:r w:rsidRPr="00B97DDF">
        <w:rPr>
          <w:rFonts w:cs="Courier New"/>
        </w:rPr>
        <w:t xml:space="preserve">investor interest has a legitimate concern with the financial integrity of the company whose rates are being regulated.  From the investor or company point of view it is important that there be enough revenue not only for operating expenses but also for the capital costs of the business.  These include service on the debt and dividends on the stock.  </w:t>
      </w:r>
      <w:r w:rsidRPr="31C49094">
        <w:rPr>
          <w:rFonts w:cs="Courier New"/>
          <w:i/>
          <w:iCs/>
        </w:rPr>
        <w:t>Cf. Chicago &amp; Grand Trunk R. Co. v. Wellman</w:t>
      </w:r>
      <w:r w:rsidRPr="00B97DDF">
        <w:rPr>
          <w:rFonts w:cs="Courier New"/>
        </w:rPr>
        <w:t xml:space="preserve">, 143 U.S. 339, 345, 346 12 S.Ct. 400,402.  By that standard the return to the equity owner </w:t>
      </w:r>
      <w:r w:rsidRPr="00B97DDF">
        <w:rPr>
          <w:rFonts w:cs="Courier New"/>
        </w:rPr>
        <w:lastRenderedPageBreak/>
        <w:t>should be commensurate with returns on investments in other enterprises having corresponding risks. That return, moreover, should be sufficient to assure confidence in the financial integrity of the enterprise, so as to maintain its credit and to attract capital.</w:t>
      </w:r>
      <w:r>
        <w:rPr>
          <w:rStyle w:val="EndnoteReference"/>
          <w:rFonts w:cs="Courier New"/>
        </w:rPr>
        <w:endnoteReference w:id="3"/>
      </w:r>
    </w:p>
    <w:p w14:paraId="5A5A2461" w14:textId="3EDF419C" w:rsidR="009A5A7C" w:rsidRDefault="009A5A7C" w:rsidP="00EE19DD">
      <w:pPr>
        <w:widowControl w:val="0"/>
        <w:ind w:left="720" w:hanging="720"/>
        <w:jc w:val="both"/>
        <w:rPr>
          <w:rFonts w:cs="Courier New"/>
        </w:rPr>
      </w:pPr>
    </w:p>
    <w:p w14:paraId="15E4CF7F" w14:textId="36B1CB27" w:rsidR="009A5A7C" w:rsidRPr="00E60129" w:rsidRDefault="009A5A7C" w:rsidP="00EE19DD">
      <w:pPr>
        <w:widowControl w:val="0"/>
        <w:ind w:left="720" w:hanging="720"/>
        <w:jc w:val="both"/>
        <w:rPr>
          <w:rFonts w:cs="Courier New"/>
        </w:rPr>
      </w:pPr>
      <w:r>
        <w:rPr>
          <w:rFonts w:cs="Courier New"/>
        </w:rPr>
        <w:tab/>
      </w:r>
      <w:r w:rsidRPr="007122EA">
        <w:rPr>
          <w:rFonts w:cs="Courier New"/>
        </w:rPr>
        <w:t xml:space="preserve">In summary, the U.S. Supreme Court has found a return that is adequate to attract capital at reasonable terms enables the utility to provide service while maintaining its financial integrity.  As discussed above, and in keeping with established regulatory standards, that return should be commensurate with the returns expected elsewhere for investments of equivalent risk.  The Commission’s decision in this proceeding, therefore, should provide the </w:t>
      </w:r>
      <w:r w:rsidR="00012C7E">
        <w:rPr>
          <w:rFonts w:cs="Courier New"/>
        </w:rPr>
        <w:t>c</w:t>
      </w:r>
      <w:r w:rsidRPr="007122EA">
        <w:rPr>
          <w:rFonts w:cs="Courier New"/>
        </w:rPr>
        <w:t>ompany with the opportunity to earn a return that is: (1) adequate to attract capital at reasonable cost and terms; (2) sufficient to ensure its financial integrity; and (3) commensurate with returns on investments in enterprises having corresponding risks.</w:t>
      </w:r>
    </w:p>
    <w:p w14:paraId="0ED5EC11" w14:textId="5655D6F8" w:rsidR="009A5A7C" w:rsidRDefault="009A5A7C" w:rsidP="00EE19DD">
      <w:pPr>
        <w:widowControl w:val="0"/>
        <w:ind w:left="720" w:hanging="720"/>
        <w:jc w:val="both"/>
        <w:rPr>
          <w:rFonts w:cs="Courier New"/>
        </w:rPr>
      </w:pPr>
    </w:p>
    <w:p w14:paraId="0A1B610A" w14:textId="122F8797" w:rsidR="009A5A7C" w:rsidRDefault="009A5A7C" w:rsidP="00EE19DD">
      <w:pPr>
        <w:widowControl w:val="0"/>
        <w:ind w:left="720" w:hanging="720"/>
        <w:jc w:val="both"/>
        <w:rPr>
          <w:rFonts w:cs="Courier New"/>
        </w:rPr>
      </w:pPr>
      <w:r>
        <w:rPr>
          <w:rFonts w:cs="Courier New"/>
        </w:rPr>
        <w:tab/>
      </w:r>
      <w:r w:rsidRPr="008C29E4">
        <w:rPr>
          <w:rFonts w:cs="Courier New"/>
        </w:rPr>
        <w:t xml:space="preserve">Lastly, the required return for a regulated public utility is established on a stand-alone basis, </w:t>
      </w:r>
      <w:r w:rsidRPr="008C29E4">
        <w:rPr>
          <w:rFonts w:cs="Courier New"/>
          <w:i/>
          <w:iCs/>
        </w:rPr>
        <w:t>i.e.,</w:t>
      </w:r>
      <w:r w:rsidRPr="008C29E4">
        <w:rPr>
          <w:rFonts w:cs="Courier New"/>
        </w:rPr>
        <w:t xml:space="preserve"> for the utility operating company at issue in a rate case.  Parent entities, like other investors, have capital constraints and must look </w:t>
      </w:r>
      <w:r w:rsidRPr="008C29E4">
        <w:rPr>
          <w:rFonts w:cs="Courier New"/>
        </w:rPr>
        <w:lastRenderedPageBreak/>
        <w:t>at the attractiveness of the expected risk-adjusted return of each investment alternative in their capital budgeting process.  That is, utility holding companies that own many utility operating companies have choices as to where they will invest their capital within the holding company family.  Therefore, the opportunity cost concept applies regardless of the source of the funding, public funding or corporate funding.</w:t>
      </w:r>
    </w:p>
    <w:p w14:paraId="447172BD" w14:textId="77777777" w:rsidR="009A5A7C" w:rsidRPr="008C29E4" w:rsidRDefault="009A5A7C" w:rsidP="00EE19DD">
      <w:pPr>
        <w:widowControl w:val="0"/>
        <w:ind w:left="720" w:hanging="720"/>
        <w:jc w:val="both"/>
        <w:rPr>
          <w:rFonts w:cs="Courier New"/>
        </w:rPr>
      </w:pPr>
    </w:p>
    <w:p w14:paraId="3624D1F8" w14:textId="288587A1" w:rsidR="009A5A7C" w:rsidRDefault="009A5A7C" w:rsidP="00EE19DD">
      <w:pPr>
        <w:widowControl w:val="0"/>
        <w:ind w:left="720" w:hanging="720"/>
        <w:jc w:val="both"/>
        <w:rPr>
          <w:rFonts w:cs="Courier New"/>
        </w:rPr>
      </w:pPr>
      <w:r>
        <w:rPr>
          <w:rFonts w:cs="Courier New"/>
        </w:rPr>
        <w:tab/>
      </w:r>
      <w:r w:rsidRPr="008C29E4">
        <w:rPr>
          <w:rFonts w:cs="Courier New"/>
        </w:rPr>
        <w:t>It therefore is important that the authorized ROE reflects the risks and prospects of the utility’s operations and supports the utility’s financial integrity from a stand-alone perspective, as measured by its combined business and financial risks.  Consequently, the ROE authorized in this proceeding should be sufficient to support the operational (</w:t>
      </w:r>
      <w:r w:rsidRPr="008C29E4">
        <w:rPr>
          <w:rFonts w:cs="Courier New"/>
          <w:i/>
          <w:iCs/>
        </w:rPr>
        <w:t xml:space="preserve">i.e., </w:t>
      </w:r>
      <w:r w:rsidRPr="008C29E4">
        <w:rPr>
          <w:rFonts w:cs="Courier New"/>
        </w:rPr>
        <w:t>business risk) and financing (</w:t>
      </w:r>
      <w:r w:rsidRPr="008C29E4">
        <w:rPr>
          <w:rFonts w:cs="Courier New"/>
          <w:i/>
          <w:iCs/>
        </w:rPr>
        <w:t>i.e.,</w:t>
      </w:r>
      <w:r w:rsidRPr="008C29E4">
        <w:rPr>
          <w:rFonts w:cs="Courier New"/>
        </w:rPr>
        <w:t xml:space="preserve"> financial risk) of the </w:t>
      </w:r>
      <w:r w:rsidR="00805765">
        <w:rPr>
          <w:rFonts w:cs="Courier New"/>
        </w:rPr>
        <w:t>c</w:t>
      </w:r>
      <w:r w:rsidRPr="008C29E4">
        <w:rPr>
          <w:rFonts w:cs="Courier New"/>
        </w:rPr>
        <w:t>ompany’s utility subsidiary on a stand-alone basis.</w:t>
      </w:r>
    </w:p>
    <w:p w14:paraId="57EB027E" w14:textId="77777777" w:rsidR="009A5A7C" w:rsidRPr="00E60129" w:rsidRDefault="009A5A7C" w:rsidP="00EE19DD">
      <w:pPr>
        <w:widowControl w:val="0"/>
        <w:ind w:left="720" w:hanging="720"/>
        <w:jc w:val="both"/>
        <w:rPr>
          <w:rFonts w:cs="Courier New"/>
        </w:rPr>
      </w:pPr>
    </w:p>
    <w:p w14:paraId="536293EA" w14:textId="44E888DE"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73351E">
        <w:rPr>
          <w:rFonts w:cs="Courier New"/>
        </w:rPr>
        <w:t>Within that broad framework, how is the cost of capital estimated in regulatory proceedings?</w:t>
      </w:r>
    </w:p>
    <w:p w14:paraId="07D16C4D" w14:textId="77777777" w:rsidR="009A5A7C" w:rsidRDefault="009A5A7C" w:rsidP="00EE19DD">
      <w:pPr>
        <w:widowControl w:val="0"/>
        <w:ind w:left="720" w:hanging="720"/>
        <w:jc w:val="both"/>
        <w:rPr>
          <w:rFonts w:cs="Courier New"/>
        </w:rPr>
      </w:pPr>
    </w:p>
    <w:p w14:paraId="448547ED" w14:textId="5A0C35D4" w:rsidR="009A5A7C" w:rsidRPr="003A54D5" w:rsidRDefault="009A5A7C" w:rsidP="00EE19DD">
      <w:pPr>
        <w:widowControl w:val="0"/>
        <w:ind w:left="720" w:hanging="720"/>
        <w:jc w:val="both"/>
        <w:rPr>
          <w:rFonts w:cs="Courier New"/>
        </w:rPr>
      </w:pPr>
      <w:r w:rsidRPr="00B23997">
        <w:rPr>
          <w:rFonts w:cs="Courier New"/>
          <w:b/>
        </w:rPr>
        <w:t>A.</w:t>
      </w:r>
      <w:r w:rsidRPr="00B23997">
        <w:rPr>
          <w:rFonts w:cs="Courier New"/>
        </w:rPr>
        <w:tab/>
      </w:r>
      <w:r w:rsidRPr="003A54D5">
        <w:rPr>
          <w:rFonts w:cs="Courier New"/>
        </w:rPr>
        <w:t>Regulated utilities primarily use common stock and long-term debt to finance their permanent property, plant, and equipment (</w:t>
      </w:r>
      <w:r w:rsidRPr="003A54D5">
        <w:rPr>
          <w:rFonts w:cs="Courier New"/>
          <w:i/>
          <w:iCs/>
        </w:rPr>
        <w:t>i.e</w:t>
      </w:r>
      <w:r w:rsidRPr="003A54D5">
        <w:rPr>
          <w:rFonts w:cs="Courier New"/>
        </w:rPr>
        <w:t xml:space="preserve">., rate base).  The fair rate of return for a regulated utility is based on its weighted average cost of </w:t>
      </w:r>
      <w:r w:rsidRPr="003A54D5">
        <w:rPr>
          <w:rFonts w:cs="Courier New"/>
        </w:rPr>
        <w:lastRenderedPageBreak/>
        <w:t>capital, in which, as noted earlier, the costs of the individual sources of capital are weighted by their respective book values.</w:t>
      </w:r>
    </w:p>
    <w:p w14:paraId="384ABEEB" w14:textId="77777777" w:rsidR="009A5A7C" w:rsidRDefault="009A5A7C" w:rsidP="00EE19DD">
      <w:pPr>
        <w:widowControl w:val="0"/>
        <w:ind w:left="720" w:hanging="720"/>
        <w:jc w:val="both"/>
        <w:rPr>
          <w:rFonts w:cs="Courier New"/>
        </w:rPr>
      </w:pPr>
    </w:p>
    <w:p w14:paraId="48253A05" w14:textId="3B783843" w:rsidR="009A5A7C" w:rsidRPr="003A54D5" w:rsidRDefault="009A5A7C" w:rsidP="00EE19DD">
      <w:pPr>
        <w:widowControl w:val="0"/>
        <w:ind w:left="720" w:hanging="720"/>
        <w:jc w:val="both"/>
        <w:rPr>
          <w:rFonts w:cs="Courier New"/>
        </w:rPr>
      </w:pPr>
      <w:r>
        <w:rPr>
          <w:rFonts w:cs="Courier New"/>
        </w:rPr>
        <w:tab/>
      </w:r>
      <w:r w:rsidRPr="003A54D5">
        <w:rPr>
          <w:rFonts w:cs="Courier New"/>
        </w:rPr>
        <w:t xml:space="preserve">The cost of capital is the return investors require to make an investment in a company.  Investors will provide funds to a firm only if the return that they </w:t>
      </w:r>
      <w:r w:rsidRPr="003A54D5">
        <w:rPr>
          <w:rFonts w:cs="Courier New"/>
          <w:i/>
        </w:rPr>
        <w:t>expect</w:t>
      </w:r>
      <w:r w:rsidRPr="003A54D5">
        <w:rPr>
          <w:rFonts w:cs="Courier New"/>
        </w:rPr>
        <w:t xml:space="preserve"> is equal to, or greater than, the return that they </w:t>
      </w:r>
      <w:r w:rsidRPr="003A54D5">
        <w:rPr>
          <w:rFonts w:cs="Courier New"/>
          <w:i/>
        </w:rPr>
        <w:t>require</w:t>
      </w:r>
      <w:r w:rsidRPr="003A54D5">
        <w:rPr>
          <w:rFonts w:cs="Courier New"/>
        </w:rPr>
        <w:t xml:space="preserve"> to accept the risk of providing funds to the firm.</w:t>
      </w:r>
    </w:p>
    <w:p w14:paraId="3DCA0676" w14:textId="77777777" w:rsidR="009A5A7C" w:rsidRDefault="009A5A7C" w:rsidP="00EE19DD">
      <w:pPr>
        <w:widowControl w:val="0"/>
        <w:ind w:left="720" w:hanging="720"/>
        <w:jc w:val="both"/>
        <w:rPr>
          <w:rFonts w:cs="Courier New"/>
        </w:rPr>
      </w:pPr>
    </w:p>
    <w:p w14:paraId="572FB35F" w14:textId="78F4397E" w:rsidR="009A5A7C" w:rsidRPr="003A54D5" w:rsidRDefault="009A5A7C" w:rsidP="00EE19DD">
      <w:pPr>
        <w:widowControl w:val="0"/>
        <w:ind w:left="720" w:hanging="720"/>
        <w:jc w:val="both"/>
        <w:rPr>
          <w:rFonts w:cs="Courier New"/>
        </w:rPr>
      </w:pPr>
      <w:r>
        <w:rPr>
          <w:rFonts w:cs="Courier New"/>
        </w:rPr>
        <w:tab/>
      </w:r>
      <w:r w:rsidRPr="003A54D5">
        <w:rPr>
          <w:rFonts w:cs="Courier New"/>
        </w:rPr>
        <w:t>The cost of capital (</w:t>
      </w:r>
      <w:r w:rsidRPr="003A54D5">
        <w:rPr>
          <w:rFonts w:cs="Courier New"/>
          <w:i/>
          <w:iCs/>
        </w:rPr>
        <w:t>i.e.</w:t>
      </w:r>
      <w:r w:rsidRPr="003A54D5">
        <w:rPr>
          <w:rFonts w:cs="Courier New"/>
        </w:rPr>
        <w:t>, the combination of the costs of debt and equity) is based on the economic principle of “opportunity costs.”  Investing in any asset (whether debt or equity securities) represents a forgone opportunity to invest in alternative assets.  For any investment to be sensible, its expected return must be at least equal to the return expected on alternative, comparable risk investment opportunities.  Because investments with like risks should offer similar returns, the opportunity cost of an investment should equal the return available on an investment of comparable risk.</w:t>
      </w:r>
    </w:p>
    <w:p w14:paraId="14221517" w14:textId="77777777" w:rsidR="009A5A7C" w:rsidRDefault="009A5A7C" w:rsidP="00EE19DD">
      <w:pPr>
        <w:widowControl w:val="0"/>
        <w:ind w:left="720" w:hanging="720"/>
        <w:jc w:val="both"/>
        <w:rPr>
          <w:rFonts w:cs="Courier New"/>
        </w:rPr>
      </w:pPr>
    </w:p>
    <w:p w14:paraId="5C013062" w14:textId="7A1E27BA" w:rsidR="009A5A7C" w:rsidRPr="003A54D5" w:rsidRDefault="009A5A7C" w:rsidP="00EE19DD">
      <w:pPr>
        <w:widowControl w:val="0"/>
        <w:ind w:left="720" w:hanging="720"/>
        <w:jc w:val="both"/>
        <w:rPr>
          <w:rFonts w:cs="Courier New"/>
        </w:rPr>
      </w:pPr>
      <w:r>
        <w:rPr>
          <w:rFonts w:cs="Courier New"/>
        </w:rPr>
        <w:tab/>
      </w:r>
      <w:r w:rsidRPr="003A54D5">
        <w:rPr>
          <w:rFonts w:cs="Courier New"/>
        </w:rPr>
        <w:t xml:space="preserve">Whereas the cost of debt is contractually defined and can be directly observed as the interest rate or yield on debt securities, the cost of common equity must be estimated based </w:t>
      </w:r>
      <w:r w:rsidRPr="003A54D5">
        <w:rPr>
          <w:rFonts w:cs="Courier New"/>
        </w:rPr>
        <w:lastRenderedPageBreak/>
        <w:t>on market data and various financial models.  Because the cost of common equity is premised on opportunity costs, the models used to determine it are typically applied to a group of “comparable” or “proxy” companies.</w:t>
      </w:r>
    </w:p>
    <w:p w14:paraId="3E7F4C36" w14:textId="77777777" w:rsidR="009A5A7C" w:rsidRDefault="009A5A7C" w:rsidP="00EE19DD">
      <w:pPr>
        <w:widowControl w:val="0"/>
        <w:ind w:left="720" w:hanging="720"/>
        <w:jc w:val="both"/>
        <w:rPr>
          <w:rFonts w:cs="Courier New"/>
        </w:rPr>
      </w:pPr>
    </w:p>
    <w:p w14:paraId="083475DB" w14:textId="5FBCD9F5" w:rsidR="009A5A7C" w:rsidRPr="003A54D5" w:rsidRDefault="009A5A7C" w:rsidP="00EE19DD">
      <w:pPr>
        <w:widowControl w:val="0"/>
        <w:ind w:left="720" w:hanging="720"/>
        <w:jc w:val="both"/>
        <w:rPr>
          <w:rFonts w:cs="Courier New"/>
        </w:rPr>
      </w:pPr>
      <w:r>
        <w:rPr>
          <w:rFonts w:cs="Courier New"/>
        </w:rPr>
        <w:tab/>
      </w:r>
      <w:r w:rsidRPr="003A54D5">
        <w:rPr>
          <w:rFonts w:cs="Courier New"/>
        </w:rPr>
        <w:t>In the end, the estimated cost of capital should reflect the return that investors require in light of the subject company’s business and financial risks, and the returns available on comparable investments.</w:t>
      </w:r>
    </w:p>
    <w:bookmarkEnd w:id="3"/>
    <w:p w14:paraId="5F9A08A8" w14:textId="77777777" w:rsidR="009A5A7C" w:rsidRPr="0073351E" w:rsidRDefault="009A5A7C" w:rsidP="00EE19DD">
      <w:pPr>
        <w:widowControl w:val="0"/>
        <w:ind w:left="720" w:hanging="720"/>
        <w:jc w:val="both"/>
        <w:rPr>
          <w:rFonts w:cs="Courier New"/>
        </w:rPr>
      </w:pPr>
    </w:p>
    <w:p w14:paraId="334AF46B" w14:textId="58977552" w:rsidR="009A5A7C" w:rsidRPr="00E8330D" w:rsidRDefault="009A5A7C" w:rsidP="00656D9B">
      <w:pPr>
        <w:keepNext/>
        <w:keepLines/>
        <w:widowControl w:val="0"/>
        <w:ind w:left="720" w:hanging="720"/>
        <w:jc w:val="both"/>
        <w:rPr>
          <w:rFonts w:cs="Courier New"/>
        </w:rPr>
      </w:pPr>
      <w:r w:rsidRPr="007C5BF4">
        <w:rPr>
          <w:rFonts w:cs="Courier New"/>
          <w:b/>
          <w:bCs/>
        </w:rPr>
        <w:t>Q.</w:t>
      </w:r>
      <w:r w:rsidRPr="005E23F6">
        <w:rPr>
          <w:rFonts w:cs="Courier New"/>
        </w:rPr>
        <w:tab/>
        <w:t>Is t</w:t>
      </w:r>
      <w:r>
        <w:rPr>
          <w:rFonts w:cs="Courier New"/>
        </w:rPr>
        <w:t>he authorized return set in regulatory proceedings guaranteed?</w:t>
      </w:r>
    </w:p>
    <w:p w14:paraId="5D8F691D" w14:textId="77777777" w:rsidR="009A5A7C" w:rsidRPr="0073351E" w:rsidRDefault="009A5A7C" w:rsidP="006778D0">
      <w:pPr>
        <w:widowControl w:val="0"/>
        <w:ind w:left="720" w:hanging="720"/>
        <w:jc w:val="both"/>
        <w:rPr>
          <w:rFonts w:cs="Courier New"/>
        </w:rPr>
      </w:pPr>
    </w:p>
    <w:p w14:paraId="61C058DF" w14:textId="7CC65F54" w:rsidR="009A5A7C" w:rsidRPr="0059385C" w:rsidRDefault="009A5A7C" w:rsidP="006778D0">
      <w:pPr>
        <w:widowControl w:val="0"/>
        <w:ind w:left="720" w:hanging="720"/>
        <w:jc w:val="both"/>
        <w:rPr>
          <w:rFonts w:cs="Courier New"/>
        </w:rPr>
      </w:pPr>
      <w:r w:rsidRPr="00B23997">
        <w:rPr>
          <w:rFonts w:cs="Courier New"/>
          <w:b/>
        </w:rPr>
        <w:t>A.</w:t>
      </w:r>
      <w:r w:rsidRPr="00B23997">
        <w:rPr>
          <w:rFonts w:cs="Courier New"/>
        </w:rPr>
        <w:tab/>
      </w:r>
      <w:r w:rsidRPr="0059385C">
        <w:rPr>
          <w:rFonts w:cs="Courier New"/>
        </w:rPr>
        <w:t xml:space="preserve">No, it is not.  Consistent with the </w:t>
      </w:r>
      <w:r w:rsidRPr="0059385C">
        <w:rPr>
          <w:rFonts w:cs="Courier New"/>
          <w:i/>
          <w:iCs/>
        </w:rPr>
        <w:t>Hope</w:t>
      </w:r>
      <w:r w:rsidRPr="0059385C">
        <w:rPr>
          <w:rFonts w:cs="Courier New"/>
        </w:rPr>
        <w:t xml:space="preserve"> and </w:t>
      </w:r>
      <w:r w:rsidRPr="0059385C">
        <w:rPr>
          <w:rFonts w:cs="Courier New"/>
          <w:i/>
          <w:iCs/>
        </w:rPr>
        <w:t>Bluefield</w:t>
      </w:r>
      <w:r w:rsidRPr="0059385C">
        <w:rPr>
          <w:rFonts w:cs="Courier New"/>
        </w:rPr>
        <w:t xml:space="preserve"> standards, the ratemaking process should provide the utility a reasonable </w:t>
      </w:r>
      <w:r w:rsidRPr="0059385C">
        <w:rPr>
          <w:rFonts w:cs="Courier New"/>
          <w:iCs/>
        </w:rPr>
        <w:t>opportunity</w:t>
      </w:r>
      <w:r w:rsidRPr="0059385C">
        <w:rPr>
          <w:rFonts w:cs="Courier New"/>
        </w:rPr>
        <w:t xml:space="preserve"> to recover its return of, and return on, its reasonably incurred investments, but it does not guarantee that return.  While a utility may have control over some factors that affect the ability to earn its authorized return (</w:t>
      </w:r>
      <w:r w:rsidRPr="0059385C">
        <w:rPr>
          <w:rFonts w:cs="Courier New"/>
          <w:i/>
          <w:iCs/>
        </w:rPr>
        <w:t>e.g</w:t>
      </w:r>
      <w:r w:rsidRPr="0059385C">
        <w:rPr>
          <w:rFonts w:cs="Courier New"/>
        </w:rPr>
        <w:t>., management performance, operating and maintenance expenses, etc.), there are several factors beyond a utility’s control that affect its ability to earn its authorized return.  Those may include factors such as weather, the economy, and the prevalence and magnitude of regulatory lag.</w:t>
      </w:r>
    </w:p>
    <w:p w14:paraId="13773280" w14:textId="4FF09B35" w:rsidR="009A5A7C" w:rsidRPr="007E1623" w:rsidRDefault="009A5A7C" w:rsidP="00216A2E">
      <w:pPr>
        <w:pStyle w:val="Heading2"/>
        <w:numPr>
          <w:ilvl w:val="0"/>
          <w:numId w:val="5"/>
        </w:numPr>
        <w:pBdr>
          <w:left w:val="none" w:sz="0" w:space="0" w:color="auto"/>
          <w:right w:val="none" w:sz="0" w:space="0" w:color="auto"/>
        </w:pBdr>
        <w:ind w:hanging="720"/>
        <w:jc w:val="left"/>
      </w:pPr>
      <w:bookmarkStart w:id="4" w:name="_Toc129962200"/>
      <w:r w:rsidRPr="007E1623">
        <w:lastRenderedPageBreak/>
        <w:t>Business Risk</w:t>
      </w:r>
      <w:bookmarkEnd w:id="4"/>
    </w:p>
    <w:p w14:paraId="447B4D10" w14:textId="647F5664"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830A4A">
        <w:rPr>
          <w:rFonts w:cs="Courier New"/>
        </w:rPr>
        <w:t>Please define business risk and explain why it is important for determining a fair rate of return</w:t>
      </w:r>
      <w:r>
        <w:rPr>
          <w:rFonts w:cs="Courier New"/>
        </w:rPr>
        <w:t>.</w:t>
      </w:r>
    </w:p>
    <w:p w14:paraId="49483488" w14:textId="77777777" w:rsidR="009A5A7C" w:rsidRDefault="009A5A7C" w:rsidP="00EE19DD">
      <w:pPr>
        <w:widowControl w:val="0"/>
        <w:ind w:left="720" w:hanging="720"/>
        <w:jc w:val="both"/>
        <w:rPr>
          <w:rFonts w:cs="Courier New"/>
        </w:rPr>
      </w:pPr>
    </w:p>
    <w:p w14:paraId="72141773" w14:textId="1AB2CA24" w:rsidR="009A5A7C" w:rsidRPr="000154A3" w:rsidRDefault="009A5A7C" w:rsidP="00EE19DD">
      <w:pPr>
        <w:widowControl w:val="0"/>
        <w:ind w:left="720" w:hanging="720"/>
        <w:jc w:val="both"/>
        <w:rPr>
          <w:rFonts w:cs="Courier New"/>
        </w:rPr>
      </w:pPr>
      <w:r w:rsidRPr="00B23997">
        <w:rPr>
          <w:rFonts w:cs="Courier New"/>
          <w:b/>
        </w:rPr>
        <w:t>A.</w:t>
      </w:r>
      <w:r w:rsidRPr="00B23997">
        <w:rPr>
          <w:rFonts w:cs="Courier New"/>
        </w:rPr>
        <w:tab/>
      </w:r>
      <w:r w:rsidRPr="000154A3">
        <w:rPr>
          <w:rFonts w:cs="Courier New"/>
        </w:rPr>
        <w:t>The investor-required return on common equity reflects investors’ assessment of the total investment risk of the subject firm.  Total investment risk is often discussed in the context of business and financial risk</w:t>
      </w:r>
      <w:r>
        <w:rPr>
          <w:rFonts w:cs="Courier New"/>
        </w:rPr>
        <w:t>.</w:t>
      </w:r>
      <w:r>
        <w:rPr>
          <w:rStyle w:val="EndnoteReference"/>
          <w:rFonts w:cs="Courier New"/>
        </w:rPr>
        <w:endnoteReference w:id="4"/>
      </w:r>
    </w:p>
    <w:p w14:paraId="07D49303" w14:textId="46B81849" w:rsidR="009A5A7C" w:rsidRDefault="009A5A7C" w:rsidP="00EE19DD">
      <w:pPr>
        <w:widowControl w:val="0"/>
        <w:ind w:left="720" w:hanging="720"/>
        <w:jc w:val="both"/>
        <w:rPr>
          <w:rFonts w:cs="Courier New"/>
        </w:rPr>
      </w:pPr>
    </w:p>
    <w:p w14:paraId="3E2DBB16" w14:textId="77777777" w:rsidR="009A5A7C" w:rsidRPr="00D0374E" w:rsidRDefault="009A5A7C" w:rsidP="00EE19DD">
      <w:pPr>
        <w:widowControl w:val="0"/>
        <w:ind w:left="720" w:hanging="720"/>
        <w:jc w:val="both"/>
        <w:rPr>
          <w:rFonts w:cs="Courier New"/>
        </w:rPr>
      </w:pPr>
      <w:r>
        <w:rPr>
          <w:rFonts w:cs="Courier New"/>
        </w:rPr>
        <w:tab/>
      </w:r>
      <w:r w:rsidRPr="00D0374E">
        <w:rPr>
          <w:rFonts w:cs="Courier New"/>
        </w:rPr>
        <w:t>Business risk reflects the uncertainty associated with owning a company’s common stock without the company’s use of debt and/or preferred stock financing.  One way of considering the distinction between business and financial risk is to view the former as the uncertainty of the expected earned return on common equity, assuming the firm is financed with no debt.</w:t>
      </w:r>
    </w:p>
    <w:p w14:paraId="0ADEC295" w14:textId="77777777" w:rsidR="009A5A7C" w:rsidRDefault="009A5A7C" w:rsidP="00EE19DD">
      <w:pPr>
        <w:widowControl w:val="0"/>
        <w:ind w:left="720" w:hanging="720"/>
        <w:jc w:val="both"/>
        <w:rPr>
          <w:rFonts w:cs="Courier New"/>
        </w:rPr>
      </w:pPr>
    </w:p>
    <w:p w14:paraId="7B6F1953" w14:textId="0A6A29DC" w:rsidR="009A5A7C" w:rsidRPr="00D0374E" w:rsidRDefault="009A5A7C" w:rsidP="00EE19DD">
      <w:pPr>
        <w:widowControl w:val="0"/>
        <w:ind w:left="720" w:hanging="720"/>
        <w:jc w:val="both"/>
        <w:rPr>
          <w:rFonts w:cs="Courier New"/>
        </w:rPr>
      </w:pPr>
      <w:r>
        <w:rPr>
          <w:rFonts w:cs="Courier New"/>
        </w:rPr>
        <w:tab/>
      </w:r>
      <w:r w:rsidRPr="00D0374E">
        <w:rPr>
          <w:rFonts w:cs="Courier New"/>
        </w:rPr>
        <w:t xml:space="preserve">Examples of business risks </w:t>
      </w:r>
      <w:r w:rsidRPr="00D0374E">
        <w:rPr>
          <w:rFonts w:cs="Courier New"/>
          <w:u w:val="single"/>
        </w:rPr>
        <w:t>generally</w:t>
      </w:r>
      <w:r w:rsidRPr="00D0374E">
        <w:rPr>
          <w:rFonts w:cs="Courier New"/>
        </w:rPr>
        <w:t xml:space="preserve"> faced by utilities include, but are not limited to, the regulatory environment, mandatory environmental compliance requirements, customer mix and concentration of customers, service territory economic growth, market demand, risks and uncertainties of supply, operations, capital intensity, size, the degree of operating leverage, emerging technologies, the vagaries of weather, and the like, all of which have a direct bearing on earnings.</w:t>
      </w:r>
    </w:p>
    <w:p w14:paraId="37930721" w14:textId="77777777" w:rsidR="009A5A7C" w:rsidRDefault="009A5A7C" w:rsidP="00EE19DD">
      <w:pPr>
        <w:widowControl w:val="0"/>
        <w:ind w:left="720" w:hanging="720"/>
        <w:jc w:val="both"/>
        <w:rPr>
          <w:rFonts w:cs="Courier New"/>
        </w:rPr>
      </w:pPr>
    </w:p>
    <w:p w14:paraId="702B794A" w14:textId="5418A5A7" w:rsidR="009A5A7C" w:rsidRPr="00D0374E" w:rsidRDefault="009A5A7C" w:rsidP="00EE19DD">
      <w:pPr>
        <w:widowControl w:val="0"/>
        <w:ind w:left="720" w:hanging="720"/>
        <w:jc w:val="both"/>
        <w:rPr>
          <w:rFonts w:cs="Courier New"/>
        </w:rPr>
      </w:pPr>
      <w:r>
        <w:rPr>
          <w:rFonts w:cs="Courier New"/>
        </w:rPr>
        <w:lastRenderedPageBreak/>
        <w:tab/>
      </w:r>
      <w:r w:rsidRPr="00D0374E">
        <w:rPr>
          <w:rFonts w:cs="Courier New"/>
        </w:rPr>
        <w:t>Although analysts, including ratings agencies, may categorize business risks individually, as a practical matter, such risks are interrelated and not wholly distinct from one another.  When determining an appropriate return on common equity, the relevant issue is where investors see the subject company in relation to other similarly situated utility companies (</w:t>
      </w:r>
      <w:r w:rsidRPr="00D0374E">
        <w:rPr>
          <w:rFonts w:cs="Courier New"/>
          <w:i/>
          <w:iCs/>
        </w:rPr>
        <w:t xml:space="preserve">e.g., </w:t>
      </w:r>
      <w:r w:rsidRPr="00D0374E">
        <w:rPr>
          <w:rFonts w:cs="Courier New"/>
        </w:rPr>
        <w:t>those in</w:t>
      </w:r>
      <w:r w:rsidRPr="00D0374E">
        <w:rPr>
          <w:rFonts w:cs="Courier New"/>
          <w:i/>
          <w:iCs/>
        </w:rPr>
        <w:t xml:space="preserve"> </w:t>
      </w:r>
      <w:r w:rsidRPr="00D0374E">
        <w:rPr>
          <w:rFonts w:cs="Courier New"/>
        </w:rPr>
        <w:t>the Utility Proxy Group).  To the extent investors view a company as being exposed to higher risk, the required return will increase, and vice versa.</w:t>
      </w:r>
    </w:p>
    <w:p w14:paraId="6D99870B" w14:textId="77777777" w:rsidR="009A5A7C" w:rsidRDefault="009A5A7C" w:rsidP="00EE19DD">
      <w:pPr>
        <w:widowControl w:val="0"/>
        <w:ind w:left="720" w:hanging="720"/>
        <w:jc w:val="both"/>
        <w:rPr>
          <w:rFonts w:cs="Courier New"/>
        </w:rPr>
      </w:pPr>
    </w:p>
    <w:p w14:paraId="4ED8FAB4" w14:textId="29EC0915" w:rsidR="009A5A7C" w:rsidRPr="00D0374E" w:rsidRDefault="009A5A7C" w:rsidP="00EE19DD">
      <w:pPr>
        <w:widowControl w:val="0"/>
        <w:ind w:left="720" w:hanging="720"/>
        <w:jc w:val="both"/>
        <w:rPr>
          <w:rFonts w:cs="Courier New"/>
        </w:rPr>
      </w:pPr>
      <w:r>
        <w:rPr>
          <w:rFonts w:cs="Courier New"/>
        </w:rPr>
        <w:tab/>
      </w:r>
      <w:r w:rsidRPr="00D0374E">
        <w:rPr>
          <w:rFonts w:cs="Courier New"/>
        </w:rPr>
        <w:t>For regulated utilities, business risks are both long-term and near-term in nature.  Whereas near-term business risks are reflected in year-to-year variability in earnings and cash flow brought about by economic or regulatory factors, long-term business risks reflect the prospect of an impaired ability of investors to obtain both a fair rate of return on, and return of, their capital.  Moreover, because utilities accept the obligation to provide safe, adequate, and reliable service at all times (in exchange for a reasonable opportunity to earn a fair return on their investment), they generally do not have the option to delay, defer, or reject capital investments.  Because those investments are capital-intensive, utilities generally do not have the option to avoid raising external funds during periods of capital market distress, if necessary.</w:t>
      </w:r>
    </w:p>
    <w:p w14:paraId="1F889325" w14:textId="38F01317" w:rsidR="009A5A7C" w:rsidRDefault="009A5A7C" w:rsidP="00EE19DD">
      <w:pPr>
        <w:widowControl w:val="0"/>
        <w:ind w:left="720" w:hanging="720"/>
        <w:jc w:val="both"/>
        <w:rPr>
          <w:rFonts w:cs="Courier New"/>
        </w:rPr>
      </w:pPr>
      <w:r>
        <w:rPr>
          <w:rFonts w:cs="Courier New"/>
        </w:rPr>
        <w:lastRenderedPageBreak/>
        <w:tab/>
      </w:r>
      <w:r w:rsidRPr="00D0374E">
        <w:rPr>
          <w:rFonts w:cs="Courier New"/>
        </w:rPr>
        <w:t>Because utilities invest in long-lived assets, long-term business risks are of paramount concern to equity investors.  That is, the risk of not recovering the return on their investment extends far into the future.  The timing and nature of events that may lead to losses, however, also are uncertain and, consequently, those risks and their implications for the required return on equity tend to be difficult to quantify.  Regulatory commissions (like investors who commit their capital) must review a variety of quantitative and qualitative data and apply their reasoned judgment to determine how long-term risks weigh in their assessment of the market-required return on common equity.</w:t>
      </w:r>
    </w:p>
    <w:p w14:paraId="3593E5B7" w14:textId="77777777" w:rsidR="009A5A7C" w:rsidRPr="0073351E" w:rsidRDefault="009A5A7C" w:rsidP="00EE19DD">
      <w:pPr>
        <w:widowControl w:val="0"/>
        <w:ind w:left="720" w:hanging="720"/>
        <w:jc w:val="both"/>
        <w:rPr>
          <w:rFonts w:cs="Courier New"/>
        </w:rPr>
      </w:pPr>
    </w:p>
    <w:p w14:paraId="60FFC94D" w14:textId="6B648A77" w:rsidR="009A5A7C" w:rsidRPr="00170349" w:rsidRDefault="009A5A7C" w:rsidP="00216A2E">
      <w:pPr>
        <w:pStyle w:val="Heading2"/>
        <w:numPr>
          <w:ilvl w:val="0"/>
          <w:numId w:val="5"/>
        </w:numPr>
        <w:pBdr>
          <w:left w:val="none" w:sz="0" w:space="0" w:color="auto"/>
          <w:right w:val="none" w:sz="0" w:space="0" w:color="auto"/>
        </w:pBdr>
        <w:ind w:hanging="720"/>
        <w:jc w:val="left"/>
      </w:pPr>
      <w:bookmarkStart w:id="5" w:name="_Toc129962201"/>
      <w:r w:rsidRPr="00170349">
        <w:t>Financial Risk</w:t>
      </w:r>
      <w:bookmarkEnd w:id="5"/>
    </w:p>
    <w:p w14:paraId="011893DD" w14:textId="593CE71D"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6B2473">
        <w:rPr>
          <w:rFonts w:cs="Courier New"/>
        </w:rPr>
        <w:t>Please define financial risk and explain why it is important for determining a fair rate of return.</w:t>
      </w:r>
    </w:p>
    <w:p w14:paraId="26ED3A7C" w14:textId="77777777" w:rsidR="009A5A7C" w:rsidRDefault="009A5A7C" w:rsidP="00EE19DD">
      <w:pPr>
        <w:widowControl w:val="0"/>
        <w:ind w:left="720" w:hanging="720"/>
        <w:jc w:val="both"/>
        <w:rPr>
          <w:rFonts w:cs="Courier New"/>
        </w:rPr>
      </w:pPr>
    </w:p>
    <w:p w14:paraId="75E97F89" w14:textId="4A2257BF" w:rsidR="009A5A7C" w:rsidRPr="00A42BF0" w:rsidRDefault="009A5A7C" w:rsidP="00EE19DD">
      <w:pPr>
        <w:widowControl w:val="0"/>
        <w:ind w:left="720" w:hanging="720"/>
        <w:jc w:val="both"/>
        <w:rPr>
          <w:rFonts w:cs="Courier New"/>
        </w:rPr>
      </w:pPr>
      <w:r w:rsidRPr="00B23997">
        <w:rPr>
          <w:rFonts w:cs="Courier New"/>
          <w:b/>
        </w:rPr>
        <w:t>A.</w:t>
      </w:r>
      <w:r w:rsidRPr="00B23997">
        <w:rPr>
          <w:rFonts w:cs="Courier New"/>
        </w:rPr>
        <w:tab/>
      </w:r>
      <w:r w:rsidRPr="00A42BF0">
        <w:rPr>
          <w:rFonts w:cs="Courier New"/>
        </w:rPr>
        <w:t>Financial risk is the additional risk created by the introduction of debt and preferred stock into the capital structure.  The higher the proportion of debt and preferred stock in the capital structure, the higher the financial risk to common equity owners (</w:t>
      </w:r>
      <w:r w:rsidRPr="00A42BF0">
        <w:rPr>
          <w:rFonts w:cs="Courier New"/>
          <w:i/>
        </w:rPr>
        <w:t>i.e.,</w:t>
      </w:r>
      <w:r w:rsidRPr="00A42BF0">
        <w:rPr>
          <w:rFonts w:cs="Courier New"/>
        </w:rPr>
        <w:t xml:space="preserve"> failure to receive dividends due to default or other covenants).  Therefore, consistent with the basic financial principle of risk and return, common equity investors require higher returns as compensation for </w:t>
      </w:r>
      <w:r w:rsidRPr="00A42BF0">
        <w:rPr>
          <w:rFonts w:cs="Courier New"/>
        </w:rPr>
        <w:lastRenderedPageBreak/>
        <w:t>bearing higher financial risk.</w:t>
      </w:r>
    </w:p>
    <w:p w14:paraId="19CEA3F8" w14:textId="77777777" w:rsidR="009A5A7C" w:rsidRPr="0073351E" w:rsidRDefault="009A5A7C" w:rsidP="00EE19DD">
      <w:pPr>
        <w:widowControl w:val="0"/>
        <w:ind w:left="720" w:hanging="720"/>
        <w:jc w:val="both"/>
        <w:rPr>
          <w:rFonts w:cs="Courier New"/>
        </w:rPr>
      </w:pPr>
    </w:p>
    <w:p w14:paraId="27752043" w14:textId="3B38385C"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74406C">
        <w:rPr>
          <w:rFonts w:cs="Courier New"/>
        </w:rPr>
        <w:t>Can bond and credit ratings be a proxy for a firm’s combined business and financial risks to equity owners (</w:t>
      </w:r>
      <w:r w:rsidRPr="0074406C">
        <w:rPr>
          <w:rFonts w:cs="Courier New"/>
          <w:i/>
          <w:iCs/>
        </w:rPr>
        <w:t>i.e</w:t>
      </w:r>
      <w:r w:rsidRPr="0074406C">
        <w:rPr>
          <w:rFonts w:cs="Courier New"/>
        </w:rPr>
        <w:t>., investment risk)?</w:t>
      </w:r>
    </w:p>
    <w:p w14:paraId="53636289" w14:textId="77777777" w:rsidR="009A5A7C" w:rsidRDefault="009A5A7C" w:rsidP="00EE19DD">
      <w:pPr>
        <w:widowControl w:val="0"/>
        <w:ind w:left="720" w:hanging="720"/>
        <w:jc w:val="both"/>
        <w:rPr>
          <w:rFonts w:cs="Courier New"/>
        </w:rPr>
      </w:pPr>
    </w:p>
    <w:p w14:paraId="26C80474" w14:textId="7005078C" w:rsidR="009A5A7C" w:rsidRPr="00C86FF2" w:rsidRDefault="009A5A7C" w:rsidP="00EE19DD">
      <w:pPr>
        <w:widowControl w:val="0"/>
        <w:ind w:left="720" w:hanging="720"/>
        <w:jc w:val="both"/>
        <w:rPr>
          <w:rFonts w:cs="Courier New"/>
        </w:rPr>
      </w:pPr>
      <w:r w:rsidRPr="00B23997">
        <w:rPr>
          <w:rFonts w:cs="Courier New"/>
          <w:b/>
        </w:rPr>
        <w:t>A.</w:t>
      </w:r>
      <w:r w:rsidRPr="00B23997">
        <w:rPr>
          <w:rFonts w:cs="Courier New"/>
        </w:rPr>
        <w:tab/>
      </w:r>
      <w:r w:rsidRPr="00C86FF2">
        <w:rPr>
          <w:rFonts w:cs="Courier New"/>
        </w:rPr>
        <w:t>Yes, similar bond ratings/issuer credit ratings reflect, and are representative of, similar combined business and financial risks (</w:t>
      </w:r>
      <w:r w:rsidRPr="00C86FF2">
        <w:rPr>
          <w:rFonts w:cs="Courier New"/>
          <w:i/>
        </w:rPr>
        <w:t>i.e.</w:t>
      </w:r>
      <w:r w:rsidRPr="00C86FF2">
        <w:rPr>
          <w:rFonts w:cs="Courier New"/>
        </w:rPr>
        <w:t>, total risk) faced by bond investors.</w:t>
      </w:r>
      <w:r>
        <w:rPr>
          <w:rStyle w:val="EndnoteReference"/>
          <w:rFonts w:cs="Courier New"/>
        </w:rPr>
        <w:endnoteReference w:id="5"/>
      </w:r>
      <w:r w:rsidRPr="00C86FF2">
        <w:rPr>
          <w:rFonts w:cs="Courier New"/>
        </w:rPr>
        <w:t xml:space="preserve"> Although specific business or financial risks may differ between companies, the same bond/credit rating indicates that the combined risks are roughly similar from a debtholder perspective.  The caveat is that these debtholder risk measures do not translate directly to risks for common equity.</w:t>
      </w:r>
    </w:p>
    <w:p w14:paraId="625F9215" w14:textId="77777777" w:rsidR="009A5A7C" w:rsidRPr="0073351E" w:rsidRDefault="009A5A7C" w:rsidP="00EE19DD">
      <w:pPr>
        <w:widowControl w:val="0"/>
        <w:ind w:left="720" w:hanging="720"/>
        <w:jc w:val="both"/>
        <w:rPr>
          <w:rFonts w:cs="Courier New"/>
        </w:rPr>
      </w:pPr>
    </w:p>
    <w:p w14:paraId="6A1F7CAF" w14:textId="60FCE7B9"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EB38B1">
        <w:rPr>
          <w:rFonts w:cs="Courier New"/>
        </w:rPr>
        <w:t>Do ratings agencies account for company size in their bond ratings?</w:t>
      </w:r>
    </w:p>
    <w:p w14:paraId="54FF269B" w14:textId="77777777" w:rsidR="009A5A7C" w:rsidRDefault="009A5A7C" w:rsidP="00EE19DD">
      <w:pPr>
        <w:widowControl w:val="0"/>
        <w:ind w:left="720" w:hanging="720"/>
        <w:jc w:val="both"/>
        <w:rPr>
          <w:rFonts w:cs="Courier New"/>
        </w:rPr>
      </w:pPr>
    </w:p>
    <w:p w14:paraId="5B78EAC3" w14:textId="36D74348" w:rsidR="009A5A7C" w:rsidRPr="00DB787B" w:rsidRDefault="009A5A7C" w:rsidP="00EE19DD">
      <w:pPr>
        <w:widowControl w:val="0"/>
        <w:ind w:left="720" w:hanging="720"/>
        <w:jc w:val="both"/>
        <w:rPr>
          <w:rFonts w:cs="Courier New"/>
        </w:rPr>
      </w:pPr>
      <w:r w:rsidRPr="00B23997">
        <w:rPr>
          <w:rFonts w:cs="Courier New"/>
          <w:b/>
        </w:rPr>
        <w:t>A.</w:t>
      </w:r>
      <w:r w:rsidRPr="00B23997">
        <w:rPr>
          <w:rFonts w:cs="Courier New"/>
        </w:rPr>
        <w:tab/>
      </w:r>
      <w:r w:rsidRPr="00DB787B">
        <w:rPr>
          <w:rFonts w:cs="Courier New"/>
        </w:rPr>
        <w:t>No.  Neither Standard &amp; Poor’s Ratings Services (“S&amp;P”) nor Moody’s Investors Service (“Moody’s”) have minimum company size requirements for any given rating level.  This means, all else being equal, a relative size analysis must be conducted for equity investments in companies with similar bond ratings.</w:t>
      </w:r>
    </w:p>
    <w:p w14:paraId="48D32E9B" w14:textId="77777777" w:rsidR="009A5A7C" w:rsidRPr="0073351E" w:rsidRDefault="009A5A7C" w:rsidP="00EE19DD">
      <w:pPr>
        <w:widowControl w:val="0"/>
        <w:ind w:left="720" w:hanging="720"/>
        <w:jc w:val="both"/>
        <w:rPr>
          <w:rFonts w:cs="Courier New"/>
        </w:rPr>
      </w:pPr>
    </w:p>
    <w:p w14:paraId="76EC90D8" w14:textId="606A9C74" w:rsidR="009A5A7C" w:rsidRPr="00170349" w:rsidRDefault="00805765" w:rsidP="00F413CA">
      <w:pPr>
        <w:pStyle w:val="Heading1"/>
        <w:pBdr>
          <w:left w:val="none" w:sz="0" w:space="0" w:color="auto"/>
          <w:right w:val="none" w:sz="0" w:space="0" w:color="auto"/>
        </w:pBdr>
        <w:jc w:val="left"/>
      </w:pPr>
      <w:bookmarkStart w:id="6" w:name="_Toc129962202"/>
      <w:r>
        <w:lastRenderedPageBreak/>
        <w:t>Peoples</w:t>
      </w:r>
      <w:r w:rsidR="009A5A7C">
        <w:t xml:space="preserve"> and the </w:t>
      </w:r>
      <w:r w:rsidR="00F416CB">
        <w:t>Utility Proxy Group</w:t>
      </w:r>
      <w:bookmarkEnd w:id="6"/>
    </w:p>
    <w:p w14:paraId="4B1C92CC" w14:textId="14792F17"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Pr>
          <w:rFonts w:cs="Courier New"/>
        </w:rPr>
        <w:t xml:space="preserve">Are you familiar with </w:t>
      </w:r>
      <w:r w:rsidR="00805765">
        <w:rPr>
          <w:rFonts w:cs="Courier New"/>
        </w:rPr>
        <w:t>Peoples</w:t>
      </w:r>
      <w:r w:rsidR="00345DE6">
        <w:rPr>
          <w:rFonts w:cs="Courier New"/>
        </w:rPr>
        <w:t>’</w:t>
      </w:r>
      <w:r>
        <w:rPr>
          <w:rFonts w:cs="Courier New"/>
        </w:rPr>
        <w:t xml:space="preserve"> operations?</w:t>
      </w:r>
    </w:p>
    <w:p w14:paraId="22386BAF" w14:textId="77777777" w:rsidR="009A5A7C" w:rsidRDefault="009A5A7C" w:rsidP="00EE19DD">
      <w:pPr>
        <w:widowControl w:val="0"/>
        <w:ind w:left="720" w:hanging="720"/>
        <w:jc w:val="both"/>
        <w:rPr>
          <w:rFonts w:cs="Courier New"/>
        </w:rPr>
      </w:pPr>
    </w:p>
    <w:p w14:paraId="6987EEAA" w14:textId="12E4F75B" w:rsidR="009A5A7C" w:rsidRPr="0073351E" w:rsidRDefault="009A5A7C" w:rsidP="00EE19DD">
      <w:pPr>
        <w:widowControl w:val="0"/>
        <w:ind w:left="720" w:hanging="720"/>
        <w:jc w:val="both"/>
        <w:rPr>
          <w:rFonts w:cs="Courier New"/>
        </w:rPr>
      </w:pPr>
      <w:r w:rsidRPr="27F90852">
        <w:rPr>
          <w:rFonts w:cs="Courier New"/>
          <w:b/>
          <w:bCs/>
        </w:rPr>
        <w:t>A.</w:t>
      </w:r>
      <w:r w:rsidRPr="00B23997">
        <w:rPr>
          <w:rFonts w:cs="Courier New"/>
        </w:rPr>
        <w:tab/>
      </w:r>
      <w:r w:rsidRPr="000E3A2F">
        <w:rPr>
          <w:rFonts w:cs="Courier New"/>
        </w:rPr>
        <w:t>Yes</w:t>
      </w:r>
      <w:r>
        <w:rPr>
          <w:rFonts w:cs="Courier New"/>
        </w:rPr>
        <w:t xml:space="preserve">.  </w:t>
      </w:r>
      <w:r w:rsidR="00AD666B" w:rsidRPr="4BFBEA8F">
        <w:rPr>
          <w:rFonts w:cs="Courier New"/>
        </w:rPr>
        <w:t>As of the end of December</w:t>
      </w:r>
      <w:r w:rsidR="00AD666B">
        <w:rPr>
          <w:rFonts w:cs="Courier New"/>
        </w:rPr>
        <w:t>,</w:t>
      </w:r>
      <w:r w:rsidR="00AD666B" w:rsidRPr="4BFBEA8F">
        <w:rPr>
          <w:rFonts w:cs="Courier New"/>
        </w:rPr>
        <w:t xml:space="preserve"> 2022,</w:t>
      </w:r>
      <w:r w:rsidR="00411600">
        <w:rPr>
          <w:rFonts w:cs="Courier New"/>
        </w:rPr>
        <w:t xml:space="preserve"> </w:t>
      </w:r>
      <w:r w:rsidR="00805765">
        <w:rPr>
          <w:rFonts w:cs="Courier New"/>
        </w:rPr>
        <w:t>Peoples</w:t>
      </w:r>
      <w:r>
        <w:rPr>
          <w:rFonts w:cs="Courier New"/>
        </w:rPr>
        <w:t xml:space="preserve"> </w:t>
      </w:r>
      <w:r w:rsidR="00126F28">
        <w:rPr>
          <w:rFonts w:cs="Courier New"/>
        </w:rPr>
        <w:t xml:space="preserve">Gas </w:t>
      </w:r>
      <w:r w:rsidR="008053DC">
        <w:rPr>
          <w:rFonts w:cs="Courier New"/>
        </w:rPr>
        <w:t xml:space="preserve">System </w:t>
      </w:r>
      <w:r w:rsidR="00AD666B">
        <w:rPr>
          <w:rFonts w:cs="Courier New"/>
        </w:rPr>
        <w:t xml:space="preserve">was </w:t>
      </w:r>
      <w:r w:rsidR="001848A0">
        <w:rPr>
          <w:rFonts w:cs="Courier New"/>
        </w:rPr>
        <w:t>a division of Tampa Electric Company</w:t>
      </w:r>
      <w:r w:rsidR="00CB0056">
        <w:rPr>
          <w:rFonts w:cs="Courier New"/>
        </w:rPr>
        <w:t xml:space="preserve"> </w:t>
      </w:r>
      <w:r>
        <w:rPr>
          <w:rFonts w:cs="Courier New"/>
        </w:rPr>
        <w:t>provid</w:t>
      </w:r>
      <w:r w:rsidR="001848A0">
        <w:rPr>
          <w:rFonts w:cs="Courier New"/>
        </w:rPr>
        <w:t>ing</w:t>
      </w:r>
      <w:r>
        <w:rPr>
          <w:rFonts w:cs="Courier New"/>
        </w:rPr>
        <w:t xml:space="preserve"> natural gas </w:t>
      </w:r>
      <w:r w:rsidR="001848A0">
        <w:rPr>
          <w:rFonts w:cs="Courier New"/>
        </w:rPr>
        <w:t xml:space="preserve">distribution </w:t>
      </w:r>
      <w:r>
        <w:rPr>
          <w:rFonts w:cs="Courier New"/>
        </w:rPr>
        <w:t xml:space="preserve">service to </w:t>
      </w:r>
      <w:r w:rsidR="00153ACA">
        <w:rPr>
          <w:rFonts w:cs="Courier New"/>
        </w:rPr>
        <w:t>over</w:t>
      </w:r>
      <w:r>
        <w:rPr>
          <w:rFonts w:cs="Courier New"/>
        </w:rPr>
        <w:t xml:space="preserve"> </w:t>
      </w:r>
      <w:r w:rsidR="00AD666B" w:rsidRPr="4BFBEA8F">
        <w:rPr>
          <w:rFonts w:cs="Courier New"/>
        </w:rPr>
        <w:t>467</w:t>
      </w:r>
      <w:r>
        <w:rPr>
          <w:rFonts w:cs="Courier New"/>
        </w:rPr>
        <w:t>,</w:t>
      </w:r>
      <w:r w:rsidR="00AD666B">
        <w:rPr>
          <w:rFonts w:cs="Courier New"/>
        </w:rPr>
        <w:t>000</w:t>
      </w:r>
      <w:r w:rsidR="00790315">
        <w:rPr>
          <w:rFonts w:cs="Courier New"/>
        </w:rPr>
        <w:t xml:space="preserve"> </w:t>
      </w:r>
      <w:r w:rsidR="003F7929">
        <w:rPr>
          <w:rFonts w:cs="Courier New"/>
        </w:rPr>
        <w:t xml:space="preserve">residential, commercial, industrial and electric power generation </w:t>
      </w:r>
      <w:r>
        <w:rPr>
          <w:rFonts w:cs="Courier New"/>
        </w:rPr>
        <w:t>customers in the state of Florida.</w:t>
      </w:r>
      <w:r>
        <w:rPr>
          <w:rStyle w:val="EndnoteReference"/>
          <w:rFonts w:cs="Courier New"/>
        </w:rPr>
        <w:endnoteReference w:id="6"/>
      </w:r>
      <w:r>
        <w:rPr>
          <w:rFonts w:cs="Courier New"/>
        </w:rPr>
        <w:t xml:space="preserve">  </w:t>
      </w:r>
      <w:r w:rsidR="00AD666B" w:rsidRPr="4BFBEA8F">
        <w:rPr>
          <w:rFonts w:cs="Courier New"/>
        </w:rPr>
        <w:t xml:space="preserve">As of January 1, 2023, the assets of </w:t>
      </w:r>
      <w:r w:rsidR="00805765">
        <w:rPr>
          <w:rFonts w:cs="Courier New"/>
        </w:rPr>
        <w:t>Peoples</w:t>
      </w:r>
      <w:r w:rsidR="008053DC">
        <w:rPr>
          <w:rFonts w:cs="Courier New"/>
        </w:rPr>
        <w:t xml:space="preserve"> </w:t>
      </w:r>
      <w:r w:rsidR="00126F28">
        <w:rPr>
          <w:rFonts w:cs="Courier New"/>
        </w:rPr>
        <w:t xml:space="preserve">Gas </w:t>
      </w:r>
      <w:r w:rsidR="00AD666B" w:rsidRPr="4BFBEA8F">
        <w:rPr>
          <w:rFonts w:cs="Courier New"/>
        </w:rPr>
        <w:t>System</w:t>
      </w:r>
      <w:r w:rsidR="00126F28">
        <w:rPr>
          <w:rFonts w:cs="Courier New"/>
        </w:rPr>
        <w:t>, a division of Tampa Electric Company</w:t>
      </w:r>
      <w:r w:rsidR="00AD666B" w:rsidRPr="4BFBEA8F">
        <w:rPr>
          <w:rFonts w:cs="Courier New"/>
        </w:rPr>
        <w:t xml:space="preserve"> were transferred to </w:t>
      </w:r>
      <w:r w:rsidR="00805765">
        <w:rPr>
          <w:rFonts w:cs="Courier New"/>
        </w:rPr>
        <w:t>Peoples</w:t>
      </w:r>
      <w:r w:rsidR="00AD666B" w:rsidRPr="4BFBEA8F">
        <w:rPr>
          <w:rFonts w:cs="Courier New"/>
        </w:rPr>
        <w:t xml:space="preserve"> </w:t>
      </w:r>
      <w:r w:rsidR="00126F28">
        <w:rPr>
          <w:rFonts w:cs="Courier New"/>
        </w:rPr>
        <w:t xml:space="preserve">Gas </w:t>
      </w:r>
      <w:r w:rsidR="00AD666B" w:rsidRPr="4BFBEA8F">
        <w:rPr>
          <w:rFonts w:cs="Courier New"/>
        </w:rPr>
        <w:t xml:space="preserve">System, Inc., a wholly owned subsidiary of TECO Gas Operations, Inc., which </w:t>
      </w:r>
      <w:r w:rsidR="007D6934" w:rsidRPr="007D6934">
        <w:rPr>
          <w:rFonts w:cs="Courier New"/>
        </w:rPr>
        <w:t>is not publicly traded as it comprises an operating subsidiary of TECO Energy, Inc., whose ultimate parent is Emera Incorporated (“Emera”</w:t>
      </w:r>
      <w:r w:rsidR="00AD666B">
        <w:rPr>
          <w:rFonts w:cs="Courier New"/>
        </w:rPr>
        <w:t>).</w:t>
      </w:r>
      <w:r w:rsidR="00AD666B">
        <w:rPr>
          <w:rStyle w:val="EndnoteReference"/>
          <w:rFonts w:cs="Courier New"/>
        </w:rPr>
        <w:endnoteReference w:id="7"/>
      </w:r>
      <w:r w:rsidR="007D6934" w:rsidRPr="007D6934">
        <w:rPr>
          <w:rFonts w:cs="Courier New"/>
        </w:rPr>
        <w:t xml:space="preserve"> </w:t>
      </w:r>
      <w:r w:rsidR="007D6934">
        <w:rPr>
          <w:rFonts w:cs="Courier New"/>
        </w:rPr>
        <w:t xml:space="preserve"> </w:t>
      </w:r>
      <w:r w:rsidR="00F4243B">
        <w:rPr>
          <w:rFonts w:cs="Courier New"/>
        </w:rPr>
        <w:t xml:space="preserve">Emera </w:t>
      </w:r>
      <w:r w:rsidRPr="00A2185E">
        <w:rPr>
          <w:rFonts w:cs="Courier New"/>
        </w:rPr>
        <w:t xml:space="preserve">has </w:t>
      </w:r>
      <w:r w:rsidR="00F03964" w:rsidRPr="00F03964">
        <w:rPr>
          <w:rFonts w:cs="Courier New"/>
        </w:rPr>
        <w:t xml:space="preserve">electric generation, transmission and distribution operations, natural gas transmission and distribution operations, and non-regulated energy marketing operations in </w:t>
      </w:r>
      <w:r w:rsidRPr="00A2185E">
        <w:rPr>
          <w:rFonts w:cs="Courier New"/>
        </w:rPr>
        <w:t>the U.S., Canada</w:t>
      </w:r>
      <w:r w:rsidR="0011581F">
        <w:rPr>
          <w:rFonts w:cs="Courier New"/>
        </w:rPr>
        <w:t>,</w:t>
      </w:r>
      <w:r w:rsidRPr="00A2185E">
        <w:rPr>
          <w:rFonts w:cs="Courier New"/>
        </w:rPr>
        <w:t xml:space="preserve"> and Caribbean Islands.</w:t>
      </w:r>
      <w:r>
        <w:rPr>
          <w:rStyle w:val="EndnoteReference"/>
          <w:rFonts w:cs="Courier New"/>
        </w:rPr>
        <w:endnoteReference w:id="8"/>
      </w:r>
      <w:r>
        <w:rPr>
          <w:rFonts w:cs="Courier New"/>
        </w:rPr>
        <w:t xml:space="preserve">  </w:t>
      </w:r>
      <w:r w:rsidRPr="00952DCE">
        <w:rPr>
          <w:rFonts w:cs="Courier New"/>
        </w:rPr>
        <w:t>Emera is publicly traded on the Toronto Stock Exchange under ticker symbol EMA.</w:t>
      </w:r>
    </w:p>
    <w:p w14:paraId="1EDBE4A6" w14:textId="77777777" w:rsidR="009A5A7C" w:rsidRPr="0073351E" w:rsidRDefault="009A5A7C" w:rsidP="00EE19DD">
      <w:pPr>
        <w:widowControl w:val="0"/>
        <w:ind w:left="720" w:hanging="720"/>
        <w:jc w:val="both"/>
        <w:rPr>
          <w:rFonts w:cs="Courier New"/>
        </w:rPr>
      </w:pPr>
    </w:p>
    <w:p w14:paraId="075877E6" w14:textId="7A12840A"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731BAD">
        <w:rPr>
          <w:rFonts w:cs="Courier New"/>
        </w:rPr>
        <w:t xml:space="preserve">Why is it necessary to develop a proxy group when estimating the ROE for the </w:t>
      </w:r>
      <w:r w:rsidR="00805765">
        <w:rPr>
          <w:rFonts w:cs="Courier New"/>
        </w:rPr>
        <w:t>c</w:t>
      </w:r>
      <w:r w:rsidRPr="00731BAD">
        <w:rPr>
          <w:rFonts w:cs="Courier New"/>
        </w:rPr>
        <w:t>ompany?</w:t>
      </w:r>
    </w:p>
    <w:p w14:paraId="67FC7324" w14:textId="77777777" w:rsidR="009A5A7C" w:rsidRDefault="009A5A7C" w:rsidP="00EE19DD">
      <w:pPr>
        <w:widowControl w:val="0"/>
        <w:ind w:left="720" w:hanging="720"/>
        <w:jc w:val="both"/>
        <w:rPr>
          <w:rFonts w:cs="Courier New"/>
        </w:rPr>
      </w:pPr>
    </w:p>
    <w:p w14:paraId="5ADA1BF2" w14:textId="6B2F71C9" w:rsidR="009A5A7C" w:rsidRPr="00343714" w:rsidRDefault="009A5A7C" w:rsidP="00EE19DD">
      <w:pPr>
        <w:widowControl w:val="0"/>
        <w:ind w:left="720" w:hanging="720"/>
        <w:jc w:val="both"/>
        <w:rPr>
          <w:rFonts w:cs="Courier New"/>
        </w:rPr>
      </w:pPr>
      <w:r w:rsidRPr="00B23997">
        <w:rPr>
          <w:rFonts w:cs="Courier New"/>
          <w:b/>
        </w:rPr>
        <w:t>A.</w:t>
      </w:r>
      <w:r w:rsidRPr="00B23997">
        <w:rPr>
          <w:rFonts w:cs="Courier New"/>
        </w:rPr>
        <w:tab/>
      </w:r>
      <w:r w:rsidRPr="00343714">
        <w:rPr>
          <w:rFonts w:cs="Courier New"/>
        </w:rPr>
        <w:t xml:space="preserve">Because the </w:t>
      </w:r>
      <w:r w:rsidR="00012C7E">
        <w:rPr>
          <w:rFonts w:cs="Courier New"/>
        </w:rPr>
        <w:t>c</w:t>
      </w:r>
      <w:r w:rsidRPr="00343714">
        <w:rPr>
          <w:rFonts w:cs="Courier New"/>
        </w:rPr>
        <w:t xml:space="preserve">ompany is not publicly traded and does not have publicly traded equity securities, it is necessary to develop groups of publicly traded, comparable companies to serve as </w:t>
      </w:r>
      <w:r w:rsidRPr="00343714">
        <w:rPr>
          <w:rFonts w:cs="Courier New"/>
        </w:rPr>
        <w:lastRenderedPageBreak/>
        <w:t xml:space="preserve">“proxies” for the </w:t>
      </w:r>
      <w:r w:rsidR="00012C7E">
        <w:rPr>
          <w:rFonts w:cs="Courier New"/>
        </w:rPr>
        <w:t>c</w:t>
      </w:r>
      <w:r w:rsidRPr="00343714">
        <w:rPr>
          <w:rFonts w:cs="Courier New"/>
        </w:rPr>
        <w:t xml:space="preserve">ompany.  In addition to the analytical necessity of doing so, the use of proxy companies is consistent with the </w:t>
      </w:r>
      <w:r w:rsidRPr="00343714">
        <w:rPr>
          <w:rFonts w:cs="Courier New"/>
          <w:i/>
        </w:rPr>
        <w:t xml:space="preserve">Hope </w:t>
      </w:r>
      <w:r w:rsidRPr="00343714">
        <w:rPr>
          <w:rFonts w:cs="Courier New"/>
        </w:rPr>
        <w:t>and</w:t>
      </w:r>
      <w:r w:rsidRPr="00343714">
        <w:rPr>
          <w:rFonts w:cs="Courier New"/>
          <w:i/>
        </w:rPr>
        <w:t xml:space="preserve"> Bluefield</w:t>
      </w:r>
      <w:r w:rsidRPr="00343714">
        <w:rPr>
          <w:rFonts w:cs="Courier New"/>
        </w:rPr>
        <w:t xml:space="preserve"> comparable risk standards, as discussed above.  I have selected two proxy groups that, in my view, are fundamentally risk-comparable to the </w:t>
      </w:r>
      <w:r w:rsidR="00012C7E">
        <w:rPr>
          <w:rFonts w:cs="Courier New"/>
        </w:rPr>
        <w:t>c</w:t>
      </w:r>
      <w:r w:rsidRPr="00343714">
        <w:rPr>
          <w:rFonts w:cs="Courier New"/>
        </w:rPr>
        <w:t xml:space="preserve">ompany: a </w:t>
      </w:r>
      <w:r w:rsidR="00F416CB">
        <w:rPr>
          <w:rFonts w:cs="Courier New"/>
        </w:rPr>
        <w:t>Utility Proxy Group</w:t>
      </w:r>
      <w:r w:rsidR="006B52E7">
        <w:rPr>
          <w:rFonts w:cs="Courier New"/>
        </w:rPr>
        <w:t>,</w:t>
      </w:r>
      <w:r w:rsidRPr="00343714">
        <w:rPr>
          <w:rFonts w:cs="Courier New"/>
        </w:rPr>
        <w:t xml:space="preserve"> and a Non-Price Regulated Proxy Group</w:t>
      </w:r>
      <w:r w:rsidR="00C6648B">
        <w:rPr>
          <w:rFonts w:cs="Courier New"/>
        </w:rPr>
        <w:t xml:space="preserve"> that</w:t>
      </w:r>
      <w:r w:rsidRPr="00343714">
        <w:rPr>
          <w:rFonts w:cs="Courier New"/>
        </w:rPr>
        <w:t xml:space="preserve"> is comparable in total risk to the </w:t>
      </w:r>
      <w:r w:rsidR="00F416CB">
        <w:rPr>
          <w:rFonts w:cs="Courier New"/>
        </w:rPr>
        <w:t>Utility Proxy Group</w:t>
      </w:r>
      <w:r w:rsidRPr="00343714">
        <w:rPr>
          <w:rFonts w:cs="Courier New"/>
        </w:rPr>
        <w:t>.</w:t>
      </w:r>
      <w:r>
        <w:rPr>
          <w:rStyle w:val="EndnoteReference"/>
          <w:rFonts w:cs="Courier New"/>
        </w:rPr>
        <w:endnoteReference w:id="9"/>
      </w:r>
    </w:p>
    <w:p w14:paraId="7C6EF405" w14:textId="651A7B0E" w:rsidR="009A5A7C" w:rsidRDefault="009A5A7C" w:rsidP="00EE19DD">
      <w:pPr>
        <w:widowControl w:val="0"/>
        <w:ind w:left="720" w:hanging="720"/>
        <w:jc w:val="both"/>
        <w:rPr>
          <w:rFonts w:cs="Courier New"/>
        </w:rPr>
      </w:pPr>
    </w:p>
    <w:p w14:paraId="43EFB242" w14:textId="2AFBBED1" w:rsidR="009A5A7C" w:rsidRDefault="009A5A7C" w:rsidP="00EE19DD">
      <w:pPr>
        <w:widowControl w:val="0"/>
        <w:ind w:left="720" w:hanging="720"/>
        <w:jc w:val="both"/>
        <w:rPr>
          <w:rFonts w:cs="Courier New"/>
        </w:rPr>
      </w:pPr>
      <w:r>
        <w:rPr>
          <w:rFonts w:cs="Courier New"/>
        </w:rPr>
        <w:tab/>
      </w:r>
      <w:r w:rsidRPr="00431C6C">
        <w:rPr>
          <w:rFonts w:cs="Courier New"/>
        </w:rPr>
        <w:t xml:space="preserve">Even when proxy groups are carefully selected, it is common for analytical results to vary from company to company.  Despite the care taken to ensure comparability, because no two companies are identical, market expectations regarding future risks and prospects will vary within the proxy group.  It therefore is common for analytical results to reflect a seemingly wide range, even for a group of similarly situated companies.  At issue is how to estimate the ROE from within that range.  That determination will be best informed by employing a variety of sound analyses that necessarily must consider the sort of quantitative and qualitative information discussed throughout my </w:t>
      </w:r>
      <w:r w:rsidR="006C0445">
        <w:rPr>
          <w:rFonts w:cs="Courier New"/>
        </w:rPr>
        <w:t>d</w:t>
      </w:r>
      <w:r w:rsidRPr="00431C6C">
        <w:rPr>
          <w:rFonts w:cs="Courier New"/>
        </w:rPr>
        <w:t xml:space="preserve">irect </w:t>
      </w:r>
      <w:r w:rsidR="006C0445">
        <w:rPr>
          <w:rFonts w:cs="Courier New"/>
        </w:rPr>
        <w:t>t</w:t>
      </w:r>
      <w:r w:rsidRPr="00431C6C">
        <w:rPr>
          <w:rFonts w:cs="Courier New"/>
        </w:rPr>
        <w:t xml:space="preserve">estimony.  Additionally, a relative risk analysis between the </w:t>
      </w:r>
      <w:r w:rsidR="00012C7E">
        <w:rPr>
          <w:rFonts w:cs="Courier New"/>
        </w:rPr>
        <w:t>c</w:t>
      </w:r>
      <w:r w:rsidRPr="00431C6C">
        <w:rPr>
          <w:rFonts w:cs="Courier New"/>
        </w:rPr>
        <w:t xml:space="preserve">ompany and the </w:t>
      </w:r>
      <w:r w:rsidR="00F416CB">
        <w:rPr>
          <w:rFonts w:cs="Courier New"/>
        </w:rPr>
        <w:t>Utility Proxy Group</w:t>
      </w:r>
      <w:r w:rsidRPr="00431C6C">
        <w:rPr>
          <w:rFonts w:cs="Courier New"/>
        </w:rPr>
        <w:t xml:space="preserve"> must be made to determine whether or not explicit </w:t>
      </w:r>
      <w:r w:rsidR="00012C7E">
        <w:rPr>
          <w:rFonts w:cs="Courier New"/>
        </w:rPr>
        <w:t>c</w:t>
      </w:r>
      <w:r w:rsidRPr="00431C6C">
        <w:rPr>
          <w:rFonts w:cs="Courier New"/>
        </w:rPr>
        <w:t xml:space="preserve">ompany-specific adjustments need to be made to the </w:t>
      </w:r>
      <w:r w:rsidR="00F416CB">
        <w:rPr>
          <w:rFonts w:cs="Courier New"/>
        </w:rPr>
        <w:t>Utility Proxy Group</w:t>
      </w:r>
      <w:r w:rsidRPr="00431C6C">
        <w:rPr>
          <w:rFonts w:cs="Courier New"/>
        </w:rPr>
        <w:t>’s indicated results.</w:t>
      </w:r>
    </w:p>
    <w:p w14:paraId="3F97B786" w14:textId="308C21AC" w:rsidR="009A5A7C" w:rsidRDefault="009A5A7C" w:rsidP="00EE19DD">
      <w:pPr>
        <w:widowControl w:val="0"/>
        <w:ind w:left="720" w:hanging="720"/>
        <w:jc w:val="both"/>
        <w:rPr>
          <w:rFonts w:cs="Courier New"/>
        </w:rPr>
      </w:pPr>
      <w:r w:rsidRPr="00B23997">
        <w:rPr>
          <w:rFonts w:cs="Courier New"/>
          <w:b/>
        </w:rPr>
        <w:lastRenderedPageBreak/>
        <w:t>Q.</w:t>
      </w:r>
      <w:r w:rsidRPr="00B23997">
        <w:rPr>
          <w:rFonts w:cs="Courier New"/>
        </w:rPr>
        <w:tab/>
      </w:r>
      <w:r>
        <w:rPr>
          <w:rFonts w:cs="Courier New"/>
        </w:rPr>
        <w:t xml:space="preserve">Please explain how you selected the companies in the </w:t>
      </w:r>
      <w:r w:rsidR="00F416CB">
        <w:rPr>
          <w:rFonts w:cs="Courier New"/>
        </w:rPr>
        <w:t>Utility Proxy Group</w:t>
      </w:r>
      <w:r>
        <w:rPr>
          <w:rFonts w:cs="Courier New"/>
        </w:rPr>
        <w:t>.</w:t>
      </w:r>
    </w:p>
    <w:p w14:paraId="3A686DDD" w14:textId="77777777" w:rsidR="009A5A7C" w:rsidRDefault="009A5A7C" w:rsidP="00EE19DD">
      <w:pPr>
        <w:widowControl w:val="0"/>
        <w:ind w:left="720" w:hanging="720"/>
        <w:jc w:val="both"/>
        <w:rPr>
          <w:rFonts w:cs="Courier New"/>
        </w:rPr>
      </w:pPr>
    </w:p>
    <w:p w14:paraId="534B9D7D" w14:textId="60CF1E2A" w:rsidR="009A5A7C" w:rsidRPr="00F76A87" w:rsidRDefault="009A5A7C" w:rsidP="00EE19DD">
      <w:pPr>
        <w:widowControl w:val="0"/>
        <w:ind w:left="720" w:hanging="720"/>
        <w:jc w:val="both"/>
        <w:rPr>
          <w:rFonts w:cs="Courier New"/>
        </w:rPr>
      </w:pPr>
      <w:r w:rsidRPr="00B23997">
        <w:rPr>
          <w:rFonts w:cs="Courier New"/>
          <w:b/>
        </w:rPr>
        <w:t>A.</w:t>
      </w:r>
      <w:r w:rsidRPr="00B23997">
        <w:rPr>
          <w:rFonts w:cs="Courier New"/>
        </w:rPr>
        <w:tab/>
      </w:r>
      <w:r w:rsidRPr="00F76A87">
        <w:rPr>
          <w:rFonts w:cs="Courier New"/>
        </w:rPr>
        <w:t xml:space="preserve">The </w:t>
      </w:r>
      <w:r>
        <w:rPr>
          <w:rFonts w:cs="Courier New"/>
        </w:rPr>
        <w:t xml:space="preserve">companies selected for the </w:t>
      </w:r>
      <w:r w:rsidR="00F416CB">
        <w:rPr>
          <w:rFonts w:cs="Courier New"/>
        </w:rPr>
        <w:t>Utility Proxy Group</w:t>
      </w:r>
      <w:r>
        <w:rPr>
          <w:rFonts w:cs="Courier New"/>
        </w:rPr>
        <w:t xml:space="preserve"> met the following criteria:</w:t>
      </w:r>
    </w:p>
    <w:p w14:paraId="001B56A7" w14:textId="27E9444A" w:rsidR="009A5A7C" w:rsidRDefault="009A5A7C" w:rsidP="005B47B7">
      <w:pPr>
        <w:pStyle w:val="StyleListParagraphJustified"/>
        <w:widowControl w:val="0"/>
        <w:numPr>
          <w:ilvl w:val="0"/>
          <w:numId w:val="7"/>
        </w:numPr>
        <w:tabs>
          <w:tab w:val="left" w:pos="9180"/>
        </w:tabs>
        <w:ind w:left="1080" w:right="180"/>
      </w:pPr>
      <w:r w:rsidRPr="006F4042">
        <w:t xml:space="preserve">They were included in the Natural Gas Utility Group of </w:t>
      </w:r>
      <w:r w:rsidRPr="006F4042">
        <w:rPr>
          <w:i/>
        </w:rPr>
        <w:t>Value Line’s Standard Edition</w:t>
      </w:r>
      <w:r w:rsidRPr="006F4042">
        <w:rPr>
          <w:iCs/>
        </w:rPr>
        <w:t xml:space="preserve"> (</w:t>
      </w:r>
      <w:r w:rsidR="004C6FC0">
        <w:rPr>
          <w:iCs/>
        </w:rPr>
        <w:t>November 25</w:t>
      </w:r>
      <w:r w:rsidRPr="006F4042">
        <w:rPr>
          <w:iCs/>
        </w:rPr>
        <w:t>, 2022) (“</w:t>
      </w:r>
      <w:r w:rsidRPr="006F4042">
        <w:rPr>
          <w:i/>
        </w:rPr>
        <w:t>Value Line</w:t>
      </w:r>
      <w:r w:rsidRPr="006F4042">
        <w:rPr>
          <w:iCs/>
        </w:rPr>
        <w:t>”)</w:t>
      </w:r>
      <w:r w:rsidRPr="006F4042">
        <w:t>;</w:t>
      </w:r>
      <w:r>
        <w:t xml:space="preserve"> </w:t>
      </w:r>
    </w:p>
    <w:p w14:paraId="681D1635" w14:textId="6C6A5B73" w:rsidR="009A5A7C" w:rsidRDefault="009A5A7C" w:rsidP="005B47B7">
      <w:pPr>
        <w:pStyle w:val="StyleListParagraphJustified"/>
        <w:widowControl w:val="0"/>
        <w:numPr>
          <w:ilvl w:val="0"/>
          <w:numId w:val="7"/>
        </w:numPr>
        <w:tabs>
          <w:tab w:val="left" w:pos="9180"/>
        </w:tabs>
        <w:ind w:left="1080" w:right="180"/>
      </w:pPr>
      <w:r w:rsidRPr="00B1251F">
        <w:t>They have 60</w:t>
      </w:r>
      <w:r w:rsidR="002A4A24">
        <w:t xml:space="preserve"> percent</w:t>
      </w:r>
      <w:r w:rsidRPr="00B1251F">
        <w:t xml:space="preserve"> or greater of fiscal year 2021 total operating income derived from, and 60</w:t>
      </w:r>
      <w:r w:rsidR="002A4A24">
        <w:t xml:space="preserve"> percent</w:t>
      </w:r>
      <w:r w:rsidRPr="00B1251F">
        <w:t xml:space="preserve"> or greater of fiscal year 2021 total assets attributable to, regulated gas distribution operations</w:t>
      </w:r>
      <w:r w:rsidR="00F1247B">
        <w:t>;</w:t>
      </w:r>
    </w:p>
    <w:p w14:paraId="58C2A0A7" w14:textId="3211D7A4" w:rsidR="009A5A7C" w:rsidRDefault="009A5A7C" w:rsidP="005B47B7">
      <w:pPr>
        <w:pStyle w:val="StyleListParagraphJustified"/>
        <w:widowControl w:val="0"/>
        <w:numPr>
          <w:ilvl w:val="0"/>
          <w:numId w:val="7"/>
        </w:numPr>
        <w:tabs>
          <w:tab w:val="left" w:pos="9180"/>
        </w:tabs>
        <w:ind w:left="1080" w:right="180"/>
      </w:pPr>
      <w:r w:rsidRPr="008D5476">
        <w:t>At the time of preparation of this testimony, they had not publicly announced that they were involved in any major merger or acquisition activity (</w:t>
      </w:r>
      <w:r w:rsidRPr="008D5476">
        <w:rPr>
          <w:i/>
        </w:rPr>
        <w:t>i.e.</w:t>
      </w:r>
      <w:r w:rsidRPr="008D5476">
        <w:t>, one publicly-traded utility merging with or acquiring another) or any other major development;</w:t>
      </w:r>
    </w:p>
    <w:p w14:paraId="718A8F02" w14:textId="66D899A0" w:rsidR="009A5A7C" w:rsidRDefault="009A5A7C" w:rsidP="005B47B7">
      <w:pPr>
        <w:pStyle w:val="StyleListParagraphJustified"/>
        <w:widowControl w:val="0"/>
        <w:numPr>
          <w:ilvl w:val="0"/>
          <w:numId w:val="7"/>
        </w:numPr>
        <w:tabs>
          <w:tab w:val="left" w:pos="9180"/>
        </w:tabs>
        <w:ind w:left="1080" w:right="180"/>
      </w:pPr>
      <w:r w:rsidRPr="00D32537">
        <w:t>They have not cut or omitted their common dividends during the five years ended 2021 or through the time of preparation of this testimony;</w:t>
      </w:r>
    </w:p>
    <w:p w14:paraId="1E8A8298" w14:textId="6FFB61B3" w:rsidR="009A5A7C" w:rsidRDefault="009A5A7C" w:rsidP="005B47B7">
      <w:pPr>
        <w:pStyle w:val="StyleListParagraphJustified"/>
        <w:widowControl w:val="0"/>
        <w:numPr>
          <w:ilvl w:val="0"/>
          <w:numId w:val="7"/>
        </w:numPr>
        <w:tabs>
          <w:tab w:val="left" w:pos="9180"/>
        </w:tabs>
        <w:ind w:left="1080" w:right="180"/>
      </w:pPr>
      <w:r w:rsidRPr="00CE6A5E">
        <w:t xml:space="preserve">They have </w:t>
      </w:r>
      <w:r w:rsidRPr="00CE6A5E">
        <w:rPr>
          <w:i/>
        </w:rPr>
        <w:t xml:space="preserve">Value Line </w:t>
      </w:r>
      <w:r w:rsidRPr="00CE6A5E">
        <w:t>and Bloomberg Professional Services (“Bloomberg”) adjusted Beta coefficients (“beta”);</w:t>
      </w:r>
    </w:p>
    <w:p w14:paraId="19DFFD80" w14:textId="15EB6348" w:rsidR="009A5A7C" w:rsidRDefault="009A5A7C" w:rsidP="005B47B7">
      <w:pPr>
        <w:pStyle w:val="StyleListParagraphJustified"/>
        <w:widowControl w:val="0"/>
        <w:numPr>
          <w:ilvl w:val="0"/>
          <w:numId w:val="7"/>
        </w:numPr>
        <w:tabs>
          <w:tab w:val="left" w:pos="9180"/>
        </w:tabs>
        <w:ind w:left="1080" w:right="180"/>
      </w:pPr>
      <w:r w:rsidRPr="00A02C41">
        <w:t xml:space="preserve">They have positive </w:t>
      </w:r>
      <w:r w:rsidRPr="00A02C41">
        <w:rPr>
          <w:i/>
        </w:rPr>
        <w:t>Value Line</w:t>
      </w:r>
      <w:r w:rsidRPr="00A02C41">
        <w:t xml:space="preserve"> five-year dividends per share </w:t>
      </w:r>
      <w:r w:rsidR="00794A6B">
        <w:t xml:space="preserve">(“DPS”) </w:t>
      </w:r>
      <w:r w:rsidRPr="00A02C41">
        <w:t>growth rate projections; and</w:t>
      </w:r>
    </w:p>
    <w:p w14:paraId="2352AC3A" w14:textId="374B0ED9" w:rsidR="009A5A7C" w:rsidRDefault="009A5A7C" w:rsidP="005B47B7">
      <w:pPr>
        <w:pStyle w:val="StyleListParagraphJustified"/>
        <w:widowControl w:val="0"/>
        <w:numPr>
          <w:ilvl w:val="0"/>
          <w:numId w:val="7"/>
        </w:numPr>
        <w:tabs>
          <w:tab w:val="left" w:pos="9180"/>
        </w:tabs>
        <w:ind w:left="1080" w:right="180"/>
      </w:pPr>
      <w:r w:rsidRPr="003A31F0">
        <w:t xml:space="preserve">They have </w:t>
      </w:r>
      <w:r w:rsidRPr="003A31F0">
        <w:rPr>
          <w:i/>
        </w:rPr>
        <w:t>Value Line</w:t>
      </w:r>
      <w:r w:rsidRPr="003A31F0">
        <w:t xml:space="preserve">, Zacks, or Yahoo! Finance consensus </w:t>
      </w:r>
      <w:r w:rsidRPr="003A31F0">
        <w:lastRenderedPageBreak/>
        <w:t xml:space="preserve">five-year earnings per share </w:t>
      </w:r>
      <w:r w:rsidR="00487356">
        <w:t xml:space="preserve">(“EPS”) </w:t>
      </w:r>
      <w:r w:rsidRPr="003A31F0">
        <w:t>growth rate projections</w:t>
      </w:r>
      <w:r>
        <w:t>.</w:t>
      </w:r>
    </w:p>
    <w:p w14:paraId="75AE4146" w14:textId="77777777" w:rsidR="009A5A7C" w:rsidRPr="0073351E" w:rsidRDefault="009A5A7C" w:rsidP="00EE19DD">
      <w:pPr>
        <w:widowControl w:val="0"/>
        <w:ind w:left="720" w:hanging="720"/>
        <w:jc w:val="both"/>
        <w:rPr>
          <w:rFonts w:cs="Courier New"/>
        </w:rPr>
      </w:pPr>
    </w:p>
    <w:p w14:paraId="1D6B6A2F" w14:textId="5A585CBA" w:rsidR="009A5A7C" w:rsidRDefault="009A5A7C" w:rsidP="00C615C3">
      <w:pPr>
        <w:widowControl w:val="0"/>
        <w:ind w:left="720" w:hanging="720"/>
        <w:jc w:val="both"/>
        <w:rPr>
          <w:rFonts w:cs="Courier New"/>
        </w:rPr>
      </w:pPr>
      <w:r w:rsidRPr="00B23997">
        <w:rPr>
          <w:rFonts w:cs="Courier New"/>
          <w:b/>
        </w:rPr>
        <w:t>Q.</w:t>
      </w:r>
      <w:r w:rsidRPr="00B23997">
        <w:rPr>
          <w:rFonts w:cs="Courier New"/>
        </w:rPr>
        <w:tab/>
      </w:r>
      <w:r>
        <w:rPr>
          <w:rFonts w:cs="Courier New"/>
        </w:rPr>
        <w:t>Please identify the companies that met the above-stated criteria.</w:t>
      </w:r>
    </w:p>
    <w:p w14:paraId="3CD54412" w14:textId="77777777" w:rsidR="009A5A7C" w:rsidRDefault="009A5A7C" w:rsidP="00C615C3">
      <w:pPr>
        <w:widowControl w:val="0"/>
        <w:ind w:left="720" w:hanging="720"/>
        <w:jc w:val="both"/>
        <w:rPr>
          <w:rFonts w:cs="Courier New"/>
        </w:rPr>
      </w:pPr>
    </w:p>
    <w:p w14:paraId="5CA14CD1" w14:textId="335F97D6" w:rsidR="009A5A7C" w:rsidRPr="000429DA" w:rsidRDefault="009A5A7C" w:rsidP="00C615C3">
      <w:pPr>
        <w:widowControl w:val="0"/>
        <w:ind w:left="720" w:hanging="720"/>
        <w:jc w:val="both"/>
        <w:rPr>
          <w:rFonts w:cs="Courier New"/>
        </w:rPr>
      </w:pPr>
      <w:r w:rsidRPr="00B23997">
        <w:rPr>
          <w:rFonts w:cs="Courier New"/>
          <w:b/>
        </w:rPr>
        <w:t>A.</w:t>
      </w:r>
      <w:r w:rsidRPr="00B23997">
        <w:rPr>
          <w:rFonts w:cs="Courier New"/>
        </w:rPr>
        <w:tab/>
      </w:r>
      <w:r w:rsidRPr="000429DA">
        <w:rPr>
          <w:rFonts w:cs="Courier New"/>
        </w:rPr>
        <w:t>The f</w:t>
      </w:r>
      <w:r>
        <w:rPr>
          <w:rFonts w:cs="Courier New"/>
        </w:rPr>
        <w:t>ollowing six companies met these criteria</w:t>
      </w:r>
      <w:r w:rsidR="006812D9">
        <w:rPr>
          <w:rFonts w:cs="Courier New"/>
        </w:rPr>
        <w:t xml:space="preserve">: </w:t>
      </w:r>
      <w:r w:rsidR="00060F96">
        <w:rPr>
          <w:rFonts w:cs="Courier New"/>
        </w:rPr>
        <w:t>Atmos Energy Corporation (Ticker: ATO); New Jersey Resources Corporation (</w:t>
      </w:r>
      <w:r w:rsidR="00F1247B">
        <w:rPr>
          <w:rFonts w:cs="Courier New"/>
        </w:rPr>
        <w:t>Ticker</w:t>
      </w:r>
      <w:r w:rsidR="00060F96">
        <w:rPr>
          <w:rFonts w:cs="Courier New"/>
        </w:rPr>
        <w:t>: NJR); NiSource Inc. (Ticker: NI); Northwest Natural Gas Company (Ticker: NWN); ONE Gas, Inc. (Ticker: OGS); and Spire Inc. (Ticker: SR).</w:t>
      </w:r>
    </w:p>
    <w:p w14:paraId="330CC571" w14:textId="77777777" w:rsidR="009A5A7C" w:rsidRPr="0073351E" w:rsidRDefault="009A5A7C" w:rsidP="00EE19DD">
      <w:pPr>
        <w:widowControl w:val="0"/>
        <w:ind w:left="720" w:hanging="720"/>
        <w:jc w:val="both"/>
        <w:rPr>
          <w:rFonts w:cs="Courier New"/>
        </w:rPr>
      </w:pPr>
    </w:p>
    <w:p w14:paraId="65B894BA" w14:textId="4521B723" w:rsidR="009A5A7C" w:rsidRPr="000456D5" w:rsidRDefault="009A5A7C" w:rsidP="00EE19DD">
      <w:pPr>
        <w:widowControl w:val="0"/>
        <w:ind w:left="720" w:hanging="720"/>
        <w:jc w:val="both"/>
        <w:rPr>
          <w:rFonts w:cs="Courier New"/>
        </w:rPr>
      </w:pPr>
      <w:r w:rsidRPr="00B23997">
        <w:rPr>
          <w:rFonts w:cs="Courier New"/>
          <w:b/>
        </w:rPr>
        <w:t>Q.</w:t>
      </w:r>
      <w:r w:rsidRPr="00B23997">
        <w:rPr>
          <w:rFonts w:cs="Courier New"/>
        </w:rPr>
        <w:tab/>
      </w:r>
      <w:r>
        <w:rPr>
          <w:rFonts w:cs="Courier New"/>
        </w:rPr>
        <w:t xml:space="preserve">Please </w:t>
      </w:r>
      <w:r w:rsidRPr="000456D5">
        <w:rPr>
          <w:rFonts w:cs="Courier New"/>
        </w:rPr>
        <w:t xml:space="preserve">describe </w:t>
      </w:r>
      <w:r w:rsidR="00304F79" w:rsidRPr="000456D5">
        <w:rPr>
          <w:rFonts w:cs="Courier New"/>
        </w:rPr>
        <w:t xml:space="preserve">Document No. </w:t>
      </w:r>
      <w:r w:rsidRPr="000456D5">
        <w:rPr>
          <w:rFonts w:cs="Courier New"/>
        </w:rPr>
        <w:t>2, page 1.</w:t>
      </w:r>
    </w:p>
    <w:p w14:paraId="752E8B0B" w14:textId="77777777" w:rsidR="009A5A7C" w:rsidRPr="000456D5" w:rsidRDefault="009A5A7C" w:rsidP="00EE19DD">
      <w:pPr>
        <w:widowControl w:val="0"/>
        <w:ind w:left="720" w:hanging="720"/>
        <w:jc w:val="both"/>
        <w:rPr>
          <w:rFonts w:cs="Courier New"/>
        </w:rPr>
      </w:pPr>
    </w:p>
    <w:p w14:paraId="15991F48" w14:textId="04C52374" w:rsidR="009A5A7C" w:rsidRDefault="009A5A7C" w:rsidP="00EE19DD">
      <w:pPr>
        <w:widowControl w:val="0"/>
        <w:ind w:left="720" w:hanging="720"/>
        <w:jc w:val="both"/>
        <w:rPr>
          <w:rFonts w:cs="Courier New"/>
        </w:rPr>
      </w:pPr>
      <w:r w:rsidRPr="000456D5">
        <w:rPr>
          <w:rFonts w:cs="Courier New"/>
          <w:b/>
        </w:rPr>
        <w:t>A.</w:t>
      </w:r>
      <w:r w:rsidRPr="000456D5">
        <w:rPr>
          <w:rFonts w:cs="Courier New"/>
        </w:rPr>
        <w:tab/>
        <w:t xml:space="preserve">Page 1 of </w:t>
      </w:r>
      <w:r w:rsidR="00931165" w:rsidRPr="000456D5">
        <w:rPr>
          <w:rFonts w:cs="Courier New"/>
        </w:rPr>
        <w:t xml:space="preserve">Document No. </w:t>
      </w:r>
      <w:r w:rsidRPr="000456D5">
        <w:rPr>
          <w:rFonts w:cs="Courier New"/>
        </w:rPr>
        <w:t>2 contains</w:t>
      </w:r>
      <w:r w:rsidRPr="005001B0">
        <w:rPr>
          <w:rFonts w:cs="Courier New"/>
        </w:rPr>
        <w:t xml:space="preserve"> comparative capitalization and financial statistics for the </w:t>
      </w:r>
      <w:r w:rsidR="00F416CB">
        <w:rPr>
          <w:rFonts w:cs="Courier New"/>
        </w:rPr>
        <w:t>Utility Proxy Group</w:t>
      </w:r>
      <w:r w:rsidRPr="005001B0">
        <w:rPr>
          <w:rFonts w:cs="Courier New"/>
        </w:rPr>
        <w:t xml:space="preserve"> for the </w:t>
      </w:r>
      <w:r w:rsidR="00931165">
        <w:rPr>
          <w:rFonts w:cs="Courier New"/>
        </w:rPr>
        <w:t xml:space="preserve">five </w:t>
      </w:r>
      <w:r w:rsidRPr="005001B0">
        <w:rPr>
          <w:rFonts w:cs="Courier New"/>
        </w:rPr>
        <w:t xml:space="preserve">years </w:t>
      </w:r>
      <w:r w:rsidR="00931165">
        <w:rPr>
          <w:rFonts w:cs="Courier New"/>
        </w:rPr>
        <w:t xml:space="preserve">from </w:t>
      </w:r>
      <w:r w:rsidRPr="00931165">
        <w:rPr>
          <w:rFonts w:cs="Courier New"/>
        </w:rPr>
        <w:t>2017 to 2021</w:t>
      </w:r>
      <w:r w:rsidRPr="005001B0">
        <w:rPr>
          <w:rFonts w:cs="Courier New"/>
        </w:rPr>
        <w:t>.</w:t>
      </w:r>
    </w:p>
    <w:p w14:paraId="5194FF59" w14:textId="498406DE" w:rsidR="009A5A7C" w:rsidRDefault="009A5A7C" w:rsidP="00EE19DD">
      <w:pPr>
        <w:widowControl w:val="0"/>
        <w:ind w:left="720" w:hanging="720"/>
        <w:jc w:val="both"/>
        <w:rPr>
          <w:rFonts w:cs="Courier New"/>
        </w:rPr>
      </w:pPr>
    </w:p>
    <w:p w14:paraId="154E244E" w14:textId="51C726F8" w:rsidR="009A5A7C" w:rsidRPr="000456D5" w:rsidRDefault="009A5A7C" w:rsidP="00EE19DD">
      <w:pPr>
        <w:widowControl w:val="0"/>
        <w:ind w:left="720" w:hanging="720"/>
        <w:jc w:val="both"/>
        <w:rPr>
          <w:rFonts w:cs="Courier New"/>
        </w:rPr>
      </w:pPr>
      <w:r>
        <w:rPr>
          <w:rFonts w:cs="Courier New"/>
        </w:rPr>
        <w:tab/>
      </w:r>
      <w:r w:rsidRPr="001272DB">
        <w:rPr>
          <w:rFonts w:cs="Courier New"/>
        </w:rPr>
        <w:t xml:space="preserve">During the five-year period ending </w:t>
      </w:r>
      <w:r w:rsidRPr="00C70A56">
        <w:rPr>
          <w:rFonts w:cs="Courier New"/>
        </w:rPr>
        <w:t>December 31, 2021</w:t>
      </w:r>
      <w:r w:rsidRPr="001272DB">
        <w:rPr>
          <w:rFonts w:cs="Courier New"/>
        </w:rPr>
        <w:t xml:space="preserve">, the historically achieved average earnings rate on book common equity for the group </w:t>
      </w:r>
      <w:r w:rsidRPr="000456D5">
        <w:rPr>
          <w:rFonts w:cs="Courier New"/>
        </w:rPr>
        <w:t>was 8.13</w:t>
      </w:r>
      <w:r w:rsidR="002A4A24" w:rsidRPr="000456D5">
        <w:rPr>
          <w:rFonts w:cs="Courier New"/>
        </w:rPr>
        <w:t xml:space="preserve"> percent</w:t>
      </w:r>
      <w:r w:rsidRPr="000456D5">
        <w:rPr>
          <w:rFonts w:cs="Courier New"/>
        </w:rPr>
        <w:t xml:space="preserve">, the average common equity ratio based on total permanent capital (excluding short-term debt) was </w:t>
      </w:r>
      <w:r w:rsidR="00763AAB" w:rsidRPr="000456D5">
        <w:rPr>
          <w:rFonts w:cs="Courier New"/>
        </w:rPr>
        <w:t>50.13</w:t>
      </w:r>
      <w:r w:rsidR="00D6197E" w:rsidRPr="000456D5">
        <w:rPr>
          <w:rFonts w:cs="Courier New"/>
        </w:rPr>
        <w:t xml:space="preserve"> </w:t>
      </w:r>
      <w:r w:rsidR="002A4A24" w:rsidRPr="000456D5">
        <w:rPr>
          <w:rFonts w:cs="Courier New"/>
        </w:rPr>
        <w:t>percent</w:t>
      </w:r>
      <w:r w:rsidRPr="000456D5">
        <w:rPr>
          <w:rFonts w:cs="Courier New"/>
        </w:rPr>
        <w:t>, and the average dividend payout ratio was 63.67</w:t>
      </w:r>
      <w:r w:rsidR="002A4A24" w:rsidRPr="000456D5">
        <w:rPr>
          <w:rFonts w:cs="Courier New"/>
        </w:rPr>
        <w:t xml:space="preserve"> percent</w:t>
      </w:r>
      <w:r w:rsidRPr="000456D5">
        <w:rPr>
          <w:rFonts w:cs="Courier New"/>
        </w:rPr>
        <w:t>.</w:t>
      </w:r>
    </w:p>
    <w:p w14:paraId="6011B661" w14:textId="77777777" w:rsidR="009A5A7C" w:rsidRPr="000456D5" w:rsidRDefault="009A5A7C" w:rsidP="00EE19DD">
      <w:pPr>
        <w:widowControl w:val="0"/>
        <w:ind w:left="720" w:hanging="720"/>
        <w:jc w:val="both"/>
        <w:rPr>
          <w:rFonts w:cs="Courier New"/>
        </w:rPr>
      </w:pPr>
    </w:p>
    <w:p w14:paraId="69086177" w14:textId="78B530FC" w:rsidR="009A5A7C" w:rsidRPr="0073351E" w:rsidRDefault="009A5A7C" w:rsidP="00EE19DD">
      <w:pPr>
        <w:widowControl w:val="0"/>
        <w:ind w:left="720" w:hanging="720"/>
        <w:jc w:val="both"/>
        <w:rPr>
          <w:rFonts w:cs="Courier New"/>
        </w:rPr>
      </w:pPr>
      <w:r w:rsidRPr="000456D5">
        <w:rPr>
          <w:rFonts w:cs="Courier New"/>
        </w:rPr>
        <w:lastRenderedPageBreak/>
        <w:tab/>
        <w:t>Total debt to earnings before interest, taxes, depreciation, and amortization for the years 2017 to 2021 ranges between 4.96 and 7.65 times, with an average of 5.</w:t>
      </w:r>
      <w:r w:rsidR="0001344D">
        <w:rPr>
          <w:rFonts w:cs="Courier New"/>
        </w:rPr>
        <w:t>75</w:t>
      </w:r>
      <w:r w:rsidRPr="000456D5">
        <w:rPr>
          <w:rFonts w:cs="Courier New"/>
        </w:rPr>
        <w:t xml:space="preserve"> times</w:t>
      </w:r>
      <w:r w:rsidRPr="001272DB">
        <w:rPr>
          <w:rFonts w:cs="Courier New"/>
        </w:rPr>
        <w:t xml:space="preserve">.  Funds from operations </w:t>
      </w:r>
      <w:r w:rsidRPr="000456D5">
        <w:rPr>
          <w:rFonts w:cs="Courier New"/>
        </w:rPr>
        <w:t xml:space="preserve">to total debt range from </w:t>
      </w:r>
      <w:r w:rsidR="00763AAB" w:rsidRPr="000456D5">
        <w:rPr>
          <w:rFonts w:cs="Courier New"/>
        </w:rPr>
        <w:t>11.70</w:t>
      </w:r>
      <w:r w:rsidR="002A4A24" w:rsidRPr="000456D5">
        <w:rPr>
          <w:rFonts w:cs="Courier New"/>
        </w:rPr>
        <w:t xml:space="preserve"> percent</w:t>
      </w:r>
      <w:r w:rsidRPr="000456D5">
        <w:rPr>
          <w:rFonts w:cs="Courier New"/>
        </w:rPr>
        <w:t xml:space="preserve"> to 24.21</w:t>
      </w:r>
      <w:r w:rsidR="002A4A24" w:rsidRPr="000456D5">
        <w:rPr>
          <w:rFonts w:cs="Courier New"/>
        </w:rPr>
        <w:t xml:space="preserve"> percent</w:t>
      </w:r>
      <w:r w:rsidRPr="000456D5">
        <w:rPr>
          <w:rFonts w:cs="Courier New"/>
        </w:rPr>
        <w:t>, with an average of 15.</w:t>
      </w:r>
      <w:r w:rsidR="00763AAB" w:rsidRPr="000456D5">
        <w:rPr>
          <w:rFonts w:cs="Courier New"/>
        </w:rPr>
        <w:t xml:space="preserve">94 </w:t>
      </w:r>
      <w:r w:rsidR="002A4A24" w:rsidRPr="000456D5">
        <w:rPr>
          <w:rFonts w:cs="Courier New"/>
        </w:rPr>
        <w:t>percent</w:t>
      </w:r>
      <w:r w:rsidRPr="000456D5">
        <w:rPr>
          <w:rFonts w:cs="Courier New"/>
        </w:rPr>
        <w:t>.</w:t>
      </w:r>
    </w:p>
    <w:p w14:paraId="2E51D16B" w14:textId="77777777" w:rsidR="009A5A7C" w:rsidRPr="0073351E" w:rsidRDefault="009A5A7C" w:rsidP="00EE19DD">
      <w:pPr>
        <w:widowControl w:val="0"/>
        <w:ind w:left="720" w:hanging="720"/>
        <w:jc w:val="both"/>
        <w:rPr>
          <w:rFonts w:cs="Courier New"/>
        </w:rPr>
      </w:pPr>
    </w:p>
    <w:p w14:paraId="74C97021" w14:textId="54CFBA7A" w:rsidR="009A5A7C" w:rsidRPr="00170349" w:rsidRDefault="009A5A7C" w:rsidP="00F413CA">
      <w:pPr>
        <w:pStyle w:val="Heading1"/>
        <w:pBdr>
          <w:left w:val="none" w:sz="0" w:space="0" w:color="auto"/>
          <w:right w:val="none" w:sz="0" w:space="0" w:color="auto"/>
        </w:pBdr>
        <w:jc w:val="left"/>
      </w:pPr>
      <w:bookmarkStart w:id="8" w:name="_Toc129962203"/>
      <w:r>
        <w:t>Capital Structure</w:t>
      </w:r>
      <w:bookmarkEnd w:id="8"/>
    </w:p>
    <w:p w14:paraId="432C7F8E" w14:textId="7C7F5405"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Pr>
          <w:rFonts w:cs="Courier New"/>
        </w:rPr>
        <w:t xml:space="preserve">What is </w:t>
      </w:r>
      <w:r w:rsidR="00805765">
        <w:rPr>
          <w:rFonts w:cs="Courier New"/>
        </w:rPr>
        <w:t>Peoples</w:t>
      </w:r>
      <w:r w:rsidR="008C28B9">
        <w:rPr>
          <w:rFonts w:cs="Courier New"/>
        </w:rPr>
        <w:t>’</w:t>
      </w:r>
      <w:r>
        <w:rPr>
          <w:rFonts w:cs="Courier New"/>
        </w:rPr>
        <w:t xml:space="preserve"> requested capital structure?</w:t>
      </w:r>
    </w:p>
    <w:p w14:paraId="1D2638D0" w14:textId="77777777" w:rsidR="009A5A7C" w:rsidRDefault="009A5A7C" w:rsidP="00EE19DD">
      <w:pPr>
        <w:widowControl w:val="0"/>
        <w:ind w:left="720" w:hanging="720"/>
        <w:jc w:val="both"/>
        <w:rPr>
          <w:rFonts w:cs="Courier New"/>
        </w:rPr>
      </w:pPr>
    </w:p>
    <w:p w14:paraId="5E5E4F50" w14:textId="0DB37E46"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00805765">
        <w:rPr>
          <w:rFonts w:cs="Courier New"/>
        </w:rPr>
        <w:t>Peoples</w:t>
      </w:r>
      <w:r w:rsidR="00913D19">
        <w:rPr>
          <w:rFonts w:cs="Courier New"/>
        </w:rPr>
        <w:t>’</w:t>
      </w:r>
      <w:r w:rsidRPr="00F74A43">
        <w:rPr>
          <w:rFonts w:cs="Courier New"/>
        </w:rPr>
        <w:t xml:space="preserve"> requested capital structure consists of </w:t>
      </w:r>
      <w:r w:rsidR="00D86B10">
        <w:rPr>
          <w:rFonts w:cs="Courier New"/>
        </w:rPr>
        <w:t>40.48</w:t>
      </w:r>
      <w:r w:rsidR="007270F8">
        <w:rPr>
          <w:rFonts w:cs="Courier New"/>
        </w:rPr>
        <w:t xml:space="preserve"> percent</w:t>
      </w:r>
      <w:r w:rsidRPr="00F74A43">
        <w:rPr>
          <w:rFonts w:cs="Courier New"/>
        </w:rPr>
        <w:t xml:space="preserve"> long-term debt </w:t>
      </w:r>
      <w:r w:rsidRPr="00D86B10">
        <w:rPr>
          <w:rFonts w:cs="Courier New"/>
        </w:rPr>
        <w:t xml:space="preserve">and </w:t>
      </w:r>
      <w:r w:rsidR="002606EE" w:rsidRPr="00D86B10">
        <w:rPr>
          <w:rFonts w:cs="Courier New"/>
        </w:rPr>
        <w:t>54.</w:t>
      </w:r>
      <w:r w:rsidR="00D86B10" w:rsidRPr="00D86B10">
        <w:rPr>
          <w:rFonts w:cs="Courier New"/>
        </w:rPr>
        <w:t>68</w:t>
      </w:r>
      <w:r w:rsidR="007270F8">
        <w:rPr>
          <w:rFonts w:cs="Courier New"/>
        </w:rPr>
        <w:t xml:space="preserve"> percent</w:t>
      </w:r>
      <w:r w:rsidRPr="00F74A43">
        <w:rPr>
          <w:rFonts w:cs="Courier New"/>
        </w:rPr>
        <w:t xml:space="preserve"> common equity, </w:t>
      </w:r>
      <w:r w:rsidR="00127406">
        <w:rPr>
          <w:rFonts w:cs="Courier New"/>
        </w:rPr>
        <w:t xml:space="preserve">as </w:t>
      </w:r>
      <w:r w:rsidR="00C253C9" w:rsidRPr="00C253C9">
        <w:rPr>
          <w:rFonts w:cs="Courier New"/>
        </w:rPr>
        <w:t>shown in my Document No. 1 that is based on data included in the company’s MFR Schedule G-3, page 2</w:t>
      </w:r>
      <w:r w:rsidR="00F44D51" w:rsidRPr="121746E3">
        <w:rPr>
          <w:rFonts w:cs="Courier New"/>
        </w:rPr>
        <w:t>.</w:t>
      </w:r>
    </w:p>
    <w:p w14:paraId="6315A267" w14:textId="77777777" w:rsidR="009A5A7C" w:rsidRPr="0073351E" w:rsidRDefault="009A5A7C" w:rsidP="00EE19DD">
      <w:pPr>
        <w:widowControl w:val="0"/>
        <w:ind w:left="720" w:hanging="720"/>
        <w:jc w:val="both"/>
        <w:rPr>
          <w:rFonts w:cs="Courier New"/>
        </w:rPr>
      </w:pPr>
    </w:p>
    <w:p w14:paraId="4B6311AE" w14:textId="69791A7C" w:rsidR="009A5A7C" w:rsidRDefault="009A5A7C" w:rsidP="007D7EBF">
      <w:pPr>
        <w:widowControl w:val="0"/>
        <w:ind w:left="720" w:hanging="720"/>
        <w:jc w:val="both"/>
        <w:rPr>
          <w:rFonts w:cs="Courier New"/>
        </w:rPr>
      </w:pPr>
      <w:r w:rsidRPr="008F0CEC">
        <w:rPr>
          <w:rFonts w:cs="Courier New"/>
          <w:b/>
        </w:rPr>
        <w:t>Q.</w:t>
      </w:r>
      <w:r w:rsidR="007D7EBF">
        <w:rPr>
          <w:rFonts w:cs="Courier New"/>
          <w:b/>
        </w:rPr>
        <w:tab/>
      </w:r>
      <w:r>
        <w:rPr>
          <w:rFonts w:cs="Courier New"/>
        </w:rPr>
        <w:t>What are the typical sources of capital commonly considered in establishing a utility’s capital structure?</w:t>
      </w:r>
    </w:p>
    <w:p w14:paraId="32AA10FC" w14:textId="77777777" w:rsidR="009A5A7C" w:rsidRDefault="009A5A7C" w:rsidP="00EE19DD">
      <w:pPr>
        <w:widowControl w:val="0"/>
        <w:ind w:left="720" w:hanging="720"/>
        <w:jc w:val="both"/>
        <w:rPr>
          <w:rFonts w:cs="Courier New"/>
        </w:rPr>
      </w:pPr>
    </w:p>
    <w:p w14:paraId="415A660B" w14:textId="349FB691"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Pr>
          <w:rFonts w:cs="Courier New"/>
        </w:rPr>
        <w:t xml:space="preserve">Common equity and long-term debt are commonly considered in establishing a utility’s capital structure, because they are the typical sources of capital financing </w:t>
      </w:r>
      <w:r w:rsidR="00F44D51">
        <w:rPr>
          <w:rFonts w:cs="Courier New"/>
        </w:rPr>
        <w:t xml:space="preserve">for </w:t>
      </w:r>
      <w:r>
        <w:rPr>
          <w:rFonts w:cs="Courier New"/>
        </w:rPr>
        <w:t>a utility’s rate base.</w:t>
      </w:r>
    </w:p>
    <w:p w14:paraId="44098D50" w14:textId="77777777" w:rsidR="009A5A7C" w:rsidRPr="0073351E" w:rsidRDefault="009A5A7C" w:rsidP="00EE19DD">
      <w:pPr>
        <w:widowControl w:val="0"/>
        <w:ind w:left="720" w:hanging="720"/>
        <w:jc w:val="both"/>
        <w:rPr>
          <w:rFonts w:cs="Courier New"/>
        </w:rPr>
      </w:pPr>
    </w:p>
    <w:p w14:paraId="3D7EFD52" w14:textId="3C0D2FA9"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Pr>
          <w:rFonts w:cs="Courier New"/>
        </w:rPr>
        <w:t>Please explain.</w:t>
      </w:r>
    </w:p>
    <w:p w14:paraId="4BC902AA" w14:textId="77777777" w:rsidR="009A5A7C" w:rsidRDefault="009A5A7C" w:rsidP="00EE19DD">
      <w:pPr>
        <w:widowControl w:val="0"/>
        <w:ind w:left="720" w:hanging="720"/>
        <w:jc w:val="both"/>
        <w:rPr>
          <w:rFonts w:cs="Courier New"/>
        </w:rPr>
      </w:pPr>
    </w:p>
    <w:p w14:paraId="616FC5B7" w14:textId="77777777" w:rsidR="009A5A7C" w:rsidRPr="00315A39" w:rsidRDefault="009A5A7C" w:rsidP="00EE19DD">
      <w:pPr>
        <w:widowControl w:val="0"/>
        <w:ind w:left="720" w:hanging="720"/>
        <w:jc w:val="both"/>
        <w:rPr>
          <w:rFonts w:cs="Courier New"/>
        </w:rPr>
      </w:pPr>
      <w:r w:rsidRPr="00B23997">
        <w:rPr>
          <w:rFonts w:cs="Courier New"/>
          <w:b/>
        </w:rPr>
        <w:t>A.</w:t>
      </w:r>
      <w:r w:rsidRPr="00B23997">
        <w:rPr>
          <w:rFonts w:cs="Courier New"/>
        </w:rPr>
        <w:tab/>
      </w:r>
      <w:r w:rsidRPr="00315A39">
        <w:rPr>
          <w:rFonts w:cs="Courier New"/>
        </w:rPr>
        <w:t xml:space="preserve">Long-lived assets are typically financed with long-lived </w:t>
      </w:r>
      <w:r w:rsidRPr="00315A39">
        <w:rPr>
          <w:rFonts w:cs="Courier New"/>
        </w:rPr>
        <w:lastRenderedPageBreak/>
        <w:t>securities, so that the overall term structure of the utility’s long-term liabilities (both debt and equity) closely match the life of the assets being financed.  As stated by Brigham and Houston:</w:t>
      </w:r>
    </w:p>
    <w:p w14:paraId="7977FF5B" w14:textId="69996983" w:rsidR="009A5A7C" w:rsidRPr="0073351E" w:rsidRDefault="009A5A7C" w:rsidP="003B1E8D">
      <w:pPr>
        <w:widowControl w:val="0"/>
        <w:ind w:left="1440" w:right="720" w:hanging="1440"/>
        <w:jc w:val="both"/>
        <w:rPr>
          <w:rFonts w:cs="Courier New"/>
        </w:rPr>
      </w:pPr>
      <w:r>
        <w:rPr>
          <w:rFonts w:cs="Courier New"/>
        </w:rPr>
        <w:tab/>
      </w:r>
      <w:r w:rsidRPr="00315A39">
        <w:rPr>
          <w:rFonts w:cs="Courier New"/>
        </w:rPr>
        <w:t>In practice, firms don’t finance each specific asset with a type of capital that has a maturity equal to the asset’s life.  However, academic studies do show that most firms tend to finance short-term assets from short-term sources and long-term assets from long-term sources.</w:t>
      </w:r>
      <w:r>
        <w:rPr>
          <w:rStyle w:val="EndnoteReference"/>
          <w:rFonts w:cs="Courier New"/>
        </w:rPr>
        <w:endnoteReference w:id="10"/>
      </w:r>
    </w:p>
    <w:p w14:paraId="0B8C50D4" w14:textId="0F01FB75" w:rsidR="009A5A7C" w:rsidRDefault="009A5A7C" w:rsidP="00EE19DD">
      <w:pPr>
        <w:widowControl w:val="0"/>
        <w:ind w:left="720" w:hanging="720"/>
        <w:jc w:val="both"/>
        <w:rPr>
          <w:rFonts w:cs="Courier New"/>
        </w:rPr>
      </w:pPr>
    </w:p>
    <w:p w14:paraId="5A186B21" w14:textId="79E3F69F" w:rsidR="009A5A7C" w:rsidRDefault="009A5A7C" w:rsidP="00EE19DD">
      <w:pPr>
        <w:widowControl w:val="0"/>
        <w:ind w:left="720" w:hanging="720"/>
        <w:jc w:val="both"/>
        <w:rPr>
          <w:rFonts w:cs="Courier New"/>
        </w:rPr>
      </w:pPr>
      <w:r>
        <w:rPr>
          <w:rFonts w:cs="Courier New"/>
        </w:rPr>
        <w:tab/>
      </w:r>
      <w:r w:rsidRPr="00766715">
        <w:rPr>
          <w:rFonts w:cs="Courier New"/>
        </w:rPr>
        <w:t>Whereas short-term debt has a maturity of one year or less, long-term debt may have maturities of 30 years or longer.  Although there are practical financing constraints, such as the need to “stagger” long-term debt maturities, the general objective is to extend the average life of long-term debt.  Still, long-term debt has a finite life, which is likely to be less than the life of the assets included in rate base.  Common equity, on the other hand, is outstanding into perpetuity.  Thus, common equity more accurately matches the life of the going concern of the utility, which is also assumed to operate in perpetuity.  Consequently, it is both typical and important for utilities to have significant proportions of common equity in their capital structures.</w:t>
      </w:r>
    </w:p>
    <w:p w14:paraId="6DDB6199" w14:textId="77777777" w:rsidR="009A5A7C" w:rsidRPr="0073351E" w:rsidRDefault="009A5A7C" w:rsidP="00EE19DD">
      <w:pPr>
        <w:widowControl w:val="0"/>
        <w:ind w:left="720" w:hanging="720"/>
        <w:jc w:val="both"/>
        <w:rPr>
          <w:rFonts w:cs="Courier New"/>
        </w:rPr>
      </w:pPr>
    </w:p>
    <w:p w14:paraId="210597C7" w14:textId="22FD56AA" w:rsidR="009A5A7C" w:rsidRDefault="009A5A7C" w:rsidP="00EE19DD">
      <w:pPr>
        <w:widowControl w:val="0"/>
        <w:ind w:left="720" w:hanging="720"/>
        <w:jc w:val="both"/>
        <w:rPr>
          <w:rFonts w:cs="Courier New"/>
        </w:rPr>
      </w:pPr>
      <w:r w:rsidRPr="00B23997">
        <w:rPr>
          <w:rFonts w:cs="Courier New"/>
          <w:b/>
        </w:rPr>
        <w:lastRenderedPageBreak/>
        <w:t>Q.</w:t>
      </w:r>
      <w:r w:rsidRPr="00B23997">
        <w:rPr>
          <w:rFonts w:cs="Courier New"/>
        </w:rPr>
        <w:tab/>
      </w:r>
      <w:r>
        <w:rPr>
          <w:rFonts w:cs="Courier New"/>
        </w:rPr>
        <w:t xml:space="preserve">Why is it important that the </w:t>
      </w:r>
      <w:r w:rsidR="00E06A1B">
        <w:rPr>
          <w:rFonts w:cs="Courier New"/>
        </w:rPr>
        <w:t>c</w:t>
      </w:r>
      <w:r>
        <w:rPr>
          <w:rFonts w:cs="Courier New"/>
        </w:rPr>
        <w:t xml:space="preserve">ompany’s </w:t>
      </w:r>
      <w:r w:rsidR="00EF2B8A">
        <w:rPr>
          <w:rFonts w:cs="Courier New"/>
        </w:rPr>
        <w:t>requested</w:t>
      </w:r>
      <w:r>
        <w:rPr>
          <w:rFonts w:cs="Courier New"/>
        </w:rPr>
        <w:t xml:space="preserve"> capital structure, consisting of </w:t>
      </w:r>
      <w:r w:rsidR="00D86B10">
        <w:rPr>
          <w:rFonts w:cs="Courier New"/>
        </w:rPr>
        <w:t xml:space="preserve">40.48 </w:t>
      </w:r>
      <w:r w:rsidR="00AE7E9F">
        <w:rPr>
          <w:rFonts w:cs="Courier New"/>
        </w:rPr>
        <w:t>percent</w:t>
      </w:r>
      <w:r>
        <w:rPr>
          <w:rFonts w:cs="Courier New"/>
        </w:rPr>
        <w:t xml:space="preserve"> long-term debt and </w:t>
      </w:r>
      <w:r w:rsidR="003563FA" w:rsidRPr="00D86B10">
        <w:rPr>
          <w:rFonts w:cs="Courier New"/>
        </w:rPr>
        <w:t>54.</w:t>
      </w:r>
      <w:r w:rsidR="00D86B10">
        <w:rPr>
          <w:rFonts w:cs="Courier New"/>
        </w:rPr>
        <w:t>68</w:t>
      </w:r>
      <w:r w:rsidR="00AE7E9F">
        <w:rPr>
          <w:rFonts w:cs="Courier New"/>
        </w:rPr>
        <w:t xml:space="preserve"> percent</w:t>
      </w:r>
      <w:r>
        <w:rPr>
          <w:rFonts w:cs="Courier New"/>
        </w:rPr>
        <w:t xml:space="preserve"> common equity, be authorized in this proceeding?</w:t>
      </w:r>
    </w:p>
    <w:p w14:paraId="6E9C810F" w14:textId="77777777" w:rsidR="009A5A7C" w:rsidRDefault="009A5A7C" w:rsidP="00EE19DD">
      <w:pPr>
        <w:widowControl w:val="0"/>
        <w:ind w:left="720" w:hanging="720"/>
        <w:jc w:val="both"/>
        <w:rPr>
          <w:rFonts w:cs="Courier New"/>
        </w:rPr>
      </w:pPr>
    </w:p>
    <w:p w14:paraId="0A68C6F8" w14:textId="5DEA8068"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4C7363">
        <w:rPr>
          <w:rFonts w:cs="Courier New"/>
        </w:rPr>
        <w:t xml:space="preserve">In order to </w:t>
      </w:r>
      <w:r w:rsidR="00CD677D">
        <w:rPr>
          <w:rFonts w:cs="Courier New"/>
        </w:rPr>
        <w:t xml:space="preserve">continue to </w:t>
      </w:r>
      <w:r w:rsidRPr="004C7363">
        <w:rPr>
          <w:rFonts w:cs="Courier New"/>
        </w:rPr>
        <w:t xml:space="preserve">provide safe and reliable service to its customers, </w:t>
      </w:r>
      <w:r w:rsidR="00805765">
        <w:rPr>
          <w:rFonts w:cs="Courier New"/>
        </w:rPr>
        <w:t>Peoples</w:t>
      </w:r>
      <w:r w:rsidRPr="004C7363">
        <w:rPr>
          <w:rFonts w:cs="Courier New"/>
        </w:rPr>
        <w:t xml:space="preserve"> must meet the needs and serve the interests of its various stakeholders, including </w:t>
      </w:r>
      <w:r w:rsidR="00C50B11">
        <w:rPr>
          <w:rFonts w:cs="Courier New"/>
        </w:rPr>
        <w:t xml:space="preserve">its </w:t>
      </w:r>
      <w:r w:rsidRPr="004C7363">
        <w:rPr>
          <w:rFonts w:cs="Courier New"/>
        </w:rPr>
        <w:t xml:space="preserve">customers, shareholders, and bondholders.  The interests of these stakeholder groups are aligned with maintaining a healthy balance sheet, strong credit ratings, and a supportive regulatory environment, so that the </w:t>
      </w:r>
      <w:r w:rsidR="00012C7E">
        <w:rPr>
          <w:rFonts w:cs="Courier New"/>
        </w:rPr>
        <w:t>c</w:t>
      </w:r>
      <w:r w:rsidRPr="004C7363">
        <w:rPr>
          <w:rFonts w:cs="Courier New"/>
        </w:rPr>
        <w:t>ompany has access to capital on reasonable terms in order to make necessary investments.</w:t>
      </w:r>
    </w:p>
    <w:p w14:paraId="672CB1B7" w14:textId="77777777" w:rsidR="009A5A7C" w:rsidRPr="004C7363" w:rsidRDefault="009A5A7C" w:rsidP="00EE19DD">
      <w:pPr>
        <w:widowControl w:val="0"/>
        <w:ind w:left="720" w:hanging="720"/>
        <w:jc w:val="both"/>
        <w:rPr>
          <w:rFonts w:cs="Courier New"/>
        </w:rPr>
      </w:pPr>
    </w:p>
    <w:p w14:paraId="05101F81" w14:textId="429E7A79" w:rsidR="009A5A7C" w:rsidRPr="0073351E" w:rsidRDefault="009A5A7C" w:rsidP="00EE19DD">
      <w:pPr>
        <w:widowControl w:val="0"/>
        <w:ind w:left="720" w:hanging="720"/>
        <w:jc w:val="both"/>
        <w:rPr>
          <w:rFonts w:cs="Courier New"/>
        </w:rPr>
      </w:pPr>
      <w:r>
        <w:rPr>
          <w:rFonts w:cs="Courier New"/>
        </w:rPr>
        <w:tab/>
      </w:r>
      <w:r w:rsidRPr="004C7363">
        <w:rPr>
          <w:rFonts w:cs="Courier New"/>
        </w:rPr>
        <w:t xml:space="preserve">Safe and reliable service cannot be maintained at a reasonable cost if utilities do not have the financial flexibility and strength to access competitive financing markets on reasonable terms.  The authorization of a capital structure that understates the </w:t>
      </w:r>
      <w:r w:rsidR="00012C7E">
        <w:rPr>
          <w:rFonts w:cs="Courier New"/>
        </w:rPr>
        <w:t>c</w:t>
      </w:r>
      <w:r w:rsidRPr="004C7363">
        <w:rPr>
          <w:rFonts w:cs="Courier New"/>
        </w:rPr>
        <w:t xml:space="preserve">ompany’s actual common equity will weaken the financial condition of its operations and adversely impact the </w:t>
      </w:r>
      <w:r w:rsidR="00012C7E">
        <w:rPr>
          <w:rFonts w:cs="Courier New"/>
        </w:rPr>
        <w:t>c</w:t>
      </w:r>
      <w:r w:rsidRPr="004C7363">
        <w:rPr>
          <w:rFonts w:cs="Courier New"/>
        </w:rPr>
        <w:t xml:space="preserve">ompany’s ability to address expenses and investments, to the detriment of customers and shareholders.  Safe and reliable service for customers cannot be sustained over the long term if the interests of </w:t>
      </w:r>
      <w:r w:rsidRPr="004C7363">
        <w:rPr>
          <w:rFonts w:cs="Courier New"/>
        </w:rPr>
        <w:lastRenderedPageBreak/>
        <w:t>shareholders and bondholders are minimized such that the public interest is not optimized.</w:t>
      </w:r>
    </w:p>
    <w:p w14:paraId="56953F80" w14:textId="77777777" w:rsidR="009A5A7C" w:rsidRPr="0073351E" w:rsidRDefault="009A5A7C" w:rsidP="00EE19DD">
      <w:pPr>
        <w:widowControl w:val="0"/>
        <w:ind w:left="720" w:hanging="720"/>
        <w:jc w:val="both"/>
        <w:rPr>
          <w:rFonts w:cs="Courier New"/>
        </w:rPr>
      </w:pPr>
    </w:p>
    <w:p w14:paraId="27C4C59F" w14:textId="6E196DB0" w:rsidR="00CD677D" w:rsidRPr="00027952" w:rsidRDefault="00CD677D" w:rsidP="00656D9B">
      <w:pPr>
        <w:keepNext/>
        <w:keepLines/>
        <w:widowControl w:val="0"/>
        <w:ind w:left="720" w:hanging="720"/>
        <w:jc w:val="both"/>
        <w:rPr>
          <w:rFonts w:cs="Courier New"/>
        </w:rPr>
      </w:pPr>
      <w:r w:rsidRPr="00B23997">
        <w:rPr>
          <w:rFonts w:cs="Courier New"/>
          <w:b/>
        </w:rPr>
        <w:t>Q.</w:t>
      </w:r>
      <w:r w:rsidRPr="00B23997">
        <w:rPr>
          <w:rFonts w:cs="Courier New"/>
        </w:rPr>
        <w:tab/>
      </w:r>
      <w:r w:rsidRPr="00C90EC6">
        <w:rPr>
          <w:rFonts w:cs="Courier New"/>
        </w:rPr>
        <w:t xml:space="preserve">How does the </w:t>
      </w:r>
      <w:r w:rsidR="00E06A1B">
        <w:rPr>
          <w:rFonts w:cs="Courier New"/>
        </w:rPr>
        <w:t>c</w:t>
      </w:r>
      <w:r w:rsidRPr="00C90EC6">
        <w:rPr>
          <w:rFonts w:cs="Courier New"/>
        </w:rPr>
        <w:t xml:space="preserve">ompany’s </w:t>
      </w:r>
      <w:r>
        <w:rPr>
          <w:rFonts w:cs="Courier New"/>
        </w:rPr>
        <w:t>requested</w:t>
      </w:r>
      <w:r w:rsidRPr="00C90EC6">
        <w:rPr>
          <w:rFonts w:cs="Courier New"/>
        </w:rPr>
        <w:t xml:space="preserve"> common equity ratio of </w:t>
      </w:r>
      <w:r w:rsidRPr="00573A2F">
        <w:rPr>
          <w:rFonts w:cs="Courier New"/>
        </w:rPr>
        <w:t>54.</w:t>
      </w:r>
      <w:r w:rsidR="007D7EBF" w:rsidRPr="00027952">
        <w:rPr>
          <w:rFonts w:cs="Courier New"/>
        </w:rPr>
        <w:t xml:space="preserve">68 </w:t>
      </w:r>
      <w:r w:rsidRPr="00027952">
        <w:rPr>
          <w:rFonts w:cs="Courier New"/>
        </w:rPr>
        <w:t>percent compare with the common equity ratios maintained by the Utility Proxy Group?</w:t>
      </w:r>
    </w:p>
    <w:p w14:paraId="42DE2A12" w14:textId="77777777" w:rsidR="00CD677D" w:rsidRPr="00027952" w:rsidRDefault="00CD677D" w:rsidP="00656D9B">
      <w:pPr>
        <w:keepNext/>
        <w:keepLines/>
        <w:widowControl w:val="0"/>
        <w:ind w:left="720" w:hanging="720"/>
        <w:jc w:val="both"/>
        <w:rPr>
          <w:rFonts w:cs="Courier New"/>
        </w:rPr>
      </w:pPr>
    </w:p>
    <w:p w14:paraId="6000CF0D" w14:textId="7E1D958B" w:rsidR="00CD677D" w:rsidRDefault="00CD677D" w:rsidP="00CD677D">
      <w:pPr>
        <w:widowControl w:val="0"/>
        <w:ind w:left="720" w:hanging="720"/>
        <w:jc w:val="both"/>
        <w:rPr>
          <w:rFonts w:cs="Courier New"/>
        </w:rPr>
      </w:pPr>
      <w:r w:rsidRPr="00027952">
        <w:rPr>
          <w:rFonts w:cs="Courier New"/>
          <w:b/>
        </w:rPr>
        <w:t>A.</w:t>
      </w:r>
      <w:r w:rsidRPr="00027952">
        <w:rPr>
          <w:rFonts w:cs="Courier New"/>
        </w:rPr>
        <w:tab/>
        <w:t xml:space="preserve">The </w:t>
      </w:r>
      <w:r w:rsidR="00012C7E">
        <w:rPr>
          <w:rFonts w:cs="Courier New"/>
        </w:rPr>
        <w:t>c</w:t>
      </w:r>
      <w:r w:rsidRPr="00027952">
        <w:rPr>
          <w:rFonts w:cs="Courier New"/>
        </w:rPr>
        <w:t xml:space="preserve">ompany’s requested ratemaking common equity ratio of </w:t>
      </w:r>
      <w:r w:rsidRPr="00573A2F">
        <w:rPr>
          <w:rFonts w:cs="Courier New"/>
        </w:rPr>
        <w:t>54.</w:t>
      </w:r>
      <w:r w:rsidR="007D7EBF" w:rsidRPr="00027952">
        <w:rPr>
          <w:rFonts w:cs="Courier New"/>
        </w:rPr>
        <w:t xml:space="preserve">68 </w:t>
      </w:r>
      <w:r w:rsidRPr="00027952">
        <w:rPr>
          <w:rFonts w:cs="Courier New"/>
        </w:rPr>
        <w:t>percent is reasonable and consistent with the range of common equity ratios maintained by the Utility Proxy Group.</w:t>
      </w:r>
    </w:p>
    <w:p w14:paraId="1A140FC0" w14:textId="77777777" w:rsidR="00CD677D" w:rsidRDefault="00CD677D" w:rsidP="00CD677D">
      <w:pPr>
        <w:widowControl w:val="0"/>
        <w:ind w:left="720" w:hanging="720"/>
        <w:jc w:val="both"/>
        <w:rPr>
          <w:rFonts w:cs="Courier New"/>
        </w:rPr>
      </w:pPr>
    </w:p>
    <w:p w14:paraId="0EACED0E" w14:textId="4EFC2806" w:rsidR="00CD677D" w:rsidRDefault="00CD677D" w:rsidP="00CD677D">
      <w:pPr>
        <w:widowControl w:val="0"/>
        <w:ind w:left="720" w:hanging="720"/>
        <w:jc w:val="both"/>
        <w:rPr>
          <w:rFonts w:cs="Courier New"/>
        </w:rPr>
      </w:pPr>
      <w:r>
        <w:rPr>
          <w:rFonts w:cs="Courier New"/>
        </w:rPr>
        <w:tab/>
      </w:r>
      <w:r w:rsidRPr="00F812B0">
        <w:rPr>
          <w:rFonts w:cs="Courier New"/>
        </w:rPr>
        <w:t xml:space="preserve">As shown on </w:t>
      </w:r>
      <w:r w:rsidRPr="005432BA">
        <w:rPr>
          <w:rFonts w:cs="Courier New"/>
        </w:rPr>
        <w:t xml:space="preserve">page 2 </w:t>
      </w:r>
      <w:r w:rsidRPr="000456D5">
        <w:rPr>
          <w:rFonts w:cs="Courier New"/>
        </w:rPr>
        <w:t>of Document No. 2, common</w:t>
      </w:r>
      <w:r w:rsidRPr="00F812B0">
        <w:rPr>
          <w:rFonts w:cs="Courier New"/>
        </w:rPr>
        <w:t xml:space="preserve"> equity ratios for the Utility </w:t>
      </w:r>
      <w:r w:rsidRPr="006414E1">
        <w:rPr>
          <w:rFonts w:cs="Courier New"/>
        </w:rPr>
        <w:t xml:space="preserve">Proxy Group </w:t>
      </w:r>
      <w:r w:rsidRPr="000456D5">
        <w:rPr>
          <w:rFonts w:cs="Courier New"/>
        </w:rPr>
        <w:t xml:space="preserve">range from 33.36 percent to </w:t>
      </w:r>
      <w:r w:rsidR="00127406" w:rsidRPr="000456D5">
        <w:rPr>
          <w:rFonts w:cs="Courier New"/>
        </w:rPr>
        <w:t>60.65</w:t>
      </w:r>
      <w:r w:rsidRPr="000456D5">
        <w:rPr>
          <w:rFonts w:cs="Courier New"/>
        </w:rPr>
        <w:t xml:space="preserve"> percent for fiscal year 2021.</w:t>
      </w:r>
      <w:r w:rsidR="005F242F" w:rsidRPr="000456D5">
        <w:rPr>
          <w:rStyle w:val="EndnoteReference"/>
          <w:rFonts w:cs="Courier New"/>
        </w:rPr>
        <w:endnoteReference w:id="11"/>
      </w:r>
      <w:r w:rsidRPr="000456D5">
        <w:rPr>
          <w:rFonts w:cs="Courier New"/>
        </w:rPr>
        <w:t xml:space="preserve">  I also considered </w:t>
      </w:r>
      <w:r w:rsidRPr="000456D5">
        <w:rPr>
          <w:rFonts w:cs="Courier New"/>
          <w:i/>
        </w:rPr>
        <w:t xml:space="preserve">Value Line </w:t>
      </w:r>
      <w:r w:rsidRPr="000456D5">
        <w:rPr>
          <w:rFonts w:cs="Courier New"/>
        </w:rPr>
        <w:t xml:space="preserve">projected capital structures for the Utility Proxy Group for 2025-2027.  That analysis </w:t>
      </w:r>
      <w:r w:rsidR="00230A46" w:rsidRPr="000456D5">
        <w:rPr>
          <w:rFonts w:cs="Courier New"/>
        </w:rPr>
        <w:t>show</w:t>
      </w:r>
      <w:r w:rsidR="00230A46">
        <w:rPr>
          <w:rFonts w:cs="Courier New"/>
        </w:rPr>
        <w:t>ed</w:t>
      </w:r>
      <w:r w:rsidR="00230A46" w:rsidRPr="000456D5">
        <w:rPr>
          <w:rFonts w:cs="Courier New"/>
        </w:rPr>
        <w:t xml:space="preserve"> </w:t>
      </w:r>
      <w:r w:rsidRPr="000456D5">
        <w:rPr>
          <w:rFonts w:cs="Courier New"/>
        </w:rPr>
        <w:t>a range of projected common equity ratios between 39.50 percent and 60.00</w:t>
      </w:r>
      <w:r w:rsidRPr="00497DB1">
        <w:rPr>
          <w:rFonts w:cs="Courier New"/>
        </w:rPr>
        <w:t xml:space="preserve"> percent for the Utility Proxy Group (</w:t>
      </w:r>
      <w:r w:rsidRPr="00497DB1">
        <w:rPr>
          <w:rFonts w:cs="Courier New"/>
          <w:i/>
          <w:iCs/>
        </w:rPr>
        <w:t>see</w:t>
      </w:r>
      <w:r w:rsidRPr="000456D5">
        <w:rPr>
          <w:rFonts w:cs="Courier New"/>
        </w:rPr>
        <w:t>, pages 2 through 7 of Document No. 3).</w:t>
      </w:r>
    </w:p>
    <w:p w14:paraId="1B0EDD52" w14:textId="77777777" w:rsidR="00CD677D" w:rsidRDefault="00CD677D" w:rsidP="00CD677D">
      <w:pPr>
        <w:widowControl w:val="0"/>
        <w:ind w:left="720" w:hanging="720"/>
        <w:jc w:val="both"/>
        <w:rPr>
          <w:rFonts w:cs="Courier New"/>
        </w:rPr>
      </w:pPr>
    </w:p>
    <w:p w14:paraId="244D6536" w14:textId="1A614B00" w:rsidR="00CD677D" w:rsidRPr="0073351E" w:rsidRDefault="00CD677D" w:rsidP="00656D9B">
      <w:pPr>
        <w:ind w:left="720" w:hanging="720"/>
        <w:jc w:val="both"/>
        <w:rPr>
          <w:rFonts w:cs="Courier New"/>
        </w:rPr>
      </w:pPr>
      <w:r>
        <w:rPr>
          <w:rFonts w:cs="Courier New"/>
        </w:rPr>
        <w:tab/>
      </w:r>
      <w:r w:rsidRPr="00F760C9">
        <w:rPr>
          <w:rFonts w:cs="Courier New"/>
        </w:rPr>
        <w:t xml:space="preserve">In addition to comparing the </w:t>
      </w:r>
      <w:r w:rsidR="00012C7E">
        <w:rPr>
          <w:rFonts w:cs="Courier New"/>
        </w:rPr>
        <w:t>c</w:t>
      </w:r>
      <w:r w:rsidRPr="00F760C9">
        <w:rPr>
          <w:rFonts w:cs="Courier New"/>
        </w:rPr>
        <w:t xml:space="preserve">ompany’s proposed common equity ratio with common equity ratios currently and expected to be maintained by the </w:t>
      </w:r>
      <w:r w:rsidR="00F416CB">
        <w:rPr>
          <w:rFonts w:cs="Courier New"/>
        </w:rPr>
        <w:t>Utility Proxy Group</w:t>
      </w:r>
      <w:r w:rsidRPr="00F760C9">
        <w:rPr>
          <w:rFonts w:cs="Courier New"/>
        </w:rPr>
        <w:t xml:space="preserve">, I also compared the </w:t>
      </w:r>
      <w:r w:rsidR="00012C7E">
        <w:rPr>
          <w:rFonts w:cs="Courier New"/>
        </w:rPr>
        <w:t>c</w:t>
      </w:r>
      <w:r w:rsidRPr="00F760C9">
        <w:rPr>
          <w:rFonts w:cs="Courier New"/>
        </w:rPr>
        <w:t xml:space="preserve">ompany’s proposed common equity ratio with the equity ratios maintained by the operating subsidiaries of the </w:t>
      </w:r>
      <w:r w:rsidR="00F416CB">
        <w:rPr>
          <w:rFonts w:cs="Courier New"/>
        </w:rPr>
        <w:t xml:space="preserve">Utility Proxy </w:t>
      </w:r>
      <w:r w:rsidR="00F416CB">
        <w:rPr>
          <w:rFonts w:cs="Courier New"/>
        </w:rPr>
        <w:lastRenderedPageBreak/>
        <w:t>Group</w:t>
      </w:r>
      <w:r w:rsidRPr="00F760C9">
        <w:rPr>
          <w:rFonts w:cs="Courier New"/>
        </w:rPr>
        <w:t xml:space="preserve">.  As shown on </w:t>
      </w:r>
      <w:r w:rsidRPr="005432BA">
        <w:rPr>
          <w:rFonts w:cs="Courier New"/>
        </w:rPr>
        <w:t xml:space="preserve">page </w:t>
      </w:r>
      <w:r w:rsidRPr="000456D5">
        <w:rPr>
          <w:rFonts w:cs="Courier New"/>
        </w:rPr>
        <w:t xml:space="preserve">3 of Document No. 2, common equity ratios of the operating utility subsidiaries of the companies in the </w:t>
      </w:r>
      <w:r w:rsidR="00F416CB" w:rsidRPr="000456D5">
        <w:rPr>
          <w:rFonts w:cs="Courier New"/>
        </w:rPr>
        <w:t>Utility Proxy Group</w:t>
      </w:r>
      <w:r w:rsidRPr="000456D5">
        <w:rPr>
          <w:rFonts w:cs="Courier New"/>
        </w:rPr>
        <w:t xml:space="preserve"> range from 38.74 percent to 58.48 percent for fiscal year 2021.</w:t>
      </w:r>
    </w:p>
    <w:p w14:paraId="48309AF7" w14:textId="77777777" w:rsidR="00CD677D" w:rsidRPr="0073351E" w:rsidRDefault="00CD677D" w:rsidP="00CD677D">
      <w:pPr>
        <w:widowControl w:val="0"/>
        <w:ind w:left="720" w:hanging="720"/>
        <w:jc w:val="both"/>
        <w:rPr>
          <w:rFonts w:cs="Courier New"/>
        </w:rPr>
      </w:pPr>
    </w:p>
    <w:p w14:paraId="0BB5C11D" w14:textId="0E882AC9" w:rsidR="00CD677D" w:rsidRPr="00027952" w:rsidRDefault="00CD677D" w:rsidP="00CD677D">
      <w:pPr>
        <w:widowControl w:val="0"/>
        <w:ind w:left="720" w:hanging="720"/>
        <w:jc w:val="both"/>
        <w:rPr>
          <w:rFonts w:cs="Courier New"/>
        </w:rPr>
      </w:pPr>
      <w:r w:rsidRPr="00B23997">
        <w:rPr>
          <w:rFonts w:cs="Courier New"/>
          <w:b/>
        </w:rPr>
        <w:t>Q.</w:t>
      </w:r>
      <w:r w:rsidRPr="00B23997">
        <w:rPr>
          <w:rFonts w:cs="Courier New"/>
        </w:rPr>
        <w:tab/>
      </w:r>
      <w:r w:rsidRPr="00340476">
        <w:rPr>
          <w:rFonts w:cs="Courier New"/>
        </w:rPr>
        <w:t xml:space="preserve">Given the range of equity ratios present within </w:t>
      </w:r>
      <w:r w:rsidRPr="00027952">
        <w:rPr>
          <w:rFonts w:cs="Courier New"/>
        </w:rPr>
        <w:t xml:space="preserve">the </w:t>
      </w:r>
      <w:r w:rsidR="00F416CB" w:rsidRPr="00027952">
        <w:rPr>
          <w:rFonts w:cs="Courier New"/>
        </w:rPr>
        <w:t>Utility Proxy Group</w:t>
      </w:r>
      <w:r w:rsidRPr="00027952">
        <w:rPr>
          <w:rFonts w:cs="Courier New"/>
        </w:rPr>
        <w:t xml:space="preserve">, is </w:t>
      </w:r>
      <w:r w:rsidR="00230A46">
        <w:rPr>
          <w:rFonts w:cs="Courier New"/>
        </w:rPr>
        <w:t xml:space="preserve">the </w:t>
      </w:r>
      <w:r w:rsidR="00230A46" w:rsidRPr="00027952">
        <w:rPr>
          <w:rFonts w:cs="Courier New"/>
        </w:rPr>
        <w:t xml:space="preserve">equity ratio of </w:t>
      </w:r>
      <w:r w:rsidR="00230A46" w:rsidRPr="00573A2F">
        <w:rPr>
          <w:rFonts w:cs="Courier New"/>
        </w:rPr>
        <w:t>54.</w:t>
      </w:r>
      <w:r w:rsidR="00230A46" w:rsidRPr="00027952">
        <w:rPr>
          <w:rFonts w:cs="Courier New"/>
        </w:rPr>
        <w:t xml:space="preserve">68 percent proposed </w:t>
      </w:r>
      <w:r w:rsidR="00230A46">
        <w:rPr>
          <w:rFonts w:cs="Courier New"/>
        </w:rPr>
        <w:t xml:space="preserve">by </w:t>
      </w:r>
      <w:r w:rsidR="00805765">
        <w:rPr>
          <w:rFonts w:cs="Courier New"/>
        </w:rPr>
        <w:t>Peoples</w:t>
      </w:r>
      <w:r w:rsidRPr="00027952">
        <w:rPr>
          <w:rFonts w:cs="Courier New"/>
        </w:rPr>
        <w:t xml:space="preserve"> appropriate for ratemaking purposes?</w:t>
      </w:r>
    </w:p>
    <w:p w14:paraId="56BE1EAB" w14:textId="77777777" w:rsidR="00CD677D" w:rsidRPr="00027952" w:rsidRDefault="00CD677D" w:rsidP="00CD677D">
      <w:pPr>
        <w:widowControl w:val="0"/>
        <w:ind w:left="720" w:hanging="720"/>
        <w:jc w:val="both"/>
        <w:rPr>
          <w:rFonts w:cs="Courier New"/>
        </w:rPr>
      </w:pPr>
    </w:p>
    <w:p w14:paraId="56AB7B9C" w14:textId="1D95BAB8" w:rsidR="00CD677D" w:rsidRPr="0073351E" w:rsidRDefault="00CD677D" w:rsidP="00CD677D">
      <w:pPr>
        <w:widowControl w:val="0"/>
        <w:ind w:left="720" w:hanging="720"/>
        <w:jc w:val="both"/>
        <w:rPr>
          <w:rFonts w:cs="Courier New"/>
        </w:rPr>
      </w:pPr>
      <w:r w:rsidRPr="00027952">
        <w:rPr>
          <w:rFonts w:cs="Courier New"/>
          <w:b/>
        </w:rPr>
        <w:t>A.</w:t>
      </w:r>
      <w:r w:rsidRPr="00027952">
        <w:rPr>
          <w:rFonts w:cs="Courier New"/>
        </w:rPr>
        <w:tab/>
        <w:t>Yes, it is.</w:t>
      </w:r>
    </w:p>
    <w:p w14:paraId="0BB1E252" w14:textId="77777777" w:rsidR="00CD677D" w:rsidRPr="0073351E" w:rsidRDefault="00CD677D" w:rsidP="00CD677D">
      <w:pPr>
        <w:widowControl w:val="0"/>
        <w:ind w:left="720" w:hanging="720"/>
        <w:jc w:val="both"/>
        <w:rPr>
          <w:rFonts w:cs="Courier New"/>
        </w:rPr>
      </w:pPr>
    </w:p>
    <w:p w14:paraId="1D794C79" w14:textId="67DABE23" w:rsidR="009A5A7C" w:rsidRPr="00170349" w:rsidRDefault="009A5A7C" w:rsidP="00F413CA">
      <w:pPr>
        <w:pStyle w:val="Heading1"/>
        <w:pBdr>
          <w:left w:val="none" w:sz="0" w:space="0" w:color="auto"/>
          <w:right w:val="none" w:sz="0" w:space="0" w:color="auto"/>
        </w:pBdr>
        <w:jc w:val="left"/>
      </w:pPr>
      <w:bookmarkStart w:id="9" w:name="_Toc129962204"/>
      <w:r>
        <w:t>Common Equity Cost Rate Model</w:t>
      </w:r>
      <w:bookmarkEnd w:id="9"/>
    </w:p>
    <w:p w14:paraId="151A52C9" w14:textId="22D97B67"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347552">
        <w:rPr>
          <w:rFonts w:cs="Courier New"/>
        </w:rPr>
        <w:t>Is it important that cost of common equity models be market-based?</w:t>
      </w:r>
    </w:p>
    <w:p w14:paraId="2DE6AB55" w14:textId="77777777" w:rsidR="009A5A7C" w:rsidRDefault="009A5A7C" w:rsidP="00EE19DD">
      <w:pPr>
        <w:widowControl w:val="0"/>
        <w:ind w:left="720" w:hanging="720"/>
        <w:jc w:val="both"/>
        <w:rPr>
          <w:rFonts w:cs="Courier New"/>
        </w:rPr>
      </w:pPr>
    </w:p>
    <w:p w14:paraId="0547AC35" w14:textId="11F5C250"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000CED">
        <w:rPr>
          <w:rFonts w:cs="Courier New"/>
        </w:rPr>
        <w:t>Yes.  While a public utility operates a regulated business within the states in which it operates, it still must compete for equity in capital markets along with all other companies of comparable risk, which includes non-utilities.  The cost of common equity is thus determined based on equity market expectations for the returns of those companies.  If an individual investor is choosing to invest their capital among companies of comparable risk, they will choose a company providing a higher return over a company providing a lower return.</w:t>
      </w:r>
    </w:p>
    <w:p w14:paraId="2D2F2847" w14:textId="44D71342" w:rsidR="009A5A7C" w:rsidRDefault="009A5A7C" w:rsidP="00656D9B">
      <w:pPr>
        <w:keepNext/>
        <w:widowControl w:val="0"/>
        <w:ind w:left="720" w:hanging="720"/>
        <w:jc w:val="both"/>
        <w:rPr>
          <w:rFonts w:cs="Courier New"/>
        </w:rPr>
      </w:pPr>
      <w:r w:rsidRPr="00B23997">
        <w:rPr>
          <w:rFonts w:cs="Courier New"/>
          <w:b/>
        </w:rPr>
        <w:lastRenderedPageBreak/>
        <w:t>Q.</w:t>
      </w:r>
      <w:r w:rsidRPr="00B23997">
        <w:rPr>
          <w:rFonts w:cs="Courier New"/>
        </w:rPr>
        <w:tab/>
      </w:r>
      <w:r w:rsidRPr="00F77903">
        <w:rPr>
          <w:rFonts w:cs="Courier New"/>
        </w:rPr>
        <w:t>Are your cost of common equity models market-based?</w:t>
      </w:r>
    </w:p>
    <w:p w14:paraId="0528FFB7" w14:textId="77777777" w:rsidR="009A5A7C" w:rsidRDefault="009A5A7C" w:rsidP="00EE19DD">
      <w:pPr>
        <w:widowControl w:val="0"/>
        <w:ind w:left="720" w:hanging="720"/>
        <w:jc w:val="both"/>
        <w:rPr>
          <w:rFonts w:cs="Courier New"/>
        </w:rPr>
      </w:pPr>
    </w:p>
    <w:p w14:paraId="10E6D3BE" w14:textId="272DB531"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CC3329">
        <w:rPr>
          <w:rFonts w:cs="Courier New"/>
        </w:rPr>
        <w:t>Yes.  The DCF model uses market prices in developing the model’s dividend yield component.  The RPM uses bond ratings and expected bond yields that reflect the market’s assessment of bond/credit risk.  In addition, betas (β), which reflect the market/systematic risk component of equity risk premium, are derived from regression analyses of market prices.  The Predictive Risk Premium Model (“PRPM”) uses monthly market returns in addition to expectations of the risk-free rate.  The CAPM is market-based for many of the same reasons that the RPM is market-based (</w:t>
      </w:r>
      <w:r w:rsidRPr="00CC3329">
        <w:rPr>
          <w:rFonts w:cs="Courier New"/>
          <w:i/>
          <w:iCs/>
        </w:rPr>
        <w:t>i.e.</w:t>
      </w:r>
      <w:r w:rsidRPr="00CC3329">
        <w:rPr>
          <w:rFonts w:cs="Courier New"/>
        </w:rPr>
        <w:t>, the use of expected bond yields and betas).  Selection criteria for comparable risk</w:t>
      </w:r>
      <w:r w:rsidR="00B66832">
        <w:rPr>
          <w:rFonts w:cs="Courier New"/>
        </w:rPr>
        <w:t>,</w:t>
      </w:r>
      <w:r w:rsidRPr="00CC3329">
        <w:rPr>
          <w:rFonts w:cs="Courier New"/>
        </w:rPr>
        <w:t xml:space="preserve"> non-price regulated companies are based on regression analyses of market prices and reflect the market’s assessment of total risk.</w:t>
      </w:r>
    </w:p>
    <w:p w14:paraId="0255E5B6" w14:textId="77777777" w:rsidR="009A5A7C" w:rsidRPr="0073351E" w:rsidRDefault="009A5A7C" w:rsidP="00EE19DD">
      <w:pPr>
        <w:widowControl w:val="0"/>
        <w:ind w:left="720" w:hanging="720"/>
        <w:jc w:val="both"/>
        <w:rPr>
          <w:rFonts w:cs="Courier New"/>
        </w:rPr>
      </w:pPr>
    </w:p>
    <w:p w14:paraId="345A27BF" w14:textId="7585E852"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A46BA2">
        <w:rPr>
          <w:rFonts w:cs="Courier New"/>
        </w:rPr>
        <w:t xml:space="preserve">What analytical approaches did you use to determine the </w:t>
      </w:r>
      <w:r w:rsidR="00E06A1B">
        <w:rPr>
          <w:rFonts w:cs="Courier New"/>
        </w:rPr>
        <w:t>c</w:t>
      </w:r>
      <w:r w:rsidRPr="00A46BA2">
        <w:rPr>
          <w:rFonts w:cs="Courier New"/>
        </w:rPr>
        <w:t>ompany’s ROE?</w:t>
      </w:r>
    </w:p>
    <w:p w14:paraId="01B39FD0" w14:textId="77777777" w:rsidR="009A5A7C" w:rsidRDefault="009A5A7C" w:rsidP="00EE19DD">
      <w:pPr>
        <w:widowControl w:val="0"/>
        <w:ind w:left="720" w:hanging="720"/>
        <w:jc w:val="both"/>
        <w:rPr>
          <w:rFonts w:cs="Courier New"/>
        </w:rPr>
      </w:pPr>
    </w:p>
    <w:p w14:paraId="39372350" w14:textId="505312A5" w:rsidR="009A5A7C" w:rsidRPr="00CE1F9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CE1F9C">
        <w:rPr>
          <w:rFonts w:cs="Courier New"/>
        </w:rPr>
        <w:t xml:space="preserve">As discussed earlier, I have relied on the DCF model, the RPM, and the CAPM, which I applied to the </w:t>
      </w:r>
      <w:r w:rsidR="00F416CB">
        <w:rPr>
          <w:rFonts w:cs="Courier New"/>
        </w:rPr>
        <w:t>Utility Proxy Group</w:t>
      </w:r>
      <w:r w:rsidRPr="00CE1F9C">
        <w:rPr>
          <w:rFonts w:cs="Courier New"/>
        </w:rPr>
        <w:t xml:space="preserve"> described above.  I also applied these same models to </w:t>
      </w:r>
      <w:r w:rsidR="004553C6">
        <w:rPr>
          <w:rFonts w:cs="Courier New"/>
        </w:rPr>
        <w:t xml:space="preserve">a </w:t>
      </w:r>
      <w:r w:rsidRPr="00CE1F9C">
        <w:rPr>
          <w:rFonts w:cs="Courier New"/>
        </w:rPr>
        <w:t>Non-Price Regulated Proxy Group described later in this section.</w:t>
      </w:r>
    </w:p>
    <w:p w14:paraId="6F91E5E3" w14:textId="77777777" w:rsidR="009A5A7C" w:rsidRDefault="009A5A7C" w:rsidP="00EE19DD">
      <w:pPr>
        <w:widowControl w:val="0"/>
        <w:ind w:left="720" w:hanging="720"/>
        <w:jc w:val="both"/>
        <w:rPr>
          <w:rFonts w:cs="Courier New"/>
        </w:rPr>
      </w:pPr>
    </w:p>
    <w:p w14:paraId="63069560" w14:textId="1DFF2F8A" w:rsidR="009A5A7C" w:rsidRPr="0073351E" w:rsidRDefault="009A5A7C" w:rsidP="00EE19DD">
      <w:pPr>
        <w:widowControl w:val="0"/>
        <w:ind w:left="720" w:hanging="720"/>
        <w:jc w:val="both"/>
        <w:rPr>
          <w:rFonts w:cs="Courier New"/>
        </w:rPr>
      </w:pPr>
      <w:r>
        <w:rPr>
          <w:rFonts w:cs="Courier New"/>
        </w:rPr>
        <w:lastRenderedPageBreak/>
        <w:tab/>
      </w:r>
      <w:r w:rsidRPr="00CE1F9C">
        <w:rPr>
          <w:rFonts w:cs="Courier New"/>
        </w:rPr>
        <w:t>I rely on these models because reasonable investors use a variety of tools and do not rely exclusively on a single source of information or single model.  Moreover, the models on which I rely focus on different aspects of return requirements and provide different insights to investors’ views of risk and return.  The DCF model, for example, estimates the investor-required return assuming a constant expected dividend yield and growth rate in perpetuity, while Risk Premium-based methods (</w:t>
      </w:r>
      <w:r w:rsidRPr="00CE1F9C">
        <w:rPr>
          <w:rFonts w:cs="Courier New"/>
          <w:i/>
          <w:iCs/>
        </w:rPr>
        <w:t>i.e.,</w:t>
      </w:r>
      <w:r w:rsidRPr="00CE1F9C">
        <w:rPr>
          <w:rFonts w:cs="Courier New"/>
        </w:rPr>
        <w:t xml:space="preserve"> the RPM and CAPM approaches) provide the ability to reflect investors’ views of risk, future market returns, and the relationship between interest rates and the cost of common equity.  Just as the use of market data for the </w:t>
      </w:r>
      <w:r w:rsidR="00F416CB">
        <w:rPr>
          <w:rFonts w:cs="Courier New"/>
        </w:rPr>
        <w:t>Utility Proxy Group</w:t>
      </w:r>
      <w:r w:rsidRPr="00CE1F9C">
        <w:rPr>
          <w:rFonts w:cs="Courier New"/>
        </w:rPr>
        <w:t xml:space="preserve"> adds the reliability necessary to inform expert judgment in arriving at a recommended common equity cost rate, the use of multiple </w:t>
      </w:r>
      <w:r w:rsidR="00F85E5C" w:rsidRPr="00CE1F9C">
        <w:rPr>
          <w:rFonts w:cs="Courier New"/>
        </w:rPr>
        <w:t>generally</w:t>
      </w:r>
      <w:r w:rsidR="00F85E5C">
        <w:rPr>
          <w:rFonts w:cs="Courier New"/>
        </w:rPr>
        <w:t xml:space="preserve"> accepted</w:t>
      </w:r>
      <w:r w:rsidRPr="00CE1F9C">
        <w:rPr>
          <w:rFonts w:cs="Courier New"/>
        </w:rPr>
        <w:t xml:space="preserve"> common equity cost rate models also adds reliability and accuracy when arriving at a recommended common equity cost rate.</w:t>
      </w:r>
    </w:p>
    <w:p w14:paraId="0E9D612B" w14:textId="77777777" w:rsidR="009A5A7C" w:rsidRPr="0073351E" w:rsidRDefault="009A5A7C" w:rsidP="00EE19DD">
      <w:pPr>
        <w:widowControl w:val="0"/>
        <w:ind w:left="720" w:hanging="720"/>
        <w:jc w:val="both"/>
        <w:rPr>
          <w:rFonts w:cs="Courier New"/>
        </w:rPr>
      </w:pPr>
    </w:p>
    <w:p w14:paraId="46A55835" w14:textId="1B29B949"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6666BC">
        <w:rPr>
          <w:rFonts w:cs="Courier New"/>
        </w:rPr>
        <w:t xml:space="preserve">Has the </w:t>
      </w:r>
      <w:r w:rsidR="00993EDE">
        <w:rPr>
          <w:rFonts w:cs="Courier New"/>
        </w:rPr>
        <w:t>C</w:t>
      </w:r>
      <w:r w:rsidRPr="006666BC">
        <w:rPr>
          <w:rFonts w:cs="Courier New"/>
        </w:rPr>
        <w:t xml:space="preserve">ommission approved the use of multiple methods in determining the cost of equity during past rate cases of </w:t>
      </w:r>
      <w:r w:rsidR="00805765">
        <w:rPr>
          <w:rFonts w:cs="Courier New"/>
        </w:rPr>
        <w:t>Peoples</w:t>
      </w:r>
      <w:r w:rsidRPr="006666BC">
        <w:rPr>
          <w:rFonts w:cs="Courier New"/>
        </w:rPr>
        <w:t>?</w:t>
      </w:r>
    </w:p>
    <w:p w14:paraId="5035BBD3" w14:textId="77777777" w:rsidR="009A5A7C" w:rsidRDefault="009A5A7C" w:rsidP="00EE19DD">
      <w:pPr>
        <w:widowControl w:val="0"/>
        <w:ind w:left="720" w:hanging="720"/>
        <w:jc w:val="both"/>
        <w:rPr>
          <w:rFonts w:cs="Courier New"/>
        </w:rPr>
      </w:pPr>
    </w:p>
    <w:p w14:paraId="56B992E8" w14:textId="6F91C66E" w:rsidR="009A5A7C" w:rsidRPr="001F7AB5" w:rsidRDefault="009A5A7C" w:rsidP="00EE19DD">
      <w:pPr>
        <w:widowControl w:val="0"/>
        <w:ind w:left="720" w:hanging="720"/>
        <w:jc w:val="both"/>
        <w:rPr>
          <w:rFonts w:cs="Courier New"/>
        </w:rPr>
      </w:pPr>
      <w:r w:rsidRPr="00B23997">
        <w:rPr>
          <w:rFonts w:cs="Courier New"/>
          <w:b/>
        </w:rPr>
        <w:t>A.</w:t>
      </w:r>
      <w:r w:rsidRPr="00B23997">
        <w:rPr>
          <w:rFonts w:cs="Courier New"/>
        </w:rPr>
        <w:tab/>
      </w:r>
      <w:r w:rsidRPr="001F7AB5">
        <w:rPr>
          <w:rFonts w:cs="Courier New"/>
        </w:rPr>
        <w:t xml:space="preserve">Yes.  In Docket No. </w:t>
      </w:r>
      <w:r w:rsidR="008C7AE2">
        <w:rPr>
          <w:rFonts w:cs="Courier New"/>
        </w:rPr>
        <w:t>20</w:t>
      </w:r>
      <w:r w:rsidRPr="001F7AB5">
        <w:rPr>
          <w:rFonts w:cs="Courier New"/>
        </w:rPr>
        <w:t xml:space="preserve">080318-GU, the Commission stated that there are several models which satisfy the terms for </w:t>
      </w:r>
      <w:r w:rsidRPr="001F7AB5">
        <w:rPr>
          <w:rFonts w:cs="Courier New"/>
        </w:rPr>
        <w:lastRenderedPageBreak/>
        <w:t xml:space="preserve">determining a fair rate of return as laid out by </w:t>
      </w:r>
      <w:r w:rsidRPr="001F7AB5">
        <w:rPr>
          <w:rFonts w:cs="Courier New"/>
          <w:i/>
          <w:iCs/>
        </w:rPr>
        <w:t>Hope</w:t>
      </w:r>
      <w:r w:rsidRPr="001F7AB5">
        <w:rPr>
          <w:rFonts w:cs="Courier New"/>
        </w:rPr>
        <w:t xml:space="preserve"> and </w:t>
      </w:r>
      <w:r w:rsidRPr="001F7AB5">
        <w:rPr>
          <w:rFonts w:cs="Courier New"/>
          <w:i/>
          <w:iCs/>
        </w:rPr>
        <w:t>Bluefield</w:t>
      </w:r>
      <w:r w:rsidRPr="001F7AB5">
        <w:rPr>
          <w:rFonts w:cs="Courier New"/>
        </w:rPr>
        <w:t>:</w:t>
      </w:r>
    </w:p>
    <w:p w14:paraId="38736DF0" w14:textId="709EF67B" w:rsidR="009A5A7C" w:rsidRPr="0073351E" w:rsidRDefault="009A5A7C" w:rsidP="00411600">
      <w:pPr>
        <w:ind w:left="1440" w:right="720" w:hanging="1440"/>
        <w:jc w:val="both"/>
        <w:rPr>
          <w:rFonts w:cs="Courier New"/>
        </w:rPr>
      </w:pPr>
      <w:r>
        <w:rPr>
          <w:rFonts w:cs="Courier New"/>
        </w:rPr>
        <w:tab/>
      </w:r>
      <w:r w:rsidRPr="001F7AB5">
        <w:rPr>
          <w:rFonts w:cs="Courier New"/>
        </w:rPr>
        <w:t xml:space="preserve">While the logic of the legal and economic concepts of a fair rate of return are fairly straight forward, the actual implementation of these concepts is more controversial. </w:t>
      </w:r>
      <w:r w:rsidR="00900D5E">
        <w:rPr>
          <w:rFonts w:cs="Courier New"/>
        </w:rPr>
        <w:t xml:space="preserve"> </w:t>
      </w:r>
      <w:r w:rsidRPr="001F7AB5">
        <w:rPr>
          <w:rFonts w:cs="Courier New"/>
        </w:rPr>
        <w:t>Unlike the cost rate on debt that is fixed and known due to its contractual terms, the cost of equity must be estimated.</w:t>
      </w:r>
      <w:r w:rsidR="00900D5E">
        <w:rPr>
          <w:rFonts w:cs="Courier New"/>
        </w:rPr>
        <w:t xml:space="preserve"> </w:t>
      </w:r>
      <w:r w:rsidRPr="001F7AB5">
        <w:rPr>
          <w:rFonts w:cs="Courier New"/>
        </w:rPr>
        <w:t xml:space="preserve"> </w:t>
      </w:r>
      <w:r w:rsidRPr="001F7AB5">
        <w:rPr>
          <w:rFonts w:cs="Courier New"/>
          <w:b/>
          <w:bCs/>
        </w:rPr>
        <w:t>Financial models have been developed to estimate the investor-required ROE for a company.</w:t>
      </w:r>
      <w:r w:rsidRPr="001F7AB5">
        <w:rPr>
          <w:rFonts w:cs="Courier New"/>
        </w:rPr>
        <w:t xml:space="preserve"> </w:t>
      </w:r>
      <w:r w:rsidR="00900D5E">
        <w:rPr>
          <w:rFonts w:cs="Courier New"/>
        </w:rPr>
        <w:t xml:space="preserve"> </w:t>
      </w:r>
      <w:r w:rsidRPr="001F7AB5">
        <w:rPr>
          <w:rFonts w:cs="Courier New"/>
        </w:rPr>
        <w:t xml:space="preserve">Market-based approaches such as the Discounted Cash Flow (DCF) model and the Capital Asset Pricing Model (CAPM) are generally recognized as being consistent with the market-based standards of a fair return enunciated in </w:t>
      </w:r>
      <w:r w:rsidRPr="001F7AB5">
        <w:rPr>
          <w:rFonts w:cs="Courier New"/>
          <w:u w:val="single"/>
        </w:rPr>
        <w:t>Hope</w:t>
      </w:r>
      <w:r w:rsidRPr="001F7AB5">
        <w:rPr>
          <w:rFonts w:cs="Courier New"/>
        </w:rPr>
        <w:t xml:space="preserve">, 320 U.S. 591 and </w:t>
      </w:r>
      <w:r w:rsidRPr="001F7AB5">
        <w:rPr>
          <w:rFonts w:cs="Courier New"/>
          <w:u w:val="single"/>
        </w:rPr>
        <w:t>Bluefield</w:t>
      </w:r>
      <w:r w:rsidRPr="001F7AB5">
        <w:rPr>
          <w:rFonts w:cs="Courier New"/>
        </w:rPr>
        <w:t>, 262 U.S. 679.</w:t>
      </w:r>
      <w:r>
        <w:rPr>
          <w:rFonts w:cs="Courier New"/>
        </w:rPr>
        <w:t xml:space="preserve">  [Emphasis added]</w:t>
      </w:r>
      <w:r w:rsidR="00BD0A9C">
        <w:rPr>
          <w:rStyle w:val="EndnoteReference"/>
          <w:rFonts w:cs="Courier New"/>
        </w:rPr>
        <w:endnoteReference w:id="12"/>
      </w:r>
    </w:p>
    <w:p w14:paraId="3F4D5353" w14:textId="77777777" w:rsidR="009A5A7C" w:rsidRPr="0073351E" w:rsidRDefault="009A5A7C" w:rsidP="00EE19DD">
      <w:pPr>
        <w:widowControl w:val="0"/>
        <w:ind w:left="720" w:hanging="720"/>
        <w:jc w:val="both"/>
        <w:rPr>
          <w:rFonts w:cs="Courier New"/>
        </w:rPr>
      </w:pPr>
    </w:p>
    <w:p w14:paraId="70A23C88" w14:textId="70A3B3F9" w:rsidR="009A5A7C" w:rsidRPr="00E656FE" w:rsidRDefault="009A5A7C" w:rsidP="00216A2E">
      <w:pPr>
        <w:pStyle w:val="Heading2"/>
        <w:pBdr>
          <w:left w:val="none" w:sz="0" w:space="0" w:color="auto"/>
          <w:right w:val="none" w:sz="0" w:space="0" w:color="auto"/>
        </w:pBdr>
        <w:ind w:hanging="720"/>
        <w:jc w:val="left"/>
      </w:pPr>
      <w:bookmarkStart w:id="10" w:name="_Toc129962205"/>
      <w:r w:rsidRPr="00E656FE">
        <w:t>Discounted Cash Flow Model</w:t>
      </w:r>
      <w:bookmarkEnd w:id="10"/>
    </w:p>
    <w:p w14:paraId="14826767" w14:textId="6E16E0AF"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3612E6">
        <w:rPr>
          <w:rFonts w:cs="Courier New"/>
        </w:rPr>
        <w:t>What is the theoretical basis of the DCF model?</w:t>
      </w:r>
    </w:p>
    <w:p w14:paraId="69C5A27F" w14:textId="77777777" w:rsidR="009A5A7C" w:rsidRDefault="009A5A7C" w:rsidP="00EE19DD">
      <w:pPr>
        <w:widowControl w:val="0"/>
        <w:ind w:left="720" w:hanging="720"/>
        <w:jc w:val="both"/>
        <w:rPr>
          <w:rFonts w:cs="Courier New"/>
        </w:rPr>
      </w:pPr>
    </w:p>
    <w:p w14:paraId="6FA7F5AA" w14:textId="5F8D3EF1" w:rsidR="009A5A7C" w:rsidRDefault="009A5A7C" w:rsidP="007228F0">
      <w:pPr>
        <w:widowControl w:val="0"/>
        <w:spacing w:after="120"/>
        <w:ind w:left="720" w:hanging="720"/>
        <w:jc w:val="both"/>
        <w:rPr>
          <w:rFonts w:cs="Courier New"/>
        </w:rPr>
      </w:pPr>
      <w:r w:rsidRPr="00B23997">
        <w:rPr>
          <w:rFonts w:cs="Courier New"/>
          <w:b/>
        </w:rPr>
        <w:t>A.</w:t>
      </w:r>
      <w:r w:rsidRPr="00B23997">
        <w:rPr>
          <w:rFonts w:cs="Courier New"/>
        </w:rPr>
        <w:tab/>
      </w:r>
      <w:r w:rsidRPr="006747C6">
        <w:rPr>
          <w:rFonts w:cs="Courier New"/>
        </w:rPr>
        <w:t xml:space="preserve">The theory underlying the DCF model is that the present value of an expected future stream of net cash flows during the investment holding period can be determined by discounting those cash flows at the cost of capital, or the investors’ capitalization rate.  DCF theory indicates that an investor </w:t>
      </w:r>
      <w:r w:rsidRPr="006747C6">
        <w:rPr>
          <w:rFonts w:cs="Courier New"/>
        </w:rPr>
        <w:lastRenderedPageBreak/>
        <w:t>buys a stock for an expected total return rate, which is derived from the cash flows received from dividends and market price appreciation.  Mathematically, the dividend yield on market price plus a growth rate equals the capitalization rate</w:t>
      </w:r>
      <w:r w:rsidR="00E6614C">
        <w:rPr>
          <w:rFonts w:cs="Courier New"/>
        </w:rPr>
        <w:t xml:space="preserve"> (</w:t>
      </w:r>
      <w:r w:rsidRPr="006747C6">
        <w:rPr>
          <w:rFonts w:cs="Courier New"/>
          <w:i/>
          <w:iCs/>
        </w:rPr>
        <w:t>i.e</w:t>
      </w:r>
      <w:r w:rsidRPr="006747C6">
        <w:rPr>
          <w:rFonts w:cs="Courier New"/>
        </w:rPr>
        <w:t>., the total common equity return rate expected by investors</w:t>
      </w:r>
      <w:r w:rsidR="00E6614C">
        <w:rPr>
          <w:rFonts w:cs="Courier New"/>
        </w:rPr>
        <w:t>)</w:t>
      </w:r>
      <w:r w:rsidR="00FA0405">
        <w:rPr>
          <w:rFonts w:cs="Courier New"/>
        </w:rPr>
        <w:t>, as depicted in the formula below:</w:t>
      </w:r>
    </w:p>
    <w:p w14:paraId="19886BFA" w14:textId="5AF1B113" w:rsidR="009A5A7C" w:rsidRPr="006747C6" w:rsidRDefault="009A5A7C" w:rsidP="00EE19DD">
      <w:pPr>
        <w:widowControl w:val="0"/>
        <w:ind w:left="720" w:hanging="720"/>
        <w:jc w:val="both"/>
        <w:rPr>
          <w:rFonts w:cs="Courier New"/>
        </w:rPr>
      </w:pPr>
      <w:r w:rsidRPr="006747C6">
        <w:rPr>
          <w:rFonts w:cs="Courier New"/>
          <w:i/>
          <w:iCs/>
        </w:rPr>
        <w:tab/>
      </w:r>
      <w:r>
        <w:rPr>
          <w:rFonts w:cs="Courier New"/>
          <w:i/>
          <w:iCs/>
        </w:rPr>
        <w:tab/>
      </w:r>
      <w:r w:rsidRPr="006747C6">
        <w:rPr>
          <w:rFonts w:cs="Courier New"/>
          <w:i/>
          <w:iCs/>
        </w:rPr>
        <w:t>K</w:t>
      </w:r>
      <w:r w:rsidRPr="006747C6">
        <w:rPr>
          <w:rFonts w:cs="Courier New"/>
          <w:i/>
          <w:iCs/>
          <w:vertAlign w:val="subscript"/>
        </w:rPr>
        <w:t>e</w:t>
      </w:r>
      <w:r w:rsidRPr="006747C6">
        <w:rPr>
          <w:rFonts w:cs="Courier New"/>
        </w:rPr>
        <w:t xml:space="preserve"> = (</w:t>
      </w:r>
      <w:r w:rsidRPr="006747C6">
        <w:rPr>
          <w:rFonts w:cs="Courier New"/>
          <w:i/>
          <w:iCs/>
        </w:rPr>
        <w:t>D</w:t>
      </w:r>
      <w:r w:rsidRPr="006747C6">
        <w:rPr>
          <w:rFonts w:cs="Courier New"/>
          <w:vertAlign w:val="subscript"/>
        </w:rPr>
        <w:t>0</w:t>
      </w:r>
      <w:r w:rsidRPr="006747C6">
        <w:rPr>
          <w:rFonts w:cs="Courier New"/>
        </w:rPr>
        <w:t xml:space="preserve"> (1+</w:t>
      </w:r>
      <w:r w:rsidRPr="006747C6">
        <w:rPr>
          <w:rFonts w:cs="Courier New"/>
          <w:i/>
          <w:iCs/>
        </w:rPr>
        <w:t>g</w:t>
      </w:r>
      <w:r w:rsidRPr="006747C6">
        <w:rPr>
          <w:rFonts w:cs="Courier New"/>
        </w:rPr>
        <w:t>))/</w:t>
      </w:r>
      <w:r w:rsidRPr="006747C6">
        <w:rPr>
          <w:rFonts w:cs="Courier New"/>
          <w:i/>
          <w:iCs/>
        </w:rPr>
        <w:t>P</w:t>
      </w:r>
      <w:r w:rsidRPr="006747C6">
        <w:rPr>
          <w:rFonts w:cs="Courier New"/>
        </w:rPr>
        <w:t xml:space="preserve"> + </w:t>
      </w:r>
      <w:r w:rsidRPr="006747C6">
        <w:rPr>
          <w:rFonts w:cs="Courier New"/>
          <w:i/>
          <w:iCs/>
        </w:rPr>
        <w:t>g</w:t>
      </w:r>
    </w:p>
    <w:p w14:paraId="21A31AFB" w14:textId="4277A5AF" w:rsidR="009A5A7C" w:rsidRPr="006747C6" w:rsidRDefault="009A5A7C" w:rsidP="00EE19DD">
      <w:pPr>
        <w:widowControl w:val="0"/>
        <w:ind w:left="720" w:hanging="720"/>
        <w:jc w:val="both"/>
        <w:rPr>
          <w:rFonts w:cs="Courier New"/>
        </w:rPr>
      </w:pPr>
      <w:r w:rsidRPr="006747C6">
        <w:rPr>
          <w:rFonts w:cs="Courier New"/>
        </w:rPr>
        <w:tab/>
      </w:r>
      <w:r w:rsidRPr="006747C6">
        <w:rPr>
          <w:rFonts w:cs="Courier New"/>
        </w:rPr>
        <w:tab/>
      </w:r>
      <w:r w:rsidR="00FA0405">
        <w:rPr>
          <w:rFonts w:cs="Courier New"/>
        </w:rPr>
        <w:t>W</w:t>
      </w:r>
      <w:r w:rsidR="00FA0405" w:rsidRPr="006747C6">
        <w:rPr>
          <w:rFonts w:cs="Courier New"/>
        </w:rPr>
        <w:t>here</w:t>
      </w:r>
      <w:r w:rsidRPr="006747C6">
        <w:rPr>
          <w:rFonts w:cs="Courier New"/>
        </w:rPr>
        <w:t>:</w:t>
      </w:r>
    </w:p>
    <w:p w14:paraId="094EDBC4" w14:textId="6E6F9B5F" w:rsidR="009A5A7C" w:rsidRPr="006747C6" w:rsidRDefault="009A5A7C" w:rsidP="00EE19DD">
      <w:pPr>
        <w:widowControl w:val="0"/>
        <w:ind w:left="720" w:hanging="720"/>
        <w:jc w:val="both"/>
        <w:rPr>
          <w:rFonts w:cs="Courier New"/>
        </w:rPr>
      </w:pPr>
      <w:r>
        <w:rPr>
          <w:rFonts w:cs="Courier New"/>
          <w:i/>
          <w:iCs/>
        </w:rPr>
        <w:tab/>
      </w:r>
      <w:r w:rsidRPr="006747C6">
        <w:rPr>
          <w:rFonts w:cs="Courier New"/>
          <w:i/>
          <w:iCs/>
        </w:rPr>
        <w:tab/>
      </w:r>
      <w:r w:rsidR="00FA0405">
        <w:rPr>
          <w:rFonts w:cs="Courier New"/>
          <w:i/>
          <w:iCs/>
        </w:rPr>
        <w:tab/>
      </w:r>
      <w:r w:rsidRPr="006747C6">
        <w:rPr>
          <w:rFonts w:cs="Courier New"/>
          <w:i/>
          <w:iCs/>
        </w:rPr>
        <w:t>K</w:t>
      </w:r>
      <w:r w:rsidRPr="006747C6">
        <w:rPr>
          <w:rFonts w:cs="Courier New"/>
          <w:i/>
          <w:iCs/>
          <w:vertAlign w:val="subscript"/>
        </w:rPr>
        <w:t>e</w:t>
      </w:r>
      <w:r w:rsidRPr="006747C6">
        <w:rPr>
          <w:rFonts w:cs="Courier New"/>
        </w:rPr>
        <w:t xml:space="preserve"> = the required </w:t>
      </w:r>
      <w:r w:rsidR="0034202C">
        <w:rPr>
          <w:rFonts w:cs="Courier New"/>
        </w:rPr>
        <w:t>r</w:t>
      </w:r>
      <w:r w:rsidRPr="006747C6">
        <w:rPr>
          <w:rFonts w:cs="Courier New"/>
        </w:rPr>
        <w:t xml:space="preserve">eturn on </w:t>
      </w:r>
      <w:r w:rsidR="0034202C">
        <w:rPr>
          <w:rFonts w:cs="Courier New"/>
        </w:rPr>
        <w:t>c</w:t>
      </w:r>
      <w:r w:rsidRPr="006747C6">
        <w:rPr>
          <w:rFonts w:cs="Courier New"/>
        </w:rPr>
        <w:t xml:space="preserve">ommon </w:t>
      </w:r>
      <w:r w:rsidR="0034202C">
        <w:rPr>
          <w:rFonts w:cs="Courier New"/>
        </w:rPr>
        <w:t>e</w:t>
      </w:r>
      <w:r w:rsidRPr="006747C6">
        <w:rPr>
          <w:rFonts w:cs="Courier New"/>
        </w:rPr>
        <w:t>quity;</w:t>
      </w:r>
    </w:p>
    <w:p w14:paraId="315193BE" w14:textId="331156A9" w:rsidR="009A5A7C" w:rsidRPr="006747C6" w:rsidRDefault="009A5A7C" w:rsidP="00EE19DD">
      <w:pPr>
        <w:widowControl w:val="0"/>
        <w:ind w:left="720" w:hanging="720"/>
        <w:jc w:val="both"/>
        <w:rPr>
          <w:rFonts w:cs="Courier New"/>
        </w:rPr>
      </w:pPr>
      <w:r w:rsidRPr="006747C6">
        <w:rPr>
          <w:rFonts w:cs="Courier New"/>
          <w:i/>
          <w:iCs/>
        </w:rPr>
        <w:tab/>
      </w:r>
      <w:r>
        <w:rPr>
          <w:rFonts w:cs="Courier New"/>
          <w:i/>
          <w:iCs/>
        </w:rPr>
        <w:tab/>
      </w:r>
      <w:r w:rsidR="00FA0405">
        <w:rPr>
          <w:rFonts w:cs="Courier New"/>
          <w:i/>
          <w:iCs/>
        </w:rPr>
        <w:tab/>
      </w:r>
      <w:r w:rsidRPr="006747C6">
        <w:rPr>
          <w:rFonts w:cs="Courier New"/>
          <w:i/>
          <w:iCs/>
        </w:rPr>
        <w:t>D</w:t>
      </w:r>
      <w:r w:rsidRPr="006747C6">
        <w:rPr>
          <w:rFonts w:cs="Courier New"/>
          <w:vertAlign w:val="subscript"/>
        </w:rPr>
        <w:t>0</w:t>
      </w:r>
      <w:r w:rsidRPr="006747C6">
        <w:rPr>
          <w:rFonts w:cs="Courier New"/>
        </w:rPr>
        <w:t xml:space="preserve"> = the annualized </w:t>
      </w:r>
      <w:r w:rsidR="0034202C">
        <w:rPr>
          <w:rFonts w:cs="Courier New"/>
        </w:rPr>
        <w:t>d</w:t>
      </w:r>
      <w:r w:rsidRPr="006747C6">
        <w:rPr>
          <w:rFonts w:cs="Courier New"/>
        </w:rPr>
        <w:t xml:space="preserve">ividend </w:t>
      </w:r>
      <w:r w:rsidR="0034202C">
        <w:rPr>
          <w:rFonts w:cs="Courier New"/>
        </w:rPr>
        <w:t>p</w:t>
      </w:r>
      <w:r w:rsidRPr="006747C6">
        <w:rPr>
          <w:rFonts w:cs="Courier New"/>
        </w:rPr>
        <w:t xml:space="preserve">er </w:t>
      </w:r>
      <w:r w:rsidR="0034202C">
        <w:rPr>
          <w:rFonts w:cs="Courier New"/>
        </w:rPr>
        <w:t>s</w:t>
      </w:r>
      <w:r w:rsidRPr="006747C6">
        <w:rPr>
          <w:rFonts w:cs="Courier New"/>
        </w:rPr>
        <w:t>hare;</w:t>
      </w:r>
    </w:p>
    <w:p w14:paraId="5DF7D84C" w14:textId="3CCC307D" w:rsidR="009A5A7C" w:rsidRDefault="009A5A7C" w:rsidP="00EE19DD">
      <w:pPr>
        <w:widowControl w:val="0"/>
        <w:ind w:left="720" w:hanging="720"/>
        <w:jc w:val="both"/>
        <w:rPr>
          <w:rFonts w:cs="Courier New"/>
        </w:rPr>
      </w:pPr>
      <w:r>
        <w:rPr>
          <w:rFonts w:cs="Courier New"/>
          <w:i/>
          <w:iCs/>
        </w:rPr>
        <w:tab/>
      </w:r>
      <w:r w:rsidR="00FA0405">
        <w:rPr>
          <w:rFonts w:cs="Courier New"/>
          <w:i/>
          <w:iCs/>
        </w:rPr>
        <w:tab/>
      </w:r>
      <w:r>
        <w:rPr>
          <w:rFonts w:cs="Courier New"/>
          <w:i/>
          <w:iCs/>
        </w:rPr>
        <w:tab/>
      </w:r>
      <w:r w:rsidRPr="006747C6">
        <w:rPr>
          <w:rFonts w:cs="Courier New"/>
          <w:i/>
          <w:iCs/>
        </w:rPr>
        <w:t xml:space="preserve">P = </w:t>
      </w:r>
      <w:r w:rsidRPr="006747C6">
        <w:rPr>
          <w:rFonts w:cs="Courier New"/>
        </w:rPr>
        <w:t>the</w:t>
      </w:r>
      <w:r w:rsidRPr="006747C6">
        <w:rPr>
          <w:rFonts w:cs="Courier New"/>
          <w:i/>
          <w:iCs/>
        </w:rPr>
        <w:t xml:space="preserve"> </w:t>
      </w:r>
      <w:r w:rsidRPr="006747C6">
        <w:rPr>
          <w:rFonts w:cs="Courier New"/>
        </w:rPr>
        <w:t>current stock price; and</w:t>
      </w:r>
    </w:p>
    <w:p w14:paraId="789F50F6" w14:textId="04A5A136" w:rsidR="009A5A7C" w:rsidRPr="0073351E" w:rsidRDefault="009A5A7C" w:rsidP="00EE19DD">
      <w:pPr>
        <w:widowControl w:val="0"/>
        <w:ind w:left="720" w:hanging="720"/>
        <w:jc w:val="both"/>
        <w:rPr>
          <w:rFonts w:cs="Courier New"/>
        </w:rPr>
      </w:pPr>
      <w:r>
        <w:rPr>
          <w:rFonts w:cs="Courier New"/>
          <w:i/>
          <w:iCs/>
        </w:rPr>
        <w:tab/>
      </w:r>
      <w:r>
        <w:rPr>
          <w:rFonts w:cs="Courier New"/>
          <w:i/>
          <w:iCs/>
        </w:rPr>
        <w:tab/>
      </w:r>
      <w:r w:rsidR="00FA0405">
        <w:rPr>
          <w:rFonts w:cs="Courier New"/>
          <w:i/>
          <w:iCs/>
        </w:rPr>
        <w:tab/>
      </w:r>
      <w:r w:rsidRPr="00234D2A">
        <w:rPr>
          <w:rFonts w:cs="Courier New"/>
          <w:i/>
          <w:iCs/>
        </w:rPr>
        <w:t xml:space="preserve">g </w:t>
      </w:r>
      <w:r w:rsidRPr="000360D3">
        <w:rPr>
          <w:rFonts w:cs="Courier New"/>
        </w:rPr>
        <w:t>= the growth rate.</w:t>
      </w:r>
    </w:p>
    <w:p w14:paraId="0831C69C" w14:textId="77777777" w:rsidR="009A5A7C" w:rsidRPr="0073351E" w:rsidRDefault="009A5A7C" w:rsidP="00EE19DD">
      <w:pPr>
        <w:widowControl w:val="0"/>
        <w:ind w:left="720" w:hanging="720"/>
        <w:jc w:val="both"/>
        <w:rPr>
          <w:rFonts w:cs="Courier New"/>
        </w:rPr>
      </w:pPr>
    </w:p>
    <w:p w14:paraId="789D10D5" w14:textId="35503F14"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861299">
        <w:rPr>
          <w:rFonts w:cs="Courier New"/>
        </w:rPr>
        <w:t>Which version of the DCF model did you use?</w:t>
      </w:r>
    </w:p>
    <w:p w14:paraId="3C9BA421" w14:textId="77777777" w:rsidR="009A5A7C" w:rsidRDefault="009A5A7C" w:rsidP="00EE19DD">
      <w:pPr>
        <w:widowControl w:val="0"/>
        <w:ind w:left="720" w:hanging="720"/>
        <w:jc w:val="both"/>
        <w:rPr>
          <w:rFonts w:cs="Courier New"/>
        </w:rPr>
      </w:pPr>
    </w:p>
    <w:p w14:paraId="39F45D6E" w14:textId="649532CA"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297196">
        <w:rPr>
          <w:rFonts w:cs="Courier New"/>
        </w:rPr>
        <w:t xml:space="preserve">I </w:t>
      </w:r>
      <w:r w:rsidR="00F26790">
        <w:rPr>
          <w:rFonts w:cs="Courier New"/>
        </w:rPr>
        <w:t>relied on</w:t>
      </w:r>
      <w:r w:rsidRPr="00297196">
        <w:rPr>
          <w:rFonts w:cs="Courier New"/>
        </w:rPr>
        <w:t xml:space="preserve"> the single-stage constant growth DCF model in my analyses.</w:t>
      </w:r>
    </w:p>
    <w:p w14:paraId="6EB11DD3" w14:textId="77777777" w:rsidR="009A5A7C" w:rsidRPr="0073351E" w:rsidRDefault="009A5A7C" w:rsidP="00EE19DD">
      <w:pPr>
        <w:widowControl w:val="0"/>
        <w:ind w:left="720" w:hanging="720"/>
        <w:jc w:val="both"/>
        <w:rPr>
          <w:rFonts w:cs="Courier New"/>
        </w:rPr>
      </w:pPr>
    </w:p>
    <w:p w14:paraId="1BD211D4" w14:textId="387A43DA"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9E59B0">
        <w:rPr>
          <w:rFonts w:cs="Courier New"/>
        </w:rPr>
        <w:t>Please describe the dividend yield you used in applying the constant growth DCF model.</w:t>
      </w:r>
    </w:p>
    <w:p w14:paraId="6502B453" w14:textId="77777777" w:rsidR="009A5A7C" w:rsidRDefault="009A5A7C" w:rsidP="00EE19DD">
      <w:pPr>
        <w:widowControl w:val="0"/>
        <w:ind w:left="720" w:hanging="720"/>
        <w:jc w:val="both"/>
        <w:rPr>
          <w:rFonts w:cs="Courier New"/>
        </w:rPr>
      </w:pPr>
    </w:p>
    <w:p w14:paraId="33CCCAD7" w14:textId="585B880F"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771779">
        <w:rPr>
          <w:rFonts w:cs="Courier New"/>
        </w:rPr>
        <w:t xml:space="preserve">The unadjusted dividend yields are based on the proxy companies’ dividends as of </w:t>
      </w:r>
      <w:bookmarkStart w:id="11" w:name="_Hlk124174961"/>
      <w:r w:rsidR="005E1778" w:rsidRPr="00C55E3B">
        <w:rPr>
          <w:rFonts w:cs="Courier New"/>
        </w:rPr>
        <w:t>December 30</w:t>
      </w:r>
      <w:bookmarkEnd w:id="11"/>
      <w:r w:rsidRPr="00C55E3B">
        <w:rPr>
          <w:rFonts w:cs="Courier New"/>
        </w:rPr>
        <w:t>, 2022</w:t>
      </w:r>
      <w:r w:rsidRPr="005E1778">
        <w:rPr>
          <w:rFonts w:cs="Courier New"/>
        </w:rPr>
        <w:t xml:space="preserve">, divided by the average closing market price for the 60 trading days ended </w:t>
      </w:r>
      <w:r w:rsidR="005E1778" w:rsidRPr="005E1778">
        <w:rPr>
          <w:rFonts w:cs="Courier New"/>
        </w:rPr>
        <w:t>December 30</w:t>
      </w:r>
      <w:r w:rsidRPr="00C55E3B">
        <w:rPr>
          <w:rFonts w:cs="Courier New"/>
        </w:rPr>
        <w:t>, 2022</w:t>
      </w:r>
      <w:r w:rsidR="00EE0517" w:rsidRPr="005E1778">
        <w:rPr>
          <w:rFonts w:cs="Courier New"/>
        </w:rPr>
        <w:t xml:space="preserve"> (</w:t>
      </w:r>
      <w:r w:rsidR="00EE0517" w:rsidRPr="005E1778">
        <w:rPr>
          <w:rFonts w:cs="Courier New"/>
          <w:i/>
          <w:iCs/>
        </w:rPr>
        <w:t>see</w:t>
      </w:r>
      <w:r w:rsidR="00EE0517" w:rsidRPr="005E1778">
        <w:rPr>
          <w:rFonts w:cs="Courier New"/>
        </w:rPr>
        <w:t xml:space="preserve">, Column 1, </w:t>
      </w:r>
      <w:r w:rsidR="00EE0517" w:rsidRPr="000456D5">
        <w:rPr>
          <w:rFonts w:cs="Courier New"/>
        </w:rPr>
        <w:t>page 1 of Document No. 3)</w:t>
      </w:r>
      <w:r w:rsidRPr="000456D5">
        <w:rPr>
          <w:rFonts w:cs="Courier New"/>
        </w:rPr>
        <w:t>.</w:t>
      </w:r>
    </w:p>
    <w:p w14:paraId="2801B0C8" w14:textId="372782DC" w:rsidR="009A5A7C" w:rsidRDefault="009A5A7C" w:rsidP="00EE19DD">
      <w:pPr>
        <w:widowControl w:val="0"/>
        <w:ind w:left="720" w:hanging="720"/>
        <w:jc w:val="both"/>
        <w:rPr>
          <w:rFonts w:cs="Courier New"/>
        </w:rPr>
      </w:pPr>
      <w:r w:rsidRPr="00B23997">
        <w:rPr>
          <w:rFonts w:cs="Courier New"/>
          <w:b/>
        </w:rPr>
        <w:lastRenderedPageBreak/>
        <w:t>Q.</w:t>
      </w:r>
      <w:r w:rsidRPr="00B23997">
        <w:rPr>
          <w:rFonts w:cs="Courier New"/>
        </w:rPr>
        <w:tab/>
      </w:r>
      <w:r w:rsidRPr="00D67E97">
        <w:rPr>
          <w:rFonts w:cs="Courier New"/>
        </w:rPr>
        <w:t>Please explain your adjustment to the dividend yield.</w:t>
      </w:r>
    </w:p>
    <w:p w14:paraId="63E7A99E" w14:textId="77777777" w:rsidR="009A5A7C" w:rsidRDefault="009A5A7C" w:rsidP="00EE19DD">
      <w:pPr>
        <w:widowControl w:val="0"/>
        <w:ind w:left="720" w:hanging="720"/>
        <w:jc w:val="both"/>
        <w:rPr>
          <w:rFonts w:cs="Courier New"/>
        </w:rPr>
      </w:pPr>
    </w:p>
    <w:p w14:paraId="52DF9952" w14:textId="013031A3" w:rsidR="009A5A7C" w:rsidRPr="000E0AD8" w:rsidRDefault="009A5A7C" w:rsidP="00EE19DD">
      <w:pPr>
        <w:widowControl w:val="0"/>
        <w:ind w:left="720" w:hanging="720"/>
        <w:jc w:val="both"/>
        <w:rPr>
          <w:rFonts w:cs="Courier New"/>
        </w:rPr>
      </w:pPr>
      <w:r w:rsidRPr="00B23997">
        <w:rPr>
          <w:rFonts w:cs="Courier New"/>
          <w:b/>
        </w:rPr>
        <w:t>A.</w:t>
      </w:r>
      <w:r w:rsidRPr="00B23997">
        <w:rPr>
          <w:rFonts w:cs="Courier New"/>
        </w:rPr>
        <w:tab/>
      </w:r>
      <w:r w:rsidRPr="000E0AD8">
        <w:rPr>
          <w:rFonts w:cs="Courier New"/>
        </w:rPr>
        <w:t>Because dividends are paid periodically (</w:t>
      </w:r>
      <w:r w:rsidRPr="000E0AD8">
        <w:rPr>
          <w:rFonts w:cs="Courier New"/>
          <w:i/>
          <w:iCs/>
        </w:rPr>
        <w:t>e.g.,</w:t>
      </w:r>
      <w:r w:rsidRPr="000E0AD8">
        <w:rPr>
          <w:rFonts w:cs="Courier New"/>
        </w:rPr>
        <w:t xml:space="preserve"> quarterly), as opposed to continuously (daily), an adjustment must be made to the dividend yield.  This is often referred to as the discrete, or the Gordon Periodic, version of the DCF model.</w:t>
      </w:r>
    </w:p>
    <w:p w14:paraId="566483DD" w14:textId="77777777" w:rsidR="009A5A7C" w:rsidRDefault="009A5A7C" w:rsidP="00EE19DD">
      <w:pPr>
        <w:widowControl w:val="0"/>
        <w:ind w:left="720" w:hanging="720"/>
        <w:jc w:val="both"/>
        <w:rPr>
          <w:rFonts w:cs="Courier New"/>
        </w:rPr>
      </w:pPr>
    </w:p>
    <w:p w14:paraId="4962FEBF" w14:textId="61CF94AD" w:rsidR="009A5A7C" w:rsidRPr="0073351E" w:rsidRDefault="009A5A7C" w:rsidP="00EE19DD">
      <w:pPr>
        <w:widowControl w:val="0"/>
        <w:ind w:left="720" w:hanging="720"/>
        <w:jc w:val="both"/>
        <w:rPr>
          <w:rFonts w:cs="Courier New"/>
        </w:rPr>
      </w:pPr>
      <w:r>
        <w:rPr>
          <w:rFonts w:cs="Courier New"/>
        </w:rPr>
        <w:tab/>
      </w:r>
      <w:r w:rsidRPr="000E0AD8">
        <w:rPr>
          <w:rFonts w:cs="Courier New"/>
        </w:rPr>
        <w:t>DCF theory calls for using the full growth rate, or D</w:t>
      </w:r>
      <w:r w:rsidRPr="000E0AD8">
        <w:rPr>
          <w:rFonts w:cs="Courier New"/>
          <w:vertAlign w:val="subscript"/>
        </w:rPr>
        <w:t>1</w:t>
      </w:r>
      <w:r w:rsidRPr="000E0AD8">
        <w:rPr>
          <w:rFonts w:cs="Courier New"/>
        </w:rPr>
        <w:t xml:space="preserve">, in calculating the model’s dividend yield component.  Since the companies in the </w:t>
      </w:r>
      <w:r w:rsidR="00F416CB">
        <w:rPr>
          <w:rFonts w:cs="Courier New"/>
        </w:rPr>
        <w:t>Utility Proxy Group</w:t>
      </w:r>
      <w:r w:rsidRPr="000E0AD8">
        <w:rPr>
          <w:rFonts w:cs="Courier New"/>
        </w:rPr>
        <w:t xml:space="preserve"> increase their quarterly dividends at various times during the year, a reasonable assumption is to reflect one-half the annual dividend growth rate in the dividend yield component, or D</w:t>
      </w:r>
      <w:r w:rsidRPr="000E0AD8">
        <w:rPr>
          <w:rFonts w:cs="Courier New"/>
          <w:vertAlign w:val="subscript"/>
        </w:rPr>
        <w:t>1/2</w:t>
      </w:r>
      <w:r w:rsidRPr="000E0AD8">
        <w:rPr>
          <w:rFonts w:cs="Courier New"/>
        </w:rPr>
        <w:t xml:space="preserve">.  Because the dividend should be representative of the next 12-month period, this adjustment is a conservative approach that does not overstate the dividend yield.  Therefore, the actual average dividend yields in </w:t>
      </w:r>
      <w:r w:rsidRPr="00907CA7">
        <w:rPr>
          <w:rFonts w:cs="Courier New"/>
        </w:rPr>
        <w:t xml:space="preserve">Column 1, </w:t>
      </w:r>
      <w:r w:rsidRPr="000456D5">
        <w:rPr>
          <w:rFonts w:cs="Courier New"/>
        </w:rPr>
        <w:t xml:space="preserve">page 1 of </w:t>
      </w:r>
      <w:r w:rsidR="006F4F3C" w:rsidRPr="000456D5">
        <w:rPr>
          <w:rFonts w:cs="Courier New"/>
        </w:rPr>
        <w:t xml:space="preserve">Document No. </w:t>
      </w:r>
      <w:r w:rsidR="003A26DF" w:rsidRPr="000456D5">
        <w:rPr>
          <w:rFonts w:cs="Courier New"/>
        </w:rPr>
        <w:t>3</w:t>
      </w:r>
      <w:r w:rsidRPr="000456D5">
        <w:rPr>
          <w:rFonts w:cs="Courier New"/>
        </w:rPr>
        <w:t xml:space="preserve"> have been adjusted upward to reflect one-half the average projected growth rate shown in Column 5.</w:t>
      </w:r>
    </w:p>
    <w:p w14:paraId="75D3B1E3" w14:textId="77777777" w:rsidR="009A5A7C" w:rsidRPr="00B23997" w:rsidRDefault="009A5A7C" w:rsidP="00EE19DD">
      <w:pPr>
        <w:pStyle w:val="Header"/>
        <w:widowControl w:val="0"/>
        <w:tabs>
          <w:tab w:val="clear" w:pos="4320"/>
          <w:tab w:val="clear" w:pos="8640"/>
          <w:tab w:val="left" w:pos="720"/>
        </w:tabs>
        <w:ind w:left="720" w:hanging="720"/>
        <w:contextualSpacing/>
        <w:jc w:val="both"/>
        <w:rPr>
          <w:rFonts w:cs="Courier New"/>
        </w:rPr>
      </w:pPr>
    </w:p>
    <w:p w14:paraId="555C3CC3" w14:textId="73879EFD"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8F36AB">
        <w:rPr>
          <w:rFonts w:cs="Courier New"/>
        </w:rPr>
        <w:t>Please explain the basis for the growth rates you apply to the Utility Proxy Group in your constant growth DCF model.</w:t>
      </w:r>
    </w:p>
    <w:p w14:paraId="4E93E2E0" w14:textId="77777777" w:rsidR="009A5A7C" w:rsidRDefault="009A5A7C" w:rsidP="00EE19DD">
      <w:pPr>
        <w:widowControl w:val="0"/>
        <w:ind w:left="720" w:hanging="720"/>
        <w:jc w:val="both"/>
        <w:rPr>
          <w:rFonts w:cs="Courier New"/>
        </w:rPr>
      </w:pPr>
    </w:p>
    <w:p w14:paraId="7B299A32" w14:textId="77777777" w:rsidR="009A5A7C" w:rsidRPr="00394150" w:rsidRDefault="009A5A7C" w:rsidP="00EE19DD">
      <w:pPr>
        <w:widowControl w:val="0"/>
        <w:ind w:left="720" w:hanging="720"/>
        <w:jc w:val="both"/>
        <w:rPr>
          <w:rFonts w:cs="Courier New"/>
        </w:rPr>
      </w:pPr>
      <w:r w:rsidRPr="00B23997">
        <w:rPr>
          <w:rFonts w:cs="Courier New"/>
          <w:b/>
        </w:rPr>
        <w:t>A.</w:t>
      </w:r>
      <w:r w:rsidRPr="00B23997">
        <w:rPr>
          <w:rFonts w:cs="Courier New"/>
        </w:rPr>
        <w:tab/>
      </w:r>
      <w:r w:rsidRPr="00394150">
        <w:rPr>
          <w:rFonts w:cs="Courier New"/>
        </w:rPr>
        <w:t xml:space="preserve">Investors are likely to rely on widely available financial information services, such as </w:t>
      </w:r>
      <w:r w:rsidRPr="00394150">
        <w:rPr>
          <w:rFonts w:cs="Courier New"/>
          <w:i/>
          <w:iCs/>
        </w:rPr>
        <w:t>Value Line</w:t>
      </w:r>
      <w:r w:rsidRPr="00394150">
        <w:rPr>
          <w:rFonts w:cs="Courier New"/>
        </w:rPr>
        <w:t xml:space="preserve">, Zacks, and Yahoo! </w:t>
      </w:r>
      <w:r w:rsidRPr="00394150">
        <w:rPr>
          <w:rFonts w:cs="Courier New"/>
        </w:rPr>
        <w:lastRenderedPageBreak/>
        <w:t>Finance.  Investors realize that analysts have significant insight into the dynamics of the industries and individual companies they analyze, as well as companies’ abilities to effectively manage the effects of changing laws and regulations, and ever-changing economic and market conditions.  For these reasons, I used analysts’ five-year forecasts of earnings per share growth in my DCF analysis.</w:t>
      </w:r>
    </w:p>
    <w:p w14:paraId="68CB6F30" w14:textId="77777777" w:rsidR="009A5A7C" w:rsidRDefault="009A5A7C" w:rsidP="00EE19DD">
      <w:pPr>
        <w:widowControl w:val="0"/>
        <w:ind w:left="720" w:hanging="720"/>
        <w:jc w:val="both"/>
        <w:rPr>
          <w:rFonts w:cs="Courier New"/>
        </w:rPr>
      </w:pPr>
    </w:p>
    <w:p w14:paraId="1A7383A5" w14:textId="6D46E3F2" w:rsidR="009A5A7C" w:rsidRPr="0073351E" w:rsidRDefault="009A5A7C" w:rsidP="00EE19DD">
      <w:pPr>
        <w:widowControl w:val="0"/>
        <w:ind w:left="720" w:hanging="720"/>
        <w:jc w:val="both"/>
        <w:rPr>
          <w:rFonts w:cs="Courier New"/>
        </w:rPr>
      </w:pPr>
      <w:r>
        <w:rPr>
          <w:rFonts w:cs="Courier New"/>
        </w:rPr>
        <w:tab/>
      </w:r>
      <w:r w:rsidRPr="00394150">
        <w:rPr>
          <w:rFonts w:cs="Courier New"/>
        </w:rPr>
        <w:t>Over the long run, there can be no growth in dividends per share without growth in earnings per share.  Security analysts’ earnings expectations have a more significant influence on market prices than dividend expectations.  Thus, using projected earnings growth rates in a DCF analysis provides a better match between investors’ market price appreciation expectations and the growth rate component of the DCF.</w:t>
      </w:r>
    </w:p>
    <w:p w14:paraId="5C8E035E" w14:textId="77777777" w:rsidR="009A5A7C" w:rsidRPr="0073351E" w:rsidRDefault="009A5A7C" w:rsidP="00EE19DD">
      <w:pPr>
        <w:widowControl w:val="0"/>
        <w:ind w:left="720" w:hanging="720"/>
        <w:jc w:val="both"/>
        <w:rPr>
          <w:rFonts w:cs="Courier New"/>
        </w:rPr>
      </w:pPr>
    </w:p>
    <w:p w14:paraId="4F24105A" w14:textId="6FB7A996"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Pr>
          <w:rFonts w:cs="Courier New"/>
        </w:rPr>
        <w:t>Please summarize the constant growth DCF model results.</w:t>
      </w:r>
    </w:p>
    <w:p w14:paraId="3594396B" w14:textId="77777777" w:rsidR="009A5A7C" w:rsidRDefault="009A5A7C" w:rsidP="00EE19DD">
      <w:pPr>
        <w:widowControl w:val="0"/>
        <w:ind w:left="720" w:hanging="720"/>
        <w:jc w:val="both"/>
        <w:rPr>
          <w:rFonts w:cs="Courier New"/>
        </w:rPr>
      </w:pPr>
    </w:p>
    <w:p w14:paraId="126B86DB" w14:textId="427E7982"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0043057C">
        <w:rPr>
          <w:rFonts w:cs="Courier New"/>
        </w:rPr>
        <w:t>As</w:t>
      </w:r>
      <w:r w:rsidRPr="005022BC">
        <w:rPr>
          <w:rFonts w:cs="Courier New"/>
        </w:rPr>
        <w:t xml:space="preserve"> shown on page 1 </w:t>
      </w:r>
      <w:r w:rsidRPr="000456D5">
        <w:rPr>
          <w:rFonts w:cs="Courier New"/>
        </w:rPr>
        <w:t xml:space="preserve">of </w:t>
      </w:r>
      <w:r w:rsidR="0045484C" w:rsidRPr="000456D5">
        <w:rPr>
          <w:rFonts w:cs="Courier New"/>
        </w:rPr>
        <w:t xml:space="preserve">Document No. </w:t>
      </w:r>
      <w:r w:rsidR="00DB556B" w:rsidRPr="000456D5">
        <w:rPr>
          <w:rFonts w:cs="Courier New"/>
        </w:rPr>
        <w:t>3</w:t>
      </w:r>
      <w:r w:rsidR="008575D2" w:rsidRPr="000456D5">
        <w:rPr>
          <w:rFonts w:cs="Courier New"/>
        </w:rPr>
        <w:t>,</w:t>
      </w:r>
      <w:r w:rsidR="008575D2">
        <w:rPr>
          <w:rFonts w:cs="Courier New"/>
        </w:rPr>
        <w:t xml:space="preserve"> the application of the constant growth DCF model to the Utility Proxy Group results in a range of indicated ROEs </w:t>
      </w:r>
      <w:r w:rsidR="008575D2" w:rsidRPr="000456D5">
        <w:rPr>
          <w:rFonts w:cs="Courier New"/>
        </w:rPr>
        <w:t xml:space="preserve">from </w:t>
      </w:r>
      <w:r w:rsidR="004D6DE4" w:rsidRPr="000456D5">
        <w:rPr>
          <w:rFonts w:cs="Courier New"/>
        </w:rPr>
        <w:t>8.</w:t>
      </w:r>
      <w:r w:rsidR="009E42A4" w:rsidRPr="000456D5">
        <w:rPr>
          <w:rFonts w:cs="Courier New"/>
        </w:rPr>
        <w:t xml:space="preserve">80 </w:t>
      </w:r>
      <w:r w:rsidR="00363747" w:rsidRPr="000456D5">
        <w:rPr>
          <w:rFonts w:cs="Courier New"/>
        </w:rPr>
        <w:t xml:space="preserve">percent to </w:t>
      </w:r>
      <w:r w:rsidR="004D6DE4" w:rsidRPr="000456D5">
        <w:rPr>
          <w:rFonts w:cs="Courier New"/>
        </w:rPr>
        <w:t>11.</w:t>
      </w:r>
      <w:r w:rsidR="009E42A4" w:rsidRPr="000456D5">
        <w:rPr>
          <w:rFonts w:cs="Courier New"/>
        </w:rPr>
        <w:t>70</w:t>
      </w:r>
      <w:r w:rsidR="009E42A4">
        <w:rPr>
          <w:rFonts w:cs="Courier New"/>
        </w:rPr>
        <w:t xml:space="preserve"> </w:t>
      </w:r>
      <w:r w:rsidR="00363747">
        <w:rPr>
          <w:rFonts w:cs="Courier New"/>
        </w:rPr>
        <w:t>percent</w:t>
      </w:r>
      <w:r>
        <w:rPr>
          <w:rFonts w:cs="Courier New"/>
        </w:rPr>
        <w:t>.</w:t>
      </w:r>
      <w:r w:rsidR="00363747">
        <w:rPr>
          <w:rFonts w:cs="Courier New"/>
        </w:rPr>
        <w:t xml:space="preserve">  </w:t>
      </w:r>
      <w:r w:rsidR="0048427B" w:rsidRPr="0048427B">
        <w:rPr>
          <w:rFonts w:cs="Courier New"/>
        </w:rPr>
        <w:t xml:space="preserve">The mean of those results is </w:t>
      </w:r>
      <w:r w:rsidR="004B45BB">
        <w:rPr>
          <w:rFonts w:cs="Courier New"/>
        </w:rPr>
        <w:t>10.12</w:t>
      </w:r>
      <w:r w:rsidR="0048427B" w:rsidRPr="0048427B">
        <w:rPr>
          <w:rFonts w:cs="Courier New"/>
        </w:rPr>
        <w:t xml:space="preserve"> percent, the median result is </w:t>
      </w:r>
      <w:r w:rsidR="004B45BB">
        <w:rPr>
          <w:rFonts w:cs="Courier New"/>
        </w:rPr>
        <w:t>9.89</w:t>
      </w:r>
      <w:r w:rsidR="0048427B" w:rsidRPr="0048427B">
        <w:rPr>
          <w:rFonts w:cs="Courier New"/>
        </w:rPr>
        <w:t xml:space="preserve"> percent, and the average of the two is </w:t>
      </w:r>
      <w:r w:rsidR="004B45BB">
        <w:rPr>
          <w:rFonts w:cs="Courier New"/>
        </w:rPr>
        <w:t>10.00</w:t>
      </w:r>
      <w:r w:rsidR="0048427B" w:rsidRPr="0048427B">
        <w:rPr>
          <w:rFonts w:cs="Courier New"/>
        </w:rPr>
        <w:t xml:space="preserve"> percent.</w:t>
      </w:r>
    </w:p>
    <w:p w14:paraId="47747118" w14:textId="4B68FE2F" w:rsidR="009A5A7C" w:rsidRPr="0073351E" w:rsidRDefault="009A5A7C" w:rsidP="00EE19DD">
      <w:pPr>
        <w:widowControl w:val="0"/>
        <w:ind w:left="720" w:hanging="720"/>
        <w:jc w:val="both"/>
        <w:rPr>
          <w:rFonts w:cs="Courier New"/>
        </w:rPr>
      </w:pPr>
      <w:r>
        <w:rPr>
          <w:rFonts w:cs="Courier New"/>
        </w:rPr>
        <w:lastRenderedPageBreak/>
        <w:tab/>
      </w:r>
      <w:r w:rsidRPr="0034764D">
        <w:rPr>
          <w:rFonts w:cs="Courier New"/>
        </w:rPr>
        <w:t xml:space="preserve">In arriving at a conclusion for the constant growth DCF-indicated common equity cost rate for the Utility Proxy Group, I relied on an average of the mean and the median results of the DCF, specifically </w:t>
      </w:r>
      <w:r w:rsidR="004B45BB">
        <w:rPr>
          <w:rFonts w:cs="Courier New"/>
        </w:rPr>
        <w:t>10.00</w:t>
      </w:r>
      <w:r w:rsidR="001D7AD3">
        <w:rPr>
          <w:rFonts w:cs="Courier New"/>
        </w:rPr>
        <w:t xml:space="preserve"> percent</w:t>
      </w:r>
      <w:r w:rsidR="6CD0F09E">
        <w:rPr>
          <w:rFonts w:cs="Courier New"/>
        </w:rPr>
        <w:t>,</w:t>
      </w:r>
      <w:r w:rsidRPr="0034764D">
        <w:rPr>
          <w:rFonts w:cs="Courier New"/>
        </w:rPr>
        <w:t xml:space="preserve"> applicable to the </w:t>
      </w:r>
      <w:r w:rsidR="00F416CB">
        <w:rPr>
          <w:rFonts w:cs="Courier New"/>
        </w:rPr>
        <w:t>Utility Proxy Group</w:t>
      </w:r>
      <w:r w:rsidRPr="0034764D">
        <w:rPr>
          <w:rFonts w:cs="Courier New"/>
        </w:rPr>
        <w:t>.  This approach takes into consideration all proxy company results while mitigating high and low side outliers of those results</w:t>
      </w:r>
      <w:r>
        <w:rPr>
          <w:rFonts w:cs="Courier New"/>
        </w:rPr>
        <w:t>.</w:t>
      </w:r>
    </w:p>
    <w:p w14:paraId="42212FE3" w14:textId="4EA508DE" w:rsidR="009A5A7C" w:rsidRDefault="009A5A7C" w:rsidP="00EE19DD">
      <w:pPr>
        <w:widowControl w:val="0"/>
        <w:ind w:left="720" w:hanging="720"/>
        <w:jc w:val="both"/>
        <w:rPr>
          <w:rFonts w:cs="Courier New"/>
        </w:rPr>
      </w:pPr>
    </w:p>
    <w:p w14:paraId="2C52012B" w14:textId="4BF624E8" w:rsidR="009A5A7C" w:rsidRPr="0073351E" w:rsidRDefault="009A5A7C" w:rsidP="00DE6B57">
      <w:pPr>
        <w:pStyle w:val="Heading2"/>
        <w:pBdr>
          <w:left w:val="none" w:sz="0" w:space="0" w:color="auto"/>
          <w:right w:val="none" w:sz="0" w:space="0" w:color="auto"/>
        </w:pBdr>
        <w:ind w:hanging="720"/>
        <w:jc w:val="left"/>
      </w:pPr>
      <w:bookmarkStart w:id="12" w:name="_Toc129962206"/>
      <w:r>
        <w:t>The Risk Premium Model</w:t>
      </w:r>
      <w:bookmarkEnd w:id="12"/>
    </w:p>
    <w:p w14:paraId="0E36F760" w14:textId="5EA5A3E5"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F76A76">
        <w:rPr>
          <w:rFonts w:cs="Courier New"/>
        </w:rPr>
        <w:t>Please describe the theoretical basis of the Risk Premium Model.</w:t>
      </w:r>
    </w:p>
    <w:p w14:paraId="6DBCE488" w14:textId="77777777" w:rsidR="009A5A7C" w:rsidRDefault="009A5A7C" w:rsidP="00EE19DD">
      <w:pPr>
        <w:widowControl w:val="0"/>
        <w:ind w:left="720" w:hanging="720"/>
        <w:jc w:val="both"/>
        <w:rPr>
          <w:rFonts w:cs="Courier New"/>
        </w:rPr>
      </w:pPr>
    </w:p>
    <w:p w14:paraId="1A6D97C4" w14:textId="56FECFF5" w:rsidR="009A5A7C" w:rsidRPr="00AA5914" w:rsidRDefault="009A5A7C" w:rsidP="00EE19DD">
      <w:pPr>
        <w:widowControl w:val="0"/>
        <w:ind w:left="720" w:hanging="720"/>
        <w:jc w:val="both"/>
        <w:rPr>
          <w:rFonts w:cs="Courier New"/>
        </w:rPr>
      </w:pPr>
      <w:r w:rsidRPr="00B23997">
        <w:rPr>
          <w:rFonts w:cs="Courier New"/>
          <w:b/>
        </w:rPr>
        <w:t>A.</w:t>
      </w:r>
      <w:r w:rsidRPr="00B23997">
        <w:rPr>
          <w:rFonts w:cs="Courier New"/>
        </w:rPr>
        <w:tab/>
      </w:r>
      <w:r w:rsidRPr="00AA5914">
        <w:rPr>
          <w:rFonts w:cs="Courier New"/>
        </w:rPr>
        <w:t>The RPM is based on the fundamental financial principle of risk and return; namely, that investors require greater returns for bearing greater risk.  The RPM recognizes that common equity capital has greater investment risk than debt capital, as common equity shareholders are behind debt holders in any claim on a company’s assets and earnings.  As a result, investors require higher returns from common stocks than from bonds to compensate them for bearing the additional risk.</w:t>
      </w:r>
    </w:p>
    <w:p w14:paraId="07BF481B" w14:textId="77777777" w:rsidR="009A5A7C" w:rsidRDefault="009A5A7C" w:rsidP="00EE19DD">
      <w:pPr>
        <w:widowControl w:val="0"/>
        <w:ind w:left="720" w:hanging="720"/>
        <w:jc w:val="both"/>
        <w:rPr>
          <w:rFonts w:cs="Courier New"/>
        </w:rPr>
      </w:pPr>
    </w:p>
    <w:p w14:paraId="02981A44" w14:textId="53FB65CD" w:rsidR="009A5A7C" w:rsidRDefault="009A5A7C" w:rsidP="00EE19DD">
      <w:pPr>
        <w:widowControl w:val="0"/>
        <w:ind w:left="720" w:hanging="720"/>
        <w:jc w:val="both"/>
        <w:rPr>
          <w:rFonts w:cs="Courier New"/>
        </w:rPr>
      </w:pPr>
      <w:r>
        <w:rPr>
          <w:rFonts w:cs="Courier New"/>
        </w:rPr>
        <w:tab/>
      </w:r>
      <w:r w:rsidRPr="00AA5914">
        <w:rPr>
          <w:rFonts w:cs="Courier New"/>
        </w:rPr>
        <w:t>While it is possible to directly observe bond returns and yields, common equity returns</w:t>
      </w:r>
      <w:r w:rsidR="00FA0405">
        <w:rPr>
          <w:rFonts w:cs="Courier New"/>
        </w:rPr>
        <w:t xml:space="preserve"> required by investors</w:t>
      </w:r>
      <w:r w:rsidRPr="00AA5914">
        <w:rPr>
          <w:rFonts w:cs="Courier New"/>
        </w:rPr>
        <w:t xml:space="preserve"> cannot be directly determined or observed.  According to RPM theory, </w:t>
      </w:r>
      <w:r w:rsidRPr="00AA5914">
        <w:rPr>
          <w:rFonts w:cs="Courier New"/>
        </w:rPr>
        <w:lastRenderedPageBreak/>
        <w:t>one can estimate a common equity risk premium over bonds (either historically or prospectively) and use that premium to derive a cost rate of common equity.  The cost of common equity equals the expected cost rate for long-term debt capital, plus a risk premium over that cost rate, to compensate common shareholders for the added risk of being unsecured and last-in-line for any claim on the corporation’s assets and earnings upon liquidation.</w:t>
      </w:r>
    </w:p>
    <w:p w14:paraId="6E7D3D51" w14:textId="77777777" w:rsidR="008C7AE2" w:rsidRPr="0073351E" w:rsidRDefault="008C7AE2" w:rsidP="00EE19DD">
      <w:pPr>
        <w:widowControl w:val="0"/>
        <w:ind w:left="720" w:hanging="720"/>
        <w:jc w:val="both"/>
        <w:rPr>
          <w:rFonts w:cs="Courier New"/>
        </w:rPr>
      </w:pPr>
    </w:p>
    <w:p w14:paraId="0FEF9603" w14:textId="1D8ADDC7"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AB385A">
        <w:rPr>
          <w:rFonts w:cs="Courier New"/>
        </w:rPr>
        <w:t>Please explain how you derived your indicated cost of common equity based on the RPM.</w:t>
      </w:r>
    </w:p>
    <w:p w14:paraId="755AB86B" w14:textId="77777777" w:rsidR="009A5A7C" w:rsidRDefault="009A5A7C" w:rsidP="00EE19DD">
      <w:pPr>
        <w:widowControl w:val="0"/>
        <w:ind w:left="720" w:hanging="720"/>
        <w:jc w:val="both"/>
        <w:rPr>
          <w:rFonts w:cs="Courier New"/>
        </w:rPr>
      </w:pPr>
    </w:p>
    <w:p w14:paraId="3461DE14" w14:textId="730EBDA1"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8C152D">
        <w:rPr>
          <w:rFonts w:cs="Courier New"/>
        </w:rPr>
        <w:t>To derive my indicated cost of common equity under the RPM, I used two risk premium methods.  The first method was the PRPM and the second method was a risk premium model using a total market approach.  The PRPM estimates the risk-return relationship directly, while the total market approach indirectly derives a risk premium by using known metrics as a proxy for risk.</w:t>
      </w:r>
    </w:p>
    <w:p w14:paraId="178DCC17" w14:textId="77777777" w:rsidR="00FC535B" w:rsidRPr="0073351E" w:rsidRDefault="00FC535B" w:rsidP="00EE19DD">
      <w:pPr>
        <w:widowControl w:val="0"/>
        <w:ind w:left="720" w:hanging="720"/>
        <w:jc w:val="both"/>
        <w:rPr>
          <w:rFonts w:cs="Courier New"/>
        </w:rPr>
      </w:pPr>
    </w:p>
    <w:p w14:paraId="6F83EB04" w14:textId="54271969" w:rsidR="009A5A7C" w:rsidRPr="00BE3432" w:rsidRDefault="009A5A7C" w:rsidP="00F413CA">
      <w:pPr>
        <w:pStyle w:val="Heading3"/>
        <w:jc w:val="left"/>
      </w:pPr>
      <w:bookmarkStart w:id="13" w:name="_Toc129962207"/>
      <w:r w:rsidRPr="00BE3432">
        <w:t>The Predictive Risk Premium Model</w:t>
      </w:r>
      <w:bookmarkEnd w:id="13"/>
    </w:p>
    <w:p w14:paraId="7A7AC22E" w14:textId="072195FE" w:rsidR="009A5A7C" w:rsidRDefault="009A5A7C" w:rsidP="00656D9B">
      <w:pPr>
        <w:keepNext/>
        <w:keepLines/>
        <w:widowControl w:val="0"/>
        <w:ind w:left="720" w:hanging="720"/>
        <w:jc w:val="both"/>
        <w:rPr>
          <w:rFonts w:cs="Courier New"/>
        </w:rPr>
      </w:pPr>
      <w:r w:rsidRPr="00B23997">
        <w:rPr>
          <w:rFonts w:cs="Courier New"/>
          <w:b/>
        </w:rPr>
        <w:t>Q.</w:t>
      </w:r>
      <w:r w:rsidRPr="00B23997">
        <w:rPr>
          <w:rFonts w:cs="Courier New"/>
        </w:rPr>
        <w:tab/>
      </w:r>
      <w:r>
        <w:rPr>
          <w:rFonts w:cs="Courier New"/>
        </w:rPr>
        <w:t>Please explain the PRPM.</w:t>
      </w:r>
    </w:p>
    <w:p w14:paraId="52785459" w14:textId="77777777" w:rsidR="009A5A7C" w:rsidRDefault="009A5A7C" w:rsidP="00656D9B">
      <w:pPr>
        <w:keepNext/>
        <w:keepLines/>
        <w:widowControl w:val="0"/>
        <w:ind w:left="720" w:hanging="720"/>
        <w:jc w:val="both"/>
        <w:rPr>
          <w:rFonts w:cs="Courier New"/>
        </w:rPr>
      </w:pPr>
    </w:p>
    <w:p w14:paraId="2B1C0DD4" w14:textId="666CF528"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Pr>
          <w:rFonts w:cs="Courier New"/>
        </w:rPr>
        <w:t xml:space="preserve">The PRPM, published in the </w:t>
      </w:r>
      <w:r>
        <w:rPr>
          <w:rFonts w:cs="Courier New"/>
          <w:i/>
          <w:iCs/>
        </w:rPr>
        <w:t>Journal of Regulatory Economics</w:t>
      </w:r>
      <w:r>
        <w:rPr>
          <w:rFonts w:cs="Courier New"/>
        </w:rPr>
        <w:t>,</w:t>
      </w:r>
      <w:r>
        <w:rPr>
          <w:rStyle w:val="EndnoteReference"/>
          <w:rFonts w:cs="Courier New"/>
        </w:rPr>
        <w:endnoteReference w:id="13"/>
      </w:r>
      <w:r>
        <w:rPr>
          <w:rFonts w:cs="Courier New"/>
        </w:rPr>
        <w:t xml:space="preserve"> was developed from the work of Robert F. Engle, who shared </w:t>
      </w:r>
      <w:r>
        <w:rPr>
          <w:rFonts w:cs="Courier New"/>
        </w:rPr>
        <w:lastRenderedPageBreak/>
        <w:t>the Nobel Prize in Economics in 2003 “for methods of analyzing economic time series with time-varying volatility” or ARCH.</w:t>
      </w:r>
      <w:r>
        <w:rPr>
          <w:rStyle w:val="EndnoteReference"/>
          <w:rFonts w:cs="Courier New"/>
        </w:rPr>
        <w:endnoteReference w:id="14"/>
      </w:r>
      <w:r>
        <w:rPr>
          <w:rFonts w:cs="Courier New"/>
        </w:rPr>
        <w:t xml:space="preserve">  </w:t>
      </w:r>
      <w:r w:rsidRPr="00E03EA2">
        <w:rPr>
          <w:rFonts w:cs="Courier New"/>
        </w:rPr>
        <w:t>Engle found that volatility changes over time and is related from one period to the next, especially in financial markets.  Engle discovered that volatility of prices and returns clusters over time and is, therefore, highly predictable and can be used to predict future levels of risk and risk premiums.</w:t>
      </w:r>
    </w:p>
    <w:p w14:paraId="7D05E907" w14:textId="77777777" w:rsidR="009A5A7C" w:rsidRPr="00E03EA2" w:rsidRDefault="009A5A7C" w:rsidP="00EE19DD">
      <w:pPr>
        <w:widowControl w:val="0"/>
        <w:ind w:left="720" w:hanging="720"/>
        <w:jc w:val="both"/>
        <w:rPr>
          <w:rFonts w:cs="Courier New"/>
        </w:rPr>
      </w:pPr>
    </w:p>
    <w:p w14:paraId="6D48BB10" w14:textId="1A67E777" w:rsidR="009A5A7C" w:rsidRDefault="009A5A7C" w:rsidP="00EE19DD">
      <w:pPr>
        <w:widowControl w:val="0"/>
        <w:ind w:left="720" w:hanging="720"/>
        <w:jc w:val="both"/>
        <w:rPr>
          <w:rFonts w:cs="Courier New"/>
        </w:rPr>
      </w:pPr>
      <w:r>
        <w:rPr>
          <w:rFonts w:cs="Courier New"/>
        </w:rPr>
        <w:tab/>
      </w:r>
      <w:r w:rsidRPr="00E03EA2">
        <w:rPr>
          <w:rFonts w:cs="Courier New"/>
        </w:rPr>
        <w:t xml:space="preserve">The PRPM estimates the risk-return relationship directly, as the predicted equity risk premium is generated by predicting volatility or risk.  The PRPM is not based on an </w:t>
      </w:r>
      <w:r w:rsidRPr="00E03EA2">
        <w:rPr>
          <w:rFonts w:cs="Courier New"/>
          <w:u w:val="single"/>
        </w:rPr>
        <w:t>estimate</w:t>
      </w:r>
      <w:r w:rsidRPr="00E03EA2">
        <w:rPr>
          <w:rFonts w:cs="Courier New"/>
        </w:rPr>
        <w:t xml:space="preserve"> of investor behavior, but rather on an evaluation of the results of that behavior (</w:t>
      </w:r>
      <w:r w:rsidRPr="00C873D1">
        <w:rPr>
          <w:rFonts w:cs="Courier New"/>
          <w:i/>
        </w:rPr>
        <w:t>i.e.,</w:t>
      </w:r>
      <w:r w:rsidRPr="00E03EA2">
        <w:rPr>
          <w:rFonts w:cs="Courier New"/>
        </w:rPr>
        <w:t xml:space="preserve"> the variance of historical equity risk premiums).</w:t>
      </w:r>
    </w:p>
    <w:p w14:paraId="1F278099" w14:textId="77777777" w:rsidR="008621AC" w:rsidRPr="00E817F2" w:rsidRDefault="008621AC" w:rsidP="00EE19DD">
      <w:pPr>
        <w:widowControl w:val="0"/>
        <w:ind w:left="720" w:hanging="720"/>
        <w:jc w:val="both"/>
        <w:rPr>
          <w:rFonts w:cs="Courier New"/>
        </w:rPr>
      </w:pPr>
    </w:p>
    <w:p w14:paraId="263A2E33" w14:textId="270645AD" w:rsidR="008621AC" w:rsidRDefault="008621AC" w:rsidP="008621AC">
      <w:pPr>
        <w:widowControl w:val="0"/>
        <w:ind w:left="720"/>
        <w:jc w:val="both"/>
        <w:rPr>
          <w:rFonts w:cs="Courier New"/>
        </w:rPr>
      </w:pPr>
      <w:r w:rsidRPr="008621AC">
        <w:rPr>
          <w:rFonts w:cs="Courier New"/>
        </w:rPr>
        <w:t>A generalized form of the ARCH methodology (</w:t>
      </w:r>
      <w:r w:rsidR="00372496">
        <w:rPr>
          <w:rFonts w:cs="Courier New"/>
        </w:rPr>
        <w:t>“</w:t>
      </w:r>
      <w:r w:rsidRPr="008621AC">
        <w:rPr>
          <w:rFonts w:cs="Courier New"/>
        </w:rPr>
        <w:t>GARCH</w:t>
      </w:r>
      <w:r w:rsidR="00372496">
        <w:rPr>
          <w:rFonts w:cs="Courier New"/>
        </w:rPr>
        <w:t>”</w:t>
      </w:r>
      <w:r w:rsidRPr="008621AC">
        <w:rPr>
          <w:rFonts w:cs="Courier New"/>
        </w:rPr>
        <w:t xml:space="preserve">) has been well tested by academia since Engle’s, </w:t>
      </w:r>
      <w:r w:rsidRPr="008621AC">
        <w:rPr>
          <w:rFonts w:cs="Courier New"/>
          <w:i/>
        </w:rPr>
        <w:t>et al</w:t>
      </w:r>
      <w:r w:rsidRPr="008621AC">
        <w:rPr>
          <w:rFonts w:cs="Courier New"/>
        </w:rPr>
        <w:t xml:space="preserve">. research was originally published in 1982, 40 years ago.  The PRPM is in the public domain, having been published six times in academically peer-reviewed journals: </w:t>
      </w:r>
      <w:r w:rsidRPr="008621AC">
        <w:rPr>
          <w:rFonts w:cs="Courier New"/>
          <w:u w:val="single"/>
        </w:rPr>
        <w:t>Journal of Economics and Business</w:t>
      </w:r>
      <w:r w:rsidRPr="008621AC">
        <w:rPr>
          <w:rFonts w:cs="Courier New"/>
          <w:i/>
          <w:iCs/>
        </w:rPr>
        <w:t xml:space="preserve"> </w:t>
      </w:r>
      <w:r w:rsidRPr="008621AC">
        <w:rPr>
          <w:rFonts w:cs="Courier New"/>
        </w:rPr>
        <w:t>(June 2011 and April 2015),</w:t>
      </w:r>
      <w:r w:rsidR="005F242F">
        <w:rPr>
          <w:rStyle w:val="EndnoteReference"/>
          <w:rFonts w:cs="Courier New"/>
        </w:rPr>
        <w:endnoteReference w:id="15"/>
      </w:r>
      <w:r w:rsidRPr="008621AC">
        <w:rPr>
          <w:rFonts w:cs="Courier New"/>
        </w:rPr>
        <w:t xml:space="preserve"> </w:t>
      </w:r>
      <w:r w:rsidRPr="008621AC">
        <w:rPr>
          <w:rFonts w:cs="Courier New"/>
          <w:iCs/>
          <w:u w:val="single"/>
        </w:rPr>
        <w:t>The Journal of Regulatory Economics</w:t>
      </w:r>
      <w:r w:rsidRPr="008621AC">
        <w:rPr>
          <w:rFonts w:cs="Courier New"/>
        </w:rPr>
        <w:t xml:space="preserve"> (December 2011),</w:t>
      </w:r>
      <w:r w:rsidR="005F242F">
        <w:rPr>
          <w:rStyle w:val="EndnoteReference"/>
          <w:rFonts w:cs="Courier New"/>
        </w:rPr>
        <w:endnoteReference w:id="16"/>
      </w:r>
      <w:r w:rsidRPr="008621AC">
        <w:rPr>
          <w:rFonts w:cs="Courier New"/>
        </w:rPr>
        <w:t xml:space="preserve"> </w:t>
      </w:r>
      <w:r w:rsidRPr="008621AC">
        <w:rPr>
          <w:rFonts w:cs="Courier New"/>
          <w:iCs/>
          <w:u w:val="single"/>
        </w:rPr>
        <w:t>The Electricity Journal</w:t>
      </w:r>
      <w:r w:rsidRPr="008621AC">
        <w:rPr>
          <w:rFonts w:cs="Courier New"/>
        </w:rPr>
        <w:t xml:space="preserve"> (May 2013 and March 2020),</w:t>
      </w:r>
      <w:r w:rsidR="005F242F">
        <w:rPr>
          <w:rStyle w:val="EndnoteReference"/>
          <w:rFonts w:cs="Courier New"/>
        </w:rPr>
        <w:endnoteReference w:id="17"/>
      </w:r>
      <w:r w:rsidRPr="008621AC">
        <w:rPr>
          <w:rFonts w:cs="Courier New"/>
        </w:rPr>
        <w:t xml:space="preserve"> and </w:t>
      </w:r>
      <w:r w:rsidRPr="008621AC">
        <w:rPr>
          <w:rFonts w:cs="Courier New"/>
          <w:u w:val="single"/>
        </w:rPr>
        <w:t>Energy Policy</w:t>
      </w:r>
      <w:r w:rsidRPr="008621AC">
        <w:rPr>
          <w:rFonts w:cs="Courier New"/>
        </w:rPr>
        <w:t xml:space="preserve"> (April 2019).</w:t>
      </w:r>
      <w:r w:rsidR="003D3888">
        <w:rPr>
          <w:rStyle w:val="EndnoteReference"/>
          <w:rFonts w:cs="Courier New"/>
        </w:rPr>
        <w:endnoteReference w:id="18"/>
      </w:r>
      <w:r w:rsidRPr="008621AC">
        <w:rPr>
          <w:rFonts w:cs="Courier New"/>
        </w:rPr>
        <w:t xml:space="preserve"> Notably, none of these articles have been rebutted </w:t>
      </w:r>
      <w:r w:rsidRPr="008621AC">
        <w:rPr>
          <w:rFonts w:cs="Courier New"/>
        </w:rPr>
        <w:lastRenderedPageBreak/>
        <w:t>in the academic literature.</w:t>
      </w:r>
    </w:p>
    <w:p w14:paraId="77C197CC" w14:textId="77777777" w:rsidR="008621AC" w:rsidRPr="008621AC" w:rsidRDefault="008621AC" w:rsidP="00411600">
      <w:pPr>
        <w:widowControl w:val="0"/>
        <w:ind w:left="720"/>
        <w:jc w:val="both"/>
        <w:rPr>
          <w:rFonts w:cs="Courier New"/>
        </w:rPr>
      </w:pPr>
    </w:p>
    <w:p w14:paraId="210B1C18" w14:textId="77777777" w:rsidR="008621AC" w:rsidRPr="008621AC" w:rsidRDefault="008621AC" w:rsidP="008621AC">
      <w:pPr>
        <w:widowControl w:val="0"/>
        <w:ind w:left="720" w:hanging="720"/>
        <w:jc w:val="both"/>
        <w:rPr>
          <w:rFonts w:cs="Courier New"/>
          <w:lang w:val="x-none"/>
        </w:rPr>
      </w:pPr>
      <w:r w:rsidRPr="008621AC">
        <w:rPr>
          <w:rFonts w:cs="Courier New"/>
        </w:rPr>
        <w:tab/>
      </w:r>
      <w:r w:rsidRPr="008621AC">
        <w:rPr>
          <w:rFonts w:cs="Courier New"/>
          <w:lang w:val="x-none"/>
        </w:rPr>
        <w:t>The PRPM is also cited in the following textbooks on cost of capital by authors unaffiliated with the authors of the academic articles cited above:</w:t>
      </w:r>
    </w:p>
    <w:p w14:paraId="424175B9" w14:textId="77777777" w:rsidR="008621AC" w:rsidRPr="008621AC" w:rsidRDefault="008621AC" w:rsidP="00411600">
      <w:pPr>
        <w:widowControl w:val="0"/>
        <w:numPr>
          <w:ilvl w:val="0"/>
          <w:numId w:val="19"/>
        </w:numPr>
        <w:ind w:left="1080"/>
        <w:jc w:val="both"/>
        <w:rPr>
          <w:rFonts w:cs="Courier New"/>
          <w:lang w:val="x-none"/>
        </w:rPr>
      </w:pPr>
      <w:r w:rsidRPr="008621AC">
        <w:rPr>
          <w:rFonts w:cs="Courier New"/>
          <w:lang w:val="x-none"/>
        </w:rPr>
        <w:t xml:space="preserve">Shannon Pratt and Roger Grabowski, </w:t>
      </w:r>
      <w:r w:rsidRPr="008621AC">
        <w:rPr>
          <w:rFonts w:cs="Courier New"/>
          <w:u w:val="single"/>
          <w:lang w:val="x-none"/>
        </w:rPr>
        <w:t>Cost of Capital: Applications and Examples</w:t>
      </w:r>
      <w:r w:rsidRPr="008621AC">
        <w:rPr>
          <w:rFonts w:cs="Courier New"/>
          <w:lang w:val="x-none"/>
        </w:rPr>
        <w:t>, (Fifth Edition), Wiley &amp; Sons, 2015;</w:t>
      </w:r>
    </w:p>
    <w:p w14:paraId="644E0C1A" w14:textId="77777777" w:rsidR="008621AC" w:rsidRPr="008621AC" w:rsidRDefault="008621AC" w:rsidP="00411600">
      <w:pPr>
        <w:widowControl w:val="0"/>
        <w:numPr>
          <w:ilvl w:val="0"/>
          <w:numId w:val="19"/>
        </w:numPr>
        <w:ind w:left="1080"/>
        <w:jc w:val="both"/>
        <w:rPr>
          <w:rFonts w:cs="Courier New"/>
          <w:lang w:val="x-none"/>
        </w:rPr>
      </w:pPr>
      <w:r w:rsidRPr="008621AC">
        <w:rPr>
          <w:rFonts w:cs="Courier New"/>
          <w:lang w:val="x-none"/>
        </w:rPr>
        <w:t xml:space="preserve">Shannon Pratt and Roger Grabowski, </w:t>
      </w:r>
      <w:r w:rsidRPr="008621AC">
        <w:rPr>
          <w:rFonts w:cs="Courier New"/>
          <w:u w:val="single"/>
          <w:lang w:val="x-none"/>
        </w:rPr>
        <w:t>The Lawyer’s Guide to Cost of Capital: Understanding Risk and Return for Valuing Businesses and Other Investments</w:t>
      </w:r>
      <w:r w:rsidRPr="008621AC">
        <w:rPr>
          <w:rFonts w:cs="Courier New"/>
          <w:lang w:val="x-none"/>
        </w:rPr>
        <w:t>, ABA Publishing, 2015; and</w:t>
      </w:r>
    </w:p>
    <w:p w14:paraId="21332FBE" w14:textId="77777777" w:rsidR="008621AC" w:rsidRPr="008621AC" w:rsidRDefault="008621AC" w:rsidP="00411600">
      <w:pPr>
        <w:widowControl w:val="0"/>
        <w:numPr>
          <w:ilvl w:val="0"/>
          <w:numId w:val="19"/>
        </w:numPr>
        <w:ind w:left="1080"/>
        <w:jc w:val="both"/>
        <w:rPr>
          <w:rFonts w:cs="Courier New"/>
          <w:lang w:val="x-none"/>
        </w:rPr>
      </w:pPr>
      <w:r w:rsidRPr="008621AC">
        <w:rPr>
          <w:rFonts w:cs="Courier New"/>
          <w:lang w:val="x-none"/>
        </w:rPr>
        <w:t xml:space="preserve">Roger A. Morin, </w:t>
      </w:r>
      <w:r w:rsidRPr="008621AC">
        <w:rPr>
          <w:rFonts w:cs="Courier New"/>
          <w:u w:val="single"/>
          <w:lang w:val="x-none"/>
        </w:rPr>
        <w:t>Modern Regulatory Finance</w:t>
      </w:r>
      <w:r w:rsidRPr="008621AC">
        <w:rPr>
          <w:rFonts w:cs="Courier New"/>
          <w:lang w:val="x-none"/>
        </w:rPr>
        <w:t>, PUR Books, 2021.</w:t>
      </w:r>
    </w:p>
    <w:p w14:paraId="1A3D41C3" w14:textId="77777777" w:rsidR="009A5A7C" w:rsidRPr="0073351E" w:rsidRDefault="009A5A7C" w:rsidP="00EE19DD">
      <w:pPr>
        <w:widowControl w:val="0"/>
        <w:ind w:left="720" w:hanging="720"/>
        <w:jc w:val="both"/>
        <w:rPr>
          <w:rFonts w:cs="Courier New"/>
        </w:rPr>
      </w:pPr>
    </w:p>
    <w:p w14:paraId="3B108D83" w14:textId="5D277080"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Pr>
          <w:rFonts w:cs="Courier New"/>
        </w:rPr>
        <w:t>Please explain the application of the PRPM.</w:t>
      </w:r>
    </w:p>
    <w:p w14:paraId="0511B2DC" w14:textId="77777777" w:rsidR="009A5A7C" w:rsidRDefault="009A5A7C" w:rsidP="00EE19DD">
      <w:pPr>
        <w:widowControl w:val="0"/>
        <w:ind w:left="720" w:hanging="720"/>
        <w:jc w:val="both"/>
        <w:rPr>
          <w:rFonts w:cs="Courier New"/>
        </w:rPr>
      </w:pPr>
    </w:p>
    <w:p w14:paraId="1307545A" w14:textId="0B5383B1"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2B5D42">
        <w:rPr>
          <w:rFonts w:cs="Courier New"/>
        </w:rPr>
        <w:t xml:space="preserve">The inputs to the model are the historical returns on the common shares of each of the Utility </w:t>
      </w:r>
      <w:r w:rsidR="007F3283">
        <w:rPr>
          <w:rFonts w:cs="Courier New"/>
        </w:rPr>
        <w:t>P</w:t>
      </w:r>
      <w:r w:rsidRPr="002B5D42">
        <w:rPr>
          <w:rFonts w:cs="Courier New"/>
        </w:rPr>
        <w:t xml:space="preserve">roxy </w:t>
      </w:r>
      <w:r w:rsidR="007F3283">
        <w:rPr>
          <w:rFonts w:cs="Courier New"/>
        </w:rPr>
        <w:t>G</w:t>
      </w:r>
      <w:r w:rsidRPr="002B5D42">
        <w:rPr>
          <w:rFonts w:cs="Courier New"/>
        </w:rPr>
        <w:t xml:space="preserve">roup’s companies minus the historical monthly yield on long-term U.S. Treasury securities through </w:t>
      </w:r>
      <w:r w:rsidR="004E7F6D">
        <w:rPr>
          <w:rFonts w:cs="Courier New"/>
        </w:rPr>
        <w:t>December</w:t>
      </w:r>
      <w:r w:rsidR="004E7F6D" w:rsidRPr="002B5D42">
        <w:rPr>
          <w:rFonts w:cs="Courier New"/>
        </w:rPr>
        <w:t xml:space="preserve"> </w:t>
      </w:r>
      <w:r w:rsidRPr="002B5D42">
        <w:rPr>
          <w:rFonts w:cs="Courier New"/>
        </w:rPr>
        <w:t xml:space="preserve">2022.  Using GARCH, I calculated each of the </w:t>
      </w:r>
      <w:r w:rsidR="00F416CB">
        <w:rPr>
          <w:rFonts w:cs="Courier New"/>
        </w:rPr>
        <w:t>Utility Proxy Group</w:t>
      </w:r>
      <w:r w:rsidR="00F1739F" w:rsidRPr="002B5D42">
        <w:rPr>
          <w:rFonts w:cs="Courier New"/>
        </w:rPr>
        <w:t>’s companies</w:t>
      </w:r>
      <w:r w:rsidRPr="002B5D42">
        <w:rPr>
          <w:rFonts w:cs="Courier New"/>
        </w:rPr>
        <w:t>’ projected equity risk premium using Eviews</w:t>
      </w:r>
      <w:r w:rsidRPr="002B5D42">
        <w:rPr>
          <w:rFonts w:cs="Courier New"/>
          <w:vertAlign w:val="superscript"/>
        </w:rPr>
        <w:t>©</w:t>
      </w:r>
      <w:r w:rsidRPr="002B5D42">
        <w:rPr>
          <w:rFonts w:cs="Courier New"/>
        </w:rPr>
        <w:t xml:space="preserve"> statistical software.  When the GARCH model is applied to the historical return data, it produces a predicted GARCH variance series</w:t>
      </w:r>
      <w:r w:rsidR="00F1739F">
        <w:rPr>
          <w:rFonts w:cs="Courier New"/>
        </w:rPr>
        <w:t xml:space="preserve"> (</w:t>
      </w:r>
      <w:r w:rsidR="009223CE">
        <w:rPr>
          <w:rFonts w:cs="Courier New"/>
        </w:rPr>
        <w:t xml:space="preserve">as illustrated on Columns 1 and 2, page 2 of </w:t>
      </w:r>
      <w:r w:rsidR="009223CE" w:rsidRPr="00C55E3B">
        <w:rPr>
          <w:rFonts w:cs="Courier New"/>
        </w:rPr>
        <w:t>Document No. 4</w:t>
      </w:r>
      <w:r w:rsidR="009223CE" w:rsidRPr="00B863F8">
        <w:rPr>
          <w:rFonts w:cs="Courier New"/>
        </w:rPr>
        <w:t>)</w:t>
      </w:r>
      <w:r w:rsidRPr="00B863F8">
        <w:rPr>
          <w:rFonts w:cs="Courier New"/>
        </w:rPr>
        <w:t xml:space="preserve"> and a GARCH </w:t>
      </w:r>
      <w:r w:rsidRPr="00B863F8">
        <w:rPr>
          <w:rFonts w:cs="Courier New"/>
        </w:rPr>
        <w:lastRenderedPageBreak/>
        <w:t>coefficient</w:t>
      </w:r>
      <w:r w:rsidR="009223CE" w:rsidRPr="00B863F8">
        <w:rPr>
          <w:rFonts w:cs="Courier New"/>
        </w:rPr>
        <w:t xml:space="preserve"> (as illustrated on Column 4, page 2 of </w:t>
      </w:r>
      <w:r w:rsidR="009223CE" w:rsidRPr="00C55E3B">
        <w:rPr>
          <w:rFonts w:cs="Courier New"/>
        </w:rPr>
        <w:t>Document No. 4</w:t>
      </w:r>
      <w:r w:rsidR="009223CE">
        <w:rPr>
          <w:rFonts w:cs="Courier New"/>
        </w:rPr>
        <w:t>)</w:t>
      </w:r>
      <w:r>
        <w:rPr>
          <w:rFonts w:cs="Courier New"/>
        </w:rPr>
        <w:t xml:space="preserve">.  </w:t>
      </w:r>
      <w:r w:rsidRPr="0024223B">
        <w:rPr>
          <w:rFonts w:cs="Courier New"/>
        </w:rPr>
        <w:t>Multiplying the predicted monthly variance by the GARCH coefficient and then annualizing it</w:t>
      </w:r>
      <w:r>
        <w:rPr>
          <w:rStyle w:val="EndnoteReference"/>
          <w:rFonts w:cs="Courier New"/>
        </w:rPr>
        <w:endnoteReference w:id="19"/>
      </w:r>
      <w:r>
        <w:rPr>
          <w:rFonts w:cs="Courier New"/>
        </w:rPr>
        <w:t xml:space="preserve"> </w:t>
      </w:r>
      <w:r w:rsidRPr="006A6C2B">
        <w:rPr>
          <w:rFonts w:cs="Courier New"/>
        </w:rPr>
        <w:t xml:space="preserve">produces the predicted annual equity risk premium.  I </w:t>
      </w:r>
      <w:r w:rsidRPr="00B863F8">
        <w:rPr>
          <w:rFonts w:cs="Courier New"/>
        </w:rPr>
        <w:t xml:space="preserve">then added the forecasted 30-year U.S. Treasury bond yield of </w:t>
      </w:r>
      <w:r w:rsidRPr="00C55E3B">
        <w:rPr>
          <w:rFonts w:cs="Courier New"/>
        </w:rPr>
        <w:t>3.</w:t>
      </w:r>
      <w:r w:rsidR="00B863F8" w:rsidRPr="00B863F8">
        <w:rPr>
          <w:rFonts w:cs="Courier New"/>
        </w:rPr>
        <w:t xml:space="preserve">91 </w:t>
      </w:r>
      <w:r w:rsidR="00AA0543" w:rsidRPr="00B863F8">
        <w:rPr>
          <w:rFonts w:cs="Courier New"/>
        </w:rPr>
        <w:t>percent</w:t>
      </w:r>
      <w:r w:rsidR="004A0940" w:rsidRPr="00B863F8">
        <w:rPr>
          <w:rFonts w:cs="Courier New"/>
        </w:rPr>
        <w:t xml:space="preserve"> (</w:t>
      </w:r>
      <w:r w:rsidR="004A0940" w:rsidRPr="00B863F8">
        <w:rPr>
          <w:rFonts w:cs="Courier New"/>
          <w:i/>
          <w:iCs/>
        </w:rPr>
        <w:t>see</w:t>
      </w:r>
      <w:r w:rsidR="004A0940" w:rsidRPr="00B863F8">
        <w:rPr>
          <w:rFonts w:cs="Courier New"/>
        </w:rPr>
        <w:t>, Column 6</w:t>
      </w:r>
      <w:r w:rsidR="00644A3D" w:rsidRPr="00B863F8">
        <w:rPr>
          <w:rFonts w:cs="Courier New"/>
        </w:rPr>
        <w:t xml:space="preserve">, page 2 of </w:t>
      </w:r>
      <w:r w:rsidR="00644A3D" w:rsidRPr="00C55E3B">
        <w:rPr>
          <w:rFonts w:cs="Courier New"/>
        </w:rPr>
        <w:t>Document No. 4</w:t>
      </w:r>
      <w:r w:rsidR="00644A3D" w:rsidRPr="00B863F8">
        <w:rPr>
          <w:rFonts w:cs="Courier New"/>
        </w:rPr>
        <w:t>)</w:t>
      </w:r>
      <w:r w:rsidRPr="00B863F8">
        <w:rPr>
          <w:rFonts w:cs="Courier New"/>
        </w:rPr>
        <w:t xml:space="preserve"> to each company’s PRPM-derived equity risk premium to arrive at an indicated cost of common equity.  The 30-year U.S. Treasury</w:t>
      </w:r>
      <w:r w:rsidRPr="00B05724">
        <w:rPr>
          <w:rFonts w:cs="Courier New"/>
        </w:rPr>
        <w:t xml:space="preserve"> bond yield is a consensus forecast derived from </w:t>
      </w:r>
      <w:r w:rsidRPr="00B05724">
        <w:rPr>
          <w:rFonts w:cs="Courier New"/>
          <w:i/>
        </w:rPr>
        <w:t xml:space="preserve">Blue Chip Financial Forecasts </w:t>
      </w:r>
      <w:r w:rsidRPr="00B05724">
        <w:rPr>
          <w:rFonts w:cs="Courier New"/>
        </w:rPr>
        <w:t>(“</w:t>
      </w:r>
      <w:r w:rsidRPr="00B05724">
        <w:rPr>
          <w:rFonts w:cs="Courier New"/>
          <w:i/>
        </w:rPr>
        <w:t>Blue Chip</w:t>
      </w:r>
      <w:r w:rsidRPr="00B05724">
        <w:rPr>
          <w:rFonts w:cs="Courier New"/>
          <w:iCs/>
        </w:rPr>
        <w:t>”</w:t>
      </w:r>
      <w:r w:rsidRPr="00644A3D">
        <w:rPr>
          <w:rFonts w:cs="Courier New"/>
        </w:rPr>
        <w:t>)</w:t>
      </w:r>
      <w:r w:rsidRPr="00644A3D">
        <w:rPr>
          <w:rFonts w:cs="Courier New"/>
          <w:iCs/>
        </w:rPr>
        <w:t>.</w:t>
      </w:r>
      <w:r w:rsidRPr="00644A3D">
        <w:rPr>
          <w:rStyle w:val="EndnoteReference"/>
          <w:rFonts w:cs="Courier New"/>
          <w:iCs/>
        </w:rPr>
        <w:endnoteReference w:id="20"/>
      </w:r>
    </w:p>
    <w:p w14:paraId="1B3BBD8A" w14:textId="77777777" w:rsidR="009A5A7C" w:rsidRPr="0073351E" w:rsidRDefault="009A5A7C" w:rsidP="00EE19DD">
      <w:pPr>
        <w:widowControl w:val="0"/>
        <w:ind w:left="720" w:hanging="720"/>
        <w:jc w:val="both"/>
        <w:rPr>
          <w:rFonts w:cs="Courier New"/>
        </w:rPr>
      </w:pPr>
    </w:p>
    <w:p w14:paraId="5DE31D7D" w14:textId="6CD68812"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Pr>
          <w:rFonts w:cs="Courier New"/>
        </w:rPr>
        <w:t>Please describe your selection of a risk-free rate of return.</w:t>
      </w:r>
    </w:p>
    <w:p w14:paraId="6CEF33C0" w14:textId="77777777" w:rsidR="009A5A7C" w:rsidRDefault="009A5A7C" w:rsidP="00EE19DD">
      <w:pPr>
        <w:widowControl w:val="0"/>
        <w:ind w:left="720" w:hanging="720"/>
        <w:jc w:val="both"/>
        <w:rPr>
          <w:rFonts w:cs="Courier New"/>
        </w:rPr>
      </w:pPr>
    </w:p>
    <w:p w14:paraId="2FA149CF" w14:textId="544895A3"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7C2E35">
        <w:rPr>
          <w:rFonts w:cs="Courier New"/>
        </w:rPr>
        <w:t xml:space="preserve">As shown in </w:t>
      </w:r>
      <w:r w:rsidR="001A479E" w:rsidRPr="00C55E3B">
        <w:rPr>
          <w:rFonts w:cs="Courier New"/>
        </w:rPr>
        <w:t xml:space="preserve">Document Nos. </w:t>
      </w:r>
      <w:r w:rsidRPr="00C55E3B">
        <w:rPr>
          <w:rFonts w:cs="Courier New"/>
        </w:rPr>
        <w:t>4 and 5</w:t>
      </w:r>
      <w:r w:rsidRPr="007C2E35">
        <w:rPr>
          <w:rFonts w:cs="Courier New"/>
        </w:rPr>
        <w:t xml:space="preserve">, the risk-free rate of return adopted for applications of the RPM and CAPM is </w:t>
      </w:r>
      <w:r w:rsidR="00461913">
        <w:rPr>
          <w:rFonts w:cs="Courier New"/>
        </w:rPr>
        <w:t>3.91</w:t>
      </w:r>
      <w:r w:rsidR="00F90F70">
        <w:rPr>
          <w:rFonts w:cs="Courier New"/>
        </w:rPr>
        <w:t xml:space="preserve"> percent</w:t>
      </w:r>
      <w:r w:rsidRPr="007C2E35">
        <w:rPr>
          <w:rFonts w:cs="Courier New"/>
        </w:rPr>
        <w:t xml:space="preserve">.  This risk-free rate is based on the average of the </w:t>
      </w:r>
      <w:r w:rsidRPr="007C2E35">
        <w:rPr>
          <w:rFonts w:cs="Courier New"/>
          <w:i/>
          <w:iCs/>
        </w:rPr>
        <w:t>Blue</w:t>
      </w:r>
      <w:r w:rsidR="00FA0405">
        <w:rPr>
          <w:rFonts w:cs="Courier New"/>
          <w:i/>
          <w:iCs/>
        </w:rPr>
        <w:t xml:space="preserve"> </w:t>
      </w:r>
      <w:r w:rsidRPr="007C2E35">
        <w:rPr>
          <w:rFonts w:cs="Courier New"/>
          <w:i/>
          <w:iCs/>
        </w:rPr>
        <w:t>Chip</w:t>
      </w:r>
      <w:r w:rsidRPr="007C2E35">
        <w:rPr>
          <w:rFonts w:cs="Courier New"/>
        </w:rPr>
        <w:t xml:space="preserve"> consensus forecast of the expected yields on 30-year U.S. Treasury bonds for the six quarters ending with the</w:t>
      </w:r>
      <w:r w:rsidR="00C55E3B">
        <w:rPr>
          <w:rFonts w:cs="Courier New"/>
        </w:rPr>
        <w:t xml:space="preserve"> </w:t>
      </w:r>
      <w:r w:rsidR="0020438D">
        <w:rPr>
          <w:rFonts w:cs="Courier New"/>
        </w:rPr>
        <w:t>first</w:t>
      </w:r>
      <w:r w:rsidR="00461913" w:rsidRPr="00C55E3B">
        <w:rPr>
          <w:rFonts w:cs="Courier New"/>
        </w:rPr>
        <w:t xml:space="preserve"> </w:t>
      </w:r>
      <w:r w:rsidRPr="00C55E3B">
        <w:rPr>
          <w:rFonts w:cs="Courier New"/>
        </w:rPr>
        <w:t>calendar quarter of 2024</w:t>
      </w:r>
      <w:r w:rsidRPr="00177498">
        <w:rPr>
          <w:rFonts w:cs="Courier New"/>
        </w:rPr>
        <w:t xml:space="preserve">, and long-term projections for the years </w:t>
      </w:r>
      <w:r w:rsidRPr="00C55E3B">
        <w:rPr>
          <w:rFonts w:cs="Courier New"/>
        </w:rPr>
        <w:t>2024 to 2028 and 2029 to 2033</w:t>
      </w:r>
      <w:r w:rsidRPr="00177498">
        <w:rPr>
          <w:rFonts w:cs="Courier New"/>
        </w:rPr>
        <w:t>.</w:t>
      </w:r>
    </w:p>
    <w:p w14:paraId="7FA16102" w14:textId="77777777" w:rsidR="00FC535B" w:rsidRPr="0073351E" w:rsidRDefault="00FC535B" w:rsidP="00EE19DD">
      <w:pPr>
        <w:widowControl w:val="0"/>
        <w:ind w:left="720" w:hanging="720"/>
        <w:jc w:val="both"/>
        <w:rPr>
          <w:rFonts w:cs="Courier New"/>
        </w:rPr>
      </w:pPr>
    </w:p>
    <w:p w14:paraId="67CB9CEA" w14:textId="19DF37FA"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BB09C4">
        <w:rPr>
          <w:rFonts w:cs="Courier New"/>
        </w:rPr>
        <w:t xml:space="preserve">Why did you use the projected 30-year </w:t>
      </w:r>
      <w:r w:rsidR="00AE5652">
        <w:rPr>
          <w:rFonts w:cs="Courier New"/>
        </w:rPr>
        <w:t>T</w:t>
      </w:r>
      <w:r w:rsidR="00AE5652" w:rsidRPr="00BB09C4">
        <w:rPr>
          <w:rFonts w:cs="Courier New"/>
        </w:rPr>
        <w:t xml:space="preserve">reasury </w:t>
      </w:r>
      <w:r w:rsidRPr="00BB09C4">
        <w:rPr>
          <w:rFonts w:cs="Courier New"/>
        </w:rPr>
        <w:t>yield in your analyses?</w:t>
      </w:r>
    </w:p>
    <w:p w14:paraId="094F9DBE" w14:textId="77777777" w:rsidR="009A5A7C" w:rsidRDefault="009A5A7C" w:rsidP="00EE19DD">
      <w:pPr>
        <w:widowControl w:val="0"/>
        <w:ind w:left="720" w:hanging="720"/>
        <w:jc w:val="both"/>
        <w:rPr>
          <w:rFonts w:cs="Courier New"/>
        </w:rPr>
      </w:pPr>
    </w:p>
    <w:p w14:paraId="4E63489B" w14:textId="1AF2D042"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F86A4A">
        <w:rPr>
          <w:rFonts w:cs="Courier New"/>
        </w:rPr>
        <w:t>The yield on long-term U.S. Treasury bonds is almost risk-</w:t>
      </w:r>
      <w:r w:rsidRPr="00F86A4A">
        <w:rPr>
          <w:rFonts w:cs="Courier New"/>
        </w:rPr>
        <w:lastRenderedPageBreak/>
        <w:t>free and its term is consistent with the long-term cost of capital to public utilities measured by the yields on Moody’s A2-rated public utility bonds; the long-term investment horizon inherent in utilities’ common stocks; and the long-term life of the jurisdictional rate base to which the allowed fair rate of return (</w:t>
      </w:r>
      <w:r w:rsidRPr="00F86A4A">
        <w:rPr>
          <w:rFonts w:cs="Courier New"/>
          <w:i/>
          <w:iCs/>
        </w:rPr>
        <w:t>i.e.,</w:t>
      </w:r>
      <w:r w:rsidRPr="00F86A4A">
        <w:rPr>
          <w:rFonts w:cs="Courier New"/>
        </w:rPr>
        <w:t xml:space="preserve"> cost of capital) will be applied.  In contrast, short-term U.S. Treasury yields are more volatile and largely a function of Federal Reserve monetary policy.</w:t>
      </w:r>
    </w:p>
    <w:p w14:paraId="702C25BA" w14:textId="77777777" w:rsidR="0098667E" w:rsidRPr="0073351E" w:rsidRDefault="0098667E" w:rsidP="00EE19DD">
      <w:pPr>
        <w:widowControl w:val="0"/>
        <w:ind w:left="720" w:hanging="720"/>
        <w:jc w:val="both"/>
        <w:rPr>
          <w:rFonts w:cs="Courier New"/>
        </w:rPr>
      </w:pPr>
    </w:p>
    <w:p w14:paraId="54656AAB" w14:textId="501B679D" w:rsidR="009A5A7C" w:rsidRDefault="009A5A7C" w:rsidP="002B74D7">
      <w:pPr>
        <w:widowControl w:val="0"/>
        <w:ind w:left="720" w:hanging="720"/>
        <w:jc w:val="both"/>
        <w:rPr>
          <w:rFonts w:cs="Courier New"/>
        </w:rPr>
      </w:pPr>
      <w:r w:rsidRPr="00B23997">
        <w:rPr>
          <w:rFonts w:cs="Courier New"/>
          <w:b/>
        </w:rPr>
        <w:t>Q.</w:t>
      </w:r>
      <w:r w:rsidRPr="00B23997">
        <w:rPr>
          <w:rFonts w:cs="Courier New"/>
        </w:rPr>
        <w:tab/>
      </w:r>
      <w:r w:rsidRPr="00E52069">
        <w:rPr>
          <w:rFonts w:cs="Courier New"/>
        </w:rPr>
        <w:t xml:space="preserve">What are the results of the PRPM as applied to the </w:t>
      </w:r>
      <w:r w:rsidR="00F416CB">
        <w:rPr>
          <w:rFonts w:cs="Courier New"/>
        </w:rPr>
        <w:t>Utility Proxy Group</w:t>
      </w:r>
      <w:r w:rsidRPr="00E52069">
        <w:rPr>
          <w:rFonts w:cs="Courier New"/>
        </w:rPr>
        <w:t>?</w:t>
      </w:r>
    </w:p>
    <w:p w14:paraId="51BA0879" w14:textId="77777777" w:rsidR="009A5A7C" w:rsidRDefault="009A5A7C" w:rsidP="00EE19DD">
      <w:pPr>
        <w:widowControl w:val="0"/>
        <w:ind w:left="720" w:hanging="720"/>
        <w:jc w:val="both"/>
        <w:rPr>
          <w:rFonts w:cs="Courier New"/>
        </w:rPr>
      </w:pPr>
    </w:p>
    <w:p w14:paraId="111401AF" w14:textId="25FF1DC8"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00DA4517">
        <w:rPr>
          <w:rFonts w:cs="Courier New"/>
        </w:rPr>
        <w:t>As</w:t>
      </w:r>
      <w:r w:rsidRPr="00133E46">
        <w:rPr>
          <w:rFonts w:cs="Courier New"/>
        </w:rPr>
        <w:t xml:space="preserve"> shown on page 2 of </w:t>
      </w:r>
      <w:r w:rsidR="00DA4517" w:rsidRPr="00C55E3B">
        <w:rPr>
          <w:rFonts w:cs="Courier New"/>
        </w:rPr>
        <w:t xml:space="preserve">Document No. </w:t>
      </w:r>
      <w:r w:rsidRPr="00C55E3B">
        <w:rPr>
          <w:rFonts w:cs="Courier New"/>
        </w:rPr>
        <w:t>4</w:t>
      </w:r>
      <w:r w:rsidR="00DA4517">
        <w:rPr>
          <w:rFonts w:cs="Courier New"/>
        </w:rPr>
        <w:t xml:space="preserve">, the mean </w:t>
      </w:r>
      <w:r w:rsidR="00AE5652">
        <w:rPr>
          <w:rFonts w:cs="Courier New"/>
        </w:rPr>
        <w:t>PRPM-</w:t>
      </w:r>
      <w:r w:rsidR="002B63EC" w:rsidRPr="002B63EC">
        <w:rPr>
          <w:rFonts w:cs="Courier New"/>
        </w:rPr>
        <w:t xml:space="preserve">indicated common equity cost rate for the </w:t>
      </w:r>
      <w:r w:rsidR="00F416CB" w:rsidRPr="000456D5">
        <w:rPr>
          <w:rFonts w:cs="Courier New"/>
        </w:rPr>
        <w:t>Utility Proxy Group</w:t>
      </w:r>
      <w:r w:rsidR="002B63EC" w:rsidRPr="000456D5">
        <w:rPr>
          <w:rFonts w:cs="Courier New"/>
        </w:rPr>
        <w:t xml:space="preserve"> is </w:t>
      </w:r>
      <w:r w:rsidR="006A6C22" w:rsidRPr="000456D5">
        <w:rPr>
          <w:rFonts w:cs="Courier New"/>
        </w:rPr>
        <w:t>11.</w:t>
      </w:r>
      <w:r w:rsidR="00177498" w:rsidRPr="000456D5">
        <w:rPr>
          <w:rFonts w:cs="Courier New"/>
        </w:rPr>
        <w:t xml:space="preserve">80 </w:t>
      </w:r>
      <w:r w:rsidR="002B63EC" w:rsidRPr="000456D5">
        <w:rPr>
          <w:rFonts w:cs="Courier New"/>
        </w:rPr>
        <w:t xml:space="preserve">percent, the median is </w:t>
      </w:r>
      <w:r w:rsidR="00177498" w:rsidRPr="000456D5">
        <w:rPr>
          <w:rFonts w:cs="Courier New"/>
        </w:rPr>
        <w:t>12.23</w:t>
      </w:r>
      <w:r w:rsidR="002B63EC" w:rsidRPr="000456D5">
        <w:rPr>
          <w:rFonts w:cs="Courier New"/>
        </w:rPr>
        <w:t xml:space="preserve"> percent,</w:t>
      </w:r>
      <w:r w:rsidR="002B63EC" w:rsidRPr="002B63EC">
        <w:rPr>
          <w:rFonts w:cs="Courier New"/>
        </w:rPr>
        <w:t xml:space="preserve"> and the average of the two is </w:t>
      </w:r>
      <w:r w:rsidR="00177498">
        <w:rPr>
          <w:rFonts w:cs="Courier New"/>
          <w:lang w:bidi="en-US"/>
        </w:rPr>
        <w:t>12.02</w:t>
      </w:r>
      <w:r w:rsidR="006A6C22">
        <w:rPr>
          <w:rFonts w:cs="Courier New"/>
          <w:lang w:bidi="en-US"/>
        </w:rPr>
        <w:t xml:space="preserve"> </w:t>
      </w:r>
      <w:r w:rsidR="002B63EC" w:rsidRPr="002B63EC">
        <w:rPr>
          <w:rFonts w:cs="Courier New"/>
        </w:rPr>
        <w:t>percent.</w:t>
      </w:r>
      <w:r w:rsidR="006A6C22">
        <w:rPr>
          <w:rFonts w:cs="Courier New"/>
        </w:rPr>
        <w:t xml:space="preserve">  </w:t>
      </w:r>
      <w:r w:rsidRPr="00C61D73">
        <w:rPr>
          <w:rFonts w:cs="Courier New"/>
        </w:rPr>
        <w:t xml:space="preserve">Consistent with my reliance on the average of the median and mean results of the DCF model, I relied on the average of the mean and median results of the </w:t>
      </w:r>
      <w:r w:rsidR="00F416CB">
        <w:rPr>
          <w:rFonts w:cs="Courier New"/>
        </w:rPr>
        <w:t>Utility Proxy Group</w:t>
      </w:r>
      <w:r w:rsidRPr="00C61D73">
        <w:rPr>
          <w:rFonts w:cs="Courier New"/>
        </w:rPr>
        <w:t xml:space="preserve">’s PRPM to calculate cost of common equity rates of </w:t>
      </w:r>
      <w:r w:rsidR="00177498">
        <w:rPr>
          <w:rFonts w:cs="Courier New"/>
          <w:lang w:bidi="en-US"/>
        </w:rPr>
        <w:t>12.02</w:t>
      </w:r>
      <w:r w:rsidR="006A6C22">
        <w:rPr>
          <w:rFonts w:cs="Courier New"/>
          <w:lang w:bidi="en-US"/>
        </w:rPr>
        <w:t xml:space="preserve"> percent</w:t>
      </w:r>
      <w:r w:rsidRPr="00C61D73">
        <w:rPr>
          <w:rFonts w:cs="Courier New"/>
          <w:lang w:bidi="en-US"/>
        </w:rPr>
        <w:t xml:space="preserve"> for the </w:t>
      </w:r>
      <w:r w:rsidR="00F416CB">
        <w:rPr>
          <w:rFonts w:cs="Courier New"/>
          <w:lang w:bidi="en-US"/>
        </w:rPr>
        <w:t>Utility Proxy Group</w:t>
      </w:r>
      <w:r w:rsidRPr="00C61D73">
        <w:rPr>
          <w:rFonts w:cs="Courier New"/>
        </w:rPr>
        <w:t>.</w:t>
      </w:r>
    </w:p>
    <w:p w14:paraId="4726471D" w14:textId="77777777" w:rsidR="00FC535B" w:rsidRPr="0073351E" w:rsidRDefault="00FC535B" w:rsidP="00EE19DD">
      <w:pPr>
        <w:widowControl w:val="0"/>
        <w:ind w:left="720" w:hanging="720"/>
        <w:jc w:val="both"/>
        <w:rPr>
          <w:rFonts w:cs="Courier New"/>
        </w:rPr>
      </w:pPr>
    </w:p>
    <w:p w14:paraId="20861158" w14:textId="18F00463" w:rsidR="009A5A7C" w:rsidRPr="0073351E" w:rsidRDefault="009A5A7C" w:rsidP="006167BF">
      <w:pPr>
        <w:pStyle w:val="Heading3"/>
        <w:jc w:val="left"/>
      </w:pPr>
      <w:bookmarkStart w:id="14" w:name="_Toc129962208"/>
      <w:r>
        <w:t xml:space="preserve">The Total Market Approach Risk </w:t>
      </w:r>
      <w:r w:rsidRPr="00325223">
        <w:t>Premium Model</w:t>
      </w:r>
      <w:r w:rsidR="00325223" w:rsidRPr="00325223">
        <w:t xml:space="preserve"> (RPM)</w:t>
      </w:r>
      <w:bookmarkEnd w:id="14"/>
    </w:p>
    <w:p w14:paraId="1631A945" w14:textId="601B265C"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AD539E">
        <w:rPr>
          <w:rFonts w:cs="Courier New"/>
        </w:rPr>
        <w:t>Please explain the total market approach RPM</w:t>
      </w:r>
      <w:r>
        <w:rPr>
          <w:rFonts w:cs="Courier New"/>
        </w:rPr>
        <w:t>.</w:t>
      </w:r>
    </w:p>
    <w:p w14:paraId="0A377B29" w14:textId="77777777" w:rsidR="009A5A7C" w:rsidRDefault="009A5A7C" w:rsidP="00EE19DD">
      <w:pPr>
        <w:widowControl w:val="0"/>
        <w:ind w:left="720" w:hanging="720"/>
        <w:jc w:val="both"/>
        <w:rPr>
          <w:rFonts w:cs="Courier New"/>
        </w:rPr>
      </w:pPr>
    </w:p>
    <w:p w14:paraId="0D7C8520" w14:textId="0903C29E" w:rsidR="009A5A7C" w:rsidRPr="0073351E" w:rsidRDefault="009A5A7C" w:rsidP="00EE19DD">
      <w:pPr>
        <w:widowControl w:val="0"/>
        <w:ind w:left="720" w:hanging="720"/>
        <w:jc w:val="both"/>
        <w:rPr>
          <w:rFonts w:cs="Courier New"/>
        </w:rPr>
      </w:pPr>
      <w:r w:rsidRPr="00B23997">
        <w:rPr>
          <w:rFonts w:cs="Courier New"/>
          <w:b/>
        </w:rPr>
        <w:lastRenderedPageBreak/>
        <w:t>A.</w:t>
      </w:r>
      <w:r w:rsidRPr="00B23997">
        <w:rPr>
          <w:rFonts w:cs="Courier New"/>
        </w:rPr>
        <w:tab/>
      </w:r>
      <w:r w:rsidRPr="00746DA0">
        <w:rPr>
          <w:rFonts w:cs="Courier New"/>
        </w:rPr>
        <w:t>The total market approach RPM adds a prospective public utility bond yield to an average of: (1) an equity risk premium that is derived from a beta-adjusted total market equity risk premium, (2) an equity risk premium based on the S&amp;P Utilities Index, and (3) an equity risk premium based on authorized ROEs for natural gas distribution utilities.</w:t>
      </w:r>
    </w:p>
    <w:p w14:paraId="7D0BDD0F" w14:textId="77777777" w:rsidR="009A5A7C" w:rsidRPr="0073351E" w:rsidRDefault="009A5A7C" w:rsidP="00EE19DD">
      <w:pPr>
        <w:widowControl w:val="0"/>
        <w:ind w:left="720" w:hanging="720"/>
        <w:jc w:val="both"/>
        <w:rPr>
          <w:rFonts w:cs="Courier New"/>
        </w:rPr>
      </w:pPr>
    </w:p>
    <w:p w14:paraId="4F7CEB57" w14:textId="793908B5"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4F65C2">
        <w:rPr>
          <w:rFonts w:cs="Courier New"/>
        </w:rPr>
        <w:t xml:space="preserve">Please explain the basis of the </w:t>
      </w:r>
      <w:r w:rsidRPr="000456D5">
        <w:rPr>
          <w:rFonts w:cs="Courier New"/>
        </w:rPr>
        <w:t>expected bond yield of 5.88</w:t>
      </w:r>
      <w:r w:rsidR="00423C4E" w:rsidRPr="000456D5">
        <w:rPr>
          <w:rFonts w:cs="Courier New"/>
        </w:rPr>
        <w:t xml:space="preserve"> percent</w:t>
      </w:r>
      <w:r w:rsidRPr="000456D5">
        <w:rPr>
          <w:rFonts w:cs="Courier New"/>
        </w:rPr>
        <w:t xml:space="preserve">, applicable to the </w:t>
      </w:r>
      <w:r w:rsidR="00F416CB" w:rsidRPr="000456D5">
        <w:rPr>
          <w:rFonts w:cs="Courier New"/>
        </w:rPr>
        <w:t>Utilit</w:t>
      </w:r>
      <w:r w:rsidR="00F416CB">
        <w:rPr>
          <w:rFonts w:cs="Courier New"/>
        </w:rPr>
        <w:t>y Proxy Group</w:t>
      </w:r>
      <w:r w:rsidRPr="004F65C2">
        <w:rPr>
          <w:rFonts w:cs="Courier New"/>
        </w:rPr>
        <w:t>.</w:t>
      </w:r>
    </w:p>
    <w:p w14:paraId="065D3543" w14:textId="77777777" w:rsidR="009A5A7C" w:rsidRDefault="009A5A7C" w:rsidP="00EE19DD">
      <w:pPr>
        <w:widowControl w:val="0"/>
        <w:ind w:left="720" w:hanging="720"/>
        <w:jc w:val="both"/>
        <w:rPr>
          <w:rFonts w:cs="Courier New"/>
        </w:rPr>
      </w:pPr>
    </w:p>
    <w:p w14:paraId="40D0F7D9" w14:textId="4AC06B41" w:rsidR="009A5A7C" w:rsidRPr="0073351E" w:rsidRDefault="009A5A7C" w:rsidP="00EE19DD">
      <w:pPr>
        <w:widowControl w:val="0"/>
        <w:ind w:left="720" w:hanging="720"/>
        <w:jc w:val="both"/>
        <w:rPr>
          <w:rFonts w:cs="Courier New"/>
        </w:rPr>
      </w:pPr>
      <w:r w:rsidRPr="667AD777">
        <w:rPr>
          <w:rFonts w:cs="Courier New"/>
          <w:b/>
          <w:bCs/>
        </w:rPr>
        <w:t>A.</w:t>
      </w:r>
      <w:r>
        <w:tab/>
      </w:r>
      <w:r w:rsidRPr="667AD777">
        <w:rPr>
          <w:rFonts w:cs="Courier New"/>
        </w:rPr>
        <w:t>The first step in the total market approach RPM analysis is to determine the expected bond yield.  Because both ratemaking and the cost of capital, including the common equity cost rate, are prospective in nature, a prospective yield on similarly</w:t>
      </w:r>
      <w:r w:rsidR="00325223" w:rsidRPr="667AD777">
        <w:rPr>
          <w:rFonts w:cs="Courier New"/>
        </w:rPr>
        <w:t xml:space="preserve"> </w:t>
      </w:r>
      <w:r w:rsidRPr="667AD777">
        <w:rPr>
          <w:rFonts w:cs="Courier New"/>
        </w:rPr>
        <w:t xml:space="preserve">rated long-term debt is essential.  I relied on a consensus forecast of about 50 economists of the expected yield on Aaa-rated corporate bonds for the six calendar quarters ending with the </w:t>
      </w:r>
      <w:r w:rsidR="0020438D" w:rsidRPr="667AD777">
        <w:rPr>
          <w:rFonts w:cs="Courier New"/>
        </w:rPr>
        <w:t>first</w:t>
      </w:r>
      <w:r w:rsidR="0090534A" w:rsidRPr="667AD777">
        <w:rPr>
          <w:rFonts w:cs="Courier New"/>
        </w:rPr>
        <w:t xml:space="preserve"> </w:t>
      </w:r>
      <w:r w:rsidRPr="667AD777">
        <w:rPr>
          <w:rFonts w:cs="Courier New"/>
        </w:rPr>
        <w:t xml:space="preserve">calendar quarter of 2024, and </w:t>
      </w:r>
      <w:r w:rsidRPr="667AD777">
        <w:rPr>
          <w:rFonts w:cs="Courier New"/>
          <w:i/>
          <w:iCs/>
        </w:rPr>
        <w:t xml:space="preserve">Blue Chip’s </w:t>
      </w:r>
      <w:r w:rsidRPr="667AD777">
        <w:rPr>
          <w:rFonts w:cs="Courier New"/>
        </w:rPr>
        <w:t xml:space="preserve">long-term projections for 2024 to 2028 and 2029 to 2033.  As shown on line 1, page 3 of </w:t>
      </w:r>
      <w:r w:rsidR="00C11EAD" w:rsidRPr="667AD777">
        <w:rPr>
          <w:rFonts w:cs="Courier New"/>
        </w:rPr>
        <w:t xml:space="preserve">Document No. </w:t>
      </w:r>
      <w:r w:rsidRPr="667AD777">
        <w:rPr>
          <w:rFonts w:cs="Courier New"/>
        </w:rPr>
        <w:t>4, the average expected yield on Moody’s Aaa-rated corporate bonds is 5.</w:t>
      </w:r>
      <w:r w:rsidR="00492902" w:rsidRPr="667AD777">
        <w:rPr>
          <w:rFonts w:cs="Courier New"/>
        </w:rPr>
        <w:t>05</w:t>
      </w:r>
      <w:r w:rsidR="00492902" w:rsidRPr="667AD777">
        <w:rPr>
          <w:rFonts w:cs="Courier New"/>
          <w:lang w:bidi="en-US"/>
        </w:rPr>
        <w:t xml:space="preserve"> </w:t>
      </w:r>
      <w:r w:rsidR="00B40C95" w:rsidRPr="667AD777">
        <w:rPr>
          <w:rFonts w:cs="Courier New"/>
          <w:lang w:bidi="en-US"/>
        </w:rPr>
        <w:t>percent</w:t>
      </w:r>
      <w:r w:rsidRPr="667AD777">
        <w:rPr>
          <w:rFonts w:cs="Courier New"/>
        </w:rPr>
        <w:t xml:space="preserve">.  In order to adjust the expected Aaa-rated corporate bond yield to an equivalent A2-rated public utility bond yield, I made an upward adjustment of </w:t>
      </w:r>
      <w:r w:rsidR="00492902" w:rsidRPr="667AD777">
        <w:rPr>
          <w:rFonts w:cs="Courier New"/>
        </w:rPr>
        <w:t>0.83</w:t>
      </w:r>
      <w:r w:rsidR="00375AD2" w:rsidRPr="667AD777">
        <w:rPr>
          <w:rFonts w:cs="Courier New"/>
          <w:lang w:bidi="en-US"/>
        </w:rPr>
        <w:t xml:space="preserve"> percent</w:t>
      </w:r>
      <w:r w:rsidRPr="667AD777">
        <w:rPr>
          <w:rFonts w:cs="Courier New"/>
        </w:rPr>
        <w:t xml:space="preserve">, which represents a recent spread between Aaa-rated corporate bonds </w:t>
      </w:r>
      <w:r w:rsidRPr="667AD777">
        <w:rPr>
          <w:rFonts w:cs="Courier New"/>
        </w:rPr>
        <w:lastRenderedPageBreak/>
        <w:t>and A2-rated public utility bonds</w:t>
      </w:r>
      <w:r w:rsidR="000412F5" w:rsidRPr="667AD777">
        <w:rPr>
          <w:rFonts w:cs="Courier New"/>
        </w:rPr>
        <w:t>, as shown on line 2 and explained in note 2, page 3 of Document No. 4</w:t>
      </w:r>
      <w:r w:rsidRPr="667AD777">
        <w:rPr>
          <w:rFonts w:cs="Courier New"/>
        </w:rPr>
        <w:t xml:space="preserve">.  Adding that recent </w:t>
      </w:r>
      <w:r w:rsidR="00492902" w:rsidRPr="667AD777">
        <w:rPr>
          <w:rFonts w:cs="Courier New"/>
        </w:rPr>
        <w:t>0.83</w:t>
      </w:r>
      <w:r w:rsidR="009A02D9" w:rsidRPr="667AD777">
        <w:rPr>
          <w:rFonts w:cs="Courier New"/>
          <w:lang w:bidi="en-US"/>
        </w:rPr>
        <w:t xml:space="preserve"> percent</w:t>
      </w:r>
      <w:r w:rsidRPr="667AD777">
        <w:rPr>
          <w:rFonts w:cs="Courier New"/>
          <w:lang w:bidi="en-US"/>
        </w:rPr>
        <w:t xml:space="preserve"> </w:t>
      </w:r>
      <w:r w:rsidRPr="667AD777">
        <w:rPr>
          <w:rFonts w:cs="Courier New"/>
        </w:rPr>
        <w:t xml:space="preserve">spread to the expected Aaa-rated corporate bond yield of </w:t>
      </w:r>
      <w:r w:rsidR="00A854BA" w:rsidRPr="667AD777">
        <w:rPr>
          <w:rFonts w:cs="Courier New"/>
        </w:rPr>
        <w:t>5.05</w:t>
      </w:r>
      <w:r w:rsidR="009A02D9" w:rsidRPr="667AD777">
        <w:rPr>
          <w:rFonts w:cs="Courier New"/>
          <w:lang w:bidi="en-US"/>
        </w:rPr>
        <w:t xml:space="preserve"> percent</w:t>
      </w:r>
      <w:r w:rsidRPr="667AD777">
        <w:rPr>
          <w:rFonts w:cs="Courier New"/>
          <w:lang w:bidi="en-US"/>
        </w:rPr>
        <w:t xml:space="preserve"> </w:t>
      </w:r>
      <w:r w:rsidRPr="667AD777">
        <w:rPr>
          <w:rFonts w:cs="Courier New"/>
        </w:rPr>
        <w:t>results in an expected A2-rated public utility bond yield of 5.88</w:t>
      </w:r>
      <w:r w:rsidR="009A02D9" w:rsidRPr="667AD777">
        <w:rPr>
          <w:rFonts w:cs="Courier New"/>
          <w:lang w:bidi="en-US"/>
        </w:rPr>
        <w:t xml:space="preserve"> percent</w:t>
      </w:r>
      <w:r w:rsidRPr="667AD777">
        <w:rPr>
          <w:rFonts w:cs="Courier New"/>
          <w:lang w:bidi="en-US"/>
        </w:rPr>
        <w:t xml:space="preserve">, as shown on page 3 of </w:t>
      </w:r>
      <w:r w:rsidR="009A02D9" w:rsidRPr="667AD777">
        <w:rPr>
          <w:rFonts w:cs="Courier New"/>
          <w:lang w:bidi="en-US"/>
        </w:rPr>
        <w:t xml:space="preserve">Document No. </w:t>
      </w:r>
      <w:r w:rsidRPr="667AD777">
        <w:rPr>
          <w:rFonts w:cs="Courier New"/>
          <w:lang w:bidi="en-US"/>
        </w:rPr>
        <w:t>4</w:t>
      </w:r>
      <w:r w:rsidRPr="667AD777">
        <w:rPr>
          <w:rFonts w:cs="Courier New"/>
        </w:rPr>
        <w:t xml:space="preserve">.  This corresponds to the average Moody’s long-term issuer rating of the </w:t>
      </w:r>
      <w:r w:rsidR="00F416CB" w:rsidRPr="667AD777">
        <w:rPr>
          <w:rFonts w:cs="Courier New"/>
        </w:rPr>
        <w:t>Utility Proxy Group</w:t>
      </w:r>
      <w:r w:rsidRPr="667AD777">
        <w:rPr>
          <w:rFonts w:cs="Courier New"/>
        </w:rPr>
        <w:t xml:space="preserve"> of A2.</w:t>
      </w:r>
    </w:p>
    <w:p w14:paraId="2BC115A0" w14:textId="77777777" w:rsidR="009A5A7C" w:rsidRPr="0073351E" w:rsidRDefault="009A5A7C" w:rsidP="00DE5348">
      <w:pPr>
        <w:widowControl w:val="0"/>
        <w:ind w:left="720" w:hanging="720"/>
        <w:jc w:val="both"/>
        <w:rPr>
          <w:rFonts w:cs="Courier New"/>
        </w:rPr>
      </w:pPr>
    </w:p>
    <w:p w14:paraId="29677424" w14:textId="13F63BE7" w:rsidR="009A5A7C" w:rsidRDefault="009A5A7C" w:rsidP="00DE5348">
      <w:pPr>
        <w:widowControl w:val="0"/>
        <w:ind w:left="720" w:hanging="720"/>
        <w:jc w:val="both"/>
        <w:rPr>
          <w:rFonts w:cs="Courier New"/>
        </w:rPr>
      </w:pPr>
      <w:r w:rsidRPr="00B23997">
        <w:rPr>
          <w:rFonts w:cs="Courier New"/>
          <w:b/>
        </w:rPr>
        <w:t>Q.</w:t>
      </w:r>
      <w:r w:rsidRPr="00B23997">
        <w:rPr>
          <w:rFonts w:cs="Courier New"/>
        </w:rPr>
        <w:tab/>
      </w:r>
      <w:r w:rsidRPr="00267DA2">
        <w:rPr>
          <w:rFonts w:cs="Courier New"/>
        </w:rPr>
        <w:t>Please explain how the beta-derived equity risk premium is determined.</w:t>
      </w:r>
    </w:p>
    <w:p w14:paraId="00DF5AD4" w14:textId="77777777" w:rsidR="009A5A7C" w:rsidRDefault="009A5A7C" w:rsidP="00EE19DD">
      <w:pPr>
        <w:widowControl w:val="0"/>
        <w:ind w:left="720" w:hanging="720"/>
        <w:jc w:val="both"/>
        <w:rPr>
          <w:rFonts w:cs="Courier New"/>
        </w:rPr>
      </w:pPr>
    </w:p>
    <w:p w14:paraId="13AC3103" w14:textId="71A77BD5"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8547FE">
        <w:rPr>
          <w:rFonts w:cs="Courier New"/>
        </w:rPr>
        <w:t xml:space="preserve">The components of the beta-derived risk premium model are: (1) an expected market equity risk premium over corporate bonds, and (2) the beta.  The derivation of the beta-derived equity risk premium that I applied to the </w:t>
      </w:r>
      <w:r w:rsidR="00F416CB">
        <w:rPr>
          <w:rFonts w:cs="Courier New"/>
        </w:rPr>
        <w:t>Utility Proxy Group</w:t>
      </w:r>
      <w:r w:rsidRPr="008547FE">
        <w:rPr>
          <w:rFonts w:cs="Courier New"/>
        </w:rPr>
        <w:t xml:space="preserve"> is shown on lines 1 through 9, on </w:t>
      </w:r>
      <w:r w:rsidRPr="000456D5">
        <w:rPr>
          <w:rFonts w:cs="Courier New"/>
        </w:rPr>
        <w:t xml:space="preserve">page 8 of </w:t>
      </w:r>
      <w:r w:rsidR="00C53BF2" w:rsidRPr="000456D5">
        <w:rPr>
          <w:rFonts w:cs="Courier New"/>
        </w:rPr>
        <w:t xml:space="preserve">Document No. </w:t>
      </w:r>
      <w:r w:rsidRPr="000456D5">
        <w:rPr>
          <w:rFonts w:cs="Courier New"/>
        </w:rPr>
        <w:t>4.  The total beta-derived equity risk premium</w:t>
      </w:r>
      <w:r w:rsidRPr="008547FE">
        <w:rPr>
          <w:rFonts w:cs="Courier New"/>
        </w:rPr>
        <w:t xml:space="preserve"> I applied is based on an average of three historical market data-based equity risk premiums, two </w:t>
      </w:r>
      <w:r w:rsidRPr="008547FE">
        <w:rPr>
          <w:rFonts w:cs="Courier New"/>
          <w:i/>
          <w:iCs/>
        </w:rPr>
        <w:t>Value Line</w:t>
      </w:r>
      <w:r w:rsidRPr="008547FE">
        <w:rPr>
          <w:rFonts w:cs="Courier New"/>
        </w:rPr>
        <w:t>-based equity risk premiums, and a Bloomberg-based equity risk premium.  Each of these is described below.</w:t>
      </w:r>
    </w:p>
    <w:p w14:paraId="41469363" w14:textId="77777777" w:rsidR="00FC535B" w:rsidRPr="0073351E" w:rsidRDefault="00FC535B" w:rsidP="00EE19DD">
      <w:pPr>
        <w:widowControl w:val="0"/>
        <w:ind w:left="720" w:hanging="720"/>
        <w:jc w:val="both"/>
        <w:rPr>
          <w:rFonts w:cs="Courier New"/>
        </w:rPr>
      </w:pPr>
    </w:p>
    <w:p w14:paraId="0750F7CC" w14:textId="05B47E87"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950CE9">
        <w:rPr>
          <w:rFonts w:cs="Courier New"/>
        </w:rPr>
        <w:t>How did you derive a market equity risk premium based on long-term historical data?</w:t>
      </w:r>
    </w:p>
    <w:p w14:paraId="0B118EC4" w14:textId="5A16008A" w:rsidR="009A5A7C" w:rsidRPr="002C6441" w:rsidRDefault="009A5A7C" w:rsidP="002A3B00">
      <w:pPr>
        <w:widowControl w:val="0"/>
        <w:ind w:left="720" w:hanging="720"/>
        <w:jc w:val="both"/>
        <w:rPr>
          <w:rFonts w:cs="Courier New"/>
        </w:rPr>
      </w:pPr>
      <w:r w:rsidRPr="00B23997">
        <w:rPr>
          <w:rFonts w:cs="Courier New"/>
          <w:b/>
        </w:rPr>
        <w:lastRenderedPageBreak/>
        <w:t>A.</w:t>
      </w:r>
      <w:r w:rsidRPr="00B23997">
        <w:rPr>
          <w:rFonts w:cs="Courier New"/>
        </w:rPr>
        <w:tab/>
      </w:r>
      <w:r w:rsidRPr="00C306A6">
        <w:rPr>
          <w:rFonts w:cs="Courier New"/>
        </w:rPr>
        <w:t xml:space="preserve">To derive an historical market equity risk premium, I used the most recent holding period returns for the large company common stocks from the </w:t>
      </w:r>
      <w:r w:rsidRPr="00C306A6">
        <w:rPr>
          <w:rFonts w:cs="Courier New"/>
          <w:u w:val="single"/>
        </w:rPr>
        <w:t>Stocks, Bonds, Bills, and Inflation (SBBI) Yearbook 2022 (“SBBI</w:t>
      </w:r>
      <w:r w:rsidR="003E0A00">
        <w:rPr>
          <w:rFonts w:cs="Courier New"/>
          <w:u w:val="single"/>
        </w:rPr>
        <w:t>-</w:t>
      </w:r>
      <w:r w:rsidRPr="00C306A6">
        <w:rPr>
          <w:rFonts w:cs="Courier New"/>
          <w:u w:val="single"/>
        </w:rPr>
        <w:t>2022”)</w:t>
      </w:r>
      <w:r w:rsidRPr="002C6441">
        <w:rPr>
          <w:rStyle w:val="EndnoteReference"/>
          <w:rFonts w:cs="Courier New"/>
        </w:rPr>
        <w:endnoteReference w:id="21"/>
      </w:r>
      <w:r w:rsidRPr="002C6441">
        <w:rPr>
          <w:rFonts w:cs="Courier New"/>
        </w:rPr>
        <w:t xml:space="preserve"> less the average historical yield on Moody’s Aaa/Aa-rated corporate bonds for the period 1928 to 2021.  Using holding period returns over a very long time is appropriate because it is consistent with the long-term investment horizon presumed by investing in a going concern, </w:t>
      </w:r>
      <w:r w:rsidRPr="002C6441">
        <w:rPr>
          <w:rFonts w:cs="Courier New"/>
          <w:i/>
        </w:rPr>
        <w:t>i.e.</w:t>
      </w:r>
      <w:r w:rsidRPr="002C6441">
        <w:rPr>
          <w:rFonts w:cs="Courier New"/>
        </w:rPr>
        <w:t>, a company expected to operate in perpetuity.</w:t>
      </w:r>
    </w:p>
    <w:p w14:paraId="621EC34C" w14:textId="77777777" w:rsidR="009A5A7C" w:rsidRDefault="009A5A7C" w:rsidP="00EE19DD">
      <w:pPr>
        <w:widowControl w:val="0"/>
        <w:ind w:left="720" w:hanging="720"/>
        <w:jc w:val="both"/>
        <w:rPr>
          <w:rFonts w:cs="Courier New"/>
        </w:rPr>
      </w:pPr>
    </w:p>
    <w:p w14:paraId="74EA0BF8" w14:textId="63475F74" w:rsidR="009A5A7C" w:rsidRPr="00F433CB" w:rsidRDefault="009A5A7C" w:rsidP="00EE19DD">
      <w:pPr>
        <w:widowControl w:val="0"/>
        <w:ind w:left="720" w:hanging="720"/>
        <w:jc w:val="both"/>
        <w:rPr>
          <w:rFonts w:cs="Courier New"/>
        </w:rPr>
      </w:pPr>
      <w:r>
        <w:rPr>
          <w:rFonts w:cs="Courier New"/>
        </w:rPr>
        <w:tab/>
      </w:r>
      <w:r w:rsidRPr="002C6441">
        <w:rPr>
          <w:rFonts w:cs="Courier New"/>
        </w:rPr>
        <w:t xml:space="preserve">SBBI’s long-term arithmetic mean monthly total return rate on large company common stocks was </w:t>
      </w:r>
      <w:r w:rsidRPr="00C55E3B">
        <w:rPr>
          <w:rFonts w:cs="Courier New"/>
        </w:rPr>
        <w:t>12.11</w:t>
      </w:r>
      <w:r w:rsidR="002D3A60" w:rsidRPr="00FA2C55">
        <w:rPr>
          <w:rFonts w:cs="Courier New"/>
        </w:rPr>
        <w:t xml:space="preserve"> percent</w:t>
      </w:r>
      <w:r w:rsidRPr="00FA2C55">
        <w:rPr>
          <w:rFonts w:cs="Courier New"/>
        </w:rPr>
        <w:t xml:space="preserve"> and the long-term arithmetic mean monthly yield on Moody’s Aaa/Aa-rated corporate bonds was </w:t>
      </w:r>
      <w:r w:rsidRPr="00C55E3B">
        <w:rPr>
          <w:rFonts w:cs="Courier New"/>
        </w:rPr>
        <w:t>5.98</w:t>
      </w:r>
      <w:r w:rsidR="002D3A60">
        <w:rPr>
          <w:rFonts w:cs="Courier New"/>
          <w:lang w:bidi="en-US"/>
        </w:rPr>
        <w:t xml:space="preserve"> percent</w:t>
      </w:r>
      <w:r w:rsidR="000E5E49">
        <w:rPr>
          <w:rFonts w:cs="Courier New"/>
          <w:lang w:bidi="en-US"/>
        </w:rPr>
        <w:t xml:space="preserve">, as explained in note 1, page 9 of </w:t>
      </w:r>
      <w:r w:rsidR="000E5E49" w:rsidRPr="00C55E3B">
        <w:rPr>
          <w:rFonts w:cs="Courier New"/>
          <w:lang w:bidi="en-US"/>
        </w:rPr>
        <w:t>Document No. 4</w:t>
      </w:r>
      <w:r w:rsidRPr="00151D44">
        <w:rPr>
          <w:rFonts w:cs="Courier New"/>
        </w:rPr>
        <w:t xml:space="preserve">.  As shown on line 1, page 8 of </w:t>
      </w:r>
      <w:r w:rsidR="000E5E49" w:rsidRPr="00C55E3B">
        <w:rPr>
          <w:rFonts w:cs="Courier New"/>
        </w:rPr>
        <w:t xml:space="preserve">Document No. </w:t>
      </w:r>
      <w:r w:rsidRPr="00C55E3B">
        <w:rPr>
          <w:rFonts w:cs="Courier New"/>
        </w:rPr>
        <w:t>4</w:t>
      </w:r>
      <w:r w:rsidRPr="00151D44">
        <w:rPr>
          <w:rFonts w:cs="Courier New"/>
        </w:rPr>
        <w:t xml:space="preserve">, subtracting the mean monthly bond yield from the total return on large company stocks results in a long-term historical equity risk premium of </w:t>
      </w:r>
      <w:r w:rsidRPr="00C55E3B">
        <w:rPr>
          <w:rFonts w:cs="Courier New"/>
        </w:rPr>
        <w:t>6.13</w:t>
      </w:r>
      <w:r w:rsidR="000E5E49">
        <w:rPr>
          <w:rFonts w:cs="Courier New"/>
          <w:lang w:bidi="en-US"/>
        </w:rPr>
        <w:t xml:space="preserve"> percent</w:t>
      </w:r>
      <w:r w:rsidRPr="00F433CB">
        <w:rPr>
          <w:rFonts w:cs="Courier New"/>
        </w:rPr>
        <w:t>.</w:t>
      </w:r>
    </w:p>
    <w:p w14:paraId="45E2FDC4" w14:textId="77777777" w:rsidR="009A5A7C" w:rsidRDefault="009A5A7C" w:rsidP="00EE19DD">
      <w:pPr>
        <w:widowControl w:val="0"/>
        <w:ind w:left="720" w:hanging="720"/>
        <w:jc w:val="both"/>
        <w:rPr>
          <w:rFonts w:cs="Courier New"/>
        </w:rPr>
      </w:pPr>
    </w:p>
    <w:p w14:paraId="339BF0F3" w14:textId="373C8DF5" w:rsidR="009A5A7C" w:rsidRPr="0073351E" w:rsidRDefault="009A5A7C" w:rsidP="00EE19DD">
      <w:pPr>
        <w:widowControl w:val="0"/>
        <w:ind w:left="720" w:hanging="720"/>
        <w:jc w:val="both"/>
        <w:rPr>
          <w:rFonts w:cs="Courier New"/>
        </w:rPr>
      </w:pPr>
      <w:r>
        <w:rPr>
          <w:rFonts w:cs="Courier New"/>
        </w:rPr>
        <w:tab/>
      </w:r>
      <w:r w:rsidRPr="00F433CB">
        <w:rPr>
          <w:rFonts w:cs="Courier New"/>
        </w:rPr>
        <w:t xml:space="preserve">I used the arithmetic mean monthly total return rates for the large company stocks and yields (income returns) for the Moody’s Aaa/Aa-rated corporate bonds, because they are appropriate for the purpose of estimating the cost of capital as noted in </w:t>
      </w:r>
      <w:r w:rsidRPr="00F433CB">
        <w:rPr>
          <w:rFonts w:cs="Courier New"/>
          <w:u w:val="single"/>
        </w:rPr>
        <w:t>SBBI</w:t>
      </w:r>
      <w:r w:rsidR="003E0A00">
        <w:rPr>
          <w:rFonts w:cs="Courier New"/>
          <w:u w:val="single"/>
        </w:rPr>
        <w:t>-</w:t>
      </w:r>
      <w:r w:rsidRPr="00F433CB">
        <w:rPr>
          <w:rFonts w:cs="Courier New"/>
          <w:u w:val="single"/>
        </w:rPr>
        <w:t>2022</w:t>
      </w:r>
      <w:r w:rsidRPr="00F433CB">
        <w:rPr>
          <w:rFonts w:cs="Courier New"/>
        </w:rPr>
        <w:t>.</w:t>
      </w:r>
      <w:r>
        <w:rPr>
          <w:rStyle w:val="EndnoteReference"/>
          <w:rFonts w:cs="Courier New"/>
        </w:rPr>
        <w:endnoteReference w:id="22"/>
      </w:r>
      <w:r>
        <w:rPr>
          <w:rFonts w:cs="Courier New"/>
        </w:rPr>
        <w:t xml:space="preserve">  </w:t>
      </w:r>
      <w:r w:rsidRPr="00DC755E">
        <w:rPr>
          <w:rFonts w:cs="Courier New"/>
        </w:rPr>
        <w:t xml:space="preserve">Using the arithmetic mean return </w:t>
      </w:r>
      <w:r w:rsidRPr="00DC755E">
        <w:rPr>
          <w:rFonts w:cs="Courier New"/>
        </w:rPr>
        <w:lastRenderedPageBreak/>
        <w:t xml:space="preserve">rates and yields is appropriate because historical total returns and equity risk premiums provide insight into the variance and standard deviation of returns needed by investors in estimating future risk when making a current investment.  If investors relied on the geometric mean of historical equity risk premiums, they would have no insight into the potential variance of future returns; the geometric mean relates the change over many periods to a </w:t>
      </w:r>
      <w:r w:rsidRPr="00DC755E">
        <w:rPr>
          <w:rFonts w:cs="Courier New"/>
          <w:u w:val="single"/>
        </w:rPr>
        <w:t>constant</w:t>
      </w:r>
      <w:r w:rsidRPr="00DC755E">
        <w:rPr>
          <w:rFonts w:cs="Courier New"/>
        </w:rPr>
        <w:t xml:space="preserve"> rate of change, thereby obviating the year-to-year fluctuations, or variance, which is critical to risk analysis</w:t>
      </w:r>
      <w:r w:rsidRPr="00DC755E">
        <w:rPr>
          <w:rFonts w:cs="Courier New"/>
          <w:i/>
        </w:rPr>
        <w:t>.</w:t>
      </w:r>
    </w:p>
    <w:p w14:paraId="007772B2" w14:textId="77777777" w:rsidR="009A5A7C" w:rsidRPr="0073351E" w:rsidRDefault="009A5A7C" w:rsidP="00EE19DD">
      <w:pPr>
        <w:widowControl w:val="0"/>
        <w:ind w:left="720" w:hanging="720"/>
        <w:jc w:val="both"/>
        <w:rPr>
          <w:rFonts w:cs="Courier New"/>
        </w:rPr>
      </w:pPr>
    </w:p>
    <w:p w14:paraId="4B2C90BE" w14:textId="2928452D"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922F7D">
        <w:rPr>
          <w:rFonts w:cs="Courier New"/>
        </w:rPr>
        <w:t>Please explain the derivation of the regression-based market equity risk premium.</w:t>
      </w:r>
    </w:p>
    <w:p w14:paraId="07B9B274" w14:textId="77777777" w:rsidR="009A5A7C" w:rsidRDefault="009A5A7C" w:rsidP="00EE19DD">
      <w:pPr>
        <w:widowControl w:val="0"/>
        <w:ind w:left="720" w:hanging="720"/>
        <w:jc w:val="both"/>
        <w:rPr>
          <w:rFonts w:cs="Courier New"/>
        </w:rPr>
      </w:pPr>
    </w:p>
    <w:p w14:paraId="79FFAF0E" w14:textId="46C88BA8" w:rsidR="009A5A7C" w:rsidRDefault="009A5A7C" w:rsidP="001A6103">
      <w:pPr>
        <w:widowControl w:val="0"/>
        <w:spacing w:after="120"/>
        <w:ind w:left="720" w:hanging="720"/>
        <w:jc w:val="both"/>
        <w:rPr>
          <w:rFonts w:cs="Courier New"/>
        </w:rPr>
      </w:pPr>
      <w:r w:rsidRPr="00B23997">
        <w:rPr>
          <w:rFonts w:cs="Courier New"/>
          <w:b/>
        </w:rPr>
        <w:t>A.</w:t>
      </w:r>
      <w:r w:rsidRPr="00B23997">
        <w:rPr>
          <w:rFonts w:cs="Courier New"/>
        </w:rPr>
        <w:tab/>
      </w:r>
      <w:r w:rsidRPr="00913494">
        <w:rPr>
          <w:rFonts w:cs="Courier New"/>
        </w:rPr>
        <w:t xml:space="preserve">To derive the regression-based market equity risk premium of </w:t>
      </w:r>
      <w:r w:rsidR="00006E7A">
        <w:rPr>
          <w:rFonts w:cs="Courier New"/>
        </w:rPr>
        <w:t>7.26</w:t>
      </w:r>
      <w:r w:rsidR="00006E7A">
        <w:rPr>
          <w:rFonts w:cs="Courier New"/>
          <w:lang w:bidi="en-US"/>
        </w:rPr>
        <w:t xml:space="preserve"> </w:t>
      </w:r>
      <w:r w:rsidR="009F6880">
        <w:rPr>
          <w:rFonts w:cs="Courier New"/>
          <w:lang w:bidi="en-US"/>
        </w:rPr>
        <w:t>percent</w:t>
      </w:r>
      <w:r w:rsidRPr="00913494">
        <w:rPr>
          <w:rFonts w:cs="Courier New"/>
          <w:lang w:bidi="en-US"/>
        </w:rPr>
        <w:t xml:space="preserve"> </w:t>
      </w:r>
      <w:r w:rsidRPr="00913494">
        <w:rPr>
          <w:rFonts w:cs="Courier New"/>
        </w:rPr>
        <w:t xml:space="preserve">shown on line 2, page 8 of </w:t>
      </w:r>
      <w:r w:rsidR="009F6880" w:rsidRPr="00C55E3B">
        <w:rPr>
          <w:rFonts w:cs="Courier New"/>
        </w:rPr>
        <w:t xml:space="preserve">Document No. </w:t>
      </w:r>
      <w:r w:rsidRPr="00C55E3B">
        <w:rPr>
          <w:rFonts w:cs="Courier New"/>
        </w:rPr>
        <w:t>4</w:t>
      </w:r>
      <w:r w:rsidRPr="00913494">
        <w:rPr>
          <w:rFonts w:cs="Courier New"/>
        </w:rPr>
        <w:t xml:space="preserve">, I used the same monthly annualized total returns on large company common stocks relative to the monthly annualized yields on Moody’s Aaa/Aa-rated corporate bonds as mentioned above.  I modeled the relationship between interest rates and the market equity risk premium using the observed monthly market equity risk premium as the dependent variable, and the monthly yield on Moody’s Aaa/Aa-rated corporate bonds as the independent variable.  I then used a linear Ordinary Least Squares (“OLS”) regression, in which the market equity risk </w:t>
      </w:r>
      <w:r w:rsidRPr="00913494">
        <w:rPr>
          <w:rFonts w:cs="Courier New"/>
        </w:rPr>
        <w:lastRenderedPageBreak/>
        <w:t>premium is expressed as a function of the Moody’s Aaa/Aa-rated corporate bond yield:</w:t>
      </w:r>
    </w:p>
    <w:p w14:paraId="30EE2969" w14:textId="69CC478F" w:rsidR="009A5A7C" w:rsidRPr="004658A7" w:rsidRDefault="009A5A7C" w:rsidP="00EE19DD">
      <w:pPr>
        <w:widowControl w:val="0"/>
        <w:ind w:left="720" w:hanging="720"/>
        <w:jc w:val="both"/>
        <w:rPr>
          <w:rFonts w:cs="Courier New"/>
        </w:rPr>
      </w:pPr>
      <w:r>
        <w:rPr>
          <w:rFonts w:cs="Courier New"/>
        </w:rPr>
        <w:tab/>
      </w:r>
      <w:r>
        <w:rPr>
          <w:rFonts w:cs="Courier New"/>
        </w:rPr>
        <w:tab/>
      </w:r>
      <w:r w:rsidRPr="004658A7">
        <w:rPr>
          <w:rFonts w:cs="Courier New"/>
        </w:rPr>
        <w:t>RP = α + β (R</w:t>
      </w:r>
      <w:r w:rsidRPr="004658A7">
        <w:rPr>
          <w:rFonts w:cs="Courier New"/>
          <w:vertAlign w:val="subscript"/>
        </w:rPr>
        <w:t>Aaa/Aa</w:t>
      </w:r>
      <w:r w:rsidRPr="004658A7">
        <w:rPr>
          <w:rFonts w:cs="Courier New"/>
        </w:rPr>
        <w:t>)</w:t>
      </w:r>
    </w:p>
    <w:p w14:paraId="3BB76CF9" w14:textId="201582D2" w:rsidR="009A5A7C" w:rsidRPr="004658A7" w:rsidRDefault="009A5A7C" w:rsidP="00EE19DD">
      <w:pPr>
        <w:widowControl w:val="0"/>
        <w:ind w:left="720" w:hanging="720"/>
        <w:jc w:val="both"/>
        <w:rPr>
          <w:rFonts w:cs="Courier New"/>
        </w:rPr>
      </w:pPr>
      <w:r w:rsidRPr="004658A7">
        <w:rPr>
          <w:rFonts w:cs="Courier New"/>
        </w:rPr>
        <w:tab/>
      </w:r>
      <w:r w:rsidRPr="004658A7">
        <w:rPr>
          <w:rFonts w:cs="Courier New"/>
        </w:rPr>
        <w:tab/>
      </w:r>
      <w:r w:rsidR="001A6103">
        <w:rPr>
          <w:rFonts w:cs="Courier New"/>
        </w:rPr>
        <w:t>W</w:t>
      </w:r>
      <w:r w:rsidRPr="004658A7">
        <w:rPr>
          <w:rFonts w:cs="Courier New"/>
        </w:rPr>
        <w:t>here:</w:t>
      </w:r>
    </w:p>
    <w:p w14:paraId="06DC6AE8" w14:textId="0CBE573F" w:rsidR="009A5A7C" w:rsidRPr="004658A7" w:rsidRDefault="009A5A7C" w:rsidP="00EE19DD">
      <w:pPr>
        <w:widowControl w:val="0"/>
        <w:ind w:left="720" w:hanging="720"/>
        <w:jc w:val="both"/>
        <w:rPr>
          <w:rFonts w:cs="Courier New"/>
        </w:rPr>
      </w:pPr>
      <w:r>
        <w:rPr>
          <w:rFonts w:cs="Courier New"/>
          <w:i/>
          <w:iCs/>
        </w:rPr>
        <w:tab/>
      </w:r>
      <w:r w:rsidR="001A6103">
        <w:rPr>
          <w:rFonts w:cs="Courier New"/>
          <w:i/>
          <w:iCs/>
        </w:rPr>
        <w:tab/>
      </w:r>
      <w:r>
        <w:rPr>
          <w:rFonts w:cs="Courier New"/>
          <w:i/>
          <w:iCs/>
        </w:rPr>
        <w:tab/>
      </w:r>
      <w:r w:rsidRPr="004658A7">
        <w:rPr>
          <w:rFonts w:cs="Courier New"/>
        </w:rPr>
        <w:t>RP = the market equity risk premium;</w:t>
      </w:r>
    </w:p>
    <w:p w14:paraId="50FE0B5D" w14:textId="38EFE72B" w:rsidR="009A5A7C" w:rsidRPr="004658A7" w:rsidRDefault="009A5A7C" w:rsidP="00EE19DD">
      <w:pPr>
        <w:widowControl w:val="0"/>
        <w:ind w:left="720" w:hanging="720"/>
        <w:jc w:val="both"/>
        <w:rPr>
          <w:rFonts w:cs="Courier New"/>
        </w:rPr>
      </w:pPr>
      <w:r>
        <w:rPr>
          <w:rFonts w:cs="Courier New"/>
          <w:i/>
          <w:iCs/>
        </w:rPr>
        <w:tab/>
      </w:r>
      <w:r w:rsidR="001A6103">
        <w:rPr>
          <w:rFonts w:cs="Courier New"/>
          <w:i/>
          <w:iCs/>
        </w:rPr>
        <w:tab/>
      </w:r>
      <w:r>
        <w:rPr>
          <w:rFonts w:cs="Courier New"/>
          <w:i/>
          <w:iCs/>
        </w:rPr>
        <w:tab/>
      </w:r>
      <w:r w:rsidRPr="004658A7">
        <w:rPr>
          <w:rFonts w:cs="Courier New"/>
        </w:rPr>
        <w:t>α = the regression intercept coefficient;</w:t>
      </w:r>
    </w:p>
    <w:p w14:paraId="3D06DAC2" w14:textId="65941689" w:rsidR="009A5A7C" w:rsidRPr="004658A7" w:rsidRDefault="009A5A7C" w:rsidP="00EE19DD">
      <w:pPr>
        <w:widowControl w:val="0"/>
        <w:ind w:left="720" w:hanging="720"/>
        <w:jc w:val="both"/>
        <w:rPr>
          <w:rFonts w:cs="Courier New"/>
        </w:rPr>
      </w:pPr>
      <w:r>
        <w:rPr>
          <w:rFonts w:cs="Courier New"/>
          <w:i/>
          <w:iCs/>
        </w:rPr>
        <w:tab/>
      </w:r>
      <w:r w:rsidR="001A6103">
        <w:rPr>
          <w:rFonts w:cs="Courier New"/>
          <w:i/>
          <w:iCs/>
        </w:rPr>
        <w:tab/>
      </w:r>
      <w:r>
        <w:rPr>
          <w:rFonts w:cs="Courier New"/>
          <w:i/>
          <w:iCs/>
        </w:rPr>
        <w:tab/>
      </w:r>
      <w:r w:rsidRPr="004658A7">
        <w:rPr>
          <w:rFonts w:cs="Courier New"/>
        </w:rPr>
        <w:t>β</w:t>
      </w:r>
      <w:r w:rsidRPr="004658A7">
        <w:rPr>
          <w:rFonts w:cs="Courier New"/>
          <w:i/>
          <w:iCs/>
        </w:rPr>
        <w:t xml:space="preserve"> = </w:t>
      </w:r>
      <w:r w:rsidRPr="004658A7">
        <w:rPr>
          <w:rFonts w:cs="Courier New"/>
        </w:rPr>
        <w:t>the regression slope coefficient; and</w:t>
      </w:r>
    </w:p>
    <w:p w14:paraId="65F7382C" w14:textId="2BBE7CBE" w:rsidR="009A5A7C" w:rsidRDefault="009A5A7C" w:rsidP="001A6103">
      <w:pPr>
        <w:widowControl w:val="0"/>
        <w:tabs>
          <w:tab w:val="left" w:pos="720"/>
          <w:tab w:val="left" w:pos="1440"/>
          <w:tab w:val="left" w:pos="2160"/>
        </w:tabs>
        <w:ind w:left="2160" w:hanging="2160"/>
        <w:jc w:val="both"/>
        <w:rPr>
          <w:rFonts w:cs="Courier New"/>
        </w:rPr>
      </w:pPr>
      <w:r w:rsidRPr="004658A7">
        <w:rPr>
          <w:rFonts w:cs="Courier New"/>
        </w:rPr>
        <w:tab/>
      </w:r>
      <w:r w:rsidR="001A6103">
        <w:rPr>
          <w:rFonts w:cs="Courier New"/>
        </w:rPr>
        <w:tab/>
      </w:r>
      <w:r w:rsidRPr="004658A7">
        <w:rPr>
          <w:rFonts w:cs="Courier New"/>
        </w:rPr>
        <w:tab/>
        <w:t>R</w:t>
      </w:r>
      <w:r w:rsidRPr="004658A7">
        <w:rPr>
          <w:rFonts w:cs="Courier New"/>
          <w:vertAlign w:val="subscript"/>
        </w:rPr>
        <w:t>Aaa/Aa</w:t>
      </w:r>
      <w:r w:rsidRPr="004658A7">
        <w:rPr>
          <w:rFonts w:cs="Courier New"/>
        </w:rPr>
        <w:t xml:space="preserve"> = the Moody’s Aaa/</w:t>
      </w:r>
      <w:r w:rsidR="00BA3A2A" w:rsidRPr="004658A7">
        <w:rPr>
          <w:rFonts w:cs="Courier New"/>
        </w:rPr>
        <w:t>Aa</w:t>
      </w:r>
      <w:r w:rsidR="00BA3A2A">
        <w:rPr>
          <w:rFonts w:cs="Courier New"/>
        </w:rPr>
        <w:t>-</w:t>
      </w:r>
      <w:r w:rsidRPr="004658A7">
        <w:rPr>
          <w:rFonts w:cs="Courier New"/>
        </w:rPr>
        <w:t>rated corporate bond yield.</w:t>
      </w:r>
    </w:p>
    <w:p w14:paraId="45C43CA8" w14:textId="77777777" w:rsidR="0098667E" w:rsidRPr="0073351E" w:rsidRDefault="0098667E" w:rsidP="001A6103">
      <w:pPr>
        <w:widowControl w:val="0"/>
        <w:tabs>
          <w:tab w:val="left" w:pos="720"/>
          <w:tab w:val="left" w:pos="1440"/>
          <w:tab w:val="left" w:pos="2160"/>
        </w:tabs>
        <w:ind w:left="2160" w:hanging="2160"/>
        <w:jc w:val="both"/>
        <w:rPr>
          <w:rFonts w:cs="Courier New"/>
        </w:rPr>
      </w:pPr>
    </w:p>
    <w:p w14:paraId="4A323C2B" w14:textId="2D3499E7"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901739">
        <w:rPr>
          <w:rFonts w:cs="Courier New"/>
        </w:rPr>
        <w:t>Please explain the derivation of the PRPM equity risk premium.</w:t>
      </w:r>
    </w:p>
    <w:p w14:paraId="043B0CC0" w14:textId="77777777" w:rsidR="009A5A7C" w:rsidRDefault="009A5A7C" w:rsidP="00EE19DD">
      <w:pPr>
        <w:widowControl w:val="0"/>
        <w:ind w:left="720" w:hanging="720"/>
        <w:jc w:val="both"/>
        <w:rPr>
          <w:rFonts w:cs="Courier New"/>
        </w:rPr>
      </w:pPr>
    </w:p>
    <w:p w14:paraId="6864CE08" w14:textId="6A74531E"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5D4666">
        <w:rPr>
          <w:rFonts w:cs="Courier New"/>
        </w:rPr>
        <w:t xml:space="preserve">I used the same PRPM approach described above to the PRPM equity risk premium.  The inputs to the model are the historical monthly returns on large company common stocks minus the monthly yields on Moody’s Aaa/Aa-rated corporate bonds during the period from </w:t>
      </w:r>
      <w:r w:rsidRPr="00C55E3B">
        <w:rPr>
          <w:rFonts w:cs="Courier New"/>
        </w:rPr>
        <w:t xml:space="preserve">January 1928 through </w:t>
      </w:r>
      <w:r w:rsidR="00006E7A" w:rsidRPr="00410B1C">
        <w:rPr>
          <w:rFonts w:cs="Courier New"/>
        </w:rPr>
        <w:t>December 2022</w:t>
      </w:r>
      <w:r w:rsidRPr="00410B1C">
        <w:rPr>
          <w:rFonts w:cs="Courier New"/>
        </w:rPr>
        <w:t>.</w:t>
      </w:r>
      <w:r w:rsidRPr="00410B1C">
        <w:rPr>
          <w:rStyle w:val="EndnoteReference"/>
          <w:rFonts w:cs="Courier New"/>
        </w:rPr>
        <w:endnoteReference w:id="23"/>
      </w:r>
      <w:r w:rsidRPr="00410B1C">
        <w:rPr>
          <w:rFonts w:cs="Courier New"/>
        </w:rPr>
        <w:t xml:space="preserve">  Using the previously discussed GARCH</w:t>
      </w:r>
      <w:r w:rsidR="00BA3A2A">
        <w:rPr>
          <w:rFonts w:cs="Courier New"/>
        </w:rPr>
        <w:t xml:space="preserve"> method</w:t>
      </w:r>
      <w:r w:rsidRPr="00410B1C">
        <w:rPr>
          <w:rFonts w:cs="Courier New"/>
        </w:rPr>
        <w:t>, the projected equity risk premium is determined using Eviews</w:t>
      </w:r>
      <w:r w:rsidRPr="00410B1C">
        <w:rPr>
          <w:rFonts w:cs="Courier New"/>
          <w:vertAlign w:val="superscript"/>
        </w:rPr>
        <w:t>©</w:t>
      </w:r>
      <w:r w:rsidRPr="00410B1C">
        <w:rPr>
          <w:rFonts w:cs="Courier New"/>
        </w:rPr>
        <w:t xml:space="preserve"> statistical software.  The resulting PRPM predicted a market equity risk premium of </w:t>
      </w:r>
      <w:r w:rsidR="00006E7A" w:rsidRPr="00410B1C">
        <w:rPr>
          <w:rFonts w:cs="Courier New"/>
        </w:rPr>
        <w:t>9.76</w:t>
      </w:r>
      <w:r w:rsidR="001B3620" w:rsidRPr="00410B1C">
        <w:rPr>
          <w:rFonts w:cs="Courier New"/>
          <w:lang w:bidi="en-US"/>
        </w:rPr>
        <w:t xml:space="preserve"> percent</w:t>
      </w:r>
      <w:r w:rsidR="009B3CA8" w:rsidRPr="00410B1C">
        <w:rPr>
          <w:rFonts w:cs="Courier New"/>
          <w:lang w:bidi="en-US"/>
        </w:rPr>
        <w:t xml:space="preserve"> (as shown on line 3, page 8 of </w:t>
      </w:r>
      <w:r w:rsidR="009B3CA8" w:rsidRPr="00C55E3B">
        <w:rPr>
          <w:rFonts w:cs="Courier New"/>
          <w:lang w:bidi="en-US"/>
        </w:rPr>
        <w:t>Document No. 4</w:t>
      </w:r>
      <w:r w:rsidR="009B3CA8">
        <w:rPr>
          <w:rFonts w:cs="Courier New"/>
          <w:lang w:bidi="en-US"/>
        </w:rPr>
        <w:t>)</w:t>
      </w:r>
      <w:r w:rsidRPr="007054FD">
        <w:rPr>
          <w:rFonts w:cs="Courier New"/>
        </w:rPr>
        <w:t>.</w:t>
      </w:r>
    </w:p>
    <w:p w14:paraId="0BA58642" w14:textId="77777777" w:rsidR="00FC535B" w:rsidRPr="0073351E" w:rsidRDefault="00FC535B" w:rsidP="00EE19DD">
      <w:pPr>
        <w:widowControl w:val="0"/>
        <w:ind w:left="720" w:hanging="720"/>
        <w:jc w:val="both"/>
        <w:rPr>
          <w:rFonts w:cs="Courier New"/>
        </w:rPr>
      </w:pPr>
    </w:p>
    <w:p w14:paraId="1C4A13E9" w14:textId="6BB38FC1"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90346F">
        <w:rPr>
          <w:rFonts w:cs="Courier New"/>
        </w:rPr>
        <w:t xml:space="preserve">Please explain the derivation of a projected equity risk premium based on </w:t>
      </w:r>
      <w:r w:rsidRPr="0090346F">
        <w:rPr>
          <w:rFonts w:cs="Courier New"/>
          <w:i/>
          <w:iCs/>
        </w:rPr>
        <w:t>Value Line</w:t>
      </w:r>
      <w:r w:rsidRPr="0090346F">
        <w:rPr>
          <w:rFonts w:cs="Courier New"/>
        </w:rPr>
        <w:t xml:space="preserve"> data for your RPM analysis.</w:t>
      </w:r>
    </w:p>
    <w:p w14:paraId="2462D580" w14:textId="0765941A" w:rsidR="009A5A7C" w:rsidRPr="0073351E" w:rsidRDefault="009A5A7C" w:rsidP="00EE19DD">
      <w:pPr>
        <w:widowControl w:val="0"/>
        <w:ind w:left="720" w:hanging="720"/>
        <w:jc w:val="both"/>
        <w:rPr>
          <w:rFonts w:cs="Courier New"/>
        </w:rPr>
      </w:pPr>
      <w:r w:rsidRPr="00B23997">
        <w:rPr>
          <w:rFonts w:cs="Courier New"/>
          <w:b/>
        </w:rPr>
        <w:lastRenderedPageBreak/>
        <w:t>A.</w:t>
      </w:r>
      <w:r w:rsidRPr="00B23997">
        <w:rPr>
          <w:rFonts w:cs="Courier New"/>
        </w:rPr>
        <w:tab/>
      </w:r>
      <w:r w:rsidRPr="0024205B">
        <w:rPr>
          <w:rFonts w:cs="Courier New"/>
        </w:rPr>
        <w:t>As noted above, because both ratemaking and the cost of capital are prospective, a prospective market equity risk premium is needed.  The derivation of the forecasted or prospective market equity risk premium can be found in note 4, page</w:t>
      </w:r>
      <w:r>
        <w:rPr>
          <w:rFonts w:cs="Courier New"/>
        </w:rPr>
        <w:t xml:space="preserve"> </w:t>
      </w:r>
      <w:r w:rsidRPr="0024205B">
        <w:rPr>
          <w:rFonts w:cs="Courier New"/>
        </w:rPr>
        <w:t xml:space="preserve">9 of </w:t>
      </w:r>
      <w:r w:rsidR="009B3CA8" w:rsidRPr="00C55E3B">
        <w:rPr>
          <w:rFonts w:cs="Courier New"/>
        </w:rPr>
        <w:t xml:space="preserve">Document No. </w:t>
      </w:r>
      <w:r w:rsidRPr="00C55E3B">
        <w:rPr>
          <w:rFonts w:cs="Courier New"/>
        </w:rPr>
        <w:t>4</w:t>
      </w:r>
      <w:r w:rsidRPr="00410B1C">
        <w:rPr>
          <w:rFonts w:cs="Courier New"/>
        </w:rPr>
        <w:t>.</w:t>
      </w:r>
      <w:r w:rsidRPr="0024205B">
        <w:rPr>
          <w:rFonts w:cs="Courier New"/>
        </w:rPr>
        <w:t xml:space="preserve">  Consistent with my calculation of the dividend yield component in my DCF analysis, this prospective market equity risk premium is derived from an average of the three- to five-year median market price appreciation potential by </w:t>
      </w:r>
      <w:r w:rsidRPr="0024205B">
        <w:rPr>
          <w:rFonts w:cs="Courier New"/>
          <w:i/>
        </w:rPr>
        <w:t>Value Line</w:t>
      </w:r>
      <w:r w:rsidRPr="0024205B">
        <w:rPr>
          <w:rFonts w:cs="Courier New"/>
        </w:rPr>
        <w:t xml:space="preserve"> for the 13 weeks ended </w:t>
      </w:r>
      <w:r w:rsidR="00410B1C" w:rsidRPr="00C55E3B">
        <w:rPr>
          <w:rFonts w:cs="Courier New"/>
        </w:rPr>
        <w:t>December 30</w:t>
      </w:r>
      <w:r w:rsidRPr="00C55E3B">
        <w:rPr>
          <w:rFonts w:cs="Courier New"/>
        </w:rPr>
        <w:t>, 2022</w:t>
      </w:r>
      <w:r w:rsidRPr="002607DD">
        <w:rPr>
          <w:rFonts w:cs="Courier New"/>
        </w:rPr>
        <w:t xml:space="preserve">, plus an average of the median estimated dividend yield for the common stocks of the 1,700 firms covered in </w:t>
      </w:r>
      <w:r w:rsidRPr="002607DD">
        <w:rPr>
          <w:rFonts w:cs="Courier New"/>
          <w:i/>
        </w:rPr>
        <w:t>Value Line</w:t>
      </w:r>
      <w:r w:rsidRPr="002607DD">
        <w:rPr>
          <w:rFonts w:cs="Courier New"/>
        </w:rPr>
        <w:t xml:space="preserve"> (Standard Edition)</w:t>
      </w:r>
      <w:r w:rsidR="00F118A2" w:rsidRPr="002607DD">
        <w:rPr>
          <w:rFonts w:cs="Courier New"/>
        </w:rPr>
        <w:t xml:space="preserve"> (as explained in detail in note 1, page 2 of </w:t>
      </w:r>
      <w:r w:rsidR="00F118A2" w:rsidRPr="00C55E3B">
        <w:rPr>
          <w:rFonts w:cs="Courier New"/>
        </w:rPr>
        <w:t xml:space="preserve">Document No. </w:t>
      </w:r>
      <w:r w:rsidR="000C1668" w:rsidRPr="00C55E3B">
        <w:rPr>
          <w:rFonts w:cs="Courier New"/>
        </w:rPr>
        <w:t>5</w:t>
      </w:r>
      <w:r w:rsidR="00F118A2" w:rsidRPr="002607DD">
        <w:rPr>
          <w:rFonts w:cs="Courier New"/>
        </w:rPr>
        <w:t>)</w:t>
      </w:r>
      <w:r w:rsidRPr="002607DD">
        <w:rPr>
          <w:rFonts w:cs="Courier New"/>
        </w:rPr>
        <w:t>.</w:t>
      </w:r>
    </w:p>
    <w:p w14:paraId="7EA54692" w14:textId="4C6F5C0E" w:rsidR="009A5A7C" w:rsidRDefault="009A5A7C" w:rsidP="00EE19DD">
      <w:pPr>
        <w:widowControl w:val="0"/>
        <w:ind w:left="720" w:hanging="720"/>
        <w:jc w:val="both"/>
        <w:rPr>
          <w:rFonts w:cs="Courier New"/>
        </w:rPr>
      </w:pPr>
    </w:p>
    <w:p w14:paraId="672B59D4" w14:textId="247E1296" w:rsidR="009A5A7C" w:rsidRDefault="009A5A7C" w:rsidP="00EE19DD">
      <w:pPr>
        <w:widowControl w:val="0"/>
        <w:ind w:left="720" w:hanging="720"/>
        <w:jc w:val="both"/>
        <w:rPr>
          <w:rFonts w:cs="Courier New"/>
        </w:rPr>
      </w:pPr>
      <w:r>
        <w:rPr>
          <w:rFonts w:cs="Courier New"/>
        </w:rPr>
        <w:tab/>
      </w:r>
      <w:r w:rsidRPr="00FA3B87">
        <w:rPr>
          <w:rFonts w:cs="Courier New"/>
        </w:rPr>
        <w:t xml:space="preserve">The average median expected price appreciation is </w:t>
      </w:r>
      <w:r w:rsidR="003C0588">
        <w:rPr>
          <w:rFonts w:cs="Courier New"/>
        </w:rPr>
        <w:t>71</w:t>
      </w:r>
      <w:r w:rsidR="003C0588">
        <w:rPr>
          <w:rFonts w:cs="Courier New"/>
          <w:lang w:bidi="en-US"/>
        </w:rPr>
        <w:t xml:space="preserve"> </w:t>
      </w:r>
      <w:r w:rsidR="007475FC">
        <w:rPr>
          <w:rFonts w:cs="Courier New"/>
          <w:lang w:bidi="en-US"/>
        </w:rPr>
        <w:t>percent</w:t>
      </w:r>
      <w:r w:rsidRPr="00FA3B87">
        <w:rPr>
          <w:rFonts w:cs="Courier New"/>
        </w:rPr>
        <w:t xml:space="preserve">, which translates to a </w:t>
      </w:r>
      <w:r w:rsidR="003C0588">
        <w:rPr>
          <w:rFonts w:cs="Courier New"/>
        </w:rPr>
        <w:t>14.35</w:t>
      </w:r>
      <w:r w:rsidR="00067B85">
        <w:rPr>
          <w:rFonts w:cs="Courier New"/>
          <w:lang w:bidi="en-US"/>
        </w:rPr>
        <w:t xml:space="preserve"> percent</w:t>
      </w:r>
      <w:r w:rsidRPr="00FA3B87">
        <w:rPr>
          <w:rFonts w:cs="Courier New"/>
          <w:lang w:bidi="en-US"/>
        </w:rPr>
        <w:t xml:space="preserve"> </w:t>
      </w:r>
      <w:r w:rsidRPr="00FA3B87">
        <w:rPr>
          <w:rFonts w:cs="Courier New"/>
        </w:rPr>
        <w:t xml:space="preserve">annual appreciation, and when added to the average of </w:t>
      </w:r>
      <w:r w:rsidRPr="00FA3B87">
        <w:rPr>
          <w:rFonts w:cs="Courier New"/>
          <w:i/>
        </w:rPr>
        <w:t>Value</w:t>
      </w:r>
      <w:r w:rsidRPr="00FA3B87">
        <w:rPr>
          <w:rFonts w:cs="Courier New"/>
        </w:rPr>
        <w:t xml:space="preserve"> </w:t>
      </w:r>
      <w:r w:rsidRPr="00FA3B87">
        <w:rPr>
          <w:rFonts w:cs="Courier New"/>
          <w:i/>
        </w:rPr>
        <w:t>Line’s</w:t>
      </w:r>
      <w:r w:rsidRPr="00FA3B87">
        <w:rPr>
          <w:rFonts w:cs="Courier New"/>
        </w:rPr>
        <w:t xml:space="preserve"> median expected dividend yields of </w:t>
      </w:r>
      <w:r w:rsidR="003C0588">
        <w:rPr>
          <w:rFonts w:cs="Courier New"/>
        </w:rPr>
        <w:t>2.23</w:t>
      </w:r>
      <w:r w:rsidR="00067B85">
        <w:rPr>
          <w:rFonts w:cs="Courier New"/>
          <w:lang w:bidi="en-US"/>
        </w:rPr>
        <w:t xml:space="preserve"> percent</w:t>
      </w:r>
      <w:r w:rsidRPr="00FA3B87">
        <w:rPr>
          <w:rFonts w:cs="Courier New"/>
          <w:lang w:bidi="en-US"/>
        </w:rPr>
        <w:t xml:space="preserve">, </w:t>
      </w:r>
      <w:r w:rsidRPr="00FA3B87">
        <w:rPr>
          <w:rFonts w:cs="Courier New"/>
        </w:rPr>
        <w:t xml:space="preserve">equates to a forecasted annual total return rate on the market of </w:t>
      </w:r>
      <w:r w:rsidR="003C0588">
        <w:rPr>
          <w:rFonts w:cs="Courier New"/>
        </w:rPr>
        <w:t>16.58</w:t>
      </w:r>
      <w:r w:rsidR="00067B85">
        <w:rPr>
          <w:rFonts w:cs="Courier New"/>
          <w:lang w:bidi="en-US"/>
        </w:rPr>
        <w:t xml:space="preserve"> percent</w:t>
      </w:r>
      <w:r w:rsidRPr="00FA3B87">
        <w:rPr>
          <w:rFonts w:cs="Courier New"/>
        </w:rPr>
        <w:t xml:space="preserve">.  The forecasted Moody’s Aaa-rated corporate </w:t>
      </w:r>
      <w:r w:rsidRPr="000456D5">
        <w:rPr>
          <w:rFonts w:cs="Courier New"/>
        </w:rPr>
        <w:t>bond yield of 5.</w:t>
      </w:r>
      <w:r w:rsidR="000F1E77" w:rsidRPr="000456D5">
        <w:rPr>
          <w:rFonts w:cs="Courier New"/>
        </w:rPr>
        <w:t>05</w:t>
      </w:r>
      <w:r w:rsidR="000F1E77" w:rsidRPr="000456D5">
        <w:rPr>
          <w:rFonts w:cs="Courier New"/>
          <w:lang w:bidi="en-US"/>
        </w:rPr>
        <w:t xml:space="preserve"> </w:t>
      </w:r>
      <w:r w:rsidR="00067B85" w:rsidRPr="000456D5">
        <w:rPr>
          <w:rFonts w:cs="Courier New"/>
          <w:lang w:bidi="en-US"/>
        </w:rPr>
        <w:t>percent</w:t>
      </w:r>
      <w:r w:rsidRPr="000456D5">
        <w:rPr>
          <w:rFonts w:cs="Courier New"/>
          <w:lang w:bidi="en-US"/>
        </w:rPr>
        <w:t xml:space="preserve"> </w:t>
      </w:r>
      <w:r w:rsidRPr="000456D5">
        <w:rPr>
          <w:rFonts w:cs="Courier New"/>
        </w:rPr>
        <w:t xml:space="preserve">is deducted from the total market return of </w:t>
      </w:r>
      <w:r w:rsidR="000F1E77" w:rsidRPr="000456D5">
        <w:rPr>
          <w:rFonts w:cs="Courier New"/>
          <w:lang w:bidi="en-US"/>
        </w:rPr>
        <w:t>16.58</w:t>
      </w:r>
      <w:r w:rsidR="00067B85" w:rsidRPr="000456D5">
        <w:rPr>
          <w:rFonts w:cs="Courier New"/>
          <w:lang w:bidi="en-US"/>
        </w:rPr>
        <w:t xml:space="preserve"> percent</w:t>
      </w:r>
      <w:r w:rsidRPr="000456D5">
        <w:rPr>
          <w:rFonts w:cs="Courier New"/>
        </w:rPr>
        <w:t xml:space="preserve">, resulting in an equity risk premium of </w:t>
      </w:r>
      <w:r w:rsidR="004F03F6" w:rsidRPr="000456D5">
        <w:rPr>
          <w:rFonts w:cs="Courier New"/>
        </w:rPr>
        <w:t>11.53</w:t>
      </w:r>
      <w:r w:rsidR="00067B85" w:rsidRPr="000456D5">
        <w:rPr>
          <w:rFonts w:cs="Courier New"/>
          <w:lang w:bidi="en-US"/>
        </w:rPr>
        <w:t xml:space="preserve"> percent</w:t>
      </w:r>
      <w:r w:rsidRPr="000456D5">
        <w:rPr>
          <w:rFonts w:cs="Courier New"/>
        </w:rPr>
        <w:t xml:space="preserve">, as shown on line 4, page 8 of </w:t>
      </w:r>
      <w:r w:rsidR="00067B85" w:rsidRPr="000456D5">
        <w:rPr>
          <w:rFonts w:cs="Courier New"/>
        </w:rPr>
        <w:t xml:space="preserve">Document No. </w:t>
      </w:r>
      <w:r w:rsidRPr="000456D5">
        <w:rPr>
          <w:rFonts w:cs="Courier New"/>
        </w:rPr>
        <w:t>4.</w:t>
      </w:r>
    </w:p>
    <w:p w14:paraId="7CF09575" w14:textId="77777777" w:rsidR="009A5A7C" w:rsidRPr="0073351E" w:rsidRDefault="009A5A7C" w:rsidP="00EE19DD">
      <w:pPr>
        <w:widowControl w:val="0"/>
        <w:ind w:left="720" w:hanging="720"/>
        <w:jc w:val="both"/>
        <w:rPr>
          <w:rFonts w:cs="Courier New"/>
        </w:rPr>
      </w:pPr>
    </w:p>
    <w:p w14:paraId="4B08A009" w14:textId="23202FFA"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A12004">
        <w:rPr>
          <w:rFonts w:cs="Courier New"/>
        </w:rPr>
        <w:t xml:space="preserve">Please explain the derivation of an equity risk premium based </w:t>
      </w:r>
      <w:r w:rsidRPr="00A12004">
        <w:rPr>
          <w:rFonts w:cs="Courier New"/>
        </w:rPr>
        <w:lastRenderedPageBreak/>
        <w:t>on the S&amp;P 500 companies.</w:t>
      </w:r>
    </w:p>
    <w:p w14:paraId="24F05AC1" w14:textId="77777777" w:rsidR="009A5A7C" w:rsidRDefault="009A5A7C" w:rsidP="00EE19DD">
      <w:pPr>
        <w:widowControl w:val="0"/>
        <w:ind w:left="720" w:hanging="720"/>
        <w:jc w:val="both"/>
        <w:rPr>
          <w:rFonts w:cs="Courier New"/>
        </w:rPr>
      </w:pPr>
    </w:p>
    <w:p w14:paraId="33D65DA7" w14:textId="75B28226"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6613AD">
        <w:rPr>
          <w:rFonts w:cs="Courier New"/>
        </w:rPr>
        <w:t xml:space="preserve">Using data from </w:t>
      </w:r>
      <w:r w:rsidRPr="006613AD">
        <w:rPr>
          <w:rFonts w:cs="Courier New"/>
          <w:i/>
        </w:rPr>
        <w:t>Value Line</w:t>
      </w:r>
      <w:r w:rsidRPr="006613AD">
        <w:rPr>
          <w:rFonts w:cs="Courier New"/>
        </w:rPr>
        <w:t xml:space="preserve">, I calculated an expected total return on the S&amp;P 500 companies using expected dividend yields and long-term growth estimates as a proxy for capital appreciation.  The expected total return for the S&amp;P 500 is </w:t>
      </w:r>
      <w:r w:rsidR="006F348F">
        <w:rPr>
          <w:rFonts w:cs="Courier New"/>
        </w:rPr>
        <w:t>15.67</w:t>
      </w:r>
      <w:r w:rsidR="00515EB4">
        <w:rPr>
          <w:rFonts w:cs="Courier New"/>
          <w:lang w:bidi="en-US"/>
        </w:rPr>
        <w:t xml:space="preserve"> percent</w:t>
      </w:r>
      <w:r w:rsidRPr="006613AD">
        <w:rPr>
          <w:rFonts w:cs="Courier New"/>
        </w:rPr>
        <w:t xml:space="preserve">.  Subtracting the prospective yield on Moody’s Aaa-rated corporate bonds of </w:t>
      </w:r>
      <w:r w:rsidR="006F348F">
        <w:rPr>
          <w:rFonts w:cs="Courier New"/>
        </w:rPr>
        <w:t xml:space="preserve">5.05 </w:t>
      </w:r>
      <w:r w:rsidR="00515EB4">
        <w:rPr>
          <w:rFonts w:cs="Courier New"/>
          <w:lang w:bidi="en-US"/>
        </w:rPr>
        <w:t>percent</w:t>
      </w:r>
      <w:r w:rsidRPr="006613AD">
        <w:rPr>
          <w:rFonts w:cs="Courier New"/>
          <w:lang w:bidi="en-US"/>
        </w:rPr>
        <w:t xml:space="preserve"> </w:t>
      </w:r>
      <w:r w:rsidRPr="006613AD">
        <w:rPr>
          <w:rFonts w:cs="Courier New"/>
        </w:rPr>
        <w:t xml:space="preserve">results in a </w:t>
      </w:r>
      <w:r w:rsidR="00C331C8">
        <w:rPr>
          <w:rFonts w:cs="Courier New"/>
        </w:rPr>
        <w:t>10.62</w:t>
      </w:r>
      <w:r w:rsidR="00515EB4">
        <w:rPr>
          <w:rFonts w:cs="Courier New"/>
        </w:rPr>
        <w:t xml:space="preserve"> </w:t>
      </w:r>
      <w:r w:rsidR="00515EB4">
        <w:rPr>
          <w:rFonts w:cs="Courier New"/>
          <w:lang w:bidi="en-US"/>
        </w:rPr>
        <w:t>percent</w:t>
      </w:r>
      <w:r w:rsidRPr="006613AD">
        <w:rPr>
          <w:rFonts w:cs="Courier New"/>
          <w:lang w:bidi="en-US"/>
        </w:rPr>
        <w:t xml:space="preserve"> </w:t>
      </w:r>
      <w:r w:rsidRPr="006613AD">
        <w:rPr>
          <w:rFonts w:cs="Courier New"/>
        </w:rPr>
        <w:t>projected equity risk premium.</w:t>
      </w:r>
    </w:p>
    <w:p w14:paraId="5C37EC88" w14:textId="77777777" w:rsidR="00EC465D" w:rsidRPr="0073351E" w:rsidRDefault="00EC465D" w:rsidP="00EE19DD">
      <w:pPr>
        <w:widowControl w:val="0"/>
        <w:ind w:left="720" w:hanging="720"/>
        <w:jc w:val="both"/>
        <w:rPr>
          <w:rFonts w:cs="Courier New"/>
        </w:rPr>
      </w:pPr>
    </w:p>
    <w:p w14:paraId="7064F7B8" w14:textId="21984EDC"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977C79">
        <w:rPr>
          <w:rFonts w:cs="Courier New"/>
        </w:rPr>
        <w:t>Please explain the derivation of an equity risk premium based on Bloomberg data.</w:t>
      </w:r>
    </w:p>
    <w:p w14:paraId="6C8033E5" w14:textId="77777777" w:rsidR="009A5A7C" w:rsidRDefault="009A5A7C" w:rsidP="00EE19DD">
      <w:pPr>
        <w:widowControl w:val="0"/>
        <w:ind w:left="720" w:hanging="720"/>
        <w:jc w:val="both"/>
        <w:rPr>
          <w:rFonts w:cs="Courier New"/>
        </w:rPr>
      </w:pPr>
    </w:p>
    <w:p w14:paraId="0D53C152" w14:textId="6CA3BF9D"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C92A87">
        <w:rPr>
          <w:rFonts w:cs="Courier New"/>
        </w:rPr>
        <w:t xml:space="preserve">Using data from Bloomberg, I calculated an expected total return on the S&amp;P 500 using expected dividend yields and long-term growth estimates as a proxy for capital appreciation identical to the method described above.  The expected total return for the S&amp;P 500 is </w:t>
      </w:r>
      <w:r w:rsidR="006F348F">
        <w:rPr>
          <w:rFonts w:cs="Courier New"/>
        </w:rPr>
        <w:t>11.06</w:t>
      </w:r>
      <w:r w:rsidR="00CE5237">
        <w:rPr>
          <w:rFonts w:cs="Courier New"/>
          <w:lang w:bidi="en-US"/>
        </w:rPr>
        <w:t xml:space="preserve"> percent</w:t>
      </w:r>
      <w:r w:rsidRPr="00C92A87">
        <w:rPr>
          <w:rFonts w:cs="Courier New"/>
        </w:rPr>
        <w:t xml:space="preserve">.  Subtracting the prospective yield on Moody’s Aaa-rated corporate bonds of </w:t>
      </w:r>
      <w:r w:rsidR="006F348F">
        <w:rPr>
          <w:rFonts w:cs="Courier New"/>
        </w:rPr>
        <w:t>5.05</w:t>
      </w:r>
      <w:r w:rsidR="00CE5237">
        <w:rPr>
          <w:rFonts w:cs="Courier New"/>
          <w:lang w:bidi="en-US"/>
        </w:rPr>
        <w:t xml:space="preserve"> percent</w:t>
      </w:r>
      <w:r w:rsidRPr="00C92A87">
        <w:rPr>
          <w:rFonts w:cs="Courier New"/>
          <w:lang w:bidi="en-US"/>
        </w:rPr>
        <w:t xml:space="preserve"> </w:t>
      </w:r>
      <w:r w:rsidRPr="00C92A87">
        <w:rPr>
          <w:rFonts w:cs="Courier New"/>
        </w:rPr>
        <w:t xml:space="preserve">results in a </w:t>
      </w:r>
      <w:r w:rsidR="00C331C8">
        <w:rPr>
          <w:rFonts w:cs="Courier New"/>
        </w:rPr>
        <w:t xml:space="preserve">6.01 </w:t>
      </w:r>
      <w:r w:rsidR="00CE5237">
        <w:rPr>
          <w:rFonts w:cs="Courier New"/>
          <w:lang w:bidi="en-US"/>
        </w:rPr>
        <w:t>percent</w:t>
      </w:r>
      <w:r w:rsidRPr="00C92A87">
        <w:rPr>
          <w:rFonts w:cs="Courier New"/>
          <w:lang w:bidi="en-US"/>
        </w:rPr>
        <w:t xml:space="preserve"> </w:t>
      </w:r>
      <w:r w:rsidRPr="00C92A87">
        <w:rPr>
          <w:rFonts w:cs="Courier New"/>
        </w:rPr>
        <w:t>projected equity risk premium.</w:t>
      </w:r>
    </w:p>
    <w:p w14:paraId="612C1445" w14:textId="77777777" w:rsidR="009A5A7C" w:rsidRPr="0073351E" w:rsidRDefault="009A5A7C" w:rsidP="00EE19DD">
      <w:pPr>
        <w:widowControl w:val="0"/>
        <w:ind w:left="720" w:hanging="720"/>
        <w:jc w:val="both"/>
        <w:rPr>
          <w:rFonts w:cs="Courier New"/>
        </w:rPr>
      </w:pPr>
    </w:p>
    <w:p w14:paraId="73127EB8" w14:textId="2A4588D4"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Pr>
          <w:rFonts w:cs="Courier New"/>
        </w:rPr>
        <w:t>What is your conclusion of a beta-derived equity risk premium for use in your RPM analysis?</w:t>
      </w:r>
    </w:p>
    <w:p w14:paraId="27944903" w14:textId="77777777" w:rsidR="009A5A7C" w:rsidRDefault="009A5A7C" w:rsidP="00EE19DD">
      <w:pPr>
        <w:widowControl w:val="0"/>
        <w:ind w:left="720" w:hanging="720"/>
        <w:jc w:val="both"/>
        <w:rPr>
          <w:rFonts w:cs="Courier New"/>
        </w:rPr>
      </w:pPr>
    </w:p>
    <w:p w14:paraId="7EC1CEC7" w14:textId="3CC81740" w:rsidR="009A5A7C" w:rsidRPr="0073351E" w:rsidRDefault="009A5A7C" w:rsidP="00EE19DD">
      <w:pPr>
        <w:widowControl w:val="0"/>
        <w:ind w:left="720" w:hanging="720"/>
        <w:jc w:val="both"/>
        <w:rPr>
          <w:rFonts w:cs="Courier New"/>
        </w:rPr>
      </w:pPr>
      <w:r w:rsidRPr="00B23997">
        <w:rPr>
          <w:rFonts w:cs="Courier New"/>
          <w:b/>
        </w:rPr>
        <w:lastRenderedPageBreak/>
        <w:t>A.</w:t>
      </w:r>
      <w:r w:rsidRPr="00B23997">
        <w:rPr>
          <w:rFonts w:cs="Courier New"/>
        </w:rPr>
        <w:tab/>
      </w:r>
      <w:r w:rsidRPr="00B30FCD">
        <w:rPr>
          <w:rFonts w:cs="Courier New"/>
        </w:rPr>
        <w:t xml:space="preserve">I gave equal weight to all six equity risk premiums based on each source – historical, </w:t>
      </w:r>
      <w:r w:rsidRPr="00B30FCD">
        <w:rPr>
          <w:rFonts w:cs="Courier New"/>
          <w:i/>
        </w:rPr>
        <w:t>Value Line</w:t>
      </w:r>
      <w:r w:rsidRPr="00B30FCD">
        <w:rPr>
          <w:rFonts w:cs="Courier New"/>
        </w:rPr>
        <w:t xml:space="preserve">, and Bloomberg – in arriving at </w:t>
      </w:r>
      <w:r w:rsidRPr="00707D7E">
        <w:rPr>
          <w:rFonts w:cs="Courier New"/>
        </w:rPr>
        <w:t xml:space="preserve">an </w:t>
      </w:r>
      <w:r w:rsidRPr="00C55E3B">
        <w:rPr>
          <w:rFonts w:cs="Courier New"/>
        </w:rPr>
        <w:t>8.</w:t>
      </w:r>
      <w:r w:rsidR="00707D7E" w:rsidRPr="00707D7E">
        <w:rPr>
          <w:rFonts w:cs="Courier New"/>
        </w:rPr>
        <w:t>55</w:t>
      </w:r>
      <w:r w:rsidR="00707D7E" w:rsidRPr="00707D7E">
        <w:rPr>
          <w:rFonts w:cs="Courier New"/>
          <w:lang w:bidi="en-US"/>
        </w:rPr>
        <w:t xml:space="preserve"> </w:t>
      </w:r>
      <w:r w:rsidR="002F1AA7" w:rsidRPr="00707D7E">
        <w:rPr>
          <w:rFonts w:cs="Courier New"/>
          <w:lang w:bidi="en-US"/>
        </w:rPr>
        <w:t>percent</w:t>
      </w:r>
      <w:r w:rsidRPr="00707D7E">
        <w:rPr>
          <w:rFonts w:cs="Courier New"/>
          <w:lang w:bidi="en-US"/>
        </w:rPr>
        <w:t xml:space="preserve"> </w:t>
      </w:r>
      <w:r w:rsidRPr="00707D7E">
        <w:rPr>
          <w:rFonts w:cs="Courier New"/>
        </w:rPr>
        <w:t xml:space="preserve">equity risk premium, as shown on page 8 of </w:t>
      </w:r>
      <w:r w:rsidR="00A61C11" w:rsidRPr="00C55E3B">
        <w:rPr>
          <w:rFonts w:cs="Courier New"/>
        </w:rPr>
        <w:t xml:space="preserve">Document No. </w:t>
      </w:r>
      <w:r w:rsidRPr="00C55E3B">
        <w:rPr>
          <w:rFonts w:cs="Courier New"/>
        </w:rPr>
        <w:t>4</w:t>
      </w:r>
      <w:r w:rsidRPr="00707D7E">
        <w:rPr>
          <w:rFonts w:cs="Courier New"/>
        </w:rPr>
        <w:t>.</w:t>
      </w:r>
    </w:p>
    <w:p w14:paraId="6C26AE90" w14:textId="15F9B2EE" w:rsidR="009A5A7C" w:rsidRDefault="009A5A7C" w:rsidP="00EE19DD">
      <w:pPr>
        <w:widowControl w:val="0"/>
        <w:ind w:left="720" w:hanging="720"/>
        <w:jc w:val="both"/>
        <w:rPr>
          <w:rFonts w:cs="Courier New"/>
        </w:rPr>
      </w:pPr>
    </w:p>
    <w:p w14:paraId="275208B0" w14:textId="3F08B856" w:rsidR="009A5A7C" w:rsidRDefault="009A5A7C" w:rsidP="00EE19DD">
      <w:pPr>
        <w:widowControl w:val="0"/>
        <w:ind w:left="720" w:hanging="720"/>
        <w:jc w:val="both"/>
        <w:rPr>
          <w:rFonts w:cs="Courier New"/>
        </w:rPr>
      </w:pPr>
      <w:r>
        <w:rPr>
          <w:rFonts w:cs="Courier New"/>
        </w:rPr>
        <w:tab/>
      </w:r>
      <w:r w:rsidRPr="00107A85">
        <w:rPr>
          <w:rFonts w:cs="Courier New"/>
        </w:rPr>
        <w:t xml:space="preserve">After calculating the average market equity risk premium of </w:t>
      </w:r>
      <w:r w:rsidR="00707D7E">
        <w:rPr>
          <w:rFonts w:cs="Courier New"/>
        </w:rPr>
        <w:t>8.55</w:t>
      </w:r>
      <w:r w:rsidR="00810115">
        <w:rPr>
          <w:rFonts w:cs="Courier New"/>
          <w:lang w:bidi="en-US"/>
        </w:rPr>
        <w:t xml:space="preserve"> percent</w:t>
      </w:r>
      <w:r w:rsidRPr="00107A85">
        <w:rPr>
          <w:rFonts w:cs="Courier New"/>
        </w:rPr>
        <w:t xml:space="preserve">, I adjusted it by beta to account for the risk of the </w:t>
      </w:r>
      <w:r w:rsidR="00F416CB">
        <w:rPr>
          <w:rFonts w:cs="Courier New"/>
        </w:rPr>
        <w:t>Utility Proxy Group</w:t>
      </w:r>
      <w:r w:rsidRPr="00107A85">
        <w:rPr>
          <w:rFonts w:cs="Courier New"/>
        </w:rPr>
        <w:t xml:space="preserve">.  As discussed below, beta is a meaningful measure of prospective relative risk to the market as a whole, and is a logical way to allocate a company’s, or proxy group’s, share of the market’s total equity risk premium relative to corporate bond yields.  As shown on page 1 of </w:t>
      </w:r>
      <w:r w:rsidR="002F4768" w:rsidRPr="00C55E3B">
        <w:rPr>
          <w:rFonts w:cs="Courier New"/>
        </w:rPr>
        <w:t xml:space="preserve">Document No. </w:t>
      </w:r>
      <w:r w:rsidRPr="00C55E3B">
        <w:rPr>
          <w:rFonts w:cs="Courier New"/>
        </w:rPr>
        <w:t>5</w:t>
      </w:r>
      <w:r w:rsidRPr="00707D7E">
        <w:rPr>
          <w:rFonts w:cs="Courier New"/>
        </w:rPr>
        <w:t xml:space="preserve">, the average of the mean and median beta for the </w:t>
      </w:r>
      <w:r w:rsidR="00F416CB">
        <w:rPr>
          <w:rFonts w:cs="Courier New"/>
        </w:rPr>
        <w:t>Utility Proxy Group</w:t>
      </w:r>
      <w:r w:rsidRPr="00707D7E">
        <w:rPr>
          <w:rFonts w:cs="Courier New"/>
        </w:rPr>
        <w:t xml:space="preserve"> is </w:t>
      </w:r>
      <w:r w:rsidRPr="00C55E3B">
        <w:rPr>
          <w:rFonts w:cs="Courier New"/>
        </w:rPr>
        <w:t>0.76</w:t>
      </w:r>
      <w:r w:rsidRPr="00107A85">
        <w:rPr>
          <w:rFonts w:cs="Courier New"/>
        </w:rPr>
        <w:t>.</w:t>
      </w:r>
      <w:r>
        <w:rPr>
          <w:rFonts w:cs="Courier New"/>
        </w:rPr>
        <w:t xml:space="preserve"> </w:t>
      </w:r>
      <w:r w:rsidRPr="00107A85">
        <w:rPr>
          <w:rFonts w:cs="Courier New"/>
        </w:rPr>
        <w:t xml:space="preserve"> </w:t>
      </w:r>
      <w:r w:rsidRPr="00707D7E">
        <w:rPr>
          <w:rFonts w:cs="Courier New"/>
        </w:rPr>
        <w:t xml:space="preserve">Multiplying this beta by the market equity risk premium of </w:t>
      </w:r>
      <w:r w:rsidRPr="00C55E3B">
        <w:rPr>
          <w:rFonts w:cs="Courier New"/>
        </w:rPr>
        <w:t>8.</w:t>
      </w:r>
      <w:r w:rsidR="00707D7E" w:rsidRPr="00707D7E">
        <w:rPr>
          <w:rFonts w:cs="Courier New"/>
        </w:rPr>
        <w:t>55</w:t>
      </w:r>
      <w:r w:rsidR="00707D7E" w:rsidRPr="00707D7E">
        <w:rPr>
          <w:rFonts w:cs="Courier New"/>
          <w:lang w:bidi="en-US"/>
        </w:rPr>
        <w:t xml:space="preserve"> </w:t>
      </w:r>
      <w:r w:rsidR="004B5C1F" w:rsidRPr="00707D7E">
        <w:rPr>
          <w:rFonts w:cs="Courier New"/>
          <w:lang w:bidi="en-US"/>
        </w:rPr>
        <w:t>percent</w:t>
      </w:r>
      <w:r w:rsidRPr="00707D7E">
        <w:rPr>
          <w:rFonts w:cs="Courier New"/>
          <w:lang w:bidi="en-US"/>
        </w:rPr>
        <w:t xml:space="preserve"> </w:t>
      </w:r>
      <w:r w:rsidRPr="00707D7E">
        <w:rPr>
          <w:rFonts w:cs="Courier New"/>
        </w:rPr>
        <w:t xml:space="preserve">results in </w:t>
      </w:r>
      <w:r w:rsidR="009E1918">
        <w:rPr>
          <w:rFonts w:cs="Courier New"/>
        </w:rPr>
        <w:t xml:space="preserve">a </w:t>
      </w:r>
      <w:r w:rsidRPr="00707D7E">
        <w:rPr>
          <w:rFonts w:cs="Courier New"/>
        </w:rPr>
        <w:t xml:space="preserve">beta-adjusted equity risk premium for the </w:t>
      </w:r>
      <w:r w:rsidR="00F416CB">
        <w:rPr>
          <w:rFonts w:cs="Courier New"/>
        </w:rPr>
        <w:t>Utility Proxy Group</w:t>
      </w:r>
      <w:r w:rsidRPr="00707D7E">
        <w:rPr>
          <w:rFonts w:cs="Courier New"/>
        </w:rPr>
        <w:t xml:space="preserve"> of </w:t>
      </w:r>
      <w:r w:rsidRPr="00C55E3B">
        <w:rPr>
          <w:rFonts w:cs="Courier New"/>
        </w:rPr>
        <w:t>6.</w:t>
      </w:r>
      <w:r w:rsidR="00707D7E" w:rsidRPr="00707D7E">
        <w:rPr>
          <w:rFonts w:cs="Courier New"/>
        </w:rPr>
        <w:t>50</w:t>
      </w:r>
      <w:r w:rsidR="00707D7E" w:rsidRPr="00707D7E">
        <w:rPr>
          <w:rFonts w:cs="Courier New"/>
          <w:lang w:bidi="en-US"/>
        </w:rPr>
        <w:t xml:space="preserve"> </w:t>
      </w:r>
      <w:r w:rsidR="004B5C1F" w:rsidRPr="00707D7E">
        <w:rPr>
          <w:rFonts w:cs="Courier New"/>
          <w:lang w:bidi="en-US"/>
        </w:rPr>
        <w:t>percent</w:t>
      </w:r>
      <w:r w:rsidRPr="00707D7E">
        <w:rPr>
          <w:rFonts w:cs="Courier New"/>
        </w:rPr>
        <w:t>.</w:t>
      </w:r>
    </w:p>
    <w:p w14:paraId="69F57635" w14:textId="77777777" w:rsidR="009A5A7C" w:rsidRPr="0073351E" w:rsidRDefault="009A5A7C" w:rsidP="00EE19DD">
      <w:pPr>
        <w:widowControl w:val="0"/>
        <w:ind w:left="720" w:hanging="720"/>
        <w:jc w:val="both"/>
        <w:rPr>
          <w:rFonts w:cs="Courier New"/>
        </w:rPr>
      </w:pPr>
    </w:p>
    <w:p w14:paraId="7048AFD4" w14:textId="4BF92C19"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51398B">
        <w:rPr>
          <w:rFonts w:cs="Courier New"/>
        </w:rPr>
        <w:t>How did you derive the equity risk premium based on the S&amp;P Utility Index and Moody’s A2-rated public utility bonds?</w:t>
      </w:r>
    </w:p>
    <w:p w14:paraId="2F8E3C32" w14:textId="77777777" w:rsidR="009A5A7C" w:rsidRDefault="009A5A7C" w:rsidP="00EE19DD">
      <w:pPr>
        <w:widowControl w:val="0"/>
        <w:ind w:left="720" w:hanging="720"/>
        <w:jc w:val="both"/>
        <w:rPr>
          <w:rFonts w:cs="Courier New"/>
        </w:rPr>
      </w:pPr>
    </w:p>
    <w:p w14:paraId="7DB82637" w14:textId="1B2A0413"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77481C">
        <w:rPr>
          <w:rFonts w:cs="Courier New"/>
        </w:rPr>
        <w:t xml:space="preserve">I estimated three equity risk premiums based on S&amp;P Utility Index holding period returns, and two equity risk premiums based on the expected returns of the S&amp;P Utilities Index, using </w:t>
      </w:r>
      <w:r w:rsidRPr="0077481C">
        <w:rPr>
          <w:rFonts w:cs="Courier New"/>
          <w:i/>
        </w:rPr>
        <w:t>Value Line</w:t>
      </w:r>
      <w:r w:rsidRPr="0077481C">
        <w:rPr>
          <w:rFonts w:cs="Courier New"/>
        </w:rPr>
        <w:t xml:space="preserve"> and Bloomberg data, respectively.  Turning </w:t>
      </w:r>
      <w:r w:rsidRPr="0077481C">
        <w:rPr>
          <w:rFonts w:cs="Courier New"/>
        </w:rPr>
        <w:lastRenderedPageBreak/>
        <w:t xml:space="preserve">first to the S&amp;P Utility Index holding period returns, I derived a long-term monthly arithmetic mean equity risk premium between the S&amp;P Utility Index total returns of </w:t>
      </w:r>
      <w:r w:rsidRPr="00C55E3B">
        <w:rPr>
          <w:rFonts w:cs="Courier New"/>
          <w:lang w:bidi="en-US"/>
        </w:rPr>
        <w:t>10.74</w:t>
      </w:r>
      <w:r w:rsidR="00562375" w:rsidRPr="0075745D">
        <w:rPr>
          <w:rFonts w:cs="Courier New"/>
          <w:lang w:bidi="en-US"/>
        </w:rPr>
        <w:t xml:space="preserve"> percent</w:t>
      </w:r>
      <w:r w:rsidRPr="0075745D">
        <w:rPr>
          <w:rFonts w:cs="Courier New"/>
          <w:lang w:bidi="en-US"/>
        </w:rPr>
        <w:t xml:space="preserve"> </w:t>
      </w:r>
      <w:r w:rsidRPr="0075745D">
        <w:rPr>
          <w:rFonts w:cs="Courier New"/>
        </w:rPr>
        <w:t xml:space="preserve">and monthly Moody’s A2-rated public utility bond yields of </w:t>
      </w:r>
      <w:r w:rsidR="0075745D" w:rsidRPr="0075745D">
        <w:rPr>
          <w:rFonts w:cs="Courier New"/>
          <w:lang w:bidi="en-US"/>
        </w:rPr>
        <w:t>6.46</w:t>
      </w:r>
      <w:r w:rsidR="00562375" w:rsidRPr="0075745D">
        <w:rPr>
          <w:rFonts w:cs="Courier New"/>
          <w:lang w:bidi="en-US"/>
        </w:rPr>
        <w:t xml:space="preserve"> percent</w:t>
      </w:r>
      <w:r w:rsidRPr="0075745D">
        <w:rPr>
          <w:rFonts w:cs="Courier New"/>
          <w:lang w:bidi="en-US"/>
        </w:rPr>
        <w:t xml:space="preserve"> </w:t>
      </w:r>
      <w:r w:rsidRPr="0075745D">
        <w:rPr>
          <w:rFonts w:cs="Courier New"/>
        </w:rPr>
        <w:t xml:space="preserve">from </w:t>
      </w:r>
      <w:r w:rsidRPr="00C55E3B">
        <w:rPr>
          <w:rFonts w:cs="Courier New"/>
        </w:rPr>
        <w:t>1928 to 2021</w:t>
      </w:r>
      <w:r w:rsidRPr="0077481C">
        <w:rPr>
          <w:rFonts w:cs="Courier New"/>
        </w:rPr>
        <w:t xml:space="preserve">, to arrive at an </w:t>
      </w:r>
      <w:r w:rsidRPr="0075745D">
        <w:rPr>
          <w:rFonts w:cs="Courier New"/>
        </w:rPr>
        <w:t xml:space="preserve">equity risk premium of </w:t>
      </w:r>
      <w:r w:rsidRPr="00C55E3B">
        <w:rPr>
          <w:rFonts w:cs="Courier New"/>
          <w:lang w:bidi="en-US"/>
        </w:rPr>
        <w:t>4.28</w:t>
      </w:r>
      <w:r w:rsidR="00562375" w:rsidRPr="0075745D">
        <w:rPr>
          <w:rFonts w:cs="Courier New"/>
          <w:lang w:bidi="en-US"/>
        </w:rPr>
        <w:t xml:space="preserve"> percent (as shown on line 1, page 12 of </w:t>
      </w:r>
      <w:r w:rsidR="00562375" w:rsidRPr="00C55E3B">
        <w:rPr>
          <w:rFonts w:cs="Courier New"/>
          <w:lang w:bidi="en-US"/>
        </w:rPr>
        <w:t xml:space="preserve">Document No. </w:t>
      </w:r>
      <w:r w:rsidR="007926E6" w:rsidRPr="00C55E3B">
        <w:rPr>
          <w:rFonts w:cs="Courier New"/>
          <w:lang w:bidi="en-US"/>
        </w:rPr>
        <w:t>4</w:t>
      </w:r>
      <w:r w:rsidR="00562375" w:rsidRPr="0075745D">
        <w:rPr>
          <w:rFonts w:cs="Courier New"/>
          <w:lang w:bidi="en-US"/>
        </w:rPr>
        <w:t>)</w:t>
      </w:r>
      <w:r w:rsidRPr="0075745D">
        <w:rPr>
          <w:rFonts w:cs="Courier New"/>
        </w:rPr>
        <w:t>.  I then used the same historical data to derive an equity</w:t>
      </w:r>
      <w:r w:rsidRPr="004E694D">
        <w:rPr>
          <w:rFonts w:cs="Courier New"/>
        </w:rPr>
        <w:t xml:space="preserve"> risk premium of </w:t>
      </w:r>
      <w:r w:rsidRPr="00C55E3B">
        <w:rPr>
          <w:rFonts w:cs="Courier New"/>
        </w:rPr>
        <w:t>4.80</w:t>
      </w:r>
      <w:r w:rsidR="007926E6">
        <w:rPr>
          <w:rFonts w:cs="Courier New"/>
          <w:lang w:bidi="en-US"/>
        </w:rPr>
        <w:t xml:space="preserve"> percent</w:t>
      </w:r>
      <w:r w:rsidRPr="004E694D">
        <w:rPr>
          <w:rFonts w:cs="Courier New"/>
          <w:lang w:bidi="en-US"/>
        </w:rPr>
        <w:t xml:space="preserve"> </w:t>
      </w:r>
      <w:r w:rsidRPr="004E694D">
        <w:rPr>
          <w:rFonts w:cs="Courier New"/>
        </w:rPr>
        <w:t xml:space="preserve">based on a regression of the monthly equity risk premiums.  The final S&amp;P Utility Index holding period equity risk premium involved applying the PRPM using the historical monthly equity risk premiums </w:t>
      </w:r>
      <w:r w:rsidRPr="000456D5">
        <w:rPr>
          <w:rFonts w:cs="Courier New"/>
        </w:rPr>
        <w:t xml:space="preserve">from January 1928 to </w:t>
      </w:r>
      <w:r w:rsidR="00887E05" w:rsidRPr="000456D5">
        <w:rPr>
          <w:rFonts w:cs="Courier New"/>
        </w:rPr>
        <w:t xml:space="preserve">December </w:t>
      </w:r>
      <w:r w:rsidRPr="000456D5">
        <w:rPr>
          <w:rFonts w:cs="Courier New"/>
        </w:rPr>
        <w:t>2022 to arrive at a PRPM-derived equity risk premium of 5.</w:t>
      </w:r>
      <w:r w:rsidR="00887E05" w:rsidRPr="000456D5">
        <w:rPr>
          <w:rFonts w:cs="Courier New"/>
        </w:rPr>
        <w:t>56</w:t>
      </w:r>
      <w:r w:rsidR="00887E05" w:rsidRPr="000456D5">
        <w:rPr>
          <w:rFonts w:cs="Courier New"/>
          <w:lang w:bidi="en-US"/>
        </w:rPr>
        <w:t xml:space="preserve"> </w:t>
      </w:r>
      <w:r w:rsidR="007926E6" w:rsidRPr="000456D5">
        <w:rPr>
          <w:rFonts w:cs="Courier New"/>
          <w:lang w:bidi="en-US"/>
        </w:rPr>
        <w:t>percent</w:t>
      </w:r>
      <w:r w:rsidRPr="004E694D">
        <w:rPr>
          <w:rFonts w:cs="Courier New"/>
          <w:lang w:bidi="en-US"/>
        </w:rPr>
        <w:t xml:space="preserve"> </w:t>
      </w:r>
      <w:r w:rsidRPr="004E694D">
        <w:rPr>
          <w:rFonts w:cs="Courier New"/>
        </w:rPr>
        <w:t>for the S&amp;P Utility Index.</w:t>
      </w:r>
    </w:p>
    <w:p w14:paraId="408A7744" w14:textId="77777777" w:rsidR="009A5A7C" w:rsidRPr="004E694D" w:rsidRDefault="009A5A7C" w:rsidP="00EE19DD">
      <w:pPr>
        <w:widowControl w:val="0"/>
        <w:ind w:left="720" w:hanging="720"/>
        <w:jc w:val="both"/>
        <w:rPr>
          <w:rFonts w:cs="Courier New"/>
        </w:rPr>
      </w:pPr>
    </w:p>
    <w:p w14:paraId="06A56F24" w14:textId="408AD3FA" w:rsidR="009A5A7C" w:rsidRPr="0073351E" w:rsidRDefault="009A5A7C" w:rsidP="00EE19DD">
      <w:pPr>
        <w:widowControl w:val="0"/>
        <w:ind w:left="720" w:hanging="720"/>
        <w:jc w:val="both"/>
        <w:rPr>
          <w:rFonts w:cs="Courier New"/>
        </w:rPr>
      </w:pPr>
      <w:r>
        <w:rPr>
          <w:rFonts w:cs="Courier New"/>
        </w:rPr>
        <w:tab/>
      </w:r>
      <w:r w:rsidRPr="004E694D">
        <w:rPr>
          <w:rFonts w:cs="Courier New"/>
        </w:rPr>
        <w:t xml:space="preserve">I then derived expected total returns on the S&amp;P Utilities </w:t>
      </w:r>
      <w:r w:rsidRPr="00006FED">
        <w:rPr>
          <w:rFonts w:cs="Courier New"/>
        </w:rPr>
        <w:t xml:space="preserve">Index of </w:t>
      </w:r>
      <w:r w:rsidRPr="00C55E3B">
        <w:rPr>
          <w:rFonts w:cs="Courier New"/>
        </w:rPr>
        <w:t>9.</w:t>
      </w:r>
      <w:r w:rsidR="00947D67" w:rsidRPr="00006FED">
        <w:rPr>
          <w:rFonts w:cs="Courier New"/>
        </w:rPr>
        <w:t>50</w:t>
      </w:r>
      <w:r w:rsidR="00947D67" w:rsidRPr="00006FED">
        <w:rPr>
          <w:rFonts w:cs="Courier New"/>
          <w:lang w:bidi="en-US"/>
        </w:rPr>
        <w:t xml:space="preserve"> </w:t>
      </w:r>
      <w:r w:rsidR="00F0434D" w:rsidRPr="00006FED">
        <w:rPr>
          <w:rFonts w:cs="Courier New"/>
          <w:lang w:bidi="en-US"/>
        </w:rPr>
        <w:t>percent</w:t>
      </w:r>
      <w:r w:rsidRPr="00006FED">
        <w:rPr>
          <w:rFonts w:cs="Courier New"/>
          <w:lang w:bidi="en-US"/>
        </w:rPr>
        <w:t xml:space="preserve"> </w:t>
      </w:r>
      <w:r w:rsidRPr="00006FED">
        <w:rPr>
          <w:rFonts w:cs="Courier New"/>
        </w:rPr>
        <w:t xml:space="preserve">and </w:t>
      </w:r>
      <w:r w:rsidR="00947D67" w:rsidRPr="00006FED">
        <w:rPr>
          <w:rFonts w:cs="Courier New"/>
          <w:lang w:bidi="en-US"/>
        </w:rPr>
        <w:t>9.20</w:t>
      </w:r>
      <w:r w:rsidR="00F0434D" w:rsidRPr="00006FED">
        <w:rPr>
          <w:rFonts w:cs="Courier New"/>
          <w:lang w:bidi="en-US"/>
        </w:rPr>
        <w:t xml:space="preserve"> percent</w:t>
      </w:r>
      <w:r w:rsidRPr="00006FED">
        <w:rPr>
          <w:rFonts w:cs="Courier New"/>
          <w:lang w:bidi="en-US"/>
        </w:rPr>
        <w:t xml:space="preserve"> </w:t>
      </w:r>
      <w:r w:rsidRPr="00006FED">
        <w:rPr>
          <w:rFonts w:cs="Courier New"/>
        </w:rPr>
        <w:t xml:space="preserve">using data from </w:t>
      </w:r>
      <w:r w:rsidRPr="00006FED">
        <w:rPr>
          <w:rFonts w:cs="Courier New"/>
          <w:i/>
        </w:rPr>
        <w:t xml:space="preserve">Value Line </w:t>
      </w:r>
      <w:r w:rsidRPr="00006FED">
        <w:rPr>
          <w:rFonts w:cs="Courier New"/>
        </w:rPr>
        <w:t xml:space="preserve">and Bloomberg, respectively, and subtracted the prospective Moody’s A2-rated public utility bond yield of </w:t>
      </w:r>
      <w:r w:rsidRPr="00C55E3B">
        <w:rPr>
          <w:rFonts w:cs="Courier New"/>
        </w:rPr>
        <w:t>5.88</w:t>
      </w:r>
      <w:r w:rsidR="00F0434D" w:rsidRPr="00006FED">
        <w:rPr>
          <w:rFonts w:cs="Courier New"/>
          <w:lang w:bidi="en-US"/>
        </w:rPr>
        <w:t xml:space="preserve"> percent</w:t>
      </w:r>
      <w:r w:rsidR="00730F64" w:rsidRPr="00006FED">
        <w:rPr>
          <w:rFonts w:cs="Courier New"/>
          <w:lang w:bidi="en-US"/>
        </w:rPr>
        <w:t xml:space="preserve"> (derived on line 3, page 3 of </w:t>
      </w:r>
      <w:r w:rsidR="00730F64" w:rsidRPr="00C55E3B">
        <w:rPr>
          <w:rFonts w:cs="Courier New"/>
          <w:lang w:bidi="en-US"/>
        </w:rPr>
        <w:t>Document No. 4</w:t>
      </w:r>
      <w:r w:rsidR="00730F64" w:rsidRPr="00006FED">
        <w:rPr>
          <w:rFonts w:cs="Courier New"/>
          <w:lang w:bidi="en-US"/>
        </w:rPr>
        <w:t>)</w:t>
      </w:r>
      <w:r w:rsidRPr="00006FED">
        <w:rPr>
          <w:rFonts w:cs="Courier New"/>
          <w:lang w:bidi="en-US"/>
        </w:rPr>
        <w:t xml:space="preserve">.  This resulted in equity risk premiums of </w:t>
      </w:r>
      <w:r w:rsidRPr="00C55E3B">
        <w:rPr>
          <w:rFonts w:cs="Courier New"/>
          <w:lang w:bidi="en-US"/>
        </w:rPr>
        <w:t>3.</w:t>
      </w:r>
      <w:r w:rsidR="006B6488" w:rsidRPr="00C55E3B">
        <w:rPr>
          <w:rFonts w:cs="Courier New"/>
          <w:lang w:bidi="en-US"/>
        </w:rPr>
        <w:t>6</w:t>
      </w:r>
      <w:r w:rsidR="006B6488" w:rsidRPr="00006FED">
        <w:rPr>
          <w:rFonts w:cs="Courier New"/>
          <w:lang w:bidi="en-US"/>
        </w:rPr>
        <w:t xml:space="preserve">2 </w:t>
      </w:r>
      <w:r w:rsidR="002B49C5" w:rsidRPr="00006FED">
        <w:rPr>
          <w:rFonts w:cs="Courier New"/>
          <w:lang w:bidi="en-US"/>
        </w:rPr>
        <w:t>percent</w:t>
      </w:r>
      <w:r w:rsidRPr="00006FED">
        <w:rPr>
          <w:rFonts w:cs="Courier New"/>
          <w:lang w:bidi="en-US"/>
        </w:rPr>
        <w:t xml:space="preserve"> and </w:t>
      </w:r>
      <w:r w:rsidR="006B6488" w:rsidRPr="00006FED">
        <w:rPr>
          <w:rFonts w:cs="Courier New"/>
          <w:lang w:bidi="en-US"/>
        </w:rPr>
        <w:t>3.32</w:t>
      </w:r>
      <w:r w:rsidR="002B49C5" w:rsidRPr="00006FED">
        <w:rPr>
          <w:rFonts w:cs="Courier New"/>
          <w:lang w:bidi="en-US"/>
        </w:rPr>
        <w:t xml:space="preserve"> percent</w:t>
      </w:r>
      <w:r w:rsidRPr="00006FED">
        <w:rPr>
          <w:rFonts w:cs="Courier New"/>
          <w:lang w:bidi="en-US"/>
        </w:rPr>
        <w:t>, respectively.  As with the market equity risk premiums, I averaged each risk premium based on each source (</w:t>
      </w:r>
      <w:r w:rsidRPr="00006FED">
        <w:rPr>
          <w:rFonts w:cs="Courier New"/>
          <w:i/>
          <w:lang w:bidi="en-US"/>
        </w:rPr>
        <w:t>i.e.</w:t>
      </w:r>
      <w:r w:rsidRPr="00006FED">
        <w:rPr>
          <w:rFonts w:cs="Courier New"/>
          <w:lang w:bidi="en-US"/>
        </w:rPr>
        <w:t xml:space="preserve">, historical, </w:t>
      </w:r>
      <w:r w:rsidRPr="00006FED">
        <w:rPr>
          <w:rFonts w:cs="Courier New"/>
          <w:i/>
          <w:lang w:bidi="en-US"/>
        </w:rPr>
        <w:t>Value Line</w:t>
      </w:r>
      <w:r w:rsidRPr="00006FED">
        <w:rPr>
          <w:rFonts w:cs="Courier New"/>
          <w:lang w:bidi="en-US"/>
        </w:rPr>
        <w:t xml:space="preserve">, and Bloomberg) to arrive at my utility-specific equity risk premium of </w:t>
      </w:r>
      <w:r w:rsidRPr="00C55E3B">
        <w:rPr>
          <w:rFonts w:cs="Courier New"/>
          <w:lang w:bidi="en-US"/>
        </w:rPr>
        <w:t>4.</w:t>
      </w:r>
      <w:r w:rsidR="006B6488" w:rsidRPr="00006FED">
        <w:rPr>
          <w:rFonts w:cs="Courier New"/>
          <w:lang w:bidi="en-US"/>
        </w:rPr>
        <w:t xml:space="preserve">32 </w:t>
      </w:r>
      <w:r w:rsidR="005B1DDC" w:rsidRPr="00006FED">
        <w:rPr>
          <w:rFonts w:cs="Courier New"/>
          <w:lang w:bidi="en-US"/>
        </w:rPr>
        <w:t>percent</w:t>
      </w:r>
      <w:r w:rsidRPr="00006FED">
        <w:rPr>
          <w:rFonts w:cs="Courier New"/>
          <w:lang w:bidi="en-US"/>
        </w:rPr>
        <w:t xml:space="preserve">, as </w:t>
      </w:r>
      <w:r w:rsidRPr="00006FED">
        <w:rPr>
          <w:rFonts w:cs="Courier New"/>
          <w:lang w:bidi="en-US"/>
        </w:rPr>
        <w:lastRenderedPageBreak/>
        <w:t xml:space="preserve">shown on page 12 of </w:t>
      </w:r>
      <w:r w:rsidR="005B1DDC" w:rsidRPr="00C55E3B">
        <w:rPr>
          <w:rFonts w:cs="Courier New"/>
          <w:lang w:bidi="en-US"/>
        </w:rPr>
        <w:t xml:space="preserve">Document No. </w:t>
      </w:r>
      <w:r w:rsidRPr="00C55E3B">
        <w:rPr>
          <w:rFonts w:cs="Courier New"/>
          <w:lang w:bidi="en-US"/>
        </w:rPr>
        <w:t>4</w:t>
      </w:r>
      <w:r w:rsidRPr="00006FED">
        <w:rPr>
          <w:rFonts w:cs="Courier New"/>
          <w:lang w:bidi="en-US"/>
        </w:rPr>
        <w:t>.</w:t>
      </w:r>
    </w:p>
    <w:p w14:paraId="13A575AC" w14:textId="77777777" w:rsidR="009A5A7C" w:rsidRPr="0073351E" w:rsidRDefault="009A5A7C" w:rsidP="00EE19DD">
      <w:pPr>
        <w:widowControl w:val="0"/>
        <w:ind w:left="720" w:hanging="720"/>
        <w:jc w:val="both"/>
        <w:rPr>
          <w:rFonts w:cs="Courier New"/>
        </w:rPr>
      </w:pPr>
    </w:p>
    <w:p w14:paraId="7EA5D457" w14:textId="75C820EB" w:rsidR="009A5A7C" w:rsidRPr="00006FED" w:rsidRDefault="009A5A7C" w:rsidP="00EE19DD">
      <w:pPr>
        <w:widowControl w:val="0"/>
        <w:ind w:left="720" w:hanging="720"/>
        <w:jc w:val="both"/>
        <w:rPr>
          <w:rFonts w:cs="Courier New"/>
        </w:rPr>
      </w:pPr>
      <w:r w:rsidRPr="00B23997">
        <w:rPr>
          <w:rFonts w:cs="Courier New"/>
          <w:b/>
        </w:rPr>
        <w:t>Q.</w:t>
      </w:r>
      <w:r w:rsidRPr="00B23997">
        <w:rPr>
          <w:rFonts w:cs="Courier New"/>
        </w:rPr>
        <w:tab/>
      </w:r>
      <w:r w:rsidRPr="000F50FC">
        <w:rPr>
          <w:rFonts w:cs="Courier New"/>
        </w:rPr>
        <w:t xml:space="preserve">How did you derive an equity risk </w:t>
      </w:r>
      <w:r w:rsidRPr="00006FED">
        <w:rPr>
          <w:rFonts w:cs="Courier New"/>
        </w:rPr>
        <w:t xml:space="preserve">premium of </w:t>
      </w:r>
      <w:r w:rsidRPr="00C55E3B">
        <w:rPr>
          <w:rFonts w:cs="Courier New"/>
        </w:rPr>
        <w:t>4.</w:t>
      </w:r>
      <w:r w:rsidR="00006FED" w:rsidRPr="00C55E3B">
        <w:rPr>
          <w:rFonts w:cs="Courier New"/>
        </w:rPr>
        <w:t>7</w:t>
      </w:r>
      <w:r w:rsidR="00006FED" w:rsidRPr="00006FED">
        <w:rPr>
          <w:rFonts w:cs="Courier New"/>
        </w:rPr>
        <w:t xml:space="preserve">1 </w:t>
      </w:r>
      <w:r w:rsidR="00EA4EF4" w:rsidRPr="00006FED">
        <w:rPr>
          <w:rFonts w:cs="Courier New"/>
        </w:rPr>
        <w:t>percent</w:t>
      </w:r>
      <w:r w:rsidRPr="00006FED">
        <w:rPr>
          <w:rFonts w:cs="Courier New"/>
        </w:rPr>
        <w:t xml:space="preserve"> based on authorized ROEs for gas utilities?</w:t>
      </w:r>
    </w:p>
    <w:p w14:paraId="3AD00006" w14:textId="77777777" w:rsidR="009A5A7C" w:rsidRPr="00006FED" w:rsidRDefault="009A5A7C" w:rsidP="00EE19DD">
      <w:pPr>
        <w:widowControl w:val="0"/>
        <w:ind w:left="720" w:hanging="720"/>
        <w:jc w:val="both"/>
        <w:rPr>
          <w:rFonts w:cs="Courier New"/>
        </w:rPr>
      </w:pPr>
    </w:p>
    <w:p w14:paraId="589DA7BE" w14:textId="569BAE97" w:rsidR="009A5A7C" w:rsidRPr="00A117BD" w:rsidRDefault="009A5A7C" w:rsidP="00EE19DD">
      <w:pPr>
        <w:widowControl w:val="0"/>
        <w:ind w:left="720" w:hanging="720"/>
        <w:jc w:val="both"/>
        <w:rPr>
          <w:rFonts w:cs="Courier New"/>
        </w:rPr>
      </w:pPr>
      <w:r w:rsidRPr="00006FED">
        <w:rPr>
          <w:rFonts w:cs="Courier New"/>
          <w:b/>
        </w:rPr>
        <w:t>A.</w:t>
      </w:r>
      <w:r w:rsidRPr="00006FED">
        <w:rPr>
          <w:rFonts w:cs="Courier New"/>
        </w:rPr>
        <w:tab/>
        <w:t xml:space="preserve">The equity risk premium of </w:t>
      </w:r>
      <w:r w:rsidRPr="00C55E3B">
        <w:rPr>
          <w:rFonts w:cs="Courier New"/>
        </w:rPr>
        <w:t>4.</w:t>
      </w:r>
      <w:r w:rsidR="00006FED" w:rsidRPr="00C55E3B">
        <w:rPr>
          <w:rFonts w:cs="Courier New"/>
        </w:rPr>
        <w:t>7</w:t>
      </w:r>
      <w:r w:rsidR="00006FED" w:rsidRPr="00006FED">
        <w:rPr>
          <w:rFonts w:cs="Courier New"/>
        </w:rPr>
        <w:t>1</w:t>
      </w:r>
      <w:r w:rsidR="00006FED" w:rsidRPr="00006FED">
        <w:rPr>
          <w:rFonts w:cs="Courier New"/>
          <w:lang w:bidi="en-US"/>
        </w:rPr>
        <w:t xml:space="preserve"> </w:t>
      </w:r>
      <w:r w:rsidR="00EA4EF4" w:rsidRPr="00006FED">
        <w:rPr>
          <w:rFonts w:cs="Courier New"/>
          <w:lang w:bidi="en-US"/>
        </w:rPr>
        <w:t>percent</w:t>
      </w:r>
      <w:r w:rsidRPr="00006FED">
        <w:rPr>
          <w:rFonts w:cs="Courier New"/>
          <w:lang w:bidi="en-US"/>
        </w:rPr>
        <w:t xml:space="preserve"> </w:t>
      </w:r>
      <w:r w:rsidRPr="00006FED">
        <w:rPr>
          <w:rFonts w:cs="Courier New"/>
        </w:rPr>
        <w:t xml:space="preserve">shown on page 13 of </w:t>
      </w:r>
      <w:r w:rsidR="00EA4EF4" w:rsidRPr="00C55E3B">
        <w:rPr>
          <w:rFonts w:cs="Courier New"/>
        </w:rPr>
        <w:t xml:space="preserve">Document No. </w:t>
      </w:r>
      <w:r w:rsidRPr="00C55E3B">
        <w:rPr>
          <w:rFonts w:cs="Courier New"/>
        </w:rPr>
        <w:t>4</w:t>
      </w:r>
      <w:r w:rsidRPr="00006FED">
        <w:rPr>
          <w:rFonts w:cs="Courier New"/>
        </w:rPr>
        <w:t xml:space="preserve"> is the result of a regression ana</w:t>
      </w:r>
      <w:r w:rsidRPr="006930D7">
        <w:rPr>
          <w:rFonts w:cs="Courier New"/>
        </w:rPr>
        <w:t>lysis based on regulatory awarded ROEs related to the yields on Moody’s A2-rated public utility bonds</w:t>
      </w:r>
      <w:r w:rsidR="009E1918">
        <w:rPr>
          <w:rFonts w:cs="Courier New"/>
        </w:rPr>
        <w:t>,</w:t>
      </w:r>
      <w:r w:rsidRPr="006930D7">
        <w:rPr>
          <w:rFonts w:cs="Courier New"/>
        </w:rPr>
        <w:t xml:space="preserve"> and contains the graphical results of a regression analysis of </w:t>
      </w:r>
      <w:r w:rsidR="003A4A1B" w:rsidRPr="00C55E3B">
        <w:rPr>
          <w:rFonts w:cs="Courier New"/>
        </w:rPr>
        <w:t>81</w:t>
      </w:r>
      <w:r w:rsidR="00ED5C37">
        <w:rPr>
          <w:rFonts w:cs="Courier New"/>
        </w:rPr>
        <w:t>8</w:t>
      </w:r>
      <w:r w:rsidR="003A4A1B" w:rsidRPr="003A4A1B">
        <w:rPr>
          <w:rFonts w:cs="Courier New"/>
        </w:rPr>
        <w:t xml:space="preserve"> </w:t>
      </w:r>
      <w:r w:rsidRPr="003A4A1B">
        <w:rPr>
          <w:rFonts w:cs="Courier New"/>
        </w:rPr>
        <w:t>rate cases for distribution natural gas utilities</w:t>
      </w:r>
      <w:r w:rsidR="009E1918">
        <w:rPr>
          <w:rFonts w:cs="Courier New"/>
        </w:rPr>
        <w:t>,</w:t>
      </w:r>
      <w:r w:rsidRPr="003A4A1B">
        <w:rPr>
          <w:rFonts w:cs="Courier New"/>
        </w:rPr>
        <w:t xml:space="preserve"> which were fully litigated during the period from </w:t>
      </w:r>
      <w:r w:rsidRPr="00C55E3B">
        <w:rPr>
          <w:rFonts w:cs="Courier New"/>
        </w:rPr>
        <w:t xml:space="preserve">January 1, 1980 through </w:t>
      </w:r>
      <w:r w:rsidR="003A4A1B" w:rsidRPr="00C55E3B">
        <w:rPr>
          <w:rFonts w:cs="Courier New"/>
        </w:rPr>
        <w:t>December 30</w:t>
      </w:r>
      <w:r w:rsidRPr="00C55E3B">
        <w:rPr>
          <w:rFonts w:cs="Courier New"/>
        </w:rPr>
        <w:t>, 2022</w:t>
      </w:r>
      <w:r w:rsidRPr="003A4A1B">
        <w:rPr>
          <w:rFonts w:cs="Courier New"/>
        </w:rPr>
        <w:t>.  It shows the implicit equity risk prem</w:t>
      </w:r>
      <w:r w:rsidRPr="006930D7">
        <w:rPr>
          <w:rFonts w:cs="Courier New"/>
        </w:rPr>
        <w:t>ium relative to the yields on A2-rated public utility bonds immediately prior to the issuance of each regulatory decision.  It is readily discernible that there is an inverse relationship between the yield on A2-rated public utility bonds and equity risk premiums.  In other words, as interest rates decline, the equity risk premium rises and vice versa, a result consistent with financial literature on the subject.</w:t>
      </w:r>
      <w:r>
        <w:rPr>
          <w:rStyle w:val="EndnoteReference"/>
          <w:rFonts w:cs="Courier New"/>
        </w:rPr>
        <w:endnoteReference w:id="24"/>
      </w:r>
      <w:r>
        <w:rPr>
          <w:rFonts w:cs="Courier New"/>
        </w:rPr>
        <w:t xml:space="preserve">  </w:t>
      </w:r>
      <w:r w:rsidRPr="00402E58">
        <w:rPr>
          <w:rFonts w:cs="Courier New"/>
        </w:rPr>
        <w:t>I used the regression results to estimate the equity risk premium applicable to the projected yield on Moody’s A2-rated public utility bonds.  Given the expected A2-</w:t>
      </w:r>
      <w:r w:rsidRPr="00A117BD">
        <w:rPr>
          <w:rFonts w:cs="Courier New"/>
        </w:rPr>
        <w:t xml:space="preserve">rated utility bond yield of </w:t>
      </w:r>
      <w:r w:rsidRPr="00C55E3B">
        <w:rPr>
          <w:rFonts w:cs="Courier New"/>
        </w:rPr>
        <w:t>5.88</w:t>
      </w:r>
      <w:r w:rsidR="003256DF" w:rsidRPr="00A117BD">
        <w:rPr>
          <w:rFonts w:cs="Courier New"/>
          <w:lang w:bidi="en-US"/>
        </w:rPr>
        <w:t xml:space="preserve"> percent</w:t>
      </w:r>
      <w:r w:rsidRPr="00A117BD">
        <w:rPr>
          <w:rFonts w:cs="Courier New"/>
        </w:rPr>
        <w:t xml:space="preserve">, it can be calculated that the indicated equity risk premium applicable </w:t>
      </w:r>
      <w:r w:rsidRPr="00A117BD">
        <w:rPr>
          <w:rFonts w:cs="Courier New"/>
        </w:rPr>
        <w:lastRenderedPageBreak/>
        <w:t xml:space="preserve">to that bond yield is </w:t>
      </w:r>
      <w:r w:rsidRPr="00C55E3B">
        <w:rPr>
          <w:rFonts w:cs="Courier New"/>
        </w:rPr>
        <w:t>4.</w:t>
      </w:r>
      <w:r w:rsidR="00F64ED4" w:rsidRPr="00C55E3B">
        <w:rPr>
          <w:rFonts w:cs="Courier New"/>
        </w:rPr>
        <w:t>7</w:t>
      </w:r>
      <w:r w:rsidR="00F64ED4" w:rsidRPr="00A117BD">
        <w:rPr>
          <w:rFonts w:cs="Courier New"/>
        </w:rPr>
        <w:t>1</w:t>
      </w:r>
      <w:r w:rsidR="00F64ED4" w:rsidRPr="00A117BD">
        <w:rPr>
          <w:rFonts w:cs="Courier New"/>
          <w:lang w:bidi="en-US"/>
        </w:rPr>
        <w:t xml:space="preserve"> </w:t>
      </w:r>
      <w:r w:rsidR="003256DF" w:rsidRPr="00A117BD">
        <w:rPr>
          <w:rFonts w:cs="Courier New"/>
          <w:lang w:bidi="en-US"/>
        </w:rPr>
        <w:t>percent</w:t>
      </w:r>
      <w:r w:rsidRPr="00A117BD">
        <w:rPr>
          <w:rFonts w:cs="Courier New"/>
          <w:lang w:bidi="en-US"/>
        </w:rPr>
        <w:t>.</w:t>
      </w:r>
    </w:p>
    <w:p w14:paraId="3338FB64" w14:textId="77777777" w:rsidR="009A5A7C" w:rsidRPr="00A117BD" w:rsidRDefault="009A5A7C" w:rsidP="00EE19DD">
      <w:pPr>
        <w:widowControl w:val="0"/>
        <w:ind w:left="720" w:hanging="720"/>
        <w:jc w:val="both"/>
        <w:rPr>
          <w:rFonts w:cs="Courier New"/>
        </w:rPr>
      </w:pPr>
    </w:p>
    <w:p w14:paraId="2C10FD3A" w14:textId="21D0A5D4" w:rsidR="009A5A7C" w:rsidRPr="00A117BD" w:rsidRDefault="009A5A7C" w:rsidP="00C873D1">
      <w:pPr>
        <w:keepNext/>
        <w:keepLines/>
        <w:widowControl w:val="0"/>
        <w:ind w:left="720" w:hanging="720"/>
        <w:jc w:val="both"/>
        <w:rPr>
          <w:rFonts w:cs="Courier New"/>
        </w:rPr>
      </w:pPr>
      <w:r w:rsidRPr="00A117BD">
        <w:rPr>
          <w:rFonts w:cs="Courier New"/>
          <w:b/>
        </w:rPr>
        <w:t>Q.</w:t>
      </w:r>
      <w:r w:rsidRPr="00A117BD">
        <w:rPr>
          <w:rFonts w:cs="Courier New"/>
        </w:rPr>
        <w:tab/>
        <w:t xml:space="preserve">What is your conclusion of equity risk premium for use in your total market approach RPM for the </w:t>
      </w:r>
      <w:r w:rsidR="00F416CB">
        <w:rPr>
          <w:rFonts w:cs="Courier New"/>
        </w:rPr>
        <w:t>Utility Proxy Group</w:t>
      </w:r>
      <w:r w:rsidRPr="00A117BD">
        <w:rPr>
          <w:rFonts w:cs="Courier New"/>
        </w:rPr>
        <w:t>?</w:t>
      </w:r>
    </w:p>
    <w:p w14:paraId="22CF6201" w14:textId="77777777" w:rsidR="009A5A7C" w:rsidRPr="00A117BD" w:rsidRDefault="009A5A7C" w:rsidP="00C873D1">
      <w:pPr>
        <w:keepNext/>
        <w:widowControl w:val="0"/>
        <w:ind w:left="720" w:hanging="720"/>
        <w:jc w:val="both"/>
        <w:rPr>
          <w:rFonts w:cs="Courier New"/>
        </w:rPr>
      </w:pPr>
    </w:p>
    <w:p w14:paraId="08EF823B" w14:textId="581F8BA7" w:rsidR="009A5A7C" w:rsidRPr="0073351E" w:rsidRDefault="009A5A7C" w:rsidP="00EE19DD">
      <w:pPr>
        <w:widowControl w:val="0"/>
        <w:ind w:left="720" w:hanging="720"/>
        <w:jc w:val="both"/>
        <w:rPr>
          <w:rFonts w:cs="Courier New"/>
        </w:rPr>
      </w:pPr>
      <w:r w:rsidRPr="00A117BD">
        <w:rPr>
          <w:rFonts w:cs="Courier New"/>
          <w:b/>
        </w:rPr>
        <w:t>A.</w:t>
      </w:r>
      <w:r w:rsidRPr="00A117BD">
        <w:rPr>
          <w:rFonts w:cs="Courier New"/>
        </w:rPr>
        <w:tab/>
        <w:t xml:space="preserve">The equity risk premium I applied to the </w:t>
      </w:r>
      <w:r w:rsidR="00F416CB">
        <w:rPr>
          <w:rFonts w:cs="Courier New"/>
        </w:rPr>
        <w:t>Utility Proxy Group</w:t>
      </w:r>
      <w:r w:rsidRPr="00A117BD">
        <w:rPr>
          <w:rFonts w:cs="Courier New"/>
        </w:rPr>
        <w:t xml:space="preserve"> is </w:t>
      </w:r>
      <w:r w:rsidRPr="00C55E3B">
        <w:rPr>
          <w:rFonts w:cs="Courier New"/>
          <w:lang w:bidi="en-US"/>
        </w:rPr>
        <w:t>5.</w:t>
      </w:r>
      <w:r w:rsidR="008B5DC8" w:rsidRPr="00A117BD">
        <w:rPr>
          <w:rFonts w:cs="Courier New"/>
          <w:lang w:bidi="en-US"/>
        </w:rPr>
        <w:t xml:space="preserve">18 </w:t>
      </w:r>
      <w:r w:rsidR="00AF411A" w:rsidRPr="00A117BD">
        <w:rPr>
          <w:rFonts w:cs="Courier New"/>
          <w:lang w:bidi="en-US"/>
        </w:rPr>
        <w:t>percent</w:t>
      </w:r>
      <w:r w:rsidRPr="00A117BD">
        <w:rPr>
          <w:rFonts w:cs="Courier New"/>
        </w:rPr>
        <w:t xml:space="preserve">, which is the average of the beta-adjusted equity risk premium for the </w:t>
      </w:r>
      <w:r w:rsidR="00F416CB">
        <w:rPr>
          <w:rFonts w:cs="Courier New"/>
        </w:rPr>
        <w:t>Utility Proxy Group</w:t>
      </w:r>
      <w:r w:rsidRPr="00A117BD">
        <w:rPr>
          <w:rFonts w:cs="Courier New"/>
        </w:rPr>
        <w:t xml:space="preserve">, the S&amp;P Utilities Index, and the authorized return utility equity risk premiums </w:t>
      </w:r>
      <w:r w:rsidR="000F2F94" w:rsidRPr="00A117BD">
        <w:rPr>
          <w:rFonts w:cs="Courier New"/>
        </w:rPr>
        <w:t xml:space="preserve">of </w:t>
      </w:r>
      <w:r w:rsidR="006C3053" w:rsidRPr="00C55E3B">
        <w:rPr>
          <w:rFonts w:cs="Courier New"/>
        </w:rPr>
        <w:t>6.</w:t>
      </w:r>
      <w:r w:rsidR="00A117BD" w:rsidRPr="00A117BD">
        <w:rPr>
          <w:rFonts w:cs="Courier New"/>
        </w:rPr>
        <w:t xml:space="preserve">50 </w:t>
      </w:r>
      <w:r w:rsidR="000F2F94" w:rsidRPr="00A117BD">
        <w:rPr>
          <w:rFonts w:cs="Courier New"/>
        </w:rPr>
        <w:t xml:space="preserve">percent, </w:t>
      </w:r>
      <w:r w:rsidR="00A117BD" w:rsidRPr="00A117BD">
        <w:rPr>
          <w:rFonts w:cs="Courier New"/>
        </w:rPr>
        <w:t>4.32</w:t>
      </w:r>
      <w:r w:rsidR="000F2F94" w:rsidRPr="00A117BD">
        <w:rPr>
          <w:rFonts w:cs="Courier New"/>
        </w:rPr>
        <w:t xml:space="preserve"> percent, and </w:t>
      </w:r>
      <w:r w:rsidR="006C3053" w:rsidRPr="00C55E3B">
        <w:rPr>
          <w:rFonts w:cs="Courier New"/>
        </w:rPr>
        <w:t>4.</w:t>
      </w:r>
      <w:r w:rsidR="00A117BD" w:rsidRPr="00C55E3B">
        <w:rPr>
          <w:rFonts w:cs="Courier New"/>
        </w:rPr>
        <w:t>7</w:t>
      </w:r>
      <w:r w:rsidR="00A117BD" w:rsidRPr="00A117BD">
        <w:rPr>
          <w:rFonts w:cs="Courier New"/>
        </w:rPr>
        <w:t xml:space="preserve">1 </w:t>
      </w:r>
      <w:r w:rsidR="000F2F94" w:rsidRPr="00A117BD">
        <w:rPr>
          <w:rFonts w:cs="Courier New"/>
        </w:rPr>
        <w:t xml:space="preserve">percent, respectively, </w:t>
      </w:r>
      <w:r w:rsidRPr="00A117BD">
        <w:rPr>
          <w:rFonts w:cs="Courier New"/>
        </w:rPr>
        <w:t xml:space="preserve">as shown on page 7 of </w:t>
      </w:r>
      <w:r w:rsidR="00AF411A" w:rsidRPr="00C55E3B">
        <w:rPr>
          <w:rFonts w:cs="Courier New"/>
        </w:rPr>
        <w:t xml:space="preserve">Document No. </w:t>
      </w:r>
      <w:r w:rsidRPr="00C55E3B">
        <w:rPr>
          <w:rFonts w:cs="Courier New"/>
        </w:rPr>
        <w:t>4</w:t>
      </w:r>
      <w:r w:rsidRPr="00A117BD">
        <w:rPr>
          <w:rFonts w:cs="Courier New"/>
        </w:rPr>
        <w:t>.</w:t>
      </w:r>
    </w:p>
    <w:p w14:paraId="6763B7F2" w14:textId="77777777" w:rsidR="009A5A7C" w:rsidRPr="0073351E" w:rsidRDefault="009A5A7C" w:rsidP="00EE19DD">
      <w:pPr>
        <w:widowControl w:val="0"/>
        <w:ind w:left="720" w:hanging="720"/>
        <w:jc w:val="both"/>
        <w:rPr>
          <w:rFonts w:cs="Courier New"/>
        </w:rPr>
      </w:pPr>
    </w:p>
    <w:p w14:paraId="7794A6B0" w14:textId="09F68D72"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B35D82">
        <w:rPr>
          <w:rFonts w:cs="Courier New"/>
        </w:rPr>
        <w:t>What is the indicated RPM common equity cost rate based on the total market approach?</w:t>
      </w:r>
    </w:p>
    <w:p w14:paraId="1CCB9DBC" w14:textId="77777777" w:rsidR="009A5A7C" w:rsidRDefault="009A5A7C" w:rsidP="00EE19DD">
      <w:pPr>
        <w:widowControl w:val="0"/>
        <w:ind w:left="720" w:hanging="720"/>
        <w:jc w:val="both"/>
        <w:rPr>
          <w:rFonts w:cs="Courier New"/>
        </w:rPr>
      </w:pPr>
    </w:p>
    <w:p w14:paraId="4A6EE912" w14:textId="42105090"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860762">
        <w:rPr>
          <w:rFonts w:cs="Courier New"/>
        </w:rPr>
        <w:t xml:space="preserve">As </w:t>
      </w:r>
      <w:r w:rsidRPr="007317E3">
        <w:rPr>
          <w:rFonts w:cs="Courier New"/>
        </w:rPr>
        <w:t xml:space="preserve">shown on line </w:t>
      </w:r>
      <w:r w:rsidR="007317E3" w:rsidRPr="007317E3">
        <w:rPr>
          <w:rFonts w:cs="Courier New"/>
        </w:rPr>
        <w:t>5</w:t>
      </w:r>
      <w:r w:rsidRPr="007317E3">
        <w:rPr>
          <w:rFonts w:cs="Courier New"/>
        </w:rPr>
        <w:t xml:space="preserve">, page 3 of </w:t>
      </w:r>
      <w:r w:rsidR="00A75B6C" w:rsidRPr="00C55E3B">
        <w:rPr>
          <w:rFonts w:cs="Courier New"/>
        </w:rPr>
        <w:t xml:space="preserve">Document No. </w:t>
      </w:r>
      <w:r w:rsidRPr="00C55E3B">
        <w:rPr>
          <w:rFonts w:cs="Courier New"/>
        </w:rPr>
        <w:t>4</w:t>
      </w:r>
      <w:r w:rsidRPr="007317E3">
        <w:rPr>
          <w:rFonts w:cs="Courier New"/>
        </w:rPr>
        <w:t xml:space="preserve">, I calculated </w:t>
      </w:r>
      <w:r w:rsidR="008C70EB" w:rsidRPr="007317E3">
        <w:rPr>
          <w:rFonts w:cs="Courier New"/>
        </w:rPr>
        <w:t xml:space="preserve">a </w:t>
      </w:r>
      <w:r w:rsidRPr="007317E3">
        <w:rPr>
          <w:rFonts w:cs="Courier New"/>
        </w:rPr>
        <w:t xml:space="preserve">common equity cost rate of </w:t>
      </w:r>
      <w:r w:rsidRPr="00C55E3B">
        <w:rPr>
          <w:rFonts w:cs="Courier New"/>
        </w:rPr>
        <w:t>11.</w:t>
      </w:r>
      <w:r w:rsidR="007317E3" w:rsidRPr="007317E3">
        <w:rPr>
          <w:rFonts w:cs="Courier New"/>
        </w:rPr>
        <w:t>06</w:t>
      </w:r>
      <w:r w:rsidR="007317E3" w:rsidRPr="007317E3">
        <w:rPr>
          <w:rFonts w:cs="Courier New"/>
          <w:lang w:bidi="en-US"/>
        </w:rPr>
        <w:t xml:space="preserve"> </w:t>
      </w:r>
      <w:r w:rsidR="008C70EB" w:rsidRPr="007317E3">
        <w:rPr>
          <w:rFonts w:cs="Courier New"/>
          <w:lang w:bidi="en-US"/>
        </w:rPr>
        <w:t>percent</w:t>
      </w:r>
      <w:r w:rsidRPr="007317E3">
        <w:rPr>
          <w:rFonts w:cs="Courier New"/>
        </w:rPr>
        <w:t xml:space="preserve"> for the </w:t>
      </w:r>
      <w:r w:rsidR="00F416CB">
        <w:rPr>
          <w:rFonts w:cs="Courier New"/>
        </w:rPr>
        <w:t>Utility Proxy Group</w:t>
      </w:r>
      <w:r w:rsidRPr="007317E3">
        <w:rPr>
          <w:rFonts w:cs="Courier New"/>
        </w:rPr>
        <w:t xml:space="preserve"> based on the total market</w:t>
      </w:r>
      <w:r w:rsidRPr="00860762">
        <w:rPr>
          <w:rFonts w:cs="Courier New"/>
        </w:rPr>
        <w:t xml:space="preserve"> approach RPM.</w:t>
      </w:r>
    </w:p>
    <w:p w14:paraId="1BF04516" w14:textId="77777777" w:rsidR="009A5A7C" w:rsidRPr="0073351E" w:rsidRDefault="009A5A7C" w:rsidP="00EE19DD">
      <w:pPr>
        <w:widowControl w:val="0"/>
        <w:ind w:left="720" w:hanging="720"/>
        <w:jc w:val="both"/>
        <w:rPr>
          <w:rFonts w:cs="Courier New"/>
        </w:rPr>
      </w:pPr>
    </w:p>
    <w:p w14:paraId="7FA3B4FB" w14:textId="7A8DB195"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6C11D7">
        <w:rPr>
          <w:rFonts w:cs="Courier New"/>
        </w:rPr>
        <w:t>What are the results of your application of the PRPM and the total market approach RPM?</w:t>
      </w:r>
    </w:p>
    <w:p w14:paraId="4662EB6F" w14:textId="77777777" w:rsidR="009A5A7C" w:rsidRDefault="009A5A7C" w:rsidP="00EE19DD">
      <w:pPr>
        <w:widowControl w:val="0"/>
        <w:ind w:left="720" w:hanging="720"/>
        <w:jc w:val="both"/>
        <w:rPr>
          <w:rFonts w:cs="Courier New"/>
        </w:rPr>
      </w:pPr>
    </w:p>
    <w:p w14:paraId="5BEECAAD" w14:textId="0CEDCBE5"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3F76BB">
        <w:rPr>
          <w:rFonts w:cs="Courier New"/>
        </w:rPr>
        <w:t xml:space="preserve">As shown on page 1 of </w:t>
      </w:r>
      <w:r w:rsidR="00EE7C3C" w:rsidRPr="00C55E3B">
        <w:rPr>
          <w:rFonts w:cs="Courier New"/>
        </w:rPr>
        <w:t xml:space="preserve">Document No. </w:t>
      </w:r>
      <w:r w:rsidRPr="00C55E3B">
        <w:rPr>
          <w:rFonts w:cs="Courier New"/>
        </w:rPr>
        <w:t>4</w:t>
      </w:r>
      <w:r w:rsidRPr="00D37984">
        <w:rPr>
          <w:rFonts w:cs="Courier New"/>
        </w:rPr>
        <w:t>,</w:t>
      </w:r>
      <w:r w:rsidRPr="003F76BB">
        <w:rPr>
          <w:rFonts w:cs="Courier New"/>
        </w:rPr>
        <w:t xml:space="preserve"> the indicated RPM-derived common equity cost rate is </w:t>
      </w:r>
      <w:r w:rsidR="002E0ACD">
        <w:rPr>
          <w:rFonts w:cs="Courier New"/>
          <w:lang w:bidi="en-US"/>
        </w:rPr>
        <w:t>11.</w:t>
      </w:r>
      <w:r w:rsidR="00464A00">
        <w:rPr>
          <w:rFonts w:cs="Courier New"/>
          <w:lang w:bidi="en-US"/>
        </w:rPr>
        <w:t>54</w:t>
      </w:r>
      <w:r w:rsidR="00EE7C3C">
        <w:rPr>
          <w:rFonts w:cs="Courier New"/>
          <w:lang w:bidi="en-US"/>
        </w:rPr>
        <w:t xml:space="preserve"> percent</w:t>
      </w:r>
      <w:r w:rsidRPr="003F76BB">
        <w:rPr>
          <w:rFonts w:cs="Courier New"/>
        </w:rPr>
        <w:t xml:space="preserve">, which gives equal weight to the </w:t>
      </w:r>
      <w:r w:rsidR="008E6545">
        <w:rPr>
          <w:rFonts w:cs="Courier New"/>
        </w:rPr>
        <w:t xml:space="preserve">results of the </w:t>
      </w:r>
      <w:r w:rsidRPr="003F76BB">
        <w:rPr>
          <w:rFonts w:cs="Courier New"/>
        </w:rPr>
        <w:t xml:space="preserve">PRPM </w:t>
      </w:r>
      <w:r w:rsidR="00D374ED">
        <w:rPr>
          <w:rFonts w:cs="Courier New"/>
        </w:rPr>
        <w:t>(</w:t>
      </w:r>
      <w:r w:rsidR="002E0ACD">
        <w:rPr>
          <w:rFonts w:cs="Courier New"/>
        </w:rPr>
        <w:t>12.02</w:t>
      </w:r>
      <w:r w:rsidR="00D374ED">
        <w:rPr>
          <w:rFonts w:cs="Courier New"/>
        </w:rPr>
        <w:t xml:space="preserve"> percent) </w:t>
      </w:r>
      <w:r w:rsidRPr="003F76BB">
        <w:rPr>
          <w:rFonts w:cs="Courier New"/>
        </w:rPr>
        <w:t xml:space="preserve">and </w:t>
      </w:r>
      <w:r w:rsidRPr="003F76BB">
        <w:rPr>
          <w:rFonts w:cs="Courier New"/>
        </w:rPr>
        <w:lastRenderedPageBreak/>
        <w:t xml:space="preserve">the adjusted-market approach </w:t>
      </w:r>
      <w:r w:rsidR="00D374ED">
        <w:rPr>
          <w:rFonts w:cs="Courier New"/>
        </w:rPr>
        <w:t>(</w:t>
      </w:r>
      <w:r w:rsidR="00464A00">
        <w:rPr>
          <w:rFonts w:cs="Courier New"/>
        </w:rPr>
        <w:t>11.06</w:t>
      </w:r>
      <w:r w:rsidR="00D374ED">
        <w:rPr>
          <w:rFonts w:cs="Courier New"/>
        </w:rPr>
        <w:t xml:space="preserve"> percent)</w:t>
      </w:r>
      <w:r w:rsidRPr="003F76BB">
        <w:rPr>
          <w:rFonts w:cs="Courier New"/>
        </w:rPr>
        <w:t>.</w:t>
      </w:r>
    </w:p>
    <w:p w14:paraId="72E24861" w14:textId="77CFAAF6" w:rsidR="009A5A7C" w:rsidRDefault="009A5A7C" w:rsidP="00EE19DD">
      <w:pPr>
        <w:widowControl w:val="0"/>
        <w:ind w:left="720" w:hanging="720"/>
        <w:jc w:val="both"/>
        <w:rPr>
          <w:rFonts w:cs="Courier New"/>
        </w:rPr>
      </w:pPr>
    </w:p>
    <w:p w14:paraId="74DEA184" w14:textId="6CE0D428" w:rsidR="009A5A7C" w:rsidRPr="0073351E" w:rsidRDefault="009A5A7C" w:rsidP="00C91906">
      <w:pPr>
        <w:pStyle w:val="Heading2"/>
        <w:pBdr>
          <w:left w:val="none" w:sz="0" w:space="0" w:color="auto"/>
          <w:right w:val="none" w:sz="0" w:space="0" w:color="auto"/>
        </w:pBdr>
        <w:ind w:hanging="720"/>
        <w:jc w:val="left"/>
      </w:pPr>
      <w:bookmarkStart w:id="15" w:name="_Toc129962209"/>
      <w:r>
        <w:t>The Capital Asset Pricing Model</w:t>
      </w:r>
      <w:bookmarkEnd w:id="15"/>
    </w:p>
    <w:p w14:paraId="5914661F" w14:textId="55E5A549"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68422F">
        <w:rPr>
          <w:rFonts w:cs="Courier New"/>
        </w:rPr>
        <w:t>Please explain the theoretical basis of the CAPM.</w:t>
      </w:r>
    </w:p>
    <w:p w14:paraId="7E9EAAFE" w14:textId="77777777" w:rsidR="009A5A7C" w:rsidRDefault="009A5A7C" w:rsidP="00EE19DD">
      <w:pPr>
        <w:widowControl w:val="0"/>
        <w:ind w:left="720" w:hanging="720"/>
        <w:jc w:val="both"/>
        <w:rPr>
          <w:rFonts w:cs="Courier New"/>
        </w:rPr>
      </w:pPr>
    </w:p>
    <w:p w14:paraId="069D08AB" w14:textId="05817B94"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AD431D">
        <w:rPr>
          <w:rFonts w:cs="Courier New"/>
        </w:rPr>
        <w:t>CAPM theory defines risk as the co-variability of a security’s returns with the market’s returns as measured by the beta (β).  A beta less than 1.0 indicates lower variability than the market as a whole, while a beta greater than 1.0 indicates greater variability than the market.</w:t>
      </w:r>
    </w:p>
    <w:p w14:paraId="536E8992" w14:textId="77777777" w:rsidR="00B84319" w:rsidRPr="00AD431D" w:rsidRDefault="00B84319" w:rsidP="00EE19DD">
      <w:pPr>
        <w:widowControl w:val="0"/>
        <w:ind w:left="720" w:hanging="720"/>
        <w:jc w:val="both"/>
        <w:rPr>
          <w:rFonts w:cs="Courier New"/>
        </w:rPr>
      </w:pPr>
    </w:p>
    <w:p w14:paraId="51624483" w14:textId="4342B01C" w:rsidR="009A5A7C" w:rsidRPr="00AD431D" w:rsidRDefault="009A5A7C" w:rsidP="00FA33B7">
      <w:pPr>
        <w:widowControl w:val="0"/>
        <w:spacing w:after="120"/>
        <w:ind w:left="720" w:hanging="720"/>
        <w:jc w:val="both"/>
        <w:rPr>
          <w:rFonts w:cs="Courier New"/>
        </w:rPr>
      </w:pPr>
      <w:r>
        <w:rPr>
          <w:rFonts w:cs="Courier New"/>
        </w:rPr>
        <w:tab/>
      </w:r>
      <w:r w:rsidRPr="00AD431D">
        <w:rPr>
          <w:rFonts w:cs="Courier New"/>
        </w:rPr>
        <w:t>The CAPM assumes that all non-market or unsystematic risk can be eliminated through diversification.  The risk that cannot be eliminated through diversification is called market, or systematic, risk.  In addition, the CAPM presumes that investors only require compensation for systematic risk, which is the result of macroeconomic and other events that affect the returns on all assets.  The model is applied by adding a risk-free rate of return to a market risk premium, which is adjusted proportionately to reflect the systematic risk of the individual security relative to the total market as measured by the beta.  The traditional CAPM model is expressed as:</w:t>
      </w:r>
    </w:p>
    <w:p w14:paraId="41EB3EDD" w14:textId="0272BFD5" w:rsidR="009A5A7C" w:rsidRPr="00AD431D" w:rsidRDefault="009A5A7C" w:rsidP="00EE19DD">
      <w:pPr>
        <w:widowControl w:val="0"/>
        <w:ind w:left="720" w:hanging="720"/>
        <w:jc w:val="both"/>
        <w:rPr>
          <w:rFonts w:cs="Courier New"/>
        </w:rPr>
      </w:pPr>
      <w:r>
        <w:rPr>
          <w:rFonts w:cs="Courier New"/>
        </w:rPr>
        <w:tab/>
      </w:r>
      <w:r w:rsidRPr="00AD431D">
        <w:rPr>
          <w:rFonts w:cs="Courier New"/>
        </w:rPr>
        <w:tab/>
        <w:t>R</w:t>
      </w:r>
      <w:r w:rsidRPr="00AD431D">
        <w:rPr>
          <w:rFonts w:cs="Courier New"/>
          <w:vertAlign w:val="subscript"/>
        </w:rPr>
        <w:t>s</w:t>
      </w:r>
      <w:r w:rsidRPr="00AD431D">
        <w:rPr>
          <w:rFonts w:cs="Courier New"/>
        </w:rPr>
        <w:tab/>
        <w:t>=</w:t>
      </w:r>
      <w:r w:rsidRPr="00AD431D">
        <w:rPr>
          <w:rFonts w:cs="Courier New"/>
        </w:rPr>
        <w:tab/>
        <w:t>R</w:t>
      </w:r>
      <w:r w:rsidRPr="00AD431D">
        <w:rPr>
          <w:rFonts w:cs="Courier New"/>
          <w:vertAlign w:val="subscript"/>
        </w:rPr>
        <w:t>f</w:t>
      </w:r>
      <w:r w:rsidRPr="00AD431D">
        <w:rPr>
          <w:rFonts w:cs="Courier New"/>
        </w:rPr>
        <w:t xml:space="preserve"> + β (R</w:t>
      </w:r>
      <w:r w:rsidRPr="00AD431D">
        <w:rPr>
          <w:rFonts w:cs="Courier New"/>
          <w:vertAlign w:val="subscript"/>
        </w:rPr>
        <w:t>m</w:t>
      </w:r>
      <w:r w:rsidRPr="00AD431D">
        <w:rPr>
          <w:rFonts w:cs="Courier New"/>
        </w:rPr>
        <w:t xml:space="preserve"> - R</w:t>
      </w:r>
      <w:r w:rsidRPr="00AD431D">
        <w:rPr>
          <w:rFonts w:cs="Courier New"/>
          <w:vertAlign w:val="subscript"/>
        </w:rPr>
        <w:t>f</w:t>
      </w:r>
      <w:r w:rsidRPr="00AD431D">
        <w:rPr>
          <w:rFonts w:cs="Courier New"/>
        </w:rPr>
        <w:t>)</w:t>
      </w:r>
    </w:p>
    <w:p w14:paraId="41417F78" w14:textId="5810CE08" w:rsidR="009A5A7C" w:rsidRDefault="009A5A7C" w:rsidP="00EE19DD">
      <w:pPr>
        <w:widowControl w:val="0"/>
        <w:ind w:left="720" w:hanging="720"/>
        <w:jc w:val="both"/>
        <w:rPr>
          <w:rFonts w:cs="Courier New"/>
        </w:rPr>
      </w:pPr>
      <w:r w:rsidRPr="00AD431D">
        <w:rPr>
          <w:rFonts w:cs="Courier New"/>
        </w:rPr>
        <w:tab/>
      </w:r>
      <w:r>
        <w:rPr>
          <w:rFonts w:cs="Courier New"/>
        </w:rPr>
        <w:tab/>
      </w:r>
      <w:r w:rsidR="00FA33B7">
        <w:rPr>
          <w:rFonts w:cs="Courier New"/>
        </w:rPr>
        <w:t>W</w:t>
      </w:r>
      <w:r w:rsidRPr="00AD431D">
        <w:rPr>
          <w:rFonts w:cs="Courier New"/>
        </w:rPr>
        <w:t>here:</w:t>
      </w:r>
    </w:p>
    <w:p w14:paraId="78D785FD" w14:textId="5560DF4F" w:rsidR="009A5A7C" w:rsidRPr="00AD431D" w:rsidRDefault="009A5A7C" w:rsidP="00EE19DD">
      <w:pPr>
        <w:widowControl w:val="0"/>
        <w:ind w:left="720" w:hanging="720"/>
        <w:jc w:val="both"/>
        <w:rPr>
          <w:rFonts w:cs="Courier New"/>
        </w:rPr>
      </w:pPr>
      <w:r>
        <w:rPr>
          <w:rFonts w:cs="Courier New"/>
        </w:rPr>
        <w:lastRenderedPageBreak/>
        <w:tab/>
      </w:r>
      <w:r w:rsidRPr="00AD431D">
        <w:rPr>
          <w:rFonts w:cs="Courier New"/>
        </w:rPr>
        <w:tab/>
      </w:r>
      <w:r w:rsidR="00FA33B7">
        <w:rPr>
          <w:rFonts w:cs="Courier New"/>
        </w:rPr>
        <w:tab/>
      </w:r>
      <w:r w:rsidRPr="00AD431D">
        <w:rPr>
          <w:rFonts w:cs="Courier New"/>
        </w:rPr>
        <w:t>R</w:t>
      </w:r>
      <w:r w:rsidRPr="00AD431D">
        <w:rPr>
          <w:rFonts w:cs="Courier New"/>
          <w:vertAlign w:val="subscript"/>
        </w:rPr>
        <w:t>s</w:t>
      </w:r>
      <w:r w:rsidR="00FA33B7">
        <w:rPr>
          <w:rFonts w:cs="Courier New"/>
        </w:rPr>
        <w:t xml:space="preserve"> </w:t>
      </w:r>
      <w:r w:rsidRPr="00AD431D">
        <w:rPr>
          <w:rFonts w:cs="Courier New"/>
        </w:rPr>
        <w:t>=</w:t>
      </w:r>
      <w:r w:rsidR="00FA33B7">
        <w:rPr>
          <w:rFonts w:cs="Courier New"/>
        </w:rPr>
        <w:t xml:space="preserve"> </w:t>
      </w:r>
      <w:r w:rsidRPr="00AD431D">
        <w:rPr>
          <w:rFonts w:cs="Courier New"/>
        </w:rPr>
        <w:t>Return rate on the common stock;</w:t>
      </w:r>
    </w:p>
    <w:p w14:paraId="7F3C35B7" w14:textId="435EC410" w:rsidR="009A5A7C" w:rsidRPr="00AD431D" w:rsidRDefault="009A5A7C" w:rsidP="00EE19DD">
      <w:pPr>
        <w:widowControl w:val="0"/>
        <w:ind w:left="720" w:hanging="720"/>
        <w:jc w:val="both"/>
        <w:rPr>
          <w:rFonts w:cs="Courier New"/>
        </w:rPr>
      </w:pPr>
      <w:r w:rsidRPr="00AD431D">
        <w:rPr>
          <w:rFonts w:cs="Courier New"/>
        </w:rPr>
        <w:tab/>
      </w:r>
      <w:r w:rsidR="00FA33B7">
        <w:rPr>
          <w:rFonts w:cs="Courier New"/>
        </w:rPr>
        <w:tab/>
      </w:r>
      <w:r w:rsidRPr="00AD431D">
        <w:rPr>
          <w:rFonts w:cs="Courier New"/>
        </w:rPr>
        <w:tab/>
        <w:t>R</w:t>
      </w:r>
      <w:r w:rsidRPr="00AD431D">
        <w:rPr>
          <w:rFonts w:cs="Courier New"/>
          <w:vertAlign w:val="subscript"/>
        </w:rPr>
        <w:t>f</w:t>
      </w:r>
      <w:r w:rsidR="00FA33B7">
        <w:rPr>
          <w:rFonts w:cs="Courier New"/>
        </w:rPr>
        <w:t xml:space="preserve"> </w:t>
      </w:r>
      <w:r w:rsidRPr="00AD431D">
        <w:rPr>
          <w:rFonts w:cs="Courier New"/>
        </w:rPr>
        <w:t>=</w:t>
      </w:r>
      <w:r w:rsidR="00FA33B7">
        <w:rPr>
          <w:rFonts w:cs="Courier New"/>
        </w:rPr>
        <w:t xml:space="preserve"> </w:t>
      </w:r>
      <w:r w:rsidRPr="00AD431D">
        <w:rPr>
          <w:rFonts w:cs="Courier New"/>
        </w:rPr>
        <w:t>Risk-free rate of return;</w:t>
      </w:r>
    </w:p>
    <w:p w14:paraId="43E5A298" w14:textId="22AE3811" w:rsidR="009A5A7C" w:rsidRPr="00AD431D" w:rsidRDefault="009A5A7C" w:rsidP="00EE19DD">
      <w:pPr>
        <w:widowControl w:val="0"/>
        <w:ind w:left="720" w:hanging="720"/>
        <w:jc w:val="both"/>
        <w:rPr>
          <w:rFonts w:cs="Courier New"/>
        </w:rPr>
      </w:pPr>
      <w:r w:rsidRPr="00AD431D">
        <w:rPr>
          <w:rFonts w:cs="Courier New"/>
        </w:rPr>
        <w:tab/>
      </w:r>
      <w:r w:rsidR="00FA33B7">
        <w:rPr>
          <w:rFonts w:cs="Courier New"/>
        </w:rPr>
        <w:tab/>
      </w:r>
      <w:r w:rsidRPr="00AD431D">
        <w:rPr>
          <w:rFonts w:cs="Courier New"/>
        </w:rPr>
        <w:tab/>
        <w:t>R</w:t>
      </w:r>
      <w:r w:rsidRPr="00AD431D">
        <w:rPr>
          <w:rFonts w:cs="Courier New"/>
          <w:vertAlign w:val="subscript"/>
        </w:rPr>
        <w:t>m</w:t>
      </w:r>
      <w:r w:rsidR="00FA33B7">
        <w:rPr>
          <w:rFonts w:cs="Courier New"/>
        </w:rPr>
        <w:t xml:space="preserve"> </w:t>
      </w:r>
      <w:r w:rsidRPr="00AD431D">
        <w:rPr>
          <w:rFonts w:cs="Courier New"/>
        </w:rPr>
        <w:t>=</w:t>
      </w:r>
      <w:r w:rsidR="00FA33B7">
        <w:rPr>
          <w:rFonts w:cs="Courier New"/>
        </w:rPr>
        <w:t xml:space="preserve"> </w:t>
      </w:r>
      <w:r w:rsidRPr="00AD431D">
        <w:rPr>
          <w:rFonts w:cs="Courier New"/>
        </w:rPr>
        <w:t>Return rate on the market as a whole; and</w:t>
      </w:r>
    </w:p>
    <w:p w14:paraId="5B9B7776" w14:textId="6E7FD489" w:rsidR="009A5A7C" w:rsidRPr="00AD431D" w:rsidRDefault="009A5A7C" w:rsidP="00E47DE1">
      <w:pPr>
        <w:widowControl w:val="0"/>
        <w:tabs>
          <w:tab w:val="left" w:pos="720"/>
          <w:tab w:val="left" w:pos="1440"/>
          <w:tab w:val="left" w:pos="2160"/>
          <w:tab w:val="left" w:pos="2880"/>
        </w:tabs>
        <w:ind w:left="2880" w:hanging="2880"/>
        <w:jc w:val="both"/>
        <w:rPr>
          <w:rFonts w:cs="Courier New"/>
        </w:rPr>
      </w:pPr>
      <w:r w:rsidRPr="00AD431D">
        <w:rPr>
          <w:rFonts w:cs="Courier New"/>
        </w:rPr>
        <w:tab/>
      </w:r>
      <w:r w:rsidRPr="00AD431D">
        <w:rPr>
          <w:rFonts w:cs="Courier New"/>
        </w:rPr>
        <w:tab/>
      </w:r>
      <w:r w:rsidR="00FA33B7">
        <w:rPr>
          <w:rFonts w:cs="Courier New"/>
        </w:rPr>
        <w:tab/>
      </w:r>
      <w:r w:rsidR="00C05001" w:rsidRPr="00AD431D">
        <w:rPr>
          <w:rFonts w:cs="Courier New"/>
        </w:rPr>
        <w:t>β</w:t>
      </w:r>
      <w:r w:rsidR="00FA33B7">
        <w:rPr>
          <w:rFonts w:cs="Courier New"/>
        </w:rPr>
        <w:t xml:space="preserve"> </w:t>
      </w:r>
      <w:r w:rsidRPr="00AD431D">
        <w:rPr>
          <w:rFonts w:cs="Courier New"/>
        </w:rPr>
        <w:t>=</w:t>
      </w:r>
      <w:r w:rsidR="00FA33B7">
        <w:rPr>
          <w:rFonts w:cs="Courier New"/>
        </w:rPr>
        <w:t xml:space="preserve"> </w:t>
      </w:r>
      <w:r w:rsidRPr="00AD431D">
        <w:rPr>
          <w:rFonts w:cs="Courier New"/>
        </w:rPr>
        <w:t>Adjusted beta (volatility of the security relative to the market as a whole).</w:t>
      </w:r>
    </w:p>
    <w:p w14:paraId="59E6F77C" w14:textId="77777777" w:rsidR="009A5A7C" w:rsidRDefault="009A5A7C" w:rsidP="00EE19DD">
      <w:pPr>
        <w:widowControl w:val="0"/>
        <w:ind w:left="720" w:hanging="720"/>
        <w:jc w:val="both"/>
        <w:rPr>
          <w:rFonts w:cs="Courier New"/>
        </w:rPr>
      </w:pPr>
    </w:p>
    <w:p w14:paraId="2812DC85" w14:textId="29D6CE52" w:rsidR="009A5A7C" w:rsidRPr="0073351E" w:rsidRDefault="009A5A7C" w:rsidP="00EE19DD">
      <w:pPr>
        <w:widowControl w:val="0"/>
        <w:ind w:left="720" w:hanging="720"/>
        <w:jc w:val="both"/>
        <w:rPr>
          <w:rFonts w:cs="Courier New"/>
        </w:rPr>
      </w:pPr>
      <w:r>
        <w:rPr>
          <w:rFonts w:cs="Courier New"/>
        </w:rPr>
        <w:tab/>
      </w:r>
      <w:r w:rsidRPr="00AD431D">
        <w:rPr>
          <w:rFonts w:cs="Courier New"/>
        </w:rPr>
        <w:t>Numerous tests of the CAPM have measured the extent to which security returns and beta are related as predicted by the CAPM, confirming its validity.  The empirical CAPM (“ECAPM”) reflects the reality that while the results of these tests support the notion that the beta is related to security returns, the empirical Security Market Line (“SML”) described by the CAPM formula is not as steeply sloped as the predicted SML.</w:t>
      </w:r>
      <w:r>
        <w:rPr>
          <w:rStyle w:val="EndnoteReference"/>
          <w:rFonts w:cs="Courier New"/>
        </w:rPr>
        <w:endnoteReference w:id="25"/>
      </w:r>
    </w:p>
    <w:p w14:paraId="76A292BC" w14:textId="59A3A70A" w:rsidR="009A5A7C" w:rsidRDefault="009A5A7C" w:rsidP="00EE19DD">
      <w:pPr>
        <w:widowControl w:val="0"/>
        <w:ind w:left="720" w:hanging="720"/>
        <w:jc w:val="both"/>
        <w:rPr>
          <w:rFonts w:cs="Courier New"/>
        </w:rPr>
      </w:pPr>
    </w:p>
    <w:p w14:paraId="764C05F8" w14:textId="485168C0" w:rsidR="009A5A7C" w:rsidRDefault="009A5A7C" w:rsidP="00EE19DD">
      <w:pPr>
        <w:widowControl w:val="0"/>
        <w:ind w:left="720" w:hanging="720"/>
        <w:jc w:val="both"/>
        <w:rPr>
          <w:rFonts w:cs="Courier New"/>
        </w:rPr>
      </w:pPr>
      <w:r>
        <w:rPr>
          <w:rFonts w:cs="Courier New"/>
        </w:rPr>
        <w:tab/>
      </w:r>
      <w:r w:rsidRPr="000F48FF">
        <w:rPr>
          <w:rFonts w:cs="Courier New"/>
        </w:rPr>
        <w:t xml:space="preserve">The ECAPM reflects this empirical reality. Fama &amp; French clearly state regarding </w:t>
      </w:r>
      <w:r w:rsidR="005846C6">
        <w:rPr>
          <w:rFonts w:cs="Courier New"/>
        </w:rPr>
        <w:t xml:space="preserve">the </w:t>
      </w:r>
      <w:r w:rsidR="005846C6" w:rsidRPr="000456D5">
        <w:rPr>
          <w:rFonts w:cs="Courier New"/>
        </w:rPr>
        <w:t xml:space="preserve">figure in Document No. </w:t>
      </w:r>
      <w:r w:rsidR="00B872B2" w:rsidRPr="000456D5">
        <w:rPr>
          <w:rFonts w:cs="Courier New"/>
        </w:rPr>
        <w:t>11</w:t>
      </w:r>
      <w:r w:rsidRPr="000456D5">
        <w:rPr>
          <w:rFonts w:cs="Courier New"/>
        </w:rPr>
        <w:t>, below, that “[t]he returns on the low beta portfolios are too high, and the returns on the high beta portfolios</w:t>
      </w:r>
      <w:r w:rsidRPr="000F48FF">
        <w:rPr>
          <w:rFonts w:cs="Courier New"/>
        </w:rPr>
        <w:t xml:space="preserve"> are too low.”</w:t>
      </w:r>
      <w:r>
        <w:rPr>
          <w:rStyle w:val="EndnoteReference"/>
          <w:rFonts w:cs="Courier New"/>
        </w:rPr>
        <w:endnoteReference w:id="26"/>
      </w:r>
    </w:p>
    <w:p w14:paraId="72E38978" w14:textId="478E53C6" w:rsidR="009A5A7C" w:rsidRDefault="009A5A7C" w:rsidP="00EE19DD">
      <w:pPr>
        <w:widowControl w:val="0"/>
        <w:ind w:left="720" w:hanging="720"/>
        <w:jc w:val="both"/>
        <w:rPr>
          <w:rFonts w:cs="Courier New"/>
        </w:rPr>
      </w:pPr>
    </w:p>
    <w:p w14:paraId="59456642" w14:textId="77777777" w:rsidR="009A5A7C" w:rsidRPr="0095343C" w:rsidRDefault="009A5A7C" w:rsidP="00EE19DD">
      <w:pPr>
        <w:widowControl w:val="0"/>
        <w:ind w:left="720" w:hanging="720"/>
        <w:jc w:val="both"/>
        <w:rPr>
          <w:rFonts w:cs="Courier New"/>
        </w:rPr>
      </w:pPr>
      <w:r>
        <w:rPr>
          <w:rFonts w:cs="Courier New"/>
        </w:rPr>
        <w:tab/>
      </w:r>
      <w:r w:rsidRPr="0095343C">
        <w:rPr>
          <w:rFonts w:cs="Courier New"/>
        </w:rPr>
        <w:t>In addition, Morin observes that while the results of these tests support the notion that beta is related to security returns, the empirical SML described by the CAPM formula is not as steeply sloped as the predicted SML.  Morin states:</w:t>
      </w:r>
    </w:p>
    <w:p w14:paraId="3A30AB7F" w14:textId="08C4BB68" w:rsidR="009A5A7C" w:rsidRDefault="009A5A7C" w:rsidP="00A261F5">
      <w:pPr>
        <w:widowControl w:val="0"/>
        <w:ind w:left="1440" w:right="720" w:hanging="1440"/>
        <w:jc w:val="both"/>
        <w:rPr>
          <w:rFonts w:cs="Courier New"/>
        </w:rPr>
      </w:pPr>
      <w:r>
        <w:rPr>
          <w:rFonts w:cs="Courier New"/>
        </w:rPr>
        <w:tab/>
      </w:r>
      <w:r w:rsidRPr="0095343C">
        <w:rPr>
          <w:rFonts w:cs="Courier New"/>
        </w:rPr>
        <w:t xml:space="preserve">With few exceptions, the empirical studies agree </w:t>
      </w:r>
      <w:r w:rsidRPr="0095343C">
        <w:rPr>
          <w:rFonts w:cs="Courier New"/>
        </w:rPr>
        <w:lastRenderedPageBreak/>
        <w:t>that … low-beta securities earn returns somewhat higher than the CAPM would predict, and high-beta securities earn less than predicted.</w:t>
      </w:r>
      <w:r>
        <w:rPr>
          <w:rStyle w:val="EndnoteReference"/>
          <w:rFonts w:cs="Courier New"/>
        </w:rPr>
        <w:endnoteReference w:id="27"/>
      </w:r>
    </w:p>
    <w:p w14:paraId="6AEF6F79" w14:textId="3D1DD7EE" w:rsidR="009A5A7C" w:rsidRPr="00782643" w:rsidRDefault="009A5A7C" w:rsidP="00A261F5">
      <w:pPr>
        <w:widowControl w:val="0"/>
        <w:ind w:left="1440" w:right="720" w:hanging="1440"/>
        <w:jc w:val="center"/>
        <w:rPr>
          <w:rFonts w:cs="Courier New"/>
          <w:i/>
          <w:iCs/>
        </w:rPr>
      </w:pPr>
      <w:r w:rsidRPr="00782643">
        <w:rPr>
          <w:rFonts w:cs="Courier New"/>
          <w:i/>
          <w:iCs/>
        </w:rPr>
        <w:t>*   *   *</w:t>
      </w:r>
    </w:p>
    <w:p w14:paraId="7E946AF7" w14:textId="647DCF1A" w:rsidR="009A5A7C" w:rsidRPr="00782643" w:rsidRDefault="009A5A7C" w:rsidP="00A261F5">
      <w:pPr>
        <w:widowControl w:val="0"/>
        <w:ind w:left="1440" w:right="720" w:hanging="1440"/>
        <w:jc w:val="both"/>
        <w:rPr>
          <w:rFonts w:cs="Courier New"/>
        </w:rPr>
      </w:pPr>
      <w:r>
        <w:rPr>
          <w:rFonts w:cs="Courier New"/>
        </w:rPr>
        <w:tab/>
      </w:r>
      <w:r w:rsidRPr="00782643">
        <w:rPr>
          <w:rFonts w:cs="Courier New"/>
        </w:rPr>
        <w:t>Therefore, the empirical evidence suggests that the expected return on a security is related to its risk by the following approximation:</w:t>
      </w:r>
    </w:p>
    <w:p w14:paraId="1ED8893B" w14:textId="6EB0E69D" w:rsidR="009A5A7C" w:rsidRPr="00782643" w:rsidRDefault="009A5A7C" w:rsidP="00A261F5">
      <w:pPr>
        <w:widowControl w:val="0"/>
        <w:ind w:left="1440" w:right="720" w:hanging="1440"/>
        <w:jc w:val="both"/>
        <w:rPr>
          <w:rFonts w:cs="Courier New"/>
        </w:rPr>
      </w:pPr>
      <w:r>
        <w:rPr>
          <w:rFonts w:cs="Courier New"/>
        </w:rPr>
        <w:tab/>
      </w:r>
      <w:r w:rsidRPr="00782643">
        <w:rPr>
          <w:rFonts w:cs="Courier New"/>
        </w:rPr>
        <w:t>K  =  RF + x (RM - RF) + (1-x)  β(RM - RF)</w:t>
      </w:r>
    </w:p>
    <w:p w14:paraId="74156DE1" w14:textId="353B9E2E" w:rsidR="009A5A7C" w:rsidRPr="00782643" w:rsidRDefault="009A5A7C" w:rsidP="00A261F5">
      <w:pPr>
        <w:widowControl w:val="0"/>
        <w:ind w:left="1440" w:right="720" w:hanging="1440"/>
        <w:jc w:val="both"/>
        <w:rPr>
          <w:rFonts w:cs="Courier New"/>
        </w:rPr>
      </w:pPr>
      <w:r>
        <w:rPr>
          <w:rFonts w:cs="Courier New"/>
        </w:rPr>
        <w:tab/>
      </w:r>
      <w:r w:rsidRPr="00782643">
        <w:rPr>
          <w:rFonts w:cs="Courier New"/>
        </w:rPr>
        <w:t>where x is a fraction to be determined empirically.  The value of x that best explains the observed relationship [is] Return = 0.0829 + 0.0520 β is between 0.25 and 0.30.  If x = 0.25, the equation becomes:</w:t>
      </w:r>
    </w:p>
    <w:p w14:paraId="7E563256" w14:textId="01A9F1FF" w:rsidR="009A5A7C" w:rsidRDefault="009A5A7C" w:rsidP="00A261F5">
      <w:pPr>
        <w:widowControl w:val="0"/>
        <w:ind w:left="1440" w:right="720" w:hanging="1440"/>
        <w:jc w:val="both"/>
        <w:rPr>
          <w:rFonts w:cs="Courier New"/>
        </w:rPr>
      </w:pPr>
      <w:r>
        <w:rPr>
          <w:rFonts w:cs="Courier New"/>
        </w:rPr>
        <w:tab/>
      </w:r>
      <w:r w:rsidRPr="00782643">
        <w:rPr>
          <w:rFonts w:cs="Courier New"/>
        </w:rPr>
        <w:t>K  =  RF + 0.25(RM - RF) + 0.75 β(RM - RF)</w:t>
      </w:r>
      <w:r>
        <w:rPr>
          <w:rStyle w:val="EndnoteReference"/>
          <w:rFonts w:cs="Courier New"/>
        </w:rPr>
        <w:endnoteReference w:id="28"/>
      </w:r>
    </w:p>
    <w:p w14:paraId="0DEB5EFF" w14:textId="7C45FBC0" w:rsidR="009A5A7C" w:rsidRDefault="009A5A7C" w:rsidP="00EE19DD">
      <w:pPr>
        <w:widowControl w:val="0"/>
        <w:ind w:left="720" w:hanging="720"/>
        <w:jc w:val="both"/>
        <w:rPr>
          <w:rFonts w:cs="Courier New"/>
        </w:rPr>
      </w:pPr>
    </w:p>
    <w:p w14:paraId="597021B7" w14:textId="77777777" w:rsidR="009A5A7C" w:rsidRPr="008E2574" w:rsidRDefault="009A5A7C" w:rsidP="00EE19DD">
      <w:pPr>
        <w:widowControl w:val="0"/>
        <w:ind w:left="720" w:hanging="720"/>
        <w:jc w:val="both"/>
        <w:rPr>
          <w:rFonts w:cs="Courier New"/>
        </w:rPr>
      </w:pPr>
      <w:r>
        <w:rPr>
          <w:rFonts w:cs="Courier New"/>
        </w:rPr>
        <w:tab/>
      </w:r>
      <w:r w:rsidRPr="008E2574">
        <w:rPr>
          <w:rFonts w:cs="Courier New"/>
        </w:rPr>
        <w:t>Fama &amp; French provide similar support for the ECAPM when they state:</w:t>
      </w:r>
    </w:p>
    <w:p w14:paraId="23D7DE7A" w14:textId="6671C5BA" w:rsidR="009A5A7C" w:rsidRDefault="009A5A7C" w:rsidP="00C22670">
      <w:pPr>
        <w:widowControl w:val="0"/>
        <w:ind w:left="1440" w:right="720" w:hanging="1440"/>
        <w:jc w:val="both"/>
        <w:rPr>
          <w:rFonts w:cs="Courier New"/>
        </w:rPr>
      </w:pPr>
      <w:r>
        <w:rPr>
          <w:rFonts w:cs="Courier New"/>
        </w:rPr>
        <w:tab/>
      </w:r>
      <w:r w:rsidRPr="008E2574">
        <w:rPr>
          <w:rFonts w:cs="Courier New"/>
        </w:rPr>
        <w:t>The early tests firmly reject the Sharpe-Lintner version of the CAPM. There is a positive relation between beta and average return, but it is too 'flat.'… The regressions consistently find that the intercept is greater than the average risk-free rate…  and the coefficient on beta is less than the average excess market return… This is true in the early tests… as well as in more recent cross-</w:t>
      </w:r>
      <w:r w:rsidRPr="008E2574">
        <w:rPr>
          <w:rFonts w:cs="Courier New"/>
        </w:rPr>
        <w:lastRenderedPageBreak/>
        <w:t>section regressions tests, like Fama and French (1992).</w:t>
      </w:r>
      <w:r>
        <w:rPr>
          <w:rStyle w:val="EndnoteReference"/>
          <w:rFonts w:cs="Courier New"/>
        </w:rPr>
        <w:endnoteReference w:id="29"/>
      </w:r>
    </w:p>
    <w:p w14:paraId="4A4A2406" w14:textId="1CC57117" w:rsidR="009A5A7C" w:rsidRDefault="009A5A7C" w:rsidP="00EE19DD">
      <w:pPr>
        <w:widowControl w:val="0"/>
        <w:ind w:left="720" w:hanging="720"/>
        <w:jc w:val="both"/>
        <w:rPr>
          <w:rFonts w:cs="Courier New"/>
        </w:rPr>
      </w:pPr>
    </w:p>
    <w:p w14:paraId="5D90372D" w14:textId="5175AECE" w:rsidR="009A5A7C" w:rsidRDefault="009A5A7C" w:rsidP="00EE19DD">
      <w:pPr>
        <w:widowControl w:val="0"/>
        <w:ind w:left="720" w:hanging="720"/>
        <w:jc w:val="both"/>
        <w:rPr>
          <w:rFonts w:cs="Courier New"/>
        </w:rPr>
      </w:pPr>
      <w:r>
        <w:rPr>
          <w:rFonts w:cs="Courier New"/>
        </w:rPr>
        <w:tab/>
        <w:t>Finally, Fama &amp; French further note:</w:t>
      </w:r>
    </w:p>
    <w:p w14:paraId="3D61212A" w14:textId="56753F5F" w:rsidR="009A5A7C" w:rsidRDefault="009A5A7C" w:rsidP="00C22670">
      <w:pPr>
        <w:widowControl w:val="0"/>
        <w:ind w:left="1440" w:right="720" w:hanging="1440"/>
        <w:jc w:val="both"/>
        <w:rPr>
          <w:rFonts w:cs="Courier New"/>
        </w:rPr>
      </w:pPr>
      <w:r>
        <w:rPr>
          <w:rFonts w:cs="Courier New"/>
        </w:rPr>
        <w:tab/>
      </w:r>
      <w:r w:rsidRPr="007F3A10">
        <w:rPr>
          <w:rFonts w:cs="Courier New"/>
        </w:rPr>
        <w:t>Confirming earlier evidence, the relation between beta and average return `for the ten portfolios is much flatter than the Sharpe-Linter CAPM predicts.  The returns on low beta portfolios are too high, and the returns on the high beta portfolios are too low.  For example, the predicted return on the portfolio with the lowest beta is 8.3 percent per year; the actual return as 11.1 percent.  The predicted return on the portfolio with the t beta is 16.8 percent per year; the actual is 13.7 percent.</w:t>
      </w:r>
      <w:r>
        <w:rPr>
          <w:rStyle w:val="EndnoteReference"/>
          <w:rFonts w:cs="Courier New"/>
        </w:rPr>
        <w:endnoteReference w:id="30"/>
      </w:r>
    </w:p>
    <w:p w14:paraId="085898F8" w14:textId="1D17B143" w:rsidR="009A5A7C" w:rsidRDefault="009A5A7C" w:rsidP="00EE19DD">
      <w:pPr>
        <w:widowControl w:val="0"/>
        <w:ind w:left="720" w:hanging="720"/>
        <w:jc w:val="both"/>
        <w:rPr>
          <w:rFonts w:cs="Courier New"/>
        </w:rPr>
      </w:pPr>
    </w:p>
    <w:p w14:paraId="30F80772" w14:textId="06EF6FC5" w:rsidR="009A5A7C" w:rsidRDefault="009A5A7C" w:rsidP="00EE19DD">
      <w:pPr>
        <w:widowControl w:val="0"/>
        <w:ind w:left="720" w:hanging="720"/>
        <w:jc w:val="both"/>
        <w:rPr>
          <w:rFonts w:cs="Courier New"/>
        </w:rPr>
      </w:pPr>
      <w:r>
        <w:rPr>
          <w:rFonts w:cs="Courier New"/>
        </w:rPr>
        <w:tab/>
      </w:r>
      <w:r w:rsidRPr="00985A02">
        <w:rPr>
          <w:rFonts w:cs="Courier New"/>
        </w:rPr>
        <w:t xml:space="preserve">Clearly, the justification from Morin and Fama &amp; French, along with their reviews of other academic research on the CAPM, validate the use of the ECAPM.  In view of theory and practical research, I have applied both the traditional CAPM and the ECAPM to the companies in the </w:t>
      </w:r>
      <w:r w:rsidR="00F416CB">
        <w:rPr>
          <w:rFonts w:cs="Courier New"/>
        </w:rPr>
        <w:t>Utility Proxy Group</w:t>
      </w:r>
      <w:r w:rsidRPr="00985A02">
        <w:rPr>
          <w:rFonts w:cs="Courier New"/>
        </w:rPr>
        <w:t xml:space="preserve"> and averaged the results.</w:t>
      </w:r>
    </w:p>
    <w:p w14:paraId="3258DCED" w14:textId="77777777" w:rsidR="009A5A7C" w:rsidRPr="0073351E" w:rsidRDefault="009A5A7C" w:rsidP="00EE19DD">
      <w:pPr>
        <w:widowControl w:val="0"/>
        <w:ind w:left="720" w:hanging="720"/>
        <w:jc w:val="both"/>
        <w:rPr>
          <w:rFonts w:cs="Courier New"/>
        </w:rPr>
      </w:pPr>
    </w:p>
    <w:p w14:paraId="289F8CF0" w14:textId="029E742C"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Pr>
          <w:rFonts w:cs="Courier New"/>
        </w:rPr>
        <w:t>What betas did you use in your CAPM analysis?</w:t>
      </w:r>
    </w:p>
    <w:p w14:paraId="13DB70F6" w14:textId="77777777" w:rsidR="00EC465D" w:rsidRDefault="00EC465D" w:rsidP="00EE19DD">
      <w:pPr>
        <w:widowControl w:val="0"/>
        <w:ind w:left="720" w:hanging="720"/>
        <w:jc w:val="both"/>
        <w:rPr>
          <w:rFonts w:cs="Courier New"/>
        </w:rPr>
      </w:pPr>
    </w:p>
    <w:p w14:paraId="59FE6A6D" w14:textId="73714DEA" w:rsidR="009A5A7C" w:rsidRPr="0073351E" w:rsidRDefault="009A5A7C" w:rsidP="00EE19DD">
      <w:pPr>
        <w:widowControl w:val="0"/>
        <w:ind w:left="720" w:hanging="720"/>
        <w:jc w:val="both"/>
        <w:rPr>
          <w:rFonts w:cs="Courier New"/>
        </w:rPr>
      </w:pPr>
      <w:r w:rsidRPr="00B23997">
        <w:rPr>
          <w:rFonts w:cs="Courier New"/>
          <w:b/>
        </w:rPr>
        <w:lastRenderedPageBreak/>
        <w:t>A.</w:t>
      </w:r>
      <w:r w:rsidRPr="00B23997">
        <w:rPr>
          <w:rFonts w:cs="Courier New"/>
        </w:rPr>
        <w:tab/>
      </w:r>
      <w:r w:rsidRPr="008058B3">
        <w:rPr>
          <w:rFonts w:cs="Courier New"/>
        </w:rPr>
        <w:t xml:space="preserve">For the betas in my CAPM analysis, I considered two sources: </w:t>
      </w:r>
      <w:r w:rsidRPr="008058B3">
        <w:rPr>
          <w:rFonts w:cs="Courier New"/>
          <w:i/>
        </w:rPr>
        <w:t xml:space="preserve">Value Line </w:t>
      </w:r>
      <w:r w:rsidRPr="008058B3">
        <w:rPr>
          <w:rFonts w:cs="Courier New"/>
        </w:rPr>
        <w:t xml:space="preserve">and Bloomberg.  While both of these services adjust their calculated (or “raw”) beta to reflect their tendency to regress to the market mean of 1.00, </w:t>
      </w:r>
      <w:r w:rsidRPr="008058B3">
        <w:rPr>
          <w:rFonts w:cs="Courier New"/>
          <w:i/>
        </w:rPr>
        <w:t>Value Line</w:t>
      </w:r>
      <w:r w:rsidRPr="008058B3">
        <w:rPr>
          <w:rFonts w:cs="Courier New"/>
        </w:rPr>
        <w:t xml:space="preserve"> calculates their beta over a five-year period, while Bloomberg calculates theirs over a two-year period.</w:t>
      </w:r>
    </w:p>
    <w:p w14:paraId="1045C5AC" w14:textId="77777777" w:rsidR="009A5A7C" w:rsidRPr="0073351E" w:rsidRDefault="009A5A7C" w:rsidP="00EE19DD">
      <w:pPr>
        <w:widowControl w:val="0"/>
        <w:ind w:left="720" w:hanging="720"/>
        <w:jc w:val="both"/>
        <w:rPr>
          <w:rFonts w:cs="Courier New"/>
        </w:rPr>
      </w:pPr>
    </w:p>
    <w:p w14:paraId="2A74070F" w14:textId="0F10F5AD"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3B317C">
        <w:rPr>
          <w:rFonts w:cs="Courier New"/>
        </w:rPr>
        <w:t>Please describe your selection of a risk-free rate of return.</w:t>
      </w:r>
    </w:p>
    <w:p w14:paraId="403F92D5" w14:textId="77777777" w:rsidR="009A5A7C" w:rsidRDefault="009A5A7C" w:rsidP="00EE19DD">
      <w:pPr>
        <w:widowControl w:val="0"/>
        <w:ind w:left="720" w:hanging="720"/>
        <w:jc w:val="both"/>
        <w:rPr>
          <w:rFonts w:cs="Courier New"/>
        </w:rPr>
      </w:pPr>
    </w:p>
    <w:p w14:paraId="61F0BAB0" w14:textId="6AE53056"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C83393">
        <w:rPr>
          <w:rFonts w:cs="Courier New"/>
        </w:rPr>
        <w:t xml:space="preserve">As discussed previously, the risk-free rate adopted for both applications of the CAPM is </w:t>
      </w:r>
      <w:r w:rsidRPr="00C55E3B">
        <w:rPr>
          <w:rFonts w:cs="Courier New"/>
        </w:rPr>
        <w:t>3.</w:t>
      </w:r>
      <w:r w:rsidR="00714649" w:rsidRPr="00714649">
        <w:rPr>
          <w:rFonts w:cs="Courier New"/>
        </w:rPr>
        <w:t>91</w:t>
      </w:r>
      <w:r w:rsidR="00714649">
        <w:rPr>
          <w:rFonts w:cs="Courier New"/>
          <w:lang w:bidi="en-US"/>
        </w:rPr>
        <w:t xml:space="preserve"> </w:t>
      </w:r>
      <w:r w:rsidR="00977E15">
        <w:rPr>
          <w:rFonts w:cs="Courier New"/>
          <w:lang w:bidi="en-US"/>
        </w:rPr>
        <w:t>percent</w:t>
      </w:r>
      <w:r w:rsidRPr="00C83393">
        <w:rPr>
          <w:rFonts w:cs="Courier New"/>
        </w:rPr>
        <w:t xml:space="preserve">.  This risk-free rate is based on the average of the </w:t>
      </w:r>
      <w:r w:rsidRPr="00C83393">
        <w:rPr>
          <w:rFonts w:cs="Courier New"/>
          <w:i/>
        </w:rPr>
        <w:t>Blue Chip</w:t>
      </w:r>
      <w:r w:rsidRPr="00C83393">
        <w:rPr>
          <w:rFonts w:cs="Courier New"/>
        </w:rPr>
        <w:t xml:space="preserve"> consensus forecast of the expected yields on 30-year U.S. Treasury bonds for the six quarters ending with the </w:t>
      </w:r>
      <w:r w:rsidRPr="00C55E3B">
        <w:rPr>
          <w:rFonts w:cs="Courier New"/>
        </w:rPr>
        <w:t>first calendar quarter of 2024</w:t>
      </w:r>
      <w:r w:rsidRPr="00714649">
        <w:rPr>
          <w:rFonts w:cs="Courier New"/>
        </w:rPr>
        <w:t xml:space="preserve">, and long-term projections for the years </w:t>
      </w:r>
      <w:r w:rsidRPr="00C55E3B">
        <w:rPr>
          <w:rFonts w:cs="Courier New"/>
        </w:rPr>
        <w:t>2024 to 2028 and 2029 to 2033</w:t>
      </w:r>
      <w:r w:rsidRPr="00714649">
        <w:rPr>
          <w:rFonts w:cs="Courier New"/>
        </w:rPr>
        <w:t>.</w:t>
      </w:r>
    </w:p>
    <w:p w14:paraId="6B36CC73" w14:textId="77777777" w:rsidR="009A5A7C" w:rsidRPr="0073351E" w:rsidRDefault="009A5A7C" w:rsidP="00EE19DD">
      <w:pPr>
        <w:widowControl w:val="0"/>
        <w:ind w:left="720" w:hanging="720"/>
        <w:jc w:val="both"/>
        <w:rPr>
          <w:rFonts w:cs="Courier New"/>
        </w:rPr>
      </w:pPr>
    </w:p>
    <w:p w14:paraId="35AE5F26" w14:textId="39F8DF76" w:rsidR="009A5A7C" w:rsidRDefault="009A5A7C" w:rsidP="00656D9B">
      <w:pPr>
        <w:keepLines/>
        <w:widowControl w:val="0"/>
        <w:ind w:left="720" w:hanging="720"/>
        <w:jc w:val="both"/>
        <w:rPr>
          <w:rFonts w:cs="Courier New"/>
        </w:rPr>
      </w:pPr>
      <w:r w:rsidRPr="00B23997">
        <w:rPr>
          <w:rFonts w:cs="Courier New"/>
          <w:b/>
        </w:rPr>
        <w:t>Q.</w:t>
      </w:r>
      <w:r w:rsidRPr="00B23997">
        <w:rPr>
          <w:rFonts w:cs="Courier New"/>
        </w:rPr>
        <w:tab/>
      </w:r>
      <w:r w:rsidRPr="005D6AF8">
        <w:rPr>
          <w:rFonts w:cs="Courier New"/>
        </w:rPr>
        <w:t>Please explain the estimation of the expected risk premium for the market used in your CAPM analysis.</w:t>
      </w:r>
    </w:p>
    <w:p w14:paraId="7D850666" w14:textId="77777777" w:rsidR="009A5A7C" w:rsidRDefault="009A5A7C" w:rsidP="00EE19DD">
      <w:pPr>
        <w:widowControl w:val="0"/>
        <w:ind w:left="720" w:hanging="720"/>
        <w:jc w:val="both"/>
        <w:rPr>
          <w:rFonts w:cs="Courier New"/>
        </w:rPr>
      </w:pPr>
    </w:p>
    <w:p w14:paraId="25D44C92" w14:textId="1101DC8D"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582D6B">
        <w:rPr>
          <w:rFonts w:cs="Courier New"/>
        </w:rPr>
        <w:t>The basis of the market risk premium is explained in detail in note 1 on</w:t>
      </w:r>
      <w:r w:rsidR="000C1668">
        <w:rPr>
          <w:rFonts w:cs="Courier New"/>
        </w:rPr>
        <w:t xml:space="preserve"> page 2 of</w:t>
      </w:r>
      <w:r w:rsidRPr="00582D6B">
        <w:rPr>
          <w:rFonts w:cs="Courier New"/>
        </w:rPr>
        <w:t xml:space="preserve"> </w:t>
      </w:r>
      <w:r w:rsidR="00A74342" w:rsidRPr="00C55E3B">
        <w:rPr>
          <w:rFonts w:cs="Courier New"/>
        </w:rPr>
        <w:t xml:space="preserve">Document No. </w:t>
      </w:r>
      <w:r w:rsidRPr="00C55E3B">
        <w:rPr>
          <w:rFonts w:cs="Courier New"/>
        </w:rPr>
        <w:t>5</w:t>
      </w:r>
      <w:r w:rsidRPr="00582D6B">
        <w:rPr>
          <w:rFonts w:cs="Courier New"/>
        </w:rPr>
        <w:t xml:space="preserve">.  As discussed above, the market risk premium is derived from an average of three historical data-based market risk premiums, two </w:t>
      </w:r>
      <w:r w:rsidRPr="00582D6B">
        <w:rPr>
          <w:rFonts w:cs="Courier New"/>
          <w:i/>
        </w:rPr>
        <w:t>Value Line</w:t>
      </w:r>
      <w:r w:rsidRPr="00582D6B">
        <w:rPr>
          <w:rFonts w:cs="Courier New"/>
        </w:rPr>
        <w:t xml:space="preserve"> data-based market risk premiums, and one Bloomberg data-based </w:t>
      </w:r>
      <w:r w:rsidRPr="00582D6B">
        <w:rPr>
          <w:rFonts w:cs="Courier New"/>
        </w:rPr>
        <w:lastRenderedPageBreak/>
        <w:t>market risk premium.</w:t>
      </w:r>
    </w:p>
    <w:p w14:paraId="0F76CDBD" w14:textId="77777777" w:rsidR="00B84319" w:rsidRPr="00582D6B" w:rsidRDefault="00B84319" w:rsidP="00EE19DD">
      <w:pPr>
        <w:widowControl w:val="0"/>
        <w:ind w:left="720" w:hanging="720"/>
        <w:jc w:val="both"/>
        <w:rPr>
          <w:rFonts w:cs="Courier New"/>
        </w:rPr>
      </w:pPr>
    </w:p>
    <w:p w14:paraId="73536FD6" w14:textId="737FB9CB" w:rsidR="009A5A7C" w:rsidRPr="0073351E" w:rsidRDefault="009A5A7C" w:rsidP="00EE19DD">
      <w:pPr>
        <w:widowControl w:val="0"/>
        <w:ind w:left="720" w:hanging="720"/>
        <w:jc w:val="both"/>
        <w:rPr>
          <w:rFonts w:cs="Courier New"/>
        </w:rPr>
      </w:pPr>
      <w:r>
        <w:rPr>
          <w:rFonts w:cs="Courier New"/>
        </w:rPr>
        <w:tab/>
      </w:r>
      <w:r w:rsidRPr="00582D6B">
        <w:rPr>
          <w:rFonts w:cs="Courier New"/>
        </w:rPr>
        <w:t xml:space="preserve">The long-term income return on U.S. Government securities of </w:t>
      </w:r>
      <w:r w:rsidRPr="00C55E3B">
        <w:rPr>
          <w:rFonts w:cs="Courier New"/>
          <w:lang w:bidi="en-US"/>
        </w:rPr>
        <w:t>5.02</w:t>
      </w:r>
      <w:r w:rsidR="001C2CC0" w:rsidRPr="008611CD">
        <w:rPr>
          <w:rFonts w:cs="Courier New"/>
          <w:lang w:bidi="en-US"/>
        </w:rPr>
        <w:t xml:space="preserve"> percent</w:t>
      </w:r>
      <w:r w:rsidRPr="008611CD">
        <w:rPr>
          <w:rFonts w:cs="Courier New"/>
          <w:lang w:bidi="en-US"/>
        </w:rPr>
        <w:t xml:space="preserve"> </w:t>
      </w:r>
      <w:r w:rsidRPr="008611CD">
        <w:rPr>
          <w:rFonts w:cs="Courier New"/>
        </w:rPr>
        <w:t xml:space="preserve">was deducted from the </w:t>
      </w:r>
      <w:r w:rsidRPr="008611CD">
        <w:rPr>
          <w:rFonts w:cs="Courier New"/>
          <w:u w:val="single"/>
        </w:rPr>
        <w:t>SBBI</w:t>
      </w:r>
      <w:r w:rsidR="003E0A00" w:rsidRPr="008611CD">
        <w:rPr>
          <w:rFonts w:cs="Courier New"/>
          <w:u w:val="single"/>
        </w:rPr>
        <w:t>-</w:t>
      </w:r>
      <w:r w:rsidRPr="008611CD">
        <w:rPr>
          <w:rFonts w:cs="Courier New"/>
          <w:u w:val="single"/>
        </w:rPr>
        <w:t>2022</w:t>
      </w:r>
      <w:r w:rsidRPr="008611CD">
        <w:rPr>
          <w:rFonts w:cs="Courier New"/>
        </w:rPr>
        <w:t xml:space="preserve"> monthly historical total market return of </w:t>
      </w:r>
      <w:r w:rsidRPr="00C55E3B">
        <w:rPr>
          <w:rFonts w:cs="Courier New"/>
          <w:lang w:bidi="en-US"/>
        </w:rPr>
        <w:t>12.37</w:t>
      </w:r>
      <w:r w:rsidR="009F3518" w:rsidRPr="008611CD">
        <w:rPr>
          <w:rFonts w:cs="Courier New"/>
          <w:lang w:bidi="en-US"/>
        </w:rPr>
        <w:t xml:space="preserve"> percent</w:t>
      </w:r>
      <w:r w:rsidRPr="008611CD">
        <w:rPr>
          <w:rFonts w:cs="Courier New"/>
        </w:rPr>
        <w:t xml:space="preserve">, which results in an historical market equity risk premium of </w:t>
      </w:r>
      <w:r w:rsidRPr="00C55E3B">
        <w:rPr>
          <w:rFonts w:cs="Courier New"/>
          <w:lang w:bidi="en-US"/>
        </w:rPr>
        <w:t>7.35</w:t>
      </w:r>
      <w:r w:rsidR="009F3518">
        <w:rPr>
          <w:rFonts w:cs="Courier New"/>
          <w:lang w:bidi="en-US"/>
        </w:rPr>
        <w:t xml:space="preserve"> percent</w:t>
      </w:r>
      <w:r w:rsidRPr="00582D6B">
        <w:rPr>
          <w:rFonts w:cs="Courier New"/>
        </w:rPr>
        <w:t>.</w:t>
      </w:r>
      <w:r>
        <w:rPr>
          <w:rStyle w:val="EndnoteReference"/>
          <w:rFonts w:cs="Courier New"/>
        </w:rPr>
        <w:endnoteReference w:id="31"/>
      </w:r>
      <w:r>
        <w:rPr>
          <w:rFonts w:cs="Courier New"/>
        </w:rPr>
        <w:t xml:space="preserve">  </w:t>
      </w:r>
      <w:r w:rsidRPr="0061797B">
        <w:rPr>
          <w:rFonts w:cs="Courier New"/>
        </w:rPr>
        <w:t xml:space="preserve">I applied a linear OLS regression to the monthly annualized historical returns on the S&amp;P 500 relative to historical yields on long-term U.S. Government securities from </w:t>
      </w:r>
      <w:r w:rsidRPr="0061797B">
        <w:rPr>
          <w:rFonts w:cs="Courier New"/>
          <w:u w:val="single"/>
        </w:rPr>
        <w:t>SBBI</w:t>
      </w:r>
      <w:r w:rsidR="003E0A00">
        <w:rPr>
          <w:rFonts w:cs="Courier New"/>
          <w:u w:val="single"/>
        </w:rPr>
        <w:t>-</w:t>
      </w:r>
      <w:r w:rsidRPr="0061797B">
        <w:rPr>
          <w:rFonts w:cs="Courier New"/>
          <w:u w:val="single"/>
        </w:rPr>
        <w:t>2022</w:t>
      </w:r>
      <w:r w:rsidRPr="0061797B">
        <w:rPr>
          <w:rFonts w:cs="Courier New"/>
        </w:rPr>
        <w:t xml:space="preserve">.  That regression analysis yielded a market equity risk premium of </w:t>
      </w:r>
      <w:r w:rsidRPr="00C55E3B">
        <w:rPr>
          <w:rFonts w:cs="Courier New"/>
        </w:rPr>
        <w:t>8.</w:t>
      </w:r>
      <w:r w:rsidR="008611CD" w:rsidRPr="00C55E3B">
        <w:rPr>
          <w:rFonts w:cs="Courier New"/>
        </w:rPr>
        <w:t>7</w:t>
      </w:r>
      <w:r w:rsidR="008611CD" w:rsidRPr="008611CD">
        <w:rPr>
          <w:rFonts w:cs="Courier New"/>
        </w:rPr>
        <w:t>1</w:t>
      </w:r>
      <w:r w:rsidR="008611CD">
        <w:rPr>
          <w:rFonts w:cs="Courier New"/>
          <w:lang w:bidi="en-US"/>
        </w:rPr>
        <w:t xml:space="preserve"> </w:t>
      </w:r>
      <w:r w:rsidR="00C803D7">
        <w:rPr>
          <w:rFonts w:cs="Courier New"/>
          <w:lang w:bidi="en-US"/>
        </w:rPr>
        <w:t>percent</w:t>
      </w:r>
      <w:r w:rsidRPr="0061797B">
        <w:rPr>
          <w:rFonts w:cs="Courier New"/>
        </w:rPr>
        <w:t xml:space="preserve">.  The PRPM market equity risk premium is </w:t>
      </w:r>
      <w:r w:rsidR="008611CD">
        <w:rPr>
          <w:rFonts w:cs="Courier New"/>
        </w:rPr>
        <w:t>10.86</w:t>
      </w:r>
      <w:r w:rsidR="00C803D7">
        <w:rPr>
          <w:rFonts w:cs="Courier New"/>
          <w:lang w:bidi="en-US"/>
        </w:rPr>
        <w:t xml:space="preserve"> percent</w:t>
      </w:r>
      <w:r w:rsidRPr="0061797B">
        <w:rPr>
          <w:rFonts w:cs="Courier New"/>
        </w:rPr>
        <w:t xml:space="preserve"> and is derived using the PRPM relative to the yields on long-term U.S. Treasury securities from </w:t>
      </w:r>
      <w:r w:rsidRPr="00C55E3B">
        <w:rPr>
          <w:rFonts w:cs="Courier New"/>
        </w:rPr>
        <w:t xml:space="preserve">January 1926 through </w:t>
      </w:r>
      <w:r w:rsidR="008611CD" w:rsidRPr="00C55E3B">
        <w:rPr>
          <w:rFonts w:cs="Courier New"/>
        </w:rPr>
        <w:t xml:space="preserve">December </w:t>
      </w:r>
      <w:r w:rsidRPr="00C55E3B">
        <w:rPr>
          <w:rFonts w:cs="Courier New"/>
        </w:rPr>
        <w:t>2022</w:t>
      </w:r>
      <w:r w:rsidR="00C803D7" w:rsidRPr="008611CD">
        <w:rPr>
          <w:rFonts w:cs="Courier New"/>
        </w:rPr>
        <w:t xml:space="preserve">, as shown on page 2 of </w:t>
      </w:r>
      <w:r w:rsidR="00C803D7" w:rsidRPr="00C55E3B">
        <w:rPr>
          <w:rFonts w:cs="Courier New"/>
        </w:rPr>
        <w:t xml:space="preserve">Document No. </w:t>
      </w:r>
      <w:r w:rsidR="000B4EA9" w:rsidRPr="00C55E3B">
        <w:rPr>
          <w:rFonts w:cs="Courier New"/>
        </w:rPr>
        <w:t>5</w:t>
      </w:r>
      <w:r w:rsidRPr="008611CD">
        <w:rPr>
          <w:rFonts w:cs="Courier New"/>
        </w:rPr>
        <w:t>.</w:t>
      </w:r>
    </w:p>
    <w:p w14:paraId="62F65D73" w14:textId="0C6331E1" w:rsidR="009A5A7C" w:rsidRDefault="009A5A7C" w:rsidP="00EE19DD">
      <w:pPr>
        <w:widowControl w:val="0"/>
        <w:ind w:left="720" w:hanging="720"/>
        <w:jc w:val="both"/>
        <w:rPr>
          <w:rFonts w:cs="Courier New"/>
        </w:rPr>
      </w:pPr>
    </w:p>
    <w:p w14:paraId="40C907D6" w14:textId="0FFE4A0C" w:rsidR="009A5A7C" w:rsidRPr="00047F7B" w:rsidRDefault="009A5A7C" w:rsidP="00EE19DD">
      <w:pPr>
        <w:widowControl w:val="0"/>
        <w:ind w:left="720" w:hanging="720"/>
        <w:jc w:val="both"/>
        <w:rPr>
          <w:rFonts w:cs="Courier New"/>
        </w:rPr>
      </w:pPr>
      <w:r>
        <w:rPr>
          <w:rFonts w:cs="Courier New"/>
        </w:rPr>
        <w:tab/>
      </w:r>
      <w:r w:rsidRPr="00203A66">
        <w:rPr>
          <w:rFonts w:cs="Courier New"/>
        </w:rPr>
        <w:t xml:space="preserve">The </w:t>
      </w:r>
      <w:r w:rsidRPr="00203A66">
        <w:rPr>
          <w:rFonts w:cs="Courier New"/>
          <w:i/>
        </w:rPr>
        <w:t>Value Line</w:t>
      </w:r>
      <w:r w:rsidRPr="00203A66">
        <w:rPr>
          <w:rFonts w:cs="Courier New"/>
        </w:rPr>
        <w:t xml:space="preserve">-derived forecasted total market equity risk premium is derived by deducting the forecasted risk-free rate of </w:t>
      </w:r>
      <w:r w:rsidRPr="00C55E3B">
        <w:rPr>
          <w:rFonts w:cs="Courier New"/>
        </w:rPr>
        <w:t>3.</w:t>
      </w:r>
      <w:r w:rsidR="008611CD" w:rsidRPr="008611CD">
        <w:rPr>
          <w:rFonts w:cs="Courier New"/>
        </w:rPr>
        <w:t>91</w:t>
      </w:r>
      <w:r w:rsidR="008611CD">
        <w:rPr>
          <w:rFonts w:cs="Courier New"/>
          <w:lang w:bidi="en-US"/>
        </w:rPr>
        <w:t xml:space="preserve"> </w:t>
      </w:r>
      <w:r w:rsidR="006C0050" w:rsidRPr="001B239A">
        <w:rPr>
          <w:rFonts w:cs="Courier New"/>
          <w:lang w:bidi="en-US"/>
        </w:rPr>
        <w:t>percent</w:t>
      </w:r>
      <w:r w:rsidRPr="001B239A">
        <w:rPr>
          <w:rFonts w:cs="Courier New"/>
        </w:rPr>
        <w:t xml:space="preserve">, discussed above, from the </w:t>
      </w:r>
      <w:r w:rsidRPr="001B239A">
        <w:rPr>
          <w:rFonts w:cs="Courier New"/>
          <w:i/>
        </w:rPr>
        <w:t>Value Line</w:t>
      </w:r>
      <w:r w:rsidRPr="001B239A">
        <w:rPr>
          <w:rFonts w:cs="Courier New"/>
        </w:rPr>
        <w:t xml:space="preserve"> projected total annual market return of </w:t>
      </w:r>
      <w:r w:rsidRPr="00C55E3B">
        <w:rPr>
          <w:rFonts w:cs="Courier New"/>
        </w:rPr>
        <w:t>16.</w:t>
      </w:r>
      <w:r w:rsidR="001B239A" w:rsidRPr="001B239A">
        <w:rPr>
          <w:rFonts w:cs="Courier New"/>
        </w:rPr>
        <w:t>58</w:t>
      </w:r>
      <w:r w:rsidR="001B239A" w:rsidRPr="001B239A">
        <w:rPr>
          <w:rFonts w:cs="Courier New"/>
          <w:lang w:bidi="en-US"/>
        </w:rPr>
        <w:t xml:space="preserve"> </w:t>
      </w:r>
      <w:r w:rsidR="006C0050" w:rsidRPr="001B239A">
        <w:rPr>
          <w:rFonts w:cs="Courier New"/>
          <w:lang w:bidi="en-US"/>
        </w:rPr>
        <w:t>percent</w:t>
      </w:r>
      <w:r w:rsidRPr="001B239A">
        <w:rPr>
          <w:rFonts w:cs="Courier New"/>
        </w:rPr>
        <w:t xml:space="preserve">, resulting in a forecasted total market equity risk premium of </w:t>
      </w:r>
      <w:r w:rsidRPr="00C55E3B">
        <w:rPr>
          <w:rFonts w:cs="Courier New"/>
        </w:rPr>
        <w:t>12.</w:t>
      </w:r>
      <w:r w:rsidR="001B239A" w:rsidRPr="001B239A">
        <w:rPr>
          <w:rFonts w:cs="Courier New"/>
        </w:rPr>
        <w:t>67</w:t>
      </w:r>
      <w:r w:rsidR="001B239A" w:rsidRPr="001B239A">
        <w:rPr>
          <w:rFonts w:cs="Courier New"/>
          <w:lang w:bidi="en-US"/>
        </w:rPr>
        <w:t xml:space="preserve"> </w:t>
      </w:r>
      <w:r w:rsidR="006C0050" w:rsidRPr="001B239A">
        <w:rPr>
          <w:rFonts w:cs="Courier New"/>
          <w:lang w:bidi="en-US"/>
        </w:rPr>
        <w:t>percent</w:t>
      </w:r>
      <w:r w:rsidRPr="001B239A">
        <w:rPr>
          <w:rFonts w:cs="Courier New"/>
        </w:rPr>
        <w:t xml:space="preserve">.  The S&amp;P 500 projected market equity risk premium </w:t>
      </w:r>
      <w:r w:rsidRPr="00047F7B">
        <w:rPr>
          <w:rFonts w:cs="Courier New"/>
        </w:rPr>
        <w:t xml:space="preserve">using </w:t>
      </w:r>
      <w:r w:rsidRPr="00047F7B">
        <w:rPr>
          <w:rFonts w:cs="Courier New"/>
          <w:i/>
        </w:rPr>
        <w:t xml:space="preserve">Value Line </w:t>
      </w:r>
      <w:r w:rsidRPr="00047F7B">
        <w:rPr>
          <w:rFonts w:cs="Courier New"/>
        </w:rPr>
        <w:t xml:space="preserve">data is derived by subtracting the projected risk-free rate of </w:t>
      </w:r>
      <w:r w:rsidRPr="00C55E3B">
        <w:rPr>
          <w:rFonts w:cs="Courier New"/>
        </w:rPr>
        <w:t>3.</w:t>
      </w:r>
      <w:r w:rsidR="001B239A" w:rsidRPr="00047F7B">
        <w:rPr>
          <w:rFonts w:cs="Courier New"/>
        </w:rPr>
        <w:t>91</w:t>
      </w:r>
      <w:r w:rsidR="001B239A" w:rsidRPr="00047F7B">
        <w:rPr>
          <w:rFonts w:cs="Courier New"/>
          <w:lang w:bidi="en-US"/>
        </w:rPr>
        <w:t xml:space="preserve"> </w:t>
      </w:r>
      <w:r w:rsidR="00F066C6" w:rsidRPr="00047F7B">
        <w:rPr>
          <w:rFonts w:cs="Courier New"/>
          <w:lang w:bidi="en-US"/>
        </w:rPr>
        <w:t>percent</w:t>
      </w:r>
      <w:r w:rsidRPr="00047F7B">
        <w:rPr>
          <w:rFonts w:cs="Courier New"/>
        </w:rPr>
        <w:t xml:space="preserve"> from the projected total return of the S&amp;P 500 of </w:t>
      </w:r>
      <w:r w:rsidR="001B239A" w:rsidRPr="00047F7B">
        <w:rPr>
          <w:rFonts w:cs="Courier New"/>
        </w:rPr>
        <w:t>15.67</w:t>
      </w:r>
      <w:r w:rsidR="00F066C6" w:rsidRPr="00047F7B">
        <w:rPr>
          <w:rFonts w:cs="Courier New"/>
          <w:lang w:bidi="en-US"/>
        </w:rPr>
        <w:t xml:space="preserve"> percent</w:t>
      </w:r>
      <w:r w:rsidRPr="00047F7B">
        <w:rPr>
          <w:rFonts w:cs="Courier New"/>
        </w:rPr>
        <w:t xml:space="preserve">.  The resulting </w:t>
      </w:r>
      <w:r w:rsidRPr="00047F7B">
        <w:rPr>
          <w:rFonts w:cs="Courier New"/>
        </w:rPr>
        <w:lastRenderedPageBreak/>
        <w:t xml:space="preserve">market equity risk premium is </w:t>
      </w:r>
      <w:r w:rsidR="00047F7B" w:rsidRPr="00047F7B">
        <w:rPr>
          <w:rFonts w:cs="Courier New"/>
        </w:rPr>
        <w:t>11.76</w:t>
      </w:r>
      <w:r w:rsidR="00047F7B" w:rsidRPr="00047F7B">
        <w:rPr>
          <w:rFonts w:cs="Courier New"/>
          <w:lang w:bidi="en-US"/>
        </w:rPr>
        <w:t xml:space="preserve"> </w:t>
      </w:r>
      <w:r w:rsidR="00F066C6" w:rsidRPr="00047F7B">
        <w:rPr>
          <w:rFonts w:cs="Courier New"/>
          <w:lang w:bidi="en-US"/>
        </w:rPr>
        <w:t>percent</w:t>
      </w:r>
      <w:r w:rsidRPr="00047F7B">
        <w:rPr>
          <w:rFonts w:cs="Courier New"/>
        </w:rPr>
        <w:t>.</w:t>
      </w:r>
    </w:p>
    <w:p w14:paraId="53C4BABD" w14:textId="77777777" w:rsidR="009A5A7C" w:rsidRPr="00047F7B" w:rsidRDefault="009A5A7C" w:rsidP="00EE19DD">
      <w:pPr>
        <w:widowControl w:val="0"/>
        <w:ind w:left="720" w:hanging="720"/>
        <w:jc w:val="both"/>
        <w:rPr>
          <w:rFonts w:cs="Courier New"/>
        </w:rPr>
      </w:pPr>
    </w:p>
    <w:p w14:paraId="547D4912" w14:textId="28FD84FA" w:rsidR="009A5A7C" w:rsidRDefault="009A5A7C" w:rsidP="00EE19DD">
      <w:pPr>
        <w:widowControl w:val="0"/>
        <w:ind w:left="720" w:hanging="720"/>
        <w:jc w:val="both"/>
        <w:rPr>
          <w:rFonts w:cs="Courier New"/>
        </w:rPr>
      </w:pPr>
      <w:r w:rsidRPr="00047F7B">
        <w:rPr>
          <w:rFonts w:cs="Courier New"/>
        </w:rPr>
        <w:tab/>
        <w:t xml:space="preserve">The S&amp;P 500 projected market equity risk premium using Bloomberg data is derived by subtracting the projected risk-free rate of </w:t>
      </w:r>
      <w:r w:rsidRPr="00C55E3B">
        <w:rPr>
          <w:rFonts w:cs="Courier New"/>
        </w:rPr>
        <w:t>3.</w:t>
      </w:r>
      <w:r w:rsidR="001B239A" w:rsidRPr="00047F7B">
        <w:rPr>
          <w:rFonts w:cs="Courier New"/>
        </w:rPr>
        <w:t>91</w:t>
      </w:r>
      <w:r w:rsidR="001B239A" w:rsidRPr="00047F7B">
        <w:rPr>
          <w:rFonts w:cs="Courier New"/>
          <w:lang w:bidi="en-US"/>
        </w:rPr>
        <w:t xml:space="preserve"> </w:t>
      </w:r>
      <w:r w:rsidR="00C70762" w:rsidRPr="00047F7B">
        <w:rPr>
          <w:rFonts w:cs="Courier New"/>
          <w:lang w:bidi="en-US"/>
        </w:rPr>
        <w:t>percent</w:t>
      </w:r>
      <w:r w:rsidRPr="00047F7B">
        <w:rPr>
          <w:rFonts w:cs="Courier New"/>
          <w:lang w:bidi="en-US"/>
        </w:rPr>
        <w:t xml:space="preserve"> </w:t>
      </w:r>
      <w:r w:rsidRPr="00047F7B">
        <w:rPr>
          <w:rFonts w:cs="Courier New"/>
        </w:rPr>
        <w:t xml:space="preserve">from the projected total return of the S&amp;P 500 of </w:t>
      </w:r>
      <w:r w:rsidR="00047F7B" w:rsidRPr="00047F7B">
        <w:rPr>
          <w:rFonts w:cs="Courier New"/>
        </w:rPr>
        <w:t>11.06</w:t>
      </w:r>
      <w:r w:rsidR="00C70762" w:rsidRPr="00047F7B">
        <w:rPr>
          <w:rFonts w:cs="Courier New"/>
          <w:lang w:bidi="en-US"/>
        </w:rPr>
        <w:t xml:space="preserve"> percent</w:t>
      </w:r>
      <w:r w:rsidRPr="00047F7B">
        <w:rPr>
          <w:rFonts w:cs="Courier New"/>
        </w:rPr>
        <w:t xml:space="preserve">.  The resulting market equity risk premium is </w:t>
      </w:r>
      <w:r w:rsidR="00047F7B" w:rsidRPr="00047F7B">
        <w:rPr>
          <w:rFonts w:cs="Courier New"/>
        </w:rPr>
        <w:t>7.15</w:t>
      </w:r>
      <w:r w:rsidR="00C70762" w:rsidRPr="00047F7B">
        <w:rPr>
          <w:rFonts w:cs="Courier New"/>
          <w:lang w:bidi="en-US"/>
        </w:rPr>
        <w:t xml:space="preserve"> percent</w:t>
      </w:r>
      <w:r w:rsidRPr="00047F7B">
        <w:rPr>
          <w:rFonts w:cs="Courier New"/>
        </w:rPr>
        <w:t xml:space="preserve">.  These six measures, when averaged, result in an average total market equity risk premium of </w:t>
      </w:r>
      <w:r w:rsidR="00047F7B" w:rsidRPr="00047F7B">
        <w:rPr>
          <w:rFonts w:cs="Courier New"/>
        </w:rPr>
        <w:t>9.75</w:t>
      </w:r>
      <w:r w:rsidR="00C70762" w:rsidRPr="00047F7B">
        <w:rPr>
          <w:rFonts w:cs="Courier New"/>
          <w:lang w:bidi="en-US"/>
        </w:rPr>
        <w:t xml:space="preserve"> percent</w:t>
      </w:r>
      <w:r w:rsidRPr="00047F7B">
        <w:rPr>
          <w:rFonts w:cs="Courier New"/>
          <w:lang w:bidi="en-US"/>
        </w:rPr>
        <w:t xml:space="preserve">, as shown on page 2 of </w:t>
      </w:r>
      <w:r w:rsidR="00C70762" w:rsidRPr="00C55E3B">
        <w:rPr>
          <w:rFonts w:cs="Courier New"/>
          <w:lang w:bidi="en-US"/>
        </w:rPr>
        <w:t>Document No. 5</w:t>
      </w:r>
      <w:r w:rsidRPr="00047F7B">
        <w:rPr>
          <w:rFonts w:cs="Courier New"/>
        </w:rPr>
        <w:t>.</w:t>
      </w:r>
    </w:p>
    <w:p w14:paraId="4C3750AF" w14:textId="77777777" w:rsidR="009A5A7C" w:rsidRPr="0073351E" w:rsidRDefault="009A5A7C" w:rsidP="00EE19DD">
      <w:pPr>
        <w:widowControl w:val="0"/>
        <w:ind w:left="720" w:hanging="720"/>
        <w:jc w:val="both"/>
        <w:rPr>
          <w:rFonts w:cs="Courier New"/>
        </w:rPr>
      </w:pPr>
    </w:p>
    <w:p w14:paraId="3DC29380" w14:textId="2A9F88AC"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8F6287">
        <w:rPr>
          <w:rFonts w:cs="Courier New"/>
        </w:rPr>
        <w:t xml:space="preserve">What are the results of your application of the traditional and empirical CAPM to the </w:t>
      </w:r>
      <w:r w:rsidR="00F416CB">
        <w:rPr>
          <w:rFonts w:cs="Courier New"/>
        </w:rPr>
        <w:t>Utility Proxy Group</w:t>
      </w:r>
      <w:r w:rsidRPr="008F6287">
        <w:rPr>
          <w:rFonts w:cs="Courier New"/>
        </w:rPr>
        <w:t>?</w:t>
      </w:r>
    </w:p>
    <w:p w14:paraId="6CA16A8B" w14:textId="77777777" w:rsidR="009A5A7C" w:rsidRDefault="009A5A7C" w:rsidP="00EE19DD">
      <w:pPr>
        <w:widowControl w:val="0"/>
        <w:ind w:left="720" w:hanging="720"/>
        <w:jc w:val="both"/>
        <w:rPr>
          <w:rFonts w:cs="Courier New"/>
        </w:rPr>
      </w:pPr>
    </w:p>
    <w:p w14:paraId="0781368F" w14:textId="2D5A76B1"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FE1FB9">
        <w:rPr>
          <w:rFonts w:cs="Courier New"/>
        </w:rPr>
        <w:t xml:space="preserve">As shown on </w:t>
      </w:r>
      <w:r w:rsidRPr="003B631F">
        <w:rPr>
          <w:rFonts w:cs="Courier New"/>
        </w:rPr>
        <w:t xml:space="preserve">page 1 of </w:t>
      </w:r>
      <w:r w:rsidR="004A4013" w:rsidRPr="00C55E3B">
        <w:rPr>
          <w:rFonts w:cs="Courier New"/>
        </w:rPr>
        <w:t xml:space="preserve">Document No. </w:t>
      </w:r>
      <w:r w:rsidRPr="00C55E3B">
        <w:rPr>
          <w:rFonts w:cs="Courier New"/>
        </w:rPr>
        <w:t>5</w:t>
      </w:r>
      <w:r w:rsidRPr="003B631F">
        <w:rPr>
          <w:rFonts w:cs="Courier New"/>
        </w:rPr>
        <w:t xml:space="preserve">, the mean result of my CAPM/ECAPM applied to the </w:t>
      </w:r>
      <w:r w:rsidR="00F416CB">
        <w:rPr>
          <w:rFonts w:cs="Courier New"/>
        </w:rPr>
        <w:t>Utility Proxy Group</w:t>
      </w:r>
      <w:r w:rsidRPr="003B631F">
        <w:rPr>
          <w:rFonts w:cs="Courier New"/>
        </w:rPr>
        <w:t xml:space="preserve"> is </w:t>
      </w:r>
      <w:r w:rsidRPr="00C55E3B">
        <w:rPr>
          <w:rFonts w:cs="Courier New"/>
        </w:rPr>
        <w:t>11.</w:t>
      </w:r>
      <w:r w:rsidR="003B631F" w:rsidRPr="003B631F">
        <w:rPr>
          <w:rFonts w:cs="Courier New"/>
        </w:rPr>
        <w:t xml:space="preserve">54 </w:t>
      </w:r>
      <w:r w:rsidR="004A4013" w:rsidRPr="003B631F">
        <w:rPr>
          <w:rFonts w:cs="Courier New"/>
        </w:rPr>
        <w:t>percent</w:t>
      </w:r>
      <w:r w:rsidRPr="003B631F">
        <w:rPr>
          <w:rFonts w:cs="Courier New"/>
        </w:rPr>
        <w:t xml:space="preserve">, the median is </w:t>
      </w:r>
      <w:r w:rsidRPr="00C55E3B">
        <w:rPr>
          <w:rFonts w:cs="Courier New"/>
        </w:rPr>
        <w:t>11.</w:t>
      </w:r>
      <w:r w:rsidR="003B631F" w:rsidRPr="003B631F">
        <w:rPr>
          <w:rFonts w:cs="Courier New"/>
        </w:rPr>
        <w:t xml:space="preserve">70 </w:t>
      </w:r>
      <w:r w:rsidR="004A4013" w:rsidRPr="003B631F">
        <w:rPr>
          <w:rFonts w:cs="Courier New"/>
        </w:rPr>
        <w:t>percent</w:t>
      </w:r>
      <w:r w:rsidRPr="003B631F">
        <w:rPr>
          <w:rFonts w:cs="Courier New"/>
          <w:lang w:bidi="en-US"/>
        </w:rPr>
        <w:t>,</w:t>
      </w:r>
      <w:r w:rsidRPr="003B631F">
        <w:rPr>
          <w:rFonts w:cs="Courier New"/>
        </w:rPr>
        <w:t xml:space="preserve"> and the average of the two is </w:t>
      </w:r>
      <w:r w:rsidRPr="00C55E3B">
        <w:rPr>
          <w:rFonts w:cs="Courier New"/>
        </w:rPr>
        <w:t>11.</w:t>
      </w:r>
      <w:r w:rsidR="003B631F" w:rsidRPr="003B631F">
        <w:rPr>
          <w:rFonts w:cs="Courier New"/>
        </w:rPr>
        <w:t xml:space="preserve">62 </w:t>
      </w:r>
      <w:r w:rsidR="004A4013" w:rsidRPr="003B631F">
        <w:rPr>
          <w:rFonts w:cs="Courier New"/>
        </w:rPr>
        <w:t>percent</w:t>
      </w:r>
      <w:r w:rsidRPr="003B631F">
        <w:rPr>
          <w:rFonts w:cs="Courier New"/>
        </w:rPr>
        <w:t xml:space="preserve">.  Consistent with my reliance on the average of mean and median DCF results discussed above, the indicated common equity cost rate for each group using the CAPM/ECAPM is </w:t>
      </w:r>
      <w:r w:rsidR="003B631F" w:rsidRPr="003B631F">
        <w:rPr>
          <w:rFonts w:cs="Courier New"/>
        </w:rPr>
        <w:t>11.62</w:t>
      </w:r>
      <w:r w:rsidR="004A4013" w:rsidRPr="003B631F">
        <w:rPr>
          <w:rFonts w:cs="Courier New"/>
        </w:rPr>
        <w:t xml:space="preserve"> percent</w:t>
      </w:r>
      <w:r w:rsidRPr="003B631F">
        <w:rPr>
          <w:rFonts w:cs="Courier New"/>
        </w:rPr>
        <w:t>.</w:t>
      </w:r>
    </w:p>
    <w:p w14:paraId="0316BA55" w14:textId="3DBA53B3" w:rsidR="009A5A7C" w:rsidRDefault="009A5A7C" w:rsidP="00EE19DD">
      <w:pPr>
        <w:widowControl w:val="0"/>
        <w:ind w:left="720" w:hanging="720"/>
        <w:jc w:val="both"/>
        <w:rPr>
          <w:rFonts w:cs="Courier New"/>
        </w:rPr>
      </w:pPr>
    </w:p>
    <w:p w14:paraId="3029D810" w14:textId="4302D231" w:rsidR="009A5A7C" w:rsidRPr="0073351E" w:rsidRDefault="009A5A7C" w:rsidP="0098667E">
      <w:pPr>
        <w:pStyle w:val="Heading2"/>
        <w:keepNext w:val="0"/>
        <w:pBdr>
          <w:left w:val="none" w:sz="0" w:space="0" w:color="auto"/>
          <w:right w:val="none" w:sz="0" w:space="0" w:color="auto"/>
        </w:pBdr>
        <w:ind w:hanging="720"/>
        <w:jc w:val="left"/>
      </w:pPr>
      <w:bookmarkStart w:id="17" w:name="_Toc129962210"/>
      <w:r>
        <w:t xml:space="preserve">Common Equity Cost Rates for </w:t>
      </w:r>
      <w:r w:rsidR="005F4E35">
        <w:t xml:space="preserve">a </w:t>
      </w:r>
      <w:r>
        <w:t>Proxy Group of Domestic, Non-Price Regulated Companies Based on the DCF, RPM, and CAPM</w:t>
      </w:r>
      <w:bookmarkEnd w:id="17"/>
    </w:p>
    <w:p w14:paraId="19F71311" w14:textId="5F3B5995" w:rsidR="009A5A7C" w:rsidRDefault="009A5A7C" w:rsidP="00EE19DD">
      <w:pPr>
        <w:widowControl w:val="0"/>
        <w:ind w:left="720" w:hanging="720"/>
        <w:jc w:val="both"/>
        <w:rPr>
          <w:rFonts w:cs="Courier New"/>
        </w:rPr>
      </w:pPr>
      <w:r w:rsidRPr="667AD777">
        <w:rPr>
          <w:rFonts w:cs="Courier New"/>
          <w:b/>
          <w:bCs/>
        </w:rPr>
        <w:lastRenderedPageBreak/>
        <w:t>Q.</w:t>
      </w:r>
      <w:r>
        <w:tab/>
      </w:r>
      <w:r w:rsidRPr="667AD777">
        <w:rPr>
          <w:rFonts w:cs="Courier New"/>
        </w:rPr>
        <w:t xml:space="preserve">Why do you also consider </w:t>
      </w:r>
      <w:r w:rsidR="5BF1AD5A" w:rsidRPr="667AD777">
        <w:rPr>
          <w:rFonts w:cs="Courier New"/>
        </w:rPr>
        <w:t xml:space="preserve">a </w:t>
      </w:r>
      <w:r w:rsidRPr="667AD777">
        <w:rPr>
          <w:rFonts w:cs="Courier New"/>
        </w:rPr>
        <w:t>proxy group of domestic, non-price regulated companies?</w:t>
      </w:r>
    </w:p>
    <w:p w14:paraId="02E89CF9" w14:textId="77777777" w:rsidR="00B84319" w:rsidRDefault="00B84319" w:rsidP="00EE19DD">
      <w:pPr>
        <w:widowControl w:val="0"/>
        <w:ind w:left="720" w:hanging="720"/>
        <w:jc w:val="both"/>
        <w:rPr>
          <w:rFonts w:cs="Courier New"/>
        </w:rPr>
      </w:pPr>
    </w:p>
    <w:p w14:paraId="2DBDE9F2" w14:textId="3E68EC66"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652445">
        <w:rPr>
          <w:rFonts w:cs="Courier New"/>
        </w:rPr>
        <w:t xml:space="preserve">In the </w:t>
      </w:r>
      <w:r w:rsidRPr="00652445">
        <w:rPr>
          <w:rFonts w:cs="Courier New"/>
          <w:i/>
        </w:rPr>
        <w:t>Hope</w:t>
      </w:r>
      <w:r w:rsidRPr="00652445">
        <w:rPr>
          <w:rFonts w:cs="Courier New"/>
        </w:rPr>
        <w:t xml:space="preserve"> and </w:t>
      </w:r>
      <w:r w:rsidRPr="00652445">
        <w:rPr>
          <w:rFonts w:cs="Courier New"/>
          <w:i/>
        </w:rPr>
        <w:t>Bluefield</w:t>
      </w:r>
      <w:r w:rsidRPr="00652445">
        <w:rPr>
          <w:rFonts w:cs="Courier New"/>
        </w:rPr>
        <w:t xml:space="preserve"> cases, the </w:t>
      </w:r>
      <w:r w:rsidR="00D63B45">
        <w:rPr>
          <w:rFonts w:cs="Courier New"/>
        </w:rPr>
        <w:t xml:space="preserve">U.S. </w:t>
      </w:r>
      <w:r w:rsidRPr="00652445">
        <w:rPr>
          <w:rFonts w:cs="Courier New"/>
        </w:rPr>
        <w:t xml:space="preserve">Supreme Court did not specify that comparable risk companies had to be utilities.  Since the purpose of rate regulation is to be a substitute for marketplace competition, non-price regulated firms operating in the competitive marketplace make an excellent proxy if they are comparable in total risk to the </w:t>
      </w:r>
      <w:r w:rsidR="00F416CB">
        <w:rPr>
          <w:rFonts w:cs="Courier New"/>
        </w:rPr>
        <w:t>Utility Proxy Group</w:t>
      </w:r>
      <w:r w:rsidRPr="00652445">
        <w:rPr>
          <w:rFonts w:cs="Courier New"/>
        </w:rPr>
        <w:t xml:space="preserve"> being used to estimate the cost of common equity.  The selection of such domestic, non-price regulated competitive firms theoretically and empirically results in a proxy group which is comparable in total risk to the </w:t>
      </w:r>
      <w:r w:rsidR="00F416CB">
        <w:rPr>
          <w:rFonts w:cs="Courier New"/>
        </w:rPr>
        <w:t>Utility Proxy Group</w:t>
      </w:r>
      <w:r w:rsidRPr="00652445">
        <w:rPr>
          <w:rFonts w:cs="Courier New"/>
        </w:rPr>
        <w:t>, since all of these companies compete for capital in the exact same markets.</w:t>
      </w:r>
    </w:p>
    <w:p w14:paraId="69C4B4E4" w14:textId="77777777" w:rsidR="009A5A7C" w:rsidRPr="0073351E" w:rsidRDefault="009A5A7C" w:rsidP="00EE19DD">
      <w:pPr>
        <w:widowControl w:val="0"/>
        <w:ind w:left="720" w:hanging="720"/>
        <w:jc w:val="both"/>
        <w:rPr>
          <w:rFonts w:cs="Courier New"/>
        </w:rPr>
      </w:pPr>
    </w:p>
    <w:p w14:paraId="6286E84B" w14:textId="5A41DE5F" w:rsidR="009A5A7C" w:rsidRDefault="009A5A7C" w:rsidP="00656D9B">
      <w:pPr>
        <w:keepLines/>
        <w:widowControl w:val="0"/>
        <w:ind w:left="720" w:hanging="720"/>
        <w:jc w:val="both"/>
        <w:rPr>
          <w:rFonts w:cs="Courier New"/>
        </w:rPr>
      </w:pPr>
      <w:r w:rsidRPr="00B23997">
        <w:rPr>
          <w:rFonts w:cs="Courier New"/>
          <w:b/>
        </w:rPr>
        <w:t>Q.</w:t>
      </w:r>
      <w:r w:rsidRPr="00B23997">
        <w:rPr>
          <w:rFonts w:cs="Courier New"/>
        </w:rPr>
        <w:tab/>
      </w:r>
      <w:r w:rsidRPr="009C389C">
        <w:rPr>
          <w:rFonts w:cs="Courier New"/>
        </w:rPr>
        <w:t>How did you select domestic</w:t>
      </w:r>
      <w:r w:rsidR="00F8477A">
        <w:rPr>
          <w:rFonts w:cs="Courier New"/>
        </w:rPr>
        <w:t>,</w:t>
      </w:r>
      <w:r w:rsidRPr="009C389C">
        <w:rPr>
          <w:rFonts w:cs="Courier New"/>
        </w:rPr>
        <w:t xml:space="preserve"> non-price regulated companies that are comparable in total risk to the </w:t>
      </w:r>
      <w:r w:rsidR="00F416CB">
        <w:rPr>
          <w:rFonts w:cs="Courier New"/>
        </w:rPr>
        <w:t>Utility Proxy Group</w:t>
      </w:r>
      <w:r w:rsidRPr="009C389C">
        <w:rPr>
          <w:rFonts w:cs="Courier New"/>
        </w:rPr>
        <w:t>?</w:t>
      </w:r>
    </w:p>
    <w:p w14:paraId="6C8A61EE" w14:textId="77777777" w:rsidR="009A5A7C" w:rsidRDefault="009A5A7C" w:rsidP="00EE19DD">
      <w:pPr>
        <w:widowControl w:val="0"/>
        <w:ind w:left="720" w:hanging="720"/>
        <w:jc w:val="both"/>
        <w:rPr>
          <w:rFonts w:cs="Courier New"/>
        </w:rPr>
      </w:pPr>
    </w:p>
    <w:p w14:paraId="13DBDBC1" w14:textId="528D6021"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FE75A6">
        <w:rPr>
          <w:rFonts w:cs="Courier New"/>
        </w:rPr>
        <w:t xml:space="preserve">In order to select </w:t>
      </w:r>
      <w:r w:rsidR="005F4E35">
        <w:rPr>
          <w:rFonts w:cs="Courier New"/>
        </w:rPr>
        <w:t xml:space="preserve">a </w:t>
      </w:r>
      <w:r w:rsidRPr="00FE75A6">
        <w:rPr>
          <w:rFonts w:cs="Courier New"/>
        </w:rPr>
        <w:t xml:space="preserve">proxy group of domestic, non-price regulated companies similar in total risk to the </w:t>
      </w:r>
      <w:r w:rsidR="00F416CB">
        <w:rPr>
          <w:rFonts w:cs="Courier New"/>
        </w:rPr>
        <w:t>Utility Proxy Group</w:t>
      </w:r>
      <w:r w:rsidRPr="00FE75A6">
        <w:rPr>
          <w:rFonts w:cs="Courier New"/>
        </w:rPr>
        <w:t xml:space="preserve">, I relied on betas and related statistics derived from </w:t>
      </w:r>
      <w:r w:rsidRPr="00FE75A6">
        <w:rPr>
          <w:rFonts w:cs="Courier New"/>
          <w:i/>
        </w:rPr>
        <w:t>Value Line</w:t>
      </w:r>
      <w:r w:rsidRPr="00FE75A6">
        <w:rPr>
          <w:rFonts w:cs="Courier New"/>
        </w:rPr>
        <w:t xml:space="preserve"> regression analyses of weekly market prices over the most recent 260 weeks (</w:t>
      </w:r>
      <w:r w:rsidRPr="00FE75A6">
        <w:rPr>
          <w:rFonts w:cs="Courier New"/>
          <w:i/>
        </w:rPr>
        <w:t>i.e.</w:t>
      </w:r>
      <w:r w:rsidRPr="00FE75A6">
        <w:rPr>
          <w:rFonts w:cs="Courier New"/>
        </w:rPr>
        <w:t xml:space="preserve">, five years).  As shown </w:t>
      </w:r>
      <w:r w:rsidRPr="000D76C2">
        <w:rPr>
          <w:rFonts w:cs="Courier New"/>
        </w:rPr>
        <w:t xml:space="preserve">on </w:t>
      </w:r>
      <w:r w:rsidR="00CB5074" w:rsidRPr="00C55E3B">
        <w:rPr>
          <w:rFonts w:cs="Courier New"/>
        </w:rPr>
        <w:t xml:space="preserve">Document No. </w:t>
      </w:r>
      <w:r w:rsidRPr="00C55E3B">
        <w:rPr>
          <w:rFonts w:cs="Courier New"/>
        </w:rPr>
        <w:t>6</w:t>
      </w:r>
      <w:r w:rsidRPr="000D76C2">
        <w:rPr>
          <w:rFonts w:cs="Courier New"/>
        </w:rPr>
        <w:t xml:space="preserve">, these selection criteria resulted in a proxy </w:t>
      </w:r>
      <w:r w:rsidRPr="000D76C2">
        <w:rPr>
          <w:rFonts w:cs="Courier New"/>
        </w:rPr>
        <w:lastRenderedPageBreak/>
        <w:t>group of 39 domestic</w:t>
      </w:r>
      <w:r w:rsidRPr="00FE75A6">
        <w:rPr>
          <w:rFonts w:cs="Courier New"/>
        </w:rPr>
        <w:t xml:space="preserve">, non-price regulated firms comparable in total risk to the </w:t>
      </w:r>
      <w:r w:rsidR="00F416CB">
        <w:rPr>
          <w:rFonts w:cs="Courier New"/>
        </w:rPr>
        <w:t>Utility Proxy Group</w:t>
      </w:r>
      <w:r w:rsidRPr="00FE75A6">
        <w:rPr>
          <w:rFonts w:cs="Courier New"/>
        </w:rPr>
        <w:t>.  Total risk is the sum of non-diversifiable market risk and diversifiable company-specific risks.  The criteria used in selecting the domestic, non-price regulated firms w</w:t>
      </w:r>
      <w:r w:rsidR="00126AEF">
        <w:rPr>
          <w:rFonts w:cs="Courier New"/>
        </w:rPr>
        <w:t>ere</w:t>
      </w:r>
      <w:r w:rsidRPr="00FE75A6">
        <w:rPr>
          <w:rFonts w:cs="Courier New"/>
        </w:rPr>
        <w:t>:</w:t>
      </w:r>
    </w:p>
    <w:p w14:paraId="58E3D11A" w14:textId="75309901" w:rsidR="009A5A7C" w:rsidRDefault="009A5A7C" w:rsidP="000F52F7">
      <w:pPr>
        <w:pStyle w:val="StyleListParagraphJustified"/>
        <w:widowControl w:val="0"/>
        <w:numPr>
          <w:ilvl w:val="0"/>
          <w:numId w:val="7"/>
        </w:numPr>
        <w:tabs>
          <w:tab w:val="left" w:pos="9180"/>
        </w:tabs>
        <w:ind w:left="1080" w:right="180"/>
      </w:pPr>
      <w:r w:rsidRPr="00282AAE">
        <w:t xml:space="preserve">They must be covered by </w:t>
      </w:r>
      <w:r w:rsidRPr="00282AAE">
        <w:rPr>
          <w:i/>
        </w:rPr>
        <w:t>Value Line</w:t>
      </w:r>
      <w:r w:rsidRPr="00282AAE">
        <w:t xml:space="preserve"> (Standard Edition);</w:t>
      </w:r>
    </w:p>
    <w:p w14:paraId="646AAE4D" w14:textId="1D5641D6" w:rsidR="009A5A7C" w:rsidRDefault="009A5A7C" w:rsidP="000F52F7">
      <w:pPr>
        <w:pStyle w:val="StyleListParagraphJustified"/>
        <w:widowControl w:val="0"/>
        <w:numPr>
          <w:ilvl w:val="0"/>
          <w:numId w:val="7"/>
        </w:numPr>
        <w:tabs>
          <w:tab w:val="left" w:pos="9180"/>
        </w:tabs>
        <w:ind w:left="1080" w:right="180"/>
      </w:pPr>
      <w:r w:rsidRPr="00A86D81">
        <w:t xml:space="preserve">They must be domestic, non-price regulated companies, </w:t>
      </w:r>
      <w:r w:rsidRPr="00A86D81">
        <w:rPr>
          <w:i/>
        </w:rPr>
        <w:t>i.e.</w:t>
      </w:r>
      <w:r w:rsidRPr="00A86D81">
        <w:t>, not utilities</w:t>
      </w:r>
      <w:r>
        <w:t>;</w:t>
      </w:r>
    </w:p>
    <w:p w14:paraId="11286179" w14:textId="5E07B552" w:rsidR="009A5A7C" w:rsidRDefault="009A5A7C" w:rsidP="000F52F7">
      <w:pPr>
        <w:pStyle w:val="StyleListParagraphJustified"/>
        <w:widowControl w:val="0"/>
        <w:numPr>
          <w:ilvl w:val="0"/>
          <w:numId w:val="7"/>
        </w:numPr>
        <w:tabs>
          <w:tab w:val="left" w:pos="9180"/>
        </w:tabs>
        <w:ind w:left="1080" w:right="180"/>
      </w:pPr>
      <w:r w:rsidRPr="001C0892">
        <w:t xml:space="preserve">Their unadjusted betas must lie within plus or minus two standard deviations of the average unadjusted beta of the </w:t>
      </w:r>
      <w:r w:rsidR="00F416CB">
        <w:t>Utility Proxy Group</w:t>
      </w:r>
      <w:r w:rsidRPr="001C0892">
        <w:t>;</w:t>
      </w:r>
      <w:r>
        <w:t xml:space="preserve"> and</w:t>
      </w:r>
    </w:p>
    <w:p w14:paraId="5270BBC4" w14:textId="68C3ECF1" w:rsidR="009A5A7C" w:rsidRDefault="009A5A7C" w:rsidP="000F52F7">
      <w:pPr>
        <w:pStyle w:val="StyleListParagraphJustified"/>
        <w:widowControl w:val="0"/>
        <w:numPr>
          <w:ilvl w:val="0"/>
          <w:numId w:val="7"/>
        </w:numPr>
        <w:tabs>
          <w:tab w:val="left" w:pos="9180"/>
        </w:tabs>
        <w:ind w:left="1080" w:right="180"/>
      </w:pPr>
      <w:r w:rsidRPr="00FF50DB">
        <w:t xml:space="preserve">The residual standard errors of the </w:t>
      </w:r>
      <w:r w:rsidRPr="00FF50DB">
        <w:rPr>
          <w:i/>
        </w:rPr>
        <w:t>Value Line</w:t>
      </w:r>
      <w:r w:rsidRPr="00FF50DB">
        <w:t xml:space="preserve"> regressions</w:t>
      </w:r>
      <w:r w:rsidR="00434DDB">
        <w:t>,</w:t>
      </w:r>
      <w:r w:rsidRPr="00FF50DB">
        <w:t xml:space="preserve"> which gave rise to the unadjusted betas</w:t>
      </w:r>
      <w:r w:rsidR="00434DDB">
        <w:t>,</w:t>
      </w:r>
      <w:r w:rsidRPr="00FF50DB">
        <w:t xml:space="preserve"> must lie within plus or minus two standard deviations of the average residual standard error of the </w:t>
      </w:r>
      <w:r w:rsidR="00F416CB">
        <w:t>Utility Proxy Group</w:t>
      </w:r>
      <w:r>
        <w:t>.</w:t>
      </w:r>
    </w:p>
    <w:p w14:paraId="40C471DC" w14:textId="11857491" w:rsidR="009A5A7C" w:rsidRDefault="009A5A7C" w:rsidP="00EE19DD">
      <w:pPr>
        <w:widowControl w:val="0"/>
        <w:ind w:left="720" w:hanging="720"/>
        <w:jc w:val="both"/>
        <w:rPr>
          <w:rFonts w:cs="Courier New"/>
        </w:rPr>
      </w:pPr>
    </w:p>
    <w:p w14:paraId="47D5ABED" w14:textId="023FECD5" w:rsidR="009A5A7C" w:rsidRDefault="009A5A7C" w:rsidP="00EE19DD">
      <w:pPr>
        <w:widowControl w:val="0"/>
        <w:ind w:left="720" w:hanging="720"/>
        <w:jc w:val="both"/>
        <w:rPr>
          <w:rFonts w:cs="Courier New"/>
        </w:rPr>
      </w:pPr>
      <w:r>
        <w:rPr>
          <w:rFonts w:cs="Courier New"/>
        </w:rPr>
        <w:tab/>
      </w:r>
      <w:r w:rsidRPr="00FC2DA2">
        <w:rPr>
          <w:rFonts w:cs="Courier New"/>
        </w:rPr>
        <w:t xml:space="preserve">Betas measure market, or systematic, risk, which is not diversifiable.  The residual standard errors of the regressions measure each firm’s company-specific, diversifiable risk.  Companies that have similar betas </w:t>
      </w:r>
      <w:r w:rsidRPr="00FC2DA2">
        <w:rPr>
          <w:rFonts w:cs="Courier New"/>
          <w:u w:val="single"/>
        </w:rPr>
        <w:t>and</w:t>
      </w:r>
      <w:r w:rsidRPr="00FC2DA2">
        <w:rPr>
          <w:rFonts w:cs="Courier New"/>
        </w:rPr>
        <w:t xml:space="preserve"> similar residual standard errors resulting from the same regression analyses have similar total investment risk.</w:t>
      </w:r>
    </w:p>
    <w:p w14:paraId="696D4F63" w14:textId="77777777" w:rsidR="00FC535B" w:rsidRDefault="00FC535B" w:rsidP="00EE19DD">
      <w:pPr>
        <w:widowControl w:val="0"/>
        <w:ind w:left="720" w:hanging="720"/>
        <w:jc w:val="both"/>
        <w:rPr>
          <w:rFonts w:cs="Courier New"/>
        </w:rPr>
      </w:pPr>
    </w:p>
    <w:p w14:paraId="13C74C41" w14:textId="07FF4B4C"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7629B5">
        <w:rPr>
          <w:rFonts w:cs="Courier New"/>
        </w:rPr>
        <w:t xml:space="preserve">Did you calculate </w:t>
      </w:r>
      <w:r w:rsidR="005F4E35">
        <w:rPr>
          <w:rFonts w:cs="Courier New"/>
        </w:rPr>
        <w:t xml:space="preserve">the </w:t>
      </w:r>
      <w:r w:rsidRPr="007629B5">
        <w:rPr>
          <w:rFonts w:cs="Courier New"/>
        </w:rPr>
        <w:t xml:space="preserve">common equity cost rate using the DCF </w:t>
      </w:r>
      <w:r w:rsidRPr="007629B5">
        <w:rPr>
          <w:rFonts w:cs="Courier New"/>
        </w:rPr>
        <w:lastRenderedPageBreak/>
        <w:t>model, the RPM, and the CAPM for the Non-Price Regulated Proxy Group?</w:t>
      </w:r>
    </w:p>
    <w:p w14:paraId="5FC5248A" w14:textId="77777777" w:rsidR="009A5A7C" w:rsidRDefault="009A5A7C" w:rsidP="00EE19DD">
      <w:pPr>
        <w:widowControl w:val="0"/>
        <w:ind w:left="720" w:hanging="720"/>
        <w:jc w:val="both"/>
        <w:rPr>
          <w:rFonts w:cs="Courier New"/>
        </w:rPr>
      </w:pPr>
    </w:p>
    <w:p w14:paraId="37D2B147" w14:textId="4B907F54"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DC424D">
        <w:rPr>
          <w:rFonts w:cs="Courier New"/>
        </w:rPr>
        <w:t>Yes.  Because the DCF model, RPM, and CAPM have been applied in an identical manner as described above, I will not repeat the details of the rationale and application of each model.  One exception is in the application of the RPM, where I did not use public utility-specific equity risk premiums because these risk premiums are derived from utility</w:t>
      </w:r>
      <w:r w:rsidR="00691F45">
        <w:rPr>
          <w:rFonts w:cs="Courier New"/>
        </w:rPr>
        <w:t>-</w:t>
      </w:r>
      <w:r w:rsidRPr="00DC424D">
        <w:rPr>
          <w:rFonts w:cs="Courier New"/>
        </w:rPr>
        <w:t xml:space="preserve">specific returns and thus, are not applicable to non-price regulated companies. </w:t>
      </w:r>
      <w:r w:rsidR="00691F45">
        <w:rPr>
          <w:rFonts w:cs="Courier New"/>
        </w:rPr>
        <w:t xml:space="preserve"> </w:t>
      </w:r>
      <w:r w:rsidRPr="00DC424D">
        <w:rPr>
          <w:rFonts w:cs="Courier New"/>
        </w:rPr>
        <w:t>Additionally, I did not apply the PRPM to the individual non-price regulated companies due to a lack of available data necessary to complete the analysis</w:t>
      </w:r>
      <w:r>
        <w:rPr>
          <w:rFonts w:cs="Courier New"/>
        </w:rPr>
        <w:t>.</w:t>
      </w:r>
    </w:p>
    <w:p w14:paraId="26D2E62A" w14:textId="77777777" w:rsidR="009A5A7C" w:rsidRPr="00DC424D" w:rsidRDefault="009A5A7C" w:rsidP="00EE19DD">
      <w:pPr>
        <w:widowControl w:val="0"/>
        <w:ind w:left="720" w:hanging="720"/>
        <w:jc w:val="both"/>
        <w:rPr>
          <w:rFonts w:cs="Courier New"/>
        </w:rPr>
      </w:pPr>
    </w:p>
    <w:p w14:paraId="28E7D559" w14:textId="3F65D7CE" w:rsidR="009A5A7C" w:rsidRPr="00C5147A" w:rsidRDefault="009A5A7C" w:rsidP="00EE19DD">
      <w:pPr>
        <w:widowControl w:val="0"/>
        <w:ind w:left="720" w:hanging="720"/>
        <w:jc w:val="both"/>
        <w:rPr>
          <w:rFonts w:cs="Courier New"/>
        </w:rPr>
      </w:pPr>
      <w:r>
        <w:rPr>
          <w:rFonts w:cs="Courier New"/>
        </w:rPr>
        <w:tab/>
      </w:r>
      <w:r w:rsidRPr="00DC424D">
        <w:rPr>
          <w:rFonts w:cs="Courier New"/>
        </w:rPr>
        <w:t xml:space="preserve">Page 2 </w:t>
      </w:r>
      <w:r w:rsidRPr="00C5147A">
        <w:rPr>
          <w:rFonts w:cs="Courier New"/>
        </w:rPr>
        <w:t xml:space="preserve">of </w:t>
      </w:r>
      <w:r w:rsidR="00E15F3E" w:rsidRPr="00C55E3B">
        <w:rPr>
          <w:rFonts w:cs="Courier New"/>
        </w:rPr>
        <w:t xml:space="preserve">Document No. </w:t>
      </w:r>
      <w:r w:rsidRPr="00C55E3B">
        <w:rPr>
          <w:rFonts w:cs="Courier New"/>
        </w:rPr>
        <w:t>7</w:t>
      </w:r>
      <w:r w:rsidRPr="00C5147A">
        <w:rPr>
          <w:rFonts w:cs="Courier New"/>
        </w:rPr>
        <w:t xml:space="preserve"> derives the constant growth DCF model common equity cost rate.  As shown, the indicated common equity cost rate, using the constant growth DCF for the Non-Price Regulated Proxy Group comparable in total risk to the </w:t>
      </w:r>
      <w:r w:rsidR="00F416CB">
        <w:rPr>
          <w:rFonts w:cs="Courier New"/>
        </w:rPr>
        <w:t>Utility Proxy Group</w:t>
      </w:r>
      <w:r w:rsidRPr="00C5147A">
        <w:rPr>
          <w:rFonts w:cs="Courier New"/>
        </w:rPr>
        <w:t>, is</w:t>
      </w:r>
      <w:r w:rsidRPr="00C5147A">
        <w:rPr>
          <w:rFonts w:cs="Courier New"/>
          <w:lang w:bidi="en-US"/>
        </w:rPr>
        <w:t xml:space="preserve"> </w:t>
      </w:r>
      <w:r w:rsidRPr="00C55E3B">
        <w:rPr>
          <w:rFonts w:cs="Courier New"/>
          <w:lang w:bidi="en-US"/>
        </w:rPr>
        <w:t>11.</w:t>
      </w:r>
      <w:r w:rsidR="00A5293F" w:rsidRPr="00C5147A">
        <w:rPr>
          <w:rFonts w:cs="Courier New"/>
          <w:lang w:bidi="en-US"/>
        </w:rPr>
        <w:t xml:space="preserve">57 </w:t>
      </w:r>
      <w:r w:rsidR="008E4AD0" w:rsidRPr="00C5147A">
        <w:rPr>
          <w:rFonts w:cs="Courier New"/>
          <w:lang w:bidi="en-US"/>
        </w:rPr>
        <w:t>percent</w:t>
      </w:r>
      <w:r w:rsidRPr="00C5147A">
        <w:rPr>
          <w:rFonts w:cs="Courier New"/>
        </w:rPr>
        <w:t>.</w:t>
      </w:r>
    </w:p>
    <w:p w14:paraId="7DB8A70F" w14:textId="77777777" w:rsidR="009A5A7C" w:rsidRPr="00C5147A" w:rsidRDefault="009A5A7C" w:rsidP="00EE19DD">
      <w:pPr>
        <w:widowControl w:val="0"/>
        <w:ind w:left="720" w:hanging="720"/>
        <w:jc w:val="both"/>
        <w:rPr>
          <w:rFonts w:cs="Courier New"/>
        </w:rPr>
      </w:pPr>
    </w:p>
    <w:p w14:paraId="5E65872F" w14:textId="50B83444" w:rsidR="009A5A7C" w:rsidRDefault="009A5A7C" w:rsidP="00EE19DD">
      <w:pPr>
        <w:widowControl w:val="0"/>
        <w:ind w:left="720" w:hanging="720"/>
        <w:jc w:val="both"/>
        <w:rPr>
          <w:rFonts w:cs="Courier New"/>
        </w:rPr>
      </w:pPr>
      <w:r w:rsidRPr="00C5147A">
        <w:rPr>
          <w:rFonts w:cs="Courier New"/>
        </w:rPr>
        <w:tab/>
        <w:t xml:space="preserve">Pages </w:t>
      </w:r>
      <w:r w:rsidR="00181F62" w:rsidRPr="00C5147A">
        <w:rPr>
          <w:rFonts w:cs="Courier New"/>
        </w:rPr>
        <w:t>3</w:t>
      </w:r>
      <w:r w:rsidRPr="00C5147A">
        <w:rPr>
          <w:rFonts w:cs="Courier New"/>
        </w:rPr>
        <w:t xml:space="preserve"> through </w:t>
      </w:r>
      <w:r w:rsidR="00181F62" w:rsidRPr="00C5147A">
        <w:rPr>
          <w:rFonts w:cs="Courier New"/>
        </w:rPr>
        <w:t>5</w:t>
      </w:r>
      <w:r w:rsidRPr="00C5147A">
        <w:rPr>
          <w:rFonts w:cs="Courier New"/>
        </w:rPr>
        <w:t xml:space="preserve"> of </w:t>
      </w:r>
      <w:r w:rsidR="004A7836" w:rsidRPr="00C55E3B">
        <w:rPr>
          <w:rFonts w:cs="Courier New"/>
        </w:rPr>
        <w:t xml:space="preserve">Document No. </w:t>
      </w:r>
      <w:r w:rsidRPr="00C55E3B">
        <w:rPr>
          <w:rFonts w:cs="Courier New"/>
        </w:rPr>
        <w:t>7</w:t>
      </w:r>
      <w:r w:rsidRPr="00C5147A">
        <w:rPr>
          <w:rFonts w:cs="Courier New"/>
        </w:rPr>
        <w:t xml:space="preserve"> contain the data and calculations that support the </w:t>
      </w:r>
      <w:r w:rsidRPr="00C55E3B">
        <w:rPr>
          <w:rFonts w:cs="Courier New"/>
          <w:lang w:bidi="en-US"/>
        </w:rPr>
        <w:t>13.</w:t>
      </w:r>
      <w:r w:rsidR="00C5147A" w:rsidRPr="00C5147A">
        <w:rPr>
          <w:rFonts w:cs="Courier New"/>
          <w:lang w:bidi="en-US"/>
        </w:rPr>
        <w:t xml:space="preserve">30 </w:t>
      </w:r>
      <w:r w:rsidR="00545216" w:rsidRPr="00C5147A">
        <w:rPr>
          <w:rFonts w:cs="Courier New"/>
          <w:lang w:bidi="en-US"/>
        </w:rPr>
        <w:t>percent</w:t>
      </w:r>
      <w:r w:rsidRPr="00C5147A">
        <w:rPr>
          <w:rFonts w:cs="Courier New"/>
          <w:lang w:bidi="en-US"/>
        </w:rPr>
        <w:t xml:space="preserve"> </w:t>
      </w:r>
      <w:r w:rsidRPr="00C5147A">
        <w:rPr>
          <w:rFonts w:cs="Courier New"/>
        </w:rPr>
        <w:t xml:space="preserve">RPM common equity cost rates.  As shown on line 1, page </w:t>
      </w:r>
      <w:r w:rsidR="00F0230B" w:rsidRPr="00C5147A">
        <w:rPr>
          <w:rFonts w:cs="Courier New"/>
        </w:rPr>
        <w:t>3</w:t>
      </w:r>
      <w:r w:rsidRPr="00C5147A">
        <w:rPr>
          <w:rFonts w:cs="Courier New"/>
        </w:rPr>
        <w:t xml:space="preserve"> of </w:t>
      </w:r>
      <w:r w:rsidR="00545216" w:rsidRPr="00C55E3B">
        <w:rPr>
          <w:rFonts w:cs="Courier New"/>
        </w:rPr>
        <w:t xml:space="preserve">Document No. </w:t>
      </w:r>
      <w:r w:rsidRPr="00C55E3B">
        <w:rPr>
          <w:rFonts w:cs="Courier New"/>
        </w:rPr>
        <w:t>7</w:t>
      </w:r>
      <w:r w:rsidRPr="00C5147A">
        <w:rPr>
          <w:rFonts w:cs="Courier New"/>
        </w:rPr>
        <w:t xml:space="preserve">, the consensus prospective yield on Moody’s Baa2-rated corporate bonds for the six quarters ending in the </w:t>
      </w:r>
      <w:r w:rsidRPr="00C55E3B">
        <w:rPr>
          <w:rFonts w:cs="Courier New"/>
        </w:rPr>
        <w:t xml:space="preserve">first </w:t>
      </w:r>
      <w:r w:rsidRPr="00C55E3B">
        <w:rPr>
          <w:rFonts w:cs="Courier New"/>
        </w:rPr>
        <w:lastRenderedPageBreak/>
        <w:t>quarter of 2024</w:t>
      </w:r>
      <w:r w:rsidRPr="00C5147A">
        <w:rPr>
          <w:rFonts w:cs="Courier New"/>
        </w:rPr>
        <w:t xml:space="preserve">, and for the years </w:t>
      </w:r>
      <w:r w:rsidRPr="00C55E3B">
        <w:rPr>
          <w:rFonts w:cs="Courier New"/>
        </w:rPr>
        <w:t>2024 to 2028 and 2029 to 2033</w:t>
      </w:r>
      <w:r w:rsidRPr="00C5147A">
        <w:rPr>
          <w:rFonts w:cs="Courier New"/>
        </w:rPr>
        <w:t xml:space="preserve">, is </w:t>
      </w:r>
      <w:r w:rsidRPr="00C55E3B">
        <w:rPr>
          <w:rFonts w:cs="Courier New"/>
        </w:rPr>
        <w:t>6.</w:t>
      </w:r>
      <w:r w:rsidR="00C5147A" w:rsidRPr="00C5147A">
        <w:rPr>
          <w:rFonts w:cs="Courier New"/>
        </w:rPr>
        <w:t>05</w:t>
      </w:r>
      <w:r w:rsidR="00C5147A" w:rsidRPr="00C5147A">
        <w:rPr>
          <w:rFonts w:cs="Courier New"/>
          <w:lang w:bidi="en-US"/>
        </w:rPr>
        <w:t xml:space="preserve"> </w:t>
      </w:r>
      <w:r w:rsidR="00545216" w:rsidRPr="00C5147A">
        <w:rPr>
          <w:rFonts w:cs="Courier New"/>
          <w:lang w:bidi="en-US"/>
        </w:rPr>
        <w:t>percent</w:t>
      </w:r>
      <w:r w:rsidRPr="00C5147A">
        <w:rPr>
          <w:rFonts w:cs="Courier New"/>
        </w:rPr>
        <w:t>.</w:t>
      </w:r>
      <w:r w:rsidRPr="00C5147A">
        <w:rPr>
          <w:rStyle w:val="EndnoteReference"/>
          <w:rFonts w:cs="Courier New"/>
        </w:rPr>
        <w:endnoteReference w:id="32"/>
      </w:r>
      <w:r w:rsidRPr="00C5147A">
        <w:rPr>
          <w:rFonts w:cs="Courier New"/>
        </w:rPr>
        <w:t xml:space="preserve">  Since the Non-Price Regulated Proxy Group has an average Moody’s long-term issuer rating of Baa1, a downward adjustment of </w:t>
      </w:r>
      <w:r w:rsidRPr="00C55E3B">
        <w:rPr>
          <w:rFonts w:cs="Courier New"/>
        </w:rPr>
        <w:t>0.17</w:t>
      </w:r>
      <w:r w:rsidR="00774A99" w:rsidRPr="00C5147A">
        <w:rPr>
          <w:rFonts w:cs="Courier New"/>
        </w:rPr>
        <w:t xml:space="preserve"> percent</w:t>
      </w:r>
      <w:r w:rsidRPr="00C5147A">
        <w:rPr>
          <w:rFonts w:cs="Courier New"/>
        </w:rPr>
        <w:t xml:space="preserve"> to the projected Baa2-rated corporate bond yield is necessary</w:t>
      </w:r>
      <w:r w:rsidRPr="00AF7D12">
        <w:rPr>
          <w:rFonts w:cs="Courier New"/>
        </w:rPr>
        <w:t xml:space="preserve"> to reflect a difference in ratings which results in a projected Baa1-rated corporate bond yield of </w:t>
      </w:r>
      <w:r w:rsidR="00C5147A">
        <w:rPr>
          <w:rFonts w:cs="Courier New"/>
        </w:rPr>
        <w:t>5.88</w:t>
      </w:r>
      <w:r w:rsidR="00044BA0">
        <w:rPr>
          <w:rFonts w:cs="Courier New"/>
        </w:rPr>
        <w:t xml:space="preserve"> percent</w:t>
      </w:r>
      <w:r w:rsidRPr="00AF7D12">
        <w:rPr>
          <w:rFonts w:cs="Courier New"/>
        </w:rPr>
        <w:t>.</w:t>
      </w:r>
    </w:p>
    <w:p w14:paraId="45B9F3DD" w14:textId="77777777" w:rsidR="008C7AE2" w:rsidRDefault="008C7AE2" w:rsidP="00EE19DD">
      <w:pPr>
        <w:widowControl w:val="0"/>
        <w:ind w:left="720" w:hanging="720"/>
        <w:jc w:val="both"/>
        <w:rPr>
          <w:rFonts w:cs="Courier New"/>
        </w:rPr>
      </w:pPr>
    </w:p>
    <w:p w14:paraId="032ACF4D" w14:textId="02E8B3D8" w:rsidR="009A5A7C" w:rsidRDefault="009A5A7C" w:rsidP="00EE19DD">
      <w:pPr>
        <w:widowControl w:val="0"/>
        <w:ind w:left="720" w:hanging="720"/>
        <w:jc w:val="both"/>
        <w:rPr>
          <w:rFonts w:cs="Courier New"/>
          <w:lang w:bidi="en-US"/>
        </w:rPr>
      </w:pPr>
      <w:r>
        <w:rPr>
          <w:rFonts w:cs="Courier New"/>
        </w:rPr>
        <w:tab/>
      </w:r>
      <w:r w:rsidRPr="00C5147A">
        <w:rPr>
          <w:rFonts w:cs="Courier New"/>
        </w:rPr>
        <w:t xml:space="preserve">When beta-adjusted risk premiums of </w:t>
      </w:r>
      <w:r w:rsidRPr="00C55E3B">
        <w:rPr>
          <w:rFonts w:cs="Courier New"/>
          <w:lang w:bidi="en-US"/>
        </w:rPr>
        <w:t>7.</w:t>
      </w:r>
      <w:r w:rsidR="00C5147A" w:rsidRPr="00C55E3B">
        <w:rPr>
          <w:rFonts w:cs="Courier New"/>
          <w:lang w:bidi="en-US"/>
        </w:rPr>
        <w:t>4</w:t>
      </w:r>
      <w:r w:rsidR="00C5147A" w:rsidRPr="00C5147A">
        <w:rPr>
          <w:rFonts w:cs="Courier New"/>
          <w:lang w:bidi="en-US"/>
        </w:rPr>
        <w:t xml:space="preserve">2 </w:t>
      </w:r>
      <w:r w:rsidR="00B61941" w:rsidRPr="00C5147A">
        <w:rPr>
          <w:rFonts w:cs="Courier New"/>
          <w:lang w:bidi="en-US"/>
        </w:rPr>
        <w:t xml:space="preserve">percent (as derived on page </w:t>
      </w:r>
      <w:r w:rsidR="00F0230B" w:rsidRPr="00C5147A">
        <w:rPr>
          <w:rFonts w:cs="Courier New"/>
          <w:lang w:bidi="en-US"/>
        </w:rPr>
        <w:t>5</w:t>
      </w:r>
      <w:r w:rsidR="00B61941" w:rsidRPr="00C5147A">
        <w:rPr>
          <w:rFonts w:cs="Courier New"/>
          <w:lang w:bidi="en-US"/>
        </w:rPr>
        <w:t xml:space="preserve"> of </w:t>
      </w:r>
      <w:r w:rsidR="00B61941" w:rsidRPr="00C55E3B">
        <w:rPr>
          <w:rFonts w:cs="Courier New"/>
          <w:lang w:bidi="en-US"/>
        </w:rPr>
        <w:t xml:space="preserve">Document No. </w:t>
      </w:r>
      <w:r w:rsidR="006A3E9D" w:rsidRPr="00C55E3B">
        <w:rPr>
          <w:rFonts w:cs="Courier New"/>
          <w:lang w:bidi="en-US"/>
        </w:rPr>
        <w:t>7</w:t>
      </w:r>
      <w:r w:rsidR="00B61941" w:rsidRPr="00C5147A">
        <w:rPr>
          <w:rFonts w:cs="Courier New"/>
          <w:lang w:bidi="en-US"/>
        </w:rPr>
        <w:t>)</w:t>
      </w:r>
      <w:r w:rsidRPr="00C5147A">
        <w:rPr>
          <w:rFonts w:cs="Courier New"/>
          <w:lang w:bidi="en-US"/>
        </w:rPr>
        <w:t xml:space="preserve"> relative to the Non-Price Regulated Proxy Group is added to the adjusted prospective Baa1 bond yield of </w:t>
      </w:r>
      <w:r w:rsidR="00C5147A" w:rsidRPr="00C5147A">
        <w:rPr>
          <w:rFonts w:cs="Courier New"/>
          <w:lang w:bidi="en-US"/>
        </w:rPr>
        <w:t>5.88</w:t>
      </w:r>
      <w:r w:rsidR="00562628" w:rsidRPr="00C5147A">
        <w:rPr>
          <w:rFonts w:cs="Courier New"/>
          <w:lang w:bidi="en-US"/>
        </w:rPr>
        <w:t xml:space="preserve"> percent</w:t>
      </w:r>
      <w:r w:rsidRPr="00C5147A">
        <w:rPr>
          <w:rFonts w:cs="Courier New"/>
          <w:lang w:bidi="en-US"/>
        </w:rPr>
        <w:t xml:space="preserve">, the indicated RPM common equity cost rate is </w:t>
      </w:r>
      <w:r w:rsidR="00C5147A" w:rsidRPr="00C5147A">
        <w:rPr>
          <w:rFonts w:cs="Courier New"/>
          <w:lang w:bidi="en-US"/>
        </w:rPr>
        <w:t>13.30</w:t>
      </w:r>
      <w:r w:rsidR="00562628" w:rsidRPr="00C5147A">
        <w:rPr>
          <w:rFonts w:cs="Courier New"/>
          <w:lang w:bidi="en-US"/>
        </w:rPr>
        <w:t xml:space="preserve"> percent</w:t>
      </w:r>
      <w:r w:rsidRPr="00C5147A">
        <w:rPr>
          <w:rFonts w:cs="Courier New"/>
          <w:lang w:bidi="en-US"/>
        </w:rPr>
        <w:t>.</w:t>
      </w:r>
    </w:p>
    <w:p w14:paraId="317E93DC" w14:textId="77777777" w:rsidR="009A5A7C" w:rsidRPr="00535639" w:rsidRDefault="009A5A7C" w:rsidP="00EE19DD">
      <w:pPr>
        <w:widowControl w:val="0"/>
        <w:ind w:left="720" w:hanging="720"/>
        <w:jc w:val="both"/>
        <w:rPr>
          <w:rFonts w:cs="Courier New"/>
          <w:lang w:bidi="en-US"/>
        </w:rPr>
      </w:pPr>
    </w:p>
    <w:p w14:paraId="2917B48D" w14:textId="10D509AC" w:rsidR="009A5A7C" w:rsidRPr="00814AE8" w:rsidRDefault="009A5A7C" w:rsidP="00656D9B">
      <w:pPr>
        <w:ind w:left="720" w:hanging="720"/>
        <w:jc w:val="both"/>
        <w:rPr>
          <w:rFonts w:cs="Courier New"/>
        </w:rPr>
      </w:pPr>
      <w:r>
        <w:rPr>
          <w:rFonts w:cs="Courier New"/>
          <w:lang w:bidi="en-US"/>
        </w:rPr>
        <w:tab/>
      </w:r>
      <w:r w:rsidRPr="00535639">
        <w:rPr>
          <w:rFonts w:cs="Courier New"/>
          <w:lang w:bidi="en-US"/>
        </w:rPr>
        <w:t xml:space="preserve">Page </w:t>
      </w:r>
      <w:r w:rsidR="00F0230B" w:rsidRPr="00814AE8">
        <w:rPr>
          <w:rFonts w:cs="Courier New"/>
          <w:lang w:bidi="en-US"/>
        </w:rPr>
        <w:t>6</w:t>
      </w:r>
      <w:r w:rsidRPr="00814AE8">
        <w:rPr>
          <w:rFonts w:cs="Courier New"/>
          <w:lang w:bidi="en-US"/>
        </w:rPr>
        <w:t xml:space="preserve"> of </w:t>
      </w:r>
      <w:r w:rsidR="00562628" w:rsidRPr="00C55E3B">
        <w:rPr>
          <w:rFonts w:cs="Courier New"/>
          <w:lang w:bidi="en-US"/>
        </w:rPr>
        <w:t xml:space="preserve">Document No. </w:t>
      </w:r>
      <w:r w:rsidRPr="00C55E3B">
        <w:rPr>
          <w:rFonts w:cs="Courier New"/>
          <w:lang w:bidi="en-US"/>
        </w:rPr>
        <w:t>7</w:t>
      </w:r>
      <w:r w:rsidRPr="00814AE8">
        <w:rPr>
          <w:rFonts w:cs="Courier New"/>
          <w:lang w:bidi="en-US"/>
        </w:rPr>
        <w:t xml:space="preserve"> contains the inputs and calculations that support my indicated CAPM/ECAPM common equity cost rates of </w:t>
      </w:r>
      <w:r w:rsidRPr="00C55E3B">
        <w:rPr>
          <w:rFonts w:cs="Courier New"/>
          <w:lang w:bidi="en-US"/>
        </w:rPr>
        <w:t>12.</w:t>
      </w:r>
      <w:r w:rsidR="00814AE8" w:rsidRPr="00814AE8">
        <w:rPr>
          <w:rFonts w:cs="Courier New"/>
          <w:lang w:bidi="en-US"/>
        </w:rPr>
        <w:t xml:space="preserve">32 </w:t>
      </w:r>
      <w:r w:rsidR="008D1CCD" w:rsidRPr="00814AE8">
        <w:rPr>
          <w:rFonts w:cs="Courier New"/>
          <w:lang w:bidi="en-US"/>
        </w:rPr>
        <w:t>percent</w:t>
      </w:r>
      <w:r w:rsidRPr="00814AE8">
        <w:rPr>
          <w:rFonts w:cs="Courier New"/>
          <w:lang w:bidi="en-US"/>
        </w:rPr>
        <w:t>.</w:t>
      </w:r>
    </w:p>
    <w:p w14:paraId="0D7646B7" w14:textId="77777777" w:rsidR="009A5A7C" w:rsidRPr="00814AE8" w:rsidRDefault="009A5A7C" w:rsidP="00EE19DD">
      <w:pPr>
        <w:widowControl w:val="0"/>
        <w:ind w:left="720" w:hanging="720"/>
        <w:jc w:val="both"/>
        <w:rPr>
          <w:rFonts w:cs="Courier New"/>
        </w:rPr>
      </w:pPr>
    </w:p>
    <w:p w14:paraId="0D838485" w14:textId="57684140" w:rsidR="009A5A7C" w:rsidRPr="00814AE8" w:rsidRDefault="009A5A7C" w:rsidP="00EE19DD">
      <w:pPr>
        <w:widowControl w:val="0"/>
        <w:ind w:left="720" w:hanging="720"/>
        <w:jc w:val="both"/>
        <w:rPr>
          <w:rFonts w:cs="Courier New"/>
        </w:rPr>
      </w:pPr>
      <w:r w:rsidRPr="00814AE8">
        <w:rPr>
          <w:rFonts w:cs="Courier New"/>
          <w:b/>
        </w:rPr>
        <w:t>Q.</w:t>
      </w:r>
      <w:r w:rsidRPr="00814AE8">
        <w:rPr>
          <w:rFonts w:cs="Courier New"/>
        </w:rPr>
        <w:tab/>
        <w:t xml:space="preserve">What is the cost rate of common equity based on the Non-Price Regulated Proxy Group comparable in total risk to the </w:t>
      </w:r>
      <w:r w:rsidR="00F416CB">
        <w:rPr>
          <w:rFonts w:cs="Courier New"/>
        </w:rPr>
        <w:t>Utility Proxy Group</w:t>
      </w:r>
      <w:r w:rsidRPr="00814AE8">
        <w:rPr>
          <w:rFonts w:cs="Courier New"/>
        </w:rPr>
        <w:t>?</w:t>
      </w:r>
    </w:p>
    <w:p w14:paraId="097F91F9" w14:textId="77777777" w:rsidR="009A5A7C" w:rsidRPr="00814AE8" w:rsidRDefault="009A5A7C" w:rsidP="00EE19DD">
      <w:pPr>
        <w:widowControl w:val="0"/>
        <w:ind w:left="720" w:hanging="720"/>
        <w:jc w:val="both"/>
        <w:rPr>
          <w:rFonts w:cs="Courier New"/>
        </w:rPr>
      </w:pPr>
    </w:p>
    <w:p w14:paraId="7E0FC503" w14:textId="559C1F19" w:rsidR="009A5A7C" w:rsidRDefault="009A5A7C" w:rsidP="00EE19DD">
      <w:pPr>
        <w:widowControl w:val="0"/>
        <w:ind w:left="720" w:hanging="720"/>
        <w:jc w:val="both"/>
        <w:rPr>
          <w:rFonts w:cs="Courier New"/>
        </w:rPr>
      </w:pPr>
      <w:r w:rsidRPr="00814AE8">
        <w:rPr>
          <w:rFonts w:cs="Courier New"/>
          <w:b/>
        </w:rPr>
        <w:t>A.</w:t>
      </w:r>
      <w:r w:rsidRPr="00814AE8">
        <w:rPr>
          <w:rFonts w:cs="Courier New"/>
        </w:rPr>
        <w:tab/>
        <w:t xml:space="preserve">As shown on page 1 of </w:t>
      </w:r>
      <w:r w:rsidR="00BB0981" w:rsidRPr="00C55E3B">
        <w:rPr>
          <w:rFonts w:cs="Courier New"/>
        </w:rPr>
        <w:t xml:space="preserve">Document No. </w:t>
      </w:r>
      <w:r w:rsidRPr="00C55E3B">
        <w:rPr>
          <w:rFonts w:cs="Courier New"/>
        </w:rPr>
        <w:t>7</w:t>
      </w:r>
      <w:r w:rsidRPr="00814AE8">
        <w:rPr>
          <w:rFonts w:cs="Courier New"/>
        </w:rPr>
        <w:t>, the results of the common equity models applied to the Non</w:t>
      </w:r>
      <w:r w:rsidRPr="001333E1">
        <w:rPr>
          <w:rFonts w:cs="Courier New"/>
        </w:rPr>
        <w:t xml:space="preserve">-Price Regulated Proxy Group – which group is comparable in total risk to the Utility </w:t>
      </w:r>
      <w:r w:rsidRPr="001333E1">
        <w:rPr>
          <w:rFonts w:cs="Courier New"/>
        </w:rPr>
        <w:lastRenderedPageBreak/>
        <w:t>Proxy Group – are</w:t>
      </w:r>
      <w:r>
        <w:rPr>
          <w:rFonts w:cs="Courier New"/>
        </w:rPr>
        <w:t xml:space="preserve"> </w:t>
      </w:r>
      <w:r w:rsidR="009A6AF8">
        <w:rPr>
          <w:rFonts w:cs="Courier New"/>
        </w:rPr>
        <w:t>as follow</w:t>
      </w:r>
      <w:r w:rsidR="00BB1AE3">
        <w:rPr>
          <w:rFonts w:cs="Courier New"/>
        </w:rPr>
        <w:t xml:space="preserve">s: </w:t>
      </w:r>
      <w:r w:rsidR="00E677C7" w:rsidRPr="000456D5">
        <w:rPr>
          <w:rFonts w:cs="Courier New"/>
        </w:rPr>
        <w:t>11.</w:t>
      </w:r>
      <w:r w:rsidR="00F81D98" w:rsidRPr="000456D5">
        <w:rPr>
          <w:rFonts w:cs="Courier New"/>
        </w:rPr>
        <w:t>57</w:t>
      </w:r>
      <w:r w:rsidR="00F81D98" w:rsidRPr="00E677C7">
        <w:rPr>
          <w:rFonts w:cs="Courier New"/>
        </w:rPr>
        <w:t xml:space="preserve"> </w:t>
      </w:r>
      <w:r w:rsidR="00E677C7" w:rsidRPr="00E677C7">
        <w:rPr>
          <w:rFonts w:cs="Courier New"/>
        </w:rPr>
        <w:t xml:space="preserve">percent (DCF), </w:t>
      </w:r>
      <w:r w:rsidR="00E677C7" w:rsidRPr="000456D5">
        <w:rPr>
          <w:rFonts w:cs="Courier New"/>
        </w:rPr>
        <w:t>13.</w:t>
      </w:r>
      <w:r w:rsidR="00F81D98" w:rsidRPr="000456D5">
        <w:rPr>
          <w:rFonts w:cs="Courier New"/>
        </w:rPr>
        <w:t>3</w:t>
      </w:r>
      <w:r w:rsidR="00F81D98">
        <w:rPr>
          <w:rFonts w:cs="Courier New"/>
        </w:rPr>
        <w:t>0</w:t>
      </w:r>
      <w:r w:rsidR="00F81D98" w:rsidRPr="00E677C7">
        <w:rPr>
          <w:rFonts w:cs="Courier New"/>
        </w:rPr>
        <w:t xml:space="preserve"> </w:t>
      </w:r>
      <w:r w:rsidR="00E677C7" w:rsidRPr="00E677C7">
        <w:rPr>
          <w:rFonts w:cs="Courier New"/>
        </w:rPr>
        <w:t xml:space="preserve">percent (RPM), and </w:t>
      </w:r>
      <w:r w:rsidR="00F81D98">
        <w:rPr>
          <w:rFonts w:cs="Courier New"/>
        </w:rPr>
        <w:t>12.32</w:t>
      </w:r>
      <w:r w:rsidR="00E677C7" w:rsidRPr="00E677C7">
        <w:rPr>
          <w:rFonts w:cs="Courier New"/>
        </w:rPr>
        <w:t xml:space="preserve"> percent (CAPM).</w:t>
      </w:r>
    </w:p>
    <w:p w14:paraId="4B35882E" w14:textId="342ECAD0" w:rsidR="009A5A7C" w:rsidRDefault="009A5A7C" w:rsidP="00EE19DD">
      <w:pPr>
        <w:widowControl w:val="0"/>
        <w:ind w:left="720" w:hanging="720"/>
        <w:jc w:val="both"/>
        <w:rPr>
          <w:rFonts w:cs="Courier New"/>
        </w:rPr>
      </w:pPr>
    </w:p>
    <w:p w14:paraId="02276BAD" w14:textId="659B961E" w:rsidR="009A5A7C" w:rsidRPr="0073351E" w:rsidRDefault="009A5A7C" w:rsidP="00EE19DD">
      <w:pPr>
        <w:widowControl w:val="0"/>
        <w:ind w:left="720" w:hanging="720"/>
        <w:jc w:val="both"/>
        <w:rPr>
          <w:rFonts w:cs="Courier New"/>
        </w:rPr>
      </w:pPr>
      <w:r>
        <w:rPr>
          <w:rFonts w:cs="Courier New"/>
        </w:rPr>
        <w:tab/>
      </w:r>
      <w:r w:rsidRPr="005E22FB">
        <w:rPr>
          <w:rFonts w:cs="Courier New"/>
        </w:rPr>
        <w:t xml:space="preserve">The average of the mean and median of these models is </w:t>
      </w:r>
      <w:r w:rsidR="00F81D98">
        <w:rPr>
          <w:rFonts w:cs="Courier New"/>
        </w:rPr>
        <w:t xml:space="preserve">12.36 </w:t>
      </w:r>
      <w:r w:rsidR="00BB1AE3">
        <w:rPr>
          <w:rFonts w:cs="Courier New"/>
        </w:rPr>
        <w:t>percent</w:t>
      </w:r>
      <w:r w:rsidRPr="005E22FB">
        <w:rPr>
          <w:rFonts w:cs="Courier New"/>
          <w:lang w:bidi="en-US"/>
        </w:rPr>
        <w:t>,</w:t>
      </w:r>
      <w:r w:rsidRPr="005E22FB">
        <w:rPr>
          <w:rFonts w:cs="Courier New"/>
        </w:rPr>
        <w:t xml:space="preserve"> which I used as the indicated common equity cost rates for the Non-Price Regulated Proxy Group.</w:t>
      </w:r>
      <w:r w:rsidR="004A2123">
        <w:rPr>
          <w:rFonts w:cs="Courier New"/>
        </w:rPr>
        <w:t xml:space="preserve">  To be conservative, I do not consider the results of this analysis directly in my determination of the reasonable range of ROEs attributable to the Utility Proxy Group.</w:t>
      </w:r>
    </w:p>
    <w:p w14:paraId="3E05EFD6" w14:textId="77777777" w:rsidR="009A5A7C" w:rsidRPr="0073351E" w:rsidRDefault="009A5A7C" w:rsidP="00EB5C1C">
      <w:pPr>
        <w:widowControl w:val="0"/>
        <w:ind w:left="720" w:hanging="720"/>
        <w:jc w:val="both"/>
        <w:rPr>
          <w:rFonts w:cs="Courier New"/>
        </w:rPr>
      </w:pPr>
    </w:p>
    <w:p w14:paraId="3E0CB18F" w14:textId="734EBF8E" w:rsidR="009A5A7C" w:rsidRPr="00170349" w:rsidRDefault="009A5A7C" w:rsidP="00EB5C1C">
      <w:pPr>
        <w:pStyle w:val="Heading1"/>
        <w:keepNext w:val="0"/>
        <w:pBdr>
          <w:left w:val="none" w:sz="0" w:space="0" w:color="auto"/>
          <w:right w:val="none" w:sz="0" w:space="0" w:color="auto"/>
        </w:pBdr>
        <w:jc w:val="left"/>
      </w:pPr>
      <w:bookmarkStart w:id="19" w:name="_Toc129962211"/>
      <w:r>
        <w:t>Range of Common Equity Cost Rates Before Adjustments</w:t>
      </w:r>
      <w:bookmarkEnd w:id="19"/>
    </w:p>
    <w:p w14:paraId="5C070D2D" w14:textId="39C7D10D" w:rsidR="009A5A7C" w:rsidRDefault="009A5A7C" w:rsidP="00EB5C1C">
      <w:pPr>
        <w:widowControl w:val="0"/>
        <w:ind w:left="720" w:hanging="720"/>
        <w:jc w:val="both"/>
        <w:rPr>
          <w:rFonts w:cs="Courier New"/>
        </w:rPr>
      </w:pPr>
      <w:r w:rsidRPr="00B23997">
        <w:rPr>
          <w:rFonts w:cs="Courier New"/>
          <w:b/>
        </w:rPr>
        <w:t>Q.</w:t>
      </w:r>
      <w:r w:rsidRPr="00B23997">
        <w:rPr>
          <w:rFonts w:cs="Courier New"/>
        </w:rPr>
        <w:tab/>
      </w:r>
      <w:r w:rsidRPr="00733BC8">
        <w:rPr>
          <w:rFonts w:cs="Courier New"/>
        </w:rPr>
        <w:t>What is the range of indicated common equity cost rates produced by your ROE models?</w:t>
      </w:r>
    </w:p>
    <w:p w14:paraId="15915071" w14:textId="77777777" w:rsidR="009A5A7C" w:rsidRDefault="009A5A7C" w:rsidP="00656D9B">
      <w:pPr>
        <w:keepNext/>
        <w:keepLines/>
        <w:widowControl w:val="0"/>
        <w:ind w:left="720" w:hanging="720"/>
        <w:jc w:val="both"/>
        <w:rPr>
          <w:rFonts w:cs="Courier New"/>
        </w:rPr>
      </w:pPr>
    </w:p>
    <w:p w14:paraId="02C7B168" w14:textId="50A76A38" w:rsidR="009A5A7C" w:rsidRPr="0073351E" w:rsidRDefault="009A5A7C" w:rsidP="00EE19DD">
      <w:pPr>
        <w:widowControl w:val="0"/>
        <w:ind w:left="720" w:hanging="720"/>
        <w:jc w:val="both"/>
        <w:rPr>
          <w:rFonts w:cs="Courier New"/>
        </w:rPr>
      </w:pPr>
      <w:r w:rsidRPr="667AD777">
        <w:rPr>
          <w:rFonts w:cs="Courier New"/>
          <w:b/>
          <w:bCs/>
        </w:rPr>
        <w:t>A.</w:t>
      </w:r>
      <w:r>
        <w:tab/>
      </w:r>
      <w:r w:rsidR="004A2123" w:rsidRPr="667AD777">
        <w:rPr>
          <w:rFonts w:cs="Courier New"/>
        </w:rPr>
        <w:t>By applying multiple cost of common equity models to the Utility Proxy Group and the Non-Price Regulated Proxy Group, the indicated range of common equity cost rates attributable to the Utility Proxy Group before any relative risk adjustments is between 10.00 percent and 11.62 percent</w:t>
      </w:r>
      <w:r w:rsidR="7964D302" w:rsidRPr="667AD777">
        <w:rPr>
          <w:rFonts w:cs="Courier New"/>
        </w:rPr>
        <w:t>,</w:t>
      </w:r>
      <w:r w:rsidRPr="667AD777">
        <w:rPr>
          <w:rFonts w:cs="Courier New"/>
        </w:rPr>
        <w:t xml:space="preserve"> </w:t>
      </w:r>
      <w:r w:rsidR="14AA4A45" w:rsidRPr="667AD777">
        <w:rPr>
          <w:rFonts w:cs="Courier New"/>
        </w:rPr>
        <w:t>a</w:t>
      </w:r>
      <w:r w:rsidR="004A2123" w:rsidRPr="667AD777">
        <w:rPr>
          <w:rFonts w:cs="Courier New"/>
        </w:rPr>
        <w:t xml:space="preserve">s </w:t>
      </w:r>
      <w:r w:rsidRPr="667AD777">
        <w:rPr>
          <w:rFonts w:cs="Courier New"/>
        </w:rPr>
        <w:t xml:space="preserve">shown on </w:t>
      </w:r>
      <w:r w:rsidR="00B71055" w:rsidRPr="667AD777">
        <w:rPr>
          <w:rFonts w:cs="Courier New"/>
        </w:rPr>
        <w:t xml:space="preserve">Document No. </w:t>
      </w:r>
      <w:r w:rsidRPr="667AD777">
        <w:rPr>
          <w:rFonts w:cs="Courier New"/>
        </w:rPr>
        <w:t xml:space="preserve">1, page 2.  I used multiple cost of common equity models as primary tools in arriving at my recommended common equity cost rate, because no single model is so inherently precise that it can be relied on to the exclusion of other theoretically sound models.  Using multiple models adds reliability to the estimated common </w:t>
      </w:r>
      <w:r w:rsidRPr="667AD777">
        <w:rPr>
          <w:rFonts w:cs="Courier New"/>
        </w:rPr>
        <w:lastRenderedPageBreak/>
        <w:t>equity cost rate, with the prudence of using multiple cost of common equity models supported in both the financial literature and regulatory precedent.</w:t>
      </w:r>
    </w:p>
    <w:p w14:paraId="36AC057F" w14:textId="0D4F584F" w:rsidR="009A5A7C" w:rsidRDefault="009A5A7C" w:rsidP="00EE19DD">
      <w:pPr>
        <w:widowControl w:val="0"/>
        <w:ind w:left="720" w:hanging="720"/>
        <w:jc w:val="both"/>
        <w:rPr>
          <w:rFonts w:cs="Courier New"/>
        </w:rPr>
      </w:pPr>
      <w:r>
        <w:rPr>
          <w:rFonts w:cs="Courier New"/>
        </w:rPr>
        <w:tab/>
      </w:r>
      <w:r w:rsidRPr="00AA58B3">
        <w:rPr>
          <w:rFonts w:cs="Courier New"/>
        </w:rPr>
        <w:t xml:space="preserve">As will be discussed below, </w:t>
      </w:r>
      <w:r w:rsidR="00805765">
        <w:rPr>
          <w:rFonts w:cs="Courier New"/>
        </w:rPr>
        <w:t>Peoples</w:t>
      </w:r>
      <w:r w:rsidRPr="00AA58B3">
        <w:rPr>
          <w:rFonts w:cs="Courier New"/>
        </w:rPr>
        <w:t xml:space="preserve"> has greater risk than the </w:t>
      </w:r>
      <w:r w:rsidR="00F416CB">
        <w:rPr>
          <w:rFonts w:cs="Courier New"/>
        </w:rPr>
        <w:t>Utility Proxy Group</w:t>
      </w:r>
      <w:r w:rsidRPr="00AA58B3">
        <w:rPr>
          <w:rFonts w:cs="Courier New"/>
        </w:rPr>
        <w:t xml:space="preserve">.  Because of this, the indicated range of model results based on the </w:t>
      </w:r>
      <w:r w:rsidR="00F416CB">
        <w:rPr>
          <w:rFonts w:cs="Courier New"/>
        </w:rPr>
        <w:t>Utility Proxy Group</w:t>
      </w:r>
      <w:r w:rsidRPr="00AA58B3">
        <w:rPr>
          <w:rFonts w:cs="Courier New"/>
        </w:rPr>
        <w:t xml:space="preserve"> must be adjusted to reflect </w:t>
      </w:r>
      <w:r w:rsidR="00805765">
        <w:rPr>
          <w:rFonts w:cs="Courier New"/>
        </w:rPr>
        <w:t>Peoples</w:t>
      </w:r>
      <w:r w:rsidR="00F924EF">
        <w:rPr>
          <w:rFonts w:cs="Courier New"/>
        </w:rPr>
        <w:t>’</w:t>
      </w:r>
      <w:r w:rsidRPr="00AA58B3">
        <w:rPr>
          <w:rFonts w:cs="Courier New"/>
        </w:rPr>
        <w:t xml:space="preserve"> greater relative risk.</w:t>
      </w:r>
    </w:p>
    <w:p w14:paraId="7C634007" w14:textId="77777777" w:rsidR="00EB5C1C" w:rsidRDefault="00EB5C1C" w:rsidP="00EE19DD">
      <w:pPr>
        <w:widowControl w:val="0"/>
        <w:ind w:left="720" w:hanging="720"/>
        <w:jc w:val="both"/>
        <w:rPr>
          <w:rFonts w:cs="Courier New"/>
        </w:rPr>
      </w:pPr>
    </w:p>
    <w:p w14:paraId="0711414E" w14:textId="7BC3B30B" w:rsidR="009A5A7C" w:rsidRPr="00170349" w:rsidRDefault="009A5A7C" w:rsidP="00F413CA">
      <w:pPr>
        <w:pStyle w:val="Heading1"/>
        <w:pBdr>
          <w:left w:val="none" w:sz="0" w:space="0" w:color="auto"/>
          <w:right w:val="none" w:sz="0" w:space="0" w:color="auto"/>
        </w:pBdr>
        <w:jc w:val="left"/>
      </w:pPr>
      <w:bookmarkStart w:id="20" w:name="_Toc129962212"/>
      <w:r w:rsidRPr="00DF43EE">
        <w:t>Adjustments</w:t>
      </w:r>
      <w:r>
        <w:t xml:space="preserve"> to the Common Equity Cost Rate</w:t>
      </w:r>
      <w:bookmarkEnd w:id="20"/>
    </w:p>
    <w:p w14:paraId="1D88F6FC" w14:textId="6BDFF4DC"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3924F8">
        <w:rPr>
          <w:rFonts w:cs="Courier New"/>
        </w:rPr>
        <w:t xml:space="preserve">What </w:t>
      </w:r>
      <w:r w:rsidR="00E06A1B">
        <w:rPr>
          <w:rFonts w:cs="Courier New"/>
        </w:rPr>
        <w:t>c</w:t>
      </w:r>
      <w:r w:rsidRPr="003924F8">
        <w:rPr>
          <w:rFonts w:cs="Courier New"/>
        </w:rPr>
        <w:t>ompany-specific business risks did you consider for your relative risk analysis?</w:t>
      </w:r>
    </w:p>
    <w:p w14:paraId="145F0120" w14:textId="77777777" w:rsidR="00012C7E" w:rsidRDefault="00012C7E" w:rsidP="00EE19DD">
      <w:pPr>
        <w:widowControl w:val="0"/>
        <w:ind w:left="720" w:hanging="720"/>
        <w:jc w:val="both"/>
        <w:rPr>
          <w:rFonts w:cs="Courier New"/>
        </w:rPr>
      </w:pPr>
    </w:p>
    <w:p w14:paraId="560B2C9F" w14:textId="461FB122"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6B368B">
        <w:rPr>
          <w:rFonts w:cs="Courier New"/>
        </w:rPr>
        <w:t xml:space="preserve">As detailed below, </w:t>
      </w:r>
      <w:r w:rsidR="00971EC9" w:rsidRPr="006B368B">
        <w:rPr>
          <w:rFonts w:cs="Courier New"/>
        </w:rPr>
        <w:t xml:space="preserve">I </w:t>
      </w:r>
      <w:r w:rsidR="00971EC9">
        <w:rPr>
          <w:rFonts w:cs="Courier New"/>
        </w:rPr>
        <w:t>have</w:t>
      </w:r>
      <w:r w:rsidR="00971EC9" w:rsidRPr="006B368B">
        <w:rPr>
          <w:rFonts w:cs="Courier New"/>
        </w:rPr>
        <w:t xml:space="preserve"> considered </w:t>
      </w:r>
      <w:r w:rsidR="00971EC9" w:rsidRPr="005D2258">
        <w:rPr>
          <w:rFonts w:cs="Courier New"/>
        </w:rPr>
        <w:t>flotation costs</w:t>
      </w:r>
      <w:r w:rsidR="00971EC9" w:rsidRPr="006B368B">
        <w:rPr>
          <w:rFonts w:cs="Courier New"/>
        </w:rPr>
        <w:t>.</w:t>
      </w:r>
      <w:r w:rsidR="00971EC9">
        <w:rPr>
          <w:rFonts w:cs="Courier New"/>
        </w:rPr>
        <w:t xml:space="preserve">  </w:t>
      </w:r>
      <w:r w:rsidRPr="006B368B">
        <w:rPr>
          <w:rFonts w:cs="Courier New"/>
        </w:rPr>
        <w:t xml:space="preserve">I </w:t>
      </w:r>
      <w:r w:rsidR="00971EC9">
        <w:rPr>
          <w:rFonts w:cs="Courier New"/>
        </w:rPr>
        <w:t xml:space="preserve">also </w:t>
      </w:r>
      <w:r w:rsidRPr="006B368B">
        <w:rPr>
          <w:rFonts w:cs="Courier New"/>
        </w:rPr>
        <w:t xml:space="preserve">considered </w:t>
      </w:r>
      <w:r w:rsidR="00805765">
        <w:rPr>
          <w:rFonts w:cs="Courier New"/>
        </w:rPr>
        <w:t>Peoples</w:t>
      </w:r>
      <w:r w:rsidR="00A427F8">
        <w:rPr>
          <w:rFonts w:cs="Courier New"/>
        </w:rPr>
        <w:t>’</w:t>
      </w:r>
      <w:r w:rsidRPr="006B368B">
        <w:rPr>
          <w:rFonts w:cs="Courier New"/>
        </w:rPr>
        <w:t xml:space="preserve"> </w:t>
      </w:r>
      <w:r w:rsidR="00E24A27" w:rsidRPr="005D2258">
        <w:rPr>
          <w:rFonts w:cs="Courier New"/>
        </w:rPr>
        <w:t xml:space="preserve">smaller relative size, </w:t>
      </w:r>
      <w:r w:rsidR="005D2258" w:rsidRPr="005D2258">
        <w:rPr>
          <w:rFonts w:cs="Courier New"/>
        </w:rPr>
        <w:t xml:space="preserve">as well as </w:t>
      </w:r>
      <w:r w:rsidR="00E24A27" w:rsidRPr="005D2258">
        <w:rPr>
          <w:rFonts w:cs="Courier New"/>
        </w:rPr>
        <w:t xml:space="preserve">high </w:t>
      </w:r>
      <w:r w:rsidR="00CB30D7">
        <w:rPr>
          <w:rFonts w:cs="Courier New"/>
        </w:rPr>
        <w:t xml:space="preserve">level of </w:t>
      </w:r>
      <w:r w:rsidR="00E24A27" w:rsidRPr="005D2258">
        <w:rPr>
          <w:rFonts w:cs="Courier New"/>
        </w:rPr>
        <w:t xml:space="preserve">customer </w:t>
      </w:r>
      <w:r w:rsidR="00E24A27" w:rsidRPr="000456D5">
        <w:rPr>
          <w:rFonts w:cs="Courier New"/>
        </w:rPr>
        <w:t>growth</w:t>
      </w:r>
      <w:r w:rsidR="005D2258" w:rsidRPr="000456D5">
        <w:rPr>
          <w:rFonts w:cs="Courier New"/>
        </w:rPr>
        <w:t xml:space="preserve">, </w:t>
      </w:r>
      <w:r w:rsidR="004300FF" w:rsidRPr="000456D5">
        <w:rPr>
          <w:rFonts w:cs="Courier New"/>
        </w:rPr>
        <w:t>overall performance</w:t>
      </w:r>
      <w:r w:rsidR="005D2258" w:rsidRPr="004300FF">
        <w:rPr>
          <w:rFonts w:cs="Courier New"/>
        </w:rPr>
        <w:t>,</w:t>
      </w:r>
      <w:r w:rsidR="00E24A27" w:rsidRPr="004300FF">
        <w:rPr>
          <w:rFonts w:cs="Courier New"/>
        </w:rPr>
        <w:t xml:space="preserve"> </w:t>
      </w:r>
      <w:r w:rsidR="00E24A27" w:rsidRPr="005D2258">
        <w:rPr>
          <w:rFonts w:cs="Courier New"/>
        </w:rPr>
        <w:t>and capital investment plans</w:t>
      </w:r>
      <w:r w:rsidRPr="006B368B">
        <w:rPr>
          <w:rFonts w:cs="Courier New"/>
        </w:rPr>
        <w:t xml:space="preserve"> relative to the companies in the </w:t>
      </w:r>
      <w:r w:rsidR="00F416CB">
        <w:rPr>
          <w:rFonts w:cs="Courier New"/>
        </w:rPr>
        <w:t>Utility Proxy Group</w:t>
      </w:r>
      <w:r w:rsidRPr="006B368B">
        <w:rPr>
          <w:rFonts w:cs="Courier New"/>
        </w:rPr>
        <w:t>.</w:t>
      </w:r>
    </w:p>
    <w:p w14:paraId="05BBB332" w14:textId="5EA09E86" w:rsidR="009A5A7C" w:rsidRDefault="009A5A7C" w:rsidP="00EE19DD">
      <w:pPr>
        <w:widowControl w:val="0"/>
        <w:ind w:left="720" w:hanging="720"/>
        <w:jc w:val="both"/>
        <w:rPr>
          <w:rFonts w:cs="Courier New"/>
        </w:rPr>
      </w:pPr>
    </w:p>
    <w:p w14:paraId="371E8AE5" w14:textId="77777777" w:rsidR="000C466B" w:rsidRDefault="00624522" w:rsidP="00F413CA">
      <w:pPr>
        <w:pStyle w:val="Heading2"/>
        <w:numPr>
          <w:ilvl w:val="0"/>
          <w:numId w:val="6"/>
        </w:numPr>
        <w:pBdr>
          <w:left w:val="none" w:sz="0" w:space="0" w:color="auto"/>
          <w:right w:val="none" w:sz="0" w:space="0" w:color="auto"/>
        </w:pBdr>
        <w:ind w:hanging="720"/>
        <w:jc w:val="left"/>
      </w:pPr>
      <w:bookmarkStart w:id="21" w:name="_Toc129962213"/>
      <w:r>
        <w:t>Flotation Cost</w:t>
      </w:r>
      <w:r w:rsidR="000C466B">
        <w:t>s</w:t>
      </w:r>
      <w:bookmarkEnd w:id="21"/>
    </w:p>
    <w:p w14:paraId="1EA3696A" w14:textId="01608F0C" w:rsidR="000C466B" w:rsidRDefault="00EF2BE2" w:rsidP="000C466B">
      <w:pPr>
        <w:widowControl w:val="0"/>
        <w:ind w:left="720" w:hanging="720"/>
        <w:jc w:val="both"/>
        <w:rPr>
          <w:rFonts w:cs="Courier New"/>
        </w:rPr>
      </w:pPr>
      <w:r w:rsidRPr="00B23997">
        <w:rPr>
          <w:rFonts w:cs="Courier New"/>
          <w:b/>
        </w:rPr>
        <w:t>Q.</w:t>
      </w:r>
      <w:r w:rsidRPr="00B23997">
        <w:rPr>
          <w:rFonts w:cs="Courier New"/>
        </w:rPr>
        <w:tab/>
      </w:r>
      <w:r w:rsidR="000C466B">
        <w:rPr>
          <w:rFonts w:cs="Courier New"/>
        </w:rPr>
        <w:t>What are flotation costs?</w:t>
      </w:r>
    </w:p>
    <w:p w14:paraId="7E0FD74E" w14:textId="77777777" w:rsidR="000C466B" w:rsidRDefault="000C466B" w:rsidP="000C466B">
      <w:pPr>
        <w:widowControl w:val="0"/>
        <w:ind w:left="720" w:hanging="720"/>
        <w:jc w:val="both"/>
        <w:rPr>
          <w:rFonts w:cs="Courier New"/>
        </w:rPr>
      </w:pPr>
    </w:p>
    <w:p w14:paraId="40C3B655" w14:textId="4416F3DC" w:rsidR="000C466B" w:rsidRDefault="000C466B" w:rsidP="000C466B">
      <w:pPr>
        <w:widowControl w:val="0"/>
        <w:ind w:left="720" w:hanging="720"/>
        <w:jc w:val="both"/>
        <w:rPr>
          <w:rFonts w:cs="Courier New"/>
        </w:rPr>
      </w:pPr>
      <w:r w:rsidRPr="00B23997">
        <w:rPr>
          <w:rFonts w:cs="Courier New"/>
          <w:b/>
        </w:rPr>
        <w:t>A.</w:t>
      </w:r>
      <w:r w:rsidRPr="00B23997">
        <w:rPr>
          <w:rFonts w:cs="Courier New"/>
        </w:rPr>
        <w:tab/>
      </w:r>
      <w:r w:rsidRPr="00C15F87">
        <w:rPr>
          <w:rFonts w:cs="Courier New"/>
        </w:rPr>
        <w:t>Flotation costs are those costs associated with the sale of new issuances of common stock.  They include market pressure and the mandatory unavoidable costs of issuance (</w:t>
      </w:r>
      <w:r w:rsidRPr="00C15F87">
        <w:rPr>
          <w:rFonts w:cs="Courier New"/>
          <w:i/>
        </w:rPr>
        <w:t>e.g.</w:t>
      </w:r>
      <w:r w:rsidRPr="00C15F87">
        <w:rPr>
          <w:rFonts w:cs="Courier New"/>
        </w:rPr>
        <w:t xml:space="preserve">, underwriting fees and out-of-pocket costs for printing, </w:t>
      </w:r>
      <w:r w:rsidRPr="00C15F87">
        <w:rPr>
          <w:rFonts w:cs="Courier New"/>
        </w:rPr>
        <w:lastRenderedPageBreak/>
        <w:t xml:space="preserve">legal, registration, etc.).  For every dollar raised through debt or equity offerings, the </w:t>
      </w:r>
      <w:r w:rsidR="00E0149A">
        <w:rPr>
          <w:rFonts w:cs="Courier New"/>
        </w:rPr>
        <w:t>c</w:t>
      </w:r>
      <w:r w:rsidRPr="00C15F87">
        <w:rPr>
          <w:rFonts w:cs="Courier New"/>
        </w:rPr>
        <w:t>ompany receives less than one full dollar in financing.</w:t>
      </w:r>
    </w:p>
    <w:p w14:paraId="3F961D8F" w14:textId="77777777" w:rsidR="00E102D6" w:rsidRPr="0073351E" w:rsidRDefault="00E102D6" w:rsidP="000C466B">
      <w:pPr>
        <w:widowControl w:val="0"/>
        <w:ind w:left="720" w:hanging="720"/>
        <w:jc w:val="both"/>
        <w:rPr>
          <w:rFonts w:cs="Courier New"/>
        </w:rPr>
      </w:pPr>
    </w:p>
    <w:p w14:paraId="62F32F2A" w14:textId="28BA2EF3" w:rsidR="000C466B" w:rsidRDefault="000C466B" w:rsidP="000C466B">
      <w:pPr>
        <w:widowControl w:val="0"/>
        <w:ind w:left="720" w:hanging="720"/>
        <w:jc w:val="both"/>
        <w:rPr>
          <w:rFonts w:cs="Courier New"/>
        </w:rPr>
      </w:pPr>
      <w:r w:rsidRPr="00B23997">
        <w:rPr>
          <w:rFonts w:cs="Courier New"/>
          <w:b/>
        </w:rPr>
        <w:t>Q.</w:t>
      </w:r>
      <w:r w:rsidRPr="00B23997">
        <w:rPr>
          <w:rFonts w:cs="Courier New"/>
        </w:rPr>
        <w:tab/>
      </w:r>
      <w:r w:rsidRPr="00A63572">
        <w:rPr>
          <w:rFonts w:cs="Courier New"/>
        </w:rPr>
        <w:t xml:space="preserve">Has the </w:t>
      </w:r>
      <w:r w:rsidR="00193C3C">
        <w:rPr>
          <w:rFonts w:cs="Courier New"/>
        </w:rPr>
        <w:t>C</w:t>
      </w:r>
      <w:r w:rsidRPr="00A63572">
        <w:rPr>
          <w:rFonts w:cs="Courier New"/>
        </w:rPr>
        <w:t xml:space="preserve">ommission supported the use of flotation cost adjustments in past rate </w:t>
      </w:r>
      <w:r w:rsidR="008C7AE2">
        <w:rPr>
          <w:rFonts w:cs="Courier New"/>
        </w:rPr>
        <w:t>proceedings</w:t>
      </w:r>
      <w:r w:rsidRPr="00A63572">
        <w:rPr>
          <w:rFonts w:cs="Courier New"/>
        </w:rPr>
        <w:t>?</w:t>
      </w:r>
    </w:p>
    <w:p w14:paraId="26655BEA" w14:textId="77777777" w:rsidR="000C466B" w:rsidRDefault="000C466B" w:rsidP="000C466B">
      <w:pPr>
        <w:widowControl w:val="0"/>
        <w:ind w:left="720" w:hanging="720"/>
        <w:jc w:val="both"/>
        <w:rPr>
          <w:rFonts w:cs="Courier New"/>
        </w:rPr>
      </w:pPr>
    </w:p>
    <w:p w14:paraId="1983EAF0" w14:textId="7687A08C" w:rsidR="000C466B" w:rsidRDefault="000C466B" w:rsidP="000C466B">
      <w:pPr>
        <w:widowControl w:val="0"/>
        <w:ind w:left="720" w:hanging="720"/>
        <w:jc w:val="both"/>
        <w:rPr>
          <w:rFonts w:cs="Courier New"/>
        </w:rPr>
      </w:pPr>
      <w:r w:rsidRPr="00B23997">
        <w:rPr>
          <w:rFonts w:cs="Courier New"/>
          <w:b/>
        </w:rPr>
        <w:t>A.</w:t>
      </w:r>
      <w:r w:rsidRPr="00B23997">
        <w:rPr>
          <w:rFonts w:cs="Courier New"/>
        </w:rPr>
        <w:tab/>
      </w:r>
      <w:r w:rsidRPr="00867A8B">
        <w:rPr>
          <w:rFonts w:cs="Courier New"/>
        </w:rPr>
        <w:t xml:space="preserve">Yes.  In </w:t>
      </w:r>
      <w:r w:rsidR="00805765">
        <w:rPr>
          <w:rFonts w:cs="Courier New"/>
        </w:rPr>
        <w:t>Peoples</w:t>
      </w:r>
      <w:r w:rsidR="00C014BD">
        <w:rPr>
          <w:rFonts w:cs="Courier New"/>
        </w:rPr>
        <w:t>’</w:t>
      </w:r>
      <w:r w:rsidRPr="00867A8B">
        <w:rPr>
          <w:rFonts w:cs="Courier New"/>
        </w:rPr>
        <w:t xml:space="preserve"> 2008 rate </w:t>
      </w:r>
      <w:r w:rsidR="008C7AE2">
        <w:rPr>
          <w:rFonts w:cs="Courier New"/>
        </w:rPr>
        <w:t>proceedings</w:t>
      </w:r>
      <w:r w:rsidRPr="00867A8B">
        <w:rPr>
          <w:rFonts w:cs="Courier New"/>
        </w:rPr>
        <w:t xml:space="preserve">, the </w:t>
      </w:r>
      <w:r w:rsidR="009C5287">
        <w:rPr>
          <w:rFonts w:cs="Courier New"/>
        </w:rPr>
        <w:t>C</w:t>
      </w:r>
      <w:r w:rsidRPr="00867A8B">
        <w:rPr>
          <w:rFonts w:cs="Courier New"/>
        </w:rPr>
        <w:t>ommission did not make a specific adjustment for flotation costs but recognized that “[t]his Commission has traditionally recognized a reasonable adjustment for flotation costs in the determination of the investor-required ROE.”</w:t>
      </w:r>
      <w:r>
        <w:rPr>
          <w:rStyle w:val="EndnoteReference"/>
          <w:rFonts w:cs="Courier New"/>
        </w:rPr>
        <w:endnoteReference w:id="33"/>
      </w:r>
    </w:p>
    <w:p w14:paraId="2A6C288C" w14:textId="77777777" w:rsidR="008C7AE2" w:rsidRPr="0073351E" w:rsidRDefault="008C7AE2" w:rsidP="000C466B">
      <w:pPr>
        <w:widowControl w:val="0"/>
        <w:ind w:left="720" w:hanging="720"/>
        <w:jc w:val="both"/>
        <w:rPr>
          <w:rFonts w:cs="Courier New"/>
        </w:rPr>
      </w:pPr>
    </w:p>
    <w:p w14:paraId="3B139D03" w14:textId="77777777" w:rsidR="000C466B" w:rsidRDefault="000C466B" w:rsidP="000C466B">
      <w:pPr>
        <w:widowControl w:val="0"/>
        <w:ind w:left="720" w:hanging="720"/>
        <w:jc w:val="both"/>
        <w:rPr>
          <w:rFonts w:cs="Courier New"/>
        </w:rPr>
      </w:pPr>
      <w:r w:rsidRPr="00B23997">
        <w:rPr>
          <w:rFonts w:cs="Courier New"/>
          <w:b/>
        </w:rPr>
        <w:t>Q.</w:t>
      </w:r>
      <w:r w:rsidRPr="00B23997">
        <w:rPr>
          <w:rFonts w:cs="Courier New"/>
        </w:rPr>
        <w:tab/>
      </w:r>
      <w:r w:rsidRPr="00BA51D3">
        <w:rPr>
          <w:rFonts w:cs="Courier New"/>
        </w:rPr>
        <w:t>Why is it important to recognize flotation costs in the allowed common equity cost rate?</w:t>
      </w:r>
    </w:p>
    <w:p w14:paraId="7A7B4CA2" w14:textId="77777777" w:rsidR="000C466B" w:rsidRDefault="000C466B" w:rsidP="000C466B">
      <w:pPr>
        <w:widowControl w:val="0"/>
        <w:ind w:left="720" w:hanging="720"/>
        <w:jc w:val="both"/>
        <w:rPr>
          <w:rFonts w:cs="Courier New"/>
        </w:rPr>
      </w:pPr>
    </w:p>
    <w:p w14:paraId="6737ED2B" w14:textId="77777777" w:rsidR="000C466B" w:rsidRPr="00C83421" w:rsidRDefault="000C466B" w:rsidP="000C466B">
      <w:pPr>
        <w:widowControl w:val="0"/>
        <w:ind w:left="720" w:hanging="720"/>
        <w:jc w:val="both"/>
        <w:rPr>
          <w:rFonts w:cs="Courier New"/>
        </w:rPr>
      </w:pPr>
      <w:r w:rsidRPr="00B23997">
        <w:rPr>
          <w:rFonts w:cs="Courier New"/>
          <w:b/>
        </w:rPr>
        <w:t>A.</w:t>
      </w:r>
      <w:r w:rsidRPr="00B23997">
        <w:rPr>
          <w:rFonts w:cs="Courier New"/>
        </w:rPr>
        <w:tab/>
      </w:r>
      <w:r w:rsidRPr="00C83421">
        <w:rPr>
          <w:rFonts w:cs="Courier New"/>
        </w:rPr>
        <w:t>It is important because there is no other mechanism in the ratemaking paradigm through which such costs can be recognized and recovered.  Because these costs are real, necessary, and legitimate, recovery of these costs should be permitted.  As noted by Morin:</w:t>
      </w:r>
    </w:p>
    <w:p w14:paraId="77F0BFD8" w14:textId="77777777" w:rsidR="000C466B" w:rsidRPr="00C83421" w:rsidRDefault="000C466B" w:rsidP="00DB6237">
      <w:pPr>
        <w:widowControl w:val="0"/>
        <w:ind w:left="1440" w:right="720" w:hanging="1440"/>
        <w:jc w:val="both"/>
        <w:rPr>
          <w:rFonts w:cs="Courier New"/>
        </w:rPr>
      </w:pPr>
      <w:r>
        <w:rPr>
          <w:rFonts w:cs="Courier New"/>
        </w:rPr>
        <w:tab/>
      </w:r>
      <w:r w:rsidRPr="00C83421">
        <w:rPr>
          <w:rFonts w:cs="Courier New"/>
        </w:rPr>
        <w:t xml:space="preserve">The costs of issuing these securities are just as real as operating and maintenance expenses or costs incurred to build utility plants, and fair regulatory treatment must permit the recovery of </w:t>
      </w:r>
      <w:r w:rsidRPr="00C83421">
        <w:rPr>
          <w:rFonts w:cs="Courier New"/>
        </w:rPr>
        <w:lastRenderedPageBreak/>
        <w:t>these costs….</w:t>
      </w:r>
    </w:p>
    <w:p w14:paraId="69FCBA07" w14:textId="60B254BC" w:rsidR="000C466B" w:rsidRDefault="000C466B" w:rsidP="00DB6237">
      <w:pPr>
        <w:widowControl w:val="0"/>
        <w:ind w:left="1440" w:right="720" w:hanging="1440"/>
        <w:jc w:val="both"/>
        <w:rPr>
          <w:rFonts w:cs="Courier New"/>
        </w:rPr>
      </w:pPr>
      <w:r>
        <w:rPr>
          <w:rFonts w:cs="Courier New"/>
        </w:rPr>
        <w:tab/>
      </w:r>
      <w:r w:rsidRPr="00C83421">
        <w:rPr>
          <w:rFonts w:cs="Courier New"/>
        </w:rPr>
        <w:t>The simple fact of the matter is that common equity capital is not free….[Flotation costs] must be recovered through a rate of return adjustment.</w:t>
      </w:r>
      <w:r>
        <w:rPr>
          <w:rStyle w:val="EndnoteReference"/>
          <w:rFonts w:cs="Courier New"/>
        </w:rPr>
        <w:endnoteReference w:id="34"/>
      </w:r>
    </w:p>
    <w:p w14:paraId="3469953A" w14:textId="77777777" w:rsidR="00B84319" w:rsidRPr="0073351E" w:rsidRDefault="00B84319" w:rsidP="00DB6237">
      <w:pPr>
        <w:widowControl w:val="0"/>
        <w:ind w:left="1440" w:right="720" w:hanging="1440"/>
        <w:jc w:val="both"/>
        <w:rPr>
          <w:rFonts w:cs="Courier New"/>
        </w:rPr>
      </w:pPr>
    </w:p>
    <w:p w14:paraId="138D47F2" w14:textId="4B9EC814" w:rsidR="000C466B" w:rsidRDefault="000C466B" w:rsidP="00DE5348">
      <w:pPr>
        <w:widowControl w:val="0"/>
        <w:ind w:left="720" w:hanging="720"/>
        <w:jc w:val="both"/>
        <w:rPr>
          <w:rFonts w:cs="Courier New"/>
        </w:rPr>
      </w:pPr>
      <w:r w:rsidRPr="00B23997">
        <w:rPr>
          <w:rFonts w:cs="Courier New"/>
          <w:b/>
        </w:rPr>
        <w:t>Q.</w:t>
      </w:r>
      <w:r w:rsidRPr="00B23997">
        <w:rPr>
          <w:rFonts w:cs="Courier New"/>
        </w:rPr>
        <w:tab/>
      </w:r>
      <w:r w:rsidRPr="00FE7C6E">
        <w:rPr>
          <w:rFonts w:cs="Courier New"/>
        </w:rPr>
        <w:t xml:space="preserve">Should flotation costs be recognized whether or not there is a stock issuance of additional </w:t>
      </w:r>
      <w:r w:rsidR="00E823FD">
        <w:rPr>
          <w:rFonts w:cs="Courier New"/>
        </w:rPr>
        <w:t xml:space="preserve">shares </w:t>
      </w:r>
      <w:r w:rsidRPr="00FE7C6E">
        <w:rPr>
          <w:rFonts w:cs="Courier New"/>
        </w:rPr>
        <w:t>during the test year?</w:t>
      </w:r>
    </w:p>
    <w:p w14:paraId="256E9317" w14:textId="77777777" w:rsidR="00DE5348" w:rsidRDefault="00DE5348" w:rsidP="00DE5348">
      <w:pPr>
        <w:widowControl w:val="0"/>
        <w:ind w:left="720" w:hanging="720"/>
        <w:jc w:val="both"/>
        <w:rPr>
          <w:rFonts w:cs="Courier New"/>
        </w:rPr>
      </w:pPr>
    </w:p>
    <w:p w14:paraId="645120AF" w14:textId="77777777" w:rsidR="000C466B" w:rsidRPr="0086412B" w:rsidRDefault="000C466B" w:rsidP="000C466B">
      <w:pPr>
        <w:widowControl w:val="0"/>
        <w:ind w:left="720" w:hanging="720"/>
        <w:jc w:val="both"/>
        <w:rPr>
          <w:rFonts w:cs="Courier New"/>
        </w:rPr>
      </w:pPr>
      <w:r w:rsidRPr="00B23997">
        <w:rPr>
          <w:rFonts w:cs="Courier New"/>
          <w:b/>
        </w:rPr>
        <w:t>A.</w:t>
      </w:r>
      <w:r w:rsidRPr="00B23997">
        <w:rPr>
          <w:rFonts w:cs="Courier New"/>
        </w:rPr>
        <w:tab/>
      </w:r>
      <w:r w:rsidRPr="0086412B">
        <w:rPr>
          <w:rFonts w:cs="Courier New"/>
        </w:rPr>
        <w:t>Yes.  As noted above, there is no mechanism to recapture such costs in the ratemaking paradigm other than an adjustment to the allowed common equity cost rate.  Flotation costs are charged to capital accounts and are not expensed on a utility’s income statement.  As such, flotation costs are analogous to capital investments, albeit negative, reflected on the balance sheet.  Recovery of capital investments relates to the expected useful lives of the investment.  Since common equity has a very long and indefinite life (assumed to be infinity in the standard regulatory DCF model), flotation costs should be recovered through an adjustment to common equity cost rate, even when there has not been an issuance during the test year, or in the absence of an expected imminent issuance of additional shares of common stock.</w:t>
      </w:r>
    </w:p>
    <w:p w14:paraId="175FC027" w14:textId="77777777" w:rsidR="000C466B" w:rsidRDefault="000C466B" w:rsidP="000C466B">
      <w:pPr>
        <w:widowControl w:val="0"/>
        <w:ind w:left="720" w:hanging="720"/>
        <w:jc w:val="both"/>
        <w:rPr>
          <w:rFonts w:cs="Courier New"/>
          <w:lang w:val="x-none"/>
        </w:rPr>
      </w:pPr>
    </w:p>
    <w:p w14:paraId="4F5B6532" w14:textId="7D1AF7AE" w:rsidR="000C466B" w:rsidRPr="0073351E" w:rsidRDefault="000C466B" w:rsidP="000C466B">
      <w:pPr>
        <w:widowControl w:val="0"/>
        <w:ind w:left="720" w:hanging="720"/>
        <w:jc w:val="both"/>
        <w:rPr>
          <w:rFonts w:cs="Courier New"/>
        </w:rPr>
      </w:pPr>
      <w:r>
        <w:rPr>
          <w:rFonts w:cs="Courier New"/>
          <w:lang w:val="x-none"/>
        </w:rPr>
        <w:tab/>
      </w:r>
      <w:r w:rsidRPr="0086412B">
        <w:rPr>
          <w:rFonts w:cs="Courier New"/>
          <w:lang w:val="x-none"/>
        </w:rPr>
        <w:t>Historical</w:t>
      </w:r>
      <w:r w:rsidRPr="0086412B">
        <w:rPr>
          <w:rFonts w:cs="Courier New"/>
        </w:rPr>
        <w:t xml:space="preserve"> flotation costs are a permanent loss of investment to the utility and should be accounted for.  When any company, </w:t>
      </w:r>
      <w:r w:rsidRPr="0086412B">
        <w:rPr>
          <w:rFonts w:cs="Courier New"/>
        </w:rPr>
        <w:lastRenderedPageBreak/>
        <w:t>including a utility, issues common stock, flotation costs are incurred for legal, accounting, printing fees and the like.  For each dollar of issuing market price, a small percentage is expensed and is permanently unavailable for investment in utility rate base.  Since these expenses are charged to capital accounts and not expensed on the income statement, the only way to restore the full value of that dollar of issuing price with an assumed investor required return of 10</w:t>
      </w:r>
      <w:r w:rsidR="00B942F8">
        <w:rPr>
          <w:rFonts w:cs="Courier New"/>
        </w:rPr>
        <w:t>.00</w:t>
      </w:r>
      <w:r w:rsidR="00D13C71">
        <w:rPr>
          <w:rFonts w:cs="Courier New"/>
        </w:rPr>
        <w:t xml:space="preserve"> percent</w:t>
      </w:r>
      <w:r w:rsidRPr="0086412B">
        <w:rPr>
          <w:rFonts w:cs="Courier New"/>
        </w:rPr>
        <w:t xml:space="preserve"> is for the net investment, $0.95, to earn more than 10</w:t>
      </w:r>
      <w:r w:rsidR="00B942F8">
        <w:rPr>
          <w:rFonts w:cs="Courier New"/>
        </w:rPr>
        <w:t>.00</w:t>
      </w:r>
      <w:r w:rsidR="00D13C71">
        <w:rPr>
          <w:rFonts w:cs="Courier New"/>
        </w:rPr>
        <w:t xml:space="preserve"> percent</w:t>
      </w:r>
      <w:r w:rsidRPr="0086412B">
        <w:rPr>
          <w:rFonts w:cs="Courier New"/>
        </w:rPr>
        <w:t xml:space="preserve"> to net back to the investor a fair return on that dollar.  In other words, if a company issues stock at $1.00 with 5</w:t>
      </w:r>
      <w:r w:rsidR="00B942F8">
        <w:rPr>
          <w:rFonts w:cs="Courier New"/>
        </w:rPr>
        <w:t>.00</w:t>
      </w:r>
      <w:r w:rsidR="00D13C71">
        <w:rPr>
          <w:rFonts w:cs="Courier New"/>
        </w:rPr>
        <w:t xml:space="preserve"> percent</w:t>
      </w:r>
      <w:r w:rsidRPr="0086412B">
        <w:rPr>
          <w:rFonts w:cs="Courier New"/>
        </w:rPr>
        <w:t xml:space="preserve"> in flotation costs, it will net $0.95 in investment.  Assuming the investor in that stock requires a 10</w:t>
      </w:r>
      <w:r w:rsidR="00B942F8">
        <w:rPr>
          <w:rFonts w:cs="Courier New"/>
        </w:rPr>
        <w:t>.00</w:t>
      </w:r>
      <w:r w:rsidR="00D13C71">
        <w:rPr>
          <w:rFonts w:cs="Courier New"/>
        </w:rPr>
        <w:t xml:space="preserve"> percent</w:t>
      </w:r>
      <w:r w:rsidRPr="0086412B">
        <w:rPr>
          <w:rFonts w:cs="Courier New"/>
        </w:rPr>
        <w:t xml:space="preserve"> return on his or her invested $1.00 (</w:t>
      </w:r>
      <w:r w:rsidRPr="0086412B">
        <w:rPr>
          <w:rFonts w:cs="Courier New"/>
          <w:i/>
        </w:rPr>
        <w:t>i.e.</w:t>
      </w:r>
      <w:r w:rsidRPr="0086412B">
        <w:rPr>
          <w:rFonts w:cs="Courier New"/>
        </w:rPr>
        <w:t>, a return of $0.10), the company needs to earn approximately 10.5</w:t>
      </w:r>
      <w:r w:rsidR="00D13C71">
        <w:rPr>
          <w:rFonts w:cs="Courier New"/>
        </w:rPr>
        <w:t xml:space="preserve"> percent</w:t>
      </w:r>
      <w:r w:rsidRPr="0086412B">
        <w:rPr>
          <w:rFonts w:cs="Courier New"/>
        </w:rPr>
        <w:t xml:space="preserve"> on its invested $0.95 to receive a $0.10 return.</w:t>
      </w:r>
    </w:p>
    <w:p w14:paraId="0045FE84" w14:textId="77777777" w:rsidR="000C466B" w:rsidRPr="00B23997" w:rsidRDefault="000C466B" w:rsidP="000C466B">
      <w:pPr>
        <w:pStyle w:val="Header"/>
        <w:widowControl w:val="0"/>
        <w:tabs>
          <w:tab w:val="clear" w:pos="4320"/>
          <w:tab w:val="clear" w:pos="8640"/>
          <w:tab w:val="left" w:pos="720"/>
        </w:tabs>
        <w:ind w:left="720" w:hanging="720"/>
        <w:contextualSpacing/>
        <w:jc w:val="both"/>
        <w:rPr>
          <w:rFonts w:cs="Courier New"/>
        </w:rPr>
      </w:pPr>
    </w:p>
    <w:p w14:paraId="1841CF25" w14:textId="77777777" w:rsidR="000C466B" w:rsidRDefault="000C466B" w:rsidP="000C466B">
      <w:pPr>
        <w:widowControl w:val="0"/>
        <w:ind w:left="720" w:hanging="720"/>
        <w:jc w:val="both"/>
        <w:rPr>
          <w:rFonts w:cs="Courier New"/>
        </w:rPr>
      </w:pPr>
      <w:r w:rsidRPr="00B23997">
        <w:rPr>
          <w:rFonts w:cs="Courier New"/>
          <w:b/>
        </w:rPr>
        <w:t>Q.</w:t>
      </w:r>
      <w:r w:rsidRPr="00B23997">
        <w:rPr>
          <w:rFonts w:cs="Courier New"/>
        </w:rPr>
        <w:tab/>
      </w:r>
      <w:r w:rsidRPr="00CB0BAE">
        <w:rPr>
          <w:rFonts w:cs="Courier New"/>
        </w:rPr>
        <w:t>Do the common equity cost rate models you have used already reflect investors’ anticipation of flotation costs?</w:t>
      </w:r>
    </w:p>
    <w:p w14:paraId="2FB472F8" w14:textId="77777777" w:rsidR="000C466B" w:rsidRDefault="000C466B" w:rsidP="000C466B">
      <w:pPr>
        <w:widowControl w:val="0"/>
        <w:ind w:left="720" w:hanging="720"/>
        <w:jc w:val="both"/>
        <w:rPr>
          <w:rFonts w:cs="Courier New"/>
        </w:rPr>
      </w:pPr>
    </w:p>
    <w:p w14:paraId="38AB629A" w14:textId="551077A4" w:rsidR="000C466B" w:rsidRDefault="000C466B" w:rsidP="000C466B">
      <w:pPr>
        <w:widowControl w:val="0"/>
        <w:ind w:left="720" w:hanging="720"/>
        <w:jc w:val="both"/>
        <w:rPr>
          <w:rFonts w:cs="Courier New"/>
        </w:rPr>
      </w:pPr>
      <w:r w:rsidRPr="00B23997">
        <w:rPr>
          <w:rFonts w:cs="Courier New"/>
          <w:b/>
        </w:rPr>
        <w:t>A.</w:t>
      </w:r>
      <w:r w:rsidRPr="00B23997">
        <w:rPr>
          <w:rFonts w:cs="Courier New"/>
        </w:rPr>
        <w:tab/>
      </w:r>
      <w:r w:rsidRPr="00D043E4">
        <w:rPr>
          <w:rFonts w:cs="Courier New"/>
        </w:rPr>
        <w:t>No.  All of these models assume no transaction costs.  The literature is quite clear that these costs are not reflected in the market prices paid for common stocks.  For example, Brigham and Daves confirm this and provide the methodology utilized to calculate the flotation adjustment.</w:t>
      </w:r>
      <w:r>
        <w:rPr>
          <w:rStyle w:val="EndnoteReference"/>
          <w:rFonts w:cs="Courier New"/>
        </w:rPr>
        <w:endnoteReference w:id="35"/>
      </w:r>
      <w:r>
        <w:rPr>
          <w:rFonts w:cs="Courier New"/>
        </w:rPr>
        <w:t xml:space="preserve">  </w:t>
      </w:r>
      <w:r w:rsidRPr="006F4F2F">
        <w:rPr>
          <w:rFonts w:cs="Courier New"/>
        </w:rPr>
        <w:t xml:space="preserve">In </w:t>
      </w:r>
      <w:r w:rsidRPr="006F4F2F">
        <w:rPr>
          <w:rFonts w:cs="Courier New"/>
        </w:rPr>
        <w:lastRenderedPageBreak/>
        <w:t>addition, Morin confirms the need for such an adjustment even when no new equity issuance is imminent.</w:t>
      </w:r>
      <w:r>
        <w:rPr>
          <w:rStyle w:val="EndnoteReference"/>
          <w:rFonts w:cs="Courier New"/>
        </w:rPr>
        <w:endnoteReference w:id="36"/>
      </w:r>
      <w:r>
        <w:rPr>
          <w:rFonts w:cs="Courier New"/>
        </w:rPr>
        <w:t xml:space="preserve">  </w:t>
      </w:r>
      <w:r w:rsidRPr="008743E4">
        <w:rPr>
          <w:rFonts w:cs="Courier New"/>
        </w:rPr>
        <w:t>Consequently, it is proper to include a flotation cost adjustment when using cost of common equity models to estimate the common equity cost rate.</w:t>
      </w:r>
    </w:p>
    <w:p w14:paraId="73CABBAC" w14:textId="77777777" w:rsidR="00B84319" w:rsidRPr="0073351E" w:rsidRDefault="00B84319" w:rsidP="000C466B">
      <w:pPr>
        <w:widowControl w:val="0"/>
        <w:ind w:left="720" w:hanging="720"/>
        <w:jc w:val="both"/>
        <w:rPr>
          <w:rFonts w:cs="Courier New"/>
        </w:rPr>
      </w:pPr>
    </w:p>
    <w:p w14:paraId="6DCEF887" w14:textId="77777777" w:rsidR="000C466B" w:rsidRDefault="000C466B" w:rsidP="001B2C3D">
      <w:pPr>
        <w:widowControl w:val="0"/>
        <w:ind w:left="720" w:hanging="720"/>
        <w:jc w:val="both"/>
        <w:rPr>
          <w:rFonts w:cs="Courier New"/>
        </w:rPr>
      </w:pPr>
      <w:r w:rsidRPr="00B23997">
        <w:rPr>
          <w:rFonts w:cs="Courier New"/>
          <w:b/>
        </w:rPr>
        <w:t>Q.</w:t>
      </w:r>
      <w:r w:rsidRPr="00B23997">
        <w:rPr>
          <w:rFonts w:cs="Courier New"/>
        </w:rPr>
        <w:tab/>
      </w:r>
      <w:r w:rsidRPr="00CC48C1">
        <w:rPr>
          <w:rFonts w:cs="Courier New"/>
        </w:rPr>
        <w:t>How did you calculate the flotation cost allowance?</w:t>
      </w:r>
    </w:p>
    <w:p w14:paraId="38215113" w14:textId="77777777" w:rsidR="000C466B" w:rsidRDefault="000C466B" w:rsidP="001B2C3D">
      <w:pPr>
        <w:widowControl w:val="0"/>
        <w:ind w:left="720" w:hanging="720"/>
        <w:jc w:val="both"/>
        <w:rPr>
          <w:rFonts w:cs="Courier New"/>
        </w:rPr>
      </w:pPr>
    </w:p>
    <w:p w14:paraId="71300D75" w14:textId="3E6A24D0" w:rsidR="000C466B" w:rsidRPr="0073351E" w:rsidRDefault="000C466B" w:rsidP="001B2C3D">
      <w:pPr>
        <w:widowControl w:val="0"/>
        <w:ind w:left="720" w:hanging="720"/>
        <w:jc w:val="both"/>
        <w:rPr>
          <w:rFonts w:cs="Courier New"/>
        </w:rPr>
      </w:pPr>
      <w:r w:rsidRPr="00B23997">
        <w:rPr>
          <w:rFonts w:cs="Courier New"/>
          <w:b/>
        </w:rPr>
        <w:t>A.</w:t>
      </w:r>
      <w:r w:rsidRPr="00B23997">
        <w:rPr>
          <w:rFonts w:cs="Courier New"/>
        </w:rPr>
        <w:tab/>
      </w:r>
      <w:r w:rsidRPr="00775370">
        <w:rPr>
          <w:rFonts w:cs="Courier New"/>
        </w:rPr>
        <w:t>I modified the DCF calculation to provide a dividend yield that would reimburse investors for issuance costs in accordance with the method cited in literature by Brigham and Daves, as well as by Morin.  The flotation cost adjustment recognizes the actual costs of issuing equity that were incurred by Emera in its equity issuances since 2016 when it acqui</w:t>
      </w:r>
      <w:r w:rsidR="009752F5">
        <w:rPr>
          <w:rFonts w:cs="Courier New"/>
        </w:rPr>
        <w:t>r</w:t>
      </w:r>
      <w:r w:rsidRPr="00775370">
        <w:rPr>
          <w:rFonts w:cs="Courier New"/>
        </w:rPr>
        <w:t xml:space="preserve">ed </w:t>
      </w:r>
      <w:r w:rsidR="00805765">
        <w:rPr>
          <w:rFonts w:cs="Courier New"/>
        </w:rPr>
        <w:t>Peoples</w:t>
      </w:r>
      <w:r w:rsidRPr="00775370">
        <w:rPr>
          <w:rFonts w:cs="Courier New"/>
        </w:rPr>
        <w:t xml:space="preserve">.  Based on the issuance costs shown on </w:t>
      </w:r>
      <w:r w:rsidR="00ED23D9" w:rsidRPr="00C55E3B">
        <w:rPr>
          <w:rFonts w:cs="Courier New"/>
        </w:rPr>
        <w:t>Document No. 8</w:t>
      </w:r>
      <w:r w:rsidRPr="00E21F48">
        <w:rPr>
          <w:rFonts w:cs="Courier New"/>
        </w:rPr>
        <w:t xml:space="preserve">, an adjustment of </w:t>
      </w:r>
      <w:r w:rsidRPr="00C55E3B">
        <w:rPr>
          <w:rFonts w:cs="Courier New"/>
        </w:rPr>
        <w:t>0.</w:t>
      </w:r>
      <w:r w:rsidR="00E21F48" w:rsidRPr="00E21F48">
        <w:rPr>
          <w:rFonts w:cs="Courier New"/>
        </w:rPr>
        <w:t xml:space="preserve">12 </w:t>
      </w:r>
      <w:r w:rsidR="00D13C71" w:rsidRPr="00E21F48">
        <w:rPr>
          <w:rFonts w:cs="Courier New"/>
        </w:rPr>
        <w:t>percent</w:t>
      </w:r>
      <w:r w:rsidRPr="00775370">
        <w:rPr>
          <w:rFonts w:cs="Courier New"/>
        </w:rPr>
        <w:t xml:space="preserve"> is required to reflect the flotation costs applicable to the </w:t>
      </w:r>
      <w:r w:rsidR="00F416CB">
        <w:rPr>
          <w:rFonts w:cs="Courier New"/>
        </w:rPr>
        <w:t>Utility Proxy Group</w:t>
      </w:r>
      <w:r w:rsidRPr="00775370">
        <w:rPr>
          <w:rFonts w:cs="Courier New"/>
        </w:rPr>
        <w:t>.</w:t>
      </w:r>
    </w:p>
    <w:p w14:paraId="5B812D40" w14:textId="77777777" w:rsidR="000C466B" w:rsidRPr="0073351E" w:rsidRDefault="000C466B" w:rsidP="000C466B">
      <w:pPr>
        <w:widowControl w:val="0"/>
        <w:ind w:left="720" w:hanging="720"/>
        <w:jc w:val="both"/>
        <w:rPr>
          <w:rFonts w:cs="Courier New"/>
        </w:rPr>
      </w:pPr>
    </w:p>
    <w:p w14:paraId="52EE5A70" w14:textId="79991389" w:rsidR="009A5A7C" w:rsidRPr="0073351E" w:rsidRDefault="00206EF6" w:rsidP="00F413CA">
      <w:pPr>
        <w:pStyle w:val="Heading2"/>
        <w:numPr>
          <w:ilvl w:val="0"/>
          <w:numId w:val="6"/>
        </w:numPr>
        <w:pBdr>
          <w:left w:val="none" w:sz="0" w:space="0" w:color="auto"/>
          <w:right w:val="none" w:sz="0" w:space="0" w:color="auto"/>
        </w:pBdr>
        <w:ind w:hanging="720"/>
        <w:jc w:val="left"/>
      </w:pPr>
      <w:bookmarkStart w:id="22" w:name="_Toc129962214"/>
      <w:r>
        <w:t>Business Risk</w:t>
      </w:r>
      <w:r w:rsidR="00BB03C1">
        <w:t xml:space="preserve"> </w:t>
      </w:r>
      <w:r w:rsidR="009A5A7C">
        <w:t>Adjustment</w:t>
      </w:r>
      <w:bookmarkEnd w:id="22"/>
    </w:p>
    <w:p w14:paraId="0B8F499D" w14:textId="39DF9754" w:rsidR="009A5A7C" w:rsidRDefault="009A5A7C" w:rsidP="00EE19DD">
      <w:pPr>
        <w:widowControl w:val="0"/>
        <w:ind w:left="720" w:hanging="720"/>
        <w:jc w:val="both"/>
        <w:rPr>
          <w:rFonts w:cs="Courier New"/>
        </w:rPr>
      </w:pPr>
      <w:r w:rsidRPr="00B23997">
        <w:rPr>
          <w:rFonts w:cs="Courier New"/>
          <w:b/>
        </w:rPr>
        <w:t>Q.</w:t>
      </w:r>
      <w:r w:rsidRPr="00B23997">
        <w:rPr>
          <w:rFonts w:cs="Courier New"/>
        </w:rPr>
        <w:tab/>
      </w:r>
      <w:r w:rsidRPr="00A240E7">
        <w:rPr>
          <w:rFonts w:cs="Courier New"/>
        </w:rPr>
        <w:t xml:space="preserve">Does </w:t>
      </w:r>
      <w:r w:rsidR="00805765">
        <w:rPr>
          <w:rFonts w:cs="Courier New"/>
        </w:rPr>
        <w:t>Peoples</w:t>
      </w:r>
      <w:r w:rsidR="00915CB5">
        <w:rPr>
          <w:rFonts w:cs="Courier New"/>
        </w:rPr>
        <w:t>’</w:t>
      </w:r>
      <w:r w:rsidRPr="00A240E7">
        <w:rPr>
          <w:rFonts w:cs="Courier New"/>
        </w:rPr>
        <w:t xml:space="preserve"> smaller size relative to the </w:t>
      </w:r>
      <w:r w:rsidR="00F416CB">
        <w:rPr>
          <w:rFonts w:cs="Courier New"/>
        </w:rPr>
        <w:t>Utility Proxy Group</w:t>
      </w:r>
      <w:r w:rsidRPr="00A240E7">
        <w:rPr>
          <w:rFonts w:cs="Courier New"/>
        </w:rPr>
        <w:t xml:space="preserve"> companies increase its business risk?</w:t>
      </w:r>
    </w:p>
    <w:p w14:paraId="1307C1B0" w14:textId="77777777" w:rsidR="009A5A7C" w:rsidRDefault="009A5A7C" w:rsidP="00EE19DD">
      <w:pPr>
        <w:widowControl w:val="0"/>
        <w:ind w:left="720" w:hanging="720"/>
        <w:jc w:val="both"/>
        <w:rPr>
          <w:rFonts w:cs="Courier New"/>
        </w:rPr>
      </w:pPr>
    </w:p>
    <w:p w14:paraId="297990E5" w14:textId="63ADAE80"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59173D">
        <w:rPr>
          <w:rFonts w:cs="Courier New"/>
        </w:rPr>
        <w:t xml:space="preserve">Yes.  </w:t>
      </w:r>
      <w:r w:rsidR="00805765">
        <w:rPr>
          <w:rFonts w:cs="Courier New"/>
        </w:rPr>
        <w:t>Peoples</w:t>
      </w:r>
      <w:r w:rsidR="00397479">
        <w:rPr>
          <w:rFonts w:cs="Courier New"/>
        </w:rPr>
        <w:t>’</w:t>
      </w:r>
      <w:r w:rsidRPr="0059173D">
        <w:rPr>
          <w:rFonts w:cs="Courier New"/>
        </w:rPr>
        <w:t xml:space="preserve"> smaller size relative to the </w:t>
      </w:r>
      <w:r w:rsidR="00F416CB">
        <w:rPr>
          <w:rFonts w:cs="Courier New"/>
        </w:rPr>
        <w:t>Utility Proxy Group</w:t>
      </w:r>
      <w:r w:rsidRPr="0059173D">
        <w:rPr>
          <w:rFonts w:cs="Courier New"/>
        </w:rPr>
        <w:t xml:space="preserve"> companies indicates greater relative business risk for </w:t>
      </w:r>
      <w:r w:rsidRPr="0059173D">
        <w:rPr>
          <w:rFonts w:cs="Courier New"/>
        </w:rPr>
        <w:lastRenderedPageBreak/>
        <w:t xml:space="preserve">the </w:t>
      </w:r>
      <w:r w:rsidR="00012C7E">
        <w:rPr>
          <w:rFonts w:cs="Courier New"/>
        </w:rPr>
        <w:t>c</w:t>
      </w:r>
      <w:r w:rsidRPr="0059173D">
        <w:rPr>
          <w:rFonts w:cs="Courier New"/>
        </w:rPr>
        <w:t>ompany because, all else being equal, size has a material bearing on risk.</w:t>
      </w:r>
    </w:p>
    <w:p w14:paraId="1AB6A1A4" w14:textId="77777777" w:rsidR="00012C7E" w:rsidRPr="0059173D" w:rsidRDefault="00012C7E" w:rsidP="00EE19DD">
      <w:pPr>
        <w:widowControl w:val="0"/>
        <w:ind w:left="720" w:hanging="720"/>
        <w:jc w:val="both"/>
        <w:rPr>
          <w:rFonts w:cs="Courier New"/>
        </w:rPr>
      </w:pPr>
    </w:p>
    <w:p w14:paraId="37B87869" w14:textId="0AA6C2FD" w:rsidR="009A5A7C" w:rsidRPr="0059173D" w:rsidRDefault="009A5A7C" w:rsidP="00EE19DD">
      <w:pPr>
        <w:widowControl w:val="0"/>
        <w:ind w:left="720" w:hanging="720"/>
        <w:jc w:val="both"/>
        <w:rPr>
          <w:rFonts w:cs="Courier New"/>
          <w:b/>
          <w:bCs/>
        </w:rPr>
      </w:pPr>
      <w:r>
        <w:rPr>
          <w:rFonts w:cs="Courier New"/>
        </w:rPr>
        <w:tab/>
      </w:r>
      <w:r w:rsidRPr="0059173D">
        <w:rPr>
          <w:rFonts w:cs="Courier New"/>
        </w:rPr>
        <w:t>Size affects business risk because smaller companies generally are less able to cope with significant events that affect sales, revenues, and earnings.  For example, smaller companies face more risk exposure to business cycles and economic conditions, both nationally and locally.  Additionally, the loss of revenues from a few larger customers would have a greater effect on a small company than on a bigger company with a larger, more diverse, customer base.</w:t>
      </w:r>
    </w:p>
    <w:p w14:paraId="00DA6604" w14:textId="77777777" w:rsidR="009A5A7C" w:rsidRDefault="009A5A7C" w:rsidP="00EE19DD">
      <w:pPr>
        <w:widowControl w:val="0"/>
        <w:ind w:left="720" w:hanging="720"/>
        <w:jc w:val="both"/>
        <w:rPr>
          <w:rFonts w:cs="Courier New"/>
        </w:rPr>
      </w:pPr>
    </w:p>
    <w:p w14:paraId="3AF0181B" w14:textId="3F889F7C" w:rsidR="009A5A7C" w:rsidRPr="0059173D" w:rsidRDefault="009A5A7C" w:rsidP="00EE19DD">
      <w:pPr>
        <w:widowControl w:val="0"/>
        <w:ind w:left="720" w:hanging="720"/>
        <w:jc w:val="both"/>
        <w:rPr>
          <w:rFonts w:cs="Courier New"/>
          <w:b/>
          <w:bCs/>
        </w:rPr>
      </w:pPr>
      <w:r>
        <w:rPr>
          <w:rFonts w:cs="Courier New"/>
        </w:rPr>
        <w:tab/>
      </w:r>
      <w:r w:rsidRPr="0059173D">
        <w:rPr>
          <w:rFonts w:cs="Courier New"/>
        </w:rPr>
        <w:t>As further evidence that smaller firms are riskier, investors generally demand greater returns from smaller firms to compensate for less marketability and liquidity of their securities.  Kroll’s Cost of Capital Navigator: U.S. Cost of Capital Module (“Kroll”) discusses the nature of the small-size phenomenon, providing an indication of the magnitude of the size premium based on several measures of size.  In discussing “Size as a Predictor of Equity Returns,” Kroll states:</w:t>
      </w:r>
    </w:p>
    <w:p w14:paraId="2B9E3283" w14:textId="3A4861CB" w:rsidR="009A5A7C" w:rsidRPr="0073351E" w:rsidRDefault="009A5A7C" w:rsidP="00821DF7">
      <w:pPr>
        <w:widowControl w:val="0"/>
        <w:ind w:left="1440" w:right="720" w:hanging="1440"/>
        <w:jc w:val="both"/>
        <w:rPr>
          <w:rFonts w:cs="Courier New"/>
        </w:rPr>
      </w:pPr>
      <w:r>
        <w:rPr>
          <w:rFonts w:cs="Courier New"/>
        </w:rPr>
        <w:tab/>
      </w:r>
      <w:r w:rsidRPr="0059173D">
        <w:rPr>
          <w:rFonts w:cs="Courier New"/>
        </w:rPr>
        <w:t xml:space="preserve">The size effect is based on the empirical observation that companies of smaller size are associated with greater risk and, therefore, have greater cost of capital [sic].  The “size” of a </w:t>
      </w:r>
      <w:r w:rsidRPr="0059173D">
        <w:rPr>
          <w:rFonts w:cs="Courier New"/>
        </w:rPr>
        <w:lastRenderedPageBreak/>
        <w:t xml:space="preserve">company is one of the most important risk elements to consider when developing cost of equity capital estimates for use in valuing a business simply because size has been shown to be a </w:t>
      </w:r>
      <w:r w:rsidRPr="0059173D">
        <w:rPr>
          <w:rFonts w:cs="Courier New"/>
          <w:i/>
        </w:rPr>
        <w:t>predictor</w:t>
      </w:r>
      <w:r w:rsidRPr="0059173D">
        <w:rPr>
          <w:rFonts w:cs="Courier New"/>
        </w:rPr>
        <w:t xml:space="preserve"> of equity returns.  In other words, there is a significant (negative) relationship between size and historical equity returns – as size </w:t>
      </w:r>
      <w:r w:rsidRPr="0059173D">
        <w:rPr>
          <w:rFonts w:cs="Courier New"/>
          <w:i/>
        </w:rPr>
        <w:t>decreases</w:t>
      </w:r>
      <w:r w:rsidRPr="0059173D">
        <w:rPr>
          <w:rFonts w:cs="Courier New"/>
        </w:rPr>
        <w:t xml:space="preserve">, returns tend to </w:t>
      </w:r>
      <w:r w:rsidRPr="0059173D">
        <w:rPr>
          <w:rFonts w:cs="Courier New"/>
          <w:i/>
        </w:rPr>
        <w:t>increase</w:t>
      </w:r>
      <w:r w:rsidRPr="0059173D">
        <w:rPr>
          <w:rFonts w:cs="Courier New"/>
        </w:rPr>
        <w:t xml:space="preserve">, and vice versa. </w:t>
      </w:r>
      <w:r w:rsidR="00B63515">
        <w:rPr>
          <w:rFonts w:cs="Courier New"/>
        </w:rPr>
        <w:t>[F</w:t>
      </w:r>
      <w:r w:rsidRPr="0059173D">
        <w:rPr>
          <w:rFonts w:cs="Courier New"/>
        </w:rPr>
        <w:t>ootnote omitted</w:t>
      </w:r>
      <w:r w:rsidR="00B63515">
        <w:rPr>
          <w:rFonts w:cs="Courier New"/>
        </w:rPr>
        <w:t>]</w:t>
      </w:r>
      <w:r w:rsidRPr="0059173D">
        <w:rPr>
          <w:rFonts w:cs="Courier New"/>
        </w:rPr>
        <w:t xml:space="preserve"> </w:t>
      </w:r>
      <w:r w:rsidR="00B63515">
        <w:rPr>
          <w:rFonts w:cs="Courier New"/>
        </w:rPr>
        <w:t>[E</w:t>
      </w:r>
      <w:r w:rsidRPr="0059173D">
        <w:rPr>
          <w:rFonts w:cs="Courier New"/>
        </w:rPr>
        <w:t>mphasis in original</w:t>
      </w:r>
      <w:r w:rsidR="00B63515">
        <w:rPr>
          <w:rFonts w:cs="Courier New"/>
        </w:rPr>
        <w:t>]</w:t>
      </w:r>
      <w:r w:rsidRPr="0059173D">
        <w:rPr>
          <w:rFonts w:cs="Courier New"/>
        </w:rPr>
        <w:t>.</w:t>
      </w:r>
      <w:r>
        <w:rPr>
          <w:rStyle w:val="EndnoteReference"/>
          <w:rFonts w:cs="Courier New"/>
        </w:rPr>
        <w:endnoteReference w:id="37"/>
      </w:r>
    </w:p>
    <w:p w14:paraId="6F04A08E" w14:textId="7146ACF3" w:rsidR="009A5A7C" w:rsidRDefault="009A5A7C" w:rsidP="00EE19DD">
      <w:pPr>
        <w:widowControl w:val="0"/>
        <w:ind w:left="720" w:hanging="720"/>
        <w:jc w:val="both"/>
        <w:rPr>
          <w:rFonts w:cs="Courier New"/>
        </w:rPr>
      </w:pPr>
    </w:p>
    <w:p w14:paraId="27B1B2C9" w14:textId="77777777" w:rsidR="009A5A7C" w:rsidRPr="00C4655D" w:rsidRDefault="009A5A7C" w:rsidP="00EE19DD">
      <w:pPr>
        <w:widowControl w:val="0"/>
        <w:ind w:left="720" w:hanging="720"/>
        <w:jc w:val="both"/>
        <w:rPr>
          <w:rFonts w:cs="Courier New"/>
          <w:b/>
          <w:bCs/>
        </w:rPr>
      </w:pPr>
      <w:r>
        <w:rPr>
          <w:rFonts w:cs="Courier New"/>
        </w:rPr>
        <w:tab/>
      </w:r>
      <w:r w:rsidRPr="00C4655D">
        <w:rPr>
          <w:rFonts w:cs="Courier New"/>
        </w:rPr>
        <w:t xml:space="preserve">Furthermore, in </w:t>
      </w:r>
      <w:r w:rsidRPr="00C4655D">
        <w:rPr>
          <w:rFonts w:cs="Courier New"/>
          <w:i/>
          <w:iCs/>
        </w:rPr>
        <w:t>The Capital Asset Pricing Model:  Theory and Evidence</w:t>
      </w:r>
      <w:r w:rsidRPr="00C4655D">
        <w:rPr>
          <w:rFonts w:cs="Courier New"/>
        </w:rPr>
        <w:t>, Fama &amp; French note size is indeed a risk factor which must be reflected when estimating the cost of common equity.  On page 38, they note:</w:t>
      </w:r>
    </w:p>
    <w:p w14:paraId="3F65DC84" w14:textId="6214D34D" w:rsidR="009A5A7C" w:rsidRDefault="009A5A7C" w:rsidP="00D347B5">
      <w:pPr>
        <w:widowControl w:val="0"/>
        <w:ind w:left="1440" w:right="720" w:hanging="1440"/>
        <w:jc w:val="both"/>
        <w:rPr>
          <w:rFonts w:cs="Courier New"/>
        </w:rPr>
      </w:pPr>
      <w:r>
        <w:rPr>
          <w:rFonts w:cs="Courier New"/>
        </w:rPr>
        <w:tab/>
      </w:r>
      <w:r w:rsidRPr="00C4655D">
        <w:rPr>
          <w:rFonts w:cs="Courier New"/>
        </w:rPr>
        <w:t>. . . the higher average returns on small stocks and high book-to-market stocks reflect unidentified state variables that produce undiversifiable risks (covariances) in returns not captured in the market return and are priced separately from market betas.</w:t>
      </w:r>
      <w:r>
        <w:rPr>
          <w:rStyle w:val="EndnoteReference"/>
          <w:rFonts w:cs="Courier New"/>
        </w:rPr>
        <w:endnoteReference w:id="38"/>
      </w:r>
    </w:p>
    <w:p w14:paraId="24B4FB0C" w14:textId="0469CDA0" w:rsidR="009A5A7C" w:rsidRDefault="009A5A7C" w:rsidP="00EE19DD">
      <w:pPr>
        <w:widowControl w:val="0"/>
        <w:ind w:left="720" w:hanging="720"/>
        <w:jc w:val="both"/>
        <w:rPr>
          <w:rFonts w:cs="Courier New"/>
        </w:rPr>
      </w:pPr>
    </w:p>
    <w:p w14:paraId="2595BF17" w14:textId="0B4CC042" w:rsidR="009A5A7C" w:rsidRDefault="009A5A7C" w:rsidP="00EE19DD">
      <w:pPr>
        <w:widowControl w:val="0"/>
        <w:ind w:left="720" w:hanging="720"/>
        <w:jc w:val="both"/>
        <w:rPr>
          <w:rFonts w:cs="Courier New"/>
        </w:rPr>
      </w:pPr>
      <w:r>
        <w:rPr>
          <w:rFonts w:cs="Courier New"/>
        </w:rPr>
        <w:tab/>
      </w:r>
      <w:r w:rsidRPr="000954C3">
        <w:rPr>
          <w:rFonts w:cs="Courier New"/>
        </w:rPr>
        <w:t>Based on this evidence, Fama &amp; French proposed their three-factor model which includes a size variable in recognition of the effect size has on the cost of common equity.</w:t>
      </w:r>
    </w:p>
    <w:p w14:paraId="1A784912" w14:textId="77777777" w:rsidR="009A5A7C" w:rsidRPr="000954C3" w:rsidRDefault="009A5A7C" w:rsidP="00EE19DD">
      <w:pPr>
        <w:widowControl w:val="0"/>
        <w:ind w:left="720" w:hanging="720"/>
        <w:jc w:val="both"/>
        <w:rPr>
          <w:rFonts w:cs="Courier New"/>
          <w:b/>
          <w:bCs/>
        </w:rPr>
      </w:pPr>
    </w:p>
    <w:p w14:paraId="6A0223AD" w14:textId="3644B94B" w:rsidR="009A5A7C" w:rsidRDefault="009A5A7C" w:rsidP="00EE19DD">
      <w:pPr>
        <w:widowControl w:val="0"/>
        <w:ind w:left="720" w:hanging="720"/>
        <w:jc w:val="both"/>
        <w:rPr>
          <w:rFonts w:cs="Courier New"/>
        </w:rPr>
      </w:pPr>
      <w:r>
        <w:rPr>
          <w:rFonts w:cs="Courier New"/>
        </w:rPr>
        <w:lastRenderedPageBreak/>
        <w:tab/>
      </w:r>
      <w:r w:rsidRPr="000954C3">
        <w:rPr>
          <w:rFonts w:cs="Courier New"/>
        </w:rPr>
        <w:t>Also, it is a basic financial principle that the use of funds invested, and not the source of funds, is what gives rise to the risk of any investment.</w:t>
      </w:r>
      <w:r>
        <w:rPr>
          <w:rStyle w:val="EndnoteReference"/>
          <w:rFonts w:cs="Courier New"/>
        </w:rPr>
        <w:endnoteReference w:id="39"/>
      </w:r>
      <w:r>
        <w:rPr>
          <w:rFonts w:cs="Courier New"/>
        </w:rPr>
        <w:t xml:space="preserve">  Eugene Brigham, a well-known authority, states:</w:t>
      </w:r>
    </w:p>
    <w:p w14:paraId="05854947" w14:textId="0AD1807D" w:rsidR="009A5A7C" w:rsidRDefault="009A5A7C" w:rsidP="009413DD">
      <w:pPr>
        <w:widowControl w:val="0"/>
        <w:ind w:left="1440" w:right="720" w:hanging="1440"/>
        <w:jc w:val="both"/>
        <w:rPr>
          <w:rFonts w:cs="Courier New"/>
        </w:rPr>
      </w:pPr>
      <w:r>
        <w:rPr>
          <w:rFonts w:cs="Courier New"/>
        </w:rPr>
        <w:tab/>
      </w:r>
      <w:r w:rsidRPr="00041CD3">
        <w:rPr>
          <w:rFonts w:cs="Courier New"/>
        </w:rPr>
        <w:t>A number of researchers have observed that portfolios of small-firms (sic) have earned consistently higher average returns than those of large-firm stocks; this is called the “small-firm effect.”  On the surface, it would seem to be advantageous to the small firms to provide average returns in a stock market that are higher than those of larger firms.  In reality, it is bad news for the small firm; what the small-firm effect means is that the capital market demands higher returns on stocks of small firms than on otherwise similar stocks of the large firms</w:t>
      </w:r>
      <w:r w:rsidRPr="00041CD3">
        <w:rPr>
          <w:rFonts w:cs="Courier New"/>
          <w:i/>
        </w:rPr>
        <w:t>.</w:t>
      </w:r>
      <w:r w:rsidRPr="00041CD3">
        <w:rPr>
          <w:rFonts w:cs="Courier New"/>
        </w:rPr>
        <w:t xml:space="preserve">  </w:t>
      </w:r>
      <w:r w:rsidR="008D6DAF">
        <w:rPr>
          <w:rFonts w:cs="Courier New"/>
        </w:rPr>
        <w:t>[E</w:t>
      </w:r>
      <w:r w:rsidRPr="00041CD3">
        <w:rPr>
          <w:rFonts w:cs="Courier New"/>
        </w:rPr>
        <w:t>mphasis added</w:t>
      </w:r>
      <w:r w:rsidR="008D6DAF">
        <w:rPr>
          <w:rFonts w:cs="Courier New"/>
        </w:rPr>
        <w:t>]</w:t>
      </w:r>
      <w:r>
        <w:rPr>
          <w:rStyle w:val="EndnoteReference"/>
          <w:rFonts w:cs="Courier New"/>
        </w:rPr>
        <w:endnoteReference w:id="40"/>
      </w:r>
    </w:p>
    <w:p w14:paraId="72CD79DF" w14:textId="341C2603" w:rsidR="009A5A7C" w:rsidRDefault="009A5A7C" w:rsidP="00EE19DD">
      <w:pPr>
        <w:widowControl w:val="0"/>
        <w:ind w:left="720" w:hanging="720"/>
        <w:jc w:val="both"/>
        <w:rPr>
          <w:rFonts w:cs="Courier New"/>
        </w:rPr>
      </w:pPr>
    </w:p>
    <w:p w14:paraId="36EB1D8D" w14:textId="070AF269" w:rsidR="009A5A7C" w:rsidRDefault="009A5A7C" w:rsidP="00EE19DD">
      <w:pPr>
        <w:widowControl w:val="0"/>
        <w:ind w:left="720" w:hanging="720"/>
        <w:jc w:val="both"/>
        <w:rPr>
          <w:rFonts w:cs="Courier New"/>
        </w:rPr>
      </w:pPr>
      <w:r>
        <w:rPr>
          <w:rFonts w:cs="Courier New"/>
        </w:rPr>
        <w:tab/>
      </w:r>
      <w:r w:rsidRPr="0093355F">
        <w:rPr>
          <w:rFonts w:cs="Courier New"/>
        </w:rPr>
        <w:t xml:space="preserve">Consistent with the financial principle of risk and return discussed above, increased relative risk due to small size must be considered in the allowed rate of return on common equity.  Therefore, the Commission’s authorization of a cost rate of common equity in this proceeding must appropriately reflect the unique risks of </w:t>
      </w:r>
      <w:r w:rsidR="00805765">
        <w:rPr>
          <w:rFonts w:cs="Courier New"/>
        </w:rPr>
        <w:t>Peoples</w:t>
      </w:r>
      <w:r w:rsidRPr="0093355F">
        <w:rPr>
          <w:rFonts w:cs="Courier New"/>
        </w:rPr>
        <w:t>, including its smaller relative size, which is justified and supported above by evidence in the financial literature</w:t>
      </w:r>
      <w:r>
        <w:rPr>
          <w:rFonts w:cs="Courier New"/>
        </w:rPr>
        <w:t>.</w:t>
      </w:r>
    </w:p>
    <w:p w14:paraId="1F90670B" w14:textId="228B5C6B" w:rsidR="009A5A7C" w:rsidRDefault="009A5A7C" w:rsidP="00EE19DD">
      <w:pPr>
        <w:widowControl w:val="0"/>
        <w:ind w:left="720" w:hanging="720"/>
        <w:jc w:val="both"/>
        <w:rPr>
          <w:rFonts w:cs="Courier New"/>
        </w:rPr>
      </w:pPr>
      <w:r w:rsidRPr="00B23997">
        <w:rPr>
          <w:rFonts w:cs="Courier New"/>
          <w:b/>
        </w:rPr>
        <w:lastRenderedPageBreak/>
        <w:t>Q.</w:t>
      </w:r>
      <w:r w:rsidRPr="00B23997">
        <w:rPr>
          <w:rFonts w:cs="Courier New"/>
        </w:rPr>
        <w:tab/>
      </w:r>
      <w:r w:rsidRPr="00F47C3F">
        <w:rPr>
          <w:rFonts w:cs="Courier New"/>
        </w:rPr>
        <w:t xml:space="preserve">Is there a way to quantify a relative risk adjustment due to </w:t>
      </w:r>
      <w:r w:rsidR="00805765">
        <w:rPr>
          <w:rFonts w:cs="Courier New"/>
        </w:rPr>
        <w:t>Peoples</w:t>
      </w:r>
      <w:r w:rsidR="00197B8C">
        <w:rPr>
          <w:rFonts w:cs="Courier New"/>
        </w:rPr>
        <w:t>’</w:t>
      </w:r>
      <w:r w:rsidRPr="00F47C3F">
        <w:rPr>
          <w:rFonts w:cs="Courier New"/>
        </w:rPr>
        <w:t xml:space="preserve"> smaller size relative to the </w:t>
      </w:r>
      <w:r w:rsidR="00F416CB">
        <w:rPr>
          <w:rFonts w:cs="Courier New"/>
        </w:rPr>
        <w:t>Utility Proxy Group</w:t>
      </w:r>
      <w:r w:rsidRPr="00F47C3F">
        <w:rPr>
          <w:rFonts w:cs="Courier New"/>
        </w:rPr>
        <w:t>?</w:t>
      </w:r>
    </w:p>
    <w:p w14:paraId="576533A9" w14:textId="77777777" w:rsidR="00EC465D" w:rsidRDefault="00EC465D" w:rsidP="00EE19DD">
      <w:pPr>
        <w:widowControl w:val="0"/>
        <w:ind w:left="720" w:hanging="720"/>
        <w:jc w:val="both"/>
        <w:rPr>
          <w:rFonts w:cs="Courier New"/>
        </w:rPr>
      </w:pPr>
    </w:p>
    <w:p w14:paraId="4DCEE970" w14:textId="078B9DCB" w:rsidR="009A5A7C" w:rsidRPr="0073351E" w:rsidRDefault="009A5A7C" w:rsidP="00EE19DD">
      <w:pPr>
        <w:widowControl w:val="0"/>
        <w:ind w:left="720" w:hanging="720"/>
        <w:jc w:val="both"/>
        <w:rPr>
          <w:rFonts w:cs="Courier New"/>
        </w:rPr>
      </w:pPr>
      <w:r w:rsidRPr="00B23997">
        <w:rPr>
          <w:rFonts w:cs="Courier New"/>
          <w:b/>
        </w:rPr>
        <w:t>A.</w:t>
      </w:r>
      <w:r w:rsidRPr="00B23997">
        <w:rPr>
          <w:rFonts w:cs="Courier New"/>
        </w:rPr>
        <w:tab/>
      </w:r>
      <w:r w:rsidRPr="00CD0850">
        <w:rPr>
          <w:rFonts w:cs="Courier New"/>
        </w:rPr>
        <w:t xml:space="preserve">Yes.  </w:t>
      </w:r>
      <w:r w:rsidR="00805765">
        <w:rPr>
          <w:rFonts w:cs="Courier New"/>
        </w:rPr>
        <w:t>Peoples</w:t>
      </w:r>
      <w:r w:rsidRPr="00CD0850">
        <w:rPr>
          <w:rFonts w:cs="Courier New"/>
        </w:rPr>
        <w:t xml:space="preserve"> has greater relative risk than the average utility in the </w:t>
      </w:r>
      <w:r w:rsidR="00F416CB">
        <w:rPr>
          <w:rFonts w:cs="Courier New"/>
        </w:rPr>
        <w:t>Utility Proxy Group</w:t>
      </w:r>
      <w:r w:rsidRPr="00CD0850">
        <w:rPr>
          <w:rFonts w:cs="Courier New"/>
        </w:rPr>
        <w:t xml:space="preserve"> because of its smaller size compared with the utilities in those groups, as measured by an estimated market capitalization of common equity for the </w:t>
      </w:r>
      <w:r w:rsidR="00012C7E">
        <w:rPr>
          <w:rFonts w:cs="Courier New"/>
        </w:rPr>
        <w:t>c</w:t>
      </w:r>
      <w:r w:rsidRPr="00CD0850">
        <w:rPr>
          <w:rFonts w:cs="Courier New"/>
        </w:rPr>
        <w:t>ompany.</w:t>
      </w:r>
    </w:p>
    <w:p w14:paraId="15DE5A6A" w14:textId="2E3C2671" w:rsidR="009A5A7C" w:rsidRDefault="009A5A7C" w:rsidP="00EE19DD">
      <w:pPr>
        <w:widowControl w:val="0"/>
        <w:ind w:left="720" w:hanging="720"/>
        <w:jc w:val="both"/>
        <w:rPr>
          <w:rFonts w:cs="Courier New"/>
        </w:rPr>
      </w:pPr>
    </w:p>
    <w:p w14:paraId="549B861B" w14:textId="2FC8C883" w:rsidR="009A5A7C" w:rsidRDefault="009A5A7C" w:rsidP="00EE19DD">
      <w:pPr>
        <w:widowControl w:val="0"/>
        <w:ind w:left="720" w:hanging="720"/>
        <w:jc w:val="both"/>
        <w:rPr>
          <w:rFonts w:cs="Courier New"/>
        </w:rPr>
      </w:pPr>
      <w:r>
        <w:rPr>
          <w:rFonts w:cs="Courier New"/>
        </w:rPr>
        <w:tab/>
        <w:t xml:space="preserve">As shown in </w:t>
      </w:r>
      <w:r w:rsidR="003E79F1">
        <w:rPr>
          <w:rFonts w:cs="Courier New"/>
        </w:rPr>
        <w:t xml:space="preserve">page 1 of </w:t>
      </w:r>
      <w:r w:rsidR="003E79F1" w:rsidRPr="00C55E3B">
        <w:rPr>
          <w:rFonts w:cs="Courier New"/>
        </w:rPr>
        <w:t xml:space="preserve">Document No. </w:t>
      </w:r>
      <w:r w:rsidR="00F71274" w:rsidRPr="00C55E3B">
        <w:rPr>
          <w:rFonts w:cs="Courier New"/>
        </w:rPr>
        <w:t>9</w:t>
      </w:r>
      <w:r>
        <w:rPr>
          <w:rFonts w:cs="Courier New"/>
        </w:rPr>
        <w:t xml:space="preserve">, </w:t>
      </w:r>
      <w:r w:rsidR="00805765">
        <w:rPr>
          <w:rFonts w:cs="Courier New"/>
        </w:rPr>
        <w:t>Peoples</w:t>
      </w:r>
      <w:r w:rsidR="00197B8C">
        <w:rPr>
          <w:rFonts w:cs="Courier New"/>
        </w:rPr>
        <w:t>’</w:t>
      </w:r>
      <w:r w:rsidRPr="00DE04D8">
        <w:rPr>
          <w:rFonts w:cs="Courier New"/>
        </w:rPr>
        <w:t xml:space="preserve"> estimated market capitalization</w:t>
      </w:r>
      <w:r w:rsidR="00871408">
        <w:rPr>
          <w:rFonts w:cs="Courier New"/>
        </w:rPr>
        <w:t xml:space="preserve"> i</w:t>
      </w:r>
      <w:r w:rsidRPr="00DE04D8">
        <w:rPr>
          <w:rFonts w:cs="Courier New"/>
        </w:rPr>
        <w:t xml:space="preserve">s </w:t>
      </w:r>
      <w:r w:rsidR="00871408">
        <w:rPr>
          <w:rFonts w:cs="Courier New"/>
        </w:rPr>
        <w:t xml:space="preserve">approximately </w:t>
      </w:r>
      <w:r w:rsidRPr="00DE04D8">
        <w:rPr>
          <w:rFonts w:cs="Courier New"/>
        </w:rPr>
        <w:t>$</w:t>
      </w:r>
      <w:r w:rsidR="003D1A16">
        <w:rPr>
          <w:rFonts w:cs="Courier New"/>
        </w:rPr>
        <w:t>2</w:t>
      </w:r>
      <w:r w:rsidR="004744C6">
        <w:rPr>
          <w:rFonts w:cs="Courier New"/>
        </w:rPr>
        <w:t>.</w:t>
      </w:r>
      <w:r w:rsidR="003D1A16">
        <w:rPr>
          <w:rFonts w:cs="Courier New"/>
        </w:rPr>
        <w:t>180</w:t>
      </w:r>
      <w:r w:rsidRPr="00DE04D8">
        <w:rPr>
          <w:rFonts w:cs="Courier New"/>
        </w:rPr>
        <w:t xml:space="preserve"> </w:t>
      </w:r>
      <w:r w:rsidR="004744C6">
        <w:rPr>
          <w:rFonts w:cs="Courier New"/>
        </w:rPr>
        <w:t>b</w:t>
      </w:r>
      <w:r w:rsidRPr="00DE04D8">
        <w:rPr>
          <w:rFonts w:cs="Courier New"/>
        </w:rPr>
        <w:t>illion, compared with the market capitalization of the average compan</w:t>
      </w:r>
      <w:r w:rsidR="007D5A1B">
        <w:rPr>
          <w:rFonts w:cs="Courier New"/>
        </w:rPr>
        <w:t>ies</w:t>
      </w:r>
      <w:r w:rsidRPr="00DE04D8">
        <w:rPr>
          <w:rFonts w:cs="Courier New"/>
        </w:rPr>
        <w:t xml:space="preserve"> in the </w:t>
      </w:r>
      <w:r w:rsidR="00F416CB">
        <w:rPr>
          <w:rFonts w:cs="Courier New"/>
        </w:rPr>
        <w:t>Utility Proxy Group</w:t>
      </w:r>
      <w:r w:rsidRPr="00DE04D8">
        <w:rPr>
          <w:rFonts w:cs="Courier New"/>
        </w:rPr>
        <w:t xml:space="preserve"> of </w:t>
      </w:r>
      <w:r w:rsidR="007D5A1B" w:rsidRPr="000456D5">
        <w:rPr>
          <w:rFonts w:cs="Courier New"/>
        </w:rPr>
        <w:t xml:space="preserve">approximately </w:t>
      </w:r>
      <w:r w:rsidRPr="000456D5">
        <w:rPr>
          <w:rFonts w:cs="Courier New"/>
        </w:rPr>
        <w:t>$</w:t>
      </w:r>
      <w:r w:rsidR="00A94224" w:rsidRPr="000456D5">
        <w:rPr>
          <w:rFonts w:cs="Courier New"/>
        </w:rPr>
        <w:t>6</w:t>
      </w:r>
      <w:r w:rsidRPr="000456D5">
        <w:rPr>
          <w:rFonts w:cs="Courier New"/>
        </w:rPr>
        <w:t>.</w:t>
      </w:r>
      <w:r w:rsidR="00BC28AD" w:rsidRPr="000456D5">
        <w:rPr>
          <w:rFonts w:cs="Courier New"/>
        </w:rPr>
        <w:t>634</w:t>
      </w:r>
      <w:r w:rsidRPr="000456D5">
        <w:rPr>
          <w:rFonts w:cs="Courier New"/>
        </w:rPr>
        <w:t xml:space="preserve"> billion as of </w:t>
      </w:r>
      <w:r w:rsidR="00E21F48" w:rsidRPr="000456D5">
        <w:rPr>
          <w:rFonts w:cs="Courier New"/>
        </w:rPr>
        <w:t>December 30</w:t>
      </w:r>
      <w:r w:rsidRPr="000456D5">
        <w:rPr>
          <w:rFonts w:cs="Courier New"/>
        </w:rPr>
        <w:t>, 2022.  Th</w:t>
      </w:r>
      <w:r w:rsidRPr="00DE04D8">
        <w:rPr>
          <w:rFonts w:cs="Courier New"/>
        </w:rPr>
        <w:t xml:space="preserve">e average companies in the </w:t>
      </w:r>
      <w:r w:rsidR="00F416CB">
        <w:rPr>
          <w:rFonts w:cs="Courier New"/>
        </w:rPr>
        <w:t>Utility Proxy Group</w:t>
      </w:r>
      <w:r w:rsidRPr="00DE04D8">
        <w:rPr>
          <w:rFonts w:cs="Courier New"/>
        </w:rPr>
        <w:t xml:space="preserve"> have a market capitalization of </w:t>
      </w:r>
      <w:r w:rsidR="00C738EB">
        <w:rPr>
          <w:rFonts w:cs="Courier New"/>
        </w:rPr>
        <w:t xml:space="preserve">three </w:t>
      </w:r>
      <w:r w:rsidRPr="00DE04D8">
        <w:rPr>
          <w:rFonts w:cs="Courier New"/>
        </w:rPr>
        <w:t xml:space="preserve">times the size of </w:t>
      </w:r>
      <w:r w:rsidR="00805765">
        <w:rPr>
          <w:rFonts w:cs="Courier New"/>
        </w:rPr>
        <w:t>Peoples</w:t>
      </w:r>
      <w:r w:rsidR="002D534D">
        <w:rPr>
          <w:rFonts w:cs="Courier New"/>
        </w:rPr>
        <w:t>’</w:t>
      </w:r>
      <w:r w:rsidRPr="00DE04D8">
        <w:rPr>
          <w:rFonts w:cs="Courier New"/>
        </w:rPr>
        <w:t xml:space="preserve"> estimated market capitalization.</w:t>
      </w:r>
      <w:r w:rsidR="00FC1500">
        <w:rPr>
          <w:rFonts w:cs="Courier New"/>
        </w:rPr>
        <w:t xml:space="preserve">  </w:t>
      </w:r>
      <w:r w:rsidRPr="00DE04D8">
        <w:rPr>
          <w:rFonts w:cs="Courier New"/>
        </w:rPr>
        <w:t xml:space="preserve">As a proxy for the business risk adjustment, I used the </w:t>
      </w:r>
      <w:r w:rsidRPr="00DE04D8">
        <w:rPr>
          <w:rFonts w:cs="Courier New"/>
          <w:u w:val="single"/>
        </w:rPr>
        <w:t>SBBI-2022</w:t>
      </w:r>
      <w:r w:rsidRPr="00DE04D8">
        <w:rPr>
          <w:rFonts w:cs="Courier New"/>
        </w:rPr>
        <w:t xml:space="preserve"> size study.  The determination is based on the size premiums for portfolios of New York Stock Exchange, American Stock Exchange, and NASDAQ listed companies ranked by deciles for </w:t>
      </w:r>
      <w:r w:rsidRPr="000456D5">
        <w:rPr>
          <w:rFonts w:cs="Courier New"/>
        </w:rPr>
        <w:t>the 1926 to 2021 period</w:t>
      </w:r>
      <w:r w:rsidRPr="00DE04D8">
        <w:rPr>
          <w:rFonts w:cs="Courier New"/>
        </w:rPr>
        <w:t xml:space="preserve">.  The average size premium for the </w:t>
      </w:r>
      <w:r w:rsidR="00F416CB">
        <w:rPr>
          <w:rFonts w:cs="Courier New"/>
        </w:rPr>
        <w:t>Utility Proxy Group</w:t>
      </w:r>
      <w:r w:rsidRPr="00DE04D8">
        <w:rPr>
          <w:rFonts w:cs="Courier New"/>
        </w:rPr>
        <w:t xml:space="preserve"> with a market capitalization of </w:t>
      </w:r>
      <w:r w:rsidR="00E0644E">
        <w:rPr>
          <w:rFonts w:cs="Courier New"/>
        </w:rPr>
        <w:t xml:space="preserve">approximately </w:t>
      </w:r>
      <w:r w:rsidRPr="00DE04D8">
        <w:rPr>
          <w:rFonts w:cs="Courier New"/>
        </w:rPr>
        <w:t>$</w:t>
      </w:r>
      <w:r w:rsidR="00BC28AD">
        <w:rPr>
          <w:rFonts w:cs="Courier New"/>
        </w:rPr>
        <w:t>6.634</w:t>
      </w:r>
      <w:r w:rsidRPr="00DE04D8">
        <w:rPr>
          <w:rFonts w:cs="Courier New"/>
        </w:rPr>
        <w:t xml:space="preserve"> billion falls in the </w:t>
      </w:r>
      <w:r w:rsidR="00BC28AD">
        <w:rPr>
          <w:rFonts w:cs="Courier New"/>
        </w:rPr>
        <w:t>4</w:t>
      </w:r>
      <w:r w:rsidR="00BC28AD" w:rsidRPr="00C55E3B">
        <w:rPr>
          <w:rFonts w:cs="Courier New"/>
          <w:vertAlign w:val="superscript"/>
        </w:rPr>
        <w:t>th</w:t>
      </w:r>
      <w:r w:rsidR="00BC28AD">
        <w:rPr>
          <w:rFonts w:cs="Courier New"/>
        </w:rPr>
        <w:t xml:space="preserve"> </w:t>
      </w:r>
      <w:r w:rsidRPr="00DE04D8">
        <w:rPr>
          <w:rFonts w:cs="Courier New"/>
        </w:rPr>
        <w:t xml:space="preserve">decile, while the </w:t>
      </w:r>
      <w:r w:rsidR="00012C7E">
        <w:rPr>
          <w:rFonts w:cs="Courier New"/>
        </w:rPr>
        <w:t>c</w:t>
      </w:r>
      <w:r w:rsidRPr="00DE04D8">
        <w:rPr>
          <w:rFonts w:cs="Courier New"/>
        </w:rPr>
        <w:t>ompany’s estimated market capitalizations of $</w:t>
      </w:r>
      <w:r w:rsidR="003D1A16">
        <w:rPr>
          <w:rFonts w:cs="Courier New"/>
        </w:rPr>
        <w:t>2.180</w:t>
      </w:r>
      <w:r w:rsidRPr="00DE04D8">
        <w:rPr>
          <w:rFonts w:cs="Courier New"/>
        </w:rPr>
        <w:t xml:space="preserve"> </w:t>
      </w:r>
      <w:r w:rsidR="00B131CA">
        <w:rPr>
          <w:rFonts w:cs="Courier New"/>
        </w:rPr>
        <w:t>b</w:t>
      </w:r>
      <w:r w:rsidRPr="00DE04D8">
        <w:rPr>
          <w:rFonts w:cs="Courier New"/>
        </w:rPr>
        <w:t xml:space="preserve">illion places it in the </w:t>
      </w:r>
      <w:r w:rsidR="003D1A16">
        <w:rPr>
          <w:rFonts w:cs="Courier New"/>
        </w:rPr>
        <w:t>6</w:t>
      </w:r>
      <w:r w:rsidR="003D1A16" w:rsidRPr="00C55E3B">
        <w:rPr>
          <w:rFonts w:cs="Courier New"/>
          <w:vertAlign w:val="superscript"/>
        </w:rPr>
        <w:t>th</w:t>
      </w:r>
      <w:r w:rsidRPr="00DE04D8">
        <w:rPr>
          <w:rFonts w:cs="Courier New"/>
        </w:rPr>
        <w:t xml:space="preserve"> decile.  The size premium spread </w:t>
      </w:r>
      <w:r w:rsidRPr="00DE04D8">
        <w:rPr>
          <w:rFonts w:cs="Courier New"/>
        </w:rPr>
        <w:lastRenderedPageBreak/>
        <w:t xml:space="preserve">between the </w:t>
      </w:r>
      <w:r w:rsidR="00D43B45" w:rsidRPr="00D43B45">
        <w:rPr>
          <w:rFonts w:cs="Courier New"/>
        </w:rPr>
        <w:t>4</w:t>
      </w:r>
      <w:r w:rsidR="00D43B45" w:rsidRPr="00B131CA">
        <w:rPr>
          <w:rFonts w:cs="Courier New"/>
          <w:vertAlign w:val="superscript"/>
        </w:rPr>
        <w:t>th</w:t>
      </w:r>
      <w:r w:rsidR="00B131CA">
        <w:rPr>
          <w:rFonts w:cs="Courier New"/>
        </w:rPr>
        <w:t xml:space="preserve"> </w:t>
      </w:r>
      <w:r w:rsidRPr="00DE04D8">
        <w:rPr>
          <w:rFonts w:cs="Courier New"/>
        </w:rPr>
        <w:t xml:space="preserve">decile and the </w:t>
      </w:r>
      <w:r w:rsidR="003D1A16">
        <w:rPr>
          <w:rFonts w:cs="Courier New"/>
        </w:rPr>
        <w:t>6</w:t>
      </w:r>
      <w:r w:rsidR="003D1A16" w:rsidRPr="00C55E3B">
        <w:rPr>
          <w:rFonts w:cs="Courier New"/>
          <w:vertAlign w:val="superscript"/>
        </w:rPr>
        <w:t>th</w:t>
      </w:r>
      <w:r w:rsidRPr="00DE04D8">
        <w:rPr>
          <w:rFonts w:cs="Courier New"/>
        </w:rPr>
        <w:t xml:space="preserve"> decile is </w:t>
      </w:r>
      <w:r w:rsidR="003D1A16">
        <w:rPr>
          <w:rFonts w:cs="Courier New"/>
        </w:rPr>
        <w:t>0.62</w:t>
      </w:r>
      <w:r w:rsidR="00B131CA">
        <w:rPr>
          <w:rFonts w:cs="Courier New"/>
        </w:rPr>
        <w:t xml:space="preserve"> </w:t>
      </w:r>
      <w:r w:rsidR="00BF6541">
        <w:rPr>
          <w:rFonts w:cs="Courier New"/>
        </w:rPr>
        <w:t>percent</w:t>
      </w:r>
      <w:r w:rsidRPr="00DE04D8">
        <w:rPr>
          <w:rFonts w:cs="Courier New"/>
        </w:rPr>
        <w:t>.</w:t>
      </w:r>
    </w:p>
    <w:p w14:paraId="360B924E" w14:textId="77777777" w:rsidR="009A5A7C" w:rsidRPr="0073351E" w:rsidRDefault="009A5A7C" w:rsidP="00EE19DD">
      <w:pPr>
        <w:widowControl w:val="0"/>
        <w:ind w:left="720" w:hanging="720"/>
        <w:jc w:val="both"/>
        <w:rPr>
          <w:rFonts w:cs="Courier New"/>
        </w:rPr>
      </w:pPr>
    </w:p>
    <w:p w14:paraId="0E3F4E22" w14:textId="00739AB6" w:rsidR="009A5A7C" w:rsidRDefault="009A5A7C" w:rsidP="00F1100C">
      <w:pPr>
        <w:widowControl w:val="0"/>
        <w:ind w:left="720" w:hanging="720"/>
        <w:jc w:val="both"/>
        <w:rPr>
          <w:rFonts w:cs="Courier New"/>
        </w:rPr>
      </w:pPr>
      <w:r w:rsidRPr="00B23997">
        <w:rPr>
          <w:rFonts w:cs="Courier New"/>
          <w:b/>
        </w:rPr>
        <w:t>Q.</w:t>
      </w:r>
      <w:r w:rsidRPr="00B23997">
        <w:rPr>
          <w:rFonts w:cs="Courier New"/>
        </w:rPr>
        <w:tab/>
      </w:r>
      <w:r w:rsidRPr="00EC5145">
        <w:rPr>
          <w:rFonts w:cs="Courier New"/>
        </w:rPr>
        <w:t xml:space="preserve">Since </w:t>
      </w:r>
      <w:r w:rsidR="00805765">
        <w:rPr>
          <w:rFonts w:cs="Courier New"/>
        </w:rPr>
        <w:t>Peoples</w:t>
      </w:r>
      <w:r w:rsidRPr="00EC5145">
        <w:rPr>
          <w:rFonts w:cs="Courier New"/>
        </w:rPr>
        <w:t xml:space="preserve"> is an indirectly owned operating subsidiary of Emera, why is the size of the total company not more appropriate to use when determining a </w:t>
      </w:r>
      <w:r w:rsidR="000C7AD0">
        <w:rPr>
          <w:rFonts w:cs="Courier New"/>
        </w:rPr>
        <w:t>business risk</w:t>
      </w:r>
      <w:r w:rsidR="000C7AD0" w:rsidRPr="00EC5145">
        <w:rPr>
          <w:rFonts w:cs="Courier New"/>
        </w:rPr>
        <w:t xml:space="preserve"> </w:t>
      </w:r>
      <w:r w:rsidRPr="00EC5145">
        <w:rPr>
          <w:rFonts w:cs="Courier New"/>
        </w:rPr>
        <w:t>adjustment?</w:t>
      </w:r>
    </w:p>
    <w:p w14:paraId="599DA051" w14:textId="77777777" w:rsidR="00CD6EE2" w:rsidRDefault="00CD6EE2" w:rsidP="00656D9B">
      <w:pPr>
        <w:ind w:left="720" w:hanging="720"/>
        <w:jc w:val="both"/>
        <w:rPr>
          <w:rFonts w:cs="Courier New"/>
        </w:rPr>
      </w:pPr>
    </w:p>
    <w:p w14:paraId="313B08C5" w14:textId="0217AC42" w:rsidR="009A5A7C" w:rsidRDefault="009A5A7C" w:rsidP="00EE19DD">
      <w:pPr>
        <w:widowControl w:val="0"/>
        <w:ind w:left="720" w:hanging="720"/>
        <w:jc w:val="both"/>
        <w:rPr>
          <w:rFonts w:cs="Courier New"/>
        </w:rPr>
      </w:pPr>
      <w:r w:rsidRPr="00B23997">
        <w:rPr>
          <w:rFonts w:cs="Courier New"/>
          <w:b/>
        </w:rPr>
        <w:t>A.</w:t>
      </w:r>
      <w:r w:rsidRPr="00B23997">
        <w:rPr>
          <w:rFonts w:cs="Courier New"/>
        </w:rPr>
        <w:tab/>
      </w:r>
      <w:r w:rsidRPr="009A1134">
        <w:rPr>
          <w:rFonts w:cs="Courier New"/>
        </w:rPr>
        <w:t xml:space="preserve">The return derived in this proceeding will not apply to Emera’s operations as a whole, but only to </w:t>
      </w:r>
      <w:r w:rsidR="00805765">
        <w:rPr>
          <w:rFonts w:cs="Courier New"/>
        </w:rPr>
        <w:t>Peoples</w:t>
      </w:r>
      <w:r w:rsidRPr="009A1134">
        <w:rPr>
          <w:rFonts w:cs="Courier New"/>
        </w:rPr>
        <w:t>.  Emera is the sum of its constituent parts, including those constituent parts’ ROEs.  Potential investors in Emera are aware that it is a combination of operations in each state, and that each state’s operations experience the operating risks specific to their jurisdiction.  The market’s expectation of Emera’s return is commensurate with the realities of Emera’s composite operations in each of the states in which it operates.</w:t>
      </w:r>
    </w:p>
    <w:p w14:paraId="31726602" w14:textId="77777777" w:rsidR="005C170C" w:rsidRPr="0073351E" w:rsidRDefault="005C170C" w:rsidP="00EE19DD">
      <w:pPr>
        <w:widowControl w:val="0"/>
        <w:ind w:left="720" w:hanging="720"/>
        <w:jc w:val="both"/>
        <w:rPr>
          <w:rFonts w:cs="Courier New"/>
        </w:rPr>
      </w:pPr>
    </w:p>
    <w:p w14:paraId="088160C3" w14:textId="6521D3E4" w:rsidR="00E20C8F" w:rsidRDefault="00E20C8F" w:rsidP="00E20C8F">
      <w:pPr>
        <w:widowControl w:val="0"/>
        <w:ind w:left="720" w:hanging="720"/>
        <w:jc w:val="both"/>
        <w:rPr>
          <w:rFonts w:cs="Courier New"/>
        </w:rPr>
      </w:pPr>
      <w:r w:rsidRPr="00B23997">
        <w:rPr>
          <w:rFonts w:cs="Courier New"/>
          <w:b/>
        </w:rPr>
        <w:t>Q.</w:t>
      </w:r>
      <w:r w:rsidRPr="00B23997">
        <w:rPr>
          <w:rFonts w:cs="Courier New"/>
        </w:rPr>
        <w:tab/>
      </w:r>
      <w:r w:rsidR="00CB474E">
        <w:rPr>
          <w:rFonts w:cs="Courier New"/>
        </w:rPr>
        <w:t xml:space="preserve">Have you considered any other </w:t>
      </w:r>
      <w:r w:rsidR="00E06A1B">
        <w:rPr>
          <w:rFonts w:cs="Courier New"/>
        </w:rPr>
        <w:t>c</w:t>
      </w:r>
      <w:r w:rsidR="00CB474E">
        <w:rPr>
          <w:rFonts w:cs="Courier New"/>
        </w:rPr>
        <w:t xml:space="preserve">ompany-specific issues in </w:t>
      </w:r>
      <w:r w:rsidR="005C170C">
        <w:rPr>
          <w:rFonts w:cs="Courier New"/>
        </w:rPr>
        <w:t xml:space="preserve">determining </w:t>
      </w:r>
      <w:r w:rsidR="003659CB">
        <w:rPr>
          <w:rFonts w:cs="Courier New"/>
        </w:rPr>
        <w:t xml:space="preserve">the </w:t>
      </w:r>
      <w:r w:rsidR="00E06A1B">
        <w:rPr>
          <w:rFonts w:cs="Courier New"/>
        </w:rPr>
        <w:t>c</w:t>
      </w:r>
      <w:r w:rsidR="003659CB">
        <w:rPr>
          <w:rFonts w:cs="Courier New"/>
        </w:rPr>
        <w:t xml:space="preserve">ompany-specific </w:t>
      </w:r>
      <w:r w:rsidR="005C170C">
        <w:rPr>
          <w:rFonts w:cs="Courier New"/>
        </w:rPr>
        <w:t>business risk adjustment</w:t>
      </w:r>
      <w:r w:rsidR="00CB474E">
        <w:rPr>
          <w:rFonts w:cs="Courier New"/>
        </w:rPr>
        <w:t>?</w:t>
      </w:r>
    </w:p>
    <w:p w14:paraId="6669DC33" w14:textId="77777777" w:rsidR="00E20C8F" w:rsidRDefault="00E20C8F" w:rsidP="00E20C8F">
      <w:pPr>
        <w:widowControl w:val="0"/>
        <w:ind w:left="720" w:hanging="720"/>
        <w:jc w:val="both"/>
        <w:rPr>
          <w:rFonts w:cs="Courier New"/>
        </w:rPr>
      </w:pPr>
    </w:p>
    <w:p w14:paraId="063175AF" w14:textId="4A77D76A" w:rsidR="00E20C8F" w:rsidRPr="0073351E" w:rsidRDefault="00E20C8F" w:rsidP="00E20C8F">
      <w:pPr>
        <w:widowControl w:val="0"/>
        <w:ind w:left="720" w:hanging="720"/>
        <w:jc w:val="both"/>
        <w:rPr>
          <w:rFonts w:cs="Courier New"/>
        </w:rPr>
      </w:pPr>
      <w:r w:rsidRPr="00B23997">
        <w:rPr>
          <w:rFonts w:cs="Courier New"/>
          <w:b/>
        </w:rPr>
        <w:t>A.</w:t>
      </w:r>
      <w:r w:rsidRPr="00B23997">
        <w:rPr>
          <w:rFonts w:cs="Courier New"/>
        </w:rPr>
        <w:tab/>
      </w:r>
      <w:r w:rsidR="000F4C57" w:rsidRPr="000F4C57">
        <w:rPr>
          <w:rFonts w:cs="Courier New"/>
        </w:rPr>
        <w:t xml:space="preserve">Yes, I have. </w:t>
      </w:r>
      <w:r w:rsidR="00A463D3">
        <w:rPr>
          <w:rFonts w:cs="Courier New"/>
        </w:rPr>
        <w:t xml:space="preserve"> </w:t>
      </w:r>
      <w:r w:rsidR="000F4C57" w:rsidRPr="000F4C57">
        <w:rPr>
          <w:rFonts w:cs="Courier New"/>
        </w:rPr>
        <w:t xml:space="preserve">In addition to the </w:t>
      </w:r>
      <w:r w:rsidR="00012C7E">
        <w:rPr>
          <w:rFonts w:cs="Courier New"/>
        </w:rPr>
        <w:t>c</w:t>
      </w:r>
      <w:r w:rsidR="000F4C57" w:rsidRPr="000F4C57">
        <w:rPr>
          <w:rFonts w:cs="Courier New"/>
        </w:rPr>
        <w:t xml:space="preserve">ompany’s smaller relative size, I have also considered the </w:t>
      </w:r>
      <w:r w:rsidR="00012C7E">
        <w:rPr>
          <w:rFonts w:cs="Courier New"/>
        </w:rPr>
        <w:t>c</w:t>
      </w:r>
      <w:r w:rsidR="000F4C57" w:rsidRPr="000F4C57">
        <w:rPr>
          <w:rFonts w:cs="Courier New"/>
        </w:rPr>
        <w:t xml:space="preserve">ompany’s high </w:t>
      </w:r>
      <w:r w:rsidR="009A4BDF">
        <w:rPr>
          <w:rFonts w:cs="Courier New"/>
        </w:rPr>
        <w:t xml:space="preserve">level of </w:t>
      </w:r>
      <w:r w:rsidR="000F4C57" w:rsidRPr="000F4C57">
        <w:rPr>
          <w:rFonts w:cs="Courier New"/>
        </w:rPr>
        <w:t xml:space="preserve">customer </w:t>
      </w:r>
      <w:r w:rsidR="000F4C57" w:rsidRPr="000456D5">
        <w:rPr>
          <w:rFonts w:cs="Courier New"/>
        </w:rPr>
        <w:t>growth</w:t>
      </w:r>
      <w:r w:rsidR="005D2258" w:rsidRPr="000456D5">
        <w:rPr>
          <w:rFonts w:cs="Courier New"/>
        </w:rPr>
        <w:t xml:space="preserve">, </w:t>
      </w:r>
      <w:r w:rsidR="009A4BDF" w:rsidRPr="000456D5">
        <w:rPr>
          <w:rFonts w:cs="Courier New"/>
        </w:rPr>
        <w:t>overall performance</w:t>
      </w:r>
      <w:r w:rsidR="00991738">
        <w:rPr>
          <w:rFonts w:cs="Courier New"/>
        </w:rPr>
        <w:t>,</w:t>
      </w:r>
      <w:r w:rsidR="005D2258" w:rsidRPr="005D2258">
        <w:rPr>
          <w:rFonts w:cs="Courier New"/>
        </w:rPr>
        <w:t xml:space="preserve"> </w:t>
      </w:r>
      <w:r w:rsidR="000F4C57" w:rsidRPr="000F4C57">
        <w:rPr>
          <w:rFonts w:cs="Courier New"/>
        </w:rPr>
        <w:t>and capital expenditure</w:t>
      </w:r>
      <w:r w:rsidR="00A96B6E">
        <w:rPr>
          <w:rFonts w:cs="Courier New"/>
        </w:rPr>
        <w:t xml:space="preserve"> plan</w:t>
      </w:r>
      <w:r w:rsidR="000F4C57" w:rsidRPr="000F4C57">
        <w:rPr>
          <w:rFonts w:cs="Courier New"/>
        </w:rPr>
        <w:t xml:space="preserve">s compared to the </w:t>
      </w:r>
      <w:r w:rsidR="00F416CB">
        <w:rPr>
          <w:rFonts w:cs="Courier New"/>
        </w:rPr>
        <w:t>Utility Proxy Group</w:t>
      </w:r>
      <w:r w:rsidR="000F4C57" w:rsidRPr="000F4C57">
        <w:rPr>
          <w:rFonts w:cs="Courier New"/>
        </w:rPr>
        <w:t xml:space="preserve"> companies in </w:t>
      </w:r>
      <w:r w:rsidR="003659CB">
        <w:rPr>
          <w:rFonts w:cs="Courier New"/>
        </w:rPr>
        <w:t xml:space="preserve">the </w:t>
      </w:r>
      <w:r w:rsidR="00012C7E">
        <w:rPr>
          <w:rFonts w:cs="Courier New"/>
        </w:rPr>
        <w:lastRenderedPageBreak/>
        <w:t>c</w:t>
      </w:r>
      <w:r w:rsidR="003659CB">
        <w:rPr>
          <w:rFonts w:cs="Courier New"/>
        </w:rPr>
        <w:t>ompany-specific business risk adjustment</w:t>
      </w:r>
      <w:r w:rsidR="000F4C57" w:rsidRPr="000F4C57">
        <w:rPr>
          <w:rFonts w:cs="Courier New"/>
        </w:rPr>
        <w:t>.</w:t>
      </w:r>
    </w:p>
    <w:p w14:paraId="327C764B" w14:textId="77777777" w:rsidR="00E20C8F" w:rsidRDefault="00E20C8F" w:rsidP="00E20C8F">
      <w:pPr>
        <w:widowControl w:val="0"/>
        <w:ind w:left="720" w:hanging="720"/>
        <w:jc w:val="both"/>
        <w:rPr>
          <w:rFonts w:cs="Courier New"/>
        </w:rPr>
      </w:pPr>
    </w:p>
    <w:p w14:paraId="2C7B7B5D" w14:textId="7CF46F78" w:rsidR="00E20C8F" w:rsidRDefault="00E20C8F" w:rsidP="00E20C8F">
      <w:pPr>
        <w:widowControl w:val="0"/>
        <w:ind w:left="720" w:hanging="720"/>
        <w:jc w:val="both"/>
        <w:rPr>
          <w:rFonts w:cs="Courier New"/>
        </w:rPr>
      </w:pPr>
      <w:r w:rsidRPr="00B23997">
        <w:rPr>
          <w:rFonts w:cs="Courier New"/>
          <w:b/>
        </w:rPr>
        <w:t>Q.</w:t>
      </w:r>
      <w:r w:rsidRPr="00B23997">
        <w:rPr>
          <w:rFonts w:cs="Courier New"/>
        </w:rPr>
        <w:tab/>
      </w:r>
      <w:r w:rsidR="00CF5A7F" w:rsidRPr="00CF5A7F">
        <w:rPr>
          <w:rFonts w:cs="Courier New"/>
        </w:rPr>
        <w:t xml:space="preserve">Please describe the </w:t>
      </w:r>
      <w:r w:rsidR="00B84319">
        <w:rPr>
          <w:rFonts w:cs="Courier New"/>
        </w:rPr>
        <w:t>c</w:t>
      </w:r>
      <w:r w:rsidR="00CF5A7F" w:rsidRPr="00CF5A7F">
        <w:rPr>
          <w:rFonts w:cs="Courier New"/>
        </w:rPr>
        <w:t>ompany’s customer growth.</w:t>
      </w:r>
    </w:p>
    <w:p w14:paraId="1838745B" w14:textId="77777777" w:rsidR="00E20C8F" w:rsidRDefault="00E20C8F" w:rsidP="00E20C8F">
      <w:pPr>
        <w:widowControl w:val="0"/>
        <w:ind w:left="720" w:hanging="720"/>
        <w:jc w:val="both"/>
        <w:rPr>
          <w:rFonts w:cs="Courier New"/>
        </w:rPr>
      </w:pPr>
    </w:p>
    <w:p w14:paraId="48D48B2B" w14:textId="2D986E4C" w:rsidR="00E20C8F" w:rsidRPr="0073351E" w:rsidRDefault="00E20C8F" w:rsidP="00E20C8F">
      <w:pPr>
        <w:widowControl w:val="0"/>
        <w:ind w:left="720" w:hanging="720"/>
        <w:jc w:val="both"/>
        <w:rPr>
          <w:rFonts w:cs="Courier New"/>
        </w:rPr>
      </w:pPr>
      <w:r w:rsidRPr="00B23997">
        <w:rPr>
          <w:rFonts w:cs="Courier New"/>
          <w:b/>
        </w:rPr>
        <w:t>A.</w:t>
      </w:r>
      <w:r w:rsidRPr="00B23997">
        <w:rPr>
          <w:rFonts w:cs="Courier New"/>
        </w:rPr>
        <w:tab/>
      </w:r>
      <w:r w:rsidR="00E94B6B">
        <w:rPr>
          <w:rFonts w:cs="Courier New"/>
        </w:rPr>
        <w:t xml:space="preserve">As discussed in the </w:t>
      </w:r>
      <w:r w:rsidR="005B3900">
        <w:rPr>
          <w:rFonts w:cs="Courier New"/>
        </w:rPr>
        <w:t>d</w:t>
      </w:r>
      <w:r w:rsidR="00E94B6B">
        <w:rPr>
          <w:rFonts w:cs="Courier New"/>
        </w:rPr>
        <w:t xml:space="preserve">irect </w:t>
      </w:r>
      <w:r w:rsidR="005B3900">
        <w:rPr>
          <w:rFonts w:cs="Courier New"/>
        </w:rPr>
        <w:t>t</w:t>
      </w:r>
      <w:r w:rsidR="00E94B6B" w:rsidRPr="0012211A">
        <w:rPr>
          <w:rFonts w:cs="Courier New"/>
        </w:rPr>
        <w:t xml:space="preserve">estimony of </w:t>
      </w:r>
      <w:r w:rsidR="00805765">
        <w:rPr>
          <w:rFonts w:cs="Courier New"/>
        </w:rPr>
        <w:t>Peoples</w:t>
      </w:r>
      <w:r w:rsidR="00E94B6B" w:rsidRPr="0012211A">
        <w:rPr>
          <w:rFonts w:cs="Courier New"/>
        </w:rPr>
        <w:t xml:space="preserve"> </w:t>
      </w:r>
      <w:r w:rsidR="00E94B6B">
        <w:rPr>
          <w:rFonts w:cs="Courier New"/>
        </w:rPr>
        <w:t xml:space="preserve">witness Eric Fox, the </w:t>
      </w:r>
      <w:r w:rsidR="00012C7E">
        <w:rPr>
          <w:rFonts w:cs="Courier New"/>
        </w:rPr>
        <w:t>c</w:t>
      </w:r>
      <w:r w:rsidR="00E94B6B">
        <w:rPr>
          <w:rFonts w:cs="Courier New"/>
        </w:rPr>
        <w:t>ompany has experienced strong customer growth over the last five years, with average residential customer growth of 4.3 percent and average commercial customer growth of 1.9 percent.</w:t>
      </w:r>
      <w:r w:rsidR="003C3C4F">
        <w:rPr>
          <w:rFonts w:cs="Courier New"/>
        </w:rPr>
        <w:t xml:space="preserve"> </w:t>
      </w:r>
      <w:r w:rsidR="00E94B6B">
        <w:rPr>
          <w:rFonts w:cs="Courier New"/>
        </w:rPr>
        <w:t xml:space="preserve"> As discussed by </w:t>
      </w:r>
      <w:r w:rsidR="005B3900">
        <w:rPr>
          <w:rFonts w:cs="Courier New"/>
        </w:rPr>
        <w:t>witness</w:t>
      </w:r>
      <w:r w:rsidR="00E94B6B">
        <w:rPr>
          <w:rFonts w:cs="Courier New"/>
        </w:rPr>
        <w:t xml:space="preserve"> Fox, </w:t>
      </w:r>
      <w:r w:rsidR="00805765">
        <w:rPr>
          <w:rFonts w:cs="Courier New"/>
        </w:rPr>
        <w:t>Peoples</w:t>
      </w:r>
      <w:r w:rsidR="00E94B6B">
        <w:rPr>
          <w:rFonts w:cs="Courier New"/>
        </w:rPr>
        <w:t xml:space="preserve"> will continue to experience relatively strong growth over the next five years driven by projected household and economic growth</w:t>
      </w:r>
      <w:r w:rsidR="003C3C4F">
        <w:rPr>
          <w:rFonts w:cs="Courier New"/>
        </w:rPr>
        <w:t>.</w:t>
      </w:r>
      <w:r w:rsidR="00394F15">
        <w:rPr>
          <w:rFonts w:cs="Courier New"/>
        </w:rPr>
        <w:t xml:space="preserve">  The increased customer growth in the </w:t>
      </w:r>
      <w:r w:rsidR="00012C7E">
        <w:rPr>
          <w:rFonts w:cs="Courier New"/>
        </w:rPr>
        <w:t>c</w:t>
      </w:r>
      <w:r w:rsidR="00394F15">
        <w:rPr>
          <w:rFonts w:cs="Courier New"/>
        </w:rPr>
        <w:t>ompany’s service territory necessitates increased and accelerated capital investment.</w:t>
      </w:r>
    </w:p>
    <w:p w14:paraId="26B0DD70" w14:textId="77777777" w:rsidR="00E20C8F" w:rsidRDefault="00E20C8F" w:rsidP="00EE19DD">
      <w:pPr>
        <w:widowControl w:val="0"/>
        <w:ind w:left="720" w:hanging="720"/>
        <w:jc w:val="both"/>
        <w:rPr>
          <w:rFonts w:cs="Courier New"/>
        </w:rPr>
      </w:pPr>
    </w:p>
    <w:p w14:paraId="42883A71" w14:textId="261CCCDE" w:rsidR="00EA71A7" w:rsidRDefault="00EA71A7" w:rsidP="00EA71A7">
      <w:pPr>
        <w:widowControl w:val="0"/>
        <w:ind w:left="720" w:hanging="720"/>
        <w:jc w:val="both"/>
        <w:rPr>
          <w:rFonts w:cs="Courier New"/>
        </w:rPr>
      </w:pPr>
      <w:r w:rsidRPr="00B23997">
        <w:rPr>
          <w:rFonts w:cs="Courier New"/>
          <w:b/>
        </w:rPr>
        <w:t>Q.</w:t>
      </w:r>
      <w:r w:rsidRPr="00B23997">
        <w:rPr>
          <w:rFonts w:cs="Courier New"/>
        </w:rPr>
        <w:tab/>
      </w:r>
      <w:r>
        <w:rPr>
          <w:rFonts w:cs="Courier New"/>
        </w:rPr>
        <w:t xml:space="preserve">Please discuss the </w:t>
      </w:r>
      <w:r w:rsidR="005B3900">
        <w:rPr>
          <w:rFonts w:cs="Courier New"/>
        </w:rPr>
        <w:t>c</w:t>
      </w:r>
      <w:r>
        <w:rPr>
          <w:rFonts w:cs="Courier New"/>
        </w:rPr>
        <w:t>ompany’s high</w:t>
      </w:r>
      <w:r w:rsidR="000B7555">
        <w:rPr>
          <w:rFonts w:cs="Courier New"/>
        </w:rPr>
        <w:t xml:space="preserve"> level of overall performance</w:t>
      </w:r>
      <w:r>
        <w:rPr>
          <w:rFonts w:cs="Courier New"/>
        </w:rPr>
        <w:t>.</w:t>
      </w:r>
    </w:p>
    <w:p w14:paraId="7F36EAC5" w14:textId="77777777" w:rsidR="00EA71A7" w:rsidRDefault="00EA71A7" w:rsidP="00EA71A7">
      <w:pPr>
        <w:widowControl w:val="0"/>
        <w:ind w:left="720" w:hanging="720"/>
        <w:jc w:val="both"/>
        <w:rPr>
          <w:rFonts w:cs="Courier New"/>
        </w:rPr>
      </w:pPr>
    </w:p>
    <w:p w14:paraId="78D99314" w14:textId="40F0D8A0" w:rsidR="00EA71A7" w:rsidRPr="0073351E" w:rsidRDefault="00EA71A7" w:rsidP="00EA71A7">
      <w:pPr>
        <w:widowControl w:val="0"/>
        <w:ind w:left="720" w:hanging="720"/>
        <w:jc w:val="both"/>
        <w:rPr>
          <w:rFonts w:cs="Courier New"/>
        </w:rPr>
      </w:pPr>
      <w:r w:rsidRPr="00B23997">
        <w:rPr>
          <w:rFonts w:cs="Courier New"/>
          <w:b/>
        </w:rPr>
        <w:t>A.</w:t>
      </w:r>
      <w:r w:rsidRPr="00B23997">
        <w:rPr>
          <w:rFonts w:cs="Courier New"/>
        </w:rPr>
        <w:tab/>
      </w:r>
      <w:r w:rsidR="00246BFC">
        <w:rPr>
          <w:rFonts w:cs="Courier New"/>
        </w:rPr>
        <w:t xml:space="preserve">Based upon </w:t>
      </w:r>
      <w:r w:rsidR="004A2123">
        <w:rPr>
          <w:rFonts w:cs="Courier New"/>
        </w:rPr>
        <w:t xml:space="preserve">the metrics of </w:t>
      </w:r>
      <w:r w:rsidR="00246BFC">
        <w:rPr>
          <w:rFonts w:cs="Courier New"/>
        </w:rPr>
        <w:t>J</w:t>
      </w:r>
      <w:r w:rsidR="005B3900">
        <w:rPr>
          <w:rFonts w:cs="Courier New"/>
        </w:rPr>
        <w:t>.</w:t>
      </w:r>
      <w:r w:rsidR="00246BFC">
        <w:rPr>
          <w:rFonts w:cs="Courier New"/>
        </w:rPr>
        <w:t>D</w:t>
      </w:r>
      <w:r w:rsidR="005B3900">
        <w:rPr>
          <w:rFonts w:cs="Courier New"/>
        </w:rPr>
        <w:t>.</w:t>
      </w:r>
      <w:r w:rsidR="00246BFC">
        <w:rPr>
          <w:rFonts w:cs="Courier New"/>
        </w:rPr>
        <w:t xml:space="preserve"> Power, which are the industry standard for reliability and service, </w:t>
      </w:r>
      <w:r w:rsidR="00805765">
        <w:rPr>
          <w:rFonts w:cs="Courier New"/>
        </w:rPr>
        <w:t>Peoples</w:t>
      </w:r>
      <w:r w:rsidR="00246BFC">
        <w:rPr>
          <w:rFonts w:cs="Courier New"/>
        </w:rPr>
        <w:t xml:space="preserve"> is a consistently high performing </w:t>
      </w:r>
      <w:r w:rsidR="000456D5">
        <w:rPr>
          <w:rFonts w:cs="Courier New"/>
        </w:rPr>
        <w:t xml:space="preserve">gas </w:t>
      </w:r>
      <w:r w:rsidR="00246BFC">
        <w:rPr>
          <w:rFonts w:cs="Courier New"/>
        </w:rPr>
        <w:t xml:space="preserve">utility. </w:t>
      </w:r>
      <w:r w:rsidR="00994970">
        <w:rPr>
          <w:rFonts w:cs="Courier New"/>
        </w:rPr>
        <w:t xml:space="preserve"> </w:t>
      </w:r>
      <w:r w:rsidR="00805765">
        <w:rPr>
          <w:rFonts w:cs="Courier New"/>
        </w:rPr>
        <w:t>Peoples</w:t>
      </w:r>
      <w:r w:rsidR="007C24D8">
        <w:rPr>
          <w:rFonts w:cs="Courier New"/>
        </w:rPr>
        <w:t xml:space="preserve"> received the </w:t>
      </w:r>
      <w:r w:rsidR="005971EA">
        <w:rPr>
          <w:rFonts w:cs="Courier New"/>
        </w:rPr>
        <w:t>first</w:t>
      </w:r>
      <w:r w:rsidR="00D075E8">
        <w:rPr>
          <w:rFonts w:cs="Courier New"/>
        </w:rPr>
        <w:t>,</w:t>
      </w:r>
      <w:r w:rsidR="005971EA">
        <w:rPr>
          <w:rFonts w:cs="Courier New"/>
        </w:rPr>
        <w:t xml:space="preserve"> second</w:t>
      </w:r>
      <w:r w:rsidR="002571BB">
        <w:rPr>
          <w:rFonts w:cs="Courier New"/>
        </w:rPr>
        <w:t>,</w:t>
      </w:r>
      <w:r w:rsidR="00636AE8">
        <w:rPr>
          <w:rFonts w:cs="Courier New"/>
        </w:rPr>
        <w:t xml:space="preserve"> or third</w:t>
      </w:r>
      <w:r w:rsidR="005971EA">
        <w:rPr>
          <w:rFonts w:cs="Courier New"/>
        </w:rPr>
        <w:t xml:space="preserve"> highes</w:t>
      </w:r>
      <w:r w:rsidR="00204D56">
        <w:rPr>
          <w:rFonts w:cs="Courier New"/>
        </w:rPr>
        <w:t>t</w:t>
      </w:r>
      <w:r w:rsidR="005971EA">
        <w:rPr>
          <w:rFonts w:cs="Courier New"/>
        </w:rPr>
        <w:t xml:space="preserve"> </w:t>
      </w:r>
      <w:r w:rsidR="007C24D8">
        <w:rPr>
          <w:rFonts w:cs="Courier New"/>
        </w:rPr>
        <w:t>J</w:t>
      </w:r>
      <w:r w:rsidR="005B3900">
        <w:rPr>
          <w:rFonts w:cs="Courier New"/>
        </w:rPr>
        <w:t>.</w:t>
      </w:r>
      <w:r w:rsidR="007C24D8">
        <w:rPr>
          <w:rFonts w:cs="Courier New"/>
        </w:rPr>
        <w:t>D</w:t>
      </w:r>
      <w:r w:rsidR="005B3900">
        <w:rPr>
          <w:rFonts w:cs="Courier New"/>
        </w:rPr>
        <w:t>.</w:t>
      </w:r>
      <w:r w:rsidR="007C24D8">
        <w:rPr>
          <w:rFonts w:cs="Courier New"/>
        </w:rPr>
        <w:t xml:space="preserve"> Power Customer Satisfaction</w:t>
      </w:r>
      <w:r w:rsidR="005971EA">
        <w:rPr>
          <w:rFonts w:cs="Courier New"/>
        </w:rPr>
        <w:t xml:space="preserve"> Index</w:t>
      </w:r>
      <w:r w:rsidR="007C24D8">
        <w:rPr>
          <w:rFonts w:cs="Courier New"/>
        </w:rPr>
        <w:t xml:space="preserve"> Score</w:t>
      </w:r>
      <w:r w:rsidR="005971EA">
        <w:rPr>
          <w:rFonts w:cs="Courier New"/>
        </w:rPr>
        <w:t xml:space="preserve"> </w:t>
      </w:r>
      <w:r w:rsidR="00636AE8">
        <w:rPr>
          <w:rFonts w:cs="Courier New"/>
        </w:rPr>
        <w:t>amongst the</w:t>
      </w:r>
      <w:r w:rsidR="00D075E8">
        <w:rPr>
          <w:rFonts w:cs="Courier New"/>
        </w:rPr>
        <w:t>ir</w:t>
      </w:r>
      <w:r w:rsidR="00636AE8">
        <w:rPr>
          <w:rFonts w:cs="Courier New"/>
        </w:rPr>
        <w:t xml:space="preserve"> entire</w:t>
      </w:r>
      <w:r w:rsidR="00BD4A3B">
        <w:rPr>
          <w:rFonts w:cs="Courier New"/>
        </w:rPr>
        <w:t xml:space="preserve"> </w:t>
      </w:r>
      <w:r w:rsidR="00636AE8">
        <w:rPr>
          <w:rFonts w:cs="Courier New"/>
        </w:rPr>
        <w:t xml:space="preserve">industry </w:t>
      </w:r>
      <w:r w:rsidR="005971EA">
        <w:rPr>
          <w:rFonts w:cs="Courier New"/>
        </w:rPr>
        <w:t>for</w:t>
      </w:r>
      <w:r w:rsidR="00636AE8">
        <w:rPr>
          <w:rFonts w:cs="Courier New"/>
        </w:rPr>
        <w:t xml:space="preserve"> both</w:t>
      </w:r>
      <w:r w:rsidR="005971EA">
        <w:rPr>
          <w:rFonts w:cs="Courier New"/>
        </w:rPr>
        <w:t xml:space="preserve"> </w:t>
      </w:r>
      <w:r w:rsidR="00D075E8">
        <w:rPr>
          <w:rFonts w:cs="Courier New"/>
        </w:rPr>
        <w:t>their</w:t>
      </w:r>
      <w:r w:rsidR="005971EA">
        <w:rPr>
          <w:rFonts w:cs="Courier New"/>
        </w:rPr>
        <w:t xml:space="preserve"> Residential and Business</w:t>
      </w:r>
      <w:r w:rsidR="00204D56">
        <w:rPr>
          <w:rFonts w:cs="Courier New"/>
        </w:rPr>
        <w:t xml:space="preserve"> Gas </w:t>
      </w:r>
      <w:r w:rsidR="005971EA">
        <w:rPr>
          <w:rFonts w:cs="Courier New"/>
        </w:rPr>
        <w:t>Customer</w:t>
      </w:r>
      <w:r w:rsidR="00636AE8">
        <w:rPr>
          <w:rFonts w:cs="Courier New"/>
        </w:rPr>
        <w:t xml:space="preserve"> groups every year for the past 10 years.</w:t>
      </w:r>
      <w:r w:rsidR="00D075E8">
        <w:rPr>
          <w:rStyle w:val="EndnoteReference"/>
          <w:rFonts w:cs="Courier New"/>
        </w:rPr>
        <w:endnoteReference w:id="41"/>
      </w:r>
      <w:r w:rsidR="005971EA">
        <w:rPr>
          <w:rFonts w:cs="Courier New"/>
        </w:rPr>
        <w:t xml:space="preserve"> </w:t>
      </w:r>
      <w:r w:rsidR="002571BB">
        <w:rPr>
          <w:rFonts w:cs="Courier New"/>
        </w:rPr>
        <w:t xml:space="preserve"> </w:t>
      </w:r>
      <w:r w:rsidR="00305F32">
        <w:rPr>
          <w:rFonts w:cs="Courier New"/>
        </w:rPr>
        <w:t xml:space="preserve">The </w:t>
      </w:r>
      <w:r w:rsidR="005971EA">
        <w:rPr>
          <w:rFonts w:cs="Courier New"/>
        </w:rPr>
        <w:t>J</w:t>
      </w:r>
      <w:r w:rsidR="005B3900">
        <w:rPr>
          <w:rFonts w:cs="Courier New"/>
        </w:rPr>
        <w:t>.</w:t>
      </w:r>
      <w:r w:rsidR="005971EA">
        <w:rPr>
          <w:rFonts w:cs="Courier New"/>
        </w:rPr>
        <w:t>D</w:t>
      </w:r>
      <w:r w:rsidR="005B3900">
        <w:rPr>
          <w:rFonts w:cs="Courier New"/>
        </w:rPr>
        <w:t>.</w:t>
      </w:r>
      <w:r w:rsidR="005971EA">
        <w:rPr>
          <w:rFonts w:cs="Courier New"/>
        </w:rPr>
        <w:t xml:space="preserve"> Power </w:t>
      </w:r>
      <w:r w:rsidR="00305F32">
        <w:rPr>
          <w:rFonts w:cs="Courier New"/>
        </w:rPr>
        <w:t xml:space="preserve">Gas </w:t>
      </w:r>
      <w:r w:rsidR="005971EA">
        <w:rPr>
          <w:rFonts w:cs="Courier New"/>
        </w:rPr>
        <w:t xml:space="preserve">Customer Satisfaction </w:t>
      </w:r>
      <w:r w:rsidR="00305F32">
        <w:rPr>
          <w:rFonts w:cs="Courier New"/>
        </w:rPr>
        <w:t xml:space="preserve">Score is a comprehensive analysis of how gas </w:t>
      </w:r>
      <w:r w:rsidR="00305F32">
        <w:rPr>
          <w:rFonts w:cs="Courier New"/>
        </w:rPr>
        <w:lastRenderedPageBreak/>
        <w:t>utilities are performing from a customer standpoint</w:t>
      </w:r>
      <w:r w:rsidR="00636AE8">
        <w:rPr>
          <w:rFonts w:cs="Courier New"/>
        </w:rPr>
        <w:t xml:space="preserve">.  </w:t>
      </w:r>
      <w:r w:rsidR="000456D5">
        <w:rPr>
          <w:rFonts w:cs="Courier New"/>
        </w:rPr>
        <w:t xml:space="preserve">For 10 consecutive years, Residential Customers have given the </w:t>
      </w:r>
      <w:r w:rsidR="00012C7E">
        <w:rPr>
          <w:rFonts w:cs="Courier New"/>
        </w:rPr>
        <w:t>c</w:t>
      </w:r>
      <w:r w:rsidR="000456D5">
        <w:rPr>
          <w:rFonts w:cs="Courier New"/>
        </w:rPr>
        <w:t>ompany the top J</w:t>
      </w:r>
      <w:r w:rsidR="005B3900">
        <w:rPr>
          <w:rFonts w:cs="Courier New"/>
        </w:rPr>
        <w:t>.</w:t>
      </w:r>
      <w:r w:rsidR="000456D5">
        <w:rPr>
          <w:rFonts w:cs="Courier New"/>
        </w:rPr>
        <w:t>D</w:t>
      </w:r>
      <w:r w:rsidR="005B3900">
        <w:rPr>
          <w:rFonts w:cs="Courier New"/>
        </w:rPr>
        <w:t>.</w:t>
      </w:r>
      <w:r w:rsidR="000456D5">
        <w:rPr>
          <w:rFonts w:cs="Courier New"/>
        </w:rPr>
        <w:t xml:space="preserve"> Power Customer Satisfaction score amongst mid-size natural gas utilities in the south region.</w:t>
      </w:r>
      <w:r w:rsidR="000456D5">
        <w:rPr>
          <w:rStyle w:val="EndnoteReference"/>
          <w:rFonts w:cs="Courier New"/>
        </w:rPr>
        <w:endnoteReference w:id="42"/>
      </w:r>
      <w:r w:rsidR="000456D5">
        <w:rPr>
          <w:rFonts w:cs="Courier New"/>
        </w:rPr>
        <w:t xml:space="preserve"> </w:t>
      </w:r>
      <w:r w:rsidR="00C603EE">
        <w:rPr>
          <w:rFonts w:cs="Courier New"/>
        </w:rPr>
        <w:t xml:space="preserve"> </w:t>
      </w:r>
      <w:r w:rsidR="00AC1E3F">
        <w:rPr>
          <w:rFonts w:cs="Courier New"/>
        </w:rPr>
        <w:t xml:space="preserve">The </w:t>
      </w:r>
      <w:r w:rsidR="00012C7E">
        <w:rPr>
          <w:rFonts w:cs="Courier New"/>
        </w:rPr>
        <w:t>c</w:t>
      </w:r>
      <w:r w:rsidR="00AC1E3F">
        <w:rPr>
          <w:rFonts w:cs="Courier New"/>
        </w:rPr>
        <w:t xml:space="preserve">ompany’s industry leading </w:t>
      </w:r>
      <w:r w:rsidR="00204D56">
        <w:rPr>
          <w:rFonts w:cs="Courier New"/>
        </w:rPr>
        <w:t xml:space="preserve">satisfaction </w:t>
      </w:r>
      <w:r w:rsidR="00AC1E3F">
        <w:rPr>
          <w:rFonts w:cs="Courier New"/>
        </w:rPr>
        <w:t>score</w:t>
      </w:r>
      <w:r w:rsidR="00204D56">
        <w:rPr>
          <w:rFonts w:cs="Courier New"/>
        </w:rPr>
        <w:t>s</w:t>
      </w:r>
      <w:r w:rsidR="00636AE8">
        <w:rPr>
          <w:rFonts w:cs="Courier New"/>
        </w:rPr>
        <w:t xml:space="preserve"> </w:t>
      </w:r>
      <w:r w:rsidR="00204D56">
        <w:rPr>
          <w:rFonts w:cs="Courier New"/>
        </w:rPr>
        <w:t>are</w:t>
      </w:r>
      <w:r w:rsidR="00305F32">
        <w:rPr>
          <w:rFonts w:cs="Courier New"/>
        </w:rPr>
        <w:t xml:space="preserve"> based upon</w:t>
      </w:r>
      <w:r w:rsidR="00AC1E3F">
        <w:rPr>
          <w:rFonts w:cs="Courier New"/>
        </w:rPr>
        <w:t xml:space="preserve"> excellence in</w:t>
      </w:r>
      <w:r w:rsidR="00305F32">
        <w:rPr>
          <w:rFonts w:cs="Courier New"/>
        </w:rPr>
        <w:t xml:space="preserve"> </w:t>
      </w:r>
      <w:r w:rsidR="00AC1E3F">
        <w:rPr>
          <w:rFonts w:cs="Courier New"/>
        </w:rPr>
        <w:t>areas</w:t>
      </w:r>
      <w:r w:rsidR="00305F32">
        <w:rPr>
          <w:rFonts w:cs="Courier New"/>
        </w:rPr>
        <w:t xml:space="preserve"> such as Safety &amp; Reliability, Price, Billing &amp; Payment, Communication, </w:t>
      </w:r>
      <w:r w:rsidR="00636AE8">
        <w:rPr>
          <w:rFonts w:cs="Courier New"/>
        </w:rPr>
        <w:t xml:space="preserve">Customer Care </w:t>
      </w:r>
      <w:r w:rsidR="00305F32">
        <w:rPr>
          <w:rFonts w:cs="Courier New"/>
        </w:rPr>
        <w:t>and Corporate Citizenship.</w:t>
      </w:r>
      <w:r w:rsidR="00D075E8">
        <w:rPr>
          <w:rStyle w:val="EndnoteReference"/>
          <w:rFonts w:cs="Courier New"/>
        </w:rPr>
        <w:endnoteReference w:id="43"/>
      </w:r>
    </w:p>
    <w:p w14:paraId="4DEC6EDC" w14:textId="77777777" w:rsidR="00EA71A7" w:rsidRDefault="00EA71A7" w:rsidP="00EA71A7">
      <w:pPr>
        <w:widowControl w:val="0"/>
        <w:ind w:left="720" w:hanging="720"/>
        <w:jc w:val="both"/>
        <w:rPr>
          <w:rFonts w:cs="Courier New"/>
        </w:rPr>
      </w:pPr>
    </w:p>
    <w:p w14:paraId="45DF8FAF" w14:textId="6883B26C" w:rsidR="003C5A68" w:rsidRDefault="003C5A68" w:rsidP="003C5A68">
      <w:pPr>
        <w:widowControl w:val="0"/>
        <w:ind w:left="720" w:hanging="720"/>
        <w:jc w:val="both"/>
        <w:rPr>
          <w:rFonts w:cs="Courier New"/>
        </w:rPr>
      </w:pPr>
      <w:r w:rsidRPr="00B23997">
        <w:rPr>
          <w:rFonts w:cs="Courier New"/>
          <w:b/>
        </w:rPr>
        <w:t>Q.</w:t>
      </w:r>
      <w:r w:rsidRPr="00B23997">
        <w:rPr>
          <w:rFonts w:cs="Courier New"/>
        </w:rPr>
        <w:tab/>
      </w:r>
      <w:r w:rsidR="009C5254" w:rsidRPr="009C5254">
        <w:rPr>
          <w:rFonts w:cs="Courier New"/>
        </w:rPr>
        <w:t xml:space="preserve">Please briefly summarize the </w:t>
      </w:r>
      <w:r w:rsidR="00E06A1B">
        <w:rPr>
          <w:rFonts w:cs="Courier New"/>
        </w:rPr>
        <w:t>c</w:t>
      </w:r>
      <w:r w:rsidR="009C5254" w:rsidRPr="009C5254">
        <w:rPr>
          <w:rFonts w:cs="Courier New"/>
        </w:rPr>
        <w:t>ompany’s capital investment plans.</w:t>
      </w:r>
    </w:p>
    <w:p w14:paraId="6FA87F8B" w14:textId="77777777" w:rsidR="00CD6EE2" w:rsidRDefault="00CD6EE2" w:rsidP="003C5A68">
      <w:pPr>
        <w:widowControl w:val="0"/>
        <w:ind w:left="720" w:hanging="720"/>
        <w:jc w:val="both"/>
        <w:rPr>
          <w:rFonts w:cs="Courier New"/>
        </w:rPr>
      </w:pPr>
    </w:p>
    <w:p w14:paraId="6106CD7C" w14:textId="4C6EFE70" w:rsidR="003C5A68" w:rsidRPr="0073351E" w:rsidRDefault="003C5A68" w:rsidP="003C5A68">
      <w:pPr>
        <w:widowControl w:val="0"/>
        <w:ind w:left="720" w:hanging="720"/>
        <w:jc w:val="both"/>
        <w:rPr>
          <w:rFonts w:cs="Courier New"/>
        </w:rPr>
      </w:pPr>
      <w:r w:rsidRPr="00B23997">
        <w:rPr>
          <w:rFonts w:cs="Courier New"/>
          <w:b/>
        </w:rPr>
        <w:t>A.</w:t>
      </w:r>
      <w:r w:rsidRPr="00B23997">
        <w:rPr>
          <w:rFonts w:cs="Courier New"/>
        </w:rPr>
        <w:tab/>
      </w:r>
      <w:r w:rsidR="00805765">
        <w:rPr>
          <w:rFonts w:cs="Courier New"/>
        </w:rPr>
        <w:t>Peoples</w:t>
      </w:r>
      <w:r w:rsidR="005622B7">
        <w:rPr>
          <w:rFonts w:cs="Courier New"/>
        </w:rPr>
        <w:t xml:space="preserve"> currently plans to invest </w:t>
      </w:r>
      <w:r w:rsidR="000228FA">
        <w:rPr>
          <w:rFonts w:cs="Courier New"/>
        </w:rPr>
        <w:t>over</w:t>
      </w:r>
      <w:r w:rsidR="00C36585" w:rsidRPr="008C7E04">
        <w:rPr>
          <w:rFonts w:cs="Courier New"/>
        </w:rPr>
        <w:t xml:space="preserve"> </w:t>
      </w:r>
      <w:r w:rsidR="005622B7" w:rsidRPr="008C7E04">
        <w:rPr>
          <w:rFonts w:cs="Courier New"/>
        </w:rPr>
        <w:t>$</w:t>
      </w:r>
      <w:r w:rsidR="003C3C4F" w:rsidRPr="008C7E04">
        <w:rPr>
          <w:rFonts w:cs="Courier New"/>
        </w:rPr>
        <w:t>1.</w:t>
      </w:r>
      <w:r w:rsidR="00FD2917">
        <w:rPr>
          <w:rFonts w:cs="Courier New"/>
        </w:rPr>
        <w:t>0</w:t>
      </w:r>
      <w:r w:rsidR="00C36585" w:rsidRPr="008C7E04">
        <w:rPr>
          <w:rFonts w:cs="Courier New"/>
        </w:rPr>
        <w:t xml:space="preserve"> </w:t>
      </w:r>
      <w:r w:rsidR="003C3C4F" w:rsidRPr="008C7E04">
        <w:rPr>
          <w:rFonts w:cs="Courier New"/>
        </w:rPr>
        <w:t>b</w:t>
      </w:r>
      <w:r w:rsidR="005622B7" w:rsidRPr="008C7E04">
        <w:rPr>
          <w:rFonts w:cs="Courier New"/>
        </w:rPr>
        <w:t xml:space="preserve">illion of capital </w:t>
      </w:r>
      <w:r w:rsidR="00FD2917">
        <w:rPr>
          <w:rFonts w:cs="Courier New"/>
        </w:rPr>
        <w:t>from January 1, 2022 to December 31, 2024</w:t>
      </w:r>
      <w:r w:rsidR="005622B7" w:rsidRPr="008C7E04">
        <w:rPr>
          <w:rFonts w:cs="Courier New"/>
        </w:rPr>
        <w:t>,</w:t>
      </w:r>
      <w:r w:rsidR="00E82E24" w:rsidRPr="008C7E04">
        <w:rPr>
          <w:rStyle w:val="EndnoteReference"/>
          <w:rFonts w:cs="Courier New"/>
        </w:rPr>
        <w:endnoteReference w:id="44"/>
      </w:r>
      <w:r w:rsidR="005622B7" w:rsidRPr="008C7E04">
        <w:rPr>
          <w:rFonts w:cs="Courier New"/>
        </w:rPr>
        <w:t xml:space="preserve"> which represents </w:t>
      </w:r>
      <w:r w:rsidR="00A841F6" w:rsidRPr="008C7E04">
        <w:rPr>
          <w:rFonts w:cs="Courier New"/>
        </w:rPr>
        <w:t>approximately</w:t>
      </w:r>
      <w:r w:rsidR="005622B7" w:rsidRPr="008C7E04">
        <w:rPr>
          <w:rFonts w:cs="Courier New"/>
        </w:rPr>
        <w:t xml:space="preserve"> </w:t>
      </w:r>
      <w:r w:rsidR="00FD2917">
        <w:rPr>
          <w:rFonts w:cs="Courier New"/>
        </w:rPr>
        <w:t>60</w:t>
      </w:r>
      <w:r w:rsidR="003C3C4F" w:rsidRPr="008C7E04">
        <w:rPr>
          <w:rFonts w:cs="Courier New"/>
        </w:rPr>
        <w:t>.00</w:t>
      </w:r>
      <w:r w:rsidR="005622B7" w:rsidRPr="008C7E04">
        <w:rPr>
          <w:rFonts w:cs="Courier New"/>
        </w:rPr>
        <w:t xml:space="preserve"> percent of its 2021 year-end net utility plant.</w:t>
      </w:r>
      <w:r w:rsidR="00E82E24" w:rsidRPr="008C7E04">
        <w:rPr>
          <w:rStyle w:val="EndnoteReference"/>
          <w:rFonts w:cs="Courier New"/>
        </w:rPr>
        <w:endnoteReference w:id="45"/>
      </w:r>
      <w:r w:rsidR="005622B7" w:rsidRPr="008C7E04">
        <w:rPr>
          <w:rFonts w:cs="Courier New"/>
        </w:rPr>
        <w:t xml:space="preserve">  </w:t>
      </w:r>
      <w:r w:rsidR="004071BD" w:rsidRPr="008C7E04">
        <w:rPr>
          <w:rFonts w:cs="Courier New"/>
        </w:rPr>
        <w:t>That</w:t>
      </w:r>
      <w:r w:rsidR="004071BD" w:rsidRPr="004071BD">
        <w:rPr>
          <w:rFonts w:cs="Courier New"/>
        </w:rPr>
        <w:t xml:space="preserve"> amount includes investments </w:t>
      </w:r>
      <w:r w:rsidR="003C3C4F">
        <w:rPr>
          <w:rFonts w:cs="Courier New"/>
        </w:rPr>
        <w:t>in its distribution facilities, which are necessary</w:t>
      </w:r>
      <w:r w:rsidR="004071BD" w:rsidRPr="004071BD">
        <w:rPr>
          <w:rFonts w:cs="Courier New"/>
        </w:rPr>
        <w:t xml:space="preserve"> to support growth and to maintain safe, sufficient, and reliable service. </w:t>
      </w:r>
      <w:r w:rsidR="004071BD">
        <w:rPr>
          <w:rFonts w:cs="Courier New"/>
        </w:rPr>
        <w:t xml:space="preserve"> </w:t>
      </w:r>
      <w:r w:rsidR="004071BD" w:rsidRPr="004071BD">
        <w:rPr>
          <w:rFonts w:cs="Courier New"/>
        </w:rPr>
        <w:t xml:space="preserve">As discussed by </w:t>
      </w:r>
      <w:r w:rsidR="005B3900">
        <w:rPr>
          <w:rFonts w:cs="Courier New"/>
        </w:rPr>
        <w:t>witnesses</w:t>
      </w:r>
      <w:r w:rsidR="004071BD" w:rsidRPr="004071BD">
        <w:rPr>
          <w:rFonts w:cs="Courier New"/>
        </w:rPr>
        <w:t xml:space="preserve"> McOnie</w:t>
      </w:r>
      <w:r w:rsidR="00CB0056">
        <w:rPr>
          <w:rFonts w:cs="Courier New"/>
        </w:rPr>
        <w:t xml:space="preserve"> and Parsons</w:t>
      </w:r>
      <w:r w:rsidR="004071BD" w:rsidRPr="004071BD">
        <w:rPr>
          <w:rFonts w:cs="Courier New"/>
        </w:rPr>
        <w:t xml:space="preserve">, the </w:t>
      </w:r>
      <w:r w:rsidR="00012C7E">
        <w:rPr>
          <w:rFonts w:cs="Courier New"/>
        </w:rPr>
        <w:t>c</w:t>
      </w:r>
      <w:r w:rsidR="004071BD" w:rsidRPr="004071BD">
        <w:rPr>
          <w:rFonts w:cs="Courier New"/>
        </w:rPr>
        <w:t xml:space="preserve">ompany will require continued access to the capital markets, at reasonable terms, to finance its capital spending plan. As </w:t>
      </w:r>
      <w:r w:rsidR="00805765">
        <w:rPr>
          <w:rFonts w:cs="Courier New"/>
        </w:rPr>
        <w:t>Peoples</w:t>
      </w:r>
      <w:r w:rsidR="004071BD" w:rsidRPr="004071BD">
        <w:rPr>
          <w:rFonts w:cs="Courier New"/>
        </w:rPr>
        <w:t xml:space="preserve"> moves forward with its capital spending plan, timely recovery of its capital costs is critical to mitigate the delay of capital recovery and execute its capital spending program.</w:t>
      </w:r>
    </w:p>
    <w:p w14:paraId="58D85424" w14:textId="6FA4C400" w:rsidR="003C5A68" w:rsidRDefault="003C5A68" w:rsidP="00FC535B">
      <w:pPr>
        <w:widowControl w:val="0"/>
        <w:ind w:left="720" w:hanging="720"/>
        <w:jc w:val="both"/>
        <w:rPr>
          <w:rFonts w:cs="Courier New"/>
        </w:rPr>
      </w:pPr>
      <w:r w:rsidRPr="00B23997">
        <w:rPr>
          <w:rFonts w:cs="Courier New"/>
          <w:b/>
        </w:rPr>
        <w:lastRenderedPageBreak/>
        <w:t>Q.</w:t>
      </w:r>
      <w:r w:rsidRPr="00B23997">
        <w:rPr>
          <w:rFonts w:cs="Courier New"/>
        </w:rPr>
        <w:tab/>
      </w:r>
      <w:r w:rsidR="00A011A8" w:rsidRPr="00A011A8">
        <w:rPr>
          <w:rFonts w:cs="Courier New"/>
        </w:rPr>
        <w:t>Do substantial capital expenditures directly relate to a utility being allowed the opportunity to earn a return adequate to attract capital at reasonable terms</w:t>
      </w:r>
      <w:r w:rsidR="00A011A8">
        <w:rPr>
          <w:rFonts w:cs="Courier New"/>
        </w:rPr>
        <w:t>?</w:t>
      </w:r>
    </w:p>
    <w:p w14:paraId="1F00370D" w14:textId="77777777" w:rsidR="00F1100C" w:rsidRDefault="00F1100C" w:rsidP="00FC535B">
      <w:pPr>
        <w:widowControl w:val="0"/>
        <w:ind w:left="720" w:hanging="720"/>
        <w:jc w:val="both"/>
        <w:rPr>
          <w:rFonts w:cs="Courier New"/>
        </w:rPr>
      </w:pPr>
    </w:p>
    <w:p w14:paraId="4B863029" w14:textId="5B634BCD" w:rsidR="003C5A68" w:rsidRPr="0073351E" w:rsidRDefault="003C5A68" w:rsidP="003C5A68">
      <w:pPr>
        <w:widowControl w:val="0"/>
        <w:ind w:left="720" w:hanging="720"/>
        <w:jc w:val="both"/>
        <w:rPr>
          <w:rFonts w:cs="Courier New"/>
        </w:rPr>
      </w:pPr>
      <w:r w:rsidRPr="00B23997">
        <w:rPr>
          <w:rFonts w:cs="Courier New"/>
          <w:b/>
        </w:rPr>
        <w:t>A.</w:t>
      </w:r>
      <w:r w:rsidRPr="00B23997">
        <w:rPr>
          <w:rFonts w:cs="Courier New"/>
        </w:rPr>
        <w:tab/>
      </w:r>
      <w:r w:rsidR="00760CD9" w:rsidRPr="00760CD9">
        <w:rPr>
          <w:rFonts w:cs="Courier New"/>
        </w:rPr>
        <w:t>Yes, they do. The allowed ROE should enable the subject utility to finance capital expenditures and working capital requirements at reasonable rates, and to maintain its financial integrity in a variety of economic and capital market conditions. As discussed throughout my direct testimony, a return adequate to attract capital at reasonable terms enables the utility to provide safe, reliable service while maintaining its financial soundness. To the extent a utility is provided the opportunity to earn its market-based cost of capital, neither customers nor shareholders should be disadvantaged. These requirements are of particular importance to a utility when it is engaged in a substantial capital expenditure program.</w:t>
      </w:r>
    </w:p>
    <w:p w14:paraId="75F27A6B" w14:textId="2B4B08F6" w:rsidR="003C5A68" w:rsidRDefault="003C5A68" w:rsidP="003C5A68">
      <w:pPr>
        <w:widowControl w:val="0"/>
        <w:ind w:left="720" w:hanging="720"/>
        <w:jc w:val="both"/>
        <w:rPr>
          <w:rFonts w:cs="Courier New"/>
        </w:rPr>
      </w:pPr>
    </w:p>
    <w:p w14:paraId="78595638" w14:textId="76009136" w:rsidR="00BC603C" w:rsidRPr="00BC603C" w:rsidRDefault="00760CD9" w:rsidP="00BC603C">
      <w:pPr>
        <w:widowControl w:val="0"/>
        <w:ind w:left="720" w:hanging="720"/>
        <w:jc w:val="both"/>
        <w:rPr>
          <w:rFonts w:cs="Courier New"/>
        </w:rPr>
      </w:pPr>
      <w:r>
        <w:rPr>
          <w:rFonts w:cs="Courier New"/>
        </w:rPr>
        <w:tab/>
      </w:r>
      <w:r w:rsidR="00BC603C" w:rsidRPr="00BC603C">
        <w:rPr>
          <w:rFonts w:cs="Courier New"/>
        </w:rPr>
        <w:t xml:space="preserve">The ratemaking process is predicated on the principle that, for investors and companies to commit the capital needed to provide safe and reliable utility services, the utility must have the opportunity to recover the return of, and the market-required return on, invested capital. </w:t>
      </w:r>
      <w:r w:rsidR="005C63E6">
        <w:rPr>
          <w:rFonts w:cs="Courier New"/>
        </w:rPr>
        <w:t xml:space="preserve"> </w:t>
      </w:r>
      <w:r w:rsidR="00BC603C" w:rsidRPr="00BC603C">
        <w:rPr>
          <w:rFonts w:cs="Courier New"/>
        </w:rPr>
        <w:t xml:space="preserve">Regulatory commissions recognize that since utility operations are capital intensive, regulatory decisions should enable the utility to </w:t>
      </w:r>
      <w:r w:rsidR="00BC603C" w:rsidRPr="00BC603C">
        <w:rPr>
          <w:rFonts w:cs="Courier New"/>
        </w:rPr>
        <w:lastRenderedPageBreak/>
        <w:t>attract capital at reasonable terms; doing so balances the long-term interests of the utility and its ratepayers.</w:t>
      </w:r>
    </w:p>
    <w:p w14:paraId="164DA612" w14:textId="77777777" w:rsidR="00BC603C" w:rsidRPr="00BC603C" w:rsidRDefault="00BC603C" w:rsidP="00BC603C">
      <w:pPr>
        <w:widowControl w:val="0"/>
        <w:ind w:left="720" w:hanging="720"/>
        <w:jc w:val="both"/>
        <w:rPr>
          <w:rFonts w:cs="Courier New"/>
        </w:rPr>
      </w:pPr>
    </w:p>
    <w:p w14:paraId="78A38773" w14:textId="18110C33" w:rsidR="00760CD9" w:rsidRDefault="00BC603C" w:rsidP="00BC603C">
      <w:pPr>
        <w:widowControl w:val="0"/>
        <w:ind w:left="720" w:hanging="720"/>
        <w:jc w:val="both"/>
        <w:rPr>
          <w:rFonts w:cs="Courier New"/>
        </w:rPr>
      </w:pPr>
      <w:r w:rsidRPr="00BC603C">
        <w:rPr>
          <w:rFonts w:cs="Courier New"/>
        </w:rPr>
        <w:tab/>
        <w:t xml:space="preserve">Further, the financial community carefully monitors the current and expected financial conditions of utility companies, as well as the regulatory environment in which those companies operate. In that respect, the regulatory environment is one of the most important factors considered in both debt and equity investors’ assessments of risk. </w:t>
      </w:r>
      <w:r w:rsidR="008A3F3F">
        <w:rPr>
          <w:rFonts w:cs="Courier New"/>
        </w:rPr>
        <w:t xml:space="preserve"> </w:t>
      </w:r>
      <w:r w:rsidRPr="00BC603C">
        <w:rPr>
          <w:rFonts w:cs="Courier New"/>
        </w:rPr>
        <w:t>That is especially important during periods in which the utility expects to make significant capital investments and, therefore, may require access to capital markets.</w:t>
      </w:r>
    </w:p>
    <w:p w14:paraId="24524796" w14:textId="77777777" w:rsidR="00760CD9" w:rsidRDefault="00760CD9" w:rsidP="003C5A68">
      <w:pPr>
        <w:widowControl w:val="0"/>
        <w:ind w:left="720" w:hanging="720"/>
        <w:jc w:val="both"/>
        <w:rPr>
          <w:rFonts w:cs="Courier New"/>
        </w:rPr>
      </w:pPr>
    </w:p>
    <w:p w14:paraId="736B5D61" w14:textId="05181CA9" w:rsidR="003C5A68" w:rsidRDefault="003C5A68" w:rsidP="003C5A68">
      <w:pPr>
        <w:widowControl w:val="0"/>
        <w:ind w:left="720" w:hanging="720"/>
        <w:jc w:val="both"/>
        <w:rPr>
          <w:rFonts w:cs="Courier New"/>
        </w:rPr>
      </w:pPr>
      <w:r w:rsidRPr="00B23997">
        <w:rPr>
          <w:rFonts w:cs="Courier New"/>
          <w:b/>
        </w:rPr>
        <w:t>Q.</w:t>
      </w:r>
      <w:r w:rsidRPr="00B23997">
        <w:rPr>
          <w:rFonts w:cs="Courier New"/>
        </w:rPr>
        <w:tab/>
      </w:r>
      <w:r w:rsidR="00D26959" w:rsidRPr="00D26959">
        <w:rPr>
          <w:rFonts w:cs="Courier New"/>
        </w:rPr>
        <w:t>Do credit rating agencies recognize risk</w:t>
      </w:r>
      <w:r w:rsidR="00D26959">
        <w:rPr>
          <w:rFonts w:cs="Courier New"/>
        </w:rPr>
        <w:t>s</w:t>
      </w:r>
      <w:r w:rsidR="00D26959" w:rsidRPr="00D26959">
        <w:rPr>
          <w:rFonts w:cs="Courier New"/>
        </w:rPr>
        <w:t xml:space="preserve"> associated with increased capital expenditures?</w:t>
      </w:r>
    </w:p>
    <w:p w14:paraId="78EA5609" w14:textId="77777777" w:rsidR="003C5A68" w:rsidRDefault="003C5A68" w:rsidP="003C5A68">
      <w:pPr>
        <w:widowControl w:val="0"/>
        <w:ind w:left="720" w:hanging="720"/>
        <w:jc w:val="both"/>
        <w:rPr>
          <w:rFonts w:cs="Courier New"/>
        </w:rPr>
      </w:pPr>
    </w:p>
    <w:p w14:paraId="50F38497" w14:textId="26CCB23E" w:rsidR="003C5A68" w:rsidRPr="0073351E" w:rsidRDefault="003C5A68" w:rsidP="003C5A68">
      <w:pPr>
        <w:widowControl w:val="0"/>
        <w:ind w:left="720" w:hanging="720"/>
        <w:jc w:val="both"/>
        <w:rPr>
          <w:rFonts w:cs="Courier New"/>
        </w:rPr>
      </w:pPr>
      <w:r w:rsidRPr="00B23997">
        <w:rPr>
          <w:rFonts w:cs="Courier New"/>
          <w:b/>
        </w:rPr>
        <w:t>A.</w:t>
      </w:r>
      <w:r w:rsidRPr="00B23997">
        <w:rPr>
          <w:rFonts w:cs="Courier New"/>
        </w:rPr>
        <w:tab/>
      </w:r>
      <w:r w:rsidR="000B631B" w:rsidRPr="000B631B">
        <w:rPr>
          <w:rFonts w:cs="Courier New"/>
        </w:rPr>
        <w:t xml:space="preserve">Yes, they do. </w:t>
      </w:r>
      <w:r w:rsidR="00632318">
        <w:rPr>
          <w:rFonts w:cs="Courier New"/>
        </w:rPr>
        <w:t xml:space="preserve"> </w:t>
      </w:r>
      <w:r w:rsidR="000B631B" w:rsidRPr="000B631B">
        <w:rPr>
          <w:rFonts w:cs="Courier New"/>
        </w:rPr>
        <w:t>From a credit perspective, the additional pressure on cash flows associated with high levels of capital expenditures exerts corresponding pressure on credit metrics and, therefore, credit ratings. S&amp;P has noted several long-term challenges for utilities’ financial health including heavy construction programs to address demand growth</w:t>
      </w:r>
      <w:r w:rsidR="00785554">
        <w:rPr>
          <w:rFonts w:cs="Courier New"/>
        </w:rPr>
        <w:t>,</w:t>
      </w:r>
      <w:r w:rsidR="00785554" w:rsidRPr="000B631B">
        <w:rPr>
          <w:rFonts w:cs="Courier New"/>
        </w:rPr>
        <w:t xml:space="preserve"> </w:t>
      </w:r>
      <w:r w:rsidR="000B631B" w:rsidRPr="000B631B">
        <w:rPr>
          <w:rFonts w:cs="Courier New"/>
        </w:rPr>
        <w:t>declining capacity margins</w:t>
      </w:r>
      <w:r w:rsidR="00785554">
        <w:rPr>
          <w:rFonts w:cs="Courier New"/>
        </w:rPr>
        <w:t>,</w:t>
      </w:r>
      <w:r w:rsidR="00785554" w:rsidRPr="000B631B">
        <w:rPr>
          <w:rFonts w:cs="Courier New"/>
        </w:rPr>
        <w:t xml:space="preserve"> </w:t>
      </w:r>
      <w:r w:rsidR="000B631B" w:rsidRPr="000B631B">
        <w:rPr>
          <w:rFonts w:cs="Courier New"/>
        </w:rPr>
        <w:t>aging infrastructure</w:t>
      </w:r>
      <w:r w:rsidR="00785554">
        <w:rPr>
          <w:rFonts w:cs="Courier New"/>
        </w:rPr>
        <w:t>,</w:t>
      </w:r>
      <w:r w:rsidR="000B631B" w:rsidRPr="000B631B">
        <w:rPr>
          <w:rFonts w:cs="Courier New"/>
        </w:rPr>
        <w:t xml:space="preserve"> and regulatory responsiveness to mounting requests for rate increases.</w:t>
      </w:r>
      <w:r w:rsidR="00E668B3">
        <w:rPr>
          <w:rStyle w:val="EndnoteReference"/>
          <w:rFonts w:cs="Courier New"/>
        </w:rPr>
        <w:endnoteReference w:id="46"/>
      </w:r>
      <w:r w:rsidR="000B631B">
        <w:rPr>
          <w:rFonts w:cs="Courier New"/>
        </w:rPr>
        <w:t xml:space="preserve">  More recently, S&amp;P noted:</w:t>
      </w:r>
    </w:p>
    <w:p w14:paraId="29326F4C" w14:textId="7D1BCBFA" w:rsidR="003C5A68" w:rsidRDefault="00E668B3" w:rsidP="00E668B3">
      <w:pPr>
        <w:widowControl w:val="0"/>
        <w:ind w:left="1440" w:right="720" w:hanging="1440"/>
        <w:jc w:val="both"/>
        <w:rPr>
          <w:rFonts w:cs="Courier New"/>
        </w:rPr>
      </w:pPr>
      <w:r>
        <w:rPr>
          <w:rFonts w:cs="Courier New"/>
        </w:rPr>
        <w:lastRenderedPageBreak/>
        <w:tab/>
      </w:r>
      <w:r w:rsidR="00DE3CE2" w:rsidRPr="00DE3CE2">
        <w:rPr>
          <w:rFonts w:cs="Courier New"/>
        </w:rPr>
        <w:t>We assume that capital spending will remain a focus of most utility managements and strain credit metrics. It provides growth when sales are diminished by ongoing demanded efficiency from regulators and other trends, and it is welcomed by policymakers that appreciate the economic stimulus and the benefits of safer, more reliable service. The speed with which the regulatory process turns the new spending into higher rates to begin to pay for it is an important factor in our assumptions and the forecast. Any extended lag between spending and recovery can exacerbate the negative effect on credit metrics and therefore ratings.</w:t>
      </w:r>
      <w:r>
        <w:rPr>
          <w:rStyle w:val="EndnoteReference"/>
          <w:rFonts w:cs="Courier New"/>
        </w:rPr>
        <w:endnoteReference w:id="47"/>
      </w:r>
    </w:p>
    <w:p w14:paraId="147E4C23" w14:textId="05295588" w:rsidR="00E668B3" w:rsidRDefault="00E668B3" w:rsidP="003C5A68">
      <w:pPr>
        <w:widowControl w:val="0"/>
        <w:ind w:left="720" w:hanging="720"/>
        <w:jc w:val="both"/>
        <w:rPr>
          <w:rFonts w:cs="Courier New"/>
        </w:rPr>
      </w:pPr>
    </w:p>
    <w:p w14:paraId="1DC300F9" w14:textId="7103C27A" w:rsidR="00E668B3" w:rsidRDefault="00E27DCC" w:rsidP="0098667E">
      <w:pPr>
        <w:widowControl w:val="0"/>
        <w:ind w:left="720" w:hanging="720"/>
        <w:jc w:val="both"/>
        <w:rPr>
          <w:rFonts w:cs="Courier New"/>
        </w:rPr>
      </w:pPr>
      <w:r>
        <w:rPr>
          <w:rFonts w:cs="Courier New"/>
        </w:rPr>
        <w:tab/>
      </w:r>
      <w:r w:rsidRPr="00E27DCC">
        <w:rPr>
          <w:rFonts w:cs="Courier New"/>
        </w:rPr>
        <w:t xml:space="preserve">The rating agency views noted above also are consistent with certain observations discussed in my </w:t>
      </w:r>
      <w:r w:rsidR="006C0445">
        <w:rPr>
          <w:rFonts w:cs="Courier New"/>
        </w:rPr>
        <w:t>d</w:t>
      </w:r>
      <w:r w:rsidRPr="00E27DCC">
        <w:rPr>
          <w:rFonts w:cs="Courier New"/>
        </w:rPr>
        <w:t xml:space="preserve">irect </w:t>
      </w:r>
      <w:r w:rsidR="006C0445">
        <w:rPr>
          <w:rFonts w:cs="Courier New"/>
        </w:rPr>
        <w:t>t</w:t>
      </w:r>
      <w:r w:rsidRPr="00E27DCC">
        <w:rPr>
          <w:rFonts w:cs="Courier New"/>
        </w:rPr>
        <w:t xml:space="preserve">estimony: (1) the benefits of maintaining a strong financial profile are significant when capital access is required and become particularly acute during periods of market instability; and (2) the Commission’s decision in this proceeding will have a direct bearing on the </w:t>
      </w:r>
      <w:r w:rsidR="00012C7E">
        <w:rPr>
          <w:rFonts w:cs="Courier New"/>
        </w:rPr>
        <w:t>c</w:t>
      </w:r>
      <w:r w:rsidRPr="00E27DCC">
        <w:rPr>
          <w:rFonts w:cs="Courier New"/>
        </w:rPr>
        <w:t>ompany’s credit profile and its ability to access the capital needed to fund its investments.</w:t>
      </w:r>
    </w:p>
    <w:p w14:paraId="1F03D37B" w14:textId="77777777" w:rsidR="00E27DCC" w:rsidRDefault="00E27DCC" w:rsidP="0098667E">
      <w:pPr>
        <w:widowControl w:val="0"/>
        <w:ind w:left="720" w:hanging="720"/>
        <w:jc w:val="both"/>
        <w:rPr>
          <w:rFonts w:cs="Courier New"/>
        </w:rPr>
      </w:pPr>
    </w:p>
    <w:p w14:paraId="1EA16158" w14:textId="72BBBA35" w:rsidR="0010164B" w:rsidRDefault="0010164B" w:rsidP="0098667E">
      <w:pPr>
        <w:widowControl w:val="0"/>
        <w:ind w:left="720" w:hanging="720"/>
        <w:jc w:val="both"/>
        <w:rPr>
          <w:rFonts w:cs="Courier New"/>
        </w:rPr>
      </w:pPr>
      <w:r w:rsidRPr="00B23997">
        <w:rPr>
          <w:rFonts w:cs="Courier New"/>
          <w:b/>
        </w:rPr>
        <w:t>Q.</w:t>
      </w:r>
      <w:r w:rsidRPr="00B23997">
        <w:rPr>
          <w:rFonts w:cs="Courier New"/>
        </w:rPr>
        <w:tab/>
      </w:r>
      <w:r w:rsidR="00EF6BE8" w:rsidRPr="00EF6BE8">
        <w:rPr>
          <w:rFonts w:cs="Courier New"/>
        </w:rPr>
        <w:t xml:space="preserve">How do the </w:t>
      </w:r>
      <w:r w:rsidR="00E06A1B">
        <w:rPr>
          <w:rFonts w:cs="Courier New"/>
        </w:rPr>
        <w:t>c</w:t>
      </w:r>
      <w:r w:rsidR="00EF6BE8" w:rsidRPr="00EF6BE8">
        <w:rPr>
          <w:rFonts w:cs="Courier New"/>
        </w:rPr>
        <w:t xml:space="preserve">ompany’s expected capital expenditures compare to the </w:t>
      </w:r>
      <w:r w:rsidR="00F416CB">
        <w:rPr>
          <w:rFonts w:cs="Courier New"/>
        </w:rPr>
        <w:t>Utility Proxy Group</w:t>
      </w:r>
      <w:r w:rsidR="00EF6BE8" w:rsidRPr="00EF6BE8">
        <w:rPr>
          <w:rFonts w:cs="Courier New"/>
        </w:rPr>
        <w:t>?</w:t>
      </w:r>
    </w:p>
    <w:p w14:paraId="5EDF57AD" w14:textId="29A089AE" w:rsidR="0010164B" w:rsidRDefault="0010164B" w:rsidP="0010164B">
      <w:pPr>
        <w:widowControl w:val="0"/>
        <w:ind w:left="720" w:hanging="720"/>
        <w:jc w:val="both"/>
        <w:rPr>
          <w:rFonts w:cs="Courier New"/>
        </w:rPr>
      </w:pPr>
      <w:r w:rsidRPr="00B23997">
        <w:rPr>
          <w:rFonts w:cs="Courier New"/>
          <w:b/>
        </w:rPr>
        <w:lastRenderedPageBreak/>
        <w:t>A.</w:t>
      </w:r>
      <w:r w:rsidRPr="00B23997">
        <w:rPr>
          <w:rFonts w:cs="Courier New"/>
        </w:rPr>
        <w:tab/>
      </w:r>
      <w:r w:rsidR="00D71610" w:rsidRPr="00D71610">
        <w:rPr>
          <w:rFonts w:cs="Courier New"/>
        </w:rPr>
        <w:t xml:space="preserve">To reasonably make that comparison, I calculated the ratio of expected capital expenditures to net plant for each company in the </w:t>
      </w:r>
      <w:r w:rsidR="00F416CB">
        <w:rPr>
          <w:rFonts w:cs="Courier New"/>
        </w:rPr>
        <w:t>Utility Proxy Group</w:t>
      </w:r>
      <w:r w:rsidR="00D71610" w:rsidRPr="00D71610">
        <w:rPr>
          <w:rFonts w:cs="Courier New"/>
        </w:rPr>
        <w:t xml:space="preserve">. I performed that calculation using </w:t>
      </w:r>
      <w:r w:rsidR="00805765">
        <w:rPr>
          <w:rFonts w:cs="Courier New"/>
        </w:rPr>
        <w:t>Peoples</w:t>
      </w:r>
      <w:r w:rsidR="00A143FA">
        <w:rPr>
          <w:rFonts w:cs="Courier New"/>
        </w:rPr>
        <w:t>’</w:t>
      </w:r>
      <w:r w:rsidR="00D71610" w:rsidRPr="00D71610">
        <w:rPr>
          <w:rFonts w:cs="Courier New"/>
        </w:rPr>
        <w:t xml:space="preserve"> </w:t>
      </w:r>
      <w:r w:rsidR="00390903">
        <w:rPr>
          <w:rFonts w:cs="Courier New"/>
        </w:rPr>
        <w:t xml:space="preserve">total </w:t>
      </w:r>
      <w:r w:rsidR="00D71610" w:rsidRPr="00D71610">
        <w:rPr>
          <w:rFonts w:cs="Courier New"/>
        </w:rPr>
        <w:t>projected capital expenditures</w:t>
      </w:r>
      <w:r w:rsidR="00676BDE">
        <w:rPr>
          <w:rFonts w:cs="Courier New"/>
        </w:rPr>
        <w:t xml:space="preserve"> </w:t>
      </w:r>
      <w:r w:rsidR="007A20F2">
        <w:rPr>
          <w:rFonts w:cs="Courier New"/>
        </w:rPr>
        <w:t>from January 1, 2022 to December 31, 2024</w:t>
      </w:r>
      <w:r w:rsidR="00D71610" w:rsidRPr="00D71610">
        <w:rPr>
          <w:rFonts w:cs="Courier New"/>
        </w:rPr>
        <w:t xml:space="preserve"> relative to its net plant for the year ended December 31, 20</w:t>
      </w:r>
      <w:r w:rsidR="00D71610">
        <w:rPr>
          <w:rFonts w:cs="Courier New"/>
        </w:rPr>
        <w:t>21</w:t>
      </w:r>
      <w:r w:rsidR="00D71610" w:rsidRPr="00D71610">
        <w:rPr>
          <w:rFonts w:cs="Courier New"/>
        </w:rPr>
        <w:t xml:space="preserve">. </w:t>
      </w:r>
      <w:r w:rsidR="00D71610">
        <w:rPr>
          <w:rFonts w:cs="Courier New"/>
        </w:rPr>
        <w:t xml:space="preserve"> </w:t>
      </w:r>
      <w:r w:rsidR="00D71610" w:rsidRPr="00D71610">
        <w:rPr>
          <w:rFonts w:cs="Courier New"/>
        </w:rPr>
        <w:t xml:space="preserve">As shown in </w:t>
      </w:r>
      <w:r w:rsidR="00D71610" w:rsidRPr="00C55E3B">
        <w:rPr>
          <w:rFonts w:cs="Courier New"/>
        </w:rPr>
        <w:t>Document No. 10</w:t>
      </w:r>
      <w:r w:rsidR="00D71610" w:rsidRPr="007E7488">
        <w:rPr>
          <w:rFonts w:cs="Courier New"/>
        </w:rPr>
        <w:t xml:space="preserve">, </w:t>
      </w:r>
      <w:r w:rsidR="00805765">
        <w:rPr>
          <w:rFonts w:cs="Courier New"/>
        </w:rPr>
        <w:t>Peoples</w:t>
      </w:r>
      <w:r w:rsidR="00D71610" w:rsidRPr="007E7488">
        <w:rPr>
          <w:rFonts w:cs="Courier New"/>
        </w:rPr>
        <w:t xml:space="preserve"> has the </w:t>
      </w:r>
      <w:r w:rsidR="00D71610" w:rsidRPr="00C55E3B">
        <w:rPr>
          <w:rFonts w:cs="Courier New"/>
        </w:rPr>
        <w:t>highest</w:t>
      </w:r>
      <w:r w:rsidR="00D71610" w:rsidRPr="007E7488">
        <w:rPr>
          <w:rFonts w:cs="Courier New"/>
        </w:rPr>
        <w:t xml:space="preserve"> ratio of projected capital expenditures to net plant relative to the </w:t>
      </w:r>
      <w:r w:rsidR="00F416CB">
        <w:rPr>
          <w:rFonts w:cs="Courier New"/>
        </w:rPr>
        <w:t>Utility Proxy Group</w:t>
      </w:r>
      <w:r w:rsidR="00D71610" w:rsidRPr="007E7488">
        <w:rPr>
          <w:rFonts w:cs="Courier New"/>
        </w:rPr>
        <w:t xml:space="preserve">, approximately </w:t>
      </w:r>
      <w:r w:rsidR="007A20F2">
        <w:rPr>
          <w:rFonts w:cs="Courier New"/>
        </w:rPr>
        <w:t>21</w:t>
      </w:r>
      <w:r w:rsidR="00D71610" w:rsidRPr="00C55E3B">
        <w:rPr>
          <w:rFonts w:cs="Courier New"/>
        </w:rPr>
        <w:t>.</w:t>
      </w:r>
      <w:r w:rsidR="00942417" w:rsidRPr="00C55E3B">
        <w:rPr>
          <w:rFonts w:cs="Courier New"/>
        </w:rPr>
        <w:t>00</w:t>
      </w:r>
      <w:r w:rsidR="00D71610" w:rsidRPr="00D71610">
        <w:rPr>
          <w:rFonts w:cs="Courier New"/>
        </w:rPr>
        <w:t xml:space="preserve"> percent higher than the </w:t>
      </w:r>
      <w:r w:rsidR="00F416CB">
        <w:rPr>
          <w:rFonts w:cs="Courier New"/>
        </w:rPr>
        <w:t>Utility Proxy Group</w:t>
      </w:r>
      <w:r w:rsidR="00D71610" w:rsidRPr="00D71610">
        <w:rPr>
          <w:rFonts w:cs="Courier New"/>
        </w:rPr>
        <w:t xml:space="preserve"> median.</w:t>
      </w:r>
    </w:p>
    <w:p w14:paraId="450CACD7" w14:textId="77777777" w:rsidR="00CD6EE2" w:rsidRPr="0073351E" w:rsidRDefault="00CD6EE2" w:rsidP="0010164B">
      <w:pPr>
        <w:widowControl w:val="0"/>
        <w:ind w:left="720" w:hanging="720"/>
        <w:jc w:val="both"/>
        <w:rPr>
          <w:rFonts w:cs="Courier New"/>
        </w:rPr>
      </w:pPr>
    </w:p>
    <w:p w14:paraId="29F2C02F" w14:textId="2716567D" w:rsidR="0010164B" w:rsidRDefault="0010164B" w:rsidP="0010164B">
      <w:pPr>
        <w:widowControl w:val="0"/>
        <w:ind w:left="720" w:hanging="720"/>
        <w:jc w:val="both"/>
        <w:rPr>
          <w:rFonts w:cs="Courier New"/>
        </w:rPr>
      </w:pPr>
      <w:r w:rsidRPr="00B23997">
        <w:rPr>
          <w:rFonts w:cs="Courier New"/>
          <w:b/>
        </w:rPr>
        <w:t>Q.</w:t>
      </w:r>
      <w:r w:rsidRPr="00B23997">
        <w:rPr>
          <w:rFonts w:cs="Courier New"/>
        </w:rPr>
        <w:tab/>
      </w:r>
      <w:r w:rsidR="007E49CD">
        <w:rPr>
          <w:rFonts w:cs="Courier New"/>
        </w:rPr>
        <w:t xml:space="preserve">What are your conclusions regarding the effect of </w:t>
      </w:r>
      <w:r w:rsidR="00805765">
        <w:rPr>
          <w:rFonts w:cs="Courier New"/>
        </w:rPr>
        <w:t>Peoples</w:t>
      </w:r>
      <w:r w:rsidR="00406099">
        <w:rPr>
          <w:rFonts w:cs="Courier New"/>
        </w:rPr>
        <w:t xml:space="preserve">’ </w:t>
      </w:r>
      <w:r w:rsidR="007E49CD">
        <w:rPr>
          <w:rFonts w:cs="Courier New"/>
        </w:rPr>
        <w:t>capital investment plan</w:t>
      </w:r>
      <w:r w:rsidR="00AF2A43">
        <w:rPr>
          <w:rFonts w:cs="Courier New"/>
        </w:rPr>
        <w:t>s</w:t>
      </w:r>
      <w:r w:rsidR="007E49CD">
        <w:rPr>
          <w:rFonts w:cs="Courier New"/>
        </w:rPr>
        <w:t xml:space="preserve"> on its risk profile and cost of capital?</w:t>
      </w:r>
    </w:p>
    <w:p w14:paraId="60C38FEF" w14:textId="77777777" w:rsidR="0010164B" w:rsidRDefault="0010164B" w:rsidP="0010164B">
      <w:pPr>
        <w:widowControl w:val="0"/>
        <w:ind w:left="720" w:hanging="720"/>
        <w:jc w:val="both"/>
        <w:rPr>
          <w:rFonts w:cs="Courier New"/>
        </w:rPr>
      </w:pPr>
    </w:p>
    <w:p w14:paraId="49759AE4" w14:textId="45EC9322" w:rsidR="0010164B" w:rsidRDefault="0010164B" w:rsidP="0010164B">
      <w:pPr>
        <w:widowControl w:val="0"/>
        <w:ind w:left="720" w:hanging="720"/>
        <w:jc w:val="both"/>
        <w:rPr>
          <w:rFonts w:cs="Courier New"/>
        </w:rPr>
      </w:pPr>
      <w:r w:rsidRPr="00B23997">
        <w:rPr>
          <w:rFonts w:cs="Courier New"/>
          <w:b/>
        </w:rPr>
        <w:t>A.</w:t>
      </w:r>
      <w:r w:rsidRPr="00B23997">
        <w:rPr>
          <w:rFonts w:cs="Courier New"/>
        </w:rPr>
        <w:tab/>
      </w:r>
      <w:r w:rsidR="008101D7" w:rsidRPr="008101D7">
        <w:rPr>
          <w:rFonts w:cs="Courier New"/>
        </w:rPr>
        <w:t xml:space="preserve">It is clear that </w:t>
      </w:r>
      <w:r w:rsidR="00805765">
        <w:rPr>
          <w:rFonts w:cs="Courier New"/>
        </w:rPr>
        <w:t>Peoples</w:t>
      </w:r>
      <w:r w:rsidR="00406099">
        <w:rPr>
          <w:rFonts w:cs="Courier New"/>
        </w:rPr>
        <w:t>’</w:t>
      </w:r>
      <w:r w:rsidR="008101D7" w:rsidRPr="008101D7">
        <w:rPr>
          <w:rFonts w:cs="Courier New"/>
        </w:rPr>
        <w:t xml:space="preserve"> capital investment plan</w:t>
      </w:r>
      <w:r w:rsidR="00AF2A43">
        <w:rPr>
          <w:rFonts w:cs="Courier New"/>
        </w:rPr>
        <w:t>s</w:t>
      </w:r>
      <w:r w:rsidR="008101D7" w:rsidRPr="008101D7">
        <w:rPr>
          <w:rFonts w:cs="Courier New"/>
        </w:rPr>
        <w:t xml:space="preserve"> relative to net plant is larger than the median of the </w:t>
      </w:r>
      <w:r w:rsidR="00F416CB">
        <w:rPr>
          <w:rFonts w:cs="Courier New"/>
        </w:rPr>
        <w:t>Utility Proxy Group</w:t>
      </w:r>
      <w:r w:rsidR="008101D7" w:rsidRPr="008101D7">
        <w:rPr>
          <w:rFonts w:cs="Courier New"/>
        </w:rPr>
        <w:t xml:space="preserve"> companies. </w:t>
      </w:r>
      <w:r w:rsidR="00935838">
        <w:rPr>
          <w:rFonts w:cs="Courier New"/>
        </w:rPr>
        <w:t xml:space="preserve"> </w:t>
      </w:r>
      <w:r w:rsidR="008101D7" w:rsidRPr="008101D7">
        <w:rPr>
          <w:rFonts w:cs="Courier New"/>
        </w:rPr>
        <w:t>It also is clear that equity investors and credit rating agencies recognize the additional risks associated with substantial capital expenditures.</w:t>
      </w:r>
    </w:p>
    <w:p w14:paraId="1FD54E7A" w14:textId="77777777" w:rsidR="00FC535B" w:rsidRDefault="00FC535B" w:rsidP="0010164B">
      <w:pPr>
        <w:widowControl w:val="0"/>
        <w:ind w:left="720" w:hanging="720"/>
        <w:jc w:val="both"/>
        <w:rPr>
          <w:rFonts w:cs="Courier New"/>
        </w:rPr>
      </w:pPr>
    </w:p>
    <w:p w14:paraId="0CF33351" w14:textId="1C1DE0B2" w:rsidR="00D0340A" w:rsidRDefault="00D0340A" w:rsidP="00C873D1">
      <w:pPr>
        <w:keepLines/>
        <w:widowControl w:val="0"/>
        <w:ind w:left="720" w:hanging="720"/>
        <w:jc w:val="both"/>
        <w:rPr>
          <w:rFonts w:cs="Courier New"/>
        </w:rPr>
      </w:pPr>
      <w:r w:rsidRPr="00B23997">
        <w:rPr>
          <w:rFonts w:cs="Courier New"/>
          <w:b/>
        </w:rPr>
        <w:t>Q.</w:t>
      </w:r>
      <w:r w:rsidRPr="00B23997">
        <w:rPr>
          <w:rFonts w:cs="Courier New"/>
        </w:rPr>
        <w:tab/>
      </w:r>
      <w:r>
        <w:rPr>
          <w:rFonts w:cs="Courier New"/>
        </w:rPr>
        <w:t xml:space="preserve">What is your conclusion regarding </w:t>
      </w:r>
      <w:r w:rsidR="002175BA">
        <w:rPr>
          <w:rFonts w:cs="Courier New"/>
        </w:rPr>
        <w:t xml:space="preserve">an adjustment for </w:t>
      </w:r>
      <w:r>
        <w:rPr>
          <w:rFonts w:cs="Courier New"/>
        </w:rPr>
        <w:t xml:space="preserve">the </w:t>
      </w:r>
      <w:r w:rsidR="00E06A1B">
        <w:rPr>
          <w:rFonts w:cs="Courier New"/>
        </w:rPr>
        <w:t>c</w:t>
      </w:r>
      <w:r w:rsidR="002175BA">
        <w:rPr>
          <w:rFonts w:cs="Courier New"/>
        </w:rPr>
        <w:t xml:space="preserve">ompany’s specific </w:t>
      </w:r>
      <w:r>
        <w:rPr>
          <w:rFonts w:cs="Courier New"/>
        </w:rPr>
        <w:t>business risk</w:t>
      </w:r>
      <w:r w:rsidR="002175BA">
        <w:rPr>
          <w:rFonts w:cs="Courier New"/>
        </w:rPr>
        <w:t>s</w:t>
      </w:r>
      <w:r>
        <w:rPr>
          <w:rFonts w:cs="Courier New"/>
        </w:rPr>
        <w:t>?</w:t>
      </w:r>
    </w:p>
    <w:p w14:paraId="69046E89" w14:textId="77777777" w:rsidR="00D0340A" w:rsidRDefault="00D0340A" w:rsidP="00D0340A">
      <w:pPr>
        <w:widowControl w:val="0"/>
        <w:ind w:left="720" w:hanging="720"/>
        <w:jc w:val="both"/>
        <w:rPr>
          <w:rFonts w:cs="Courier New"/>
        </w:rPr>
      </w:pPr>
    </w:p>
    <w:p w14:paraId="6A115BE1" w14:textId="0379521F" w:rsidR="00D0340A" w:rsidRDefault="00D0340A" w:rsidP="00D0340A">
      <w:pPr>
        <w:widowControl w:val="0"/>
        <w:ind w:left="720" w:hanging="720"/>
        <w:jc w:val="both"/>
        <w:rPr>
          <w:rFonts w:cs="Courier New"/>
        </w:rPr>
      </w:pPr>
      <w:r w:rsidRPr="00B23997">
        <w:rPr>
          <w:rFonts w:cs="Courier New"/>
          <w:b/>
        </w:rPr>
        <w:t>A.</w:t>
      </w:r>
      <w:r w:rsidRPr="00B23997">
        <w:rPr>
          <w:rFonts w:cs="Courier New"/>
        </w:rPr>
        <w:tab/>
      </w:r>
      <w:r w:rsidR="00CD62BE">
        <w:rPr>
          <w:rFonts w:cs="Courier New"/>
        </w:rPr>
        <w:t>Based on my analysis</w:t>
      </w:r>
      <w:r w:rsidR="002175BA">
        <w:rPr>
          <w:rFonts w:cs="Courier New"/>
        </w:rPr>
        <w:t xml:space="preserve">, a business risk adjustment </w:t>
      </w:r>
      <w:r w:rsidR="00E02C54">
        <w:rPr>
          <w:rFonts w:cs="Courier New"/>
        </w:rPr>
        <w:t xml:space="preserve">of 0.20 </w:t>
      </w:r>
      <w:r w:rsidR="00E02C54">
        <w:rPr>
          <w:rFonts w:cs="Courier New"/>
        </w:rPr>
        <w:lastRenderedPageBreak/>
        <w:t>percent</w:t>
      </w:r>
      <w:r w:rsidR="005D572C">
        <w:rPr>
          <w:rFonts w:cs="Courier New"/>
        </w:rPr>
        <w:t xml:space="preserve"> </w:t>
      </w:r>
      <w:r w:rsidR="002175BA">
        <w:rPr>
          <w:rFonts w:cs="Courier New"/>
        </w:rPr>
        <w:t xml:space="preserve">is appropriate for </w:t>
      </w:r>
      <w:r w:rsidR="00805765">
        <w:rPr>
          <w:rFonts w:cs="Courier New"/>
        </w:rPr>
        <w:t>Peoples</w:t>
      </w:r>
      <w:r w:rsidR="002175BA">
        <w:rPr>
          <w:rFonts w:cs="Courier New"/>
        </w:rPr>
        <w:t xml:space="preserve"> to account for the </w:t>
      </w:r>
      <w:r w:rsidR="00012C7E">
        <w:rPr>
          <w:rFonts w:cs="Courier New"/>
        </w:rPr>
        <w:t>c</w:t>
      </w:r>
      <w:r w:rsidR="002175BA">
        <w:rPr>
          <w:rFonts w:cs="Courier New"/>
        </w:rPr>
        <w:t xml:space="preserve">ompany’s smaller size, as well as </w:t>
      </w:r>
      <w:r w:rsidR="00E43E59">
        <w:rPr>
          <w:rFonts w:cs="Courier New"/>
        </w:rPr>
        <w:t xml:space="preserve">strong </w:t>
      </w:r>
      <w:r w:rsidR="002175BA">
        <w:rPr>
          <w:rFonts w:cs="Courier New"/>
        </w:rPr>
        <w:t xml:space="preserve">customer growth, </w:t>
      </w:r>
      <w:r w:rsidR="006050A4">
        <w:rPr>
          <w:rFonts w:cs="Courier New"/>
        </w:rPr>
        <w:t>high level of</w:t>
      </w:r>
      <w:r w:rsidR="002175BA">
        <w:rPr>
          <w:rFonts w:cs="Courier New"/>
        </w:rPr>
        <w:t xml:space="preserve"> performance, </w:t>
      </w:r>
      <w:r w:rsidR="005B2D54">
        <w:rPr>
          <w:rFonts w:cs="Courier New"/>
        </w:rPr>
        <w:t xml:space="preserve">and capital investment plans, </w:t>
      </w:r>
      <w:r w:rsidR="002175BA">
        <w:rPr>
          <w:rFonts w:cs="Courier New"/>
        </w:rPr>
        <w:t>relative to the Utility Proxy Group.</w:t>
      </w:r>
      <w:r w:rsidR="005D572C" w:rsidRPr="00CD62BE">
        <w:rPr>
          <w:rFonts w:cs="Courier New"/>
        </w:rPr>
        <w:t xml:space="preserve"> </w:t>
      </w:r>
      <w:r w:rsidR="005D572C">
        <w:rPr>
          <w:rFonts w:cs="Courier New"/>
        </w:rPr>
        <w:t xml:space="preserve"> </w:t>
      </w:r>
      <w:r w:rsidR="00CD62BE" w:rsidRPr="00CD62BE">
        <w:rPr>
          <w:rFonts w:cs="Courier New"/>
        </w:rPr>
        <w:t xml:space="preserve">Even though </w:t>
      </w:r>
      <w:r w:rsidR="00167474">
        <w:rPr>
          <w:rFonts w:cs="Courier New"/>
        </w:rPr>
        <w:t xml:space="preserve">my analysis of </w:t>
      </w:r>
      <w:r w:rsidR="00167474" w:rsidRPr="00CD62BE">
        <w:rPr>
          <w:rFonts w:cs="Courier New"/>
        </w:rPr>
        <w:t xml:space="preserve">the </w:t>
      </w:r>
      <w:r w:rsidR="00012C7E">
        <w:rPr>
          <w:rFonts w:cs="Courier New"/>
        </w:rPr>
        <w:t>c</w:t>
      </w:r>
      <w:r w:rsidR="00167474">
        <w:rPr>
          <w:rFonts w:cs="Courier New"/>
        </w:rPr>
        <w:t>ompany’s smaller size relative to the Utility Proxy Group</w:t>
      </w:r>
      <w:r w:rsidR="00167474" w:rsidRPr="00CD62BE">
        <w:rPr>
          <w:rFonts w:cs="Courier New"/>
        </w:rPr>
        <w:t xml:space="preserve"> </w:t>
      </w:r>
      <w:r w:rsidR="00167474">
        <w:rPr>
          <w:rFonts w:cs="Courier New"/>
        </w:rPr>
        <w:t xml:space="preserve">indicates </w:t>
      </w:r>
      <w:r w:rsidR="00CD62BE" w:rsidRPr="00CD62BE">
        <w:rPr>
          <w:rFonts w:cs="Courier New"/>
        </w:rPr>
        <w:t xml:space="preserve">an upward size adjustment of 0.62 percent, I conservatively applied </w:t>
      </w:r>
      <w:r w:rsidR="002175BA">
        <w:rPr>
          <w:rFonts w:cs="Courier New"/>
        </w:rPr>
        <w:t xml:space="preserve">an overall </w:t>
      </w:r>
      <w:r w:rsidR="00CD62BE" w:rsidRPr="00CD62BE">
        <w:rPr>
          <w:rFonts w:cs="Courier New"/>
        </w:rPr>
        <w:t>business risk adjustment of 0.20</w:t>
      </w:r>
      <w:r w:rsidR="002175BA">
        <w:rPr>
          <w:rFonts w:cs="Courier New"/>
        </w:rPr>
        <w:t xml:space="preserve"> percent</w:t>
      </w:r>
      <w:r w:rsidR="00683BE7">
        <w:rPr>
          <w:rFonts w:cs="Courier New"/>
        </w:rPr>
        <w:t xml:space="preserve"> to the results as shown on page 2 of Document No. 1</w:t>
      </w:r>
      <w:r w:rsidR="00CD62BE">
        <w:rPr>
          <w:rFonts w:cs="Courier New"/>
        </w:rPr>
        <w:t>.</w:t>
      </w:r>
    </w:p>
    <w:p w14:paraId="3FC3F937" w14:textId="77777777" w:rsidR="0010164B" w:rsidRDefault="0010164B" w:rsidP="0010164B">
      <w:pPr>
        <w:widowControl w:val="0"/>
        <w:ind w:left="720" w:hanging="720"/>
        <w:jc w:val="both"/>
        <w:rPr>
          <w:rFonts w:cs="Courier New"/>
        </w:rPr>
      </w:pPr>
    </w:p>
    <w:p w14:paraId="13CC085A" w14:textId="0A392B4E" w:rsidR="001E1C0B" w:rsidRDefault="001E1C0B" w:rsidP="00EE19DD">
      <w:pPr>
        <w:widowControl w:val="0"/>
        <w:ind w:left="720" w:hanging="720"/>
        <w:jc w:val="both"/>
        <w:rPr>
          <w:rFonts w:cs="Courier New"/>
        </w:rPr>
      </w:pPr>
      <w:r w:rsidRPr="00B23997">
        <w:rPr>
          <w:rFonts w:cs="Courier New"/>
          <w:b/>
        </w:rPr>
        <w:t>Q.</w:t>
      </w:r>
      <w:r w:rsidRPr="00B23997">
        <w:rPr>
          <w:rFonts w:cs="Courier New"/>
        </w:rPr>
        <w:tab/>
      </w:r>
      <w:r w:rsidR="00645595" w:rsidRPr="00645595">
        <w:rPr>
          <w:rFonts w:cs="Courier New"/>
        </w:rPr>
        <w:t xml:space="preserve">Please summarize your adjustments to the indicated ranges of ROEs applicable to the </w:t>
      </w:r>
      <w:r w:rsidR="00F416CB">
        <w:rPr>
          <w:rFonts w:cs="Courier New"/>
        </w:rPr>
        <w:t>Utility Proxy Group</w:t>
      </w:r>
      <w:r w:rsidR="00645595" w:rsidRPr="00645595">
        <w:rPr>
          <w:rFonts w:cs="Courier New"/>
        </w:rPr>
        <w:t>.</w:t>
      </w:r>
    </w:p>
    <w:p w14:paraId="15691D1F" w14:textId="77777777" w:rsidR="001E1C0B" w:rsidRDefault="001E1C0B" w:rsidP="00EE19DD">
      <w:pPr>
        <w:widowControl w:val="0"/>
        <w:ind w:left="720" w:hanging="720"/>
        <w:jc w:val="both"/>
        <w:rPr>
          <w:rFonts w:cs="Courier New"/>
        </w:rPr>
      </w:pPr>
    </w:p>
    <w:p w14:paraId="29426543" w14:textId="33EFE0B2" w:rsidR="007D6152" w:rsidRDefault="001E1C0B" w:rsidP="00DB61DC">
      <w:pPr>
        <w:widowControl w:val="0"/>
        <w:ind w:left="720" w:hanging="720"/>
        <w:jc w:val="both"/>
        <w:rPr>
          <w:rFonts w:cs="Courier New"/>
        </w:rPr>
      </w:pPr>
      <w:r w:rsidRPr="00B23997">
        <w:rPr>
          <w:rFonts w:cs="Courier New"/>
          <w:b/>
        </w:rPr>
        <w:t>A.</w:t>
      </w:r>
      <w:r w:rsidRPr="00B23997">
        <w:rPr>
          <w:rFonts w:cs="Courier New"/>
        </w:rPr>
        <w:tab/>
      </w:r>
      <w:r w:rsidR="00AC0254" w:rsidRPr="00AC0254">
        <w:rPr>
          <w:rFonts w:cs="Courier New"/>
        </w:rPr>
        <w:t xml:space="preserve">The summary of my adjustments </w:t>
      </w:r>
      <w:r w:rsidR="00FF5943">
        <w:rPr>
          <w:rFonts w:cs="Courier New"/>
        </w:rPr>
        <w:t xml:space="preserve">for the </w:t>
      </w:r>
      <w:r w:rsidR="00012C7E">
        <w:rPr>
          <w:rFonts w:cs="Courier New"/>
        </w:rPr>
        <w:t>c</w:t>
      </w:r>
      <w:r w:rsidR="00FF5943">
        <w:rPr>
          <w:rFonts w:cs="Courier New"/>
        </w:rPr>
        <w:t>ompany</w:t>
      </w:r>
      <w:r w:rsidR="00DD5FCE">
        <w:rPr>
          <w:rFonts w:cs="Courier New"/>
        </w:rPr>
        <w:t xml:space="preserve">-specific </w:t>
      </w:r>
      <w:r w:rsidR="00F82171">
        <w:rPr>
          <w:rFonts w:cs="Courier New"/>
        </w:rPr>
        <w:t>business risk</w:t>
      </w:r>
      <w:r w:rsidR="00553592">
        <w:rPr>
          <w:rFonts w:cs="Courier New"/>
        </w:rPr>
        <w:t>s</w:t>
      </w:r>
      <w:r w:rsidR="00F82171">
        <w:rPr>
          <w:rFonts w:cs="Courier New"/>
        </w:rPr>
        <w:t xml:space="preserve"> </w:t>
      </w:r>
      <w:r w:rsidR="00FF5943">
        <w:rPr>
          <w:rFonts w:cs="Courier New"/>
        </w:rPr>
        <w:t xml:space="preserve">and flotation costs </w:t>
      </w:r>
      <w:r w:rsidR="00AC0254" w:rsidRPr="00AC0254">
        <w:rPr>
          <w:rFonts w:cs="Courier New"/>
        </w:rPr>
        <w:t xml:space="preserve">to the indicated ranges of ROEs applicable to the </w:t>
      </w:r>
      <w:r w:rsidR="00F416CB">
        <w:rPr>
          <w:rFonts w:cs="Courier New"/>
        </w:rPr>
        <w:t>Utility Proxy Group</w:t>
      </w:r>
      <w:r w:rsidR="00AC0254" w:rsidRPr="00AC0254">
        <w:rPr>
          <w:rFonts w:cs="Courier New"/>
        </w:rPr>
        <w:t xml:space="preserve"> are </w:t>
      </w:r>
      <w:r w:rsidR="00E70456">
        <w:rPr>
          <w:rFonts w:cs="Courier New"/>
        </w:rPr>
        <w:t xml:space="preserve">summarized in </w:t>
      </w:r>
      <w:r w:rsidR="00986C0F">
        <w:rPr>
          <w:rFonts w:cs="Courier New"/>
        </w:rPr>
        <w:t xml:space="preserve">page 2 of </w:t>
      </w:r>
      <w:r w:rsidR="003803FD" w:rsidRPr="000456D5">
        <w:rPr>
          <w:rFonts w:cs="Courier New"/>
        </w:rPr>
        <w:t xml:space="preserve">Document No. </w:t>
      </w:r>
      <w:r w:rsidR="00E70456" w:rsidRPr="000456D5">
        <w:rPr>
          <w:rFonts w:cs="Courier New"/>
        </w:rPr>
        <w:t>1</w:t>
      </w:r>
      <w:r w:rsidR="00E70456">
        <w:rPr>
          <w:rFonts w:cs="Courier New"/>
        </w:rPr>
        <w:t>.</w:t>
      </w:r>
      <w:r w:rsidR="00311DF3">
        <w:rPr>
          <w:rFonts w:cs="Courier New"/>
        </w:rPr>
        <w:t xml:space="preserve">  As shown, t</w:t>
      </w:r>
      <w:r w:rsidR="007D6152" w:rsidRPr="007D6152">
        <w:rPr>
          <w:rFonts w:cs="Courier New"/>
        </w:rPr>
        <w:t xml:space="preserve">he range of ROEs applicable to </w:t>
      </w:r>
      <w:r w:rsidR="00FF5943">
        <w:rPr>
          <w:rFonts w:cs="Courier New"/>
        </w:rPr>
        <w:t xml:space="preserve">the </w:t>
      </w:r>
      <w:r w:rsidR="00012C7E">
        <w:rPr>
          <w:rFonts w:cs="Courier New"/>
        </w:rPr>
        <w:t>c</w:t>
      </w:r>
      <w:r w:rsidR="00FF5943">
        <w:rPr>
          <w:rFonts w:cs="Courier New"/>
        </w:rPr>
        <w:t>ompany</w:t>
      </w:r>
      <w:r w:rsidR="007D6152" w:rsidRPr="007D6152">
        <w:rPr>
          <w:rFonts w:cs="Courier New"/>
        </w:rPr>
        <w:t xml:space="preserve"> is between </w:t>
      </w:r>
      <w:r w:rsidR="00CC3540">
        <w:rPr>
          <w:rFonts w:cs="Courier New"/>
        </w:rPr>
        <w:t>10.</w:t>
      </w:r>
      <w:r w:rsidR="00F82171">
        <w:rPr>
          <w:rFonts w:cs="Courier New"/>
        </w:rPr>
        <w:t>32</w:t>
      </w:r>
      <w:r w:rsidR="007E07AF">
        <w:rPr>
          <w:rFonts w:cs="Courier New"/>
        </w:rPr>
        <w:t xml:space="preserve"> percent</w:t>
      </w:r>
      <w:r w:rsidR="007D6152" w:rsidRPr="007D6152">
        <w:rPr>
          <w:rFonts w:cs="Courier New"/>
        </w:rPr>
        <w:t xml:space="preserve"> and </w:t>
      </w:r>
      <w:r w:rsidR="00CC3540">
        <w:rPr>
          <w:rFonts w:cs="Courier New"/>
        </w:rPr>
        <w:t>11.</w:t>
      </w:r>
      <w:r w:rsidR="00F82171">
        <w:rPr>
          <w:rFonts w:cs="Courier New"/>
        </w:rPr>
        <w:t>70</w:t>
      </w:r>
      <w:r w:rsidR="007E07AF">
        <w:rPr>
          <w:rFonts w:cs="Courier New"/>
        </w:rPr>
        <w:t xml:space="preserve"> percent</w:t>
      </w:r>
      <w:r w:rsidR="007D6152" w:rsidRPr="007D6152">
        <w:rPr>
          <w:rFonts w:cs="Courier New"/>
        </w:rPr>
        <w:t>.</w:t>
      </w:r>
    </w:p>
    <w:p w14:paraId="4AC3408B" w14:textId="77777777" w:rsidR="007D6152" w:rsidRPr="0073351E" w:rsidRDefault="007D6152" w:rsidP="00DB61DC">
      <w:pPr>
        <w:widowControl w:val="0"/>
        <w:ind w:left="720" w:hanging="720"/>
        <w:jc w:val="both"/>
        <w:rPr>
          <w:rFonts w:cs="Courier New"/>
        </w:rPr>
      </w:pPr>
    </w:p>
    <w:p w14:paraId="54D795AA" w14:textId="74AF33E4" w:rsidR="00E63ACD" w:rsidRPr="00170349" w:rsidRDefault="00E63ACD" w:rsidP="00DB61DC">
      <w:pPr>
        <w:pStyle w:val="Heading1"/>
        <w:keepNext w:val="0"/>
        <w:pBdr>
          <w:left w:val="none" w:sz="0" w:space="0" w:color="auto"/>
          <w:right w:val="none" w:sz="0" w:space="0" w:color="auto"/>
        </w:pBdr>
        <w:jc w:val="left"/>
      </w:pPr>
      <w:bookmarkStart w:id="23" w:name="_Toc129962215"/>
      <w:r>
        <w:t>Conclusion</w:t>
      </w:r>
      <w:bookmarkEnd w:id="23"/>
    </w:p>
    <w:p w14:paraId="15FDE1F4" w14:textId="7EA1CF33" w:rsidR="004A08A5" w:rsidRPr="00B23997" w:rsidRDefault="0033341D" w:rsidP="00EE19DD">
      <w:pPr>
        <w:pStyle w:val="Header"/>
        <w:widowControl w:val="0"/>
        <w:tabs>
          <w:tab w:val="clear" w:pos="4320"/>
          <w:tab w:val="clear" w:pos="8640"/>
          <w:tab w:val="left" w:pos="720"/>
        </w:tabs>
        <w:ind w:left="720" w:hanging="720"/>
        <w:contextualSpacing/>
        <w:jc w:val="both"/>
        <w:rPr>
          <w:rFonts w:cs="Courier New"/>
        </w:rPr>
      </w:pPr>
      <w:r w:rsidRPr="00B23997">
        <w:rPr>
          <w:rFonts w:cs="Courier New"/>
          <w:b/>
        </w:rPr>
        <w:t>Q.</w:t>
      </w:r>
      <w:r w:rsidRPr="00B23997">
        <w:rPr>
          <w:rFonts w:cs="Courier New"/>
        </w:rPr>
        <w:tab/>
      </w:r>
      <w:r w:rsidR="0094787B" w:rsidRPr="0094787B">
        <w:rPr>
          <w:rFonts w:cs="Courier New"/>
        </w:rPr>
        <w:t xml:space="preserve">What is your recommended ROE for </w:t>
      </w:r>
      <w:r w:rsidR="00805765">
        <w:rPr>
          <w:rFonts w:cs="Courier New"/>
        </w:rPr>
        <w:t>Peoples</w:t>
      </w:r>
      <w:r w:rsidR="0094787B" w:rsidRPr="0094787B">
        <w:rPr>
          <w:rFonts w:cs="Courier New"/>
        </w:rPr>
        <w:t>?</w:t>
      </w:r>
    </w:p>
    <w:p w14:paraId="47D20B28" w14:textId="77777777" w:rsidR="004A08A5" w:rsidRPr="00B23997" w:rsidRDefault="004A08A5" w:rsidP="00EE19DD">
      <w:pPr>
        <w:pStyle w:val="Header"/>
        <w:widowControl w:val="0"/>
        <w:tabs>
          <w:tab w:val="clear" w:pos="4320"/>
          <w:tab w:val="clear" w:pos="8640"/>
          <w:tab w:val="left" w:pos="720"/>
        </w:tabs>
        <w:ind w:left="720" w:hanging="720"/>
        <w:contextualSpacing/>
        <w:jc w:val="both"/>
        <w:rPr>
          <w:rFonts w:cs="Courier New"/>
        </w:rPr>
      </w:pPr>
    </w:p>
    <w:p w14:paraId="6002DC3D" w14:textId="1EFBCA7C" w:rsidR="004A08A5" w:rsidRDefault="00717396" w:rsidP="00EE19DD">
      <w:pPr>
        <w:pStyle w:val="Header"/>
        <w:widowControl w:val="0"/>
        <w:tabs>
          <w:tab w:val="clear" w:pos="4320"/>
          <w:tab w:val="clear" w:pos="8640"/>
          <w:tab w:val="left" w:pos="720"/>
        </w:tabs>
        <w:ind w:left="720" w:hanging="720"/>
        <w:contextualSpacing/>
        <w:jc w:val="both"/>
        <w:rPr>
          <w:rFonts w:cs="Courier New"/>
        </w:rPr>
      </w:pPr>
      <w:r w:rsidRPr="00B23997">
        <w:rPr>
          <w:rFonts w:cs="Courier New"/>
          <w:b/>
        </w:rPr>
        <w:t>A.</w:t>
      </w:r>
      <w:r w:rsidRPr="00B23997">
        <w:rPr>
          <w:rFonts w:cs="Courier New"/>
        </w:rPr>
        <w:tab/>
      </w:r>
      <w:r w:rsidR="0025452C" w:rsidRPr="0025452C">
        <w:rPr>
          <w:rFonts w:cs="Courier New"/>
        </w:rPr>
        <w:t xml:space="preserve">Given the indicated ROE range applicable to </w:t>
      </w:r>
      <w:r w:rsidR="00FF5943">
        <w:rPr>
          <w:rFonts w:cs="Courier New"/>
        </w:rPr>
        <w:t xml:space="preserve">the </w:t>
      </w:r>
      <w:r w:rsidR="00012C7E">
        <w:rPr>
          <w:rFonts w:cs="Courier New"/>
        </w:rPr>
        <w:t>c</w:t>
      </w:r>
      <w:r w:rsidR="00FF5943">
        <w:rPr>
          <w:rFonts w:cs="Courier New"/>
        </w:rPr>
        <w:t>ompany</w:t>
      </w:r>
      <w:r w:rsidR="0025452C" w:rsidRPr="0025452C">
        <w:rPr>
          <w:rFonts w:cs="Courier New"/>
        </w:rPr>
        <w:t xml:space="preserve"> of </w:t>
      </w:r>
      <w:r w:rsidR="00F82171">
        <w:rPr>
          <w:rFonts w:cs="Courier New"/>
        </w:rPr>
        <w:t>10.32</w:t>
      </w:r>
      <w:r w:rsidR="00BF3A3D">
        <w:rPr>
          <w:rFonts w:cs="Courier New"/>
        </w:rPr>
        <w:t xml:space="preserve"> percent</w:t>
      </w:r>
      <w:r w:rsidR="0025452C" w:rsidRPr="0025452C">
        <w:rPr>
          <w:rFonts w:cs="Courier New"/>
        </w:rPr>
        <w:t xml:space="preserve"> to </w:t>
      </w:r>
      <w:r w:rsidR="00F82171">
        <w:rPr>
          <w:rFonts w:cs="Courier New"/>
        </w:rPr>
        <w:t>11.70</w:t>
      </w:r>
      <w:r w:rsidR="00BF3A3D">
        <w:rPr>
          <w:rFonts w:cs="Courier New"/>
        </w:rPr>
        <w:t xml:space="preserve"> percent</w:t>
      </w:r>
      <w:r w:rsidR="00FF5943">
        <w:rPr>
          <w:rFonts w:cs="Courier New"/>
        </w:rPr>
        <w:t xml:space="preserve">, </w:t>
      </w:r>
      <w:r w:rsidR="0025452C" w:rsidRPr="0025452C">
        <w:rPr>
          <w:rFonts w:cs="Courier New"/>
        </w:rPr>
        <w:t xml:space="preserve">I conclude that an appropriate </w:t>
      </w:r>
      <w:r w:rsidR="0025452C" w:rsidRPr="0025452C">
        <w:rPr>
          <w:rFonts w:cs="Courier New"/>
        </w:rPr>
        <w:lastRenderedPageBreak/>
        <w:t xml:space="preserve">ROE for the </w:t>
      </w:r>
      <w:r w:rsidR="00012C7E">
        <w:rPr>
          <w:rFonts w:cs="Courier New"/>
        </w:rPr>
        <w:t>c</w:t>
      </w:r>
      <w:r w:rsidR="0025452C" w:rsidRPr="0025452C">
        <w:rPr>
          <w:rFonts w:cs="Courier New"/>
        </w:rPr>
        <w:t xml:space="preserve">ompany is </w:t>
      </w:r>
      <w:r w:rsidR="004F7F52">
        <w:rPr>
          <w:rFonts w:cs="Courier New"/>
        </w:rPr>
        <w:t>11.00</w:t>
      </w:r>
      <w:r w:rsidR="00BF3A3D">
        <w:rPr>
          <w:rFonts w:cs="Courier New"/>
        </w:rPr>
        <w:t xml:space="preserve"> percent</w:t>
      </w:r>
      <w:r w:rsidR="0025452C" w:rsidRPr="0025452C">
        <w:rPr>
          <w:rFonts w:cs="Courier New"/>
        </w:rPr>
        <w:t>.</w:t>
      </w:r>
    </w:p>
    <w:p w14:paraId="209B753A" w14:textId="77777777" w:rsidR="00A445EC" w:rsidRPr="00B23997" w:rsidRDefault="00A445EC" w:rsidP="00EE19DD">
      <w:pPr>
        <w:pStyle w:val="Header"/>
        <w:widowControl w:val="0"/>
        <w:tabs>
          <w:tab w:val="clear" w:pos="4320"/>
          <w:tab w:val="clear" w:pos="8640"/>
          <w:tab w:val="left" w:pos="720"/>
        </w:tabs>
        <w:ind w:left="720" w:hanging="720"/>
        <w:contextualSpacing/>
        <w:jc w:val="both"/>
        <w:rPr>
          <w:rFonts w:cs="Courier New"/>
        </w:rPr>
      </w:pPr>
    </w:p>
    <w:p w14:paraId="06ED0159" w14:textId="5289392A" w:rsidR="00A445EC" w:rsidRDefault="00A445EC" w:rsidP="00EE19DD">
      <w:pPr>
        <w:pStyle w:val="Header"/>
        <w:widowControl w:val="0"/>
        <w:tabs>
          <w:tab w:val="clear" w:pos="4320"/>
          <w:tab w:val="clear" w:pos="8640"/>
          <w:tab w:val="left" w:pos="720"/>
        </w:tabs>
        <w:ind w:left="720" w:hanging="720"/>
        <w:contextualSpacing/>
        <w:jc w:val="both"/>
        <w:rPr>
          <w:rFonts w:cs="Courier New"/>
        </w:rPr>
      </w:pPr>
      <w:r w:rsidRPr="00B23997">
        <w:rPr>
          <w:rFonts w:cs="Courier New"/>
          <w:b/>
        </w:rPr>
        <w:t>Q.</w:t>
      </w:r>
      <w:r w:rsidRPr="00B23997">
        <w:rPr>
          <w:rFonts w:cs="Courier New"/>
          <w:b/>
        </w:rPr>
        <w:tab/>
      </w:r>
      <w:r w:rsidR="00C0183E" w:rsidRPr="00C0183E">
        <w:rPr>
          <w:rFonts w:cs="Courier New"/>
        </w:rPr>
        <w:t xml:space="preserve">In your opinion, is your proposed ROE of </w:t>
      </w:r>
      <w:r w:rsidR="004F7F52">
        <w:rPr>
          <w:rFonts w:cs="Courier New"/>
        </w:rPr>
        <w:t>11.00</w:t>
      </w:r>
      <w:r w:rsidR="00BF3A3D">
        <w:rPr>
          <w:rFonts w:cs="Courier New"/>
        </w:rPr>
        <w:t xml:space="preserve"> percent</w:t>
      </w:r>
      <w:r w:rsidR="00C0183E" w:rsidRPr="00C0183E">
        <w:rPr>
          <w:rFonts w:cs="Courier New"/>
        </w:rPr>
        <w:t xml:space="preserve"> fair and reasonable to </w:t>
      </w:r>
      <w:r w:rsidR="00805765">
        <w:rPr>
          <w:rFonts w:cs="Courier New"/>
        </w:rPr>
        <w:t>Peoples</w:t>
      </w:r>
      <w:r w:rsidR="00C0183E" w:rsidRPr="00C0183E">
        <w:rPr>
          <w:rFonts w:cs="Courier New"/>
        </w:rPr>
        <w:t xml:space="preserve"> and its customers?</w:t>
      </w:r>
    </w:p>
    <w:p w14:paraId="07C06799" w14:textId="77777777" w:rsidR="000D189D" w:rsidRPr="00B23997" w:rsidRDefault="000D189D" w:rsidP="00EE19DD">
      <w:pPr>
        <w:pStyle w:val="Header"/>
        <w:widowControl w:val="0"/>
        <w:tabs>
          <w:tab w:val="clear" w:pos="4320"/>
          <w:tab w:val="clear" w:pos="8640"/>
          <w:tab w:val="left" w:pos="720"/>
        </w:tabs>
        <w:ind w:left="720" w:hanging="720"/>
        <w:contextualSpacing/>
        <w:jc w:val="both"/>
        <w:rPr>
          <w:rFonts w:cs="Courier New"/>
        </w:rPr>
      </w:pPr>
    </w:p>
    <w:p w14:paraId="7ACC993A" w14:textId="7A3619F6" w:rsidR="00A445EC" w:rsidRDefault="00A445EC" w:rsidP="00EE19DD">
      <w:pPr>
        <w:pStyle w:val="Header"/>
        <w:widowControl w:val="0"/>
        <w:tabs>
          <w:tab w:val="clear" w:pos="4320"/>
          <w:tab w:val="clear" w:pos="8640"/>
          <w:tab w:val="left" w:pos="720"/>
        </w:tabs>
        <w:ind w:left="720" w:hanging="720"/>
        <w:contextualSpacing/>
        <w:jc w:val="both"/>
        <w:rPr>
          <w:rFonts w:cs="Courier New"/>
          <w:sz w:val="28"/>
        </w:rPr>
      </w:pPr>
      <w:r w:rsidRPr="00B23997">
        <w:rPr>
          <w:rFonts w:cs="Courier New"/>
          <w:b/>
        </w:rPr>
        <w:t>A.</w:t>
      </w:r>
      <w:r w:rsidRPr="00B23997">
        <w:rPr>
          <w:rFonts w:cs="Courier New"/>
        </w:rPr>
        <w:tab/>
        <w:t>Yes</w:t>
      </w:r>
      <w:r w:rsidR="00C0183E">
        <w:rPr>
          <w:rFonts w:cs="Courier New"/>
        </w:rPr>
        <w:t>, it is</w:t>
      </w:r>
      <w:r w:rsidRPr="00B23997">
        <w:rPr>
          <w:rFonts w:cs="Courier New"/>
        </w:rPr>
        <w:t>.</w:t>
      </w:r>
    </w:p>
    <w:p w14:paraId="7D9CDAA7" w14:textId="77777777" w:rsidR="00A445EC" w:rsidRPr="00B23997" w:rsidRDefault="00A445EC" w:rsidP="00EE19DD">
      <w:pPr>
        <w:pStyle w:val="Header"/>
        <w:widowControl w:val="0"/>
        <w:tabs>
          <w:tab w:val="clear" w:pos="4320"/>
          <w:tab w:val="clear" w:pos="8640"/>
          <w:tab w:val="left" w:pos="720"/>
        </w:tabs>
        <w:ind w:left="720" w:hanging="720"/>
        <w:contextualSpacing/>
        <w:jc w:val="both"/>
        <w:rPr>
          <w:rFonts w:cs="Courier New"/>
        </w:rPr>
      </w:pPr>
    </w:p>
    <w:p w14:paraId="057D4550" w14:textId="6DCE51CF" w:rsidR="00A445EC" w:rsidRPr="00B23997" w:rsidRDefault="00A445EC" w:rsidP="00EE19DD">
      <w:pPr>
        <w:pStyle w:val="Header"/>
        <w:widowControl w:val="0"/>
        <w:tabs>
          <w:tab w:val="clear" w:pos="4320"/>
          <w:tab w:val="clear" w:pos="8640"/>
          <w:tab w:val="left" w:pos="720"/>
        </w:tabs>
        <w:ind w:left="720" w:hanging="720"/>
        <w:contextualSpacing/>
        <w:jc w:val="both"/>
        <w:rPr>
          <w:rFonts w:cs="Courier New"/>
        </w:rPr>
      </w:pPr>
      <w:r w:rsidRPr="00B23997">
        <w:rPr>
          <w:rFonts w:cs="Courier New"/>
          <w:b/>
        </w:rPr>
        <w:t>Q.</w:t>
      </w:r>
      <w:r w:rsidRPr="00B23997">
        <w:rPr>
          <w:rFonts w:cs="Courier New"/>
          <w:b/>
        </w:rPr>
        <w:tab/>
      </w:r>
      <w:r w:rsidR="00CA3C49" w:rsidRPr="00CA3C49">
        <w:rPr>
          <w:rFonts w:cs="Courier New"/>
        </w:rPr>
        <w:t xml:space="preserve">In your opinion, is </w:t>
      </w:r>
      <w:r w:rsidR="00805765">
        <w:rPr>
          <w:rFonts w:cs="Courier New"/>
        </w:rPr>
        <w:t>Peoples</w:t>
      </w:r>
      <w:r w:rsidR="00A143FA">
        <w:rPr>
          <w:rFonts w:cs="Courier New"/>
        </w:rPr>
        <w:t>’</w:t>
      </w:r>
      <w:r w:rsidR="00CA3C49" w:rsidRPr="00CA3C49">
        <w:rPr>
          <w:rFonts w:cs="Courier New"/>
        </w:rPr>
        <w:t xml:space="preserve"> proposed capital structure consisting of </w:t>
      </w:r>
      <w:r w:rsidR="00D86B10">
        <w:rPr>
          <w:rFonts w:cs="Courier New"/>
        </w:rPr>
        <w:t>40.48</w:t>
      </w:r>
      <w:r w:rsidR="00BF3A3D">
        <w:rPr>
          <w:rFonts w:cs="Courier New"/>
        </w:rPr>
        <w:t xml:space="preserve"> percent</w:t>
      </w:r>
      <w:r w:rsidR="00CA3C49" w:rsidRPr="00CA3C49">
        <w:rPr>
          <w:rFonts w:cs="Courier New"/>
        </w:rPr>
        <w:t xml:space="preserve"> long-term debt </w:t>
      </w:r>
      <w:r w:rsidR="00CA3C49" w:rsidRPr="00D86B10">
        <w:rPr>
          <w:rFonts w:cs="Courier New"/>
        </w:rPr>
        <w:t xml:space="preserve">and </w:t>
      </w:r>
      <w:r w:rsidR="000875BF" w:rsidRPr="00D86B10">
        <w:rPr>
          <w:rFonts w:cs="Courier New"/>
        </w:rPr>
        <w:t>54.</w:t>
      </w:r>
      <w:r w:rsidR="00F413CA">
        <w:rPr>
          <w:rFonts w:cs="Courier New"/>
        </w:rPr>
        <w:t>6</w:t>
      </w:r>
      <w:r w:rsidR="00F413CA" w:rsidRPr="00D86B10">
        <w:rPr>
          <w:rFonts w:cs="Courier New"/>
        </w:rPr>
        <w:t>8</w:t>
      </w:r>
      <w:r w:rsidR="00F413CA">
        <w:rPr>
          <w:rFonts w:cs="Courier New"/>
        </w:rPr>
        <w:t xml:space="preserve"> </w:t>
      </w:r>
      <w:r w:rsidR="00BF3A3D">
        <w:rPr>
          <w:rFonts w:cs="Courier New"/>
        </w:rPr>
        <w:t>percent</w:t>
      </w:r>
      <w:r w:rsidR="00CA3C49" w:rsidRPr="00CA3C49">
        <w:rPr>
          <w:rFonts w:cs="Courier New"/>
        </w:rPr>
        <w:t xml:space="preserve"> common equity fair and reasonable?</w:t>
      </w:r>
    </w:p>
    <w:p w14:paraId="31D8BF4B" w14:textId="77777777" w:rsidR="00A445EC" w:rsidRPr="00B23997" w:rsidRDefault="00A445EC" w:rsidP="00EE19DD">
      <w:pPr>
        <w:pStyle w:val="Header"/>
        <w:widowControl w:val="0"/>
        <w:tabs>
          <w:tab w:val="clear" w:pos="4320"/>
          <w:tab w:val="clear" w:pos="8640"/>
          <w:tab w:val="left" w:pos="720"/>
        </w:tabs>
        <w:ind w:left="720" w:hanging="720"/>
        <w:contextualSpacing/>
        <w:jc w:val="both"/>
        <w:rPr>
          <w:rFonts w:cs="Courier New"/>
        </w:rPr>
      </w:pPr>
    </w:p>
    <w:p w14:paraId="632F60AF" w14:textId="36FCE79F" w:rsidR="00A445EC" w:rsidRDefault="00A445EC" w:rsidP="00EE19DD">
      <w:pPr>
        <w:pStyle w:val="Header"/>
        <w:widowControl w:val="0"/>
        <w:tabs>
          <w:tab w:val="clear" w:pos="4320"/>
          <w:tab w:val="clear" w:pos="8640"/>
          <w:tab w:val="left" w:pos="720"/>
        </w:tabs>
        <w:ind w:left="720" w:hanging="720"/>
        <w:contextualSpacing/>
        <w:jc w:val="both"/>
        <w:rPr>
          <w:rFonts w:cs="Courier New"/>
          <w:sz w:val="28"/>
        </w:rPr>
      </w:pPr>
      <w:r w:rsidRPr="00B23997">
        <w:rPr>
          <w:rFonts w:cs="Courier New"/>
          <w:b/>
        </w:rPr>
        <w:t>A.</w:t>
      </w:r>
      <w:r w:rsidRPr="00B23997">
        <w:rPr>
          <w:rFonts w:cs="Courier New"/>
        </w:rPr>
        <w:tab/>
        <w:t>Yes</w:t>
      </w:r>
      <w:r w:rsidR="00CA3C49">
        <w:rPr>
          <w:rFonts w:cs="Courier New"/>
        </w:rPr>
        <w:t>, it is</w:t>
      </w:r>
      <w:r w:rsidRPr="00B23997">
        <w:rPr>
          <w:rFonts w:cs="Courier New"/>
        </w:rPr>
        <w:t>.</w:t>
      </w:r>
    </w:p>
    <w:p w14:paraId="68C800C6" w14:textId="77777777" w:rsidR="000D79FB" w:rsidRPr="00B23997" w:rsidRDefault="000D79FB" w:rsidP="00EE19DD">
      <w:pPr>
        <w:pStyle w:val="Header"/>
        <w:widowControl w:val="0"/>
        <w:tabs>
          <w:tab w:val="clear" w:pos="4320"/>
          <w:tab w:val="clear" w:pos="8640"/>
          <w:tab w:val="left" w:pos="720"/>
        </w:tabs>
        <w:ind w:left="720" w:hanging="720"/>
        <w:contextualSpacing/>
        <w:jc w:val="both"/>
        <w:rPr>
          <w:rFonts w:cs="Courier New"/>
        </w:rPr>
      </w:pPr>
    </w:p>
    <w:p w14:paraId="5BD2AC5B" w14:textId="77777777" w:rsidR="004A08A5" w:rsidRPr="00B23997" w:rsidRDefault="004A08A5" w:rsidP="00535641">
      <w:pPr>
        <w:pStyle w:val="Header"/>
        <w:widowControl w:val="0"/>
        <w:tabs>
          <w:tab w:val="clear" w:pos="4320"/>
          <w:tab w:val="clear" w:pos="8640"/>
          <w:tab w:val="left" w:pos="720"/>
        </w:tabs>
        <w:ind w:left="720" w:hanging="720"/>
        <w:contextualSpacing/>
        <w:jc w:val="both"/>
        <w:rPr>
          <w:rFonts w:cs="Courier New"/>
        </w:rPr>
      </w:pPr>
      <w:r w:rsidRPr="00B23997">
        <w:rPr>
          <w:rFonts w:cs="Courier New"/>
          <w:b/>
        </w:rPr>
        <w:t>Q.</w:t>
      </w:r>
      <w:r w:rsidRPr="00B23997">
        <w:rPr>
          <w:rFonts w:cs="Courier New"/>
          <w:b/>
        </w:rPr>
        <w:tab/>
      </w:r>
      <w:r w:rsidRPr="00B23997">
        <w:rPr>
          <w:rFonts w:cs="Courier New"/>
        </w:rPr>
        <w:t xml:space="preserve">Does this conclude your </w:t>
      </w:r>
      <w:r w:rsidR="000D79FB">
        <w:rPr>
          <w:rFonts w:cs="Courier New"/>
        </w:rPr>
        <w:t xml:space="preserve">prepared </w:t>
      </w:r>
      <w:r w:rsidRPr="00B23997">
        <w:rPr>
          <w:rFonts w:cs="Courier New"/>
        </w:rPr>
        <w:t>direct testimony?</w:t>
      </w:r>
    </w:p>
    <w:p w14:paraId="3C2B05A3" w14:textId="77777777" w:rsidR="004A08A5" w:rsidRPr="00B23997" w:rsidRDefault="004A08A5" w:rsidP="00535641">
      <w:pPr>
        <w:pStyle w:val="Header"/>
        <w:widowControl w:val="0"/>
        <w:tabs>
          <w:tab w:val="clear" w:pos="4320"/>
          <w:tab w:val="clear" w:pos="8640"/>
          <w:tab w:val="left" w:pos="720"/>
        </w:tabs>
        <w:ind w:left="720" w:hanging="720"/>
        <w:contextualSpacing/>
        <w:jc w:val="both"/>
        <w:rPr>
          <w:rFonts w:cs="Courier New"/>
        </w:rPr>
      </w:pPr>
    </w:p>
    <w:p w14:paraId="59840B3D" w14:textId="3C6CE48B" w:rsidR="00B23997" w:rsidRDefault="00717396" w:rsidP="00535641">
      <w:pPr>
        <w:pStyle w:val="Header"/>
        <w:widowControl w:val="0"/>
        <w:tabs>
          <w:tab w:val="clear" w:pos="4320"/>
          <w:tab w:val="clear" w:pos="8640"/>
          <w:tab w:val="left" w:pos="720"/>
        </w:tabs>
        <w:ind w:left="720" w:hanging="720"/>
        <w:contextualSpacing/>
        <w:jc w:val="both"/>
        <w:rPr>
          <w:rFonts w:cs="Courier New"/>
        </w:rPr>
      </w:pPr>
      <w:r w:rsidRPr="00B23997">
        <w:rPr>
          <w:rFonts w:cs="Courier New"/>
          <w:b/>
        </w:rPr>
        <w:t>A.</w:t>
      </w:r>
      <w:r w:rsidRPr="00B23997">
        <w:rPr>
          <w:rFonts w:cs="Courier New"/>
        </w:rPr>
        <w:tab/>
      </w:r>
      <w:r w:rsidR="004A08A5" w:rsidRPr="00B23997">
        <w:rPr>
          <w:rFonts w:cs="Courier New"/>
        </w:rPr>
        <w:t>Yes.</w:t>
      </w:r>
    </w:p>
    <w:p w14:paraId="38888FF9" w14:textId="70506E10" w:rsidR="00DF572F" w:rsidRDefault="00DF572F" w:rsidP="00535641">
      <w:pPr>
        <w:pStyle w:val="Header"/>
        <w:widowControl w:val="0"/>
        <w:tabs>
          <w:tab w:val="clear" w:pos="4320"/>
          <w:tab w:val="clear" w:pos="8640"/>
          <w:tab w:val="left" w:pos="720"/>
        </w:tabs>
        <w:ind w:left="720" w:hanging="720"/>
        <w:contextualSpacing/>
        <w:jc w:val="both"/>
        <w:rPr>
          <w:rFonts w:cs="Courier New"/>
        </w:rPr>
      </w:pPr>
    </w:p>
    <w:p w14:paraId="185E27E0" w14:textId="76917315" w:rsidR="0098667E" w:rsidRDefault="0098667E" w:rsidP="00535641">
      <w:pPr>
        <w:pStyle w:val="Header"/>
        <w:widowControl w:val="0"/>
        <w:tabs>
          <w:tab w:val="clear" w:pos="4320"/>
          <w:tab w:val="clear" w:pos="8640"/>
          <w:tab w:val="left" w:pos="720"/>
        </w:tabs>
        <w:ind w:left="720" w:hanging="720"/>
        <w:contextualSpacing/>
        <w:jc w:val="both"/>
        <w:rPr>
          <w:rFonts w:cs="Courier New"/>
        </w:rPr>
      </w:pPr>
    </w:p>
    <w:p w14:paraId="44F8F5F9" w14:textId="1FBEAF3A" w:rsidR="00DB61DC" w:rsidRDefault="00DB61DC" w:rsidP="00535641">
      <w:pPr>
        <w:pStyle w:val="Header"/>
        <w:widowControl w:val="0"/>
        <w:tabs>
          <w:tab w:val="clear" w:pos="4320"/>
          <w:tab w:val="clear" w:pos="8640"/>
          <w:tab w:val="left" w:pos="720"/>
        </w:tabs>
        <w:ind w:left="720" w:hanging="720"/>
        <w:contextualSpacing/>
        <w:jc w:val="both"/>
        <w:rPr>
          <w:rFonts w:cs="Courier New"/>
        </w:rPr>
      </w:pPr>
    </w:p>
    <w:p w14:paraId="7154FFDC" w14:textId="52C83706" w:rsidR="00FC535B" w:rsidRDefault="00FC535B" w:rsidP="00535641">
      <w:pPr>
        <w:pStyle w:val="Header"/>
        <w:widowControl w:val="0"/>
        <w:tabs>
          <w:tab w:val="clear" w:pos="4320"/>
          <w:tab w:val="clear" w:pos="8640"/>
          <w:tab w:val="left" w:pos="720"/>
        </w:tabs>
        <w:ind w:left="720" w:hanging="720"/>
        <w:contextualSpacing/>
        <w:jc w:val="both"/>
        <w:rPr>
          <w:rFonts w:cs="Courier New"/>
        </w:rPr>
      </w:pPr>
    </w:p>
    <w:p w14:paraId="65F3B147" w14:textId="140E4A1D" w:rsidR="00FC535B" w:rsidRDefault="00FC535B" w:rsidP="00535641">
      <w:pPr>
        <w:pStyle w:val="Header"/>
        <w:widowControl w:val="0"/>
        <w:tabs>
          <w:tab w:val="clear" w:pos="4320"/>
          <w:tab w:val="clear" w:pos="8640"/>
          <w:tab w:val="left" w:pos="720"/>
        </w:tabs>
        <w:ind w:left="720" w:hanging="720"/>
        <w:contextualSpacing/>
        <w:jc w:val="both"/>
        <w:rPr>
          <w:rFonts w:cs="Courier New"/>
        </w:rPr>
      </w:pPr>
    </w:p>
    <w:p w14:paraId="2F8FA9CA" w14:textId="40274167" w:rsidR="00FC535B" w:rsidRDefault="00FC535B" w:rsidP="00535641">
      <w:pPr>
        <w:pStyle w:val="Header"/>
        <w:widowControl w:val="0"/>
        <w:tabs>
          <w:tab w:val="clear" w:pos="4320"/>
          <w:tab w:val="clear" w:pos="8640"/>
          <w:tab w:val="left" w:pos="720"/>
        </w:tabs>
        <w:ind w:left="720" w:hanging="720"/>
        <w:contextualSpacing/>
        <w:jc w:val="both"/>
        <w:rPr>
          <w:rFonts w:cs="Courier New"/>
        </w:rPr>
      </w:pPr>
    </w:p>
    <w:p w14:paraId="3D04F026" w14:textId="77777777" w:rsidR="00FC535B" w:rsidRDefault="00FC535B" w:rsidP="00535641">
      <w:pPr>
        <w:pStyle w:val="Header"/>
        <w:widowControl w:val="0"/>
        <w:tabs>
          <w:tab w:val="clear" w:pos="4320"/>
          <w:tab w:val="clear" w:pos="8640"/>
          <w:tab w:val="left" w:pos="720"/>
        </w:tabs>
        <w:ind w:left="720" w:hanging="720"/>
        <w:contextualSpacing/>
        <w:jc w:val="both"/>
        <w:rPr>
          <w:rFonts w:cs="Courier New"/>
        </w:rPr>
      </w:pPr>
    </w:p>
    <w:p w14:paraId="3A37AF3E" w14:textId="64BA8C89" w:rsidR="00DF572F" w:rsidRDefault="00DF572F" w:rsidP="00535641">
      <w:pPr>
        <w:pStyle w:val="Header"/>
        <w:widowControl w:val="0"/>
        <w:tabs>
          <w:tab w:val="clear" w:pos="4320"/>
          <w:tab w:val="clear" w:pos="8640"/>
          <w:tab w:val="left" w:pos="720"/>
        </w:tabs>
        <w:ind w:left="720" w:hanging="720"/>
        <w:contextualSpacing/>
        <w:jc w:val="both"/>
        <w:rPr>
          <w:rFonts w:cs="Courier New"/>
        </w:rPr>
      </w:pPr>
    </w:p>
    <w:p w14:paraId="63AE4852" w14:textId="77777777" w:rsidR="00DF572F" w:rsidRDefault="00DF572F" w:rsidP="00535641">
      <w:pPr>
        <w:pStyle w:val="Header"/>
        <w:widowControl w:val="0"/>
        <w:tabs>
          <w:tab w:val="clear" w:pos="4320"/>
          <w:tab w:val="clear" w:pos="8640"/>
          <w:tab w:val="left" w:pos="720"/>
        </w:tabs>
        <w:ind w:left="720" w:hanging="720"/>
        <w:contextualSpacing/>
        <w:jc w:val="both"/>
        <w:rPr>
          <w:rFonts w:cs="Courier New"/>
          <w:sz w:val="28"/>
        </w:rPr>
      </w:pPr>
    </w:p>
    <w:p w14:paraId="39B018E0" w14:textId="77777777" w:rsidR="00A02CE0" w:rsidRPr="00B23997" w:rsidRDefault="00A02CE0" w:rsidP="00B23997">
      <w:pPr>
        <w:widowControl w:val="0"/>
        <w:ind w:left="-720"/>
        <w:jc w:val="center"/>
        <w:rPr>
          <w:rFonts w:cs="Courier New"/>
          <w:b/>
          <w:sz w:val="28"/>
        </w:rPr>
        <w:sectPr w:rsidR="00A02CE0" w:rsidRPr="00B23997" w:rsidSect="00741907">
          <w:footerReference w:type="default" r:id="rId17"/>
          <w:footerReference w:type="first" r:id="rId18"/>
          <w:endnotePr>
            <w:numFmt w:val="decimal"/>
          </w:endnotePr>
          <w:pgSz w:w="12240" w:h="15840" w:code="1"/>
          <w:pgMar w:top="1440" w:right="720" w:bottom="806" w:left="2160" w:header="720" w:footer="720" w:gutter="0"/>
          <w:paperSrc w:first="15" w:other="15"/>
          <w:pgBorders>
            <w:left w:val="single" w:sz="4" w:space="4" w:color="auto"/>
            <w:right w:val="single" w:sz="4" w:space="4" w:color="auto"/>
          </w:pgBorders>
          <w:lnNumType w:countBy="1"/>
          <w:pgNumType w:start="1"/>
          <w:cols w:space="720"/>
          <w:titlePg/>
        </w:sectPr>
      </w:pPr>
    </w:p>
    <w:p w14:paraId="33B70A90" w14:textId="77777777" w:rsidR="00B23997" w:rsidRDefault="00B23997" w:rsidP="00B23997">
      <w:pPr>
        <w:widowControl w:val="0"/>
        <w:ind w:left="-720"/>
        <w:jc w:val="center"/>
        <w:rPr>
          <w:rFonts w:cs="Courier New"/>
          <w:b/>
          <w:sz w:val="28"/>
        </w:rPr>
      </w:pPr>
    </w:p>
    <w:p w14:paraId="101D1134" w14:textId="77777777" w:rsidR="00B23997" w:rsidRDefault="00B23997" w:rsidP="00B23997">
      <w:pPr>
        <w:widowControl w:val="0"/>
        <w:ind w:left="-720"/>
        <w:jc w:val="center"/>
        <w:rPr>
          <w:rFonts w:cs="Courier New"/>
          <w:b/>
          <w:sz w:val="28"/>
        </w:rPr>
      </w:pPr>
    </w:p>
    <w:p w14:paraId="4629B807" w14:textId="77777777" w:rsidR="00B23997" w:rsidRDefault="00B23997" w:rsidP="00B23997">
      <w:pPr>
        <w:widowControl w:val="0"/>
        <w:ind w:left="-720"/>
        <w:jc w:val="center"/>
        <w:rPr>
          <w:rFonts w:cs="Courier New"/>
          <w:b/>
          <w:sz w:val="28"/>
        </w:rPr>
      </w:pPr>
    </w:p>
    <w:p w14:paraId="4985D0F7" w14:textId="77777777" w:rsidR="00B23997" w:rsidRDefault="00B23997" w:rsidP="00B23997">
      <w:pPr>
        <w:widowControl w:val="0"/>
        <w:ind w:left="-720"/>
        <w:jc w:val="center"/>
        <w:rPr>
          <w:rFonts w:cs="Courier New"/>
          <w:b/>
          <w:sz w:val="28"/>
        </w:rPr>
      </w:pPr>
    </w:p>
    <w:p w14:paraId="2DAE6734" w14:textId="77777777" w:rsidR="00B23997" w:rsidRDefault="00B23997" w:rsidP="00B23997">
      <w:pPr>
        <w:widowControl w:val="0"/>
        <w:ind w:left="-720"/>
        <w:jc w:val="center"/>
        <w:rPr>
          <w:rFonts w:cs="Courier New"/>
          <w:b/>
          <w:sz w:val="28"/>
        </w:rPr>
      </w:pPr>
    </w:p>
    <w:p w14:paraId="16B9F6B5" w14:textId="77777777" w:rsidR="00B23997" w:rsidRDefault="00B23997" w:rsidP="00B23997">
      <w:pPr>
        <w:widowControl w:val="0"/>
        <w:ind w:left="-720"/>
        <w:jc w:val="center"/>
        <w:rPr>
          <w:rFonts w:cs="Courier New"/>
          <w:b/>
          <w:sz w:val="28"/>
        </w:rPr>
      </w:pPr>
    </w:p>
    <w:p w14:paraId="773A35CC" w14:textId="77777777" w:rsidR="00B23997" w:rsidRDefault="00B23997" w:rsidP="00B23997">
      <w:pPr>
        <w:widowControl w:val="0"/>
        <w:ind w:left="-720"/>
        <w:jc w:val="center"/>
        <w:rPr>
          <w:rFonts w:cs="Courier New"/>
          <w:b/>
          <w:sz w:val="28"/>
        </w:rPr>
      </w:pPr>
    </w:p>
    <w:p w14:paraId="0F2ECE38" w14:textId="77777777" w:rsidR="00FF5AF5" w:rsidRPr="009D36B0" w:rsidRDefault="00FF5AF5" w:rsidP="00E4183C">
      <w:pPr>
        <w:pStyle w:val="Heading1"/>
        <w:numPr>
          <w:ilvl w:val="0"/>
          <w:numId w:val="0"/>
        </w:numPr>
        <w:pBdr>
          <w:left w:val="none" w:sz="0" w:space="0" w:color="auto"/>
          <w:right w:val="none" w:sz="0" w:space="0" w:color="auto"/>
        </w:pBdr>
        <w:ind w:left="-720"/>
        <w:rPr>
          <w:b w:val="0"/>
          <w:bCs/>
          <w:sz w:val="28"/>
          <w:u w:val="none"/>
        </w:rPr>
      </w:pPr>
      <w:bookmarkStart w:id="24" w:name="_Toc129962216"/>
      <w:r w:rsidRPr="009D36B0">
        <w:rPr>
          <w:bCs/>
          <w:sz w:val="28"/>
          <w:u w:val="none"/>
        </w:rPr>
        <w:t>EXHIBIT</w:t>
      </w:r>
      <w:bookmarkEnd w:id="24"/>
    </w:p>
    <w:p w14:paraId="11A9FE9B" w14:textId="77777777" w:rsidR="00FF5AF5" w:rsidRPr="00B23997" w:rsidRDefault="00FF5AF5" w:rsidP="00B23997">
      <w:pPr>
        <w:widowControl w:val="0"/>
        <w:ind w:left="-720"/>
        <w:jc w:val="center"/>
        <w:rPr>
          <w:rFonts w:cs="Courier New"/>
          <w:b/>
          <w:sz w:val="28"/>
        </w:rPr>
      </w:pPr>
    </w:p>
    <w:p w14:paraId="419945FE" w14:textId="77777777" w:rsidR="00FF5AF5" w:rsidRPr="00B23997" w:rsidRDefault="00FF5AF5" w:rsidP="00B23997">
      <w:pPr>
        <w:widowControl w:val="0"/>
        <w:ind w:left="-720"/>
        <w:jc w:val="center"/>
        <w:rPr>
          <w:rFonts w:cs="Courier New"/>
          <w:b/>
          <w:sz w:val="28"/>
        </w:rPr>
      </w:pPr>
      <w:r w:rsidRPr="00B23997">
        <w:rPr>
          <w:rFonts w:cs="Courier New"/>
          <w:b/>
          <w:sz w:val="28"/>
        </w:rPr>
        <w:t>OF</w:t>
      </w:r>
    </w:p>
    <w:p w14:paraId="301EF844" w14:textId="77777777" w:rsidR="00FF5AF5" w:rsidRPr="00B23997" w:rsidRDefault="00FF5AF5" w:rsidP="00B23997">
      <w:pPr>
        <w:widowControl w:val="0"/>
        <w:ind w:left="-720"/>
        <w:jc w:val="center"/>
        <w:rPr>
          <w:rFonts w:cs="Courier New"/>
          <w:b/>
          <w:sz w:val="28"/>
        </w:rPr>
      </w:pPr>
    </w:p>
    <w:p w14:paraId="2F271E1F" w14:textId="79133B93" w:rsidR="003967B6" w:rsidRPr="00B23997" w:rsidRDefault="00697319" w:rsidP="00B23997">
      <w:pPr>
        <w:widowControl w:val="0"/>
        <w:ind w:left="-720"/>
        <w:jc w:val="center"/>
        <w:rPr>
          <w:rFonts w:cs="Courier New"/>
          <w:b/>
          <w:sz w:val="28"/>
        </w:rPr>
      </w:pPr>
      <w:r>
        <w:rPr>
          <w:rFonts w:cs="Courier New"/>
          <w:b/>
          <w:sz w:val="28"/>
        </w:rPr>
        <w:t>DYLAN W. D’ASCENDIS</w:t>
      </w:r>
    </w:p>
    <w:p w14:paraId="0ABB67CD" w14:textId="77777777" w:rsidR="00FF5AF5" w:rsidRPr="00B23997" w:rsidRDefault="00FF5AF5" w:rsidP="00B23997">
      <w:pPr>
        <w:widowControl w:val="0"/>
        <w:ind w:left="-720"/>
        <w:jc w:val="center"/>
        <w:rPr>
          <w:rFonts w:cs="Courier New"/>
          <w:sz w:val="28"/>
          <w:szCs w:val="28"/>
        </w:rPr>
      </w:pPr>
    </w:p>
    <w:p w14:paraId="5289E376" w14:textId="42B42D76" w:rsidR="00FF5AF5" w:rsidRPr="00635F03" w:rsidRDefault="00635F03" w:rsidP="00B23997">
      <w:pPr>
        <w:widowControl w:val="0"/>
        <w:ind w:left="-720"/>
        <w:jc w:val="center"/>
        <w:rPr>
          <w:rFonts w:cs="Courier New"/>
          <w:b/>
          <w:bCs/>
          <w:sz w:val="28"/>
        </w:rPr>
      </w:pPr>
      <w:r w:rsidRPr="00635F03">
        <w:rPr>
          <w:rFonts w:cs="Courier New"/>
          <w:b/>
          <w:bCs/>
          <w:sz w:val="28"/>
        </w:rPr>
        <w:t xml:space="preserve">ON BEHALF OF </w:t>
      </w:r>
      <w:r w:rsidR="00805765">
        <w:rPr>
          <w:rFonts w:cs="Courier New"/>
          <w:b/>
          <w:bCs/>
          <w:sz w:val="28"/>
        </w:rPr>
        <w:t>PEOPLES</w:t>
      </w:r>
      <w:r w:rsidRPr="00635F03">
        <w:rPr>
          <w:rFonts w:cs="Courier New"/>
          <w:b/>
          <w:bCs/>
          <w:sz w:val="28"/>
        </w:rPr>
        <w:t xml:space="preserve"> </w:t>
      </w:r>
      <w:r w:rsidR="00604833">
        <w:rPr>
          <w:rFonts w:cs="Courier New"/>
          <w:b/>
          <w:bCs/>
          <w:sz w:val="28"/>
        </w:rPr>
        <w:t xml:space="preserve">GAS </w:t>
      </w:r>
      <w:r w:rsidRPr="00635F03">
        <w:rPr>
          <w:rFonts w:cs="Courier New"/>
          <w:b/>
          <w:bCs/>
          <w:sz w:val="28"/>
        </w:rPr>
        <w:t>SYSTEM</w:t>
      </w:r>
      <w:r w:rsidR="0018440F">
        <w:rPr>
          <w:rFonts w:cs="Courier New"/>
          <w:b/>
          <w:bCs/>
          <w:sz w:val="28"/>
        </w:rPr>
        <w:t>, INC.</w:t>
      </w:r>
    </w:p>
    <w:p w14:paraId="0EE8045B" w14:textId="77777777" w:rsidR="00FF5AF5" w:rsidRPr="00B23997" w:rsidRDefault="00FF5AF5" w:rsidP="00B23997">
      <w:pPr>
        <w:widowControl w:val="0"/>
        <w:ind w:left="-720"/>
        <w:jc w:val="center"/>
        <w:rPr>
          <w:rFonts w:cs="Courier New"/>
          <w:sz w:val="28"/>
        </w:rPr>
      </w:pPr>
    </w:p>
    <w:p w14:paraId="75FBCC68" w14:textId="77777777" w:rsidR="00FF5AF5" w:rsidRPr="00B23997" w:rsidRDefault="00FF5AF5" w:rsidP="00B23997">
      <w:pPr>
        <w:widowControl w:val="0"/>
        <w:ind w:left="-720"/>
        <w:jc w:val="center"/>
        <w:rPr>
          <w:rFonts w:cs="Courier New"/>
          <w:sz w:val="28"/>
        </w:rPr>
      </w:pPr>
    </w:p>
    <w:p w14:paraId="57DD9835" w14:textId="77777777" w:rsidR="00FF5AF5" w:rsidRPr="00B23997" w:rsidRDefault="00FF5AF5" w:rsidP="00B23997">
      <w:pPr>
        <w:pStyle w:val="Heading7"/>
        <w:widowControl w:val="0"/>
        <w:spacing w:before="0" w:after="0"/>
        <w:ind w:left="-720"/>
        <w:rPr>
          <w:rFonts w:ascii="Courier New" w:hAnsi="Courier New" w:cs="Courier New"/>
          <w:sz w:val="28"/>
        </w:rPr>
      </w:pPr>
    </w:p>
    <w:p w14:paraId="6B250EC8"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E4183C">
          <w:headerReference w:type="first" r:id="rId19"/>
          <w:footerReference w:type="first" r:id="rId20"/>
          <w:pgSz w:w="12240" w:h="15840" w:code="1"/>
          <w:pgMar w:top="1440" w:right="720" w:bottom="720" w:left="2160" w:header="720" w:footer="720" w:gutter="0"/>
          <w:paperSrc w:first="7" w:other="7"/>
          <w:cols w:space="720"/>
          <w:titlePg/>
        </w:sectPr>
      </w:pPr>
    </w:p>
    <w:p w14:paraId="07B4ED38" w14:textId="77777777" w:rsidR="00FF5AF5" w:rsidRPr="00B23997" w:rsidRDefault="00FF5AF5" w:rsidP="00B23997">
      <w:pPr>
        <w:widowControl w:val="0"/>
        <w:tabs>
          <w:tab w:val="left" w:pos="720"/>
        </w:tabs>
        <w:ind w:right="72"/>
        <w:jc w:val="center"/>
        <w:rPr>
          <w:rFonts w:cs="Courier New"/>
          <w:b/>
          <w:sz w:val="28"/>
        </w:rPr>
      </w:pPr>
    </w:p>
    <w:p w14:paraId="42FD39D0"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t>Table of Contents</w:t>
      </w:r>
    </w:p>
    <w:p w14:paraId="079FAA72"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4247BC31" w14:textId="77777777" w:rsidTr="00F67F3C">
        <w:trPr>
          <w:cantSplit/>
          <w:tblHeader/>
        </w:trPr>
        <w:tc>
          <w:tcPr>
            <w:tcW w:w="2205" w:type="dxa"/>
            <w:vAlign w:val="center"/>
          </w:tcPr>
          <w:p w14:paraId="135A8EA4"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141ED809"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7E529C6B"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FF5AF5" w:rsidRPr="00B23997" w14:paraId="06E254AC" w14:textId="77777777" w:rsidTr="00F67F3C">
        <w:trPr>
          <w:cantSplit/>
          <w:trHeight w:val="864"/>
        </w:trPr>
        <w:tc>
          <w:tcPr>
            <w:tcW w:w="2205" w:type="dxa"/>
            <w:vAlign w:val="center"/>
          </w:tcPr>
          <w:p w14:paraId="550B7F70" w14:textId="6994046F" w:rsidR="00FF5AF5" w:rsidRPr="00B23997" w:rsidRDefault="00FF5AF5" w:rsidP="00CB3171">
            <w:pPr>
              <w:pStyle w:val="Header"/>
              <w:widowControl w:val="0"/>
              <w:tabs>
                <w:tab w:val="clear" w:pos="4320"/>
                <w:tab w:val="clear" w:pos="8640"/>
                <w:tab w:val="left" w:pos="3960"/>
              </w:tabs>
              <w:jc w:val="center"/>
              <w:rPr>
                <w:rFonts w:cs="Courier New"/>
                <w:bCs/>
              </w:rPr>
            </w:pPr>
            <w:r w:rsidRPr="00B23997">
              <w:rPr>
                <w:rFonts w:cs="Courier New"/>
                <w:bCs/>
              </w:rPr>
              <w:t>1</w:t>
            </w:r>
          </w:p>
        </w:tc>
        <w:tc>
          <w:tcPr>
            <w:tcW w:w="5982" w:type="dxa"/>
            <w:vAlign w:val="center"/>
          </w:tcPr>
          <w:p w14:paraId="3524CB26" w14:textId="15FD4ABC" w:rsidR="00FF5AF5" w:rsidRPr="00B23997" w:rsidRDefault="005C7061" w:rsidP="00CB3171">
            <w:pPr>
              <w:pStyle w:val="Header"/>
              <w:widowControl w:val="0"/>
              <w:tabs>
                <w:tab w:val="clear" w:pos="4320"/>
                <w:tab w:val="clear" w:pos="8640"/>
                <w:tab w:val="left" w:pos="3960"/>
              </w:tabs>
              <w:rPr>
                <w:rFonts w:cs="Courier New"/>
                <w:bCs/>
              </w:rPr>
            </w:pPr>
            <w:r>
              <w:rPr>
                <w:rFonts w:cs="Courier New"/>
                <w:bCs/>
              </w:rPr>
              <w:t>Summary of Common Equity Cost Rate</w:t>
            </w:r>
          </w:p>
        </w:tc>
        <w:tc>
          <w:tcPr>
            <w:tcW w:w="1163" w:type="dxa"/>
            <w:vAlign w:val="center"/>
          </w:tcPr>
          <w:p w14:paraId="5F923404" w14:textId="72472E6C" w:rsidR="00FF5AF5" w:rsidRPr="00B23997" w:rsidRDefault="00380A51" w:rsidP="00CB3171">
            <w:pPr>
              <w:widowControl w:val="0"/>
              <w:tabs>
                <w:tab w:val="left" w:pos="3960"/>
              </w:tabs>
              <w:jc w:val="center"/>
              <w:rPr>
                <w:rFonts w:cs="Courier New"/>
                <w:bCs/>
              </w:rPr>
            </w:pPr>
            <w:r>
              <w:rPr>
                <w:rFonts w:cs="Courier New"/>
                <w:bCs/>
              </w:rPr>
              <w:t>8</w:t>
            </w:r>
            <w:r w:rsidR="00EC465D">
              <w:rPr>
                <w:rFonts w:cs="Courier New"/>
                <w:bCs/>
              </w:rPr>
              <w:t>2</w:t>
            </w:r>
          </w:p>
        </w:tc>
      </w:tr>
      <w:tr w:rsidR="00B23997" w:rsidRPr="00B23997" w14:paraId="7F1F4E03" w14:textId="77777777" w:rsidTr="00F67F3C">
        <w:trPr>
          <w:cantSplit/>
          <w:trHeight w:val="864"/>
        </w:trPr>
        <w:tc>
          <w:tcPr>
            <w:tcW w:w="2205" w:type="dxa"/>
            <w:vAlign w:val="center"/>
          </w:tcPr>
          <w:p w14:paraId="33D70E72" w14:textId="7F113945" w:rsidR="00B23997" w:rsidRPr="00B23997" w:rsidRDefault="00B23997"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5C51FB96" w14:textId="7778BBEB" w:rsidR="00B23997" w:rsidRPr="00B23997" w:rsidRDefault="004D4067" w:rsidP="00CB3171">
            <w:pPr>
              <w:pStyle w:val="Header"/>
              <w:widowControl w:val="0"/>
              <w:tabs>
                <w:tab w:val="clear" w:pos="4320"/>
                <w:tab w:val="clear" w:pos="8640"/>
                <w:tab w:val="left" w:pos="3960"/>
              </w:tabs>
              <w:rPr>
                <w:rFonts w:cs="Courier New"/>
                <w:bCs/>
              </w:rPr>
            </w:pPr>
            <w:r>
              <w:rPr>
                <w:rFonts w:cs="Courier New"/>
                <w:bCs/>
              </w:rPr>
              <w:t xml:space="preserve">Financial Profile of the </w:t>
            </w:r>
            <w:r w:rsidR="00F416CB">
              <w:rPr>
                <w:rFonts w:cs="Courier New"/>
                <w:bCs/>
              </w:rPr>
              <w:t>Utility Proxy Group</w:t>
            </w:r>
          </w:p>
        </w:tc>
        <w:tc>
          <w:tcPr>
            <w:tcW w:w="1163" w:type="dxa"/>
            <w:vAlign w:val="center"/>
          </w:tcPr>
          <w:p w14:paraId="502D90F8" w14:textId="5DF8DFFE" w:rsidR="00B23997" w:rsidRPr="00B23997" w:rsidRDefault="00380A51" w:rsidP="00CB3171">
            <w:pPr>
              <w:widowControl w:val="0"/>
              <w:tabs>
                <w:tab w:val="left" w:pos="3960"/>
              </w:tabs>
              <w:jc w:val="center"/>
              <w:rPr>
                <w:rFonts w:cs="Courier New"/>
                <w:bCs/>
              </w:rPr>
            </w:pPr>
            <w:r>
              <w:rPr>
                <w:rFonts w:cs="Courier New"/>
                <w:bCs/>
              </w:rPr>
              <w:t>8</w:t>
            </w:r>
            <w:r w:rsidR="00EC465D">
              <w:rPr>
                <w:rFonts w:cs="Courier New"/>
                <w:bCs/>
              </w:rPr>
              <w:t>4</w:t>
            </w:r>
          </w:p>
        </w:tc>
      </w:tr>
      <w:tr w:rsidR="00B23997" w:rsidRPr="00B23997" w14:paraId="43B3D16E" w14:textId="77777777" w:rsidTr="00F67F3C">
        <w:trPr>
          <w:cantSplit/>
          <w:trHeight w:val="864"/>
        </w:trPr>
        <w:tc>
          <w:tcPr>
            <w:tcW w:w="2205" w:type="dxa"/>
            <w:vAlign w:val="center"/>
          </w:tcPr>
          <w:p w14:paraId="6F00B3B6" w14:textId="6A281B0E" w:rsidR="00B23997" w:rsidRPr="00B23997" w:rsidRDefault="00075051" w:rsidP="00CB3171">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08FB393E" w14:textId="3EA25EEA" w:rsidR="00B23997" w:rsidRPr="00B23997" w:rsidRDefault="006E2F64" w:rsidP="00CB3171">
            <w:pPr>
              <w:pStyle w:val="Header"/>
              <w:widowControl w:val="0"/>
              <w:tabs>
                <w:tab w:val="clear" w:pos="4320"/>
                <w:tab w:val="clear" w:pos="8640"/>
                <w:tab w:val="left" w:pos="3960"/>
              </w:tabs>
              <w:rPr>
                <w:rFonts w:cs="Courier New"/>
                <w:bCs/>
              </w:rPr>
            </w:pPr>
            <w:r w:rsidRPr="006E2F64">
              <w:rPr>
                <w:rFonts w:cs="Courier New"/>
                <w:bCs/>
              </w:rPr>
              <w:t>Application of the Discounted Cash Flow Model</w:t>
            </w:r>
            <w:r w:rsidR="005E7ABA">
              <w:rPr>
                <w:rFonts w:cs="Courier New"/>
                <w:bCs/>
              </w:rPr>
              <w:t xml:space="preserve"> </w:t>
            </w:r>
          </w:p>
        </w:tc>
        <w:tc>
          <w:tcPr>
            <w:tcW w:w="1163" w:type="dxa"/>
            <w:vAlign w:val="center"/>
          </w:tcPr>
          <w:p w14:paraId="28CFB732" w14:textId="7569B442" w:rsidR="00B23997" w:rsidRPr="00B23997" w:rsidRDefault="00380A51" w:rsidP="00CB3171">
            <w:pPr>
              <w:widowControl w:val="0"/>
              <w:tabs>
                <w:tab w:val="left" w:pos="3960"/>
              </w:tabs>
              <w:jc w:val="center"/>
              <w:rPr>
                <w:rFonts w:cs="Courier New"/>
                <w:bCs/>
              </w:rPr>
            </w:pPr>
            <w:r>
              <w:rPr>
                <w:rFonts w:cs="Courier New"/>
                <w:bCs/>
              </w:rPr>
              <w:t>8</w:t>
            </w:r>
            <w:r w:rsidR="00EC465D">
              <w:rPr>
                <w:rFonts w:cs="Courier New"/>
                <w:bCs/>
              </w:rPr>
              <w:t>7</w:t>
            </w:r>
          </w:p>
        </w:tc>
      </w:tr>
      <w:tr w:rsidR="00B23997" w:rsidRPr="00B23997" w14:paraId="2D774EC4" w14:textId="77777777" w:rsidTr="00F67F3C">
        <w:trPr>
          <w:cantSplit/>
          <w:trHeight w:val="864"/>
        </w:trPr>
        <w:tc>
          <w:tcPr>
            <w:tcW w:w="2205" w:type="dxa"/>
            <w:vAlign w:val="center"/>
          </w:tcPr>
          <w:p w14:paraId="647641C0" w14:textId="45ADE7F6" w:rsidR="00B23997" w:rsidRPr="00B23997" w:rsidRDefault="009C44E8" w:rsidP="00CB3171">
            <w:pPr>
              <w:pStyle w:val="Header"/>
              <w:widowControl w:val="0"/>
              <w:tabs>
                <w:tab w:val="clear" w:pos="4320"/>
                <w:tab w:val="clear" w:pos="8640"/>
                <w:tab w:val="left" w:pos="3960"/>
              </w:tabs>
              <w:jc w:val="center"/>
              <w:rPr>
                <w:rFonts w:cs="Courier New"/>
                <w:bCs/>
              </w:rPr>
            </w:pPr>
            <w:r>
              <w:rPr>
                <w:rFonts w:cs="Courier New"/>
                <w:bCs/>
              </w:rPr>
              <w:t>4</w:t>
            </w:r>
          </w:p>
        </w:tc>
        <w:tc>
          <w:tcPr>
            <w:tcW w:w="5982" w:type="dxa"/>
            <w:vAlign w:val="center"/>
          </w:tcPr>
          <w:p w14:paraId="27C545F5" w14:textId="0D2AA827" w:rsidR="00B23997" w:rsidRPr="00B23997" w:rsidRDefault="00056B11" w:rsidP="00CB3171">
            <w:pPr>
              <w:pStyle w:val="Header"/>
              <w:widowControl w:val="0"/>
              <w:tabs>
                <w:tab w:val="clear" w:pos="4320"/>
                <w:tab w:val="clear" w:pos="8640"/>
                <w:tab w:val="left" w:pos="3960"/>
              </w:tabs>
              <w:rPr>
                <w:rFonts w:cs="Courier New"/>
                <w:bCs/>
              </w:rPr>
            </w:pPr>
            <w:r w:rsidRPr="00056B11">
              <w:rPr>
                <w:rFonts w:cs="Courier New"/>
                <w:bCs/>
              </w:rPr>
              <w:t>Application of the Risk Premium Model</w:t>
            </w:r>
          </w:p>
        </w:tc>
        <w:tc>
          <w:tcPr>
            <w:tcW w:w="1163" w:type="dxa"/>
            <w:vAlign w:val="center"/>
          </w:tcPr>
          <w:p w14:paraId="56198E5C" w14:textId="5E163EC5" w:rsidR="00B23997" w:rsidRPr="00B23997" w:rsidRDefault="00380A51" w:rsidP="00CB3171">
            <w:pPr>
              <w:widowControl w:val="0"/>
              <w:tabs>
                <w:tab w:val="left" w:pos="3960"/>
              </w:tabs>
              <w:jc w:val="center"/>
              <w:rPr>
                <w:rFonts w:cs="Courier New"/>
                <w:bCs/>
              </w:rPr>
            </w:pPr>
            <w:r>
              <w:rPr>
                <w:rFonts w:cs="Courier New"/>
                <w:bCs/>
              </w:rPr>
              <w:t>9</w:t>
            </w:r>
            <w:r w:rsidR="00EC465D">
              <w:rPr>
                <w:rFonts w:cs="Courier New"/>
                <w:bCs/>
              </w:rPr>
              <w:t>4</w:t>
            </w:r>
          </w:p>
        </w:tc>
      </w:tr>
      <w:tr w:rsidR="00733D83" w:rsidRPr="00B23997" w14:paraId="0168D3AB" w14:textId="77777777" w:rsidTr="00F67F3C">
        <w:trPr>
          <w:cantSplit/>
          <w:trHeight w:val="864"/>
        </w:trPr>
        <w:tc>
          <w:tcPr>
            <w:tcW w:w="2205" w:type="dxa"/>
            <w:vAlign w:val="center"/>
          </w:tcPr>
          <w:p w14:paraId="4969A024" w14:textId="51DEE058" w:rsidR="00733D83" w:rsidRDefault="006F3B82" w:rsidP="00CB3171">
            <w:pPr>
              <w:pStyle w:val="Header"/>
              <w:widowControl w:val="0"/>
              <w:tabs>
                <w:tab w:val="clear" w:pos="4320"/>
                <w:tab w:val="clear" w:pos="8640"/>
                <w:tab w:val="left" w:pos="3960"/>
              </w:tabs>
              <w:jc w:val="center"/>
              <w:rPr>
                <w:rFonts w:cs="Courier New"/>
                <w:bCs/>
              </w:rPr>
            </w:pPr>
            <w:r>
              <w:rPr>
                <w:rFonts w:cs="Courier New"/>
                <w:bCs/>
              </w:rPr>
              <w:t>5</w:t>
            </w:r>
          </w:p>
        </w:tc>
        <w:tc>
          <w:tcPr>
            <w:tcW w:w="5982" w:type="dxa"/>
            <w:vAlign w:val="center"/>
          </w:tcPr>
          <w:p w14:paraId="7431691B" w14:textId="7B98B99D" w:rsidR="00733D83" w:rsidRDefault="0098395A" w:rsidP="00CB3171">
            <w:pPr>
              <w:pStyle w:val="Header"/>
              <w:widowControl w:val="0"/>
              <w:tabs>
                <w:tab w:val="clear" w:pos="4320"/>
                <w:tab w:val="clear" w:pos="8640"/>
                <w:tab w:val="left" w:pos="3960"/>
              </w:tabs>
              <w:rPr>
                <w:rFonts w:cs="Courier New"/>
                <w:bCs/>
              </w:rPr>
            </w:pPr>
            <w:r w:rsidRPr="0098395A">
              <w:rPr>
                <w:rFonts w:cs="Courier New"/>
                <w:bCs/>
              </w:rPr>
              <w:t>Application of the Capital Asset Pricing Model</w:t>
            </w:r>
          </w:p>
        </w:tc>
        <w:tc>
          <w:tcPr>
            <w:tcW w:w="1163" w:type="dxa"/>
            <w:vAlign w:val="center"/>
          </w:tcPr>
          <w:p w14:paraId="269A1D75" w14:textId="52A383C3" w:rsidR="00733D83" w:rsidRPr="00B23997" w:rsidRDefault="00E5052E" w:rsidP="00CB3171">
            <w:pPr>
              <w:widowControl w:val="0"/>
              <w:tabs>
                <w:tab w:val="left" w:pos="3960"/>
              </w:tabs>
              <w:jc w:val="center"/>
              <w:rPr>
                <w:rFonts w:cs="Courier New"/>
                <w:bCs/>
              </w:rPr>
            </w:pPr>
            <w:r>
              <w:rPr>
                <w:rFonts w:cs="Courier New"/>
                <w:bCs/>
              </w:rPr>
              <w:t>10</w:t>
            </w:r>
            <w:r w:rsidR="00EC465D">
              <w:rPr>
                <w:rFonts w:cs="Courier New"/>
                <w:bCs/>
              </w:rPr>
              <w:t>7</w:t>
            </w:r>
          </w:p>
        </w:tc>
      </w:tr>
      <w:tr w:rsidR="00733D83" w:rsidRPr="00B23997" w14:paraId="25668803" w14:textId="77777777" w:rsidTr="00F67F3C">
        <w:trPr>
          <w:cantSplit/>
          <w:trHeight w:val="864"/>
        </w:trPr>
        <w:tc>
          <w:tcPr>
            <w:tcW w:w="2205" w:type="dxa"/>
            <w:vAlign w:val="center"/>
          </w:tcPr>
          <w:p w14:paraId="27DC3D17" w14:textId="45C20B72" w:rsidR="00733D83" w:rsidRDefault="006F3B82" w:rsidP="00CB3171">
            <w:pPr>
              <w:pStyle w:val="Header"/>
              <w:widowControl w:val="0"/>
              <w:tabs>
                <w:tab w:val="clear" w:pos="4320"/>
                <w:tab w:val="clear" w:pos="8640"/>
                <w:tab w:val="left" w:pos="3960"/>
              </w:tabs>
              <w:jc w:val="center"/>
              <w:rPr>
                <w:rFonts w:cs="Courier New"/>
                <w:bCs/>
              </w:rPr>
            </w:pPr>
            <w:r>
              <w:rPr>
                <w:rFonts w:cs="Courier New"/>
                <w:bCs/>
              </w:rPr>
              <w:t>6</w:t>
            </w:r>
          </w:p>
        </w:tc>
        <w:tc>
          <w:tcPr>
            <w:tcW w:w="5982" w:type="dxa"/>
            <w:vAlign w:val="center"/>
          </w:tcPr>
          <w:p w14:paraId="47205D4B" w14:textId="1A7D4371" w:rsidR="00733D83" w:rsidRDefault="004001B0" w:rsidP="00CB3171">
            <w:pPr>
              <w:pStyle w:val="Header"/>
              <w:widowControl w:val="0"/>
              <w:tabs>
                <w:tab w:val="clear" w:pos="4320"/>
                <w:tab w:val="clear" w:pos="8640"/>
                <w:tab w:val="left" w:pos="3960"/>
              </w:tabs>
              <w:rPr>
                <w:rFonts w:cs="Courier New"/>
                <w:bCs/>
              </w:rPr>
            </w:pPr>
            <w:r w:rsidRPr="004001B0">
              <w:rPr>
                <w:rFonts w:cs="Courier New"/>
                <w:bCs/>
              </w:rPr>
              <w:t xml:space="preserve">Basis of Selection for the Non-Price Regulated Companies Comparable in Total Risk to the </w:t>
            </w:r>
            <w:r w:rsidR="00F416CB">
              <w:rPr>
                <w:rFonts w:cs="Courier New"/>
                <w:bCs/>
              </w:rPr>
              <w:t>Utility Proxy Group</w:t>
            </w:r>
          </w:p>
        </w:tc>
        <w:tc>
          <w:tcPr>
            <w:tcW w:w="1163" w:type="dxa"/>
            <w:vAlign w:val="center"/>
          </w:tcPr>
          <w:p w14:paraId="3FA7DA17" w14:textId="73F50BA4" w:rsidR="00733D83" w:rsidRPr="00B23997" w:rsidRDefault="00EE4E53" w:rsidP="00CB3171">
            <w:pPr>
              <w:widowControl w:val="0"/>
              <w:tabs>
                <w:tab w:val="left" w:pos="3960"/>
              </w:tabs>
              <w:jc w:val="center"/>
              <w:rPr>
                <w:rFonts w:cs="Courier New"/>
                <w:bCs/>
              </w:rPr>
            </w:pPr>
            <w:r>
              <w:rPr>
                <w:rFonts w:cs="Courier New"/>
                <w:bCs/>
              </w:rPr>
              <w:t>1</w:t>
            </w:r>
            <w:r w:rsidR="00EC465D">
              <w:rPr>
                <w:rFonts w:cs="Courier New"/>
                <w:bCs/>
              </w:rPr>
              <w:t>09</w:t>
            </w:r>
          </w:p>
        </w:tc>
      </w:tr>
      <w:tr w:rsidR="00733D83" w:rsidRPr="00B23997" w14:paraId="139BC2A4" w14:textId="77777777" w:rsidTr="00F67F3C">
        <w:trPr>
          <w:cantSplit/>
          <w:trHeight w:val="864"/>
        </w:trPr>
        <w:tc>
          <w:tcPr>
            <w:tcW w:w="2205" w:type="dxa"/>
            <w:vAlign w:val="center"/>
          </w:tcPr>
          <w:p w14:paraId="5955A8EE" w14:textId="24E9AE44" w:rsidR="00733D83" w:rsidRDefault="006F3B82" w:rsidP="00CB3171">
            <w:pPr>
              <w:pStyle w:val="Header"/>
              <w:widowControl w:val="0"/>
              <w:tabs>
                <w:tab w:val="clear" w:pos="4320"/>
                <w:tab w:val="clear" w:pos="8640"/>
                <w:tab w:val="left" w:pos="3960"/>
              </w:tabs>
              <w:jc w:val="center"/>
              <w:rPr>
                <w:rFonts w:cs="Courier New"/>
                <w:bCs/>
              </w:rPr>
            </w:pPr>
            <w:r>
              <w:rPr>
                <w:rFonts w:cs="Courier New"/>
                <w:bCs/>
              </w:rPr>
              <w:t>7</w:t>
            </w:r>
          </w:p>
        </w:tc>
        <w:tc>
          <w:tcPr>
            <w:tcW w:w="5982" w:type="dxa"/>
            <w:vAlign w:val="center"/>
          </w:tcPr>
          <w:p w14:paraId="463E9DE8" w14:textId="488865BE" w:rsidR="00733D83" w:rsidRDefault="00E35A23" w:rsidP="00CB3171">
            <w:pPr>
              <w:pStyle w:val="Header"/>
              <w:widowControl w:val="0"/>
              <w:tabs>
                <w:tab w:val="clear" w:pos="4320"/>
                <w:tab w:val="clear" w:pos="8640"/>
                <w:tab w:val="left" w:pos="3960"/>
              </w:tabs>
              <w:rPr>
                <w:rFonts w:cs="Courier New"/>
                <w:bCs/>
              </w:rPr>
            </w:pPr>
            <w:r w:rsidRPr="00E35A23">
              <w:rPr>
                <w:rFonts w:cs="Courier New"/>
                <w:bCs/>
              </w:rPr>
              <w:t>Application of Cost of Common Equity Models to the Non-Price Regulated Proxy Group</w:t>
            </w:r>
          </w:p>
        </w:tc>
        <w:tc>
          <w:tcPr>
            <w:tcW w:w="1163" w:type="dxa"/>
            <w:vAlign w:val="center"/>
          </w:tcPr>
          <w:p w14:paraId="6B3CB940" w14:textId="22046E61" w:rsidR="00733D83" w:rsidRPr="00B23997" w:rsidRDefault="003E6126" w:rsidP="00CB3171">
            <w:pPr>
              <w:widowControl w:val="0"/>
              <w:tabs>
                <w:tab w:val="left" w:pos="3960"/>
              </w:tabs>
              <w:jc w:val="center"/>
              <w:rPr>
                <w:rFonts w:cs="Courier New"/>
                <w:bCs/>
              </w:rPr>
            </w:pPr>
            <w:r>
              <w:rPr>
                <w:rFonts w:cs="Courier New"/>
                <w:bCs/>
              </w:rPr>
              <w:t>11</w:t>
            </w:r>
            <w:r w:rsidR="00656D9B">
              <w:rPr>
                <w:rFonts w:cs="Courier New"/>
                <w:bCs/>
              </w:rPr>
              <w:t>2</w:t>
            </w:r>
          </w:p>
        </w:tc>
      </w:tr>
      <w:tr w:rsidR="00733D83" w:rsidRPr="00B23997" w14:paraId="6ECA41FE" w14:textId="77777777" w:rsidTr="00F67F3C">
        <w:trPr>
          <w:cantSplit/>
          <w:trHeight w:val="864"/>
        </w:trPr>
        <w:tc>
          <w:tcPr>
            <w:tcW w:w="2205" w:type="dxa"/>
            <w:vAlign w:val="center"/>
          </w:tcPr>
          <w:p w14:paraId="15FAB011" w14:textId="30286EF7" w:rsidR="00733D83" w:rsidRDefault="006F3B82" w:rsidP="00CB3171">
            <w:pPr>
              <w:pStyle w:val="Header"/>
              <w:widowControl w:val="0"/>
              <w:tabs>
                <w:tab w:val="clear" w:pos="4320"/>
                <w:tab w:val="clear" w:pos="8640"/>
                <w:tab w:val="left" w:pos="3960"/>
              </w:tabs>
              <w:jc w:val="center"/>
              <w:rPr>
                <w:rFonts w:cs="Courier New"/>
                <w:bCs/>
              </w:rPr>
            </w:pPr>
            <w:r>
              <w:rPr>
                <w:rFonts w:cs="Courier New"/>
                <w:bCs/>
              </w:rPr>
              <w:t>8</w:t>
            </w:r>
          </w:p>
        </w:tc>
        <w:tc>
          <w:tcPr>
            <w:tcW w:w="5982" w:type="dxa"/>
            <w:vAlign w:val="center"/>
          </w:tcPr>
          <w:p w14:paraId="4D412FA7" w14:textId="40B5244D" w:rsidR="00733D83" w:rsidRDefault="00B652D3" w:rsidP="00CB3171">
            <w:pPr>
              <w:pStyle w:val="Header"/>
              <w:widowControl w:val="0"/>
              <w:tabs>
                <w:tab w:val="clear" w:pos="4320"/>
                <w:tab w:val="clear" w:pos="8640"/>
                <w:tab w:val="left" w:pos="3960"/>
              </w:tabs>
              <w:rPr>
                <w:rFonts w:cs="Courier New"/>
                <w:bCs/>
              </w:rPr>
            </w:pPr>
            <w:r w:rsidRPr="00B652D3">
              <w:rPr>
                <w:rFonts w:cs="Courier New"/>
                <w:bCs/>
              </w:rPr>
              <w:t>Derivation of the Flotation Cost Adjustment to the Cost of Common Equity</w:t>
            </w:r>
          </w:p>
        </w:tc>
        <w:tc>
          <w:tcPr>
            <w:tcW w:w="1163" w:type="dxa"/>
            <w:vAlign w:val="center"/>
          </w:tcPr>
          <w:p w14:paraId="58CDEB57" w14:textId="0E9F25E2" w:rsidR="00733D83" w:rsidRPr="00B23997" w:rsidRDefault="00915A37" w:rsidP="00CB3171">
            <w:pPr>
              <w:widowControl w:val="0"/>
              <w:tabs>
                <w:tab w:val="left" w:pos="3960"/>
              </w:tabs>
              <w:jc w:val="center"/>
              <w:rPr>
                <w:rFonts w:cs="Courier New"/>
                <w:bCs/>
              </w:rPr>
            </w:pPr>
            <w:r>
              <w:rPr>
                <w:rFonts w:cs="Courier New"/>
                <w:bCs/>
              </w:rPr>
              <w:t>11</w:t>
            </w:r>
            <w:r w:rsidR="00656D9B">
              <w:rPr>
                <w:rFonts w:cs="Courier New"/>
                <w:bCs/>
              </w:rPr>
              <w:t>8</w:t>
            </w:r>
          </w:p>
        </w:tc>
      </w:tr>
      <w:tr w:rsidR="00733D83" w:rsidRPr="00B23997" w14:paraId="13AAC139" w14:textId="77777777" w:rsidTr="00F67F3C">
        <w:trPr>
          <w:cantSplit/>
          <w:trHeight w:val="864"/>
        </w:trPr>
        <w:tc>
          <w:tcPr>
            <w:tcW w:w="2205" w:type="dxa"/>
            <w:vAlign w:val="center"/>
          </w:tcPr>
          <w:p w14:paraId="03AB5F8F" w14:textId="6BA6B816" w:rsidR="00733D83" w:rsidRDefault="006F3B82" w:rsidP="00CB3171">
            <w:pPr>
              <w:pStyle w:val="Header"/>
              <w:widowControl w:val="0"/>
              <w:tabs>
                <w:tab w:val="clear" w:pos="4320"/>
                <w:tab w:val="clear" w:pos="8640"/>
                <w:tab w:val="left" w:pos="3960"/>
              </w:tabs>
              <w:jc w:val="center"/>
              <w:rPr>
                <w:rFonts w:cs="Courier New"/>
                <w:bCs/>
              </w:rPr>
            </w:pPr>
            <w:r>
              <w:rPr>
                <w:rFonts w:cs="Courier New"/>
                <w:bCs/>
              </w:rPr>
              <w:t>9</w:t>
            </w:r>
          </w:p>
        </w:tc>
        <w:tc>
          <w:tcPr>
            <w:tcW w:w="5982" w:type="dxa"/>
            <w:vAlign w:val="center"/>
          </w:tcPr>
          <w:p w14:paraId="607D9F1A" w14:textId="35EF30FD" w:rsidR="00733D83" w:rsidRDefault="00441EC2" w:rsidP="00CB3171">
            <w:pPr>
              <w:pStyle w:val="Header"/>
              <w:widowControl w:val="0"/>
              <w:tabs>
                <w:tab w:val="clear" w:pos="4320"/>
                <w:tab w:val="clear" w:pos="8640"/>
                <w:tab w:val="left" w:pos="3960"/>
              </w:tabs>
              <w:rPr>
                <w:rFonts w:cs="Courier New"/>
                <w:bCs/>
              </w:rPr>
            </w:pPr>
            <w:r w:rsidRPr="00441EC2">
              <w:rPr>
                <w:rFonts w:cs="Courier New"/>
                <w:bCs/>
              </w:rPr>
              <w:t xml:space="preserve">Derivation of the Indicated Size Premium for </w:t>
            </w:r>
            <w:r w:rsidR="00805765">
              <w:rPr>
                <w:rFonts w:cs="Courier New"/>
                <w:bCs/>
              </w:rPr>
              <w:t>Peoples</w:t>
            </w:r>
            <w:r w:rsidRPr="00441EC2">
              <w:rPr>
                <w:rFonts w:cs="Courier New"/>
                <w:bCs/>
              </w:rPr>
              <w:t xml:space="preserve"> Relative to the </w:t>
            </w:r>
            <w:r w:rsidR="00F416CB">
              <w:rPr>
                <w:rFonts w:cs="Courier New"/>
                <w:bCs/>
              </w:rPr>
              <w:t>Utility Proxy Group</w:t>
            </w:r>
          </w:p>
        </w:tc>
        <w:tc>
          <w:tcPr>
            <w:tcW w:w="1163" w:type="dxa"/>
            <w:vAlign w:val="center"/>
          </w:tcPr>
          <w:p w14:paraId="4E4DA473" w14:textId="7BD836E7" w:rsidR="00733D83" w:rsidRPr="00B23997" w:rsidRDefault="00915A37" w:rsidP="00CB3171">
            <w:pPr>
              <w:widowControl w:val="0"/>
              <w:tabs>
                <w:tab w:val="left" w:pos="3960"/>
              </w:tabs>
              <w:jc w:val="center"/>
              <w:rPr>
                <w:rFonts w:cs="Courier New"/>
                <w:bCs/>
              </w:rPr>
            </w:pPr>
            <w:r>
              <w:rPr>
                <w:rFonts w:cs="Courier New"/>
                <w:bCs/>
              </w:rPr>
              <w:t>11</w:t>
            </w:r>
            <w:r w:rsidR="00656D9B">
              <w:rPr>
                <w:rFonts w:cs="Courier New"/>
                <w:bCs/>
              </w:rPr>
              <w:t>9</w:t>
            </w:r>
          </w:p>
        </w:tc>
      </w:tr>
      <w:tr w:rsidR="0026538F" w:rsidRPr="00B23997" w14:paraId="7FA0001F" w14:textId="77777777" w:rsidTr="00F67F3C">
        <w:trPr>
          <w:cantSplit/>
          <w:trHeight w:val="864"/>
        </w:trPr>
        <w:tc>
          <w:tcPr>
            <w:tcW w:w="2205" w:type="dxa"/>
            <w:vAlign w:val="center"/>
          </w:tcPr>
          <w:p w14:paraId="5FB9831B" w14:textId="3A353B78" w:rsidR="0026538F" w:rsidRDefault="006F3B82" w:rsidP="00CB3171">
            <w:pPr>
              <w:pStyle w:val="Header"/>
              <w:widowControl w:val="0"/>
              <w:tabs>
                <w:tab w:val="clear" w:pos="4320"/>
                <w:tab w:val="clear" w:pos="8640"/>
                <w:tab w:val="left" w:pos="3960"/>
              </w:tabs>
              <w:jc w:val="center"/>
              <w:rPr>
                <w:rFonts w:cs="Courier New"/>
                <w:bCs/>
              </w:rPr>
            </w:pPr>
            <w:r>
              <w:rPr>
                <w:rFonts w:cs="Courier New"/>
                <w:bCs/>
              </w:rPr>
              <w:lastRenderedPageBreak/>
              <w:t>10</w:t>
            </w:r>
          </w:p>
        </w:tc>
        <w:tc>
          <w:tcPr>
            <w:tcW w:w="5982" w:type="dxa"/>
            <w:vAlign w:val="center"/>
          </w:tcPr>
          <w:p w14:paraId="6AE79094" w14:textId="52132CD0" w:rsidR="0026538F" w:rsidRDefault="002B4E14" w:rsidP="00CB3171">
            <w:pPr>
              <w:pStyle w:val="Header"/>
              <w:widowControl w:val="0"/>
              <w:tabs>
                <w:tab w:val="clear" w:pos="4320"/>
                <w:tab w:val="clear" w:pos="8640"/>
                <w:tab w:val="left" w:pos="3960"/>
              </w:tabs>
              <w:rPr>
                <w:rFonts w:cs="Courier New"/>
                <w:bCs/>
              </w:rPr>
            </w:pPr>
            <w:r>
              <w:rPr>
                <w:rFonts w:cs="Courier New"/>
                <w:bCs/>
              </w:rPr>
              <w:t>Comparison of Projected Capital Expenditures Relative to Net Plant</w:t>
            </w:r>
          </w:p>
        </w:tc>
        <w:tc>
          <w:tcPr>
            <w:tcW w:w="1163" w:type="dxa"/>
            <w:vAlign w:val="center"/>
          </w:tcPr>
          <w:p w14:paraId="50A25B93" w14:textId="35358EA1" w:rsidR="0026538F" w:rsidRPr="00B23997" w:rsidRDefault="00915A37" w:rsidP="00CB3171">
            <w:pPr>
              <w:widowControl w:val="0"/>
              <w:tabs>
                <w:tab w:val="left" w:pos="3960"/>
              </w:tabs>
              <w:jc w:val="center"/>
              <w:rPr>
                <w:rFonts w:cs="Courier New"/>
                <w:bCs/>
              </w:rPr>
            </w:pPr>
            <w:r>
              <w:rPr>
                <w:rFonts w:cs="Courier New"/>
                <w:bCs/>
              </w:rPr>
              <w:t>1</w:t>
            </w:r>
            <w:r w:rsidR="00003613">
              <w:rPr>
                <w:rFonts w:cs="Courier New"/>
                <w:bCs/>
              </w:rPr>
              <w:t>2</w:t>
            </w:r>
            <w:r w:rsidR="00656D9B">
              <w:rPr>
                <w:rFonts w:cs="Courier New"/>
                <w:bCs/>
              </w:rPr>
              <w:t>1</w:t>
            </w:r>
          </w:p>
        </w:tc>
      </w:tr>
      <w:tr w:rsidR="00485233" w:rsidRPr="00B23997" w14:paraId="6C255D32" w14:textId="77777777" w:rsidTr="00F67F3C">
        <w:trPr>
          <w:cantSplit/>
          <w:trHeight w:val="864"/>
        </w:trPr>
        <w:tc>
          <w:tcPr>
            <w:tcW w:w="2205" w:type="dxa"/>
            <w:vAlign w:val="center"/>
          </w:tcPr>
          <w:p w14:paraId="7173083F" w14:textId="0B0D4D3F" w:rsidR="00485233" w:rsidRDefault="00404200" w:rsidP="00CB3171">
            <w:pPr>
              <w:pStyle w:val="Header"/>
              <w:widowControl w:val="0"/>
              <w:tabs>
                <w:tab w:val="clear" w:pos="4320"/>
                <w:tab w:val="clear" w:pos="8640"/>
                <w:tab w:val="left" w:pos="3960"/>
              </w:tabs>
              <w:jc w:val="center"/>
              <w:rPr>
                <w:rFonts w:cs="Courier New"/>
                <w:bCs/>
              </w:rPr>
            </w:pPr>
            <w:r>
              <w:rPr>
                <w:rFonts w:cs="Courier New"/>
                <w:bCs/>
              </w:rPr>
              <w:t>11</w:t>
            </w:r>
          </w:p>
        </w:tc>
        <w:tc>
          <w:tcPr>
            <w:tcW w:w="5982" w:type="dxa"/>
            <w:vAlign w:val="center"/>
          </w:tcPr>
          <w:p w14:paraId="65104442" w14:textId="5DC67D87" w:rsidR="00485233" w:rsidRDefault="00B47A8A" w:rsidP="00CB3171">
            <w:pPr>
              <w:pStyle w:val="Header"/>
              <w:widowControl w:val="0"/>
              <w:tabs>
                <w:tab w:val="clear" w:pos="4320"/>
                <w:tab w:val="clear" w:pos="8640"/>
                <w:tab w:val="left" w:pos="3960"/>
              </w:tabs>
              <w:rPr>
                <w:rFonts w:cs="Courier New"/>
                <w:bCs/>
              </w:rPr>
            </w:pPr>
            <w:r w:rsidRPr="00B47A8A">
              <w:rPr>
                <w:rFonts w:cs="Courier New"/>
                <w:bCs/>
              </w:rPr>
              <w:t xml:space="preserve">Fama </w:t>
            </w:r>
            <w:r w:rsidR="00BD6E82">
              <w:rPr>
                <w:rFonts w:cs="Courier New"/>
                <w:bCs/>
              </w:rPr>
              <w:t>&amp;</w:t>
            </w:r>
            <w:r w:rsidRPr="00B47A8A">
              <w:rPr>
                <w:rFonts w:cs="Courier New"/>
                <w:bCs/>
              </w:rPr>
              <w:t xml:space="preserve"> French</w:t>
            </w:r>
            <w:r w:rsidR="00C35183">
              <w:rPr>
                <w:rFonts w:cs="Courier New"/>
                <w:bCs/>
              </w:rPr>
              <w:t xml:space="preserve"> –</w:t>
            </w:r>
            <w:r w:rsidRPr="00B47A8A">
              <w:rPr>
                <w:rFonts w:cs="Courier New"/>
                <w:bCs/>
              </w:rPr>
              <w:t xml:space="preserve"> Figure 2</w:t>
            </w:r>
          </w:p>
        </w:tc>
        <w:tc>
          <w:tcPr>
            <w:tcW w:w="1163" w:type="dxa"/>
            <w:vAlign w:val="center"/>
          </w:tcPr>
          <w:p w14:paraId="3C177D0E" w14:textId="383BD00A" w:rsidR="00485233" w:rsidRPr="00B23997" w:rsidRDefault="00915A37" w:rsidP="00CB3171">
            <w:pPr>
              <w:widowControl w:val="0"/>
              <w:tabs>
                <w:tab w:val="left" w:pos="3960"/>
              </w:tabs>
              <w:jc w:val="center"/>
              <w:rPr>
                <w:rFonts w:cs="Courier New"/>
                <w:bCs/>
              </w:rPr>
            </w:pPr>
            <w:r>
              <w:rPr>
                <w:rFonts w:cs="Courier New"/>
                <w:bCs/>
              </w:rPr>
              <w:t>12</w:t>
            </w:r>
            <w:r w:rsidR="00656D9B">
              <w:rPr>
                <w:rFonts w:cs="Courier New"/>
                <w:bCs/>
              </w:rPr>
              <w:t>2</w:t>
            </w:r>
          </w:p>
        </w:tc>
      </w:tr>
      <w:tr w:rsidR="00B47A8A" w:rsidRPr="00B23997" w14:paraId="39639FB8" w14:textId="77777777" w:rsidTr="00F67F3C">
        <w:trPr>
          <w:cantSplit/>
          <w:trHeight w:val="864"/>
        </w:trPr>
        <w:tc>
          <w:tcPr>
            <w:tcW w:w="2205" w:type="dxa"/>
            <w:vAlign w:val="center"/>
          </w:tcPr>
          <w:p w14:paraId="33BA8495" w14:textId="2D5B0F5F" w:rsidR="00B47A8A" w:rsidRDefault="00404200" w:rsidP="00CB3171">
            <w:pPr>
              <w:pStyle w:val="Header"/>
              <w:widowControl w:val="0"/>
              <w:tabs>
                <w:tab w:val="clear" w:pos="4320"/>
                <w:tab w:val="clear" w:pos="8640"/>
                <w:tab w:val="left" w:pos="3960"/>
              </w:tabs>
              <w:jc w:val="center"/>
              <w:rPr>
                <w:rFonts w:cs="Courier New"/>
                <w:bCs/>
              </w:rPr>
            </w:pPr>
            <w:r>
              <w:rPr>
                <w:rFonts w:cs="Courier New"/>
                <w:bCs/>
              </w:rPr>
              <w:t>12</w:t>
            </w:r>
          </w:p>
        </w:tc>
        <w:tc>
          <w:tcPr>
            <w:tcW w:w="5982" w:type="dxa"/>
            <w:vAlign w:val="center"/>
          </w:tcPr>
          <w:p w14:paraId="157D2292" w14:textId="76888D1C" w:rsidR="00B47A8A" w:rsidRPr="00B47A8A" w:rsidRDefault="00F67F3C" w:rsidP="00CB3171">
            <w:pPr>
              <w:pStyle w:val="Header"/>
              <w:widowControl w:val="0"/>
              <w:tabs>
                <w:tab w:val="clear" w:pos="4320"/>
                <w:tab w:val="clear" w:pos="8640"/>
                <w:tab w:val="left" w:pos="3960"/>
              </w:tabs>
              <w:rPr>
                <w:rFonts w:cs="Courier New"/>
                <w:bCs/>
              </w:rPr>
            </w:pPr>
            <w:r w:rsidRPr="00F67F3C">
              <w:rPr>
                <w:rFonts w:cs="Courier New"/>
                <w:bCs/>
              </w:rPr>
              <w:t>Referenced Endnotes for the Prepared Direct Testimony of Dylan W. D’Ascendis</w:t>
            </w:r>
          </w:p>
        </w:tc>
        <w:tc>
          <w:tcPr>
            <w:tcW w:w="1163" w:type="dxa"/>
            <w:vAlign w:val="center"/>
          </w:tcPr>
          <w:p w14:paraId="7CA3F7BA" w14:textId="11566A05" w:rsidR="00B47A8A" w:rsidRPr="00B23997" w:rsidRDefault="00915A37" w:rsidP="00CB3171">
            <w:pPr>
              <w:widowControl w:val="0"/>
              <w:tabs>
                <w:tab w:val="left" w:pos="3960"/>
              </w:tabs>
              <w:jc w:val="center"/>
              <w:rPr>
                <w:rFonts w:cs="Courier New"/>
                <w:bCs/>
              </w:rPr>
            </w:pPr>
            <w:r>
              <w:rPr>
                <w:rFonts w:cs="Courier New"/>
                <w:bCs/>
              </w:rPr>
              <w:t>12</w:t>
            </w:r>
            <w:r w:rsidR="00656D9B">
              <w:rPr>
                <w:rFonts w:cs="Courier New"/>
                <w:bCs/>
              </w:rPr>
              <w:t>3</w:t>
            </w:r>
          </w:p>
        </w:tc>
      </w:tr>
      <w:tr w:rsidR="00D52830" w:rsidRPr="00B23997" w14:paraId="3F9E7032" w14:textId="77777777" w:rsidTr="00F67F3C">
        <w:trPr>
          <w:cantSplit/>
          <w:trHeight w:val="864"/>
        </w:trPr>
        <w:tc>
          <w:tcPr>
            <w:tcW w:w="2205" w:type="dxa"/>
            <w:vAlign w:val="center"/>
          </w:tcPr>
          <w:p w14:paraId="49EE3E71" w14:textId="012E8EB7" w:rsidR="00D52830" w:rsidRDefault="00D52830" w:rsidP="00CB3171">
            <w:pPr>
              <w:pStyle w:val="Header"/>
              <w:widowControl w:val="0"/>
              <w:tabs>
                <w:tab w:val="clear" w:pos="4320"/>
                <w:tab w:val="clear" w:pos="8640"/>
                <w:tab w:val="left" w:pos="3960"/>
              </w:tabs>
              <w:jc w:val="center"/>
              <w:rPr>
                <w:rFonts w:cs="Courier New"/>
                <w:bCs/>
              </w:rPr>
            </w:pPr>
            <w:r>
              <w:rPr>
                <w:rFonts w:cs="Courier New"/>
                <w:bCs/>
              </w:rPr>
              <w:t>13</w:t>
            </w:r>
          </w:p>
        </w:tc>
        <w:tc>
          <w:tcPr>
            <w:tcW w:w="5982" w:type="dxa"/>
            <w:vAlign w:val="center"/>
          </w:tcPr>
          <w:p w14:paraId="53DE3F9B" w14:textId="1CED421E" w:rsidR="00D52830" w:rsidRPr="00F67F3C" w:rsidRDefault="00656D9B" w:rsidP="00CB3171">
            <w:pPr>
              <w:pStyle w:val="Header"/>
              <w:widowControl w:val="0"/>
              <w:tabs>
                <w:tab w:val="clear" w:pos="4320"/>
                <w:tab w:val="clear" w:pos="8640"/>
                <w:tab w:val="left" w:pos="3960"/>
              </w:tabs>
              <w:rPr>
                <w:rFonts w:cs="Courier New"/>
                <w:bCs/>
              </w:rPr>
            </w:pPr>
            <w:r>
              <w:rPr>
                <w:rFonts w:cs="Courier New"/>
                <w:bCs/>
              </w:rPr>
              <w:t>Resume and Testimony Listing</w:t>
            </w:r>
            <w:r w:rsidR="00D52830">
              <w:rPr>
                <w:rFonts w:cs="Courier New"/>
                <w:bCs/>
              </w:rPr>
              <w:t xml:space="preserve"> of Dylan W. D’Ascendis</w:t>
            </w:r>
          </w:p>
        </w:tc>
        <w:tc>
          <w:tcPr>
            <w:tcW w:w="1163" w:type="dxa"/>
            <w:vAlign w:val="center"/>
          </w:tcPr>
          <w:p w14:paraId="103AECE3" w14:textId="7587626D" w:rsidR="00D52830" w:rsidRDefault="00D52830" w:rsidP="00CB3171">
            <w:pPr>
              <w:widowControl w:val="0"/>
              <w:tabs>
                <w:tab w:val="left" w:pos="3960"/>
              </w:tabs>
              <w:jc w:val="center"/>
              <w:rPr>
                <w:rFonts w:cs="Courier New"/>
                <w:bCs/>
              </w:rPr>
            </w:pPr>
            <w:r>
              <w:rPr>
                <w:rFonts w:cs="Courier New"/>
                <w:bCs/>
              </w:rPr>
              <w:t>12</w:t>
            </w:r>
            <w:r w:rsidR="0008181A">
              <w:rPr>
                <w:rFonts w:cs="Courier New"/>
                <w:bCs/>
              </w:rPr>
              <w:t>6</w:t>
            </w:r>
          </w:p>
        </w:tc>
      </w:tr>
    </w:tbl>
    <w:p w14:paraId="55158BE5" w14:textId="77777777" w:rsidR="00B42D61" w:rsidRDefault="00B42D61" w:rsidP="00B23997">
      <w:pPr>
        <w:widowControl w:val="0"/>
        <w:tabs>
          <w:tab w:val="left" w:pos="720"/>
        </w:tabs>
        <w:ind w:left="720" w:right="252" w:hanging="720"/>
        <w:jc w:val="center"/>
        <w:rPr>
          <w:rFonts w:cs="Courier New"/>
        </w:rPr>
      </w:pPr>
    </w:p>
    <w:p w14:paraId="36A4B01A" w14:textId="77777777" w:rsidR="00B42D61" w:rsidRDefault="00B42D61">
      <w:pPr>
        <w:rPr>
          <w:rFonts w:cs="Courier New"/>
        </w:rPr>
        <w:sectPr w:rsidR="00B42D61" w:rsidSect="00B23997">
          <w:headerReference w:type="first" r:id="rId21"/>
          <w:pgSz w:w="12240" w:h="15840" w:code="1"/>
          <w:pgMar w:top="1440" w:right="720" w:bottom="720" w:left="2160" w:header="720" w:footer="720" w:gutter="0"/>
          <w:paperSrc w:first="7" w:other="7"/>
          <w:cols w:space="720"/>
          <w:titlePg/>
        </w:sectPr>
      </w:pPr>
    </w:p>
    <w:p w14:paraId="67049C1A" w14:textId="77777777" w:rsidR="00B42D61" w:rsidRDefault="00B42D61">
      <w:pPr>
        <w:rPr>
          <w:rFonts w:cs="Courier New"/>
        </w:rPr>
      </w:pPr>
    </w:p>
    <w:p w14:paraId="36E5764D" w14:textId="7062F3C5" w:rsidR="005C232F" w:rsidRDefault="00C35183" w:rsidP="006C16F3">
      <w:pPr>
        <w:widowControl w:val="0"/>
        <w:tabs>
          <w:tab w:val="left" w:pos="720"/>
        </w:tabs>
        <w:ind w:left="720" w:right="252" w:hanging="720"/>
        <w:jc w:val="center"/>
        <w:rPr>
          <w:rFonts w:cs="Courier New"/>
          <w:b/>
          <w:sz w:val="28"/>
          <w:szCs w:val="28"/>
        </w:rPr>
      </w:pPr>
      <w:r>
        <w:rPr>
          <w:rFonts w:cs="Courier New"/>
          <w:b/>
          <w:sz w:val="28"/>
          <w:szCs w:val="28"/>
        </w:rPr>
        <w:t xml:space="preserve">Fama </w:t>
      </w:r>
      <w:r w:rsidR="00BD6E82">
        <w:rPr>
          <w:rFonts w:cs="Courier New"/>
          <w:b/>
          <w:sz w:val="28"/>
          <w:szCs w:val="28"/>
        </w:rPr>
        <w:t>&amp;</w:t>
      </w:r>
      <w:r>
        <w:rPr>
          <w:rFonts w:cs="Courier New"/>
          <w:b/>
          <w:sz w:val="28"/>
          <w:szCs w:val="28"/>
        </w:rPr>
        <w:t xml:space="preserve"> French - Figure 2</w:t>
      </w:r>
    </w:p>
    <w:p w14:paraId="1BF82E2F" w14:textId="35C8C217" w:rsidR="006C16F3" w:rsidRDefault="006C16F3" w:rsidP="00C35183">
      <w:pPr>
        <w:rPr>
          <w:rFonts w:cs="Arial"/>
          <w:noProof/>
          <w:sz w:val="23"/>
          <w:szCs w:val="23"/>
        </w:rPr>
      </w:pPr>
    </w:p>
    <w:p w14:paraId="71CAC60B" w14:textId="601251B1" w:rsidR="00C35183" w:rsidRPr="00C35183" w:rsidRDefault="00C35183" w:rsidP="00C35183">
      <w:pPr>
        <w:widowControl w:val="0"/>
        <w:spacing w:line="240" w:lineRule="auto"/>
        <w:ind w:left="-720"/>
        <w:jc w:val="center"/>
        <w:rPr>
          <w:rFonts w:cs="Courier New"/>
          <w:b/>
          <w:sz w:val="28"/>
        </w:rPr>
      </w:pPr>
      <w:r>
        <w:rPr>
          <w:rFonts w:cs="Courier New"/>
          <w:b/>
          <w:noProof/>
          <w:sz w:val="28"/>
        </w:rPr>
        <w:drawing>
          <wp:inline distT="0" distB="0" distL="0" distR="0" wp14:anchorId="6FB6F72A" wp14:editId="6A086B89">
            <wp:extent cx="5072380" cy="318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72380" cy="3188335"/>
                    </a:xfrm>
                    <a:prstGeom prst="rect">
                      <a:avLst/>
                    </a:prstGeom>
                    <a:noFill/>
                  </pic:spPr>
                </pic:pic>
              </a:graphicData>
            </a:graphic>
          </wp:inline>
        </w:drawing>
      </w:r>
    </w:p>
    <w:p w14:paraId="446A4882" w14:textId="77777777" w:rsidR="00C35183" w:rsidRPr="00C35183" w:rsidRDefault="00C35183" w:rsidP="00C35183">
      <w:pPr>
        <w:rPr>
          <w:rFonts w:cs="Courier New"/>
        </w:rPr>
      </w:pPr>
    </w:p>
    <w:p w14:paraId="10732949" w14:textId="77777777" w:rsidR="00C35183" w:rsidRDefault="00C35183" w:rsidP="006C16F3">
      <w:pPr>
        <w:widowControl w:val="0"/>
        <w:tabs>
          <w:tab w:val="left" w:pos="720"/>
        </w:tabs>
        <w:ind w:left="720" w:right="252" w:hanging="720"/>
        <w:jc w:val="center"/>
        <w:rPr>
          <w:rFonts w:cs="Courier New"/>
          <w:b/>
          <w:sz w:val="28"/>
          <w:szCs w:val="28"/>
        </w:rPr>
      </w:pPr>
    </w:p>
    <w:p w14:paraId="1B107C1F" w14:textId="77777777" w:rsidR="006C16F3" w:rsidRDefault="006C16F3">
      <w:pPr>
        <w:rPr>
          <w:rFonts w:cs="Courier New"/>
          <w:b/>
          <w:sz w:val="28"/>
          <w:szCs w:val="28"/>
        </w:rPr>
        <w:sectPr w:rsidR="006C16F3" w:rsidSect="00C35183">
          <w:headerReference w:type="default" r:id="rId23"/>
          <w:footerReference w:type="default" r:id="rId24"/>
          <w:headerReference w:type="first" r:id="rId25"/>
          <w:footerReference w:type="first" r:id="rId26"/>
          <w:pgSz w:w="12240" w:h="15840" w:code="1"/>
          <w:pgMar w:top="1440" w:right="720" w:bottom="720" w:left="2160" w:header="720" w:footer="720" w:gutter="0"/>
          <w:paperSrc w:first="7" w:other="7"/>
          <w:cols w:space="720"/>
          <w:docGrid w:linePitch="326"/>
        </w:sectPr>
      </w:pPr>
    </w:p>
    <w:p w14:paraId="627669D5" w14:textId="77777777" w:rsidR="006C16F3" w:rsidRDefault="006C16F3" w:rsidP="00C35183">
      <w:pPr>
        <w:rPr>
          <w:rFonts w:cs="Courier New"/>
          <w:b/>
          <w:sz w:val="28"/>
          <w:szCs w:val="28"/>
        </w:rPr>
      </w:pPr>
    </w:p>
    <w:p w14:paraId="0591CC6C" w14:textId="77777777" w:rsidR="00D07E13" w:rsidRDefault="00DE22D1" w:rsidP="000D79FB">
      <w:pPr>
        <w:widowControl w:val="0"/>
        <w:tabs>
          <w:tab w:val="left" w:pos="720"/>
        </w:tabs>
        <w:ind w:left="720" w:right="252" w:hanging="720"/>
        <w:jc w:val="center"/>
        <w:rPr>
          <w:rFonts w:cs="Courier New"/>
          <w:b/>
          <w:sz w:val="28"/>
          <w:szCs w:val="28"/>
        </w:rPr>
      </w:pPr>
      <w:r>
        <w:rPr>
          <w:rFonts w:cs="Courier New"/>
          <w:b/>
          <w:sz w:val="28"/>
          <w:szCs w:val="28"/>
        </w:rPr>
        <w:t>Referenced Endnotes</w:t>
      </w:r>
    </w:p>
    <w:p w14:paraId="05D6FFE3" w14:textId="72985CB2" w:rsidR="00D07E13" w:rsidRDefault="00DE22D1" w:rsidP="000D79FB">
      <w:pPr>
        <w:widowControl w:val="0"/>
        <w:tabs>
          <w:tab w:val="left" w:pos="720"/>
        </w:tabs>
        <w:ind w:left="720" w:right="252" w:hanging="720"/>
        <w:jc w:val="center"/>
        <w:rPr>
          <w:rFonts w:cs="Courier New"/>
          <w:b/>
          <w:sz w:val="28"/>
          <w:szCs w:val="28"/>
        </w:rPr>
      </w:pPr>
      <w:r>
        <w:rPr>
          <w:rFonts w:cs="Courier New"/>
          <w:b/>
          <w:sz w:val="28"/>
          <w:szCs w:val="28"/>
        </w:rPr>
        <w:t>for the</w:t>
      </w:r>
    </w:p>
    <w:p w14:paraId="7A538D81" w14:textId="77777777" w:rsidR="00D07E13" w:rsidRDefault="00DE22D1" w:rsidP="000D79FB">
      <w:pPr>
        <w:widowControl w:val="0"/>
        <w:tabs>
          <w:tab w:val="left" w:pos="720"/>
        </w:tabs>
        <w:ind w:left="720" w:right="252" w:hanging="720"/>
        <w:jc w:val="center"/>
        <w:rPr>
          <w:rFonts w:cs="Courier New"/>
          <w:b/>
          <w:sz w:val="28"/>
          <w:szCs w:val="28"/>
        </w:rPr>
      </w:pPr>
      <w:r>
        <w:rPr>
          <w:rFonts w:cs="Courier New"/>
          <w:b/>
          <w:sz w:val="28"/>
          <w:szCs w:val="28"/>
        </w:rPr>
        <w:t>Prepared Direct Testimony</w:t>
      </w:r>
    </w:p>
    <w:p w14:paraId="484B01A8" w14:textId="077AC1E8" w:rsidR="00D07E13" w:rsidRDefault="00D07E13" w:rsidP="000D79FB">
      <w:pPr>
        <w:widowControl w:val="0"/>
        <w:tabs>
          <w:tab w:val="left" w:pos="720"/>
        </w:tabs>
        <w:ind w:left="720" w:right="252" w:hanging="720"/>
        <w:jc w:val="center"/>
        <w:rPr>
          <w:rFonts w:cs="Courier New"/>
          <w:b/>
          <w:sz w:val="28"/>
          <w:szCs w:val="28"/>
        </w:rPr>
      </w:pPr>
      <w:r>
        <w:rPr>
          <w:rFonts w:cs="Courier New"/>
          <w:b/>
          <w:sz w:val="28"/>
          <w:szCs w:val="28"/>
        </w:rPr>
        <w:t>o</w:t>
      </w:r>
      <w:r w:rsidR="00DE22D1">
        <w:rPr>
          <w:rFonts w:cs="Courier New"/>
          <w:b/>
          <w:sz w:val="28"/>
          <w:szCs w:val="28"/>
        </w:rPr>
        <w:t>f</w:t>
      </w:r>
    </w:p>
    <w:p w14:paraId="73C6EF89" w14:textId="53BE5836" w:rsidR="000D79FB" w:rsidRDefault="00DE22D1" w:rsidP="000D79FB">
      <w:pPr>
        <w:widowControl w:val="0"/>
        <w:tabs>
          <w:tab w:val="left" w:pos="720"/>
        </w:tabs>
        <w:ind w:left="720" w:right="252" w:hanging="720"/>
        <w:jc w:val="center"/>
        <w:rPr>
          <w:rFonts w:cs="Courier New"/>
          <w:b/>
          <w:sz w:val="28"/>
          <w:szCs w:val="28"/>
        </w:rPr>
      </w:pPr>
      <w:r>
        <w:rPr>
          <w:rFonts w:cs="Courier New"/>
          <w:b/>
          <w:sz w:val="28"/>
          <w:szCs w:val="28"/>
        </w:rPr>
        <w:t>Dylan W. D’Ascendis</w:t>
      </w:r>
    </w:p>
    <w:sectPr w:rsidR="000D79FB" w:rsidSect="009402E6">
      <w:headerReference w:type="default" r:id="rId27"/>
      <w:footerReference w:type="default" r:id="rId28"/>
      <w:headerReference w:type="first" r:id="rId29"/>
      <w:pgSz w:w="12240" w:h="15840" w:code="1"/>
      <w:pgMar w:top="1440" w:right="720" w:bottom="720" w:left="2160" w:header="720" w:footer="720"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510C" w14:textId="77777777" w:rsidR="007C3258" w:rsidRDefault="007C3258"/>
  </w:endnote>
  <w:endnote w:type="continuationSeparator" w:id="0">
    <w:p w14:paraId="70FAE6F8" w14:textId="77777777" w:rsidR="007C3258" w:rsidRDefault="007C3258"/>
  </w:endnote>
  <w:endnote w:type="continuationNotice" w:id="1">
    <w:p w14:paraId="778B4240" w14:textId="77777777" w:rsidR="007C3258" w:rsidRDefault="007C3258">
      <w:pPr>
        <w:spacing w:line="240" w:lineRule="auto"/>
      </w:pPr>
    </w:p>
  </w:endnote>
  <w:endnote w:id="2">
    <w:p w14:paraId="4F8687A1" w14:textId="69F36640" w:rsidR="009A5A7C" w:rsidRPr="00991A52" w:rsidRDefault="009A5A7C" w:rsidP="00BD6E82">
      <w:pPr>
        <w:pStyle w:val="EndnoteText"/>
        <w:spacing w:after="160"/>
        <w:ind w:left="720" w:hanging="720"/>
        <w:rPr>
          <w:rFonts w:cs="Courier New"/>
        </w:rPr>
      </w:pPr>
      <w:r w:rsidRPr="00991A52">
        <w:rPr>
          <w:rStyle w:val="EndnoteReference"/>
          <w:rFonts w:cs="Courier New"/>
        </w:rPr>
        <w:endnoteRef/>
      </w:r>
      <w:r w:rsidRPr="00991A52">
        <w:rPr>
          <w:rFonts w:cs="Courier New"/>
        </w:rPr>
        <w:t xml:space="preserve"> </w:t>
      </w:r>
      <w:r w:rsidRPr="00991A52">
        <w:rPr>
          <w:rFonts w:cs="Courier New"/>
        </w:rPr>
        <w:tab/>
      </w:r>
      <w:r w:rsidRPr="0083356F">
        <w:rPr>
          <w:rFonts w:cs="Courier New"/>
        </w:rPr>
        <w:t xml:space="preserve">I have applied adjustments to the Company’s common equity cost rate of </w:t>
      </w:r>
      <w:r w:rsidRPr="002225C5">
        <w:rPr>
          <w:rFonts w:cs="Courier New"/>
        </w:rPr>
        <w:t>0.</w:t>
      </w:r>
      <w:r w:rsidR="002225C5" w:rsidRPr="002225C5">
        <w:rPr>
          <w:rFonts w:cs="Courier New"/>
        </w:rPr>
        <w:t>20</w:t>
      </w:r>
      <w:r w:rsidR="00D13C71">
        <w:rPr>
          <w:rFonts w:cs="Courier New"/>
        </w:rPr>
        <w:t xml:space="preserve"> percent</w:t>
      </w:r>
      <w:r w:rsidRPr="0083356F">
        <w:rPr>
          <w:rFonts w:cs="Courier New"/>
        </w:rPr>
        <w:t xml:space="preserve"> to reflect the Company’s greater relative business risk relative to the </w:t>
      </w:r>
      <w:r w:rsidR="00F416CB">
        <w:rPr>
          <w:rFonts w:cs="Courier New"/>
        </w:rPr>
        <w:t>Utility Proxy Group</w:t>
      </w:r>
      <w:r w:rsidRPr="0083356F">
        <w:rPr>
          <w:rFonts w:cs="Courier New"/>
        </w:rPr>
        <w:t xml:space="preserve">.  Additionally, I applied adjustments to account for </w:t>
      </w:r>
      <w:r w:rsidRPr="00B1256C">
        <w:rPr>
          <w:rFonts w:cs="Courier New"/>
        </w:rPr>
        <w:t>flotation cost expenses</w:t>
      </w:r>
      <w:r w:rsidRPr="0083356F">
        <w:rPr>
          <w:rFonts w:cs="Courier New"/>
        </w:rPr>
        <w:t xml:space="preserve"> of </w:t>
      </w:r>
      <w:r w:rsidR="00C357EA">
        <w:rPr>
          <w:rFonts w:cs="Courier New"/>
        </w:rPr>
        <w:t xml:space="preserve">0.12 </w:t>
      </w:r>
      <w:r w:rsidR="00D13C71">
        <w:rPr>
          <w:rFonts w:cs="Courier New"/>
        </w:rPr>
        <w:t>percent</w:t>
      </w:r>
      <w:r w:rsidRPr="0083356F">
        <w:rPr>
          <w:rFonts w:cs="Courier New"/>
        </w:rPr>
        <w:t xml:space="preserve"> for the </w:t>
      </w:r>
      <w:r w:rsidR="00F416CB">
        <w:rPr>
          <w:rFonts w:cs="Courier New"/>
        </w:rPr>
        <w:t>Utility Proxy Group</w:t>
      </w:r>
      <w:r w:rsidRPr="0083356F">
        <w:rPr>
          <w:rFonts w:cs="Courier New"/>
        </w:rPr>
        <w:t>.</w:t>
      </w:r>
    </w:p>
  </w:endnote>
  <w:endnote w:id="3">
    <w:p w14:paraId="37940291" w14:textId="5D4E5BE9" w:rsidR="009A5A7C" w:rsidRPr="00B97DDF" w:rsidRDefault="009A5A7C" w:rsidP="00BD6E82">
      <w:pPr>
        <w:pStyle w:val="EndnoteText"/>
        <w:spacing w:after="160"/>
        <w:ind w:left="720" w:hanging="720"/>
        <w:rPr>
          <w:rFonts w:cs="Courier New"/>
        </w:rPr>
      </w:pPr>
      <w:r w:rsidRPr="00B97DDF">
        <w:rPr>
          <w:rStyle w:val="EndnoteReference"/>
          <w:rFonts w:cs="Courier New"/>
        </w:rPr>
        <w:endnoteRef/>
      </w:r>
      <w:r w:rsidRPr="00B97DDF">
        <w:rPr>
          <w:rFonts w:cs="Courier New"/>
        </w:rPr>
        <w:t xml:space="preserve"> </w:t>
      </w:r>
      <w:r w:rsidRPr="00B97DDF">
        <w:rPr>
          <w:rFonts w:cs="Courier New"/>
        </w:rPr>
        <w:tab/>
      </w:r>
      <w:r w:rsidRPr="00AE0482">
        <w:rPr>
          <w:rFonts w:cs="Courier New"/>
          <w:i/>
          <w:iCs/>
        </w:rPr>
        <w:t>Hope</w:t>
      </w:r>
      <w:r w:rsidRPr="00AE0482">
        <w:rPr>
          <w:rFonts w:cs="Courier New"/>
        </w:rPr>
        <w:t>, 320 U.S. 591 (1944), at 603.</w:t>
      </w:r>
    </w:p>
  </w:endnote>
  <w:endnote w:id="4">
    <w:p w14:paraId="39BA4FEA" w14:textId="2E7ACB26" w:rsidR="009A5A7C" w:rsidRPr="000154A3" w:rsidRDefault="009A5A7C" w:rsidP="00BD6E82">
      <w:pPr>
        <w:pStyle w:val="EndnoteText"/>
        <w:spacing w:after="160"/>
        <w:ind w:left="720" w:hanging="720"/>
        <w:rPr>
          <w:rFonts w:cs="Courier New"/>
        </w:rPr>
      </w:pPr>
      <w:r w:rsidRPr="000154A3">
        <w:rPr>
          <w:rStyle w:val="EndnoteReference"/>
          <w:rFonts w:cs="Courier New"/>
        </w:rPr>
        <w:endnoteRef/>
      </w:r>
      <w:r w:rsidRPr="000154A3">
        <w:rPr>
          <w:rFonts w:cs="Courier New"/>
        </w:rPr>
        <w:t xml:space="preserve"> </w:t>
      </w:r>
      <w:r w:rsidRPr="000154A3">
        <w:rPr>
          <w:rFonts w:cs="Courier New"/>
        </w:rPr>
        <w:tab/>
      </w:r>
      <w:r w:rsidRPr="008C6BBD">
        <w:rPr>
          <w:rFonts w:cs="Courier New"/>
        </w:rPr>
        <w:t xml:space="preserve">As will be discussed later in this </w:t>
      </w:r>
      <w:r w:rsidR="006C0445">
        <w:rPr>
          <w:rFonts w:cs="Courier New"/>
        </w:rPr>
        <w:t>t</w:t>
      </w:r>
      <w:r w:rsidRPr="008C6BBD">
        <w:rPr>
          <w:rFonts w:cs="Courier New"/>
        </w:rPr>
        <w:t>estimony, another definition of total risk is systematic risk plus unsystematic risk.</w:t>
      </w:r>
    </w:p>
  </w:endnote>
  <w:endnote w:id="5">
    <w:p w14:paraId="7BA60534" w14:textId="2F92F257" w:rsidR="009A5A7C" w:rsidRPr="0009007A" w:rsidRDefault="009A5A7C" w:rsidP="00BD6E82">
      <w:pPr>
        <w:pStyle w:val="EndnoteText"/>
        <w:spacing w:after="160"/>
        <w:ind w:left="720" w:hanging="720"/>
        <w:rPr>
          <w:rFonts w:cs="Courier New"/>
        </w:rPr>
      </w:pPr>
      <w:r w:rsidRPr="0009007A">
        <w:rPr>
          <w:rStyle w:val="EndnoteReference"/>
          <w:rFonts w:cs="Courier New"/>
        </w:rPr>
        <w:endnoteRef/>
      </w:r>
      <w:r w:rsidRPr="0009007A">
        <w:rPr>
          <w:rFonts w:cs="Courier New"/>
        </w:rPr>
        <w:t xml:space="preserve"> </w:t>
      </w:r>
      <w:r w:rsidRPr="0009007A">
        <w:rPr>
          <w:rFonts w:cs="Courier New"/>
        </w:rPr>
        <w:tab/>
      </w:r>
      <w:r w:rsidRPr="00FC3151">
        <w:rPr>
          <w:rFonts w:cs="Courier New"/>
        </w:rPr>
        <w:t xml:space="preserve">Risk distinctions within S&amp;P’s bond rating categories are recognized by a plus or minus, </w:t>
      </w:r>
      <w:r w:rsidRPr="00FC3151">
        <w:rPr>
          <w:rFonts w:cs="Courier New"/>
          <w:i/>
          <w:iCs/>
        </w:rPr>
        <w:t>e.g</w:t>
      </w:r>
      <w:r w:rsidRPr="00FC3151">
        <w:rPr>
          <w:rFonts w:cs="Courier New"/>
        </w:rPr>
        <w:t xml:space="preserve">., an S&amp;P rating can be an A+, A, or A-. </w:t>
      </w:r>
      <w:r w:rsidR="008E62F1">
        <w:rPr>
          <w:rFonts w:cs="Courier New"/>
        </w:rPr>
        <w:t xml:space="preserve"> </w:t>
      </w:r>
      <w:r w:rsidRPr="00FC3151">
        <w:rPr>
          <w:rFonts w:cs="Courier New"/>
        </w:rPr>
        <w:t xml:space="preserve">Similarly, risk distinction for Moody’s ratings are distinguished by numerical rating gradations, </w:t>
      </w:r>
      <w:r w:rsidRPr="00FC3151">
        <w:rPr>
          <w:rFonts w:cs="Courier New"/>
          <w:i/>
          <w:iCs/>
        </w:rPr>
        <w:t>e.g</w:t>
      </w:r>
      <w:r w:rsidRPr="00FC3151">
        <w:rPr>
          <w:rFonts w:cs="Courier New"/>
        </w:rPr>
        <w:t>., a Moody’s rating can be A1, A2 and A3.</w:t>
      </w:r>
    </w:p>
  </w:endnote>
  <w:endnote w:id="6">
    <w:p w14:paraId="5F4320CF" w14:textId="56DFC85B" w:rsidR="009A5A7C" w:rsidRPr="000E3A2F" w:rsidRDefault="009A5A7C" w:rsidP="006D4AA2">
      <w:pPr>
        <w:pStyle w:val="EndnoteText"/>
        <w:spacing w:after="160"/>
        <w:ind w:left="720" w:hanging="720"/>
        <w:rPr>
          <w:rFonts w:cs="Courier New"/>
        </w:rPr>
      </w:pPr>
      <w:r w:rsidRPr="000E3A2F">
        <w:rPr>
          <w:rStyle w:val="EndnoteReference"/>
          <w:rFonts w:cs="Courier New"/>
        </w:rPr>
        <w:endnoteRef/>
      </w:r>
      <w:r w:rsidRPr="000E3A2F">
        <w:rPr>
          <w:rFonts w:cs="Courier New"/>
        </w:rPr>
        <w:t xml:space="preserve"> </w:t>
      </w:r>
      <w:r w:rsidRPr="000E3A2F">
        <w:rPr>
          <w:rFonts w:cs="Courier New"/>
        </w:rPr>
        <w:tab/>
      </w:r>
      <w:r w:rsidR="00135619" w:rsidRPr="00C55E3B">
        <w:t xml:space="preserve">Company </w:t>
      </w:r>
      <w:r w:rsidR="004B4D75">
        <w:t>p</w:t>
      </w:r>
      <w:r w:rsidR="00135619" w:rsidRPr="00C55E3B">
        <w:t xml:space="preserve">rovided </w:t>
      </w:r>
      <w:r w:rsidR="004B4D75">
        <w:t>d</w:t>
      </w:r>
      <w:r w:rsidR="00135619" w:rsidRPr="00C55E3B">
        <w:t>ata</w:t>
      </w:r>
      <w:r w:rsidRPr="00135619">
        <w:rPr>
          <w:rFonts w:cs="Courier New"/>
        </w:rPr>
        <w:t>.</w:t>
      </w:r>
    </w:p>
  </w:endnote>
  <w:endnote w:id="7">
    <w:p w14:paraId="213BC3B1" w14:textId="63E8E4F8" w:rsidR="00AD666B" w:rsidRPr="00A04A11" w:rsidRDefault="00AD666B" w:rsidP="00C55E3B">
      <w:pPr>
        <w:pStyle w:val="EndnoteText"/>
        <w:spacing w:after="160"/>
        <w:ind w:left="720" w:hanging="720"/>
        <w:rPr>
          <w:rFonts w:cs="Courier New"/>
        </w:rPr>
      </w:pPr>
      <w:r>
        <w:rPr>
          <w:rStyle w:val="EndnoteReference"/>
        </w:rPr>
        <w:endnoteRef/>
      </w:r>
      <w:r>
        <w:t xml:space="preserve"> </w:t>
      </w:r>
      <w:r w:rsidR="006D4AA2">
        <w:tab/>
      </w:r>
      <w:r w:rsidR="00A04A11" w:rsidRPr="00A04A11">
        <w:t xml:space="preserve">Florida Public Service Commission, Undocketed, Document No. 00107-2023, RE: </w:t>
      </w:r>
      <w:r w:rsidR="00805765">
        <w:t>Peoples</w:t>
      </w:r>
      <w:r w:rsidR="00A04A11" w:rsidRPr="00A04A11">
        <w:t xml:space="preserve"> System, Inc. (formerly </w:t>
      </w:r>
      <w:r w:rsidR="00805765">
        <w:t>Peoples</w:t>
      </w:r>
      <w:r w:rsidR="00A04A11" w:rsidRPr="00A04A11">
        <w:t xml:space="preserve"> System, a division of Tampa Electric Company, at 1-2 (January 6, 2023</w:t>
      </w:r>
      <w:r w:rsidR="006D4AA2">
        <w:t>)</w:t>
      </w:r>
      <w:r w:rsidR="00A04A11" w:rsidRPr="00A04A11">
        <w:t>.</w:t>
      </w:r>
      <w:r w:rsidR="00A04A11">
        <w:tab/>
      </w:r>
    </w:p>
  </w:endnote>
  <w:endnote w:id="8">
    <w:p w14:paraId="39201FA5" w14:textId="557E3610" w:rsidR="009A5A7C" w:rsidRPr="00A2185E" w:rsidRDefault="009A5A7C" w:rsidP="006D4AA2">
      <w:pPr>
        <w:pStyle w:val="EndnoteText"/>
        <w:spacing w:after="160"/>
        <w:ind w:left="720" w:hanging="720"/>
        <w:rPr>
          <w:rFonts w:cs="Courier New"/>
        </w:rPr>
      </w:pPr>
      <w:r w:rsidRPr="00A2185E">
        <w:rPr>
          <w:rStyle w:val="EndnoteReference"/>
          <w:rFonts w:cs="Courier New"/>
        </w:rPr>
        <w:endnoteRef/>
      </w:r>
      <w:r w:rsidRPr="00A2185E">
        <w:rPr>
          <w:rFonts w:cs="Courier New"/>
        </w:rPr>
        <w:t xml:space="preserve"> </w:t>
      </w:r>
      <w:r w:rsidRPr="00A2185E">
        <w:rPr>
          <w:rFonts w:cs="Courier New"/>
        </w:rPr>
        <w:tab/>
      </w:r>
      <w:bookmarkStart w:id="7" w:name="_Hlk124773271"/>
      <w:r w:rsidR="00F76A28">
        <w:rPr>
          <w:rFonts w:cs="Courier New"/>
        </w:rPr>
        <w:t xml:space="preserve">Emera Incorporated, </w:t>
      </w:r>
      <w:r w:rsidR="003340EE">
        <w:rPr>
          <w:rFonts w:cs="Courier New"/>
        </w:rPr>
        <w:t xml:space="preserve">U.S. </w:t>
      </w:r>
      <w:r w:rsidR="003340EE" w:rsidRPr="003340EE">
        <w:rPr>
          <w:rFonts w:cs="Courier New"/>
        </w:rPr>
        <w:t>SEC Form 40-F</w:t>
      </w:r>
      <w:r w:rsidR="003340EE">
        <w:rPr>
          <w:rFonts w:cs="Courier New"/>
        </w:rPr>
        <w:t xml:space="preserve"> for the year ended December 31, 2021.</w:t>
      </w:r>
      <w:bookmarkEnd w:id="7"/>
    </w:p>
  </w:endnote>
  <w:endnote w:id="9">
    <w:p w14:paraId="68EA3AB9" w14:textId="2B0C4604" w:rsidR="009A5A7C" w:rsidRPr="001D2816" w:rsidRDefault="009A5A7C" w:rsidP="006D4AA2">
      <w:pPr>
        <w:pStyle w:val="EndnoteText"/>
        <w:spacing w:after="160"/>
        <w:ind w:left="720" w:hanging="720"/>
        <w:rPr>
          <w:rFonts w:cs="Courier New"/>
        </w:rPr>
      </w:pPr>
      <w:r w:rsidRPr="001D2816">
        <w:rPr>
          <w:rStyle w:val="EndnoteReference"/>
          <w:rFonts w:cs="Courier New"/>
        </w:rPr>
        <w:endnoteRef/>
      </w:r>
      <w:r w:rsidRPr="001D2816">
        <w:rPr>
          <w:rFonts w:cs="Courier New"/>
        </w:rPr>
        <w:t xml:space="preserve"> </w:t>
      </w:r>
      <w:r w:rsidRPr="001D2816">
        <w:rPr>
          <w:rFonts w:cs="Courier New"/>
        </w:rPr>
        <w:tab/>
        <w:t xml:space="preserve">The development of the Non-Price Regulated Proxy Group is explained in more detail in </w:t>
      </w:r>
      <w:r w:rsidRPr="005B2931">
        <w:rPr>
          <w:rFonts w:cs="Courier New"/>
        </w:rPr>
        <w:t>Section V</w:t>
      </w:r>
      <w:r w:rsidRPr="001D2816">
        <w:rPr>
          <w:rFonts w:cs="Courier New"/>
        </w:rPr>
        <w:t>.</w:t>
      </w:r>
    </w:p>
  </w:endnote>
  <w:endnote w:id="10">
    <w:p w14:paraId="3D71C91E" w14:textId="21AF40F3" w:rsidR="009A5A7C" w:rsidRPr="006F1D8A" w:rsidRDefault="009A5A7C" w:rsidP="006D4AA2">
      <w:pPr>
        <w:pStyle w:val="EndnoteText"/>
        <w:spacing w:after="160"/>
        <w:ind w:left="720" w:hanging="720"/>
        <w:rPr>
          <w:rFonts w:cs="Courier New"/>
        </w:rPr>
      </w:pPr>
      <w:r w:rsidRPr="006F1D8A">
        <w:rPr>
          <w:rStyle w:val="EndnoteReference"/>
          <w:rFonts w:cs="Courier New"/>
        </w:rPr>
        <w:endnoteRef/>
      </w:r>
      <w:r w:rsidRPr="006F1D8A">
        <w:rPr>
          <w:rFonts w:cs="Courier New"/>
        </w:rPr>
        <w:t xml:space="preserve"> </w:t>
      </w:r>
      <w:r w:rsidRPr="006F1D8A">
        <w:rPr>
          <w:rFonts w:cs="Courier New"/>
        </w:rPr>
        <w:tab/>
      </w:r>
      <w:r w:rsidRPr="00BD227E">
        <w:rPr>
          <w:rFonts w:cs="Courier New"/>
        </w:rPr>
        <w:t xml:space="preserve">Eugene F. Brigham and Joel F. Houston, </w:t>
      </w:r>
      <w:r w:rsidRPr="00BD227E">
        <w:rPr>
          <w:rFonts w:cs="Courier New"/>
          <w:u w:val="single"/>
        </w:rPr>
        <w:t>Fundamentals of Financial Management</w:t>
      </w:r>
      <w:r w:rsidRPr="00BD227E">
        <w:rPr>
          <w:rFonts w:cs="Courier New"/>
        </w:rPr>
        <w:t>, Concise 4th Ed., Thomson South-Western, 2004, at 574.</w:t>
      </w:r>
    </w:p>
  </w:endnote>
  <w:endnote w:id="11">
    <w:p w14:paraId="5861172B" w14:textId="2974C8C5" w:rsidR="005F242F" w:rsidRDefault="005F242F">
      <w:pPr>
        <w:pStyle w:val="EndnoteText"/>
      </w:pPr>
      <w:r>
        <w:rPr>
          <w:rStyle w:val="EndnoteReference"/>
        </w:rPr>
        <w:endnoteRef/>
      </w:r>
      <w:r>
        <w:t xml:space="preserve"> </w:t>
      </w:r>
      <w:r>
        <w:tab/>
        <w:t>Excluding securitized debt</w:t>
      </w:r>
      <w:r w:rsidR="00A77ABF">
        <w:t>.</w:t>
      </w:r>
    </w:p>
    <w:p w14:paraId="3B5E324A" w14:textId="77777777" w:rsidR="005F242F" w:rsidRDefault="005F242F">
      <w:pPr>
        <w:pStyle w:val="EndnoteText"/>
      </w:pPr>
    </w:p>
  </w:endnote>
  <w:endnote w:id="12">
    <w:p w14:paraId="23B2379D" w14:textId="68ABEA18" w:rsidR="00BD0A9C" w:rsidRPr="00A5607E" w:rsidRDefault="00BD0A9C" w:rsidP="00BD0A9C">
      <w:pPr>
        <w:pStyle w:val="EndnoteText"/>
        <w:spacing w:after="160"/>
        <w:ind w:left="720" w:hanging="720"/>
        <w:rPr>
          <w:rFonts w:cs="Courier New"/>
        </w:rPr>
      </w:pPr>
      <w:r w:rsidRPr="00A5607E">
        <w:rPr>
          <w:rStyle w:val="EndnoteReference"/>
          <w:rFonts w:cs="Courier New"/>
        </w:rPr>
        <w:endnoteRef/>
      </w:r>
      <w:r w:rsidRPr="00A5607E">
        <w:rPr>
          <w:rFonts w:cs="Courier New"/>
        </w:rPr>
        <w:t xml:space="preserve"> </w:t>
      </w:r>
      <w:r w:rsidRPr="00A5607E">
        <w:rPr>
          <w:rFonts w:cs="Courier New"/>
        </w:rPr>
        <w:tab/>
      </w:r>
      <w:r w:rsidRPr="00002ECE">
        <w:rPr>
          <w:rFonts w:cs="Courier New"/>
          <w:i/>
          <w:iCs/>
        </w:rPr>
        <w:t xml:space="preserve">In re: Petition for rate increase by </w:t>
      </w:r>
      <w:r w:rsidR="00805765">
        <w:rPr>
          <w:rFonts w:cs="Courier New"/>
          <w:i/>
          <w:iCs/>
        </w:rPr>
        <w:t>Peoples</w:t>
      </w:r>
      <w:r w:rsidRPr="00002ECE">
        <w:rPr>
          <w:rFonts w:cs="Courier New"/>
        </w:rPr>
        <w:t>, Docket No. 080318</w:t>
      </w:r>
      <w:r>
        <w:rPr>
          <w:rFonts w:cs="Courier New"/>
        </w:rPr>
        <w:t>-GU</w:t>
      </w:r>
      <w:r w:rsidRPr="00002ECE">
        <w:rPr>
          <w:rFonts w:cs="Courier New"/>
        </w:rPr>
        <w:t>, Final Order Gra</w:t>
      </w:r>
      <w:r>
        <w:rPr>
          <w:rFonts w:cs="Courier New"/>
        </w:rPr>
        <w:t>n</w:t>
      </w:r>
      <w:r w:rsidRPr="00002ECE">
        <w:rPr>
          <w:rFonts w:cs="Courier New"/>
        </w:rPr>
        <w:t xml:space="preserve">ting </w:t>
      </w:r>
      <w:r>
        <w:rPr>
          <w:rFonts w:cs="Courier New"/>
        </w:rPr>
        <w:t>i</w:t>
      </w:r>
      <w:r w:rsidRPr="00002ECE">
        <w:rPr>
          <w:rFonts w:cs="Courier New"/>
        </w:rPr>
        <w:t xml:space="preserve">n Part </w:t>
      </w:r>
      <w:r>
        <w:rPr>
          <w:rFonts w:cs="Courier New"/>
        </w:rPr>
        <w:t>a</w:t>
      </w:r>
      <w:r w:rsidRPr="00002ECE">
        <w:rPr>
          <w:rFonts w:cs="Courier New"/>
        </w:rPr>
        <w:t xml:space="preserve">nd Denying </w:t>
      </w:r>
      <w:r>
        <w:rPr>
          <w:rFonts w:cs="Courier New"/>
        </w:rPr>
        <w:t>i</w:t>
      </w:r>
      <w:r w:rsidRPr="00002ECE">
        <w:rPr>
          <w:rFonts w:cs="Courier New"/>
        </w:rPr>
        <w:t xml:space="preserve">n Part Petition </w:t>
      </w:r>
      <w:r>
        <w:rPr>
          <w:rFonts w:cs="Courier New"/>
        </w:rPr>
        <w:t>f</w:t>
      </w:r>
      <w:r w:rsidRPr="00002ECE">
        <w:rPr>
          <w:rFonts w:cs="Courier New"/>
        </w:rPr>
        <w:t>or Rate Increase, at 12 (June 9, 2009).</w:t>
      </w:r>
    </w:p>
  </w:endnote>
  <w:endnote w:id="13">
    <w:p w14:paraId="16F2AD42" w14:textId="79BE3C72" w:rsidR="009A5A7C" w:rsidRPr="00E817F2" w:rsidRDefault="009A5A7C" w:rsidP="00BD6E82">
      <w:pPr>
        <w:pStyle w:val="EndnoteText"/>
        <w:spacing w:after="160"/>
        <w:ind w:left="720" w:hanging="720"/>
        <w:rPr>
          <w:rFonts w:cs="Courier New"/>
        </w:rPr>
      </w:pPr>
      <w:r w:rsidRPr="00E817F2">
        <w:rPr>
          <w:rStyle w:val="EndnoteReference"/>
          <w:rFonts w:cs="Courier New"/>
        </w:rPr>
        <w:endnoteRef/>
      </w:r>
      <w:r w:rsidRPr="00E817F2">
        <w:rPr>
          <w:rFonts w:cs="Courier New"/>
        </w:rPr>
        <w:t xml:space="preserve"> </w:t>
      </w:r>
      <w:r w:rsidRPr="00E817F2">
        <w:rPr>
          <w:rFonts w:cs="Courier New"/>
        </w:rPr>
        <w:tab/>
      </w:r>
      <w:r w:rsidRPr="00355326">
        <w:rPr>
          <w:rFonts w:cs="Courier New"/>
        </w:rPr>
        <w:t xml:space="preserve">Pauline M. Ahern, Frank J. Hanley, and Richard A. Michelfelder, </w:t>
      </w:r>
      <w:r w:rsidRPr="00355326">
        <w:rPr>
          <w:rFonts w:cs="Courier New"/>
          <w:i/>
          <w:iCs/>
        </w:rPr>
        <w:t>A New Approach for Estimating the Equity Risk Premium for Public Utilities</w:t>
      </w:r>
      <w:r w:rsidRPr="00355326">
        <w:rPr>
          <w:rFonts w:cs="Courier New"/>
        </w:rPr>
        <w:t xml:space="preserve">, </w:t>
      </w:r>
      <w:r w:rsidRPr="00355326">
        <w:rPr>
          <w:rFonts w:cs="Courier New"/>
          <w:u w:val="single"/>
        </w:rPr>
        <w:t>The Journal of Regulatory Economics</w:t>
      </w:r>
      <w:r w:rsidRPr="00355326">
        <w:rPr>
          <w:rFonts w:cs="Courier New"/>
        </w:rPr>
        <w:t xml:space="preserve"> (</w:t>
      </w:r>
      <w:r w:rsidR="00A143FA">
        <w:rPr>
          <w:rFonts w:cs="Courier New"/>
        </w:rPr>
        <w:t>August</w:t>
      </w:r>
      <w:r w:rsidR="00A143FA" w:rsidRPr="00355326">
        <w:rPr>
          <w:rFonts w:cs="Courier New"/>
        </w:rPr>
        <w:t xml:space="preserve"> </w:t>
      </w:r>
      <w:r w:rsidRPr="00355326">
        <w:rPr>
          <w:rFonts w:cs="Courier New"/>
        </w:rPr>
        <w:t>2011), 40:261-278.</w:t>
      </w:r>
    </w:p>
  </w:endnote>
  <w:endnote w:id="14">
    <w:p w14:paraId="13A3F11E" w14:textId="308383F2" w:rsidR="009A5A7C" w:rsidRPr="00260BC3" w:rsidRDefault="009A5A7C" w:rsidP="00BD6E82">
      <w:pPr>
        <w:pStyle w:val="EndnoteText"/>
        <w:spacing w:after="160"/>
        <w:ind w:left="720" w:hanging="720"/>
        <w:rPr>
          <w:rFonts w:cs="Courier New"/>
        </w:rPr>
      </w:pPr>
      <w:r w:rsidRPr="00260BC3">
        <w:rPr>
          <w:rStyle w:val="EndnoteReference"/>
          <w:rFonts w:cs="Courier New"/>
        </w:rPr>
        <w:endnoteRef/>
      </w:r>
      <w:r w:rsidRPr="00260BC3">
        <w:rPr>
          <w:rFonts w:cs="Courier New"/>
        </w:rPr>
        <w:t xml:space="preserve"> </w:t>
      </w:r>
      <w:r>
        <w:rPr>
          <w:rFonts w:cs="Courier New"/>
        </w:rPr>
        <w:tab/>
      </w:r>
      <w:r w:rsidRPr="00260BC3">
        <w:rPr>
          <w:rFonts w:cs="Courier New"/>
        </w:rPr>
        <w:t>Autoregressive conditional heteroscedasticity; see also</w:t>
      </w:r>
      <w:r w:rsidR="00D27423">
        <w:rPr>
          <w:rFonts w:cs="Courier New"/>
        </w:rPr>
        <w:t>,</w:t>
      </w:r>
      <w:r w:rsidRPr="00260BC3">
        <w:rPr>
          <w:rFonts w:cs="Courier New"/>
        </w:rPr>
        <w:t xml:space="preserve"> </w:t>
      </w:r>
      <w:hyperlink r:id="rId1" w:history="1">
        <w:r w:rsidR="000E6EAA" w:rsidRPr="00AC7C61">
          <w:rPr>
            <w:rStyle w:val="Hyperlink"/>
            <w:rFonts w:cs="Courier New"/>
          </w:rPr>
          <w:t>www.nobelprize.org</w:t>
        </w:r>
      </w:hyperlink>
      <w:r w:rsidRPr="00260BC3">
        <w:rPr>
          <w:rFonts w:cs="Courier New"/>
        </w:rPr>
        <w:t>.</w:t>
      </w:r>
    </w:p>
  </w:endnote>
  <w:endnote w:id="15">
    <w:p w14:paraId="45D8ECE0" w14:textId="77777777" w:rsidR="005F242F" w:rsidRPr="005F242F" w:rsidRDefault="005F242F" w:rsidP="00411600">
      <w:pPr>
        <w:pStyle w:val="EndnoteText"/>
        <w:ind w:left="720" w:hanging="720"/>
      </w:pPr>
      <w:r>
        <w:rPr>
          <w:rStyle w:val="EndnoteReference"/>
        </w:rPr>
        <w:endnoteRef/>
      </w:r>
      <w:r>
        <w:t xml:space="preserve"> </w:t>
      </w:r>
      <w:r>
        <w:tab/>
      </w:r>
      <w:r w:rsidRPr="005F242F">
        <w:rPr>
          <w:i/>
          <w:iCs/>
        </w:rPr>
        <w:t xml:space="preserve">See, </w:t>
      </w:r>
      <w:r w:rsidRPr="005F242F">
        <w:t xml:space="preserve">Eugene A. Pilotte, and Richard A. Michelfelder, </w:t>
      </w:r>
      <w:r w:rsidRPr="005F242F">
        <w:rPr>
          <w:i/>
          <w:iCs/>
        </w:rPr>
        <w:t>Treasury Bond Risk and Return, the Implications for the Hedging of Consumption and Lessons for Asset Pricing</w:t>
      </w:r>
      <w:r w:rsidRPr="005F242F">
        <w:t xml:space="preserve">, </w:t>
      </w:r>
      <w:r w:rsidRPr="005F242F">
        <w:rPr>
          <w:u w:val="single"/>
        </w:rPr>
        <w:t>Journal of Economics and Business</w:t>
      </w:r>
      <w:r w:rsidRPr="005F242F">
        <w:t xml:space="preserve">, June 2011, 582-604. </w:t>
      </w:r>
      <w:r w:rsidRPr="005F242F">
        <w:rPr>
          <w:i/>
          <w:iCs/>
        </w:rPr>
        <w:t>See also,</w:t>
      </w:r>
      <w:r w:rsidRPr="005F242F">
        <w:t xml:space="preserve"> Richard A. Michelfelder, </w:t>
      </w:r>
      <w:r w:rsidRPr="005F242F">
        <w:rPr>
          <w:i/>
          <w:iCs/>
        </w:rPr>
        <w:t>Empirical Analysis of the Generalized Consumption Asset Pricing Model: Estimating the Cost of Capital</w:t>
      </w:r>
      <w:r w:rsidRPr="005F242F">
        <w:t xml:space="preserve">, </w:t>
      </w:r>
      <w:r w:rsidRPr="005F242F">
        <w:rPr>
          <w:u w:val="single"/>
        </w:rPr>
        <w:t>Journal of Economics and Business</w:t>
      </w:r>
      <w:r w:rsidRPr="005F242F">
        <w:t>, April 2015, 37-50.</w:t>
      </w:r>
    </w:p>
    <w:p w14:paraId="49A3E27C" w14:textId="2E042591" w:rsidR="005F242F" w:rsidRDefault="005F242F">
      <w:pPr>
        <w:pStyle w:val="EndnoteText"/>
      </w:pPr>
    </w:p>
  </w:endnote>
  <w:endnote w:id="16">
    <w:p w14:paraId="3D9E7745" w14:textId="03582F18" w:rsidR="005F242F" w:rsidRPr="005F242F" w:rsidRDefault="005F242F" w:rsidP="00411600">
      <w:pPr>
        <w:pStyle w:val="EndnoteText"/>
        <w:ind w:left="720" w:hanging="720"/>
      </w:pPr>
      <w:r>
        <w:rPr>
          <w:rStyle w:val="EndnoteReference"/>
        </w:rPr>
        <w:endnoteRef/>
      </w:r>
      <w:r>
        <w:t xml:space="preserve"> </w:t>
      </w:r>
      <w:r>
        <w:tab/>
      </w:r>
      <w:r w:rsidRPr="005F242F">
        <w:rPr>
          <w:i/>
          <w:iCs/>
        </w:rPr>
        <w:t xml:space="preserve">See, </w:t>
      </w:r>
      <w:r w:rsidRPr="005F242F">
        <w:t xml:space="preserve">Pauline M. Ahern, Frank J. Hanley, and Richard A. Michelfelder, </w:t>
      </w:r>
      <w:r w:rsidRPr="005F242F">
        <w:rPr>
          <w:i/>
          <w:iCs/>
        </w:rPr>
        <w:t>New Approach to Estimating the Equity Risk Premium for Public Utilities</w:t>
      </w:r>
      <w:r w:rsidRPr="005F242F">
        <w:t xml:space="preserve">, </w:t>
      </w:r>
      <w:r w:rsidRPr="005F242F">
        <w:rPr>
          <w:iCs/>
          <w:u w:val="single"/>
        </w:rPr>
        <w:t>The Journal of Regulatory Economics,</w:t>
      </w:r>
      <w:r w:rsidRPr="005F242F">
        <w:t xml:space="preserve"> </w:t>
      </w:r>
      <w:r w:rsidR="00A143FA">
        <w:t>August</w:t>
      </w:r>
      <w:r w:rsidR="00A143FA" w:rsidRPr="005F242F">
        <w:t xml:space="preserve"> </w:t>
      </w:r>
      <w:r w:rsidRPr="005F242F">
        <w:t>2011, at 40:261-278.</w:t>
      </w:r>
    </w:p>
    <w:p w14:paraId="4D0F219A" w14:textId="035278B9" w:rsidR="005F242F" w:rsidRDefault="005F242F">
      <w:pPr>
        <w:pStyle w:val="EndnoteText"/>
      </w:pPr>
    </w:p>
  </w:endnote>
  <w:endnote w:id="17">
    <w:p w14:paraId="39B56FBE" w14:textId="77777777" w:rsidR="005F242F" w:rsidRPr="005F242F" w:rsidRDefault="005F242F" w:rsidP="00411600">
      <w:pPr>
        <w:pStyle w:val="EndnoteText"/>
        <w:ind w:left="720" w:hanging="720"/>
      </w:pPr>
      <w:r>
        <w:rPr>
          <w:rStyle w:val="EndnoteReference"/>
        </w:rPr>
        <w:endnoteRef/>
      </w:r>
      <w:r>
        <w:t xml:space="preserve"> </w:t>
      </w:r>
      <w:r>
        <w:tab/>
      </w:r>
      <w:r w:rsidRPr="005F242F">
        <w:rPr>
          <w:i/>
          <w:iCs/>
        </w:rPr>
        <w:t>See,</w:t>
      </w:r>
      <w:r w:rsidRPr="005F242F">
        <w:t xml:space="preserve"> Richard A. Michelfelder, Pauline M. Ahern, Dylan W. D’Ascendis, and Frank J. Hanley, </w:t>
      </w:r>
      <w:r w:rsidRPr="005F242F">
        <w:rPr>
          <w:i/>
          <w:iCs/>
        </w:rPr>
        <w:t xml:space="preserve">Comparative Evaluation of the Predictive Risk Premium Model, the Discounted Cash Flow Model and the Capital Asset Pricing Model for Estimating the Cost of Common Equity, </w:t>
      </w:r>
      <w:r w:rsidRPr="005F242F">
        <w:rPr>
          <w:u w:val="single"/>
        </w:rPr>
        <w:t>The Electricity Journal</w:t>
      </w:r>
      <w:r w:rsidRPr="005F242F">
        <w:t xml:space="preserve">, April 2013, at 84-89; </w:t>
      </w:r>
      <w:r w:rsidRPr="005F242F">
        <w:rPr>
          <w:i/>
          <w:iCs/>
        </w:rPr>
        <w:t>see also,</w:t>
      </w:r>
      <w:r w:rsidRPr="005F242F">
        <w:t xml:space="preserve"> Richard A. Michelfelder, Pauline M. Ahern, and Dylan W. D’Ascendis, </w:t>
      </w:r>
      <w:r w:rsidRPr="005F242F">
        <w:rPr>
          <w:i/>
          <w:iCs/>
        </w:rPr>
        <w:t>Decoupling, Risk Impacts and the Cost of Capital</w:t>
      </w:r>
      <w:r w:rsidRPr="005F242F">
        <w:t xml:space="preserve">, </w:t>
      </w:r>
      <w:r w:rsidRPr="005F242F">
        <w:rPr>
          <w:u w:val="single"/>
        </w:rPr>
        <w:t>The Electricity Journal</w:t>
      </w:r>
      <w:r w:rsidRPr="005F242F">
        <w:rPr>
          <w:i/>
          <w:iCs/>
        </w:rPr>
        <w:t xml:space="preserve">, </w:t>
      </w:r>
      <w:r w:rsidRPr="005F242F">
        <w:t>January 2020.</w:t>
      </w:r>
    </w:p>
    <w:p w14:paraId="2C17D858" w14:textId="008C9FF3" w:rsidR="005F242F" w:rsidRDefault="005F242F">
      <w:pPr>
        <w:pStyle w:val="EndnoteText"/>
      </w:pPr>
    </w:p>
  </w:endnote>
  <w:endnote w:id="18">
    <w:p w14:paraId="21DFE2EF" w14:textId="77777777" w:rsidR="003D3888" w:rsidRPr="003D3888" w:rsidRDefault="003D3888" w:rsidP="00411600">
      <w:pPr>
        <w:pStyle w:val="EndnoteText"/>
        <w:ind w:left="720" w:hanging="720"/>
      </w:pPr>
      <w:r>
        <w:rPr>
          <w:rStyle w:val="EndnoteReference"/>
        </w:rPr>
        <w:endnoteRef/>
      </w:r>
      <w:r>
        <w:t xml:space="preserve"> </w:t>
      </w:r>
      <w:r>
        <w:tab/>
      </w:r>
      <w:r w:rsidRPr="003D3888">
        <w:rPr>
          <w:i/>
          <w:iCs/>
        </w:rPr>
        <w:t>See,</w:t>
      </w:r>
      <w:r w:rsidRPr="003D3888">
        <w:t xml:space="preserve"> Richard A. Michelfelder, Pauline M. Ahern, and Dylan W. D’Ascendis, </w:t>
      </w:r>
      <w:r w:rsidRPr="003D3888">
        <w:rPr>
          <w:i/>
          <w:iCs/>
        </w:rPr>
        <w:t>Decoupling Impact and Public Utility Conservation Investment</w:t>
      </w:r>
      <w:r w:rsidRPr="003D3888">
        <w:t xml:space="preserve">, </w:t>
      </w:r>
      <w:r w:rsidRPr="003D3888">
        <w:rPr>
          <w:u w:val="single"/>
        </w:rPr>
        <w:t>Energy Policy</w:t>
      </w:r>
      <w:r w:rsidRPr="003D3888">
        <w:t>, April 2019, 311-319.</w:t>
      </w:r>
    </w:p>
    <w:p w14:paraId="24676B91" w14:textId="2511B1EF" w:rsidR="003D3888" w:rsidRDefault="003D3888" w:rsidP="00411600">
      <w:pPr>
        <w:pStyle w:val="EndnoteText"/>
        <w:ind w:left="720" w:hanging="720"/>
      </w:pPr>
    </w:p>
  </w:endnote>
  <w:endnote w:id="19">
    <w:p w14:paraId="65E9BA0C" w14:textId="671612D8" w:rsidR="009A5A7C" w:rsidRPr="0024223B" w:rsidRDefault="009A5A7C" w:rsidP="00BD6E82">
      <w:pPr>
        <w:pStyle w:val="EndnoteText"/>
        <w:spacing w:after="160"/>
        <w:ind w:left="720" w:hanging="720"/>
        <w:rPr>
          <w:rFonts w:cs="Courier New"/>
        </w:rPr>
      </w:pPr>
      <w:r w:rsidRPr="0024223B">
        <w:rPr>
          <w:rStyle w:val="EndnoteReference"/>
          <w:rFonts w:cs="Courier New"/>
        </w:rPr>
        <w:endnoteRef/>
      </w:r>
      <w:r w:rsidRPr="0024223B">
        <w:rPr>
          <w:rFonts w:cs="Courier New"/>
        </w:rPr>
        <w:t xml:space="preserve"> </w:t>
      </w:r>
      <w:r w:rsidRPr="0024223B">
        <w:rPr>
          <w:rFonts w:cs="Courier New"/>
        </w:rPr>
        <w:tab/>
      </w:r>
      <w:r w:rsidRPr="00B81B3B">
        <w:rPr>
          <w:rFonts w:cs="Courier New"/>
        </w:rPr>
        <w:t>Annualized Return = (1 + Monthly Return) ^12 - 1.</w:t>
      </w:r>
    </w:p>
  </w:endnote>
  <w:endnote w:id="20">
    <w:p w14:paraId="44A90A92" w14:textId="59DB7F7C" w:rsidR="009A5A7C" w:rsidRPr="00B05724" w:rsidRDefault="009A5A7C" w:rsidP="00BD6E82">
      <w:pPr>
        <w:pStyle w:val="EndnoteText"/>
        <w:spacing w:after="160"/>
        <w:ind w:left="720" w:hanging="720"/>
        <w:rPr>
          <w:rFonts w:cs="Courier New"/>
        </w:rPr>
      </w:pPr>
      <w:r w:rsidRPr="00B05724">
        <w:rPr>
          <w:rStyle w:val="EndnoteReference"/>
          <w:rFonts w:cs="Courier New"/>
        </w:rPr>
        <w:endnoteRef/>
      </w:r>
      <w:r w:rsidRPr="00B05724">
        <w:rPr>
          <w:rFonts w:cs="Courier New"/>
        </w:rPr>
        <w:t xml:space="preserve"> </w:t>
      </w:r>
      <w:r w:rsidRPr="00B05724">
        <w:rPr>
          <w:rFonts w:cs="Courier New"/>
        </w:rPr>
        <w:tab/>
      </w:r>
      <w:r w:rsidR="009360D5" w:rsidRPr="009360D5">
        <w:rPr>
          <w:rFonts w:cs="Courier New"/>
          <w:i/>
          <w:iCs/>
        </w:rPr>
        <w:t>Blue Chip Financial Forecasts, January 1, 2023, at 2 and December 2, 2022, at 14.</w:t>
      </w:r>
    </w:p>
  </w:endnote>
  <w:endnote w:id="21">
    <w:p w14:paraId="42FE6162" w14:textId="4FA68673" w:rsidR="009A5A7C" w:rsidRPr="00C306A6" w:rsidRDefault="009A5A7C" w:rsidP="00BD6E82">
      <w:pPr>
        <w:pStyle w:val="EndnoteText"/>
        <w:spacing w:after="160"/>
        <w:ind w:left="720" w:hanging="720"/>
        <w:rPr>
          <w:rFonts w:cs="Courier New"/>
        </w:rPr>
      </w:pPr>
      <w:r w:rsidRPr="00C306A6">
        <w:rPr>
          <w:rStyle w:val="EndnoteReference"/>
          <w:rFonts w:cs="Courier New"/>
        </w:rPr>
        <w:endnoteRef/>
      </w:r>
      <w:r w:rsidRPr="00C306A6">
        <w:rPr>
          <w:rFonts w:cs="Courier New"/>
        </w:rPr>
        <w:t xml:space="preserve"> </w:t>
      </w:r>
      <w:r w:rsidRPr="00C306A6">
        <w:rPr>
          <w:rFonts w:cs="Courier New"/>
        </w:rPr>
        <w:tab/>
      </w:r>
      <w:r w:rsidRPr="001862B7">
        <w:rPr>
          <w:rFonts w:cs="Courier New"/>
          <w:i/>
          <w:iCs/>
        </w:rPr>
        <w:t>See,</w:t>
      </w:r>
      <w:r w:rsidRPr="001862B7">
        <w:rPr>
          <w:rFonts w:cs="Courier New"/>
        </w:rPr>
        <w:t xml:space="preserve"> </w:t>
      </w:r>
      <w:r w:rsidR="00A143FA" w:rsidRPr="00A143FA">
        <w:rPr>
          <w:rFonts w:cs="Courier New"/>
          <w:u w:val="single"/>
        </w:rPr>
        <w:t>SBBI-2022, at 256-258, 274-276.</w:t>
      </w:r>
    </w:p>
  </w:endnote>
  <w:endnote w:id="22">
    <w:p w14:paraId="19427141" w14:textId="1761D078" w:rsidR="009A5A7C" w:rsidRPr="00DC755E" w:rsidRDefault="009A5A7C" w:rsidP="00BD6E82">
      <w:pPr>
        <w:pStyle w:val="EndnoteText"/>
        <w:spacing w:after="160"/>
        <w:ind w:left="720" w:hanging="720"/>
        <w:rPr>
          <w:rFonts w:cs="Courier New"/>
        </w:rPr>
      </w:pPr>
      <w:r w:rsidRPr="00DC755E">
        <w:rPr>
          <w:rStyle w:val="EndnoteReference"/>
          <w:rFonts w:cs="Courier New"/>
        </w:rPr>
        <w:endnoteRef/>
      </w:r>
      <w:r w:rsidRPr="00DC755E">
        <w:rPr>
          <w:rFonts w:cs="Courier New"/>
        </w:rPr>
        <w:t xml:space="preserve"> </w:t>
      </w:r>
      <w:r w:rsidRPr="00DC755E">
        <w:rPr>
          <w:rFonts w:cs="Courier New"/>
        </w:rPr>
        <w:tab/>
      </w:r>
      <w:r w:rsidRPr="004D3020">
        <w:rPr>
          <w:rFonts w:cs="Courier New"/>
          <w:i/>
          <w:iCs/>
        </w:rPr>
        <w:t>See,</w:t>
      </w:r>
      <w:r w:rsidRPr="004D3020">
        <w:rPr>
          <w:rFonts w:cs="Courier New"/>
        </w:rPr>
        <w:t xml:space="preserve"> </w:t>
      </w:r>
      <w:r w:rsidR="0009004B" w:rsidRPr="001862B7">
        <w:rPr>
          <w:rFonts w:cs="Courier New"/>
          <w:u w:val="single"/>
        </w:rPr>
        <w:t>SBBI-2022</w:t>
      </w:r>
      <w:r w:rsidRPr="004D3020">
        <w:rPr>
          <w:rFonts w:cs="Courier New"/>
        </w:rPr>
        <w:t>, at 201.</w:t>
      </w:r>
    </w:p>
  </w:endnote>
  <w:endnote w:id="23">
    <w:p w14:paraId="2919F961" w14:textId="6C424E1D" w:rsidR="009A5A7C" w:rsidRPr="00C56D8D" w:rsidRDefault="009A5A7C" w:rsidP="00BD6E82">
      <w:pPr>
        <w:pStyle w:val="EndnoteText"/>
        <w:spacing w:after="160"/>
        <w:ind w:left="720" w:hanging="720"/>
        <w:rPr>
          <w:rFonts w:cs="Courier New"/>
        </w:rPr>
      </w:pPr>
      <w:r w:rsidRPr="007054FD">
        <w:rPr>
          <w:rStyle w:val="EndnoteReference"/>
          <w:rFonts w:cs="Courier New"/>
        </w:rPr>
        <w:endnoteRef/>
      </w:r>
      <w:r w:rsidRPr="007054FD">
        <w:rPr>
          <w:rFonts w:cs="Courier New"/>
        </w:rPr>
        <w:t xml:space="preserve"> </w:t>
      </w:r>
      <w:r w:rsidRPr="007054FD">
        <w:rPr>
          <w:rFonts w:cs="Courier New"/>
        </w:rPr>
        <w:tab/>
      </w:r>
      <w:r w:rsidRPr="00C56D8D">
        <w:rPr>
          <w:rFonts w:cs="Courier New"/>
        </w:rPr>
        <w:t xml:space="preserve">Data from </w:t>
      </w:r>
      <w:r w:rsidRPr="00C55E3B">
        <w:rPr>
          <w:rFonts w:cs="Courier New"/>
        </w:rPr>
        <w:t>January 1926 to December 2021</w:t>
      </w:r>
      <w:r w:rsidRPr="00C56D8D">
        <w:rPr>
          <w:rFonts w:cs="Courier New"/>
        </w:rPr>
        <w:t xml:space="preserve"> is from </w:t>
      </w:r>
      <w:r w:rsidR="0009004B" w:rsidRPr="00C56D8D">
        <w:rPr>
          <w:rFonts w:cs="Courier New"/>
          <w:u w:val="single"/>
        </w:rPr>
        <w:t>SBBI-2022</w:t>
      </w:r>
      <w:r w:rsidRPr="00C56D8D">
        <w:rPr>
          <w:rFonts w:cs="Courier New"/>
        </w:rPr>
        <w:t xml:space="preserve">.  Data from </w:t>
      </w:r>
      <w:r w:rsidRPr="00C55E3B">
        <w:rPr>
          <w:rFonts w:cs="Courier New"/>
        </w:rPr>
        <w:t>January 202</w:t>
      </w:r>
      <w:r w:rsidR="004E7F6D">
        <w:rPr>
          <w:rFonts w:cs="Courier New"/>
        </w:rPr>
        <w:t>2</w:t>
      </w:r>
      <w:r w:rsidRPr="00C55E3B">
        <w:rPr>
          <w:rFonts w:cs="Courier New"/>
        </w:rPr>
        <w:t xml:space="preserve"> to </w:t>
      </w:r>
      <w:r w:rsidR="004E7F6D">
        <w:rPr>
          <w:rFonts w:cs="Courier New"/>
        </w:rPr>
        <w:t>December</w:t>
      </w:r>
      <w:r w:rsidR="004E7F6D" w:rsidRPr="00C55E3B">
        <w:rPr>
          <w:rFonts w:cs="Courier New"/>
        </w:rPr>
        <w:t xml:space="preserve"> </w:t>
      </w:r>
      <w:r w:rsidRPr="00C55E3B">
        <w:rPr>
          <w:rFonts w:cs="Courier New"/>
        </w:rPr>
        <w:t>202</w:t>
      </w:r>
      <w:r w:rsidR="004E7F6D">
        <w:rPr>
          <w:rFonts w:cs="Courier New"/>
        </w:rPr>
        <w:t>2</w:t>
      </w:r>
      <w:r w:rsidRPr="00C56D8D">
        <w:rPr>
          <w:rFonts w:cs="Courier New"/>
        </w:rPr>
        <w:t xml:space="preserve"> is from Bloomberg.</w:t>
      </w:r>
    </w:p>
  </w:endnote>
  <w:endnote w:id="24">
    <w:p w14:paraId="790D8463" w14:textId="300E24F9"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r>
      <w:r w:rsidRPr="00C56D8D">
        <w:rPr>
          <w:rFonts w:cs="Courier New"/>
          <w:i/>
          <w:iCs/>
        </w:rPr>
        <w:t>See, e.g.,</w:t>
      </w:r>
      <w:r w:rsidRPr="00C56D8D">
        <w:rPr>
          <w:rFonts w:cs="Courier New"/>
        </w:rPr>
        <w:t xml:space="preserve"> Robert S. Harris and Felicia C. Marston, </w:t>
      </w:r>
      <w:r w:rsidRPr="00C56D8D">
        <w:rPr>
          <w:rFonts w:cs="Courier New"/>
          <w:i/>
          <w:iCs/>
        </w:rPr>
        <w:t>The Market Risk Premium: Expectational Estimates Using Analysts’ Forecasts</w:t>
      </w:r>
      <w:r w:rsidRPr="00C56D8D">
        <w:rPr>
          <w:rFonts w:cs="Courier New"/>
        </w:rPr>
        <w:t xml:space="preserve">, </w:t>
      </w:r>
      <w:r w:rsidRPr="00C56D8D">
        <w:rPr>
          <w:rFonts w:cs="Courier New"/>
          <w:u w:val="single"/>
        </w:rPr>
        <w:t>Journal of Applied Finance</w:t>
      </w:r>
      <w:r w:rsidRPr="00C56D8D">
        <w:rPr>
          <w:rFonts w:cs="Courier New"/>
        </w:rPr>
        <w:t xml:space="preserve">, Vol. 11, No. 1, 2001, at 11-12; Eugene F. Brigham, Dilip K. Shome, and Steve R. Vinson, </w:t>
      </w:r>
      <w:r w:rsidRPr="00C56D8D">
        <w:rPr>
          <w:rFonts w:cs="Courier New"/>
          <w:i/>
          <w:iCs/>
        </w:rPr>
        <w:t>The Risk Premium Approach to Measuring a Utility’s Cost of Equity</w:t>
      </w:r>
      <w:r w:rsidRPr="00C56D8D">
        <w:rPr>
          <w:rFonts w:cs="Courier New"/>
        </w:rPr>
        <w:t xml:space="preserve">, </w:t>
      </w:r>
      <w:r w:rsidRPr="00C56D8D">
        <w:rPr>
          <w:rFonts w:cs="Courier New"/>
          <w:u w:val="single"/>
        </w:rPr>
        <w:t>Financial Management</w:t>
      </w:r>
      <w:r w:rsidRPr="00C56D8D">
        <w:rPr>
          <w:rFonts w:cs="Courier New"/>
        </w:rPr>
        <w:t>, Spring 1985, at 33-45.</w:t>
      </w:r>
    </w:p>
  </w:endnote>
  <w:endnote w:id="25">
    <w:p w14:paraId="30B5EDCA" w14:textId="731273F8"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 xml:space="preserve">Roger A. Morin, </w:t>
      </w:r>
      <w:r w:rsidRPr="00C56D8D">
        <w:rPr>
          <w:rFonts w:cs="Courier New"/>
          <w:u w:val="single"/>
        </w:rPr>
        <w:t>Modern Regulatory Finance</w:t>
      </w:r>
      <w:r w:rsidRPr="00C56D8D">
        <w:rPr>
          <w:rFonts w:cs="Courier New"/>
        </w:rPr>
        <w:t>, (2021) at 205-209 (“Morin”).</w:t>
      </w:r>
    </w:p>
  </w:endnote>
  <w:endnote w:id="26">
    <w:p w14:paraId="6DA1B05E" w14:textId="49A9A305"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r>
      <w:bookmarkStart w:id="16" w:name="_Hlk124255092"/>
      <w:r w:rsidRPr="00C56D8D">
        <w:rPr>
          <w:rFonts w:cs="Courier New"/>
        </w:rPr>
        <w:t xml:space="preserve">Eugene F. Fama and Kenneth R. French, </w:t>
      </w:r>
      <w:r w:rsidRPr="00C56D8D">
        <w:rPr>
          <w:rFonts w:cs="Courier New"/>
          <w:i/>
          <w:iCs/>
        </w:rPr>
        <w:t>The Capital Asset Pricing Model:  Theory and Evidence</w:t>
      </w:r>
      <w:r w:rsidRPr="00C56D8D">
        <w:rPr>
          <w:rFonts w:cs="Courier New"/>
        </w:rPr>
        <w:t xml:space="preserve">, </w:t>
      </w:r>
      <w:r w:rsidRPr="00C56D8D">
        <w:rPr>
          <w:rFonts w:cs="Courier New"/>
          <w:u w:val="single"/>
        </w:rPr>
        <w:t>Journal of Economic Perspectives</w:t>
      </w:r>
      <w:r w:rsidRPr="00C56D8D">
        <w:rPr>
          <w:rFonts w:cs="Courier New"/>
        </w:rPr>
        <w:t xml:space="preserve">, Vol. 18, No. 3, Summer 2004 at 33 (“Fama &amp; French”). </w:t>
      </w:r>
      <w:r w:rsidR="00BD6E82" w:rsidRPr="00C56D8D">
        <w:rPr>
          <w:rFonts w:cs="Courier New"/>
        </w:rPr>
        <w:t xml:space="preserve"> See also,</w:t>
      </w:r>
      <w:r w:rsidRPr="00C56D8D">
        <w:rPr>
          <w:rFonts w:cs="Courier New"/>
        </w:rPr>
        <w:t xml:space="preserve"> </w:t>
      </w:r>
      <w:hyperlink r:id="rId2" w:history="1">
        <w:r w:rsidRPr="00C56D8D">
          <w:rPr>
            <w:rStyle w:val="Hyperlink"/>
            <w:rFonts w:cs="Courier New"/>
          </w:rPr>
          <w:t>https://pubs.aeaweb.org/doi/pdfplus/10.1257/0895330042162430</w:t>
        </w:r>
      </w:hyperlink>
      <w:r w:rsidRPr="00C56D8D">
        <w:rPr>
          <w:rFonts w:cs="Courier New"/>
        </w:rPr>
        <w:t>.</w:t>
      </w:r>
      <w:bookmarkEnd w:id="16"/>
    </w:p>
  </w:endnote>
  <w:endnote w:id="27">
    <w:p w14:paraId="79AE7DF7" w14:textId="0020B872"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Morin, at 207.</w:t>
      </w:r>
    </w:p>
  </w:endnote>
  <w:endnote w:id="28">
    <w:p w14:paraId="6FB570E4" w14:textId="18DB8F62"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Morin, at 221.</w:t>
      </w:r>
    </w:p>
  </w:endnote>
  <w:endnote w:id="29">
    <w:p w14:paraId="35BB4DC8" w14:textId="7A51C7D3"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Fama &amp; French, at 32.</w:t>
      </w:r>
    </w:p>
  </w:endnote>
  <w:endnote w:id="30">
    <w:p w14:paraId="6B0D0CC1" w14:textId="5D1D52D0"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Fama &amp; French, at 33.</w:t>
      </w:r>
    </w:p>
  </w:endnote>
  <w:endnote w:id="31">
    <w:p w14:paraId="4AB91A13" w14:textId="6FDDAB37"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r>
      <w:r w:rsidR="00D8478B" w:rsidRPr="00C56D8D">
        <w:rPr>
          <w:rFonts w:cs="Courier New"/>
          <w:u w:val="single"/>
        </w:rPr>
        <w:t>SBBI-2022</w:t>
      </w:r>
      <w:r w:rsidRPr="00C56D8D">
        <w:rPr>
          <w:rFonts w:cs="Courier New"/>
        </w:rPr>
        <w:t xml:space="preserve">, at </w:t>
      </w:r>
      <w:r w:rsidR="000B0F7D" w:rsidRPr="00C56D8D">
        <w:rPr>
          <w:rFonts w:cs="Courier New"/>
        </w:rPr>
        <w:t>256-258, 274-276.</w:t>
      </w:r>
    </w:p>
  </w:endnote>
  <w:endnote w:id="32">
    <w:p w14:paraId="4BDBA14F" w14:textId="39E42759"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r>
      <w:bookmarkStart w:id="18" w:name="_Hlk124180096"/>
      <w:r w:rsidRPr="00C56D8D">
        <w:rPr>
          <w:rFonts w:cs="Courier New"/>
          <w:i/>
          <w:iCs/>
        </w:rPr>
        <w:t>Blue Chip Financial Forecasts</w:t>
      </w:r>
      <w:r w:rsidRPr="00C56D8D">
        <w:rPr>
          <w:rFonts w:cs="Courier New"/>
        </w:rPr>
        <w:t xml:space="preserve">, </w:t>
      </w:r>
      <w:r w:rsidR="00041D82" w:rsidRPr="00C55E3B">
        <w:rPr>
          <w:rFonts w:cs="Courier New"/>
        </w:rPr>
        <w:t>January 1</w:t>
      </w:r>
      <w:r w:rsidRPr="00C55E3B">
        <w:rPr>
          <w:rFonts w:cs="Courier New"/>
        </w:rPr>
        <w:t>, 202</w:t>
      </w:r>
      <w:r w:rsidR="00041D82" w:rsidRPr="00C55E3B">
        <w:rPr>
          <w:rFonts w:cs="Courier New"/>
        </w:rPr>
        <w:t>3</w:t>
      </w:r>
      <w:r w:rsidRPr="00C56D8D">
        <w:rPr>
          <w:rFonts w:cs="Courier New"/>
        </w:rPr>
        <w:t xml:space="preserve">, at 2 and </w:t>
      </w:r>
      <w:r w:rsidR="00041D82" w:rsidRPr="00C55E3B">
        <w:rPr>
          <w:rFonts w:cs="Courier New"/>
        </w:rPr>
        <w:t>December 2</w:t>
      </w:r>
      <w:r w:rsidRPr="00C55E3B">
        <w:rPr>
          <w:rFonts w:cs="Courier New"/>
        </w:rPr>
        <w:t>, 2022</w:t>
      </w:r>
      <w:r w:rsidRPr="00C56D8D">
        <w:rPr>
          <w:rFonts w:cs="Courier New"/>
        </w:rPr>
        <w:t>, at 14.</w:t>
      </w:r>
      <w:bookmarkEnd w:id="18"/>
    </w:p>
  </w:endnote>
  <w:endnote w:id="33">
    <w:p w14:paraId="05B1D1E3" w14:textId="77777777" w:rsidR="000C466B" w:rsidRPr="00C56D8D" w:rsidRDefault="000C466B"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Order No. PSC-09-041-FOF-GU, Docket No. 080318-GU, at 13.</w:t>
      </w:r>
    </w:p>
  </w:endnote>
  <w:endnote w:id="34">
    <w:p w14:paraId="11CD9895" w14:textId="77777777" w:rsidR="000C466B" w:rsidRPr="00C56D8D" w:rsidRDefault="000C466B"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Morin, at 329.</w:t>
      </w:r>
    </w:p>
  </w:endnote>
  <w:endnote w:id="35">
    <w:p w14:paraId="17633890" w14:textId="77777777" w:rsidR="000C466B" w:rsidRPr="00C56D8D" w:rsidRDefault="000C466B"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 xml:space="preserve">Eugene F. Brigham and Phillip R. Daves, </w:t>
      </w:r>
      <w:r w:rsidRPr="00C56D8D">
        <w:rPr>
          <w:rFonts w:cs="Courier New"/>
          <w:u w:val="single"/>
        </w:rPr>
        <w:t>Intermediate Financial Management</w:t>
      </w:r>
      <w:r w:rsidRPr="00C56D8D">
        <w:rPr>
          <w:rFonts w:cs="Courier New"/>
        </w:rPr>
        <w:t>, 9th Edition, Thomson/Southwestern, at 342.</w:t>
      </w:r>
    </w:p>
  </w:endnote>
  <w:endnote w:id="36">
    <w:p w14:paraId="547DBB23" w14:textId="77777777" w:rsidR="000C466B" w:rsidRPr="00C56D8D" w:rsidRDefault="000C466B" w:rsidP="00BD6E82">
      <w:pPr>
        <w:pStyle w:val="EndnoteText"/>
        <w:spacing w:after="160"/>
        <w:rPr>
          <w:rFonts w:cs="Courier New"/>
        </w:rPr>
      </w:pPr>
      <w:r w:rsidRPr="00C56D8D">
        <w:rPr>
          <w:rStyle w:val="EndnoteReference"/>
          <w:rFonts w:cs="Courier New"/>
        </w:rPr>
        <w:endnoteRef/>
      </w:r>
      <w:r w:rsidRPr="00C56D8D">
        <w:rPr>
          <w:rFonts w:cs="Courier New"/>
        </w:rPr>
        <w:t xml:space="preserve"> </w:t>
      </w:r>
      <w:r w:rsidRPr="00C56D8D">
        <w:rPr>
          <w:rFonts w:cs="Courier New"/>
        </w:rPr>
        <w:tab/>
        <w:t>Morin, at 337-339.</w:t>
      </w:r>
    </w:p>
  </w:endnote>
  <w:endnote w:id="37">
    <w:p w14:paraId="5BFE45D7" w14:textId="092C75CC"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 xml:space="preserve">Kroll, </w:t>
      </w:r>
      <w:r w:rsidRPr="00C56D8D">
        <w:rPr>
          <w:rFonts w:cs="Courier New"/>
          <w:u w:val="single"/>
        </w:rPr>
        <w:t>Cost of Capital Navigator: U.S. Cost of Capital Module</w:t>
      </w:r>
      <w:r w:rsidRPr="00C56D8D">
        <w:rPr>
          <w:rFonts w:cs="Courier New"/>
        </w:rPr>
        <w:t>, Size as a Predictor of Equity Returns, at 1.</w:t>
      </w:r>
    </w:p>
  </w:endnote>
  <w:endnote w:id="38">
    <w:p w14:paraId="4165DEAE" w14:textId="42EAC31F"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Fama &amp; French, at 25-43.</w:t>
      </w:r>
    </w:p>
  </w:endnote>
  <w:endnote w:id="39">
    <w:p w14:paraId="314F1600" w14:textId="5EC05701"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 xml:space="preserve">Richard A. Brealey and Steward C. Myers, </w:t>
      </w:r>
      <w:r w:rsidRPr="00C56D8D">
        <w:rPr>
          <w:rFonts w:cs="Courier New"/>
          <w:u w:val="single"/>
        </w:rPr>
        <w:t>Principles of Corporate Finance</w:t>
      </w:r>
      <w:r w:rsidRPr="00C56D8D">
        <w:rPr>
          <w:rFonts w:cs="Courier New"/>
        </w:rPr>
        <w:t xml:space="preserve"> (McGraw-Hill Book Company, 1996), at 204-205, 229.</w:t>
      </w:r>
    </w:p>
  </w:endnote>
  <w:endnote w:id="40">
    <w:p w14:paraId="1A1C2046" w14:textId="0F084E84" w:rsidR="009A5A7C" w:rsidRPr="00C56D8D" w:rsidRDefault="009A5A7C" w:rsidP="00BD6E82">
      <w:pPr>
        <w:pStyle w:val="EndnoteText"/>
        <w:spacing w:after="160"/>
        <w:ind w:left="720" w:hanging="720"/>
        <w:rPr>
          <w:rFonts w:cs="Courier New"/>
        </w:rPr>
      </w:pPr>
      <w:r w:rsidRPr="00C56D8D">
        <w:rPr>
          <w:rStyle w:val="EndnoteReference"/>
          <w:rFonts w:cs="Courier New"/>
        </w:rPr>
        <w:endnoteRef/>
      </w:r>
      <w:r w:rsidRPr="00C56D8D">
        <w:rPr>
          <w:rFonts w:cs="Courier New"/>
        </w:rPr>
        <w:t xml:space="preserve"> </w:t>
      </w:r>
      <w:r w:rsidRPr="00C56D8D">
        <w:rPr>
          <w:rFonts w:cs="Courier New"/>
        </w:rPr>
        <w:tab/>
        <w:t xml:space="preserve">Eugene F. Brigham, </w:t>
      </w:r>
      <w:r w:rsidRPr="00C56D8D">
        <w:rPr>
          <w:rFonts w:cs="Courier New"/>
          <w:u w:val="single"/>
        </w:rPr>
        <w:t>Fundamentals of Financial Management, Fifth Edition</w:t>
      </w:r>
      <w:r w:rsidRPr="00C56D8D">
        <w:rPr>
          <w:rFonts w:cs="Courier New"/>
        </w:rPr>
        <w:t xml:space="preserve"> (The Dryden Press, 1989), at 623.</w:t>
      </w:r>
    </w:p>
  </w:endnote>
  <w:endnote w:id="41">
    <w:p w14:paraId="14E03D78" w14:textId="0F5865C0" w:rsidR="00D075E8" w:rsidRPr="00C56D8D" w:rsidRDefault="00D075E8" w:rsidP="00C55E3B">
      <w:pPr>
        <w:pStyle w:val="EndnoteText"/>
        <w:spacing w:after="160"/>
        <w:ind w:left="720" w:hanging="720"/>
      </w:pPr>
      <w:r w:rsidRPr="00C56D8D">
        <w:rPr>
          <w:rStyle w:val="EndnoteReference"/>
        </w:rPr>
        <w:endnoteRef/>
      </w:r>
      <w:r w:rsidRPr="00C56D8D">
        <w:t xml:space="preserve"> </w:t>
      </w:r>
      <w:r w:rsidRPr="00C56D8D">
        <w:tab/>
      </w:r>
      <w:r w:rsidR="00135619" w:rsidRPr="00C56D8D">
        <w:t xml:space="preserve">Company </w:t>
      </w:r>
      <w:r w:rsidR="004B4D75">
        <w:t>p</w:t>
      </w:r>
      <w:r w:rsidR="00135619" w:rsidRPr="00C56D8D">
        <w:t xml:space="preserve">rovided </w:t>
      </w:r>
      <w:r w:rsidR="004B4D75">
        <w:t>d</w:t>
      </w:r>
      <w:r w:rsidR="00135619" w:rsidRPr="00C56D8D">
        <w:t>ata</w:t>
      </w:r>
      <w:r w:rsidR="00AC1E3F" w:rsidRPr="00C56D8D">
        <w:t>.</w:t>
      </w:r>
    </w:p>
  </w:endnote>
  <w:endnote w:id="42">
    <w:p w14:paraId="6F54D6F2" w14:textId="67A2A564" w:rsidR="000456D5" w:rsidRPr="00C56D8D" w:rsidRDefault="000456D5" w:rsidP="000456D5">
      <w:pPr>
        <w:pStyle w:val="EndnoteText"/>
        <w:spacing w:after="160"/>
        <w:ind w:left="720" w:hanging="720"/>
      </w:pPr>
      <w:r w:rsidRPr="00C56D8D">
        <w:rPr>
          <w:rStyle w:val="EndnoteReference"/>
        </w:rPr>
        <w:endnoteRef/>
      </w:r>
      <w:r w:rsidRPr="00C56D8D">
        <w:t xml:space="preserve"> </w:t>
      </w:r>
      <w:r w:rsidRPr="00C56D8D">
        <w:tab/>
        <w:t>JD Power Press Release, November 30, 2022.</w:t>
      </w:r>
    </w:p>
  </w:endnote>
  <w:endnote w:id="43">
    <w:p w14:paraId="47CBFC2D" w14:textId="62942B1E" w:rsidR="00D075E8" w:rsidRPr="00C56D8D" w:rsidRDefault="00D075E8" w:rsidP="00C55E3B">
      <w:pPr>
        <w:pStyle w:val="EndnoteText"/>
        <w:spacing w:after="160"/>
        <w:ind w:left="720" w:hanging="720"/>
      </w:pPr>
      <w:r w:rsidRPr="00C56D8D">
        <w:rPr>
          <w:rStyle w:val="EndnoteReference"/>
        </w:rPr>
        <w:endnoteRef/>
      </w:r>
      <w:r w:rsidRPr="00C56D8D">
        <w:t xml:space="preserve"> </w:t>
      </w:r>
      <w:r w:rsidRPr="00C56D8D">
        <w:tab/>
        <w:t>Gas Utility Business Customer Satisfaction Study</w:t>
      </w:r>
      <w:r w:rsidR="0011782B">
        <w:t>.</w:t>
      </w:r>
    </w:p>
  </w:endnote>
  <w:endnote w:id="44">
    <w:p w14:paraId="10D24E59" w14:textId="16CC29B0" w:rsidR="00E82E24" w:rsidRPr="00C56D8D" w:rsidRDefault="00E82E24" w:rsidP="00BD6E82">
      <w:pPr>
        <w:pStyle w:val="EndnoteText"/>
        <w:spacing w:after="160"/>
        <w:ind w:left="720" w:hanging="720"/>
      </w:pPr>
      <w:r w:rsidRPr="00C56D8D">
        <w:rPr>
          <w:rStyle w:val="EndnoteReference"/>
        </w:rPr>
        <w:endnoteRef/>
      </w:r>
      <w:r w:rsidRPr="00C56D8D">
        <w:t xml:space="preserve"> </w:t>
      </w:r>
      <w:r w:rsidRPr="00C56D8D">
        <w:tab/>
      </w:r>
      <w:r w:rsidR="00805765">
        <w:t>Peoples</w:t>
      </w:r>
      <w:r w:rsidR="0082475C">
        <w:t xml:space="preserve"> System, Inc. – Test Year Notification Pursuant to Rule </w:t>
      </w:r>
      <w:r w:rsidR="00EF65DB">
        <w:br/>
      </w:r>
      <w:r w:rsidR="0082475C">
        <w:t>25-7.140, Florida Administrative Code, February 3, 2023.</w:t>
      </w:r>
    </w:p>
  </w:endnote>
  <w:endnote w:id="45">
    <w:p w14:paraId="6728E1C1" w14:textId="7BE8953B" w:rsidR="00E82E24" w:rsidRPr="00C56D8D" w:rsidRDefault="00E82E24" w:rsidP="00BD6E82">
      <w:pPr>
        <w:pStyle w:val="EndnoteText"/>
        <w:spacing w:after="160"/>
        <w:ind w:left="720" w:hanging="720"/>
      </w:pPr>
      <w:r w:rsidRPr="00C56D8D">
        <w:rPr>
          <w:rStyle w:val="EndnoteReference"/>
        </w:rPr>
        <w:endnoteRef/>
      </w:r>
      <w:r w:rsidRPr="00C56D8D">
        <w:t xml:space="preserve"> </w:t>
      </w:r>
      <w:r w:rsidRPr="00C56D8D">
        <w:tab/>
      </w:r>
      <w:r w:rsidR="00805765">
        <w:t>Peoples</w:t>
      </w:r>
      <w:r w:rsidRPr="00C56D8D">
        <w:t xml:space="preserve"> System, Annual Report of Natural Gas Utilities for the year ended December 31, 2021, at </w:t>
      </w:r>
      <w:r w:rsidR="004D4C20" w:rsidRPr="00C56D8D">
        <w:t>6</w:t>
      </w:r>
      <w:r w:rsidRPr="00C56D8D">
        <w:t>.</w:t>
      </w:r>
    </w:p>
  </w:endnote>
  <w:endnote w:id="46">
    <w:p w14:paraId="589D1781" w14:textId="7DED778A" w:rsidR="00E668B3" w:rsidRDefault="00E668B3" w:rsidP="00BD6E82">
      <w:pPr>
        <w:pStyle w:val="EndnoteText"/>
        <w:spacing w:after="160"/>
        <w:ind w:left="720" w:hanging="720"/>
      </w:pPr>
      <w:r w:rsidRPr="00C56D8D">
        <w:rPr>
          <w:rStyle w:val="EndnoteReference"/>
        </w:rPr>
        <w:endnoteRef/>
      </w:r>
      <w:r w:rsidRPr="00C56D8D">
        <w:t xml:space="preserve"> </w:t>
      </w:r>
      <w:r w:rsidRPr="00C56D8D">
        <w:tab/>
      </w:r>
      <w:r w:rsidR="009D2EB6" w:rsidRPr="00C56D8D">
        <w:t>Standard &amp; Poor’s, Industry Report Card: Utility Sectors in the Americas Remain Stable, While Challenges Beset European, Australian, and New Zealand Counterparts, RatingsDirect, June 27, 20</w:t>
      </w:r>
      <w:r w:rsidR="009D2EB6" w:rsidRPr="009D2EB6">
        <w:t>08, at 4</w:t>
      </w:r>
      <w:r>
        <w:t>.</w:t>
      </w:r>
    </w:p>
  </w:endnote>
  <w:endnote w:id="47">
    <w:p w14:paraId="498DFFE8" w14:textId="1CAC1B26" w:rsidR="00E668B3" w:rsidRDefault="00E668B3" w:rsidP="00BD6E82">
      <w:pPr>
        <w:pStyle w:val="EndnoteText"/>
        <w:spacing w:after="160"/>
        <w:ind w:left="720" w:hanging="720"/>
      </w:pPr>
      <w:r>
        <w:rPr>
          <w:rStyle w:val="EndnoteReference"/>
        </w:rPr>
        <w:endnoteRef/>
      </w:r>
      <w:r>
        <w:t xml:space="preserve"> </w:t>
      </w:r>
      <w:r>
        <w:tab/>
      </w:r>
      <w:r w:rsidR="00312BC3" w:rsidRPr="00312BC3">
        <w:t xml:space="preserve">Standard &amp; Poor’s, </w:t>
      </w:r>
      <w:r w:rsidR="00312BC3" w:rsidRPr="00312BC3">
        <w:rPr>
          <w:i/>
          <w:iCs/>
        </w:rPr>
        <w:t>Industry Top Trends 2017: Utilities</w:t>
      </w:r>
      <w:r w:rsidR="00312BC3" w:rsidRPr="00312BC3">
        <w:t>, RatingsDirect, February 16, 2017, at 4</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FE99" w14:textId="77777777" w:rsidR="00250E5D" w:rsidRDefault="00250E5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A41E47" w14:textId="77777777" w:rsidR="00250E5D" w:rsidRDefault="00250E5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043D" w14:textId="77777777" w:rsidR="006C16F3" w:rsidRDefault="006C16F3" w:rsidP="00B42D61">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23EB" w14:textId="77777777" w:rsidR="00A4025F" w:rsidRDefault="00A40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0DC7" w14:textId="77777777" w:rsidR="00A4025F" w:rsidRDefault="00A4025F" w:rsidP="00A40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61C400FA" w14:textId="77777777" w:rsidR="00A4025F" w:rsidRDefault="00A40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96F8" w14:textId="77777777" w:rsidR="00B42D61" w:rsidRDefault="00B42D61"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1BE8" w14:textId="77777777" w:rsidR="006F2D70" w:rsidRDefault="006F2D70" w:rsidP="00A40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7077AC3" w14:textId="77777777" w:rsidR="006F2D70" w:rsidRDefault="006F2D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3D3D" w14:textId="17FFF7E0" w:rsidR="00F837A4" w:rsidRDefault="006F2D70" w:rsidP="00B42D61">
    <w:pPr>
      <w:pStyle w:val="Footer"/>
      <w:jc w:val="center"/>
    </w:pPr>
    <w:r>
      <w:t>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1F12" w14:textId="77777777" w:rsidR="00805765" w:rsidRDefault="00805765" w:rsidP="00A40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F6FBE4B" w14:textId="77777777" w:rsidR="00805765" w:rsidRDefault="0080576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C066" w14:textId="77777777" w:rsidR="00A4025F" w:rsidRDefault="00A4025F" w:rsidP="00A402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463E" w14:textId="77777777" w:rsidR="001328D2" w:rsidRDefault="001328D2" w:rsidP="00B42D6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2A12" w14:textId="77777777" w:rsidR="00A4025F" w:rsidRDefault="00A4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47DA" w14:textId="77777777" w:rsidR="007C3258" w:rsidRDefault="007C3258">
      <w:r>
        <w:separator/>
      </w:r>
    </w:p>
  </w:footnote>
  <w:footnote w:type="continuationSeparator" w:id="0">
    <w:p w14:paraId="1993B727" w14:textId="77777777" w:rsidR="007C3258" w:rsidRDefault="007C3258">
      <w:r>
        <w:continuationSeparator/>
      </w:r>
    </w:p>
  </w:footnote>
  <w:footnote w:type="continuationNotice" w:id="1">
    <w:p w14:paraId="60EF7334" w14:textId="77777777" w:rsidR="007C3258" w:rsidRDefault="007C32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47EB" w14:textId="77777777" w:rsidR="001B43CB" w:rsidRDefault="001B43C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1547" w14:textId="77777777" w:rsidR="006C16F3" w:rsidRDefault="006C16F3" w:rsidP="008C291D">
    <w:pPr>
      <w:tabs>
        <w:tab w:val="left" w:pos="-1440"/>
        <w:tab w:val="left" w:pos="-720"/>
      </w:tabs>
      <w:spacing w:line="240" w:lineRule="auto"/>
      <w:ind w:left="5220"/>
      <w:rPr>
        <w:b/>
      </w:rPr>
    </w:pPr>
  </w:p>
  <w:p w14:paraId="09582887" w14:textId="77777777" w:rsidR="006C16F3" w:rsidRDefault="006C16F3" w:rsidP="008C291D">
    <w:pPr>
      <w:tabs>
        <w:tab w:val="left" w:pos="-1440"/>
        <w:tab w:val="left" w:pos="-720"/>
      </w:tabs>
      <w:spacing w:line="240" w:lineRule="auto"/>
      <w:ind w:left="5220"/>
      <w:rPr>
        <w:b/>
      </w:rPr>
    </w:pPr>
  </w:p>
  <w:p w14:paraId="16176D75" w14:textId="77777777" w:rsidR="006C16F3" w:rsidRDefault="006C16F3" w:rsidP="008C291D">
    <w:pPr>
      <w:tabs>
        <w:tab w:val="left" w:pos="-1440"/>
        <w:tab w:val="left" w:pos="-720"/>
      </w:tabs>
      <w:spacing w:line="240" w:lineRule="auto"/>
      <w:ind w:left="5220"/>
      <w:rPr>
        <w:b/>
      </w:rPr>
    </w:pPr>
    <w:r>
      <w:rPr>
        <w:b/>
      </w:rPr>
      <w:t>DOCKET NO. 20</w:t>
    </w:r>
    <w:r w:rsidR="000D79FB">
      <w:rPr>
        <w:b/>
      </w:rPr>
      <w:t>2</w:t>
    </w:r>
    <w:r w:rsidR="00F63891">
      <w:rPr>
        <w:b/>
      </w:rPr>
      <w:t>3</w:t>
    </w:r>
    <w:r w:rsidR="000D79FB">
      <w:rPr>
        <w:b/>
      </w:rPr>
      <w:t>****</w:t>
    </w:r>
    <w:r>
      <w:rPr>
        <w:b/>
      </w:rPr>
      <w:t>-</w:t>
    </w:r>
    <w:r w:rsidR="001328D2">
      <w:rPr>
        <w:b/>
      </w:rPr>
      <w:t>GU</w:t>
    </w:r>
  </w:p>
  <w:p w14:paraId="1BCECDA4" w14:textId="526CF2B4" w:rsidR="006C16F3" w:rsidRDefault="006C16F3" w:rsidP="00B23997">
    <w:pPr>
      <w:tabs>
        <w:tab w:val="left" w:pos="-1440"/>
        <w:tab w:val="left" w:pos="-720"/>
        <w:tab w:val="left" w:pos="720"/>
        <w:tab w:val="left" w:pos="1440"/>
        <w:tab w:val="left" w:pos="4440"/>
        <w:tab w:val="left" w:pos="6840"/>
      </w:tabs>
      <w:spacing w:line="240" w:lineRule="auto"/>
      <w:ind w:left="5220"/>
      <w:rPr>
        <w:b/>
      </w:rPr>
    </w:pPr>
    <w:r>
      <w:rPr>
        <w:b/>
      </w:rPr>
      <w:t xml:space="preserve">EXHIBIT NO. </w:t>
    </w:r>
    <w:r w:rsidR="00697319">
      <w:rPr>
        <w:b/>
      </w:rPr>
      <w:t>DWD</w:t>
    </w:r>
    <w:r>
      <w:rPr>
        <w:b/>
      </w:rPr>
      <w:t>-1</w:t>
    </w:r>
  </w:p>
  <w:p w14:paraId="67B3BF87" w14:textId="5BAED004" w:rsidR="006C16F3" w:rsidRDefault="006C16F3" w:rsidP="00B23997">
    <w:pPr>
      <w:tabs>
        <w:tab w:val="left" w:pos="-1440"/>
        <w:tab w:val="left" w:pos="-720"/>
        <w:tab w:val="left" w:pos="720"/>
        <w:tab w:val="left" w:pos="1440"/>
        <w:tab w:val="left" w:pos="4440"/>
        <w:tab w:val="left" w:pos="6840"/>
      </w:tabs>
      <w:spacing w:line="240" w:lineRule="auto"/>
      <w:ind w:left="5220"/>
      <w:rPr>
        <w:b/>
      </w:rPr>
    </w:pPr>
    <w:r>
      <w:rPr>
        <w:b/>
      </w:rPr>
      <w:t>WITNESS:</w:t>
    </w:r>
    <w:r w:rsidR="00697319">
      <w:rPr>
        <w:b/>
      </w:rPr>
      <w:t>D’ASCENDIS</w:t>
    </w:r>
    <w:r>
      <w:rPr>
        <w:b/>
      </w:rPr>
      <w:t xml:space="preserve">  </w:t>
    </w:r>
  </w:p>
  <w:p w14:paraId="75C78BA9" w14:textId="53A39A24" w:rsidR="006C16F3" w:rsidRDefault="006C16F3" w:rsidP="00B23997">
    <w:pPr>
      <w:tabs>
        <w:tab w:val="left" w:pos="-1440"/>
        <w:tab w:val="left" w:pos="-720"/>
        <w:tab w:val="left" w:pos="720"/>
        <w:tab w:val="left" w:pos="1440"/>
        <w:tab w:val="left" w:pos="4440"/>
        <w:tab w:val="left" w:pos="6840"/>
      </w:tabs>
      <w:spacing w:line="240" w:lineRule="auto"/>
      <w:ind w:left="5220"/>
      <w:rPr>
        <w:b/>
      </w:rPr>
    </w:pPr>
    <w:r>
      <w:rPr>
        <w:b/>
      </w:rPr>
      <w:t xml:space="preserve">DOCUMENT NO. </w:t>
    </w:r>
    <w:r w:rsidR="004D69D0" w:rsidRPr="004D69D0">
      <w:rPr>
        <w:b/>
        <w:highlight w:val="yellow"/>
      </w:rPr>
      <w:t>XX</w:t>
    </w:r>
  </w:p>
  <w:p w14:paraId="465D30B1" w14:textId="6A94D13F" w:rsidR="00AB5C8A" w:rsidRPr="00B23997" w:rsidRDefault="00AB5C8A" w:rsidP="00B23997">
    <w:pPr>
      <w:tabs>
        <w:tab w:val="left" w:pos="-1440"/>
        <w:tab w:val="left" w:pos="-720"/>
        <w:tab w:val="left" w:pos="720"/>
        <w:tab w:val="left" w:pos="1440"/>
        <w:tab w:val="left" w:pos="4440"/>
        <w:tab w:val="left" w:pos="6840"/>
      </w:tabs>
      <w:spacing w:line="240" w:lineRule="auto"/>
      <w:ind w:left="5220"/>
      <w:rPr>
        <w:b/>
      </w:rPr>
    </w:pPr>
    <w:r>
      <w:rPr>
        <w:b/>
      </w:rPr>
      <w:t xml:space="preserve">PAGE </w:t>
    </w:r>
    <w:r>
      <w:rPr>
        <w:b/>
      </w:rPr>
      <w:fldChar w:fldCharType="begin"/>
    </w:r>
    <w:r>
      <w:rPr>
        <w:b/>
      </w:rPr>
      <w:instrText xml:space="preserve"> SECTIONPAGES   \* MERGEFORMAT </w:instrText>
    </w:r>
    <w:r>
      <w:rPr>
        <w:b/>
      </w:rPr>
      <w:fldChar w:fldCharType="separate"/>
    </w:r>
    <w:r w:rsidR="0005328C">
      <w:rPr>
        <w:b/>
        <w:noProof/>
      </w:rPr>
      <w:t>1</w:t>
    </w:r>
    <w:r>
      <w:rPr>
        <w:b/>
      </w:rPr>
      <w:fldChar w:fldCharType="end"/>
    </w:r>
    <w:r>
      <w:rPr>
        <w:b/>
      </w:rPr>
      <w:t xml:space="preserve"> OF </w:t>
    </w:r>
    <w:r w:rsidR="00F757B8">
      <w:rPr>
        <w: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6F73" w14:textId="77777777" w:rsidR="00B23997" w:rsidRDefault="00B23997" w:rsidP="00B23997">
    <w:pPr>
      <w:pStyle w:val="Header"/>
    </w:pPr>
  </w:p>
  <w:p w14:paraId="301847F3" w14:textId="3277B79B" w:rsidR="00B23997" w:rsidRPr="00FB0FA4" w:rsidRDefault="00B23997" w:rsidP="00B23997">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C492" w14:textId="77777777" w:rsidR="001B43CB" w:rsidRDefault="001B43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B962" w14:textId="77777777" w:rsidR="00B23997" w:rsidRDefault="00B23997" w:rsidP="008C291D">
    <w:pPr>
      <w:tabs>
        <w:tab w:val="left" w:pos="-1440"/>
        <w:tab w:val="left" w:pos="-720"/>
        <w:tab w:val="left" w:pos="720"/>
        <w:tab w:val="left" w:pos="1440"/>
        <w:tab w:val="left" w:pos="4440"/>
        <w:tab w:val="left" w:pos="6840"/>
      </w:tabs>
      <w:spacing w:line="240" w:lineRule="auto"/>
      <w:contextualSpacing/>
      <w:jc w:val="right"/>
      <w:rPr>
        <w:b/>
      </w:rPr>
    </w:pPr>
  </w:p>
  <w:p w14:paraId="34EB8A84" w14:textId="77777777" w:rsidR="00B23997" w:rsidRDefault="00B23997" w:rsidP="008C291D">
    <w:pPr>
      <w:tabs>
        <w:tab w:val="left" w:pos="-1440"/>
        <w:tab w:val="left" w:pos="-720"/>
        <w:tab w:val="left" w:pos="720"/>
        <w:tab w:val="left" w:pos="1440"/>
        <w:tab w:val="left" w:pos="4440"/>
        <w:tab w:val="left" w:pos="6840"/>
      </w:tabs>
      <w:spacing w:line="240" w:lineRule="auto"/>
      <w:contextualSpacing/>
      <w:jc w:val="right"/>
      <w:rPr>
        <w:b/>
      </w:rPr>
    </w:pPr>
  </w:p>
  <w:p w14:paraId="239B3CE9" w14:textId="77777777" w:rsidR="009D36B0" w:rsidRDefault="009F7C9B" w:rsidP="009D36B0">
    <w:pPr>
      <w:tabs>
        <w:tab w:val="left" w:pos="-1440"/>
        <w:tab w:val="left" w:pos="-720"/>
        <w:tab w:val="left" w:pos="720"/>
        <w:tab w:val="left" w:pos="1440"/>
        <w:tab w:val="left" w:pos="4440"/>
        <w:tab w:val="left" w:pos="6030"/>
      </w:tabs>
      <w:spacing w:line="240" w:lineRule="auto"/>
      <w:contextualSpacing/>
      <w:jc w:val="right"/>
      <w:rPr>
        <w:b/>
      </w:rPr>
    </w:pPr>
    <w:r>
      <w:rPr>
        <w:b/>
      </w:rPr>
      <w:t>DOCKET NO. 20</w:t>
    </w:r>
    <w:r w:rsidR="000D79FB">
      <w:rPr>
        <w:b/>
      </w:rPr>
      <w:t>2</w:t>
    </w:r>
    <w:r w:rsidR="00F63891">
      <w:rPr>
        <w:b/>
      </w:rPr>
      <w:t>3</w:t>
    </w:r>
    <w:r w:rsidR="00CD290C">
      <w:rPr>
        <w:b/>
      </w:rPr>
      <w:t>0023</w:t>
    </w:r>
    <w:r>
      <w:rPr>
        <w:b/>
      </w:rPr>
      <w:t>-GU</w:t>
    </w:r>
  </w:p>
  <w:p w14:paraId="3538DA5E" w14:textId="73FBF2B7" w:rsidR="00512C76" w:rsidRDefault="009F7C9B" w:rsidP="009D36B0">
    <w:pPr>
      <w:tabs>
        <w:tab w:val="left" w:pos="-1440"/>
        <w:tab w:val="left" w:pos="-720"/>
        <w:tab w:val="left" w:pos="720"/>
        <w:tab w:val="left" w:pos="1440"/>
        <w:tab w:val="left" w:pos="4440"/>
        <w:tab w:val="left" w:pos="6030"/>
      </w:tabs>
      <w:spacing w:line="240" w:lineRule="auto"/>
      <w:contextualSpacing/>
      <w:jc w:val="right"/>
      <w:rPr>
        <w:b/>
      </w:rPr>
    </w:pPr>
    <w:r>
      <w:rPr>
        <w:b/>
      </w:rPr>
      <w:t xml:space="preserve">WITNESS: </w:t>
    </w:r>
    <w:r w:rsidR="007E28A3">
      <w:rPr>
        <w:b/>
      </w:rPr>
      <w:t>D’ASCENDIS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E2C0" w14:textId="77777777" w:rsidR="009D36B0" w:rsidRDefault="009D36B0" w:rsidP="008C291D">
    <w:pPr>
      <w:tabs>
        <w:tab w:val="left" w:pos="-1440"/>
        <w:tab w:val="left" w:pos="-720"/>
        <w:tab w:val="left" w:pos="720"/>
        <w:tab w:val="left" w:pos="1440"/>
        <w:tab w:val="left" w:pos="4440"/>
        <w:tab w:val="left" w:pos="6840"/>
      </w:tabs>
      <w:spacing w:line="240" w:lineRule="auto"/>
      <w:contextualSpacing/>
      <w:jc w:val="right"/>
      <w:rPr>
        <w:b/>
      </w:rPr>
    </w:pPr>
  </w:p>
  <w:p w14:paraId="7DC09BD7" w14:textId="77777777" w:rsidR="009D36B0" w:rsidRDefault="009D36B0" w:rsidP="008C291D">
    <w:pPr>
      <w:tabs>
        <w:tab w:val="left" w:pos="-1440"/>
        <w:tab w:val="left" w:pos="-720"/>
        <w:tab w:val="left" w:pos="720"/>
        <w:tab w:val="left" w:pos="1440"/>
        <w:tab w:val="left" w:pos="4440"/>
        <w:tab w:val="left" w:pos="6840"/>
      </w:tabs>
      <w:spacing w:line="240" w:lineRule="auto"/>
      <w:contextualSpacing/>
      <w:jc w:val="right"/>
      <w:rPr>
        <w:b/>
      </w:rPr>
    </w:pPr>
  </w:p>
  <w:p w14:paraId="61277ADE" w14:textId="77777777" w:rsidR="009D36B0" w:rsidRDefault="009D36B0" w:rsidP="009D36B0">
    <w:pPr>
      <w:tabs>
        <w:tab w:val="left" w:pos="-1440"/>
        <w:tab w:val="left" w:pos="-720"/>
        <w:tab w:val="left" w:pos="720"/>
        <w:tab w:val="left" w:pos="1440"/>
        <w:tab w:val="left" w:pos="4440"/>
        <w:tab w:val="left" w:pos="6030"/>
      </w:tabs>
      <w:spacing w:line="240" w:lineRule="auto"/>
      <w:ind w:left="5940"/>
      <w:contextualSpacing/>
      <w:rPr>
        <w:b/>
      </w:rPr>
    </w:pPr>
    <w:r>
      <w:rPr>
        <w:b/>
      </w:rPr>
      <w:t>DOCKET NO. 20230023-GU</w:t>
    </w:r>
  </w:p>
  <w:p w14:paraId="42A188EA" w14:textId="77777777" w:rsidR="009D36B0" w:rsidRDefault="009D36B0" w:rsidP="009D36B0">
    <w:pPr>
      <w:tabs>
        <w:tab w:val="left" w:pos="-1440"/>
        <w:tab w:val="left" w:pos="-720"/>
        <w:tab w:val="left" w:pos="720"/>
        <w:tab w:val="left" w:pos="1440"/>
        <w:tab w:val="left" w:pos="4440"/>
        <w:tab w:val="left" w:pos="6030"/>
      </w:tabs>
      <w:spacing w:line="240" w:lineRule="auto"/>
      <w:ind w:left="5940"/>
      <w:contextualSpacing/>
      <w:rPr>
        <w:b/>
      </w:rPr>
    </w:pPr>
    <w:r>
      <w:rPr>
        <w:b/>
      </w:rPr>
      <w:t>WITNESS: D’ASCENDIS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CF99" w14:textId="77777777" w:rsidR="00B23997" w:rsidRDefault="00B23997" w:rsidP="008C291D">
    <w:pPr>
      <w:tabs>
        <w:tab w:val="left" w:pos="-1440"/>
        <w:tab w:val="left" w:pos="-720"/>
      </w:tabs>
      <w:spacing w:line="240" w:lineRule="auto"/>
      <w:ind w:left="5220"/>
      <w:rPr>
        <w:b/>
      </w:rPr>
    </w:pPr>
  </w:p>
  <w:p w14:paraId="18E7E465" w14:textId="77777777" w:rsidR="00B23997" w:rsidRDefault="00B23997" w:rsidP="008C291D">
    <w:pPr>
      <w:tabs>
        <w:tab w:val="left" w:pos="-1440"/>
        <w:tab w:val="left" w:pos="-720"/>
      </w:tabs>
      <w:spacing w:line="240" w:lineRule="auto"/>
      <w:ind w:left="5220"/>
      <w:rPr>
        <w:b/>
      </w:rPr>
    </w:pPr>
  </w:p>
  <w:p w14:paraId="1331B8EE" w14:textId="33014521" w:rsidR="00250E5D" w:rsidRDefault="00250E5D" w:rsidP="009D36B0">
    <w:pPr>
      <w:tabs>
        <w:tab w:val="left" w:pos="-1440"/>
        <w:tab w:val="left" w:pos="-720"/>
      </w:tabs>
      <w:spacing w:line="240" w:lineRule="auto"/>
      <w:ind w:left="5850"/>
      <w:rPr>
        <w:b/>
      </w:rPr>
    </w:pPr>
    <w:r>
      <w:rPr>
        <w:b/>
      </w:rPr>
      <w:t>DOCKET NO. 20</w:t>
    </w:r>
    <w:r w:rsidR="000D79FB">
      <w:rPr>
        <w:b/>
      </w:rPr>
      <w:t>2</w:t>
    </w:r>
    <w:r w:rsidR="00F63891">
      <w:rPr>
        <w:b/>
      </w:rPr>
      <w:t>3</w:t>
    </w:r>
    <w:r w:rsidR="00CD290C">
      <w:rPr>
        <w:b/>
      </w:rPr>
      <w:t>0023</w:t>
    </w:r>
    <w:r>
      <w:rPr>
        <w:b/>
      </w:rPr>
      <w:t>-</w:t>
    </w:r>
    <w:r w:rsidR="001328D2">
      <w:rPr>
        <w:b/>
      </w:rPr>
      <w:t>GU</w:t>
    </w:r>
  </w:p>
  <w:p w14:paraId="3BB96419" w14:textId="397B595C" w:rsidR="00B42D61" w:rsidRDefault="00B42D61" w:rsidP="009D36B0">
    <w:pPr>
      <w:tabs>
        <w:tab w:val="left" w:pos="-1440"/>
        <w:tab w:val="left" w:pos="-720"/>
        <w:tab w:val="left" w:pos="720"/>
        <w:tab w:val="left" w:pos="1440"/>
        <w:tab w:val="left" w:pos="4440"/>
        <w:tab w:val="left" w:pos="6840"/>
      </w:tabs>
      <w:spacing w:line="240" w:lineRule="auto"/>
      <w:ind w:left="5850"/>
      <w:rPr>
        <w:b/>
      </w:rPr>
    </w:pPr>
    <w:r>
      <w:rPr>
        <w:b/>
      </w:rPr>
      <w:t xml:space="preserve">WITNESS: </w:t>
    </w:r>
    <w:r w:rsidR="00697319">
      <w:rPr>
        <w:b/>
      </w:rPr>
      <w:t>D’ASCENDIS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AB3B" w14:textId="77777777" w:rsidR="00C35183" w:rsidRDefault="00C35183" w:rsidP="00B23997">
    <w:pPr>
      <w:pStyle w:val="Header"/>
    </w:pPr>
  </w:p>
  <w:p w14:paraId="1D24A942" w14:textId="1B753EAF" w:rsidR="00C35183" w:rsidRDefault="00C35183" w:rsidP="00C35183">
    <w:pPr>
      <w:tabs>
        <w:tab w:val="left" w:pos="-1440"/>
        <w:tab w:val="left" w:pos="-720"/>
      </w:tabs>
      <w:spacing w:line="240" w:lineRule="auto"/>
      <w:ind w:left="5220"/>
      <w:rPr>
        <w:b/>
      </w:rPr>
    </w:pPr>
    <w:r>
      <w:rPr>
        <w:b/>
      </w:rPr>
      <w:t>DOCKET NO. 2023</w:t>
    </w:r>
    <w:r w:rsidR="00CD290C">
      <w:rPr>
        <w:b/>
      </w:rPr>
      <w:t>0023</w:t>
    </w:r>
    <w:r>
      <w:rPr>
        <w:b/>
      </w:rPr>
      <w:t>-GU</w:t>
    </w:r>
  </w:p>
  <w:p w14:paraId="227E03A6" w14:textId="77777777" w:rsidR="00C35183" w:rsidRDefault="00C35183" w:rsidP="00C35183">
    <w:pPr>
      <w:tabs>
        <w:tab w:val="left" w:pos="-1440"/>
        <w:tab w:val="left" w:pos="-720"/>
        <w:tab w:val="left" w:pos="720"/>
        <w:tab w:val="left" w:pos="1440"/>
        <w:tab w:val="left" w:pos="4440"/>
        <w:tab w:val="left" w:pos="6840"/>
      </w:tabs>
      <w:spacing w:line="240" w:lineRule="auto"/>
      <w:ind w:left="5220"/>
      <w:rPr>
        <w:b/>
      </w:rPr>
    </w:pPr>
    <w:r>
      <w:rPr>
        <w:b/>
      </w:rPr>
      <w:t>EXHIBIT NO. DWD-1</w:t>
    </w:r>
  </w:p>
  <w:p w14:paraId="575EB365" w14:textId="7EB713ED" w:rsidR="00C35183" w:rsidRDefault="00C35183" w:rsidP="00C35183">
    <w:pPr>
      <w:tabs>
        <w:tab w:val="left" w:pos="-1440"/>
        <w:tab w:val="left" w:pos="-720"/>
        <w:tab w:val="left" w:pos="720"/>
        <w:tab w:val="left" w:pos="1440"/>
        <w:tab w:val="left" w:pos="4440"/>
        <w:tab w:val="left" w:pos="6840"/>
      </w:tabs>
      <w:spacing w:line="240" w:lineRule="auto"/>
      <w:ind w:left="5220"/>
      <w:rPr>
        <w:b/>
      </w:rPr>
    </w:pPr>
    <w:r>
      <w:rPr>
        <w:b/>
      </w:rPr>
      <w:t xml:space="preserve">WITNESS:D’ASCENDIS </w:t>
    </w:r>
  </w:p>
  <w:p w14:paraId="67151D74" w14:textId="274AFE67" w:rsidR="00C35183" w:rsidRDefault="00C35183" w:rsidP="00C35183">
    <w:pPr>
      <w:tabs>
        <w:tab w:val="left" w:pos="-1440"/>
        <w:tab w:val="left" w:pos="-720"/>
        <w:tab w:val="left" w:pos="720"/>
        <w:tab w:val="left" w:pos="1440"/>
        <w:tab w:val="left" w:pos="4440"/>
        <w:tab w:val="left" w:pos="6840"/>
      </w:tabs>
      <w:spacing w:line="240" w:lineRule="auto"/>
      <w:ind w:left="5220"/>
      <w:rPr>
        <w:b/>
      </w:rPr>
    </w:pPr>
    <w:r>
      <w:rPr>
        <w:b/>
      </w:rPr>
      <w:t xml:space="preserve">DOCUMENT NO. </w:t>
    </w:r>
    <w:r w:rsidRPr="00F77589">
      <w:rPr>
        <w:b/>
      </w:rPr>
      <w:t>11</w:t>
    </w:r>
  </w:p>
  <w:p w14:paraId="058ED8F8" w14:textId="28BF7497" w:rsidR="00C35183" w:rsidRPr="00C35183" w:rsidRDefault="00C35183" w:rsidP="00C35183">
    <w:pPr>
      <w:tabs>
        <w:tab w:val="left" w:pos="-1440"/>
        <w:tab w:val="left" w:pos="-720"/>
        <w:tab w:val="left" w:pos="720"/>
        <w:tab w:val="left" w:pos="1440"/>
        <w:tab w:val="left" w:pos="4440"/>
        <w:tab w:val="left" w:pos="6840"/>
      </w:tabs>
      <w:spacing w:line="240" w:lineRule="auto"/>
      <w:ind w:left="5220"/>
      <w:rPr>
        <w:b/>
      </w:rPr>
    </w:pPr>
    <w:r>
      <w:rPr>
        <w:b/>
      </w:rPr>
      <w:t xml:space="preserve">PAGE </w:t>
    </w:r>
    <w:r w:rsidR="000E165D">
      <w:rPr>
        <w:b/>
      </w:rPr>
      <w:t>1</w:t>
    </w:r>
    <w:r>
      <w:rPr>
        <w:b/>
      </w:rPr>
      <w:t xml:space="preserve"> OF </w:t>
    </w:r>
    <w:r w:rsidR="000E165D">
      <w:rPr>
        <w:b/>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E49E" w14:textId="77777777" w:rsidR="002D7CF6" w:rsidRDefault="002D7CF6" w:rsidP="002D7CF6">
    <w:pPr>
      <w:tabs>
        <w:tab w:val="left" w:pos="-1440"/>
        <w:tab w:val="left" w:pos="-720"/>
      </w:tabs>
      <w:spacing w:line="240" w:lineRule="auto"/>
      <w:ind w:left="5220"/>
      <w:rPr>
        <w:b/>
      </w:rPr>
    </w:pPr>
  </w:p>
  <w:p w14:paraId="237762F5" w14:textId="77777777" w:rsidR="002D7CF6" w:rsidRDefault="002D7CF6" w:rsidP="002D7CF6">
    <w:pPr>
      <w:tabs>
        <w:tab w:val="left" w:pos="-1440"/>
        <w:tab w:val="left" w:pos="-720"/>
      </w:tabs>
      <w:spacing w:line="240" w:lineRule="auto"/>
      <w:ind w:left="5220"/>
      <w:rPr>
        <w:b/>
      </w:rPr>
    </w:pPr>
  </w:p>
  <w:p w14:paraId="361C1783" w14:textId="77777777" w:rsidR="002D7CF6" w:rsidRDefault="002D7CF6" w:rsidP="002D7CF6">
    <w:pPr>
      <w:tabs>
        <w:tab w:val="left" w:pos="-1440"/>
        <w:tab w:val="left" w:pos="-720"/>
      </w:tabs>
      <w:spacing w:line="240" w:lineRule="auto"/>
      <w:ind w:left="5220"/>
      <w:rPr>
        <w:b/>
      </w:rPr>
    </w:pPr>
    <w:r>
      <w:rPr>
        <w:b/>
      </w:rPr>
      <w:t>DOCKET NO. 2023****-GU</w:t>
    </w:r>
  </w:p>
  <w:p w14:paraId="6EBED381" w14:textId="77777777" w:rsidR="002D7CF6" w:rsidRDefault="002D7CF6" w:rsidP="002D7CF6">
    <w:pPr>
      <w:tabs>
        <w:tab w:val="left" w:pos="-1440"/>
        <w:tab w:val="left" w:pos="-720"/>
        <w:tab w:val="left" w:pos="720"/>
        <w:tab w:val="left" w:pos="1440"/>
        <w:tab w:val="left" w:pos="4440"/>
        <w:tab w:val="left" w:pos="6840"/>
      </w:tabs>
      <w:spacing w:line="240" w:lineRule="auto"/>
      <w:ind w:left="5220"/>
      <w:rPr>
        <w:b/>
      </w:rPr>
    </w:pPr>
    <w:r>
      <w:rPr>
        <w:b/>
      </w:rPr>
      <w:t>EXHIBIT NO. DWD-1</w:t>
    </w:r>
  </w:p>
  <w:p w14:paraId="29C4F0AE" w14:textId="77777777" w:rsidR="002D7CF6" w:rsidRDefault="002D7CF6" w:rsidP="002D7CF6">
    <w:pPr>
      <w:tabs>
        <w:tab w:val="left" w:pos="-1440"/>
        <w:tab w:val="left" w:pos="-720"/>
        <w:tab w:val="left" w:pos="720"/>
        <w:tab w:val="left" w:pos="1440"/>
        <w:tab w:val="left" w:pos="4440"/>
        <w:tab w:val="left" w:pos="6840"/>
      </w:tabs>
      <w:spacing w:line="240" w:lineRule="auto"/>
      <w:ind w:left="5220"/>
      <w:rPr>
        <w:b/>
      </w:rPr>
    </w:pPr>
    <w:r>
      <w:rPr>
        <w:b/>
      </w:rPr>
      <w:t xml:space="preserve">WITNESS:D’ASCENDIS  </w:t>
    </w:r>
  </w:p>
  <w:p w14:paraId="4937FC60" w14:textId="4A59BE0C" w:rsidR="002D7CF6" w:rsidRDefault="002D7CF6" w:rsidP="002D7CF6">
    <w:pPr>
      <w:tabs>
        <w:tab w:val="left" w:pos="-1440"/>
        <w:tab w:val="left" w:pos="-720"/>
        <w:tab w:val="left" w:pos="720"/>
        <w:tab w:val="left" w:pos="1440"/>
        <w:tab w:val="left" w:pos="4440"/>
        <w:tab w:val="left" w:pos="6840"/>
      </w:tabs>
      <w:spacing w:line="240" w:lineRule="auto"/>
      <w:ind w:left="5220"/>
      <w:rPr>
        <w:b/>
      </w:rPr>
    </w:pPr>
    <w:r>
      <w:rPr>
        <w:b/>
      </w:rPr>
      <w:t xml:space="preserve">DOCUMENT NO. </w:t>
    </w:r>
    <w:r w:rsidR="00C35183">
      <w:rPr>
        <w:b/>
        <w:highlight w:val="yellow"/>
      </w:rPr>
      <w:t>11</w:t>
    </w:r>
  </w:p>
  <w:p w14:paraId="6FDCA168" w14:textId="06AAD7D1" w:rsidR="00C35183" w:rsidRPr="002D7CF6" w:rsidRDefault="00C35183" w:rsidP="00C35183">
    <w:pPr>
      <w:tabs>
        <w:tab w:val="left" w:pos="-1440"/>
        <w:tab w:val="left" w:pos="-720"/>
        <w:tab w:val="left" w:pos="720"/>
        <w:tab w:val="left" w:pos="1440"/>
        <w:tab w:val="left" w:pos="4440"/>
        <w:tab w:val="left" w:pos="6840"/>
      </w:tabs>
      <w:spacing w:line="240" w:lineRule="auto"/>
      <w:ind w:left="5220"/>
      <w:rPr>
        <w:b/>
      </w:rPr>
    </w:pPr>
    <w:r>
      <w:rPr>
        <w:b/>
      </w:rPr>
      <w:t xml:space="preserve">PAGE </w:t>
    </w:r>
    <w:r w:rsidRPr="004D69D0">
      <w:rPr>
        <w:b/>
        <w:highlight w:val="yellow"/>
      </w:rPr>
      <w:t>XX</w:t>
    </w:r>
    <w:r>
      <w:rPr>
        <w:b/>
      </w:rPr>
      <w:t xml:space="preserve"> OF </w:t>
    </w:r>
    <w:r w:rsidRPr="004D69D0">
      <w:rPr>
        <w:b/>
        <w:highlight w:val="yellow"/>
      </w:rPr>
      <w:t>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F8F8" w14:textId="77777777" w:rsidR="00F757B8" w:rsidRDefault="00F757B8" w:rsidP="00F757B8">
    <w:pPr>
      <w:tabs>
        <w:tab w:val="left" w:pos="-1440"/>
        <w:tab w:val="left" w:pos="-720"/>
      </w:tabs>
      <w:spacing w:line="240" w:lineRule="auto"/>
      <w:ind w:left="5220"/>
      <w:rPr>
        <w:b/>
      </w:rPr>
    </w:pPr>
  </w:p>
  <w:p w14:paraId="21AF14AB" w14:textId="77777777" w:rsidR="00F757B8" w:rsidRDefault="00F757B8" w:rsidP="00F757B8">
    <w:pPr>
      <w:tabs>
        <w:tab w:val="left" w:pos="-1440"/>
        <w:tab w:val="left" w:pos="-720"/>
      </w:tabs>
      <w:spacing w:line="240" w:lineRule="auto"/>
      <w:ind w:left="5220"/>
      <w:rPr>
        <w:b/>
      </w:rPr>
    </w:pPr>
  </w:p>
  <w:p w14:paraId="54B89E0A" w14:textId="77A2605C" w:rsidR="00F757B8" w:rsidRDefault="00F757B8" w:rsidP="00F757B8">
    <w:pPr>
      <w:tabs>
        <w:tab w:val="left" w:pos="-1440"/>
        <w:tab w:val="left" w:pos="-720"/>
      </w:tabs>
      <w:spacing w:line="240" w:lineRule="auto"/>
      <w:ind w:left="5220"/>
      <w:rPr>
        <w:b/>
      </w:rPr>
    </w:pPr>
    <w:r>
      <w:rPr>
        <w:b/>
      </w:rPr>
      <w:t>DOCKET NO. 2023</w:t>
    </w:r>
    <w:r w:rsidR="00CD290C">
      <w:rPr>
        <w:b/>
      </w:rPr>
      <w:t>0023</w:t>
    </w:r>
    <w:r>
      <w:rPr>
        <w:b/>
      </w:rPr>
      <w:t>-GU</w:t>
    </w:r>
  </w:p>
  <w:p w14:paraId="4993CF22" w14:textId="77777777" w:rsidR="00F757B8" w:rsidRDefault="00F757B8" w:rsidP="00F757B8">
    <w:pPr>
      <w:tabs>
        <w:tab w:val="left" w:pos="-1440"/>
        <w:tab w:val="left" w:pos="-720"/>
        <w:tab w:val="left" w:pos="720"/>
        <w:tab w:val="left" w:pos="1440"/>
        <w:tab w:val="left" w:pos="4440"/>
        <w:tab w:val="left" w:pos="6840"/>
      </w:tabs>
      <w:spacing w:line="240" w:lineRule="auto"/>
      <w:ind w:left="5220"/>
      <w:rPr>
        <w:b/>
      </w:rPr>
    </w:pPr>
    <w:r>
      <w:rPr>
        <w:b/>
      </w:rPr>
      <w:t>EXHIBIT NO. DWD-1</w:t>
    </w:r>
  </w:p>
  <w:p w14:paraId="467E1B9A" w14:textId="7A336A7D" w:rsidR="00F757B8" w:rsidRDefault="00F757B8" w:rsidP="00F757B8">
    <w:pPr>
      <w:tabs>
        <w:tab w:val="left" w:pos="-1440"/>
        <w:tab w:val="left" w:pos="-720"/>
        <w:tab w:val="left" w:pos="720"/>
        <w:tab w:val="left" w:pos="1440"/>
        <w:tab w:val="left" w:pos="4440"/>
        <w:tab w:val="left" w:pos="6840"/>
      </w:tabs>
      <w:spacing w:line="240" w:lineRule="auto"/>
      <w:ind w:left="5220"/>
      <w:rPr>
        <w:b/>
      </w:rPr>
    </w:pPr>
    <w:r>
      <w:rPr>
        <w:b/>
      </w:rPr>
      <w:t>WITNESS:D’ASCENDIS</w:t>
    </w:r>
  </w:p>
  <w:p w14:paraId="6EF5AB06" w14:textId="41733D7D" w:rsidR="00F757B8" w:rsidRDefault="00F757B8" w:rsidP="00F757B8">
    <w:pPr>
      <w:tabs>
        <w:tab w:val="left" w:pos="-1440"/>
        <w:tab w:val="left" w:pos="-720"/>
        <w:tab w:val="left" w:pos="720"/>
        <w:tab w:val="left" w:pos="1440"/>
        <w:tab w:val="left" w:pos="4440"/>
        <w:tab w:val="left" w:pos="6840"/>
      </w:tabs>
      <w:spacing w:line="240" w:lineRule="auto"/>
      <w:ind w:left="5220"/>
      <w:rPr>
        <w:b/>
      </w:rPr>
    </w:pPr>
    <w:r>
      <w:rPr>
        <w:b/>
      </w:rPr>
      <w:t xml:space="preserve">DOCUMENT NO. </w:t>
    </w:r>
    <w:r w:rsidR="004E2FEA" w:rsidRPr="00F77589">
      <w:rPr>
        <w:b/>
      </w:rPr>
      <w:t>12</w:t>
    </w:r>
  </w:p>
  <w:p w14:paraId="61AEFB57" w14:textId="0104D8B0" w:rsidR="00F757B8" w:rsidRPr="00B23997" w:rsidRDefault="00F757B8" w:rsidP="00F757B8">
    <w:pPr>
      <w:tabs>
        <w:tab w:val="left" w:pos="-1440"/>
        <w:tab w:val="left" w:pos="-720"/>
        <w:tab w:val="left" w:pos="720"/>
        <w:tab w:val="left" w:pos="1440"/>
        <w:tab w:val="left" w:pos="4440"/>
        <w:tab w:val="left" w:pos="6840"/>
      </w:tabs>
      <w:spacing w:line="240" w:lineRule="auto"/>
      <w:ind w:left="5220"/>
      <w:rPr>
        <w:b/>
      </w:rPr>
    </w:pPr>
    <w:r>
      <w:rPr>
        <w:b/>
      </w:rPr>
      <w:t xml:space="preserve">PAGE </w:t>
    </w:r>
    <w:r w:rsidR="009402E6" w:rsidRPr="009402E6">
      <w:rPr>
        <w:b/>
      </w:rPr>
      <w:fldChar w:fldCharType="begin"/>
    </w:r>
    <w:r w:rsidR="009402E6" w:rsidRPr="009402E6">
      <w:rPr>
        <w:b/>
      </w:rPr>
      <w:instrText xml:space="preserve"> PAGE   \* MERGEFORMAT </w:instrText>
    </w:r>
    <w:r w:rsidR="009402E6" w:rsidRPr="009402E6">
      <w:rPr>
        <w:b/>
      </w:rPr>
      <w:fldChar w:fldCharType="separate"/>
    </w:r>
    <w:r w:rsidR="009402E6" w:rsidRPr="009402E6">
      <w:rPr>
        <w:b/>
        <w:noProof/>
      </w:rPr>
      <w:t>1</w:t>
    </w:r>
    <w:r w:rsidR="009402E6" w:rsidRPr="009402E6">
      <w:rPr>
        <w:b/>
        <w:noProof/>
      </w:rPr>
      <w:fldChar w:fldCharType="end"/>
    </w:r>
    <w:r w:rsidR="009402E6">
      <w:rPr>
        <w:b/>
        <w:noProof/>
      </w:rPr>
      <w:t xml:space="preserve"> </w:t>
    </w:r>
    <w:r w:rsidR="00CA5842">
      <w:rPr>
        <w:b/>
      </w:rPr>
      <w:t xml:space="preserve">OF </w:t>
    </w:r>
    <w:r w:rsidR="0008181A">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9E84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28CB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BC41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C8C0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BA88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AE6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56A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C290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A61D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1C2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741E9"/>
    <w:multiLevelType w:val="hybridMultilevel"/>
    <w:tmpl w:val="025A771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F5D0EC4"/>
    <w:multiLevelType w:val="hybridMultilevel"/>
    <w:tmpl w:val="4BF8F04C"/>
    <w:lvl w:ilvl="0" w:tplc="19A40F3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5CC7F1C"/>
    <w:multiLevelType w:val="hybridMultilevel"/>
    <w:tmpl w:val="5A6C3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2A058F"/>
    <w:multiLevelType w:val="multilevel"/>
    <w:tmpl w:val="0470A04C"/>
    <w:lvl w:ilvl="0">
      <w:start w:val="1"/>
      <w:numFmt w:val="upperRoman"/>
      <w:pStyle w:val="Heading1"/>
      <w:lvlText w:val="%1."/>
      <w:lvlJc w:val="left"/>
      <w:pPr>
        <w:ind w:left="720" w:hanging="720"/>
      </w:pPr>
      <w:rPr>
        <w:rFonts w:hint="default"/>
      </w:rPr>
    </w:lvl>
    <w:lvl w:ilvl="1">
      <w:start w:val="1"/>
      <w:numFmt w:val="upp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82926499">
    <w:abstractNumId w:val="13"/>
  </w:num>
  <w:num w:numId="2" w16cid:durableId="697269563">
    <w:abstractNumId w:val="12"/>
  </w:num>
  <w:num w:numId="3" w16cid:durableId="650409495">
    <w:abstractNumId w:val="15"/>
  </w:num>
  <w:num w:numId="4" w16cid:durableId="889534350">
    <w:abstractNumId w:val="11"/>
  </w:num>
  <w:num w:numId="5" w16cid:durableId="2124644122">
    <w:abstractNumId w:val="11"/>
    <w:lvlOverride w:ilvl="0">
      <w:startOverride w:val="1"/>
    </w:lvlOverride>
  </w:num>
  <w:num w:numId="6" w16cid:durableId="1774521080">
    <w:abstractNumId w:val="11"/>
    <w:lvlOverride w:ilvl="0">
      <w:startOverride w:val="1"/>
    </w:lvlOverride>
  </w:num>
  <w:num w:numId="7" w16cid:durableId="1786608296">
    <w:abstractNumId w:val="14"/>
  </w:num>
  <w:num w:numId="8" w16cid:durableId="1079403968">
    <w:abstractNumId w:val="9"/>
  </w:num>
  <w:num w:numId="9" w16cid:durableId="1129473605">
    <w:abstractNumId w:val="7"/>
  </w:num>
  <w:num w:numId="10" w16cid:durableId="572280922">
    <w:abstractNumId w:val="6"/>
  </w:num>
  <w:num w:numId="11" w16cid:durableId="1648900036">
    <w:abstractNumId w:val="5"/>
  </w:num>
  <w:num w:numId="12" w16cid:durableId="561915732">
    <w:abstractNumId w:val="4"/>
  </w:num>
  <w:num w:numId="13" w16cid:durableId="1902790200">
    <w:abstractNumId w:val="8"/>
  </w:num>
  <w:num w:numId="14" w16cid:durableId="277760960">
    <w:abstractNumId w:val="3"/>
  </w:num>
  <w:num w:numId="15" w16cid:durableId="1208644292">
    <w:abstractNumId w:val="2"/>
  </w:num>
  <w:num w:numId="16" w16cid:durableId="159927389">
    <w:abstractNumId w:val="1"/>
  </w:num>
  <w:num w:numId="17" w16cid:durableId="1101486259">
    <w:abstractNumId w:val="0"/>
  </w:num>
  <w:num w:numId="18" w16cid:durableId="440997692">
    <w:abstractNumId w:val="11"/>
  </w:num>
  <w:num w:numId="19" w16cid:durableId="1327050195">
    <w:abstractNumId w:val="10"/>
  </w:num>
  <w:num w:numId="20" w16cid:durableId="148333555">
    <w:abstractNumId w:val="11"/>
  </w:num>
  <w:num w:numId="21" w16cid:durableId="509369486">
    <w:abstractNumId w:val="11"/>
  </w:num>
  <w:num w:numId="22" w16cid:durableId="339158426">
    <w:abstractNumId w:val="1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A3"/>
    <w:rsid w:val="00000CED"/>
    <w:rsid w:val="000014FF"/>
    <w:rsid w:val="000021FE"/>
    <w:rsid w:val="00002ECE"/>
    <w:rsid w:val="00003613"/>
    <w:rsid w:val="00006E7A"/>
    <w:rsid w:val="00006FED"/>
    <w:rsid w:val="00010440"/>
    <w:rsid w:val="000104F5"/>
    <w:rsid w:val="00010746"/>
    <w:rsid w:val="00010A84"/>
    <w:rsid w:val="00012C7E"/>
    <w:rsid w:val="0001344D"/>
    <w:rsid w:val="00014B8B"/>
    <w:rsid w:val="00014EE7"/>
    <w:rsid w:val="000154A3"/>
    <w:rsid w:val="00017D53"/>
    <w:rsid w:val="00020470"/>
    <w:rsid w:val="0002084F"/>
    <w:rsid w:val="00021426"/>
    <w:rsid w:val="000228FA"/>
    <w:rsid w:val="00022D06"/>
    <w:rsid w:val="0002476D"/>
    <w:rsid w:val="00025B1A"/>
    <w:rsid w:val="00027952"/>
    <w:rsid w:val="00032D96"/>
    <w:rsid w:val="000360D3"/>
    <w:rsid w:val="00036204"/>
    <w:rsid w:val="00040797"/>
    <w:rsid w:val="00040FB4"/>
    <w:rsid w:val="000412F5"/>
    <w:rsid w:val="00041CD3"/>
    <w:rsid w:val="00041D82"/>
    <w:rsid w:val="000429DA"/>
    <w:rsid w:val="0004349D"/>
    <w:rsid w:val="00044AC1"/>
    <w:rsid w:val="00044BA0"/>
    <w:rsid w:val="0004550F"/>
    <w:rsid w:val="000456D5"/>
    <w:rsid w:val="0004729E"/>
    <w:rsid w:val="00047B52"/>
    <w:rsid w:val="00047F7B"/>
    <w:rsid w:val="0005328C"/>
    <w:rsid w:val="00053923"/>
    <w:rsid w:val="00053D0C"/>
    <w:rsid w:val="00056B11"/>
    <w:rsid w:val="00057476"/>
    <w:rsid w:val="00060F96"/>
    <w:rsid w:val="000627D9"/>
    <w:rsid w:val="00064408"/>
    <w:rsid w:val="000668BC"/>
    <w:rsid w:val="00067B85"/>
    <w:rsid w:val="000701E4"/>
    <w:rsid w:val="0007340E"/>
    <w:rsid w:val="000748EF"/>
    <w:rsid w:val="00074950"/>
    <w:rsid w:val="00075051"/>
    <w:rsid w:val="00075194"/>
    <w:rsid w:val="000812BD"/>
    <w:rsid w:val="0008181A"/>
    <w:rsid w:val="00081F02"/>
    <w:rsid w:val="00082678"/>
    <w:rsid w:val="00082CA9"/>
    <w:rsid w:val="00082F1F"/>
    <w:rsid w:val="00083BE2"/>
    <w:rsid w:val="00085171"/>
    <w:rsid w:val="000875BF"/>
    <w:rsid w:val="0009004B"/>
    <w:rsid w:val="0009007A"/>
    <w:rsid w:val="0009170B"/>
    <w:rsid w:val="000935A3"/>
    <w:rsid w:val="000935FB"/>
    <w:rsid w:val="00094731"/>
    <w:rsid w:val="000954C3"/>
    <w:rsid w:val="000A05AA"/>
    <w:rsid w:val="000A1F23"/>
    <w:rsid w:val="000A2C6F"/>
    <w:rsid w:val="000A5DEE"/>
    <w:rsid w:val="000B0F71"/>
    <w:rsid w:val="000B0F7D"/>
    <w:rsid w:val="000B0FAD"/>
    <w:rsid w:val="000B4EA9"/>
    <w:rsid w:val="000B588B"/>
    <w:rsid w:val="000B631B"/>
    <w:rsid w:val="000B7555"/>
    <w:rsid w:val="000B7E47"/>
    <w:rsid w:val="000C1668"/>
    <w:rsid w:val="000C466B"/>
    <w:rsid w:val="000C4A80"/>
    <w:rsid w:val="000C4C0D"/>
    <w:rsid w:val="000C4CD2"/>
    <w:rsid w:val="000C50F9"/>
    <w:rsid w:val="000C5621"/>
    <w:rsid w:val="000C6D97"/>
    <w:rsid w:val="000C7358"/>
    <w:rsid w:val="000C7AD0"/>
    <w:rsid w:val="000D0225"/>
    <w:rsid w:val="000D189D"/>
    <w:rsid w:val="000D28F2"/>
    <w:rsid w:val="000D3D5D"/>
    <w:rsid w:val="000D4CCF"/>
    <w:rsid w:val="000D645D"/>
    <w:rsid w:val="000D6EE5"/>
    <w:rsid w:val="000D6F31"/>
    <w:rsid w:val="000D76C2"/>
    <w:rsid w:val="000D79FB"/>
    <w:rsid w:val="000E01C1"/>
    <w:rsid w:val="000E04BB"/>
    <w:rsid w:val="000E0AD8"/>
    <w:rsid w:val="000E165D"/>
    <w:rsid w:val="000E2D12"/>
    <w:rsid w:val="000E3A2F"/>
    <w:rsid w:val="000E4F76"/>
    <w:rsid w:val="000E5E49"/>
    <w:rsid w:val="000E6EAA"/>
    <w:rsid w:val="000F1CF9"/>
    <w:rsid w:val="000F1D3A"/>
    <w:rsid w:val="000F1E77"/>
    <w:rsid w:val="000F25F2"/>
    <w:rsid w:val="000F2F94"/>
    <w:rsid w:val="000F3CF5"/>
    <w:rsid w:val="000F48FF"/>
    <w:rsid w:val="000F4C57"/>
    <w:rsid w:val="000F50FC"/>
    <w:rsid w:val="000F52F7"/>
    <w:rsid w:val="000F7870"/>
    <w:rsid w:val="0010164B"/>
    <w:rsid w:val="00102831"/>
    <w:rsid w:val="001047E7"/>
    <w:rsid w:val="0010561E"/>
    <w:rsid w:val="00106A08"/>
    <w:rsid w:val="001076C8"/>
    <w:rsid w:val="00107A85"/>
    <w:rsid w:val="00110072"/>
    <w:rsid w:val="001102E0"/>
    <w:rsid w:val="0011581F"/>
    <w:rsid w:val="0011782B"/>
    <w:rsid w:val="00117DAD"/>
    <w:rsid w:val="00121D83"/>
    <w:rsid w:val="0012211A"/>
    <w:rsid w:val="00122C80"/>
    <w:rsid w:val="00126AEF"/>
    <w:rsid w:val="00126BB1"/>
    <w:rsid w:val="00126C32"/>
    <w:rsid w:val="00126F28"/>
    <w:rsid w:val="001272DB"/>
    <w:rsid w:val="00127406"/>
    <w:rsid w:val="0012773A"/>
    <w:rsid w:val="00127EA9"/>
    <w:rsid w:val="00130858"/>
    <w:rsid w:val="00131043"/>
    <w:rsid w:val="001328D2"/>
    <w:rsid w:val="001333E1"/>
    <w:rsid w:val="00133E46"/>
    <w:rsid w:val="00134DC8"/>
    <w:rsid w:val="001355F0"/>
    <w:rsid w:val="00135619"/>
    <w:rsid w:val="00135690"/>
    <w:rsid w:val="0013570E"/>
    <w:rsid w:val="001363C3"/>
    <w:rsid w:val="00136C29"/>
    <w:rsid w:val="00140053"/>
    <w:rsid w:val="001404B3"/>
    <w:rsid w:val="0014470E"/>
    <w:rsid w:val="0014755B"/>
    <w:rsid w:val="001515CE"/>
    <w:rsid w:val="00151D44"/>
    <w:rsid w:val="0015250A"/>
    <w:rsid w:val="00153025"/>
    <w:rsid w:val="00153ACA"/>
    <w:rsid w:val="00155328"/>
    <w:rsid w:val="0015760D"/>
    <w:rsid w:val="0016520B"/>
    <w:rsid w:val="001660F3"/>
    <w:rsid w:val="00167474"/>
    <w:rsid w:val="001674B2"/>
    <w:rsid w:val="00170349"/>
    <w:rsid w:val="00171E0E"/>
    <w:rsid w:val="0017237B"/>
    <w:rsid w:val="001749F3"/>
    <w:rsid w:val="001750D0"/>
    <w:rsid w:val="00177498"/>
    <w:rsid w:val="001775A8"/>
    <w:rsid w:val="0018086A"/>
    <w:rsid w:val="00181F62"/>
    <w:rsid w:val="00182893"/>
    <w:rsid w:val="001838BA"/>
    <w:rsid w:val="0018440F"/>
    <w:rsid w:val="001848A0"/>
    <w:rsid w:val="0018597F"/>
    <w:rsid w:val="001862B7"/>
    <w:rsid w:val="001865F6"/>
    <w:rsid w:val="00187F74"/>
    <w:rsid w:val="00192774"/>
    <w:rsid w:val="00193C3C"/>
    <w:rsid w:val="00197B8C"/>
    <w:rsid w:val="001A3401"/>
    <w:rsid w:val="001A362F"/>
    <w:rsid w:val="001A36FD"/>
    <w:rsid w:val="001A479E"/>
    <w:rsid w:val="001A4EFE"/>
    <w:rsid w:val="001A5F91"/>
    <w:rsid w:val="001A6103"/>
    <w:rsid w:val="001A637F"/>
    <w:rsid w:val="001B239A"/>
    <w:rsid w:val="001B2C3D"/>
    <w:rsid w:val="001B3620"/>
    <w:rsid w:val="001B43CB"/>
    <w:rsid w:val="001C0892"/>
    <w:rsid w:val="001C0C49"/>
    <w:rsid w:val="001C1442"/>
    <w:rsid w:val="001C2CC0"/>
    <w:rsid w:val="001C5491"/>
    <w:rsid w:val="001C6DF2"/>
    <w:rsid w:val="001D2816"/>
    <w:rsid w:val="001D7AD3"/>
    <w:rsid w:val="001E1C0B"/>
    <w:rsid w:val="001E345C"/>
    <w:rsid w:val="001E4C6F"/>
    <w:rsid w:val="001E4DDA"/>
    <w:rsid w:val="001E526B"/>
    <w:rsid w:val="001E669F"/>
    <w:rsid w:val="001F03D2"/>
    <w:rsid w:val="001F65EA"/>
    <w:rsid w:val="001F786B"/>
    <w:rsid w:val="001F7AB5"/>
    <w:rsid w:val="001F7AED"/>
    <w:rsid w:val="002028EE"/>
    <w:rsid w:val="00203A66"/>
    <w:rsid w:val="00204166"/>
    <w:rsid w:val="0020438D"/>
    <w:rsid w:val="00204D56"/>
    <w:rsid w:val="00204F3C"/>
    <w:rsid w:val="00206CFF"/>
    <w:rsid w:val="00206DA3"/>
    <w:rsid w:val="00206EF6"/>
    <w:rsid w:val="00207ED9"/>
    <w:rsid w:val="00211081"/>
    <w:rsid w:val="0021646E"/>
    <w:rsid w:val="00216A2E"/>
    <w:rsid w:val="002175BA"/>
    <w:rsid w:val="00217702"/>
    <w:rsid w:val="0022230A"/>
    <w:rsid w:val="002225C5"/>
    <w:rsid w:val="002232A8"/>
    <w:rsid w:val="00223E4B"/>
    <w:rsid w:val="002246D4"/>
    <w:rsid w:val="002305F5"/>
    <w:rsid w:val="00230926"/>
    <w:rsid w:val="00230A46"/>
    <w:rsid w:val="00231AD1"/>
    <w:rsid w:val="002320AE"/>
    <w:rsid w:val="002323B0"/>
    <w:rsid w:val="00233438"/>
    <w:rsid w:val="00234D2A"/>
    <w:rsid w:val="002356A1"/>
    <w:rsid w:val="00235C67"/>
    <w:rsid w:val="00236433"/>
    <w:rsid w:val="00236630"/>
    <w:rsid w:val="00241160"/>
    <w:rsid w:val="002411D3"/>
    <w:rsid w:val="0024205B"/>
    <w:rsid w:val="0024223B"/>
    <w:rsid w:val="00243F85"/>
    <w:rsid w:val="002453BC"/>
    <w:rsid w:val="002454BA"/>
    <w:rsid w:val="00246194"/>
    <w:rsid w:val="00246BFC"/>
    <w:rsid w:val="00247D9B"/>
    <w:rsid w:val="00250B95"/>
    <w:rsid w:val="00250E5D"/>
    <w:rsid w:val="00251074"/>
    <w:rsid w:val="002515BD"/>
    <w:rsid w:val="002515F1"/>
    <w:rsid w:val="00252177"/>
    <w:rsid w:val="0025452C"/>
    <w:rsid w:val="00255630"/>
    <w:rsid w:val="00257190"/>
    <w:rsid w:val="002571BB"/>
    <w:rsid w:val="002606EE"/>
    <w:rsid w:val="002607DD"/>
    <w:rsid w:val="00260BC3"/>
    <w:rsid w:val="00260EEB"/>
    <w:rsid w:val="0026254C"/>
    <w:rsid w:val="002625C6"/>
    <w:rsid w:val="00262F53"/>
    <w:rsid w:val="00263CE3"/>
    <w:rsid w:val="0026538F"/>
    <w:rsid w:val="0026651C"/>
    <w:rsid w:val="00267DA2"/>
    <w:rsid w:val="0027032D"/>
    <w:rsid w:val="00274B07"/>
    <w:rsid w:val="00276204"/>
    <w:rsid w:val="002767E0"/>
    <w:rsid w:val="00282AAE"/>
    <w:rsid w:val="00283989"/>
    <w:rsid w:val="0028417F"/>
    <w:rsid w:val="00286D43"/>
    <w:rsid w:val="00291A99"/>
    <w:rsid w:val="00297196"/>
    <w:rsid w:val="002974C0"/>
    <w:rsid w:val="002A1791"/>
    <w:rsid w:val="002A3B00"/>
    <w:rsid w:val="002A4A24"/>
    <w:rsid w:val="002A7A91"/>
    <w:rsid w:val="002B01DE"/>
    <w:rsid w:val="002B01F9"/>
    <w:rsid w:val="002B0555"/>
    <w:rsid w:val="002B05DB"/>
    <w:rsid w:val="002B1815"/>
    <w:rsid w:val="002B2AF8"/>
    <w:rsid w:val="002B3462"/>
    <w:rsid w:val="002B357F"/>
    <w:rsid w:val="002B49C5"/>
    <w:rsid w:val="002B4E14"/>
    <w:rsid w:val="002B52B9"/>
    <w:rsid w:val="002B5D42"/>
    <w:rsid w:val="002B63EC"/>
    <w:rsid w:val="002B74D7"/>
    <w:rsid w:val="002C3C82"/>
    <w:rsid w:val="002C4E3E"/>
    <w:rsid w:val="002C51A3"/>
    <w:rsid w:val="002C6441"/>
    <w:rsid w:val="002C6C60"/>
    <w:rsid w:val="002C7990"/>
    <w:rsid w:val="002D167D"/>
    <w:rsid w:val="002D3A60"/>
    <w:rsid w:val="002D50DD"/>
    <w:rsid w:val="002D534D"/>
    <w:rsid w:val="002D70EF"/>
    <w:rsid w:val="002D7727"/>
    <w:rsid w:val="002D7CF6"/>
    <w:rsid w:val="002E0ACD"/>
    <w:rsid w:val="002E1371"/>
    <w:rsid w:val="002E143B"/>
    <w:rsid w:val="002E14E5"/>
    <w:rsid w:val="002E3FB8"/>
    <w:rsid w:val="002E4C20"/>
    <w:rsid w:val="002E60D6"/>
    <w:rsid w:val="002E648B"/>
    <w:rsid w:val="002F1AA7"/>
    <w:rsid w:val="002F34CF"/>
    <w:rsid w:val="002F4768"/>
    <w:rsid w:val="002F78F7"/>
    <w:rsid w:val="003016A8"/>
    <w:rsid w:val="00301888"/>
    <w:rsid w:val="00302D02"/>
    <w:rsid w:val="00304D25"/>
    <w:rsid w:val="00304F79"/>
    <w:rsid w:val="00305F32"/>
    <w:rsid w:val="0030696B"/>
    <w:rsid w:val="0031036A"/>
    <w:rsid w:val="00310D91"/>
    <w:rsid w:val="00311DF3"/>
    <w:rsid w:val="00312BC3"/>
    <w:rsid w:val="00312F13"/>
    <w:rsid w:val="00315A39"/>
    <w:rsid w:val="00315D19"/>
    <w:rsid w:val="00316501"/>
    <w:rsid w:val="003207EF"/>
    <w:rsid w:val="0032380D"/>
    <w:rsid w:val="00324911"/>
    <w:rsid w:val="003249EC"/>
    <w:rsid w:val="00324B78"/>
    <w:rsid w:val="00325223"/>
    <w:rsid w:val="003256DF"/>
    <w:rsid w:val="00330B3A"/>
    <w:rsid w:val="003324A1"/>
    <w:rsid w:val="0033341D"/>
    <w:rsid w:val="00333D2A"/>
    <w:rsid w:val="003340EE"/>
    <w:rsid w:val="00340476"/>
    <w:rsid w:val="00341A14"/>
    <w:rsid w:val="00341A26"/>
    <w:rsid w:val="0034202C"/>
    <w:rsid w:val="00342344"/>
    <w:rsid w:val="00343714"/>
    <w:rsid w:val="00345DE6"/>
    <w:rsid w:val="00347552"/>
    <w:rsid w:val="0034764D"/>
    <w:rsid w:val="003477ED"/>
    <w:rsid w:val="00351C4D"/>
    <w:rsid w:val="003525C4"/>
    <w:rsid w:val="00355326"/>
    <w:rsid w:val="00355F59"/>
    <w:rsid w:val="003563FA"/>
    <w:rsid w:val="00360BF4"/>
    <w:rsid w:val="00360E61"/>
    <w:rsid w:val="003612E6"/>
    <w:rsid w:val="0036147C"/>
    <w:rsid w:val="00363747"/>
    <w:rsid w:val="00364F05"/>
    <w:rsid w:val="003659CB"/>
    <w:rsid w:val="0037160E"/>
    <w:rsid w:val="00372496"/>
    <w:rsid w:val="00375AD2"/>
    <w:rsid w:val="003760D7"/>
    <w:rsid w:val="003775D0"/>
    <w:rsid w:val="00377944"/>
    <w:rsid w:val="003803FD"/>
    <w:rsid w:val="00380A51"/>
    <w:rsid w:val="00380D8E"/>
    <w:rsid w:val="00382A7E"/>
    <w:rsid w:val="00385896"/>
    <w:rsid w:val="003860C2"/>
    <w:rsid w:val="0039048D"/>
    <w:rsid w:val="00390903"/>
    <w:rsid w:val="003924F8"/>
    <w:rsid w:val="00394150"/>
    <w:rsid w:val="00394F15"/>
    <w:rsid w:val="003967B6"/>
    <w:rsid w:val="00396887"/>
    <w:rsid w:val="00397479"/>
    <w:rsid w:val="0039796B"/>
    <w:rsid w:val="003A227C"/>
    <w:rsid w:val="003A2282"/>
    <w:rsid w:val="003A26DF"/>
    <w:rsid w:val="003A31F0"/>
    <w:rsid w:val="003A451A"/>
    <w:rsid w:val="003A4A1B"/>
    <w:rsid w:val="003A54D5"/>
    <w:rsid w:val="003B0ACB"/>
    <w:rsid w:val="003B1C69"/>
    <w:rsid w:val="003B1E8D"/>
    <w:rsid w:val="003B2008"/>
    <w:rsid w:val="003B2AB8"/>
    <w:rsid w:val="003B317C"/>
    <w:rsid w:val="003B382C"/>
    <w:rsid w:val="003B631F"/>
    <w:rsid w:val="003B7ED6"/>
    <w:rsid w:val="003C0588"/>
    <w:rsid w:val="003C0E56"/>
    <w:rsid w:val="003C1FC9"/>
    <w:rsid w:val="003C276F"/>
    <w:rsid w:val="003C29F4"/>
    <w:rsid w:val="003C342C"/>
    <w:rsid w:val="003C3BA7"/>
    <w:rsid w:val="003C3C4F"/>
    <w:rsid w:val="003C4D74"/>
    <w:rsid w:val="003C5A68"/>
    <w:rsid w:val="003C6669"/>
    <w:rsid w:val="003D1A16"/>
    <w:rsid w:val="003D3888"/>
    <w:rsid w:val="003D657D"/>
    <w:rsid w:val="003D72E9"/>
    <w:rsid w:val="003D731C"/>
    <w:rsid w:val="003E0A00"/>
    <w:rsid w:val="003E1157"/>
    <w:rsid w:val="003E4691"/>
    <w:rsid w:val="003E4EB4"/>
    <w:rsid w:val="003E5078"/>
    <w:rsid w:val="003E6126"/>
    <w:rsid w:val="003E7478"/>
    <w:rsid w:val="003E79F1"/>
    <w:rsid w:val="003F149F"/>
    <w:rsid w:val="003F5A67"/>
    <w:rsid w:val="003F6A21"/>
    <w:rsid w:val="003F6AEC"/>
    <w:rsid w:val="003F76BB"/>
    <w:rsid w:val="003F7929"/>
    <w:rsid w:val="004001B0"/>
    <w:rsid w:val="00400B18"/>
    <w:rsid w:val="00402E58"/>
    <w:rsid w:val="00404200"/>
    <w:rsid w:val="0040483D"/>
    <w:rsid w:val="00404B16"/>
    <w:rsid w:val="00405576"/>
    <w:rsid w:val="00406099"/>
    <w:rsid w:val="004071BD"/>
    <w:rsid w:val="00410B1C"/>
    <w:rsid w:val="00411600"/>
    <w:rsid w:val="0041395C"/>
    <w:rsid w:val="00414358"/>
    <w:rsid w:val="00414A34"/>
    <w:rsid w:val="0041517A"/>
    <w:rsid w:val="00415CB9"/>
    <w:rsid w:val="00416524"/>
    <w:rsid w:val="004172CC"/>
    <w:rsid w:val="00420232"/>
    <w:rsid w:val="00420B08"/>
    <w:rsid w:val="00423C4E"/>
    <w:rsid w:val="00424A64"/>
    <w:rsid w:val="004300FF"/>
    <w:rsid w:val="0043057C"/>
    <w:rsid w:val="00431C6C"/>
    <w:rsid w:val="00434DDB"/>
    <w:rsid w:val="00436692"/>
    <w:rsid w:val="004409DD"/>
    <w:rsid w:val="00440F78"/>
    <w:rsid w:val="00441891"/>
    <w:rsid w:val="00441EC2"/>
    <w:rsid w:val="00442D70"/>
    <w:rsid w:val="00443543"/>
    <w:rsid w:val="00443899"/>
    <w:rsid w:val="00444B22"/>
    <w:rsid w:val="00444C80"/>
    <w:rsid w:val="004453FE"/>
    <w:rsid w:val="00445F17"/>
    <w:rsid w:val="004540AE"/>
    <w:rsid w:val="0045484C"/>
    <w:rsid w:val="004553C6"/>
    <w:rsid w:val="0045637F"/>
    <w:rsid w:val="00460D74"/>
    <w:rsid w:val="004614C2"/>
    <w:rsid w:val="00461913"/>
    <w:rsid w:val="0046193A"/>
    <w:rsid w:val="00461AE3"/>
    <w:rsid w:val="00462640"/>
    <w:rsid w:val="00462993"/>
    <w:rsid w:val="00464A00"/>
    <w:rsid w:val="00465336"/>
    <w:rsid w:val="004658A7"/>
    <w:rsid w:val="00470175"/>
    <w:rsid w:val="004727DF"/>
    <w:rsid w:val="004744C6"/>
    <w:rsid w:val="0047642C"/>
    <w:rsid w:val="00476573"/>
    <w:rsid w:val="00480090"/>
    <w:rsid w:val="004801DC"/>
    <w:rsid w:val="004837CD"/>
    <w:rsid w:val="00483F7C"/>
    <w:rsid w:val="0048427B"/>
    <w:rsid w:val="0048519C"/>
    <w:rsid w:val="00485233"/>
    <w:rsid w:val="00485C23"/>
    <w:rsid w:val="00485F8E"/>
    <w:rsid w:val="00487356"/>
    <w:rsid w:val="00490303"/>
    <w:rsid w:val="00492902"/>
    <w:rsid w:val="0049356D"/>
    <w:rsid w:val="00493E36"/>
    <w:rsid w:val="00497DB1"/>
    <w:rsid w:val="004A08A5"/>
    <w:rsid w:val="004A0940"/>
    <w:rsid w:val="004A2123"/>
    <w:rsid w:val="004A4013"/>
    <w:rsid w:val="004A6B3B"/>
    <w:rsid w:val="004A6CBB"/>
    <w:rsid w:val="004A7836"/>
    <w:rsid w:val="004A7BE9"/>
    <w:rsid w:val="004B0AD1"/>
    <w:rsid w:val="004B104D"/>
    <w:rsid w:val="004B1445"/>
    <w:rsid w:val="004B165E"/>
    <w:rsid w:val="004B2BA5"/>
    <w:rsid w:val="004B45BB"/>
    <w:rsid w:val="004B4C81"/>
    <w:rsid w:val="004B4D75"/>
    <w:rsid w:val="004B5C1F"/>
    <w:rsid w:val="004B7861"/>
    <w:rsid w:val="004C1CE3"/>
    <w:rsid w:val="004C4577"/>
    <w:rsid w:val="004C5832"/>
    <w:rsid w:val="004C645E"/>
    <w:rsid w:val="004C6FC0"/>
    <w:rsid w:val="004C7363"/>
    <w:rsid w:val="004C76C6"/>
    <w:rsid w:val="004D002A"/>
    <w:rsid w:val="004D3020"/>
    <w:rsid w:val="004D3C56"/>
    <w:rsid w:val="004D4067"/>
    <w:rsid w:val="004D4C20"/>
    <w:rsid w:val="004D69D0"/>
    <w:rsid w:val="004D6DE4"/>
    <w:rsid w:val="004E151A"/>
    <w:rsid w:val="004E159C"/>
    <w:rsid w:val="004E252C"/>
    <w:rsid w:val="004E2E5A"/>
    <w:rsid w:val="004E2FEA"/>
    <w:rsid w:val="004E48FD"/>
    <w:rsid w:val="004E686D"/>
    <w:rsid w:val="004E694D"/>
    <w:rsid w:val="004E6E5F"/>
    <w:rsid w:val="004E7C0E"/>
    <w:rsid w:val="004E7F6D"/>
    <w:rsid w:val="004F0094"/>
    <w:rsid w:val="004F02C8"/>
    <w:rsid w:val="004F03F6"/>
    <w:rsid w:val="004F125D"/>
    <w:rsid w:val="004F5044"/>
    <w:rsid w:val="004F65C2"/>
    <w:rsid w:val="004F7F52"/>
    <w:rsid w:val="005001B0"/>
    <w:rsid w:val="00500E76"/>
    <w:rsid w:val="005022BC"/>
    <w:rsid w:val="00504070"/>
    <w:rsid w:val="005046B0"/>
    <w:rsid w:val="00504758"/>
    <w:rsid w:val="00506D17"/>
    <w:rsid w:val="005127F8"/>
    <w:rsid w:val="00512C76"/>
    <w:rsid w:val="0051398B"/>
    <w:rsid w:val="00513ACF"/>
    <w:rsid w:val="00513E16"/>
    <w:rsid w:val="00515EB4"/>
    <w:rsid w:val="0051632E"/>
    <w:rsid w:val="005165CB"/>
    <w:rsid w:val="00517B85"/>
    <w:rsid w:val="00524981"/>
    <w:rsid w:val="00524A33"/>
    <w:rsid w:val="00525F01"/>
    <w:rsid w:val="00534C0B"/>
    <w:rsid w:val="00535639"/>
    <w:rsid w:val="00535641"/>
    <w:rsid w:val="00535D12"/>
    <w:rsid w:val="005363F0"/>
    <w:rsid w:val="00536C05"/>
    <w:rsid w:val="00537091"/>
    <w:rsid w:val="00540444"/>
    <w:rsid w:val="005424DE"/>
    <w:rsid w:val="00542AA5"/>
    <w:rsid w:val="00543166"/>
    <w:rsid w:val="005432BA"/>
    <w:rsid w:val="00545216"/>
    <w:rsid w:val="0054575C"/>
    <w:rsid w:val="00545996"/>
    <w:rsid w:val="00551C0A"/>
    <w:rsid w:val="005528A1"/>
    <w:rsid w:val="00553592"/>
    <w:rsid w:val="00555256"/>
    <w:rsid w:val="005601C8"/>
    <w:rsid w:val="005622B7"/>
    <w:rsid w:val="00562375"/>
    <w:rsid w:val="00562628"/>
    <w:rsid w:val="00563DAE"/>
    <w:rsid w:val="00564450"/>
    <w:rsid w:val="00564F23"/>
    <w:rsid w:val="00565936"/>
    <w:rsid w:val="00567A94"/>
    <w:rsid w:val="00570853"/>
    <w:rsid w:val="00570E8D"/>
    <w:rsid w:val="005726EA"/>
    <w:rsid w:val="00573A2F"/>
    <w:rsid w:val="00577468"/>
    <w:rsid w:val="00581421"/>
    <w:rsid w:val="005818E7"/>
    <w:rsid w:val="00582029"/>
    <w:rsid w:val="00582D6B"/>
    <w:rsid w:val="005846C6"/>
    <w:rsid w:val="005903E4"/>
    <w:rsid w:val="00590CC1"/>
    <w:rsid w:val="0059173D"/>
    <w:rsid w:val="00591E7D"/>
    <w:rsid w:val="0059385C"/>
    <w:rsid w:val="00595F35"/>
    <w:rsid w:val="005964B8"/>
    <w:rsid w:val="005971EA"/>
    <w:rsid w:val="005975D5"/>
    <w:rsid w:val="005A33D8"/>
    <w:rsid w:val="005A43B0"/>
    <w:rsid w:val="005A4D6E"/>
    <w:rsid w:val="005A4F60"/>
    <w:rsid w:val="005A6183"/>
    <w:rsid w:val="005A664A"/>
    <w:rsid w:val="005A6957"/>
    <w:rsid w:val="005A7A25"/>
    <w:rsid w:val="005B1DDC"/>
    <w:rsid w:val="005B2931"/>
    <w:rsid w:val="005B2D54"/>
    <w:rsid w:val="005B3900"/>
    <w:rsid w:val="005B47B7"/>
    <w:rsid w:val="005B6BB9"/>
    <w:rsid w:val="005B7723"/>
    <w:rsid w:val="005B7BBB"/>
    <w:rsid w:val="005C132D"/>
    <w:rsid w:val="005C170C"/>
    <w:rsid w:val="005C232F"/>
    <w:rsid w:val="005C28DB"/>
    <w:rsid w:val="005C2B7E"/>
    <w:rsid w:val="005C4A3E"/>
    <w:rsid w:val="005C4EBB"/>
    <w:rsid w:val="005C52FA"/>
    <w:rsid w:val="005C63E6"/>
    <w:rsid w:val="005C7061"/>
    <w:rsid w:val="005C7284"/>
    <w:rsid w:val="005C7EC2"/>
    <w:rsid w:val="005D2258"/>
    <w:rsid w:val="005D4666"/>
    <w:rsid w:val="005D502D"/>
    <w:rsid w:val="005D572C"/>
    <w:rsid w:val="005D6AF8"/>
    <w:rsid w:val="005E1048"/>
    <w:rsid w:val="005E1778"/>
    <w:rsid w:val="005E22FB"/>
    <w:rsid w:val="005E23F6"/>
    <w:rsid w:val="005E2611"/>
    <w:rsid w:val="005E278A"/>
    <w:rsid w:val="005E29E7"/>
    <w:rsid w:val="005E5745"/>
    <w:rsid w:val="005E7ABA"/>
    <w:rsid w:val="005F01F4"/>
    <w:rsid w:val="005F0EB9"/>
    <w:rsid w:val="005F1838"/>
    <w:rsid w:val="005F242F"/>
    <w:rsid w:val="005F24B9"/>
    <w:rsid w:val="005F3576"/>
    <w:rsid w:val="005F4B42"/>
    <w:rsid w:val="005F4E35"/>
    <w:rsid w:val="00602246"/>
    <w:rsid w:val="0060440C"/>
    <w:rsid w:val="00604833"/>
    <w:rsid w:val="006050A4"/>
    <w:rsid w:val="006103AF"/>
    <w:rsid w:val="00611E9C"/>
    <w:rsid w:val="006127FE"/>
    <w:rsid w:val="00613FD0"/>
    <w:rsid w:val="006167BF"/>
    <w:rsid w:val="0061767C"/>
    <w:rsid w:val="0061797B"/>
    <w:rsid w:val="006203D4"/>
    <w:rsid w:val="00621F81"/>
    <w:rsid w:val="00624522"/>
    <w:rsid w:val="00625C70"/>
    <w:rsid w:val="00627497"/>
    <w:rsid w:val="006277CF"/>
    <w:rsid w:val="006278E7"/>
    <w:rsid w:val="00632318"/>
    <w:rsid w:val="006329BB"/>
    <w:rsid w:val="00632B52"/>
    <w:rsid w:val="006334C0"/>
    <w:rsid w:val="00635329"/>
    <w:rsid w:val="00635F03"/>
    <w:rsid w:val="00636706"/>
    <w:rsid w:val="00636AE8"/>
    <w:rsid w:val="00640552"/>
    <w:rsid w:val="0064072D"/>
    <w:rsid w:val="006414E1"/>
    <w:rsid w:val="00642238"/>
    <w:rsid w:val="00643A1F"/>
    <w:rsid w:val="00644650"/>
    <w:rsid w:val="006449FF"/>
    <w:rsid w:val="00644A3D"/>
    <w:rsid w:val="00645595"/>
    <w:rsid w:val="0064757B"/>
    <w:rsid w:val="0065094F"/>
    <w:rsid w:val="00651098"/>
    <w:rsid w:val="00652445"/>
    <w:rsid w:val="00652F48"/>
    <w:rsid w:val="0065507F"/>
    <w:rsid w:val="006558B5"/>
    <w:rsid w:val="00656D9B"/>
    <w:rsid w:val="00657155"/>
    <w:rsid w:val="006613AD"/>
    <w:rsid w:val="00665137"/>
    <w:rsid w:val="006666BC"/>
    <w:rsid w:val="0066706D"/>
    <w:rsid w:val="00673444"/>
    <w:rsid w:val="0067354C"/>
    <w:rsid w:val="006745E1"/>
    <w:rsid w:val="006747C6"/>
    <w:rsid w:val="00676BDE"/>
    <w:rsid w:val="006778D0"/>
    <w:rsid w:val="006812D9"/>
    <w:rsid w:val="00682DA4"/>
    <w:rsid w:val="00683BE7"/>
    <w:rsid w:val="00683C89"/>
    <w:rsid w:val="0068422F"/>
    <w:rsid w:val="00687EF8"/>
    <w:rsid w:val="00691F45"/>
    <w:rsid w:val="006930D7"/>
    <w:rsid w:val="00693815"/>
    <w:rsid w:val="00694373"/>
    <w:rsid w:val="00697319"/>
    <w:rsid w:val="006A3030"/>
    <w:rsid w:val="006A3E9D"/>
    <w:rsid w:val="006A4B51"/>
    <w:rsid w:val="006A4E89"/>
    <w:rsid w:val="006A4F38"/>
    <w:rsid w:val="006A53B9"/>
    <w:rsid w:val="006A68F1"/>
    <w:rsid w:val="006A6C22"/>
    <w:rsid w:val="006A6C2B"/>
    <w:rsid w:val="006A70DA"/>
    <w:rsid w:val="006A78FF"/>
    <w:rsid w:val="006B2068"/>
    <w:rsid w:val="006B2473"/>
    <w:rsid w:val="006B26E4"/>
    <w:rsid w:val="006B368B"/>
    <w:rsid w:val="006B4638"/>
    <w:rsid w:val="006B52E7"/>
    <w:rsid w:val="006B6488"/>
    <w:rsid w:val="006B66F6"/>
    <w:rsid w:val="006B78DA"/>
    <w:rsid w:val="006C0050"/>
    <w:rsid w:val="006C0445"/>
    <w:rsid w:val="006C11D7"/>
    <w:rsid w:val="006C16F3"/>
    <w:rsid w:val="006C1D8A"/>
    <w:rsid w:val="006C3053"/>
    <w:rsid w:val="006D00BA"/>
    <w:rsid w:val="006D3B31"/>
    <w:rsid w:val="006D4625"/>
    <w:rsid w:val="006D4AA2"/>
    <w:rsid w:val="006D5FD8"/>
    <w:rsid w:val="006D6FEA"/>
    <w:rsid w:val="006D7AB9"/>
    <w:rsid w:val="006E2364"/>
    <w:rsid w:val="006E26E7"/>
    <w:rsid w:val="006E2F64"/>
    <w:rsid w:val="006F0CFA"/>
    <w:rsid w:val="006F1D8A"/>
    <w:rsid w:val="006F2D70"/>
    <w:rsid w:val="006F30EB"/>
    <w:rsid w:val="006F348F"/>
    <w:rsid w:val="006F3B82"/>
    <w:rsid w:val="006F4042"/>
    <w:rsid w:val="006F4F2F"/>
    <w:rsid w:val="006F4F3C"/>
    <w:rsid w:val="006F5F16"/>
    <w:rsid w:val="00700D7A"/>
    <w:rsid w:val="007054FD"/>
    <w:rsid w:val="0070585A"/>
    <w:rsid w:val="00707D7E"/>
    <w:rsid w:val="007122EA"/>
    <w:rsid w:val="007128F6"/>
    <w:rsid w:val="00713085"/>
    <w:rsid w:val="00714649"/>
    <w:rsid w:val="00717396"/>
    <w:rsid w:val="007206B3"/>
    <w:rsid w:val="0072133E"/>
    <w:rsid w:val="00721EC8"/>
    <w:rsid w:val="007228F0"/>
    <w:rsid w:val="00723FB9"/>
    <w:rsid w:val="0072599A"/>
    <w:rsid w:val="007270F8"/>
    <w:rsid w:val="00730D69"/>
    <w:rsid w:val="00730F64"/>
    <w:rsid w:val="007317E3"/>
    <w:rsid w:val="00731BAD"/>
    <w:rsid w:val="0073351E"/>
    <w:rsid w:val="00733BC8"/>
    <w:rsid w:val="00733D83"/>
    <w:rsid w:val="00734CED"/>
    <w:rsid w:val="00735CE9"/>
    <w:rsid w:val="00736182"/>
    <w:rsid w:val="00736803"/>
    <w:rsid w:val="00741408"/>
    <w:rsid w:val="00741907"/>
    <w:rsid w:val="007419A8"/>
    <w:rsid w:val="00742272"/>
    <w:rsid w:val="00742413"/>
    <w:rsid w:val="007437F7"/>
    <w:rsid w:val="00743FB1"/>
    <w:rsid w:val="0074406C"/>
    <w:rsid w:val="007444EE"/>
    <w:rsid w:val="00744B33"/>
    <w:rsid w:val="007465FC"/>
    <w:rsid w:val="007467ED"/>
    <w:rsid w:val="00746B76"/>
    <w:rsid w:val="00746DA0"/>
    <w:rsid w:val="007475FC"/>
    <w:rsid w:val="00747EAA"/>
    <w:rsid w:val="007533C3"/>
    <w:rsid w:val="00753463"/>
    <w:rsid w:val="00755A02"/>
    <w:rsid w:val="00756AE7"/>
    <w:rsid w:val="00756B46"/>
    <w:rsid w:val="0075745D"/>
    <w:rsid w:val="00760CD9"/>
    <w:rsid w:val="007613D9"/>
    <w:rsid w:val="007623A3"/>
    <w:rsid w:val="007629B5"/>
    <w:rsid w:val="00763AAB"/>
    <w:rsid w:val="00766715"/>
    <w:rsid w:val="007715BA"/>
    <w:rsid w:val="00771779"/>
    <w:rsid w:val="00772BE0"/>
    <w:rsid w:val="00773F27"/>
    <w:rsid w:val="0077481C"/>
    <w:rsid w:val="00774A99"/>
    <w:rsid w:val="00775370"/>
    <w:rsid w:val="0077679C"/>
    <w:rsid w:val="00776BDB"/>
    <w:rsid w:val="00777B67"/>
    <w:rsid w:val="00781274"/>
    <w:rsid w:val="00781A6D"/>
    <w:rsid w:val="00782643"/>
    <w:rsid w:val="0078337B"/>
    <w:rsid w:val="00783C94"/>
    <w:rsid w:val="00785554"/>
    <w:rsid w:val="00790315"/>
    <w:rsid w:val="007926E6"/>
    <w:rsid w:val="00793319"/>
    <w:rsid w:val="007938E9"/>
    <w:rsid w:val="00794A6B"/>
    <w:rsid w:val="007966DC"/>
    <w:rsid w:val="007A20F2"/>
    <w:rsid w:val="007A2C19"/>
    <w:rsid w:val="007A3DB2"/>
    <w:rsid w:val="007A49D7"/>
    <w:rsid w:val="007A4B7A"/>
    <w:rsid w:val="007A59B4"/>
    <w:rsid w:val="007A6C06"/>
    <w:rsid w:val="007A70BD"/>
    <w:rsid w:val="007A7642"/>
    <w:rsid w:val="007A7D01"/>
    <w:rsid w:val="007B092C"/>
    <w:rsid w:val="007B0C3E"/>
    <w:rsid w:val="007B434C"/>
    <w:rsid w:val="007B487E"/>
    <w:rsid w:val="007C1038"/>
    <w:rsid w:val="007C24D8"/>
    <w:rsid w:val="007C2E35"/>
    <w:rsid w:val="007C3086"/>
    <w:rsid w:val="007C3258"/>
    <w:rsid w:val="007C3D0B"/>
    <w:rsid w:val="007C4D99"/>
    <w:rsid w:val="007C5BF4"/>
    <w:rsid w:val="007C601D"/>
    <w:rsid w:val="007D18A1"/>
    <w:rsid w:val="007D5A1B"/>
    <w:rsid w:val="007D6152"/>
    <w:rsid w:val="007D6934"/>
    <w:rsid w:val="007D7EBF"/>
    <w:rsid w:val="007E07AF"/>
    <w:rsid w:val="007E1454"/>
    <w:rsid w:val="007E1623"/>
    <w:rsid w:val="007E24FD"/>
    <w:rsid w:val="007E28A3"/>
    <w:rsid w:val="007E49CD"/>
    <w:rsid w:val="007E73D4"/>
    <w:rsid w:val="007E7488"/>
    <w:rsid w:val="007E7F10"/>
    <w:rsid w:val="007F3283"/>
    <w:rsid w:val="007F3A10"/>
    <w:rsid w:val="007F3D3A"/>
    <w:rsid w:val="007F51CF"/>
    <w:rsid w:val="007F55CE"/>
    <w:rsid w:val="008019F7"/>
    <w:rsid w:val="00802AC8"/>
    <w:rsid w:val="00803D4B"/>
    <w:rsid w:val="008053DC"/>
    <w:rsid w:val="00805765"/>
    <w:rsid w:val="008058B3"/>
    <w:rsid w:val="00810115"/>
    <w:rsid w:val="008101D7"/>
    <w:rsid w:val="00811BEF"/>
    <w:rsid w:val="00811CB1"/>
    <w:rsid w:val="00814931"/>
    <w:rsid w:val="00814AE8"/>
    <w:rsid w:val="00816A49"/>
    <w:rsid w:val="00816B86"/>
    <w:rsid w:val="00817D94"/>
    <w:rsid w:val="00821DF7"/>
    <w:rsid w:val="00822B02"/>
    <w:rsid w:val="0082475C"/>
    <w:rsid w:val="00826977"/>
    <w:rsid w:val="00827863"/>
    <w:rsid w:val="008279E7"/>
    <w:rsid w:val="008304F2"/>
    <w:rsid w:val="008307E8"/>
    <w:rsid w:val="008309AA"/>
    <w:rsid w:val="00830A4A"/>
    <w:rsid w:val="008314F6"/>
    <w:rsid w:val="00831B92"/>
    <w:rsid w:val="0083356F"/>
    <w:rsid w:val="00835E51"/>
    <w:rsid w:val="00835E86"/>
    <w:rsid w:val="00837B2B"/>
    <w:rsid w:val="00837B3B"/>
    <w:rsid w:val="008413D5"/>
    <w:rsid w:val="00842CD7"/>
    <w:rsid w:val="00846B0E"/>
    <w:rsid w:val="008547FE"/>
    <w:rsid w:val="00855031"/>
    <w:rsid w:val="00855042"/>
    <w:rsid w:val="00856065"/>
    <w:rsid w:val="00856091"/>
    <w:rsid w:val="008575D2"/>
    <w:rsid w:val="00860762"/>
    <w:rsid w:val="008611CD"/>
    <w:rsid w:val="00861299"/>
    <w:rsid w:val="008621AC"/>
    <w:rsid w:val="00862CB4"/>
    <w:rsid w:val="00862F47"/>
    <w:rsid w:val="00863D5C"/>
    <w:rsid w:val="0086412B"/>
    <w:rsid w:val="00864A36"/>
    <w:rsid w:val="00865799"/>
    <w:rsid w:val="00865B25"/>
    <w:rsid w:val="008677BD"/>
    <w:rsid w:val="00867A8B"/>
    <w:rsid w:val="0087037D"/>
    <w:rsid w:val="00871408"/>
    <w:rsid w:val="00871D9A"/>
    <w:rsid w:val="008743E4"/>
    <w:rsid w:val="00881941"/>
    <w:rsid w:val="00887205"/>
    <w:rsid w:val="00887E05"/>
    <w:rsid w:val="00890165"/>
    <w:rsid w:val="00892CE9"/>
    <w:rsid w:val="0089356D"/>
    <w:rsid w:val="008A1FCF"/>
    <w:rsid w:val="008A3A08"/>
    <w:rsid w:val="008A3F3F"/>
    <w:rsid w:val="008A49F5"/>
    <w:rsid w:val="008A5E95"/>
    <w:rsid w:val="008B0FEC"/>
    <w:rsid w:val="008B2B6B"/>
    <w:rsid w:val="008B2D73"/>
    <w:rsid w:val="008B5DC8"/>
    <w:rsid w:val="008B624E"/>
    <w:rsid w:val="008C152D"/>
    <w:rsid w:val="008C28B9"/>
    <w:rsid w:val="008C291D"/>
    <w:rsid w:val="008C29E4"/>
    <w:rsid w:val="008C2D29"/>
    <w:rsid w:val="008C4862"/>
    <w:rsid w:val="008C6BBD"/>
    <w:rsid w:val="008C70EB"/>
    <w:rsid w:val="008C7AE2"/>
    <w:rsid w:val="008C7CC5"/>
    <w:rsid w:val="008C7E04"/>
    <w:rsid w:val="008D065C"/>
    <w:rsid w:val="008D0A74"/>
    <w:rsid w:val="008D1CCD"/>
    <w:rsid w:val="008D2961"/>
    <w:rsid w:val="008D4B54"/>
    <w:rsid w:val="008D5476"/>
    <w:rsid w:val="008D5C1C"/>
    <w:rsid w:val="008D6BB5"/>
    <w:rsid w:val="008D6DAF"/>
    <w:rsid w:val="008E01DB"/>
    <w:rsid w:val="008E2574"/>
    <w:rsid w:val="008E4AD0"/>
    <w:rsid w:val="008E4BF4"/>
    <w:rsid w:val="008E5E19"/>
    <w:rsid w:val="008E62F1"/>
    <w:rsid w:val="008E6545"/>
    <w:rsid w:val="008E6BFA"/>
    <w:rsid w:val="008E7DBE"/>
    <w:rsid w:val="008F008A"/>
    <w:rsid w:val="008F0CEC"/>
    <w:rsid w:val="008F1F60"/>
    <w:rsid w:val="008F363B"/>
    <w:rsid w:val="008F36AB"/>
    <w:rsid w:val="008F41CF"/>
    <w:rsid w:val="008F6287"/>
    <w:rsid w:val="008F7338"/>
    <w:rsid w:val="00900D5E"/>
    <w:rsid w:val="00901739"/>
    <w:rsid w:val="00903253"/>
    <w:rsid w:val="0090346F"/>
    <w:rsid w:val="00903596"/>
    <w:rsid w:val="0090534A"/>
    <w:rsid w:val="0090571A"/>
    <w:rsid w:val="00907CA7"/>
    <w:rsid w:val="00911275"/>
    <w:rsid w:val="0091158B"/>
    <w:rsid w:val="00913494"/>
    <w:rsid w:val="00913C46"/>
    <w:rsid w:val="00913D19"/>
    <w:rsid w:val="00915A37"/>
    <w:rsid w:val="00915CAF"/>
    <w:rsid w:val="00915CB5"/>
    <w:rsid w:val="00920FAB"/>
    <w:rsid w:val="00922013"/>
    <w:rsid w:val="00922060"/>
    <w:rsid w:val="009223CE"/>
    <w:rsid w:val="00922990"/>
    <w:rsid w:val="00922F7D"/>
    <w:rsid w:val="00924EED"/>
    <w:rsid w:val="0092562F"/>
    <w:rsid w:val="0093014F"/>
    <w:rsid w:val="0093056F"/>
    <w:rsid w:val="00930B1F"/>
    <w:rsid w:val="00931165"/>
    <w:rsid w:val="009328AC"/>
    <w:rsid w:val="0093355F"/>
    <w:rsid w:val="00933CC0"/>
    <w:rsid w:val="00935838"/>
    <w:rsid w:val="00935D08"/>
    <w:rsid w:val="00935D9E"/>
    <w:rsid w:val="009360D5"/>
    <w:rsid w:val="009362D8"/>
    <w:rsid w:val="0093751E"/>
    <w:rsid w:val="009402E6"/>
    <w:rsid w:val="009407B3"/>
    <w:rsid w:val="009413DD"/>
    <w:rsid w:val="009421BD"/>
    <w:rsid w:val="00942417"/>
    <w:rsid w:val="00946341"/>
    <w:rsid w:val="00946B9E"/>
    <w:rsid w:val="00946FC4"/>
    <w:rsid w:val="0094787B"/>
    <w:rsid w:val="00947A3A"/>
    <w:rsid w:val="00947D67"/>
    <w:rsid w:val="00950CE9"/>
    <w:rsid w:val="009515BD"/>
    <w:rsid w:val="00952DCE"/>
    <w:rsid w:val="0095343C"/>
    <w:rsid w:val="00953CC5"/>
    <w:rsid w:val="00954269"/>
    <w:rsid w:val="0095461A"/>
    <w:rsid w:val="00955137"/>
    <w:rsid w:val="00955E43"/>
    <w:rsid w:val="0095626A"/>
    <w:rsid w:val="00960773"/>
    <w:rsid w:val="00963C15"/>
    <w:rsid w:val="009642BC"/>
    <w:rsid w:val="00966DDB"/>
    <w:rsid w:val="009707FE"/>
    <w:rsid w:val="00971100"/>
    <w:rsid w:val="00971EC9"/>
    <w:rsid w:val="00973069"/>
    <w:rsid w:val="00974067"/>
    <w:rsid w:val="009752F5"/>
    <w:rsid w:val="00975D71"/>
    <w:rsid w:val="009760B0"/>
    <w:rsid w:val="00977663"/>
    <w:rsid w:val="00977C79"/>
    <w:rsid w:val="00977E15"/>
    <w:rsid w:val="00983277"/>
    <w:rsid w:val="0098395A"/>
    <w:rsid w:val="0098475F"/>
    <w:rsid w:val="00985668"/>
    <w:rsid w:val="00985A02"/>
    <w:rsid w:val="0098667E"/>
    <w:rsid w:val="00986C0F"/>
    <w:rsid w:val="009875C6"/>
    <w:rsid w:val="00990640"/>
    <w:rsid w:val="00990FFD"/>
    <w:rsid w:val="00991738"/>
    <w:rsid w:val="00991A52"/>
    <w:rsid w:val="00992EAE"/>
    <w:rsid w:val="00993EDE"/>
    <w:rsid w:val="00994970"/>
    <w:rsid w:val="0099555E"/>
    <w:rsid w:val="00996C11"/>
    <w:rsid w:val="00997350"/>
    <w:rsid w:val="009A02D9"/>
    <w:rsid w:val="009A1134"/>
    <w:rsid w:val="009A1D73"/>
    <w:rsid w:val="009A4BDF"/>
    <w:rsid w:val="009A5A7C"/>
    <w:rsid w:val="009A5F2B"/>
    <w:rsid w:val="009A6AF8"/>
    <w:rsid w:val="009B1866"/>
    <w:rsid w:val="009B1B0E"/>
    <w:rsid w:val="009B1EFF"/>
    <w:rsid w:val="009B2965"/>
    <w:rsid w:val="009B3ADE"/>
    <w:rsid w:val="009B3CA8"/>
    <w:rsid w:val="009B4DA6"/>
    <w:rsid w:val="009B5B54"/>
    <w:rsid w:val="009B6902"/>
    <w:rsid w:val="009B77CC"/>
    <w:rsid w:val="009C0B78"/>
    <w:rsid w:val="009C389C"/>
    <w:rsid w:val="009C44E8"/>
    <w:rsid w:val="009C4A6C"/>
    <w:rsid w:val="009C5254"/>
    <w:rsid w:val="009C5287"/>
    <w:rsid w:val="009C5DF6"/>
    <w:rsid w:val="009C6238"/>
    <w:rsid w:val="009C6FDC"/>
    <w:rsid w:val="009D05FB"/>
    <w:rsid w:val="009D110E"/>
    <w:rsid w:val="009D13E5"/>
    <w:rsid w:val="009D2197"/>
    <w:rsid w:val="009D29FB"/>
    <w:rsid w:val="009D2D76"/>
    <w:rsid w:val="009D2EB6"/>
    <w:rsid w:val="009D36B0"/>
    <w:rsid w:val="009D4C92"/>
    <w:rsid w:val="009D62E7"/>
    <w:rsid w:val="009E1918"/>
    <w:rsid w:val="009E222F"/>
    <w:rsid w:val="009E42A4"/>
    <w:rsid w:val="009E4361"/>
    <w:rsid w:val="009E4BB2"/>
    <w:rsid w:val="009E56BB"/>
    <w:rsid w:val="009E59B0"/>
    <w:rsid w:val="009E60EF"/>
    <w:rsid w:val="009E7344"/>
    <w:rsid w:val="009F3518"/>
    <w:rsid w:val="009F43E6"/>
    <w:rsid w:val="009F5C97"/>
    <w:rsid w:val="009F67D2"/>
    <w:rsid w:val="009F6880"/>
    <w:rsid w:val="009F7478"/>
    <w:rsid w:val="009F7C9B"/>
    <w:rsid w:val="00A011A8"/>
    <w:rsid w:val="00A02B5C"/>
    <w:rsid w:val="00A02C41"/>
    <w:rsid w:val="00A02CE0"/>
    <w:rsid w:val="00A0354F"/>
    <w:rsid w:val="00A045C6"/>
    <w:rsid w:val="00A04A11"/>
    <w:rsid w:val="00A10212"/>
    <w:rsid w:val="00A117BD"/>
    <w:rsid w:val="00A12004"/>
    <w:rsid w:val="00A143FA"/>
    <w:rsid w:val="00A17796"/>
    <w:rsid w:val="00A20026"/>
    <w:rsid w:val="00A2061B"/>
    <w:rsid w:val="00A2185E"/>
    <w:rsid w:val="00A21A4A"/>
    <w:rsid w:val="00A23D11"/>
    <w:rsid w:val="00A240E7"/>
    <w:rsid w:val="00A2482C"/>
    <w:rsid w:val="00A256A2"/>
    <w:rsid w:val="00A261F5"/>
    <w:rsid w:val="00A26699"/>
    <w:rsid w:val="00A30051"/>
    <w:rsid w:val="00A353F2"/>
    <w:rsid w:val="00A35B53"/>
    <w:rsid w:val="00A36657"/>
    <w:rsid w:val="00A4025F"/>
    <w:rsid w:val="00A427F8"/>
    <w:rsid w:val="00A42BF0"/>
    <w:rsid w:val="00A445EC"/>
    <w:rsid w:val="00A45CE4"/>
    <w:rsid w:val="00A46112"/>
    <w:rsid w:val="00A46224"/>
    <w:rsid w:val="00A463D3"/>
    <w:rsid w:val="00A46BA2"/>
    <w:rsid w:val="00A51D04"/>
    <w:rsid w:val="00A5293F"/>
    <w:rsid w:val="00A53EE1"/>
    <w:rsid w:val="00A5607E"/>
    <w:rsid w:val="00A60A47"/>
    <w:rsid w:val="00A60B7E"/>
    <w:rsid w:val="00A61C11"/>
    <w:rsid w:val="00A63572"/>
    <w:rsid w:val="00A6450A"/>
    <w:rsid w:val="00A64ECC"/>
    <w:rsid w:val="00A65FDC"/>
    <w:rsid w:val="00A665F0"/>
    <w:rsid w:val="00A67E37"/>
    <w:rsid w:val="00A72D8D"/>
    <w:rsid w:val="00A74342"/>
    <w:rsid w:val="00A74912"/>
    <w:rsid w:val="00A75B6C"/>
    <w:rsid w:val="00A75FD4"/>
    <w:rsid w:val="00A77ABF"/>
    <w:rsid w:val="00A81245"/>
    <w:rsid w:val="00A82902"/>
    <w:rsid w:val="00A841F6"/>
    <w:rsid w:val="00A854BA"/>
    <w:rsid w:val="00A863FD"/>
    <w:rsid w:val="00A86D81"/>
    <w:rsid w:val="00A919DA"/>
    <w:rsid w:val="00A91A47"/>
    <w:rsid w:val="00A91B43"/>
    <w:rsid w:val="00A9361B"/>
    <w:rsid w:val="00A94224"/>
    <w:rsid w:val="00A95BAB"/>
    <w:rsid w:val="00A96B6E"/>
    <w:rsid w:val="00A97CD2"/>
    <w:rsid w:val="00AA0543"/>
    <w:rsid w:val="00AA2B62"/>
    <w:rsid w:val="00AA3411"/>
    <w:rsid w:val="00AA34D5"/>
    <w:rsid w:val="00AA58B3"/>
    <w:rsid w:val="00AA5914"/>
    <w:rsid w:val="00AA6451"/>
    <w:rsid w:val="00AA67B0"/>
    <w:rsid w:val="00AA7D5D"/>
    <w:rsid w:val="00AB0127"/>
    <w:rsid w:val="00AB10F4"/>
    <w:rsid w:val="00AB24C8"/>
    <w:rsid w:val="00AB359F"/>
    <w:rsid w:val="00AB385A"/>
    <w:rsid w:val="00AB39FB"/>
    <w:rsid w:val="00AB411F"/>
    <w:rsid w:val="00AB5C8A"/>
    <w:rsid w:val="00AB7778"/>
    <w:rsid w:val="00AC0254"/>
    <w:rsid w:val="00AC1E3F"/>
    <w:rsid w:val="00AC62D7"/>
    <w:rsid w:val="00AC651B"/>
    <w:rsid w:val="00AC7D66"/>
    <w:rsid w:val="00AD41BA"/>
    <w:rsid w:val="00AD431D"/>
    <w:rsid w:val="00AD539E"/>
    <w:rsid w:val="00AD666B"/>
    <w:rsid w:val="00AE0482"/>
    <w:rsid w:val="00AE5652"/>
    <w:rsid w:val="00AE7653"/>
    <w:rsid w:val="00AE7E9F"/>
    <w:rsid w:val="00AF106E"/>
    <w:rsid w:val="00AF2A43"/>
    <w:rsid w:val="00AF3010"/>
    <w:rsid w:val="00AF3A7A"/>
    <w:rsid w:val="00AF411A"/>
    <w:rsid w:val="00AF4714"/>
    <w:rsid w:val="00AF5478"/>
    <w:rsid w:val="00AF5D89"/>
    <w:rsid w:val="00AF7D12"/>
    <w:rsid w:val="00B00290"/>
    <w:rsid w:val="00B0065B"/>
    <w:rsid w:val="00B00880"/>
    <w:rsid w:val="00B0166D"/>
    <w:rsid w:val="00B01B10"/>
    <w:rsid w:val="00B05724"/>
    <w:rsid w:val="00B10B1D"/>
    <w:rsid w:val="00B10B7D"/>
    <w:rsid w:val="00B10EE8"/>
    <w:rsid w:val="00B1155E"/>
    <w:rsid w:val="00B1251F"/>
    <w:rsid w:val="00B1256C"/>
    <w:rsid w:val="00B129F2"/>
    <w:rsid w:val="00B131CA"/>
    <w:rsid w:val="00B1381C"/>
    <w:rsid w:val="00B20D7E"/>
    <w:rsid w:val="00B21CE6"/>
    <w:rsid w:val="00B22018"/>
    <w:rsid w:val="00B22908"/>
    <w:rsid w:val="00B2304A"/>
    <w:rsid w:val="00B23997"/>
    <w:rsid w:val="00B24D74"/>
    <w:rsid w:val="00B25E3F"/>
    <w:rsid w:val="00B271CB"/>
    <w:rsid w:val="00B27FD6"/>
    <w:rsid w:val="00B30FCD"/>
    <w:rsid w:val="00B311D8"/>
    <w:rsid w:val="00B31246"/>
    <w:rsid w:val="00B323AD"/>
    <w:rsid w:val="00B351B1"/>
    <w:rsid w:val="00B35D82"/>
    <w:rsid w:val="00B40C95"/>
    <w:rsid w:val="00B41CBE"/>
    <w:rsid w:val="00B42D61"/>
    <w:rsid w:val="00B43F85"/>
    <w:rsid w:val="00B449E2"/>
    <w:rsid w:val="00B47A8A"/>
    <w:rsid w:val="00B47D94"/>
    <w:rsid w:val="00B512BD"/>
    <w:rsid w:val="00B51A6C"/>
    <w:rsid w:val="00B60414"/>
    <w:rsid w:val="00B61941"/>
    <w:rsid w:val="00B63515"/>
    <w:rsid w:val="00B63C72"/>
    <w:rsid w:val="00B65197"/>
    <w:rsid w:val="00B652D3"/>
    <w:rsid w:val="00B66832"/>
    <w:rsid w:val="00B71055"/>
    <w:rsid w:val="00B7171C"/>
    <w:rsid w:val="00B71CE3"/>
    <w:rsid w:val="00B766A8"/>
    <w:rsid w:val="00B81B3B"/>
    <w:rsid w:val="00B84319"/>
    <w:rsid w:val="00B85A11"/>
    <w:rsid w:val="00B863F8"/>
    <w:rsid w:val="00B872B2"/>
    <w:rsid w:val="00B9151F"/>
    <w:rsid w:val="00B942F8"/>
    <w:rsid w:val="00B946F6"/>
    <w:rsid w:val="00B96ECD"/>
    <w:rsid w:val="00B9769B"/>
    <w:rsid w:val="00B97DDF"/>
    <w:rsid w:val="00BA0CD3"/>
    <w:rsid w:val="00BA2EFD"/>
    <w:rsid w:val="00BA3A2A"/>
    <w:rsid w:val="00BA51D3"/>
    <w:rsid w:val="00BA64EC"/>
    <w:rsid w:val="00BA70B7"/>
    <w:rsid w:val="00BB03C1"/>
    <w:rsid w:val="00BB0981"/>
    <w:rsid w:val="00BB09C4"/>
    <w:rsid w:val="00BB1AE3"/>
    <w:rsid w:val="00BB49C7"/>
    <w:rsid w:val="00BB58B2"/>
    <w:rsid w:val="00BB5A05"/>
    <w:rsid w:val="00BC20B6"/>
    <w:rsid w:val="00BC27CD"/>
    <w:rsid w:val="00BC28AD"/>
    <w:rsid w:val="00BC5802"/>
    <w:rsid w:val="00BC5D5A"/>
    <w:rsid w:val="00BC603C"/>
    <w:rsid w:val="00BC7789"/>
    <w:rsid w:val="00BC7FE4"/>
    <w:rsid w:val="00BD0A9C"/>
    <w:rsid w:val="00BD158E"/>
    <w:rsid w:val="00BD227E"/>
    <w:rsid w:val="00BD364F"/>
    <w:rsid w:val="00BD48F5"/>
    <w:rsid w:val="00BD4A3B"/>
    <w:rsid w:val="00BD4D29"/>
    <w:rsid w:val="00BD6E82"/>
    <w:rsid w:val="00BE0255"/>
    <w:rsid w:val="00BE3204"/>
    <w:rsid w:val="00BE3432"/>
    <w:rsid w:val="00BE77EC"/>
    <w:rsid w:val="00BE7DF9"/>
    <w:rsid w:val="00BF1F9F"/>
    <w:rsid w:val="00BF3A3D"/>
    <w:rsid w:val="00BF5852"/>
    <w:rsid w:val="00BF6541"/>
    <w:rsid w:val="00BF6A8D"/>
    <w:rsid w:val="00BF756B"/>
    <w:rsid w:val="00C014BD"/>
    <w:rsid w:val="00C0183E"/>
    <w:rsid w:val="00C01FDD"/>
    <w:rsid w:val="00C021C9"/>
    <w:rsid w:val="00C04585"/>
    <w:rsid w:val="00C05001"/>
    <w:rsid w:val="00C11EAD"/>
    <w:rsid w:val="00C123D6"/>
    <w:rsid w:val="00C131C3"/>
    <w:rsid w:val="00C135B6"/>
    <w:rsid w:val="00C13917"/>
    <w:rsid w:val="00C148E6"/>
    <w:rsid w:val="00C15F87"/>
    <w:rsid w:val="00C1603B"/>
    <w:rsid w:val="00C16054"/>
    <w:rsid w:val="00C16E87"/>
    <w:rsid w:val="00C21198"/>
    <w:rsid w:val="00C22670"/>
    <w:rsid w:val="00C253C9"/>
    <w:rsid w:val="00C2542E"/>
    <w:rsid w:val="00C26C19"/>
    <w:rsid w:val="00C306A6"/>
    <w:rsid w:val="00C31199"/>
    <w:rsid w:val="00C331C8"/>
    <w:rsid w:val="00C346AB"/>
    <w:rsid w:val="00C35183"/>
    <w:rsid w:val="00C357EA"/>
    <w:rsid w:val="00C36585"/>
    <w:rsid w:val="00C378BA"/>
    <w:rsid w:val="00C428FE"/>
    <w:rsid w:val="00C4655D"/>
    <w:rsid w:val="00C467E9"/>
    <w:rsid w:val="00C47AC4"/>
    <w:rsid w:val="00C50B11"/>
    <w:rsid w:val="00C5147A"/>
    <w:rsid w:val="00C53BF2"/>
    <w:rsid w:val="00C55E3B"/>
    <w:rsid w:val="00C56D2B"/>
    <w:rsid w:val="00C56D8D"/>
    <w:rsid w:val="00C603EE"/>
    <w:rsid w:val="00C605C2"/>
    <w:rsid w:val="00C615C3"/>
    <w:rsid w:val="00C61D73"/>
    <w:rsid w:val="00C660CC"/>
    <w:rsid w:val="00C6648B"/>
    <w:rsid w:val="00C66C38"/>
    <w:rsid w:val="00C70762"/>
    <w:rsid w:val="00C70A56"/>
    <w:rsid w:val="00C71E0F"/>
    <w:rsid w:val="00C71E29"/>
    <w:rsid w:val="00C738EB"/>
    <w:rsid w:val="00C75515"/>
    <w:rsid w:val="00C803D7"/>
    <w:rsid w:val="00C818E7"/>
    <w:rsid w:val="00C83393"/>
    <w:rsid w:val="00C83421"/>
    <w:rsid w:val="00C8422A"/>
    <w:rsid w:val="00C86FF2"/>
    <w:rsid w:val="00C873D1"/>
    <w:rsid w:val="00C8757B"/>
    <w:rsid w:val="00C90EC6"/>
    <w:rsid w:val="00C91906"/>
    <w:rsid w:val="00C92A87"/>
    <w:rsid w:val="00C96B4A"/>
    <w:rsid w:val="00C97021"/>
    <w:rsid w:val="00CA002A"/>
    <w:rsid w:val="00CA2D50"/>
    <w:rsid w:val="00CA3C49"/>
    <w:rsid w:val="00CA53CC"/>
    <w:rsid w:val="00CA5418"/>
    <w:rsid w:val="00CA5842"/>
    <w:rsid w:val="00CA5E78"/>
    <w:rsid w:val="00CA611E"/>
    <w:rsid w:val="00CB0056"/>
    <w:rsid w:val="00CB0BAE"/>
    <w:rsid w:val="00CB30D7"/>
    <w:rsid w:val="00CB3171"/>
    <w:rsid w:val="00CB474E"/>
    <w:rsid w:val="00CB5074"/>
    <w:rsid w:val="00CB6EEE"/>
    <w:rsid w:val="00CC1D18"/>
    <w:rsid w:val="00CC3329"/>
    <w:rsid w:val="00CC3540"/>
    <w:rsid w:val="00CC4084"/>
    <w:rsid w:val="00CC48C1"/>
    <w:rsid w:val="00CC70AE"/>
    <w:rsid w:val="00CD0850"/>
    <w:rsid w:val="00CD290C"/>
    <w:rsid w:val="00CD4830"/>
    <w:rsid w:val="00CD58B3"/>
    <w:rsid w:val="00CD5EEF"/>
    <w:rsid w:val="00CD62BE"/>
    <w:rsid w:val="00CD6428"/>
    <w:rsid w:val="00CD677D"/>
    <w:rsid w:val="00CD6EE2"/>
    <w:rsid w:val="00CE01A5"/>
    <w:rsid w:val="00CE1002"/>
    <w:rsid w:val="00CE1C70"/>
    <w:rsid w:val="00CE1F9C"/>
    <w:rsid w:val="00CE5237"/>
    <w:rsid w:val="00CE5959"/>
    <w:rsid w:val="00CE6A5E"/>
    <w:rsid w:val="00CE6A9F"/>
    <w:rsid w:val="00CF0014"/>
    <w:rsid w:val="00CF1CF7"/>
    <w:rsid w:val="00CF22DF"/>
    <w:rsid w:val="00CF3538"/>
    <w:rsid w:val="00CF3F1B"/>
    <w:rsid w:val="00CF43EE"/>
    <w:rsid w:val="00CF5A7F"/>
    <w:rsid w:val="00D0115D"/>
    <w:rsid w:val="00D014DD"/>
    <w:rsid w:val="00D0340A"/>
    <w:rsid w:val="00D034D9"/>
    <w:rsid w:val="00D0374E"/>
    <w:rsid w:val="00D0422E"/>
    <w:rsid w:val="00D0426A"/>
    <w:rsid w:val="00D043E4"/>
    <w:rsid w:val="00D056DD"/>
    <w:rsid w:val="00D0631D"/>
    <w:rsid w:val="00D06351"/>
    <w:rsid w:val="00D075E8"/>
    <w:rsid w:val="00D07E13"/>
    <w:rsid w:val="00D13C71"/>
    <w:rsid w:val="00D147B1"/>
    <w:rsid w:val="00D20054"/>
    <w:rsid w:val="00D20485"/>
    <w:rsid w:val="00D20D8C"/>
    <w:rsid w:val="00D22A6E"/>
    <w:rsid w:val="00D2372E"/>
    <w:rsid w:val="00D25BA0"/>
    <w:rsid w:val="00D25EF0"/>
    <w:rsid w:val="00D26959"/>
    <w:rsid w:val="00D27423"/>
    <w:rsid w:val="00D27A6E"/>
    <w:rsid w:val="00D31537"/>
    <w:rsid w:val="00D32537"/>
    <w:rsid w:val="00D347B5"/>
    <w:rsid w:val="00D34A9D"/>
    <w:rsid w:val="00D374ED"/>
    <w:rsid w:val="00D37984"/>
    <w:rsid w:val="00D418C7"/>
    <w:rsid w:val="00D43B45"/>
    <w:rsid w:val="00D442CC"/>
    <w:rsid w:val="00D45310"/>
    <w:rsid w:val="00D51387"/>
    <w:rsid w:val="00D51680"/>
    <w:rsid w:val="00D52830"/>
    <w:rsid w:val="00D554AF"/>
    <w:rsid w:val="00D6197E"/>
    <w:rsid w:val="00D61C10"/>
    <w:rsid w:val="00D63B45"/>
    <w:rsid w:val="00D64432"/>
    <w:rsid w:val="00D647A5"/>
    <w:rsid w:val="00D64C31"/>
    <w:rsid w:val="00D655AF"/>
    <w:rsid w:val="00D67694"/>
    <w:rsid w:val="00D67E97"/>
    <w:rsid w:val="00D703A3"/>
    <w:rsid w:val="00D708ED"/>
    <w:rsid w:val="00D71610"/>
    <w:rsid w:val="00D71C3E"/>
    <w:rsid w:val="00D73C39"/>
    <w:rsid w:val="00D74186"/>
    <w:rsid w:val="00D814E4"/>
    <w:rsid w:val="00D819D4"/>
    <w:rsid w:val="00D81A61"/>
    <w:rsid w:val="00D81C50"/>
    <w:rsid w:val="00D8478B"/>
    <w:rsid w:val="00D86B10"/>
    <w:rsid w:val="00D86BA6"/>
    <w:rsid w:val="00D902A9"/>
    <w:rsid w:val="00D90EF3"/>
    <w:rsid w:val="00D953A6"/>
    <w:rsid w:val="00D95B75"/>
    <w:rsid w:val="00D95D6F"/>
    <w:rsid w:val="00D96603"/>
    <w:rsid w:val="00D9797F"/>
    <w:rsid w:val="00DA27BE"/>
    <w:rsid w:val="00DA3F13"/>
    <w:rsid w:val="00DA4517"/>
    <w:rsid w:val="00DA4814"/>
    <w:rsid w:val="00DA5AFF"/>
    <w:rsid w:val="00DA5F67"/>
    <w:rsid w:val="00DB1841"/>
    <w:rsid w:val="00DB24F1"/>
    <w:rsid w:val="00DB556B"/>
    <w:rsid w:val="00DB61DC"/>
    <w:rsid w:val="00DB6237"/>
    <w:rsid w:val="00DB640C"/>
    <w:rsid w:val="00DB787B"/>
    <w:rsid w:val="00DC3410"/>
    <w:rsid w:val="00DC424D"/>
    <w:rsid w:val="00DC47EE"/>
    <w:rsid w:val="00DC47F9"/>
    <w:rsid w:val="00DC54FA"/>
    <w:rsid w:val="00DC755E"/>
    <w:rsid w:val="00DD1773"/>
    <w:rsid w:val="00DD3883"/>
    <w:rsid w:val="00DD5FCE"/>
    <w:rsid w:val="00DD6985"/>
    <w:rsid w:val="00DD7895"/>
    <w:rsid w:val="00DE04D8"/>
    <w:rsid w:val="00DE22D1"/>
    <w:rsid w:val="00DE3CE2"/>
    <w:rsid w:val="00DE5279"/>
    <w:rsid w:val="00DE5348"/>
    <w:rsid w:val="00DE6B57"/>
    <w:rsid w:val="00DE732C"/>
    <w:rsid w:val="00DE7E21"/>
    <w:rsid w:val="00DE7FCE"/>
    <w:rsid w:val="00DF21A6"/>
    <w:rsid w:val="00DF43EE"/>
    <w:rsid w:val="00DF572F"/>
    <w:rsid w:val="00DF58F4"/>
    <w:rsid w:val="00E00570"/>
    <w:rsid w:val="00E0149A"/>
    <w:rsid w:val="00E02C54"/>
    <w:rsid w:val="00E03652"/>
    <w:rsid w:val="00E03811"/>
    <w:rsid w:val="00E03EA2"/>
    <w:rsid w:val="00E05589"/>
    <w:rsid w:val="00E05B02"/>
    <w:rsid w:val="00E0644E"/>
    <w:rsid w:val="00E06A1B"/>
    <w:rsid w:val="00E102D6"/>
    <w:rsid w:val="00E15F3E"/>
    <w:rsid w:val="00E17884"/>
    <w:rsid w:val="00E20C8F"/>
    <w:rsid w:val="00E2147E"/>
    <w:rsid w:val="00E21DE4"/>
    <w:rsid w:val="00E21F48"/>
    <w:rsid w:val="00E23CEE"/>
    <w:rsid w:val="00E24A27"/>
    <w:rsid w:val="00E2756B"/>
    <w:rsid w:val="00E27DCC"/>
    <w:rsid w:val="00E342ED"/>
    <w:rsid w:val="00E34BBF"/>
    <w:rsid w:val="00E35A23"/>
    <w:rsid w:val="00E35FE1"/>
    <w:rsid w:val="00E36FF2"/>
    <w:rsid w:val="00E404BE"/>
    <w:rsid w:val="00E4141F"/>
    <w:rsid w:val="00E4183C"/>
    <w:rsid w:val="00E4269D"/>
    <w:rsid w:val="00E43E59"/>
    <w:rsid w:val="00E45378"/>
    <w:rsid w:val="00E470B1"/>
    <w:rsid w:val="00E47DE1"/>
    <w:rsid w:val="00E5052E"/>
    <w:rsid w:val="00E5135B"/>
    <w:rsid w:val="00E51B0C"/>
    <w:rsid w:val="00E52069"/>
    <w:rsid w:val="00E53053"/>
    <w:rsid w:val="00E57A90"/>
    <w:rsid w:val="00E6002B"/>
    <w:rsid w:val="00E60129"/>
    <w:rsid w:val="00E60ABA"/>
    <w:rsid w:val="00E612A4"/>
    <w:rsid w:val="00E6387A"/>
    <w:rsid w:val="00E63ACD"/>
    <w:rsid w:val="00E63D40"/>
    <w:rsid w:val="00E646FA"/>
    <w:rsid w:val="00E656FE"/>
    <w:rsid w:val="00E6614C"/>
    <w:rsid w:val="00E668B3"/>
    <w:rsid w:val="00E677C7"/>
    <w:rsid w:val="00E70456"/>
    <w:rsid w:val="00E70FE2"/>
    <w:rsid w:val="00E72CDA"/>
    <w:rsid w:val="00E740B8"/>
    <w:rsid w:val="00E741B5"/>
    <w:rsid w:val="00E74ADA"/>
    <w:rsid w:val="00E817F2"/>
    <w:rsid w:val="00E81BB2"/>
    <w:rsid w:val="00E823FD"/>
    <w:rsid w:val="00E82E24"/>
    <w:rsid w:val="00E8330D"/>
    <w:rsid w:val="00E91B29"/>
    <w:rsid w:val="00E923F3"/>
    <w:rsid w:val="00E92589"/>
    <w:rsid w:val="00E93EB6"/>
    <w:rsid w:val="00E94B6B"/>
    <w:rsid w:val="00E95DC9"/>
    <w:rsid w:val="00E9733C"/>
    <w:rsid w:val="00E973E8"/>
    <w:rsid w:val="00EA1D6A"/>
    <w:rsid w:val="00EA254D"/>
    <w:rsid w:val="00EA4EF4"/>
    <w:rsid w:val="00EA6548"/>
    <w:rsid w:val="00EA71A7"/>
    <w:rsid w:val="00EA7747"/>
    <w:rsid w:val="00EA7852"/>
    <w:rsid w:val="00EB299D"/>
    <w:rsid w:val="00EB38B1"/>
    <w:rsid w:val="00EB4E4B"/>
    <w:rsid w:val="00EB4F64"/>
    <w:rsid w:val="00EB52E3"/>
    <w:rsid w:val="00EB5C1C"/>
    <w:rsid w:val="00EC027C"/>
    <w:rsid w:val="00EC1089"/>
    <w:rsid w:val="00EC2BEE"/>
    <w:rsid w:val="00EC465D"/>
    <w:rsid w:val="00EC5145"/>
    <w:rsid w:val="00EC5343"/>
    <w:rsid w:val="00EC5F9D"/>
    <w:rsid w:val="00EC6C5A"/>
    <w:rsid w:val="00ED007F"/>
    <w:rsid w:val="00ED23D9"/>
    <w:rsid w:val="00ED5C37"/>
    <w:rsid w:val="00EE0517"/>
    <w:rsid w:val="00EE1261"/>
    <w:rsid w:val="00EE19DD"/>
    <w:rsid w:val="00EE2534"/>
    <w:rsid w:val="00EE346C"/>
    <w:rsid w:val="00EE37A9"/>
    <w:rsid w:val="00EE4E53"/>
    <w:rsid w:val="00EE7C3C"/>
    <w:rsid w:val="00EF093D"/>
    <w:rsid w:val="00EF15B8"/>
    <w:rsid w:val="00EF2B8A"/>
    <w:rsid w:val="00EF2BCF"/>
    <w:rsid w:val="00EF2BE2"/>
    <w:rsid w:val="00EF4834"/>
    <w:rsid w:val="00EF65DB"/>
    <w:rsid w:val="00EF6BE8"/>
    <w:rsid w:val="00EF7A5B"/>
    <w:rsid w:val="00F0168B"/>
    <w:rsid w:val="00F0230B"/>
    <w:rsid w:val="00F03964"/>
    <w:rsid w:val="00F04172"/>
    <w:rsid w:val="00F0434D"/>
    <w:rsid w:val="00F04E20"/>
    <w:rsid w:val="00F04ED6"/>
    <w:rsid w:val="00F053BF"/>
    <w:rsid w:val="00F066C6"/>
    <w:rsid w:val="00F06E63"/>
    <w:rsid w:val="00F07A4C"/>
    <w:rsid w:val="00F1049B"/>
    <w:rsid w:val="00F1053B"/>
    <w:rsid w:val="00F10861"/>
    <w:rsid w:val="00F10AB2"/>
    <w:rsid w:val="00F1100C"/>
    <w:rsid w:val="00F118A2"/>
    <w:rsid w:val="00F1192A"/>
    <w:rsid w:val="00F1247B"/>
    <w:rsid w:val="00F13BAD"/>
    <w:rsid w:val="00F14825"/>
    <w:rsid w:val="00F1644C"/>
    <w:rsid w:val="00F1739F"/>
    <w:rsid w:val="00F179E8"/>
    <w:rsid w:val="00F17E30"/>
    <w:rsid w:val="00F20BDE"/>
    <w:rsid w:val="00F2107B"/>
    <w:rsid w:val="00F24EB7"/>
    <w:rsid w:val="00F25B63"/>
    <w:rsid w:val="00F264D1"/>
    <w:rsid w:val="00F26790"/>
    <w:rsid w:val="00F3023C"/>
    <w:rsid w:val="00F307DB"/>
    <w:rsid w:val="00F30816"/>
    <w:rsid w:val="00F31D76"/>
    <w:rsid w:val="00F33C45"/>
    <w:rsid w:val="00F349C7"/>
    <w:rsid w:val="00F35EB6"/>
    <w:rsid w:val="00F400C2"/>
    <w:rsid w:val="00F40667"/>
    <w:rsid w:val="00F40C50"/>
    <w:rsid w:val="00F413CA"/>
    <w:rsid w:val="00F416CB"/>
    <w:rsid w:val="00F4243B"/>
    <w:rsid w:val="00F433CB"/>
    <w:rsid w:val="00F44D51"/>
    <w:rsid w:val="00F45B25"/>
    <w:rsid w:val="00F47C3F"/>
    <w:rsid w:val="00F47E0C"/>
    <w:rsid w:val="00F51605"/>
    <w:rsid w:val="00F5496B"/>
    <w:rsid w:val="00F54CA4"/>
    <w:rsid w:val="00F56433"/>
    <w:rsid w:val="00F60CCE"/>
    <w:rsid w:val="00F61AB3"/>
    <w:rsid w:val="00F63891"/>
    <w:rsid w:val="00F6440A"/>
    <w:rsid w:val="00F64ED4"/>
    <w:rsid w:val="00F64EEF"/>
    <w:rsid w:val="00F673A1"/>
    <w:rsid w:val="00F673F4"/>
    <w:rsid w:val="00F67862"/>
    <w:rsid w:val="00F67F3C"/>
    <w:rsid w:val="00F71274"/>
    <w:rsid w:val="00F722CC"/>
    <w:rsid w:val="00F74A43"/>
    <w:rsid w:val="00F75168"/>
    <w:rsid w:val="00F75700"/>
    <w:rsid w:val="00F757B8"/>
    <w:rsid w:val="00F760C9"/>
    <w:rsid w:val="00F76A28"/>
    <w:rsid w:val="00F76A76"/>
    <w:rsid w:val="00F76A87"/>
    <w:rsid w:val="00F76BD0"/>
    <w:rsid w:val="00F77589"/>
    <w:rsid w:val="00F7786A"/>
    <w:rsid w:val="00F77903"/>
    <w:rsid w:val="00F812B0"/>
    <w:rsid w:val="00F81971"/>
    <w:rsid w:val="00F81D98"/>
    <w:rsid w:val="00F82171"/>
    <w:rsid w:val="00F837A4"/>
    <w:rsid w:val="00F8477A"/>
    <w:rsid w:val="00F857F9"/>
    <w:rsid w:val="00F85E5C"/>
    <w:rsid w:val="00F86A4A"/>
    <w:rsid w:val="00F906E6"/>
    <w:rsid w:val="00F90F70"/>
    <w:rsid w:val="00F924EF"/>
    <w:rsid w:val="00F95253"/>
    <w:rsid w:val="00FA00CA"/>
    <w:rsid w:val="00FA0405"/>
    <w:rsid w:val="00FA2C55"/>
    <w:rsid w:val="00FA33B7"/>
    <w:rsid w:val="00FA3B87"/>
    <w:rsid w:val="00FA79EF"/>
    <w:rsid w:val="00FB0FA4"/>
    <w:rsid w:val="00FB4C9B"/>
    <w:rsid w:val="00FB59E1"/>
    <w:rsid w:val="00FB7343"/>
    <w:rsid w:val="00FC05D9"/>
    <w:rsid w:val="00FC0E94"/>
    <w:rsid w:val="00FC10C8"/>
    <w:rsid w:val="00FC1500"/>
    <w:rsid w:val="00FC155C"/>
    <w:rsid w:val="00FC2DA2"/>
    <w:rsid w:val="00FC3151"/>
    <w:rsid w:val="00FC33F8"/>
    <w:rsid w:val="00FC535B"/>
    <w:rsid w:val="00FC7304"/>
    <w:rsid w:val="00FD0255"/>
    <w:rsid w:val="00FD231C"/>
    <w:rsid w:val="00FD2917"/>
    <w:rsid w:val="00FD3EEA"/>
    <w:rsid w:val="00FD4510"/>
    <w:rsid w:val="00FD5D72"/>
    <w:rsid w:val="00FE1FB9"/>
    <w:rsid w:val="00FE640B"/>
    <w:rsid w:val="00FE71DF"/>
    <w:rsid w:val="00FE75A6"/>
    <w:rsid w:val="00FE7C6E"/>
    <w:rsid w:val="00FF2D81"/>
    <w:rsid w:val="00FF50DB"/>
    <w:rsid w:val="00FF5943"/>
    <w:rsid w:val="00FF5AF5"/>
    <w:rsid w:val="00FF5F13"/>
    <w:rsid w:val="07A30DA7"/>
    <w:rsid w:val="14A6B4E0"/>
    <w:rsid w:val="14AA4A45"/>
    <w:rsid w:val="153AD740"/>
    <w:rsid w:val="1D0426FB"/>
    <w:rsid w:val="1D2D6EC7"/>
    <w:rsid w:val="1D4CC829"/>
    <w:rsid w:val="1E298940"/>
    <w:rsid w:val="27894334"/>
    <w:rsid w:val="27F90852"/>
    <w:rsid w:val="299EA102"/>
    <w:rsid w:val="30A5D2F5"/>
    <w:rsid w:val="31C49094"/>
    <w:rsid w:val="3921E3A2"/>
    <w:rsid w:val="3E169608"/>
    <w:rsid w:val="45B38CD7"/>
    <w:rsid w:val="48B42E7C"/>
    <w:rsid w:val="54CE6884"/>
    <w:rsid w:val="59ED27CB"/>
    <w:rsid w:val="5A5F80E3"/>
    <w:rsid w:val="5BADB97F"/>
    <w:rsid w:val="5BF1AD5A"/>
    <w:rsid w:val="5C853F22"/>
    <w:rsid w:val="5C8DBC97"/>
    <w:rsid w:val="667AD777"/>
    <w:rsid w:val="6CD0F09E"/>
    <w:rsid w:val="70089160"/>
    <w:rsid w:val="76CD2F1C"/>
    <w:rsid w:val="7964D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14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432"/>
    <w:rPr>
      <w:rFonts w:ascii="Courier New" w:hAnsi="Courier New"/>
      <w:sz w:val="24"/>
    </w:rPr>
  </w:style>
  <w:style w:type="paragraph" w:styleId="Heading1">
    <w:name w:val="heading 1"/>
    <w:basedOn w:val="Header"/>
    <w:next w:val="Normal"/>
    <w:qFormat/>
    <w:rsid w:val="00D708ED"/>
    <w:pPr>
      <w:keepNext/>
      <w:widowControl w:val="0"/>
      <w:numPr>
        <w:numId w:val="3"/>
      </w:numPr>
      <w:pBdr>
        <w:left w:val="single" w:sz="4" w:space="4" w:color="auto"/>
        <w:right w:val="single" w:sz="4" w:space="4" w:color="auto"/>
      </w:pBdr>
      <w:tabs>
        <w:tab w:val="clear" w:pos="4320"/>
        <w:tab w:val="clear" w:pos="8640"/>
      </w:tabs>
      <w:contextualSpacing/>
      <w:jc w:val="center"/>
      <w:outlineLvl w:val="0"/>
    </w:pPr>
    <w:rPr>
      <w:rFonts w:cs="Courier New"/>
      <w:b/>
      <w:caps/>
      <w:u w:val="single"/>
    </w:rPr>
  </w:style>
  <w:style w:type="paragraph" w:styleId="Heading2">
    <w:name w:val="heading 2"/>
    <w:basedOn w:val="ListParagraph"/>
    <w:next w:val="Normal"/>
    <w:link w:val="Heading2Char"/>
    <w:uiPriority w:val="9"/>
    <w:unhideWhenUsed/>
    <w:qFormat/>
    <w:rsid w:val="00E656FE"/>
    <w:pPr>
      <w:keepNext/>
      <w:widowControl w:val="0"/>
      <w:numPr>
        <w:numId w:val="22"/>
      </w:numPr>
      <w:pBdr>
        <w:left w:val="single" w:sz="4" w:space="4" w:color="auto"/>
        <w:right w:val="single" w:sz="4" w:space="4" w:color="auto"/>
      </w:pBdr>
      <w:jc w:val="center"/>
      <w:outlineLvl w:val="1"/>
    </w:pPr>
    <w:rPr>
      <w:rFonts w:ascii="Courier New" w:hAnsi="Courier New" w:cs="Courier New"/>
      <w:b/>
      <w:bCs/>
      <w:u w:val="single"/>
    </w:rPr>
  </w:style>
  <w:style w:type="paragraph" w:styleId="Heading3">
    <w:name w:val="heading 3"/>
    <w:basedOn w:val="Heading2"/>
    <w:next w:val="Normal"/>
    <w:link w:val="Heading3Char"/>
    <w:uiPriority w:val="9"/>
    <w:unhideWhenUsed/>
    <w:qFormat/>
    <w:rsid w:val="00BE3432"/>
    <w:pPr>
      <w:numPr>
        <w:numId w:val="0"/>
      </w:numPr>
      <w:pBdr>
        <w:left w:val="none" w:sz="0" w:space="0" w:color="auto"/>
        <w:right w:val="none" w:sz="0" w:space="0" w:color="auto"/>
      </w:pBdr>
      <w:outlineLvl w:val="2"/>
    </w:pPr>
    <w:rPr>
      <w:i/>
      <w:iCs/>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1"/>
      </w:numPr>
      <w:tabs>
        <w:tab w:val="clear" w:pos="1440"/>
        <w:tab w:val="num" w:pos="360"/>
      </w:tabs>
      <w:spacing w:after="120"/>
    </w:pPr>
  </w:style>
  <w:style w:type="paragraph" w:customStyle="1" w:styleId="ParagraphNumberDouble">
    <w:name w:val="Paragraph Number Double"/>
    <w:basedOn w:val="Normal"/>
    <w:pPr>
      <w:numPr>
        <w:numId w:val="2"/>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1440"/>
        <w:tab w:val="left" w:pos="-720"/>
        <w:tab w:val="left" w:pos="720"/>
        <w:tab w:val="left" w:pos="1440"/>
        <w:tab w:val="left" w:pos="4440"/>
      </w:tabs>
      <w:jc w:val="center"/>
    </w:pPr>
    <w:rPr>
      <w:b/>
    </w:rPr>
  </w:style>
  <w:style w:type="paragraph" w:styleId="BodyTextIndent">
    <w:name w:val="Body Text Indent"/>
    <w:basedOn w:val="Normal"/>
    <w:link w:val="BodyTextIndentChar"/>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character" w:styleId="Hyperlink">
    <w:name w:val="Hyperlink"/>
    <w:basedOn w:val="DefaultParagraphFont"/>
    <w:uiPriority w:val="99"/>
    <w:unhideWhenUsed/>
    <w:rsid w:val="00F0168B"/>
    <w:rPr>
      <w:color w:val="0000FF" w:themeColor="hyperlink"/>
      <w:u w:val="single"/>
    </w:rPr>
  </w:style>
  <w:style w:type="character" w:styleId="UnresolvedMention">
    <w:name w:val="Unresolved Mention"/>
    <w:basedOn w:val="DefaultParagraphFont"/>
    <w:uiPriority w:val="99"/>
    <w:semiHidden/>
    <w:unhideWhenUsed/>
    <w:rsid w:val="00F0168B"/>
    <w:rPr>
      <w:color w:val="605E5C"/>
      <w:shd w:val="clear" w:color="auto" w:fill="E1DFDD"/>
    </w:rPr>
  </w:style>
  <w:style w:type="character" w:customStyle="1" w:styleId="Heading2Char">
    <w:name w:val="Heading 2 Char"/>
    <w:basedOn w:val="DefaultParagraphFont"/>
    <w:link w:val="Heading2"/>
    <w:uiPriority w:val="9"/>
    <w:rsid w:val="00E656FE"/>
    <w:rPr>
      <w:rFonts w:ascii="Courier New" w:eastAsiaTheme="minorHAnsi" w:hAnsi="Courier New" w:cs="Courier New"/>
      <w:b/>
      <w:bCs/>
      <w:sz w:val="24"/>
      <w:u w:val="single"/>
    </w:rPr>
  </w:style>
  <w:style w:type="character" w:customStyle="1" w:styleId="BodyTextIndentChar">
    <w:name w:val="Body Text Indent Char"/>
    <w:basedOn w:val="DefaultParagraphFont"/>
    <w:link w:val="BodyTextIndent"/>
    <w:rsid w:val="007E1623"/>
    <w:rPr>
      <w:rFonts w:ascii="Courier New" w:hAnsi="Courier New"/>
      <w:sz w:val="24"/>
    </w:rPr>
  </w:style>
  <w:style w:type="character" w:customStyle="1" w:styleId="Heading3Char">
    <w:name w:val="Heading 3 Char"/>
    <w:basedOn w:val="DefaultParagraphFont"/>
    <w:link w:val="Heading3"/>
    <w:uiPriority w:val="9"/>
    <w:rsid w:val="00BE3432"/>
    <w:rPr>
      <w:rFonts w:ascii="Courier New" w:eastAsiaTheme="minorHAnsi" w:hAnsi="Courier New" w:cs="Courier New"/>
      <w:b/>
      <w:bCs/>
      <w:i/>
      <w:iCs/>
      <w:sz w:val="24"/>
      <w:u w:val="single"/>
    </w:rPr>
  </w:style>
  <w:style w:type="paragraph" w:styleId="Quote">
    <w:name w:val="Quote"/>
    <w:basedOn w:val="Normal"/>
    <w:next w:val="Normal"/>
    <w:link w:val="QuoteChar"/>
    <w:uiPriority w:val="29"/>
    <w:qFormat/>
    <w:rsid w:val="007826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82643"/>
    <w:rPr>
      <w:rFonts w:ascii="Courier New" w:hAnsi="Courier New"/>
      <w:i/>
      <w:iCs/>
      <w:color w:val="404040" w:themeColor="text1" w:themeTint="BF"/>
      <w:sz w:val="24"/>
    </w:rPr>
  </w:style>
  <w:style w:type="paragraph" w:styleId="TOC1">
    <w:name w:val="toc 1"/>
    <w:basedOn w:val="Normal"/>
    <w:next w:val="Normal"/>
    <w:autoRedefine/>
    <w:uiPriority w:val="39"/>
    <w:unhideWhenUsed/>
    <w:rsid w:val="0045637F"/>
    <w:pPr>
      <w:tabs>
        <w:tab w:val="right" w:leader="dot" w:pos="9350"/>
      </w:tabs>
      <w:spacing w:after="100"/>
      <w:ind w:left="720" w:hanging="720"/>
    </w:pPr>
  </w:style>
  <w:style w:type="paragraph" w:styleId="EndnoteText">
    <w:name w:val="endnote text"/>
    <w:basedOn w:val="Normal"/>
    <w:link w:val="EndnoteTextChar"/>
    <w:uiPriority w:val="99"/>
    <w:unhideWhenUsed/>
    <w:rsid w:val="00570E8D"/>
    <w:pPr>
      <w:spacing w:line="240" w:lineRule="auto"/>
    </w:pPr>
    <w:rPr>
      <w:sz w:val="20"/>
    </w:rPr>
  </w:style>
  <w:style w:type="character" w:customStyle="1" w:styleId="EndnoteTextChar">
    <w:name w:val="Endnote Text Char"/>
    <w:basedOn w:val="DefaultParagraphFont"/>
    <w:link w:val="EndnoteText"/>
    <w:uiPriority w:val="99"/>
    <w:rsid w:val="00570E8D"/>
    <w:rPr>
      <w:rFonts w:ascii="Courier New" w:hAnsi="Courier New"/>
    </w:rPr>
  </w:style>
  <w:style w:type="character" w:styleId="EndnoteReference">
    <w:name w:val="endnote reference"/>
    <w:basedOn w:val="DefaultParagraphFont"/>
    <w:uiPriority w:val="99"/>
    <w:semiHidden/>
    <w:unhideWhenUsed/>
    <w:rsid w:val="00570E8D"/>
    <w:rPr>
      <w:vertAlign w:val="superscript"/>
    </w:rPr>
  </w:style>
  <w:style w:type="paragraph" w:customStyle="1" w:styleId="StyleListParagraphJustified">
    <w:name w:val="Style List Paragraph + Justified"/>
    <w:basedOn w:val="Normal"/>
    <w:rsid w:val="00085171"/>
    <w:pPr>
      <w:jc w:val="both"/>
    </w:pPr>
    <w:rPr>
      <w:rFonts w:cs="Courier New"/>
    </w:rPr>
  </w:style>
  <w:style w:type="paragraph" w:styleId="TOC2">
    <w:name w:val="toc 2"/>
    <w:basedOn w:val="Normal"/>
    <w:next w:val="Normal"/>
    <w:autoRedefine/>
    <w:uiPriority w:val="39"/>
    <w:unhideWhenUsed/>
    <w:rsid w:val="006F2D70"/>
    <w:pPr>
      <w:tabs>
        <w:tab w:val="left" w:pos="880"/>
        <w:tab w:val="right" w:leader="dot" w:pos="9350"/>
      </w:tabs>
      <w:spacing w:after="100"/>
      <w:ind w:left="900" w:hanging="660"/>
    </w:pPr>
  </w:style>
  <w:style w:type="paragraph" w:styleId="TOC3">
    <w:name w:val="toc 3"/>
    <w:basedOn w:val="Normal"/>
    <w:next w:val="Normal"/>
    <w:autoRedefine/>
    <w:uiPriority w:val="39"/>
    <w:unhideWhenUsed/>
    <w:rsid w:val="009D36B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8.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1.png"/><Relationship Id="rId27" Type="http://schemas.openxmlformats.org/officeDocument/2006/relationships/header" Target="header9.xml"/><Relationship Id="rId30" Type="http://schemas.openxmlformats.org/officeDocument/2006/relationships/fontTable" Target="fontTable.xml"/><Relationship Id="rId8"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pubs.aeaweb.org/doi/pdfplus/10.1257/0895330042162430" TargetMode="External"/><Relationship Id="rId1" Type="http://schemas.openxmlformats.org/officeDocument/2006/relationships/hyperlink" Target="http://www.nobelpriz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37EBC-22A4-4174-A59D-288C50B211FB}"/>
</file>

<file path=customXml/itemProps2.xml><?xml version="1.0" encoding="utf-8"?>
<ds:datastoreItem xmlns:ds="http://schemas.openxmlformats.org/officeDocument/2006/customXml" ds:itemID="{441E3DCF-B0CF-40C1-B22C-5CBB0DBE25D1}"/>
</file>

<file path=customXml/itemProps3.xml><?xml version="1.0" encoding="utf-8"?>
<ds:datastoreItem xmlns:ds="http://schemas.openxmlformats.org/officeDocument/2006/customXml" ds:itemID="{3CA9AC12-003C-43D2-973E-74E354F0E599}"/>
</file>

<file path=customXml/itemProps4.xml><?xml version="1.0" encoding="utf-8"?>
<ds:datastoreItem xmlns:ds="http://schemas.openxmlformats.org/officeDocument/2006/customXml" ds:itemID="{685A632C-26B5-4DEE-B173-88684A0DDD22}"/>
</file>

<file path=docProps/app.xml><?xml version="1.0" encoding="utf-8"?>
<Properties xmlns="http://schemas.openxmlformats.org/officeDocument/2006/extended-properties" xmlns:vt="http://schemas.openxmlformats.org/officeDocument/2006/docPropsVTypes">
  <Template>Normal.dotm</Template>
  <TotalTime>0</TotalTime>
  <Pages>88</Pages>
  <Words>14865</Words>
  <Characters>79514</Characters>
  <Application>Microsoft Office Word</Application>
  <DocSecurity>0</DocSecurity>
  <Lines>662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2023-03-22T14:13:00Z</dcterms:created>
  <dcterms:modified xsi:type="dcterms:W3CDTF">2023-03-22T14:13:00Z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2023-03-22T14:13:43Z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49e61fe3-2f88-42fb-838e-55198c642e1e</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ies>
</file>