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330A" w14:textId="77777777" w:rsidR="00564F23" w:rsidRDefault="00564F23" w:rsidP="00B23997">
      <w:pPr>
        <w:widowControl w:val="0"/>
        <w:ind w:right="432"/>
        <w:jc w:val="center"/>
        <w:rPr>
          <w:rFonts w:cs="Courier New"/>
          <w:noProof/>
        </w:rPr>
      </w:pPr>
    </w:p>
    <w:p w14:paraId="7D6101F6" w14:textId="77777777" w:rsidR="00B23997" w:rsidRDefault="00B23997" w:rsidP="00B23997">
      <w:pPr>
        <w:widowControl w:val="0"/>
        <w:ind w:right="432"/>
        <w:jc w:val="center"/>
        <w:rPr>
          <w:rFonts w:cs="Courier New"/>
          <w:noProof/>
        </w:rPr>
      </w:pPr>
    </w:p>
    <w:p w14:paraId="0D9539F9" w14:textId="77777777" w:rsidR="00B23997" w:rsidRPr="00B23997" w:rsidRDefault="00B23997" w:rsidP="00B23997">
      <w:pPr>
        <w:widowControl w:val="0"/>
        <w:ind w:right="432"/>
        <w:jc w:val="center"/>
        <w:rPr>
          <w:rFonts w:cs="Courier New"/>
          <w:noProof/>
        </w:rPr>
      </w:pPr>
    </w:p>
    <w:p w14:paraId="30DDC5D2" w14:textId="77777777" w:rsidR="009C6238" w:rsidRPr="00B23997" w:rsidRDefault="009C6238" w:rsidP="00B23997">
      <w:pPr>
        <w:widowControl w:val="0"/>
        <w:ind w:right="432"/>
        <w:jc w:val="center"/>
        <w:rPr>
          <w:rFonts w:cs="Courier New"/>
          <w:b/>
          <w:sz w:val="32"/>
        </w:rPr>
      </w:pPr>
    </w:p>
    <w:p w14:paraId="46FAE440" w14:textId="77777777" w:rsidR="009C6238" w:rsidRPr="00B23997" w:rsidRDefault="009C6238" w:rsidP="00B23997">
      <w:pPr>
        <w:widowControl w:val="0"/>
        <w:ind w:right="432"/>
        <w:jc w:val="center"/>
        <w:rPr>
          <w:rFonts w:cs="Courier New"/>
          <w:b/>
          <w:sz w:val="32"/>
        </w:rPr>
      </w:pPr>
    </w:p>
    <w:p w14:paraId="221358B9" w14:textId="77777777" w:rsidR="00F20BDE" w:rsidRPr="00B23997" w:rsidRDefault="00F20BDE" w:rsidP="00B23997">
      <w:pPr>
        <w:widowControl w:val="0"/>
        <w:ind w:right="432"/>
        <w:jc w:val="center"/>
        <w:rPr>
          <w:rFonts w:cs="Courier New"/>
          <w:b/>
          <w:sz w:val="32"/>
        </w:rPr>
      </w:pPr>
    </w:p>
    <w:p w14:paraId="5B3F7325"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2C31264A" w14:textId="77777777" w:rsidR="009C6238" w:rsidRPr="00B23997" w:rsidRDefault="009C6238" w:rsidP="00B23997">
      <w:pPr>
        <w:widowControl w:val="0"/>
        <w:ind w:right="432"/>
        <w:jc w:val="center"/>
        <w:rPr>
          <w:rFonts w:cs="Courier New"/>
          <w:b/>
          <w:sz w:val="32"/>
        </w:rPr>
      </w:pPr>
      <w:smartTag w:uri="urn:schemas-microsoft-com:office:smarttags" w:element="State">
        <w:smartTag w:uri="urn:schemas-microsoft-com:office:smarttags" w:element="place">
          <w:r w:rsidRPr="00B23997">
            <w:rPr>
              <w:rFonts w:cs="Courier New"/>
              <w:b/>
              <w:sz w:val="32"/>
            </w:rPr>
            <w:t>FLORIDA</w:t>
          </w:r>
        </w:smartTag>
      </w:smartTag>
      <w:r w:rsidRPr="00B23997">
        <w:rPr>
          <w:rFonts w:cs="Courier New"/>
          <w:b/>
          <w:sz w:val="32"/>
        </w:rPr>
        <w:t xml:space="preserve"> PUBLIC SERVICE COMMISSION</w:t>
      </w:r>
    </w:p>
    <w:p w14:paraId="7496A22C" w14:textId="77777777" w:rsidR="009C6238" w:rsidRPr="00B23997" w:rsidRDefault="009C6238" w:rsidP="00B23997">
      <w:pPr>
        <w:widowControl w:val="0"/>
        <w:ind w:right="432"/>
        <w:jc w:val="center"/>
        <w:rPr>
          <w:rFonts w:cs="Courier New"/>
          <w:b/>
          <w:sz w:val="32"/>
        </w:rPr>
      </w:pPr>
    </w:p>
    <w:p w14:paraId="51D86227" w14:textId="77777777" w:rsidR="009C6238" w:rsidRPr="00B23997" w:rsidRDefault="009C6238" w:rsidP="00B23997">
      <w:pPr>
        <w:widowControl w:val="0"/>
        <w:ind w:right="432"/>
        <w:jc w:val="center"/>
        <w:rPr>
          <w:rFonts w:cs="Courier New"/>
          <w:b/>
          <w:sz w:val="32"/>
        </w:rPr>
      </w:pPr>
    </w:p>
    <w:p w14:paraId="753A48DB" w14:textId="2816AB76"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595A35">
        <w:rPr>
          <w:rFonts w:cs="Courier New"/>
          <w:b/>
          <w:sz w:val="32"/>
        </w:rPr>
        <w:t>0023</w:t>
      </w:r>
      <w:r w:rsidR="00595A35" w:rsidRPr="00B23997">
        <w:rPr>
          <w:rFonts w:cs="Courier New"/>
          <w:b/>
          <w:sz w:val="32"/>
        </w:rPr>
        <w:t>-</w:t>
      </w:r>
      <w:r w:rsidR="001E4DDA" w:rsidRPr="00B23997">
        <w:rPr>
          <w:rFonts w:cs="Courier New"/>
          <w:b/>
          <w:sz w:val="32"/>
        </w:rPr>
        <w:t>GU</w:t>
      </w:r>
    </w:p>
    <w:p w14:paraId="5809FFD4" w14:textId="77777777" w:rsidR="008C2D29" w:rsidRPr="00B23997" w:rsidRDefault="008C2D29" w:rsidP="00B23997">
      <w:pPr>
        <w:widowControl w:val="0"/>
        <w:ind w:right="432"/>
        <w:jc w:val="center"/>
        <w:rPr>
          <w:rFonts w:cs="Courier New"/>
          <w:b/>
          <w:sz w:val="32"/>
        </w:rPr>
      </w:pPr>
    </w:p>
    <w:p w14:paraId="48A35086" w14:textId="5A042B2B" w:rsidR="00DF13E8"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FB2C83">
        <w:rPr>
          <w:rFonts w:cs="Courier New"/>
          <w:b/>
          <w:sz w:val="32"/>
        </w:rPr>
        <w:t>R</w:t>
      </w:r>
      <w:r w:rsidR="000D79FB">
        <w:rPr>
          <w:rFonts w:cs="Courier New"/>
          <w:b/>
          <w:sz w:val="32"/>
        </w:rPr>
        <w:t>EASE</w:t>
      </w:r>
      <w:r w:rsidR="004540AE" w:rsidRPr="00B23997">
        <w:rPr>
          <w:rFonts w:cs="Courier New"/>
          <w:b/>
          <w:sz w:val="32"/>
        </w:rPr>
        <w:t xml:space="preserve"> </w:t>
      </w:r>
    </w:p>
    <w:p w14:paraId="12A8550A" w14:textId="0CFCD1AA" w:rsidR="009C6238" w:rsidRPr="00B23997" w:rsidRDefault="00DF13E8" w:rsidP="00B23997">
      <w:pPr>
        <w:widowControl w:val="0"/>
        <w:ind w:right="432"/>
        <w:jc w:val="center"/>
        <w:rPr>
          <w:rFonts w:cs="Courier New"/>
          <w:b/>
          <w:sz w:val="32"/>
        </w:rPr>
      </w:pPr>
      <w:r>
        <w:rPr>
          <w:rFonts w:cs="Courier New"/>
          <w:b/>
          <w:sz w:val="32"/>
        </w:rPr>
        <w:t xml:space="preserve">BY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C53B68">
        <w:rPr>
          <w:rFonts w:cs="Courier New"/>
          <w:b/>
          <w:sz w:val="32"/>
        </w:rPr>
        <w:t xml:space="preserve">, </w:t>
      </w:r>
      <w:r w:rsidR="00FB2C83">
        <w:rPr>
          <w:rFonts w:cs="Courier New"/>
          <w:b/>
          <w:sz w:val="32"/>
        </w:rPr>
        <w:t>INC</w:t>
      </w:r>
      <w:r w:rsidR="00C53B68">
        <w:rPr>
          <w:rFonts w:cs="Courier New"/>
          <w:b/>
          <w:sz w:val="32"/>
        </w:rPr>
        <w:t>.</w:t>
      </w:r>
    </w:p>
    <w:p w14:paraId="5ED31F1F" w14:textId="77777777" w:rsidR="009C6238" w:rsidRPr="00B23997" w:rsidRDefault="009C6238" w:rsidP="00B23997">
      <w:pPr>
        <w:widowControl w:val="0"/>
        <w:ind w:right="432"/>
        <w:jc w:val="center"/>
        <w:rPr>
          <w:rFonts w:cs="Courier New"/>
          <w:b/>
          <w:sz w:val="32"/>
        </w:rPr>
      </w:pPr>
    </w:p>
    <w:p w14:paraId="7EBAD0C8" w14:textId="77777777" w:rsidR="0015250A" w:rsidRPr="00B23997" w:rsidRDefault="0015250A" w:rsidP="00B23997">
      <w:pPr>
        <w:widowControl w:val="0"/>
        <w:ind w:right="432"/>
        <w:jc w:val="center"/>
        <w:rPr>
          <w:rFonts w:cs="Courier New"/>
          <w:b/>
          <w:sz w:val="32"/>
        </w:rPr>
      </w:pPr>
    </w:p>
    <w:p w14:paraId="5FE88DF4" w14:textId="77777777" w:rsidR="009C6238" w:rsidRPr="00B23997" w:rsidRDefault="009C6238" w:rsidP="00B23997">
      <w:pPr>
        <w:widowControl w:val="0"/>
        <w:ind w:right="432"/>
        <w:jc w:val="center"/>
        <w:rPr>
          <w:rFonts w:cs="Courier New"/>
          <w:b/>
          <w:sz w:val="32"/>
        </w:rPr>
      </w:pPr>
    </w:p>
    <w:p w14:paraId="779AA8DF"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034D6E0C"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4C837FBA" w14:textId="70540827" w:rsidR="009C6238" w:rsidRDefault="00B0244A" w:rsidP="00B23997">
      <w:pPr>
        <w:widowControl w:val="0"/>
        <w:ind w:right="432"/>
        <w:jc w:val="center"/>
        <w:rPr>
          <w:rFonts w:cs="Courier New"/>
          <w:b/>
          <w:sz w:val="32"/>
        </w:rPr>
      </w:pPr>
      <w:r>
        <w:rPr>
          <w:rFonts w:cs="Courier New"/>
          <w:b/>
          <w:sz w:val="32"/>
        </w:rPr>
        <w:t>ERIC FOX</w:t>
      </w:r>
    </w:p>
    <w:p w14:paraId="6BC7D358" w14:textId="77777777" w:rsidR="00635F03" w:rsidRDefault="00635F03" w:rsidP="00B23997">
      <w:pPr>
        <w:widowControl w:val="0"/>
        <w:ind w:right="432"/>
        <w:jc w:val="center"/>
        <w:rPr>
          <w:rFonts w:cs="Courier New"/>
          <w:b/>
          <w:sz w:val="32"/>
        </w:rPr>
      </w:pPr>
    </w:p>
    <w:p w14:paraId="6C03C077" w14:textId="77777777" w:rsidR="00635F03" w:rsidRDefault="00635F03" w:rsidP="00B23997">
      <w:pPr>
        <w:widowControl w:val="0"/>
        <w:ind w:right="432"/>
        <w:jc w:val="center"/>
        <w:rPr>
          <w:rFonts w:cs="Courier New"/>
          <w:b/>
          <w:sz w:val="32"/>
        </w:rPr>
      </w:pPr>
      <w:r>
        <w:rPr>
          <w:rFonts w:cs="Courier New"/>
          <w:b/>
          <w:sz w:val="32"/>
        </w:rPr>
        <w:t>ON BEHALF OF</w:t>
      </w:r>
    </w:p>
    <w:p w14:paraId="66FB8BD7" w14:textId="37910D46" w:rsidR="00635F03" w:rsidRDefault="00635F03" w:rsidP="00B23997">
      <w:pPr>
        <w:widowControl w:val="0"/>
        <w:ind w:right="432"/>
        <w:jc w:val="center"/>
        <w:rPr>
          <w:rFonts w:cs="Courier New"/>
          <w:b/>
          <w:sz w:val="32"/>
        </w:rPr>
      </w:pPr>
      <w:r>
        <w:rPr>
          <w:rFonts w:cs="Courier New"/>
          <w:b/>
          <w:sz w:val="32"/>
        </w:rPr>
        <w:t>PEOPLES GAS SYSTEM</w:t>
      </w:r>
      <w:r w:rsidR="00C53B68">
        <w:rPr>
          <w:rFonts w:cs="Courier New"/>
          <w:b/>
          <w:sz w:val="32"/>
        </w:rPr>
        <w:t xml:space="preserve">, </w:t>
      </w:r>
      <w:r w:rsidR="00FB2C83">
        <w:rPr>
          <w:rFonts w:cs="Courier New"/>
          <w:b/>
          <w:sz w:val="32"/>
        </w:rPr>
        <w:t>INC.</w:t>
      </w:r>
    </w:p>
    <w:p w14:paraId="52B716F0" w14:textId="77777777" w:rsidR="009227F9" w:rsidRPr="00B23997" w:rsidRDefault="009227F9" w:rsidP="00B23997">
      <w:pPr>
        <w:widowControl w:val="0"/>
        <w:ind w:right="432"/>
        <w:jc w:val="center"/>
        <w:rPr>
          <w:rFonts w:cs="Courier New"/>
          <w:b/>
          <w:sz w:val="32"/>
        </w:rPr>
      </w:pPr>
    </w:p>
    <w:p w14:paraId="744EC1E4"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B23997">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17145B98" w14:textId="77777777" w:rsidR="00A81010" w:rsidRPr="00A81010" w:rsidRDefault="00A81010" w:rsidP="00A81010">
      <w:pPr>
        <w:widowControl w:val="0"/>
        <w:pBdr>
          <w:left w:val="single" w:sz="4" w:space="4" w:color="auto"/>
          <w:right w:val="single" w:sz="4" w:space="4" w:color="auto"/>
        </w:pBdr>
        <w:tabs>
          <w:tab w:val="left" w:pos="720"/>
        </w:tabs>
        <w:ind w:left="720" w:hanging="720"/>
        <w:jc w:val="center"/>
        <w:rPr>
          <w:rFonts w:cs="Courier New"/>
          <w:b/>
          <w:bCs/>
        </w:rPr>
      </w:pPr>
      <w:r w:rsidRPr="00A81010">
        <w:rPr>
          <w:rFonts w:cs="Courier New"/>
          <w:b/>
          <w:bCs/>
        </w:rPr>
        <w:lastRenderedPageBreak/>
        <w:t>BEFORE THE FLORIDA PUBLIC SERVICE COMMISSION</w:t>
      </w:r>
    </w:p>
    <w:p w14:paraId="030A8DBF" w14:textId="77777777" w:rsidR="00A81010" w:rsidRPr="00A81010" w:rsidRDefault="00A81010" w:rsidP="00A81010">
      <w:pPr>
        <w:widowControl w:val="0"/>
        <w:pBdr>
          <w:left w:val="single" w:sz="4" w:space="4" w:color="auto"/>
          <w:right w:val="single" w:sz="4" w:space="4" w:color="auto"/>
        </w:pBdr>
        <w:tabs>
          <w:tab w:val="left" w:pos="720"/>
        </w:tabs>
        <w:ind w:left="720" w:hanging="720"/>
        <w:jc w:val="center"/>
        <w:rPr>
          <w:rFonts w:cs="Courier New"/>
          <w:b/>
          <w:bCs/>
        </w:rPr>
      </w:pPr>
      <w:r w:rsidRPr="00A81010">
        <w:rPr>
          <w:rFonts w:cs="Courier New"/>
          <w:b/>
          <w:bCs/>
        </w:rPr>
        <w:t>PREPARED DIRECT TESTIMONY</w:t>
      </w:r>
    </w:p>
    <w:p w14:paraId="46EC7C5A" w14:textId="77777777" w:rsidR="00A81010" w:rsidRPr="00A81010" w:rsidRDefault="00A81010" w:rsidP="00A81010">
      <w:pPr>
        <w:widowControl w:val="0"/>
        <w:pBdr>
          <w:left w:val="single" w:sz="4" w:space="4" w:color="auto"/>
          <w:right w:val="single" w:sz="4" w:space="4" w:color="auto"/>
        </w:pBdr>
        <w:tabs>
          <w:tab w:val="left" w:pos="720"/>
        </w:tabs>
        <w:ind w:left="720" w:hanging="720"/>
        <w:jc w:val="center"/>
        <w:rPr>
          <w:rFonts w:cs="Courier New"/>
          <w:b/>
          <w:bCs/>
        </w:rPr>
      </w:pPr>
      <w:r w:rsidRPr="00A81010">
        <w:rPr>
          <w:rFonts w:cs="Courier New"/>
          <w:b/>
          <w:bCs/>
        </w:rPr>
        <w:t>OF</w:t>
      </w:r>
    </w:p>
    <w:p w14:paraId="796B69BA" w14:textId="6C00CCFC" w:rsidR="00A81010" w:rsidRPr="00A81010" w:rsidRDefault="00A81010" w:rsidP="00A81010">
      <w:pPr>
        <w:widowControl w:val="0"/>
        <w:pBdr>
          <w:left w:val="single" w:sz="4" w:space="4" w:color="auto"/>
          <w:right w:val="single" w:sz="4" w:space="4" w:color="auto"/>
        </w:pBdr>
        <w:tabs>
          <w:tab w:val="left" w:pos="720"/>
        </w:tabs>
        <w:ind w:left="720" w:hanging="720"/>
        <w:jc w:val="center"/>
        <w:rPr>
          <w:rFonts w:cs="Courier New"/>
          <w:b/>
          <w:bCs/>
        </w:rPr>
      </w:pPr>
      <w:r w:rsidRPr="00A81010">
        <w:rPr>
          <w:rFonts w:cs="Courier New"/>
          <w:b/>
          <w:bCs/>
        </w:rPr>
        <w:t>ERIC FOX</w:t>
      </w:r>
    </w:p>
    <w:p w14:paraId="002E0568" w14:textId="28C3FE08" w:rsidR="00911275" w:rsidRDefault="00A81010" w:rsidP="00A81010">
      <w:pPr>
        <w:widowControl w:val="0"/>
        <w:pBdr>
          <w:left w:val="single" w:sz="4" w:space="4" w:color="auto"/>
          <w:right w:val="single" w:sz="4" w:space="4" w:color="auto"/>
        </w:pBdr>
        <w:tabs>
          <w:tab w:val="left" w:pos="720"/>
        </w:tabs>
        <w:ind w:left="720" w:hanging="720"/>
        <w:jc w:val="center"/>
        <w:rPr>
          <w:rFonts w:cs="Courier New"/>
          <w:b/>
          <w:bCs/>
        </w:rPr>
      </w:pPr>
      <w:r w:rsidRPr="00A81010">
        <w:rPr>
          <w:rFonts w:cs="Courier New"/>
          <w:b/>
          <w:bCs/>
        </w:rPr>
        <w:t>ON BEHALF OF PEOPLES GAS SYSTEM, INC.</w:t>
      </w:r>
    </w:p>
    <w:p w14:paraId="0E7B05E7" w14:textId="77777777" w:rsidR="00043C81" w:rsidRPr="00A81010" w:rsidRDefault="00043C81" w:rsidP="00A81010">
      <w:pPr>
        <w:widowControl w:val="0"/>
        <w:pBdr>
          <w:left w:val="single" w:sz="4" w:space="4" w:color="auto"/>
          <w:right w:val="single" w:sz="4" w:space="4" w:color="auto"/>
        </w:pBdr>
        <w:tabs>
          <w:tab w:val="left" w:pos="720"/>
        </w:tabs>
        <w:ind w:left="720" w:hanging="720"/>
        <w:jc w:val="center"/>
        <w:rPr>
          <w:rFonts w:cs="Courier New"/>
          <w:b/>
          <w:bCs/>
        </w:rPr>
      </w:pPr>
    </w:p>
    <w:p w14:paraId="00921FBB" w14:textId="6BCE3362" w:rsidR="0033341D" w:rsidRPr="00B23997"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33341D" w:rsidRPr="00A81010">
        <w:rPr>
          <w:rFonts w:cs="Courier New"/>
        </w:rPr>
        <w:t>Please state your name, address, occupation and employer.</w:t>
      </w:r>
    </w:p>
    <w:p w14:paraId="00D7FE37" w14:textId="77777777" w:rsidR="0033341D" w:rsidRPr="00B23997" w:rsidRDefault="0033341D" w:rsidP="00A81010">
      <w:pPr>
        <w:widowControl w:val="0"/>
        <w:pBdr>
          <w:left w:val="single" w:sz="4" w:space="4" w:color="auto"/>
          <w:right w:val="single" w:sz="4" w:space="4" w:color="auto"/>
        </w:pBdr>
        <w:tabs>
          <w:tab w:val="left" w:pos="720"/>
        </w:tabs>
        <w:ind w:left="720" w:hanging="720"/>
        <w:jc w:val="both"/>
        <w:rPr>
          <w:rFonts w:cs="Courier New"/>
        </w:rPr>
      </w:pPr>
    </w:p>
    <w:p w14:paraId="79402515" w14:textId="3D650C87" w:rsidR="00262F53" w:rsidRPr="00A81010"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A.</w:t>
      </w:r>
      <w:r w:rsidRPr="00A81010">
        <w:rPr>
          <w:rFonts w:cs="Courier New"/>
          <w:b/>
          <w:bCs/>
        </w:rPr>
        <w:tab/>
      </w:r>
      <w:r w:rsidR="00BA2821" w:rsidRPr="00A81010">
        <w:rPr>
          <w:rFonts w:cs="Courier New"/>
        </w:rPr>
        <w:t>My name is Eric Fox. My business address is 20 Park Plaza, Suite 428, Boston, Massachusetts 02116</w:t>
      </w:r>
      <w:r w:rsidR="002D523F" w:rsidRPr="00A81010">
        <w:rPr>
          <w:rFonts w:cs="Courier New"/>
        </w:rPr>
        <w:t>.</w:t>
      </w:r>
      <w:r w:rsidR="0058170B" w:rsidRPr="00A81010">
        <w:rPr>
          <w:rFonts w:cs="Courier New"/>
        </w:rPr>
        <w:t xml:space="preserve"> I am employed by Itron, Inc.</w:t>
      </w:r>
    </w:p>
    <w:p w14:paraId="2CDB9663" w14:textId="77777777" w:rsidR="00262F53" w:rsidRPr="00A81010" w:rsidRDefault="00262F53" w:rsidP="00A81010">
      <w:pPr>
        <w:widowControl w:val="0"/>
        <w:pBdr>
          <w:left w:val="single" w:sz="4" w:space="4" w:color="auto"/>
          <w:right w:val="single" w:sz="4" w:space="4" w:color="auto"/>
        </w:pBdr>
        <w:tabs>
          <w:tab w:val="left" w:pos="720"/>
        </w:tabs>
        <w:ind w:left="720" w:hanging="720"/>
        <w:jc w:val="both"/>
        <w:rPr>
          <w:rFonts w:cs="Courier New"/>
        </w:rPr>
      </w:pPr>
    </w:p>
    <w:p w14:paraId="4C503811" w14:textId="790FC4A3" w:rsidR="0033341D"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33341D" w:rsidRPr="00B23997">
        <w:rPr>
          <w:rFonts w:cs="Courier New"/>
        </w:rPr>
        <w:t>Please describe your duties and responsibilities in that position</w:t>
      </w:r>
      <w:r w:rsidR="00262F53" w:rsidRPr="00B23997">
        <w:rPr>
          <w:rFonts w:cs="Courier New"/>
        </w:rPr>
        <w:t>.</w:t>
      </w:r>
    </w:p>
    <w:p w14:paraId="75AEA210" w14:textId="77777777" w:rsidR="00922BAD" w:rsidRPr="00B23997" w:rsidRDefault="00922BAD" w:rsidP="00A81010">
      <w:pPr>
        <w:widowControl w:val="0"/>
        <w:pBdr>
          <w:left w:val="single" w:sz="4" w:space="4" w:color="auto"/>
          <w:right w:val="single" w:sz="4" w:space="4" w:color="auto"/>
        </w:pBdr>
        <w:tabs>
          <w:tab w:val="left" w:pos="720"/>
        </w:tabs>
        <w:ind w:left="720" w:hanging="720"/>
        <w:jc w:val="both"/>
        <w:rPr>
          <w:rFonts w:cs="Courier New"/>
        </w:rPr>
      </w:pPr>
    </w:p>
    <w:p w14:paraId="3C83B121" w14:textId="1F92E45E" w:rsidR="0033341D" w:rsidRPr="00B23997"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A.</w:t>
      </w:r>
      <w:r w:rsidRPr="00A81010">
        <w:rPr>
          <w:rFonts w:cs="Courier New"/>
          <w:b/>
          <w:bCs/>
        </w:rPr>
        <w:tab/>
      </w:r>
      <w:r w:rsidR="00BA2821">
        <w:rPr>
          <w:rFonts w:cs="Courier New"/>
        </w:rPr>
        <w:t>I am Director, Forecast Solutions</w:t>
      </w:r>
      <w:r w:rsidR="0058170B">
        <w:rPr>
          <w:rFonts w:cs="Courier New"/>
        </w:rPr>
        <w:t>,</w:t>
      </w:r>
      <w:r w:rsidR="00BA2821">
        <w:rPr>
          <w:rFonts w:cs="Courier New"/>
        </w:rPr>
        <w:t xml:space="preserve"> where I am responsible for supporting utilities, ISOs, and transmission companies’ sales and energy forecasting requirements. My work also includes providing forecast and modeling training, supporting Itron’s Energy Forecasting Group (EFG), providing regulatory support, and managing the Boston office forecasting group. </w:t>
      </w:r>
    </w:p>
    <w:p w14:paraId="232F075F" w14:textId="77777777" w:rsidR="00262F53" w:rsidRPr="00B23997" w:rsidRDefault="00262F53" w:rsidP="00A81010">
      <w:pPr>
        <w:widowControl w:val="0"/>
        <w:pBdr>
          <w:left w:val="single" w:sz="4" w:space="4" w:color="auto"/>
          <w:right w:val="single" w:sz="4" w:space="4" w:color="auto"/>
        </w:pBdr>
        <w:tabs>
          <w:tab w:val="left" w:pos="720"/>
        </w:tabs>
        <w:ind w:left="720" w:hanging="720"/>
        <w:jc w:val="both"/>
        <w:rPr>
          <w:rFonts w:cs="Courier New"/>
        </w:rPr>
      </w:pPr>
    </w:p>
    <w:p w14:paraId="5E3A8CD2" w14:textId="7362B2C1" w:rsidR="0033341D"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33341D" w:rsidRPr="00B23997">
        <w:rPr>
          <w:rFonts w:cs="Courier New"/>
        </w:rPr>
        <w:t>Please provide a brief outline of your educational background</w:t>
      </w:r>
      <w:r w:rsidR="00A218E6">
        <w:rPr>
          <w:rFonts w:cs="Courier New"/>
        </w:rPr>
        <w:t>,</w:t>
      </w:r>
      <w:r w:rsidR="0033341D" w:rsidRPr="00B23997">
        <w:rPr>
          <w:rFonts w:cs="Courier New"/>
        </w:rPr>
        <w:t xml:space="preserve"> </w:t>
      </w:r>
      <w:r w:rsidR="00A218E6">
        <w:rPr>
          <w:rFonts w:cs="Courier New"/>
        </w:rPr>
        <w:t xml:space="preserve">work, and regulatory </w:t>
      </w:r>
      <w:r w:rsidR="0033341D" w:rsidRPr="00B23997">
        <w:rPr>
          <w:rFonts w:cs="Courier New"/>
        </w:rPr>
        <w:t>experience.</w:t>
      </w:r>
    </w:p>
    <w:p w14:paraId="2AD9A485" w14:textId="77777777" w:rsidR="001B75BA" w:rsidRDefault="001B75BA" w:rsidP="00A81010">
      <w:pPr>
        <w:widowControl w:val="0"/>
        <w:pBdr>
          <w:left w:val="single" w:sz="4" w:space="4" w:color="auto"/>
          <w:right w:val="single" w:sz="4" w:space="4" w:color="auto"/>
        </w:pBdr>
        <w:tabs>
          <w:tab w:val="left" w:pos="720"/>
        </w:tabs>
        <w:ind w:left="720" w:hanging="720"/>
        <w:jc w:val="both"/>
        <w:rPr>
          <w:rFonts w:cs="Courier New"/>
        </w:rPr>
      </w:pPr>
    </w:p>
    <w:p w14:paraId="6BAD043C" w14:textId="35608B35" w:rsidR="00922BAD"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lastRenderedPageBreak/>
        <w:t>A.</w:t>
      </w:r>
      <w:r w:rsidRPr="00A81010">
        <w:rPr>
          <w:rFonts w:cs="Courier New"/>
          <w:b/>
          <w:bCs/>
        </w:rPr>
        <w:tab/>
      </w:r>
      <w:r w:rsidR="00D96D79" w:rsidRPr="00D96D79">
        <w:rPr>
          <w:rFonts w:cs="Courier New"/>
        </w:rPr>
        <w:t>I received my Master of Arts in Economics from San Diego State University in 1984 and my Bachelor of Arts in Economics from San Diego State University in 1981. While attending graduate school, I worked for Regional Economic Research, Inc. (“RER”) as an SAS programmer. After graduating, I worked as an Analyst in the Forecasting Department of San Diego Gas &amp; Electric. I was later promoted to Senior Analyst in the Rate Department. I also taught statistics in the Economics Department of San Diego State University on a part-time basis.</w:t>
      </w:r>
    </w:p>
    <w:p w14:paraId="41AC93EB" w14:textId="77777777" w:rsidR="00922BAD" w:rsidRDefault="00922BAD" w:rsidP="00A81010">
      <w:pPr>
        <w:widowControl w:val="0"/>
        <w:pBdr>
          <w:left w:val="single" w:sz="4" w:space="4" w:color="auto"/>
          <w:right w:val="single" w:sz="4" w:space="4" w:color="auto"/>
        </w:pBdr>
        <w:tabs>
          <w:tab w:val="left" w:pos="720"/>
        </w:tabs>
        <w:ind w:left="720" w:hanging="720"/>
        <w:jc w:val="both"/>
        <w:rPr>
          <w:rFonts w:cs="Courier New"/>
        </w:rPr>
      </w:pPr>
    </w:p>
    <w:p w14:paraId="385A2768" w14:textId="6DD4A022" w:rsidR="00922BAD" w:rsidRPr="00A81010" w:rsidRDefault="00922BAD" w:rsidP="64B93FBF">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9A04A9">
        <w:rPr>
          <w:rFonts w:cs="Courier New"/>
        </w:rPr>
        <w:t>I</w:t>
      </w:r>
      <w:r w:rsidR="00D96D79" w:rsidRPr="00A81010">
        <w:rPr>
          <w:rFonts w:cs="Courier New"/>
        </w:rPr>
        <w:t>n 1986, I was employed by RER as a Senior Analyst. I worked at RER for three years before moving to Boston and taking a position with New England Electric as a Senior Analyst in the Forecasting Group. I was later promoted to Manager of Load Research.  In 1994, I left New England Electric to open the Boston office for RER, which was acquired by Itron in 2002.</w:t>
      </w:r>
    </w:p>
    <w:p w14:paraId="146D8BB2" w14:textId="77777777" w:rsidR="00922BAD" w:rsidRPr="00A81010" w:rsidRDefault="00922BAD" w:rsidP="00A81010">
      <w:pPr>
        <w:widowControl w:val="0"/>
        <w:pBdr>
          <w:left w:val="single" w:sz="4" w:space="4" w:color="auto"/>
          <w:right w:val="single" w:sz="4" w:space="4" w:color="auto"/>
        </w:pBdr>
        <w:tabs>
          <w:tab w:val="left" w:pos="720"/>
        </w:tabs>
        <w:ind w:left="720" w:hanging="720"/>
        <w:jc w:val="both"/>
        <w:rPr>
          <w:rFonts w:cs="Courier New"/>
        </w:rPr>
      </w:pPr>
    </w:p>
    <w:p w14:paraId="6F60B351" w14:textId="720935D9" w:rsidR="00922BAD" w:rsidRPr="00A81010" w:rsidRDefault="00922BAD" w:rsidP="64B93FBF">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rPr>
        <w:tab/>
      </w:r>
      <w:r w:rsidR="00D96D79" w:rsidRPr="00A81010">
        <w:rPr>
          <w:rFonts w:cs="Courier New"/>
        </w:rPr>
        <w:t xml:space="preserve">Over the last 30 years, I have provided support for a wide range of utility operations and planning requirements, including forecasting, load research, weather normalization, rate design, financial analysis, and conservation and load management program evaluation. Clients include traditional integrated utilities, distribution companies, independent system operators, generation and power trading companies, and energy retailers. I have presented various forecasting and </w:t>
      </w:r>
      <w:r w:rsidR="00D96D79" w:rsidRPr="00A81010">
        <w:rPr>
          <w:rFonts w:cs="Courier New"/>
        </w:rPr>
        <w:lastRenderedPageBreak/>
        <w:t xml:space="preserve">energy analysis topics at numerous forecasting conferences and forums. I also direct electric and gas forecasting workshops that focus on estimating econometric models and using statistical-based models for monthly sales and customer forecasting, weather normalization, and calculation of billed and unbilled sales. Over the last twenty years, I have provided forecast training to several hundred analysts </w:t>
      </w:r>
      <w:r w:rsidR="00D411FA" w:rsidRPr="00A81010">
        <w:rPr>
          <w:rFonts w:cs="Courier New"/>
        </w:rPr>
        <w:t xml:space="preserve">from utilities </w:t>
      </w:r>
      <w:r w:rsidR="00D96D79" w:rsidRPr="00A81010">
        <w:rPr>
          <w:rFonts w:cs="Courier New"/>
        </w:rPr>
        <w:t xml:space="preserve">and other </w:t>
      </w:r>
      <w:r w:rsidR="00D411FA" w:rsidRPr="00A81010">
        <w:rPr>
          <w:rFonts w:cs="Courier New"/>
        </w:rPr>
        <w:t>industries</w:t>
      </w:r>
      <w:r w:rsidR="00D96D79" w:rsidRPr="00A81010">
        <w:rPr>
          <w:rFonts w:cs="Courier New"/>
        </w:rPr>
        <w:t>.</w:t>
      </w:r>
      <w:r w:rsidRPr="00A81010">
        <w:rPr>
          <w:rFonts w:cs="Courier New"/>
        </w:rPr>
        <w:t xml:space="preserve"> </w:t>
      </w:r>
    </w:p>
    <w:p w14:paraId="57AFC234" w14:textId="77777777" w:rsidR="00922BAD" w:rsidRPr="00A81010" w:rsidRDefault="00922BAD" w:rsidP="00A81010">
      <w:pPr>
        <w:widowControl w:val="0"/>
        <w:pBdr>
          <w:left w:val="single" w:sz="4" w:space="4" w:color="auto"/>
          <w:right w:val="single" w:sz="4" w:space="4" w:color="auto"/>
        </w:pBdr>
        <w:tabs>
          <w:tab w:val="left" w:pos="720"/>
        </w:tabs>
        <w:ind w:left="720" w:hanging="720"/>
        <w:jc w:val="both"/>
        <w:rPr>
          <w:rFonts w:cs="Courier New"/>
        </w:rPr>
      </w:pPr>
    </w:p>
    <w:p w14:paraId="1CDD49F6" w14:textId="3F1A2A83" w:rsidR="00A218E6" w:rsidRPr="00A81010" w:rsidRDefault="00922BAD" w:rsidP="64B93FBF">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rPr>
        <w:tab/>
      </w:r>
      <w:r w:rsidR="00D96D79" w:rsidRPr="00A81010">
        <w:rPr>
          <w:rFonts w:cs="Courier New"/>
        </w:rPr>
        <w:t xml:space="preserve">In the area of forecasting, I have implemented and directed numerous forecasts to support utility financial planning and long-term resource planning. Recent works include developing and supporting </w:t>
      </w:r>
      <w:r w:rsidR="008204E4">
        <w:rPr>
          <w:rFonts w:cs="Courier New"/>
        </w:rPr>
        <w:t xml:space="preserve">an </w:t>
      </w:r>
      <w:r w:rsidR="00D96D79" w:rsidRPr="00A81010">
        <w:rPr>
          <w:rFonts w:cs="Courier New"/>
        </w:rPr>
        <w:t>energy and demand forecast for AES Indiana</w:t>
      </w:r>
      <w:r w:rsidR="008204E4">
        <w:rPr>
          <w:rFonts w:cs="Courier New"/>
        </w:rPr>
        <w:t>’s</w:t>
      </w:r>
      <w:r w:rsidR="00D96D79" w:rsidRPr="00A81010">
        <w:rPr>
          <w:rFonts w:cs="Courier New"/>
        </w:rPr>
        <w:t xml:space="preserve"> Integrated Resource Plan (IRP), developing </w:t>
      </w:r>
      <w:r w:rsidR="00D411FA" w:rsidRPr="00A81010">
        <w:rPr>
          <w:rFonts w:cs="Courier New"/>
        </w:rPr>
        <w:t xml:space="preserve">a </w:t>
      </w:r>
      <w:r w:rsidR="00D96D79" w:rsidRPr="00A81010">
        <w:rPr>
          <w:rFonts w:cs="Courier New"/>
        </w:rPr>
        <w:t>set of recommendations for improving the PJM system long-term load forecast, conducting commercial end-use analysis for the New York ISO</w:t>
      </w:r>
      <w:r w:rsidR="00C4318B">
        <w:rPr>
          <w:rFonts w:cs="Courier New"/>
        </w:rPr>
        <w:t xml:space="preserve"> (</w:t>
      </w:r>
      <w:r w:rsidR="00D96D79" w:rsidRPr="00A81010">
        <w:rPr>
          <w:rFonts w:cs="Courier New"/>
        </w:rPr>
        <w:t>I</w:t>
      </w:r>
      <w:r w:rsidR="00C4318B">
        <w:rPr>
          <w:rFonts w:cs="Courier New"/>
        </w:rPr>
        <w:t xml:space="preserve">ndependent </w:t>
      </w:r>
      <w:r w:rsidR="00D96D79" w:rsidRPr="00A81010">
        <w:rPr>
          <w:rFonts w:cs="Courier New"/>
        </w:rPr>
        <w:t>S</w:t>
      </w:r>
      <w:r w:rsidR="00C4318B">
        <w:rPr>
          <w:rFonts w:cs="Courier New"/>
        </w:rPr>
        <w:t xml:space="preserve">ystem </w:t>
      </w:r>
      <w:r w:rsidR="00D96D79" w:rsidRPr="00A81010">
        <w:rPr>
          <w:rFonts w:cs="Courier New"/>
        </w:rPr>
        <w:t>O</w:t>
      </w:r>
      <w:r w:rsidR="00C4318B">
        <w:rPr>
          <w:rFonts w:cs="Courier New"/>
        </w:rPr>
        <w:t>perator)</w:t>
      </w:r>
      <w:r w:rsidR="00D96D79" w:rsidRPr="00A81010">
        <w:rPr>
          <w:rFonts w:cs="Courier New"/>
        </w:rPr>
        <w:t xml:space="preserve">, and assessing temperature trends and incorporating these trends in normalizing historical test-year sales for Sierra Pacific. </w:t>
      </w:r>
    </w:p>
    <w:p w14:paraId="48E69CE7" w14:textId="77777777" w:rsidR="00A218E6" w:rsidRPr="00A81010" w:rsidRDefault="00A218E6"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rPr>
        <w:tab/>
      </w:r>
    </w:p>
    <w:p w14:paraId="2A84F0B4" w14:textId="33CBBF8F" w:rsidR="00C53B68" w:rsidRPr="00A81010" w:rsidRDefault="00A218E6" w:rsidP="64B93FBF">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rPr>
        <w:tab/>
        <w:t>I</w:t>
      </w:r>
      <w:r w:rsidR="00C52B44" w:rsidRPr="00A81010">
        <w:rPr>
          <w:rFonts w:cs="Courier New"/>
        </w:rPr>
        <w:t xml:space="preserve"> have</w:t>
      </w:r>
      <w:r w:rsidRPr="00A81010">
        <w:rPr>
          <w:rFonts w:cs="Courier New"/>
        </w:rPr>
        <w:t xml:space="preserve"> provided direct testimony as part of both rate and resource planning filings.  </w:t>
      </w:r>
      <w:r w:rsidR="00606DC3">
        <w:rPr>
          <w:rFonts w:cs="Courier New"/>
        </w:rPr>
        <w:t>My previous t</w:t>
      </w:r>
      <w:r w:rsidRPr="00A81010">
        <w:rPr>
          <w:rFonts w:cs="Courier New"/>
        </w:rPr>
        <w:t>estimony include</w:t>
      </w:r>
      <w:r w:rsidR="00C52B44" w:rsidRPr="00A81010">
        <w:rPr>
          <w:rFonts w:cs="Courier New"/>
        </w:rPr>
        <w:t>s</w:t>
      </w:r>
      <w:r w:rsidRPr="00A81010">
        <w:rPr>
          <w:rFonts w:cs="Courier New"/>
        </w:rPr>
        <w:t xml:space="preserve"> supporting sales weather normalization for historical rate case test years and forecasts for rate case future test years and long-term resource planning.  </w:t>
      </w:r>
      <w:r w:rsidR="00BB6F7B" w:rsidRPr="00A81010">
        <w:rPr>
          <w:rFonts w:cs="Courier New"/>
        </w:rPr>
        <w:t>Further details of m</w:t>
      </w:r>
      <w:r w:rsidR="00C53B68" w:rsidRPr="00A81010">
        <w:rPr>
          <w:rFonts w:cs="Courier New"/>
        </w:rPr>
        <w:t xml:space="preserve">y work </w:t>
      </w:r>
      <w:r w:rsidR="00C53B68" w:rsidRPr="00A81010">
        <w:rPr>
          <w:rFonts w:cs="Courier New"/>
        </w:rPr>
        <w:lastRenderedPageBreak/>
        <w:t xml:space="preserve">and regulatory experience </w:t>
      </w:r>
      <w:r w:rsidR="00606DC3">
        <w:rPr>
          <w:rFonts w:cs="Courier New"/>
        </w:rPr>
        <w:t>are</w:t>
      </w:r>
      <w:r w:rsidR="00C53B68" w:rsidRPr="00A81010">
        <w:rPr>
          <w:rFonts w:cs="Courier New"/>
        </w:rPr>
        <w:t xml:space="preserve"> included in </w:t>
      </w:r>
      <w:r w:rsidR="00D230F7">
        <w:rPr>
          <w:rFonts w:cs="Courier New"/>
        </w:rPr>
        <w:t xml:space="preserve">Document No. </w:t>
      </w:r>
      <w:r w:rsidR="00506C7A">
        <w:rPr>
          <w:rFonts w:cs="Courier New"/>
        </w:rPr>
        <w:t>2</w:t>
      </w:r>
      <w:r w:rsidR="00D230F7">
        <w:rPr>
          <w:rFonts w:cs="Courier New"/>
        </w:rPr>
        <w:t xml:space="preserve"> of </w:t>
      </w:r>
      <w:r w:rsidR="00CB729D" w:rsidRPr="00A81010">
        <w:rPr>
          <w:rFonts w:cs="Courier New"/>
        </w:rPr>
        <w:t xml:space="preserve">my </w:t>
      </w:r>
      <w:r w:rsidR="00746F80">
        <w:rPr>
          <w:rFonts w:cs="Courier New"/>
        </w:rPr>
        <w:t>E</w:t>
      </w:r>
      <w:r w:rsidR="00C53B68" w:rsidRPr="00A81010">
        <w:rPr>
          <w:rFonts w:cs="Courier New"/>
        </w:rPr>
        <w:t>xhibit</w:t>
      </w:r>
      <w:r w:rsidR="00746F80">
        <w:rPr>
          <w:rFonts w:cs="Courier New"/>
        </w:rPr>
        <w:t xml:space="preserve"> No. EF-1</w:t>
      </w:r>
      <w:r w:rsidR="00C53B68" w:rsidRPr="00A81010">
        <w:rPr>
          <w:rFonts w:cs="Courier New"/>
        </w:rPr>
        <w:t>.</w:t>
      </w:r>
    </w:p>
    <w:p w14:paraId="57B9F2CC" w14:textId="77777777" w:rsidR="00C53B68" w:rsidRPr="00A81010" w:rsidRDefault="00C53B68" w:rsidP="00A81010">
      <w:pPr>
        <w:widowControl w:val="0"/>
        <w:pBdr>
          <w:left w:val="single" w:sz="4" w:space="4" w:color="auto"/>
          <w:right w:val="single" w:sz="4" w:space="4" w:color="auto"/>
        </w:pBdr>
        <w:tabs>
          <w:tab w:val="left" w:pos="720"/>
        </w:tabs>
        <w:ind w:left="720" w:hanging="720"/>
        <w:jc w:val="both"/>
        <w:rPr>
          <w:rFonts w:cs="Courier New"/>
        </w:rPr>
      </w:pPr>
    </w:p>
    <w:p w14:paraId="37BD47DC" w14:textId="765A7223" w:rsidR="00C53B68" w:rsidRPr="00A81010"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C53B68" w:rsidRPr="00A81010">
        <w:rPr>
          <w:rFonts w:cs="Courier New"/>
        </w:rPr>
        <w:t>H</w:t>
      </w:r>
      <w:r w:rsidR="00C52B44" w:rsidRPr="00A81010">
        <w:rPr>
          <w:rFonts w:cs="Courier New"/>
        </w:rPr>
        <w:t xml:space="preserve">ave </w:t>
      </w:r>
      <w:r w:rsidR="00C53B68" w:rsidRPr="00A81010">
        <w:rPr>
          <w:rFonts w:cs="Courier New"/>
        </w:rPr>
        <w:t xml:space="preserve">you </w:t>
      </w:r>
      <w:r w:rsidR="00C52B44" w:rsidRPr="00A81010">
        <w:rPr>
          <w:rFonts w:cs="Courier New"/>
        </w:rPr>
        <w:t>provided testimony before the Florida Public Service Commission</w:t>
      </w:r>
      <w:r w:rsidR="00C53B68" w:rsidRPr="00A81010">
        <w:rPr>
          <w:rFonts w:cs="Courier New"/>
        </w:rPr>
        <w:t>?</w:t>
      </w:r>
      <w:r w:rsidR="00C52B44" w:rsidRPr="00A81010">
        <w:rPr>
          <w:rFonts w:cs="Courier New"/>
        </w:rPr>
        <w:t xml:space="preserve"> </w:t>
      </w:r>
    </w:p>
    <w:p w14:paraId="4A7D0441" w14:textId="77777777" w:rsidR="00C53B68" w:rsidRPr="00A81010" w:rsidRDefault="00C53B68" w:rsidP="00A81010">
      <w:pPr>
        <w:widowControl w:val="0"/>
        <w:pBdr>
          <w:left w:val="single" w:sz="4" w:space="4" w:color="auto"/>
          <w:right w:val="single" w:sz="4" w:space="4" w:color="auto"/>
        </w:pBdr>
        <w:tabs>
          <w:tab w:val="left" w:pos="720"/>
        </w:tabs>
        <w:ind w:left="720" w:hanging="720"/>
        <w:jc w:val="both"/>
        <w:rPr>
          <w:rFonts w:cs="Courier New"/>
        </w:rPr>
      </w:pPr>
    </w:p>
    <w:p w14:paraId="178B3768" w14:textId="6DF4DE5B" w:rsidR="006A460E" w:rsidRPr="00A81010" w:rsidRDefault="00A81010" w:rsidP="04F9A55C">
      <w:pPr>
        <w:widowControl w:val="0"/>
        <w:pBdr>
          <w:left w:val="single" w:sz="4" w:space="4" w:color="auto"/>
          <w:right w:val="single" w:sz="4" w:space="4" w:color="auto"/>
        </w:pBdr>
        <w:tabs>
          <w:tab w:val="left" w:pos="720"/>
        </w:tabs>
        <w:ind w:left="720" w:hanging="720"/>
        <w:jc w:val="both"/>
        <w:rPr>
          <w:rFonts w:cs="Courier New"/>
        </w:rPr>
      </w:pPr>
      <w:r w:rsidRPr="04F9A55C">
        <w:rPr>
          <w:rFonts w:cs="Courier New"/>
          <w:b/>
          <w:bCs/>
        </w:rPr>
        <w:t>A.</w:t>
      </w:r>
      <w:r>
        <w:tab/>
      </w:r>
      <w:r w:rsidR="00C53B68" w:rsidRPr="04F9A55C">
        <w:rPr>
          <w:rFonts w:cs="Courier New"/>
        </w:rPr>
        <w:t xml:space="preserve">Yes. I have provided testimony </w:t>
      </w:r>
      <w:r w:rsidR="00C52B44" w:rsidRPr="04F9A55C">
        <w:rPr>
          <w:rFonts w:cs="Courier New"/>
        </w:rPr>
        <w:t>supporting the long-term forecast in Orlando Utilities</w:t>
      </w:r>
      <w:r w:rsidR="00E120A6" w:rsidRPr="04F9A55C">
        <w:rPr>
          <w:rFonts w:cs="Courier New"/>
        </w:rPr>
        <w:t xml:space="preserve"> Commission’s</w:t>
      </w:r>
      <w:r w:rsidR="00C52B44" w:rsidRPr="04F9A55C">
        <w:rPr>
          <w:rFonts w:cs="Courier New"/>
        </w:rPr>
        <w:t xml:space="preserve"> 2006 </w:t>
      </w:r>
      <w:r w:rsidR="00E120A6" w:rsidRPr="04F9A55C">
        <w:rPr>
          <w:rFonts w:cs="Courier New"/>
        </w:rPr>
        <w:t>determination of need for the</w:t>
      </w:r>
      <w:r w:rsidR="006A460E" w:rsidRPr="04F9A55C">
        <w:rPr>
          <w:rFonts w:cs="Courier New"/>
        </w:rPr>
        <w:t xml:space="preserve"> Stanton Energy Center (Docket </w:t>
      </w:r>
      <w:r w:rsidR="00234AE9" w:rsidRPr="04F9A55C">
        <w:rPr>
          <w:rFonts w:cs="Courier New"/>
        </w:rPr>
        <w:t>20</w:t>
      </w:r>
      <w:r w:rsidR="006A460E" w:rsidRPr="04F9A55C">
        <w:rPr>
          <w:rFonts w:cs="Courier New"/>
        </w:rPr>
        <w:t xml:space="preserve">060155-EM), and review and assessment of Tampa Electric Company’s 2013 </w:t>
      </w:r>
      <w:r w:rsidR="0041304B">
        <w:rPr>
          <w:rFonts w:cs="Courier New"/>
        </w:rPr>
        <w:t>base rate proceeding, (D</w:t>
      </w:r>
      <w:r w:rsidR="006A460E" w:rsidRPr="04F9A55C">
        <w:rPr>
          <w:rFonts w:cs="Courier New"/>
        </w:rPr>
        <w:t xml:space="preserve">ocket </w:t>
      </w:r>
      <w:r w:rsidR="00234AE9" w:rsidRPr="04F9A55C">
        <w:rPr>
          <w:rFonts w:cs="Courier New"/>
        </w:rPr>
        <w:t>20</w:t>
      </w:r>
      <w:r w:rsidR="006A460E" w:rsidRPr="04F9A55C">
        <w:rPr>
          <w:rFonts w:cs="Courier New"/>
        </w:rPr>
        <w:t>130040-EI</w:t>
      </w:r>
      <w:r w:rsidR="0041304B">
        <w:rPr>
          <w:rFonts w:cs="Courier New"/>
        </w:rPr>
        <w:t>)</w:t>
      </w:r>
      <w:r w:rsidR="006A460E" w:rsidRPr="04F9A55C">
        <w:rPr>
          <w:rFonts w:cs="Courier New"/>
        </w:rPr>
        <w:t>.</w:t>
      </w:r>
    </w:p>
    <w:p w14:paraId="37C5587F" w14:textId="33708B89" w:rsidR="0033341D" w:rsidRPr="00D96D79" w:rsidRDefault="0033341D" w:rsidP="00A81010">
      <w:pPr>
        <w:widowControl w:val="0"/>
        <w:pBdr>
          <w:left w:val="single" w:sz="4" w:space="4" w:color="auto"/>
          <w:right w:val="single" w:sz="4" w:space="4" w:color="auto"/>
        </w:pBdr>
        <w:tabs>
          <w:tab w:val="left" w:pos="720"/>
        </w:tabs>
        <w:ind w:left="720" w:hanging="720"/>
        <w:jc w:val="both"/>
        <w:rPr>
          <w:rFonts w:cs="Courier New"/>
        </w:rPr>
      </w:pPr>
    </w:p>
    <w:p w14:paraId="5536BC12" w14:textId="633B5ED8" w:rsidR="0033341D"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33341D" w:rsidRPr="00B23997">
        <w:rPr>
          <w:rFonts w:cs="Courier New"/>
        </w:rPr>
        <w:t xml:space="preserve">What </w:t>
      </w:r>
      <w:r w:rsidR="00F86DF6">
        <w:rPr>
          <w:rFonts w:cs="Courier New"/>
        </w:rPr>
        <w:t>is</w:t>
      </w:r>
      <w:r w:rsidR="0033341D" w:rsidRPr="00B23997">
        <w:rPr>
          <w:rFonts w:cs="Courier New"/>
        </w:rPr>
        <w:t xml:space="preserve"> the purpose of your </w:t>
      </w:r>
      <w:r w:rsidR="000D79FB">
        <w:rPr>
          <w:rFonts w:cs="Courier New"/>
        </w:rPr>
        <w:t xml:space="preserve">prepared </w:t>
      </w:r>
      <w:r w:rsidR="0033341D" w:rsidRPr="00B23997">
        <w:rPr>
          <w:rFonts w:cs="Courier New"/>
        </w:rPr>
        <w:t>direct testimony in this proceeding?</w:t>
      </w:r>
    </w:p>
    <w:p w14:paraId="0FC20CA5" w14:textId="77777777" w:rsidR="00922BAD" w:rsidRPr="00B23997" w:rsidRDefault="00922BAD" w:rsidP="00A81010">
      <w:pPr>
        <w:widowControl w:val="0"/>
        <w:pBdr>
          <w:left w:val="single" w:sz="4" w:space="4" w:color="auto"/>
          <w:right w:val="single" w:sz="4" w:space="4" w:color="auto"/>
        </w:pBdr>
        <w:tabs>
          <w:tab w:val="left" w:pos="720"/>
        </w:tabs>
        <w:ind w:left="720" w:hanging="720"/>
        <w:jc w:val="both"/>
        <w:rPr>
          <w:rFonts w:cs="Courier New"/>
        </w:rPr>
      </w:pPr>
    </w:p>
    <w:p w14:paraId="52323FB6" w14:textId="22ABA4E8" w:rsidR="00DE7FCE" w:rsidRPr="00B23997"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A.</w:t>
      </w:r>
      <w:r w:rsidRPr="00A81010">
        <w:rPr>
          <w:rFonts w:cs="Courier New"/>
          <w:b/>
          <w:bCs/>
        </w:rPr>
        <w:tab/>
      </w:r>
      <w:r w:rsidR="007B169A" w:rsidRPr="00A81010">
        <w:rPr>
          <w:rFonts w:cs="Courier New"/>
        </w:rPr>
        <w:t xml:space="preserve">The purpose of my </w:t>
      </w:r>
      <w:r w:rsidR="00234AE9" w:rsidRPr="00A81010">
        <w:rPr>
          <w:rFonts w:cs="Courier New"/>
        </w:rPr>
        <w:t xml:space="preserve">direct </w:t>
      </w:r>
      <w:r w:rsidR="007B169A" w:rsidRPr="00A81010">
        <w:rPr>
          <w:rFonts w:cs="Courier New"/>
        </w:rPr>
        <w:t xml:space="preserve">testimony is to support the </w:t>
      </w:r>
      <w:r w:rsidR="00A4497B">
        <w:rPr>
          <w:rFonts w:cs="Courier New"/>
        </w:rPr>
        <w:t xml:space="preserve">Projected </w:t>
      </w:r>
      <w:r w:rsidR="007B169A" w:rsidRPr="00A81010">
        <w:rPr>
          <w:rFonts w:cs="Courier New"/>
        </w:rPr>
        <w:t xml:space="preserve">2024 </w:t>
      </w:r>
      <w:r w:rsidR="00A4497B">
        <w:rPr>
          <w:rFonts w:cs="Courier New"/>
        </w:rPr>
        <w:t>T</w:t>
      </w:r>
      <w:r w:rsidR="007B169A" w:rsidRPr="00A81010">
        <w:rPr>
          <w:rFonts w:cs="Courier New"/>
        </w:rPr>
        <w:t>est</w:t>
      </w:r>
      <w:r w:rsidR="00A4497B">
        <w:rPr>
          <w:rFonts w:cs="Courier New"/>
        </w:rPr>
        <w:t xml:space="preserve"> Y</w:t>
      </w:r>
      <w:r w:rsidR="007B169A" w:rsidRPr="00A81010">
        <w:rPr>
          <w:rFonts w:cs="Courier New"/>
        </w:rPr>
        <w:t>ear residential and small commercial sales</w:t>
      </w:r>
      <w:r w:rsidR="006F0D7B" w:rsidRPr="00A81010">
        <w:rPr>
          <w:rFonts w:cs="Courier New"/>
        </w:rPr>
        <w:t xml:space="preserve"> for Peoples Gas System, Inc. (“Peoples” or </w:t>
      </w:r>
      <w:r w:rsidR="009A04A9">
        <w:rPr>
          <w:rFonts w:cs="Courier New"/>
        </w:rPr>
        <w:t xml:space="preserve">the </w:t>
      </w:r>
      <w:r w:rsidR="00871AEF" w:rsidRPr="00A81010">
        <w:rPr>
          <w:rFonts w:cs="Courier New"/>
        </w:rPr>
        <w:t>“</w:t>
      </w:r>
      <w:r w:rsidR="00234AE9" w:rsidRPr="00A81010">
        <w:rPr>
          <w:rFonts w:cs="Courier New"/>
        </w:rPr>
        <w:t>c</w:t>
      </w:r>
      <w:r w:rsidR="00871AEF" w:rsidRPr="00A81010">
        <w:rPr>
          <w:rFonts w:cs="Courier New"/>
        </w:rPr>
        <w:t>ompany”)</w:t>
      </w:r>
      <w:r w:rsidR="007B169A" w:rsidRPr="00A81010">
        <w:rPr>
          <w:rFonts w:cs="Courier New"/>
        </w:rPr>
        <w:t>.</w:t>
      </w:r>
      <w:r w:rsidR="00146921" w:rsidRPr="00A81010">
        <w:rPr>
          <w:rFonts w:cs="Courier New"/>
        </w:rPr>
        <w:t xml:space="preserve"> The forecast was completed in October 2022.</w:t>
      </w:r>
      <w:r w:rsidR="007B169A" w:rsidRPr="00A81010">
        <w:rPr>
          <w:rFonts w:cs="Courier New"/>
        </w:rPr>
        <w:t xml:space="preserve"> </w:t>
      </w:r>
    </w:p>
    <w:p w14:paraId="6CC31ADB" w14:textId="77777777" w:rsidR="00DE7FCE" w:rsidRPr="00B23997" w:rsidRDefault="00DE7FCE" w:rsidP="00A81010">
      <w:pPr>
        <w:widowControl w:val="0"/>
        <w:pBdr>
          <w:left w:val="single" w:sz="4" w:space="4" w:color="auto"/>
          <w:right w:val="single" w:sz="4" w:space="4" w:color="auto"/>
        </w:pBdr>
        <w:tabs>
          <w:tab w:val="left" w:pos="720"/>
        </w:tabs>
        <w:ind w:left="720" w:hanging="720"/>
        <w:jc w:val="both"/>
        <w:rPr>
          <w:rFonts w:cs="Courier New"/>
        </w:rPr>
      </w:pPr>
    </w:p>
    <w:p w14:paraId="13EA396C" w14:textId="12685C66" w:rsidR="00DE7FCE" w:rsidRPr="00A81010"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DE7FCE" w:rsidRPr="00A81010">
        <w:rPr>
          <w:rFonts w:cs="Courier New"/>
        </w:rPr>
        <w:t xml:space="preserve">Did you prepare any exhibits in support of your </w:t>
      </w:r>
      <w:r w:rsidR="000D79FB" w:rsidRPr="00A81010">
        <w:rPr>
          <w:rFonts w:cs="Courier New"/>
        </w:rPr>
        <w:t xml:space="preserve">prepared </w:t>
      </w:r>
      <w:r w:rsidR="00DE7FCE" w:rsidRPr="00A81010">
        <w:rPr>
          <w:rFonts w:cs="Courier New"/>
        </w:rPr>
        <w:t>direct testimony?</w:t>
      </w:r>
    </w:p>
    <w:p w14:paraId="1BA9B370" w14:textId="77777777" w:rsidR="002B01F9" w:rsidRPr="00A81010" w:rsidRDefault="002B01F9" w:rsidP="00A81010">
      <w:pPr>
        <w:widowControl w:val="0"/>
        <w:pBdr>
          <w:left w:val="single" w:sz="4" w:space="4" w:color="auto"/>
          <w:right w:val="single" w:sz="4" w:space="4" w:color="auto"/>
        </w:pBdr>
        <w:tabs>
          <w:tab w:val="left" w:pos="720"/>
        </w:tabs>
        <w:ind w:left="720" w:hanging="720"/>
        <w:jc w:val="both"/>
        <w:rPr>
          <w:rFonts w:cs="Courier New"/>
        </w:rPr>
      </w:pPr>
    </w:p>
    <w:p w14:paraId="61BB2151" w14:textId="16025BAA" w:rsidR="00F511E0"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A.</w:t>
      </w:r>
      <w:r w:rsidRPr="00A81010">
        <w:rPr>
          <w:rFonts w:cs="Courier New"/>
          <w:b/>
          <w:bCs/>
        </w:rPr>
        <w:tab/>
      </w:r>
      <w:bookmarkStart w:id="0" w:name="_Hlk508788172"/>
      <w:r w:rsidR="00DE7FCE" w:rsidRPr="00B23997">
        <w:rPr>
          <w:rFonts w:cs="Courier New"/>
        </w:rPr>
        <w:t xml:space="preserve">Yes.  </w:t>
      </w:r>
      <w:r w:rsidR="006A710C">
        <w:rPr>
          <w:rFonts w:cs="Courier New"/>
        </w:rPr>
        <w:t xml:space="preserve">Exhibit EF-1 </w:t>
      </w:r>
      <w:r w:rsidR="00CD7CDD">
        <w:rPr>
          <w:rFonts w:cs="Courier New"/>
        </w:rPr>
        <w:t xml:space="preserve">was prepared under </w:t>
      </w:r>
      <w:r w:rsidR="003D6AA0">
        <w:rPr>
          <w:rFonts w:cs="Courier New"/>
        </w:rPr>
        <w:t xml:space="preserve">my direction and supervision.  </w:t>
      </w:r>
      <w:r w:rsidR="009F3784">
        <w:rPr>
          <w:rFonts w:cs="Courier New"/>
        </w:rPr>
        <w:t xml:space="preserve">My Exhibit consists of three </w:t>
      </w:r>
      <w:r w:rsidR="00F511E0">
        <w:rPr>
          <w:rFonts w:cs="Courier New"/>
        </w:rPr>
        <w:t xml:space="preserve">documents </w:t>
      </w:r>
      <w:r w:rsidR="00331B56">
        <w:rPr>
          <w:rFonts w:cs="Courier New"/>
        </w:rPr>
        <w:lastRenderedPageBreak/>
        <w:t>entitled</w:t>
      </w:r>
      <w:r w:rsidR="00F511E0">
        <w:rPr>
          <w:rFonts w:cs="Courier New"/>
        </w:rPr>
        <w:t>:</w:t>
      </w:r>
    </w:p>
    <w:p w14:paraId="7D67422D" w14:textId="77777777" w:rsidR="00AB5936" w:rsidRDefault="00AB5936" w:rsidP="00AB5936">
      <w:pPr>
        <w:widowControl w:val="0"/>
        <w:pBdr>
          <w:left w:val="single" w:sz="4" w:space="4" w:color="auto"/>
          <w:right w:val="single" w:sz="4" w:space="4" w:color="auto"/>
        </w:pBdr>
        <w:tabs>
          <w:tab w:val="left" w:pos="720"/>
        </w:tabs>
        <w:ind w:left="720" w:hanging="720"/>
        <w:jc w:val="both"/>
        <w:rPr>
          <w:rFonts w:cs="Courier New"/>
        </w:rPr>
      </w:pPr>
    </w:p>
    <w:p w14:paraId="784210FA" w14:textId="6FE9F4F5" w:rsidR="00AB5936" w:rsidRPr="00AB5936" w:rsidRDefault="00F511E0" w:rsidP="00AB5936">
      <w:pPr>
        <w:widowControl w:val="0"/>
        <w:pBdr>
          <w:left w:val="single" w:sz="4" w:space="4" w:color="auto"/>
          <w:right w:val="single" w:sz="4" w:space="4" w:color="auto"/>
        </w:pBdr>
        <w:tabs>
          <w:tab w:val="left" w:pos="720"/>
        </w:tabs>
        <w:ind w:left="720" w:hanging="720"/>
        <w:jc w:val="both"/>
        <w:rPr>
          <w:rFonts w:cs="Courier New"/>
        </w:rPr>
      </w:pPr>
      <w:r>
        <w:rPr>
          <w:rFonts w:cs="Courier New"/>
        </w:rPr>
        <w:tab/>
        <w:t>Docume</w:t>
      </w:r>
      <w:r w:rsidR="00AF0BB8">
        <w:rPr>
          <w:rFonts w:cs="Courier New"/>
        </w:rPr>
        <w:t>n</w:t>
      </w:r>
      <w:r>
        <w:rPr>
          <w:rFonts w:cs="Courier New"/>
        </w:rPr>
        <w:t>t No. 1</w:t>
      </w:r>
      <w:r>
        <w:rPr>
          <w:rFonts w:cs="Courier New"/>
        </w:rPr>
        <w:tab/>
      </w:r>
      <w:r>
        <w:rPr>
          <w:rFonts w:cs="Courier New"/>
        </w:rPr>
        <w:tab/>
      </w:r>
      <w:r w:rsidR="00AB5936" w:rsidRPr="00AB5936">
        <w:rPr>
          <w:rFonts w:cs="Courier New"/>
        </w:rPr>
        <w:t>List Of Minimum Filing Requirements</w:t>
      </w:r>
    </w:p>
    <w:p w14:paraId="199246CD" w14:textId="1F177331" w:rsidR="00AB5936" w:rsidRPr="00AB5936" w:rsidRDefault="00AB5936" w:rsidP="00AB5936">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Pr>
          <w:rFonts w:cs="Courier New"/>
        </w:rPr>
        <w:tab/>
      </w:r>
      <w:r>
        <w:rPr>
          <w:rFonts w:cs="Courier New"/>
        </w:rPr>
        <w:tab/>
      </w:r>
      <w:r>
        <w:rPr>
          <w:rFonts w:cs="Courier New"/>
        </w:rPr>
        <w:tab/>
      </w:r>
      <w:r>
        <w:rPr>
          <w:rFonts w:cs="Courier New"/>
        </w:rPr>
        <w:tab/>
      </w:r>
      <w:r w:rsidRPr="00AB5936">
        <w:rPr>
          <w:rFonts w:cs="Courier New"/>
        </w:rPr>
        <w:t>Co-Sponsored By Eric Fox</w:t>
      </w:r>
    </w:p>
    <w:p w14:paraId="7AF6BC17" w14:textId="77777777" w:rsidR="00AB5936" w:rsidRPr="00AB5936" w:rsidRDefault="00AF0BB8" w:rsidP="00AB5936">
      <w:pPr>
        <w:widowControl w:val="0"/>
        <w:pBdr>
          <w:left w:val="single" w:sz="4" w:space="4" w:color="auto"/>
          <w:right w:val="single" w:sz="4" w:space="4" w:color="auto"/>
        </w:pBdr>
        <w:tabs>
          <w:tab w:val="left" w:pos="720"/>
        </w:tabs>
        <w:ind w:left="720" w:hanging="720"/>
        <w:jc w:val="both"/>
        <w:rPr>
          <w:rFonts w:cs="Courier New"/>
        </w:rPr>
      </w:pPr>
      <w:r>
        <w:rPr>
          <w:rFonts w:cs="Courier New"/>
        </w:rPr>
        <w:tab/>
        <w:t>Document No. 2</w:t>
      </w:r>
      <w:r>
        <w:rPr>
          <w:rFonts w:cs="Courier New"/>
        </w:rPr>
        <w:tab/>
      </w:r>
      <w:r>
        <w:rPr>
          <w:rFonts w:cs="Courier New"/>
        </w:rPr>
        <w:tab/>
      </w:r>
      <w:r w:rsidR="00AB5936" w:rsidRPr="00AB5936">
        <w:rPr>
          <w:rFonts w:cs="Courier New"/>
        </w:rPr>
        <w:t>Resume - Work and Regulatory Experience</w:t>
      </w:r>
    </w:p>
    <w:p w14:paraId="107BA802" w14:textId="512AE579" w:rsidR="00331B56" w:rsidRDefault="00331B56" w:rsidP="00A81010">
      <w:pPr>
        <w:widowControl w:val="0"/>
        <w:pBdr>
          <w:left w:val="single" w:sz="4" w:space="4" w:color="auto"/>
          <w:right w:val="single" w:sz="4" w:space="4" w:color="auto"/>
        </w:pBdr>
        <w:tabs>
          <w:tab w:val="left" w:pos="720"/>
        </w:tabs>
        <w:ind w:left="720" w:hanging="720"/>
        <w:jc w:val="both"/>
        <w:rPr>
          <w:rFonts w:cs="Courier New"/>
        </w:rPr>
      </w:pPr>
      <w:r>
        <w:rPr>
          <w:rFonts w:cs="Courier New"/>
        </w:rPr>
        <w:tab/>
        <w:t>Document No. 3</w:t>
      </w:r>
      <w:r>
        <w:rPr>
          <w:rFonts w:cs="Courier New"/>
        </w:rPr>
        <w:tab/>
      </w:r>
      <w:r>
        <w:rPr>
          <w:rFonts w:cs="Courier New"/>
        </w:rPr>
        <w:tab/>
      </w:r>
      <w:r w:rsidR="00AB5936">
        <w:rPr>
          <w:rFonts w:cs="Courier New"/>
        </w:rPr>
        <w:t xml:space="preserve">Itron </w:t>
      </w:r>
      <w:r w:rsidR="00CE0E8E">
        <w:rPr>
          <w:rFonts w:cs="Courier New"/>
        </w:rPr>
        <w:t xml:space="preserve">Forecast </w:t>
      </w:r>
      <w:r w:rsidR="00AB5936">
        <w:rPr>
          <w:rFonts w:cs="Courier New"/>
        </w:rPr>
        <w:t>Report</w:t>
      </w:r>
    </w:p>
    <w:p w14:paraId="1D1A0309" w14:textId="77777777" w:rsidR="00331B56" w:rsidRDefault="00331B56" w:rsidP="00A81010">
      <w:pPr>
        <w:widowControl w:val="0"/>
        <w:pBdr>
          <w:left w:val="single" w:sz="4" w:space="4" w:color="auto"/>
          <w:right w:val="single" w:sz="4" w:space="4" w:color="auto"/>
        </w:pBdr>
        <w:tabs>
          <w:tab w:val="left" w:pos="720"/>
        </w:tabs>
        <w:ind w:left="720" w:hanging="720"/>
        <w:jc w:val="both"/>
        <w:rPr>
          <w:rFonts w:cs="Courier New"/>
        </w:rPr>
      </w:pPr>
    </w:p>
    <w:p w14:paraId="678F5EFB" w14:textId="4663C01A" w:rsidR="000456F2" w:rsidRDefault="00331B56" w:rsidP="00A81010">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7B169A">
        <w:rPr>
          <w:rFonts w:cs="Courier New"/>
        </w:rPr>
        <w:t xml:space="preserve">The </w:t>
      </w:r>
      <w:r w:rsidR="003425C6">
        <w:rPr>
          <w:rFonts w:cs="Courier New"/>
        </w:rPr>
        <w:t>Itron Forecast R</w:t>
      </w:r>
      <w:r w:rsidR="007B169A">
        <w:rPr>
          <w:rFonts w:cs="Courier New"/>
        </w:rPr>
        <w:t>eport</w:t>
      </w:r>
      <w:r w:rsidR="00DE7FCE" w:rsidRPr="00B23997">
        <w:rPr>
          <w:rFonts w:cs="Courier New"/>
        </w:rPr>
        <w:t xml:space="preserve"> was prepared under my direction and supervision.  </w:t>
      </w:r>
    </w:p>
    <w:p w14:paraId="4CE5DC77" w14:textId="77777777" w:rsidR="000456F2" w:rsidRDefault="000456F2" w:rsidP="00A81010">
      <w:pPr>
        <w:widowControl w:val="0"/>
        <w:pBdr>
          <w:left w:val="single" w:sz="4" w:space="4" w:color="auto"/>
          <w:right w:val="single" w:sz="4" w:space="4" w:color="auto"/>
        </w:pBdr>
        <w:tabs>
          <w:tab w:val="left" w:pos="720"/>
        </w:tabs>
        <w:ind w:left="720" w:hanging="720"/>
        <w:jc w:val="both"/>
        <w:rPr>
          <w:rFonts w:cs="Courier New"/>
        </w:rPr>
      </w:pPr>
    </w:p>
    <w:p w14:paraId="585582F0" w14:textId="3B36F693" w:rsidR="00DE7FCE" w:rsidRPr="00B23997" w:rsidRDefault="000456F2" w:rsidP="00A81010">
      <w:pPr>
        <w:widowControl w:val="0"/>
        <w:pBdr>
          <w:left w:val="single" w:sz="4" w:space="4" w:color="auto"/>
          <w:right w:val="single" w:sz="4" w:space="4" w:color="auto"/>
        </w:pBdr>
        <w:tabs>
          <w:tab w:val="left" w:pos="720"/>
        </w:tabs>
        <w:ind w:left="720" w:hanging="720"/>
        <w:jc w:val="both"/>
        <w:rPr>
          <w:rFonts w:cs="Courier New"/>
        </w:rPr>
      </w:pPr>
      <w:r>
        <w:rPr>
          <w:rFonts w:cs="Courier New"/>
        </w:rPr>
        <w:tab/>
        <w:t>Document No. 3 of my exhibit, the</w:t>
      </w:r>
      <w:r w:rsidR="007B169A">
        <w:rPr>
          <w:rFonts w:cs="Courier New"/>
        </w:rPr>
        <w:t xml:space="preserve"> Itron </w:t>
      </w:r>
      <w:r w:rsidR="006F33D0">
        <w:rPr>
          <w:rFonts w:cs="Courier New"/>
        </w:rPr>
        <w:t xml:space="preserve">Forecast </w:t>
      </w:r>
      <w:r w:rsidR="007B169A">
        <w:rPr>
          <w:rFonts w:cs="Courier New"/>
        </w:rPr>
        <w:t>Report</w:t>
      </w:r>
      <w:r>
        <w:rPr>
          <w:rFonts w:cs="Courier New"/>
        </w:rPr>
        <w:t>,</w:t>
      </w:r>
      <w:r w:rsidR="007B169A">
        <w:rPr>
          <w:rFonts w:cs="Courier New"/>
        </w:rPr>
        <w:t xml:space="preserve"> </w:t>
      </w:r>
      <w:r w:rsidR="00C50B70">
        <w:rPr>
          <w:rFonts w:cs="Courier New"/>
        </w:rPr>
        <w:t xml:space="preserve">presents the </w:t>
      </w:r>
      <w:r w:rsidR="00A81010">
        <w:rPr>
          <w:rFonts w:cs="Courier New"/>
        </w:rPr>
        <w:t>c</w:t>
      </w:r>
      <w:r w:rsidR="005B7B1D">
        <w:rPr>
          <w:rFonts w:cs="Courier New"/>
        </w:rPr>
        <w:t xml:space="preserve">ompany’s </w:t>
      </w:r>
      <w:r w:rsidR="00C50B70">
        <w:rPr>
          <w:rFonts w:cs="Courier New"/>
        </w:rPr>
        <w:t xml:space="preserve">gas forecast and </w:t>
      </w:r>
      <w:r w:rsidR="007B169A">
        <w:rPr>
          <w:rFonts w:cs="Courier New"/>
        </w:rPr>
        <w:t xml:space="preserve">includes an overview of gas sales trends, </w:t>
      </w:r>
      <w:r w:rsidR="00576B19">
        <w:rPr>
          <w:rFonts w:cs="Courier New"/>
        </w:rPr>
        <w:t xml:space="preserve">summary of the </w:t>
      </w:r>
      <w:r w:rsidR="007B169A">
        <w:rPr>
          <w:rFonts w:cs="Courier New"/>
        </w:rPr>
        <w:t>forecast</w:t>
      </w:r>
      <w:r w:rsidR="00576B19">
        <w:rPr>
          <w:rFonts w:cs="Courier New"/>
        </w:rPr>
        <w:t xml:space="preserve"> results</w:t>
      </w:r>
      <w:r w:rsidR="007B169A">
        <w:rPr>
          <w:rFonts w:cs="Courier New"/>
        </w:rPr>
        <w:t xml:space="preserve">, a description of the modeling </w:t>
      </w:r>
      <w:r w:rsidR="00C50B70">
        <w:rPr>
          <w:rFonts w:cs="Courier New"/>
        </w:rPr>
        <w:t>approach</w:t>
      </w:r>
      <w:r w:rsidR="007B169A">
        <w:rPr>
          <w:rFonts w:cs="Courier New"/>
        </w:rPr>
        <w:t xml:space="preserve">, and discussion about the forecast model </w:t>
      </w:r>
      <w:r w:rsidR="003B6BE2">
        <w:rPr>
          <w:rFonts w:cs="Courier New"/>
        </w:rPr>
        <w:t>assumptions</w:t>
      </w:r>
      <w:r w:rsidR="007B169A">
        <w:rPr>
          <w:rFonts w:cs="Courier New"/>
        </w:rPr>
        <w:t xml:space="preserve">. </w:t>
      </w:r>
    </w:p>
    <w:p w14:paraId="7C47C3E0" w14:textId="2CF05409" w:rsidR="00D9797F" w:rsidRPr="00B23997" w:rsidRDefault="00DE7FCE" w:rsidP="00A81010">
      <w:pPr>
        <w:widowControl w:val="0"/>
        <w:pBdr>
          <w:left w:val="single" w:sz="4" w:space="4" w:color="auto"/>
          <w:right w:val="single" w:sz="4" w:space="4" w:color="auto"/>
        </w:pBdr>
        <w:tabs>
          <w:tab w:val="left" w:pos="720"/>
        </w:tabs>
        <w:ind w:left="720" w:hanging="720"/>
        <w:jc w:val="both"/>
        <w:rPr>
          <w:rFonts w:cs="Courier New"/>
        </w:rPr>
      </w:pPr>
      <w:r w:rsidRPr="00B23997">
        <w:rPr>
          <w:rFonts w:cs="Courier New"/>
        </w:rPr>
        <w:tab/>
      </w:r>
      <w:bookmarkEnd w:id="0"/>
    </w:p>
    <w:p w14:paraId="6832722A" w14:textId="3FE63733" w:rsidR="007C5BF4"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C50B70">
        <w:rPr>
          <w:rFonts w:cs="Courier New"/>
        </w:rPr>
        <w:t xml:space="preserve">Please </w:t>
      </w:r>
      <w:r w:rsidR="00182337">
        <w:rPr>
          <w:rFonts w:cs="Courier New"/>
        </w:rPr>
        <w:t>describe recent customer and sales trends.</w:t>
      </w:r>
    </w:p>
    <w:p w14:paraId="7252B6F5" w14:textId="53448B5F" w:rsidR="007C5BF4" w:rsidRDefault="007C5BF4" w:rsidP="00A81010">
      <w:pPr>
        <w:widowControl w:val="0"/>
        <w:pBdr>
          <w:left w:val="single" w:sz="4" w:space="4" w:color="auto"/>
          <w:right w:val="single" w:sz="4" w:space="4" w:color="auto"/>
        </w:pBdr>
        <w:tabs>
          <w:tab w:val="left" w:pos="720"/>
        </w:tabs>
        <w:ind w:left="720" w:hanging="720"/>
        <w:jc w:val="both"/>
        <w:rPr>
          <w:rFonts w:cs="Courier New"/>
        </w:rPr>
      </w:pPr>
    </w:p>
    <w:p w14:paraId="24F8179C" w14:textId="3AE4B322" w:rsidR="009C6C4B" w:rsidRDefault="00A81010" w:rsidP="04F9A55C">
      <w:pPr>
        <w:widowControl w:val="0"/>
        <w:pBdr>
          <w:left w:val="single" w:sz="4" w:space="4" w:color="auto"/>
          <w:right w:val="single" w:sz="4" w:space="4" w:color="auto"/>
        </w:pBdr>
        <w:tabs>
          <w:tab w:val="left" w:pos="720"/>
        </w:tabs>
        <w:ind w:left="720" w:hanging="720"/>
        <w:jc w:val="both"/>
        <w:rPr>
          <w:rFonts w:cs="Courier New"/>
        </w:rPr>
      </w:pPr>
      <w:r w:rsidRPr="04F9A55C">
        <w:rPr>
          <w:rFonts w:cs="Courier New"/>
          <w:b/>
          <w:bCs/>
        </w:rPr>
        <w:t>A.</w:t>
      </w:r>
      <w:r>
        <w:tab/>
      </w:r>
      <w:r w:rsidR="00146921" w:rsidRPr="04F9A55C">
        <w:rPr>
          <w:rFonts w:cs="Courier New"/>
        </w:rPr>
        <w:t xml:space="preserve">Over the last five years </w:t>
      </w:r>
      <w:r w:rsidR="005B7B1D" w:rsidRPr="04F9A55C">
        <w:rPr>
          <w:rFonts w:cs="Courier New"/>
        </w:rPr>
        <w:t>Peoples</w:t>
      </w:r>
      <w:r w:rsidR="00394437">
        <w:rPr>
          <w:rFonts w:cs="Courier New"/>
        </w:rPr>
        <w:t>’</w:t>
      </w:r>
      <w:r w:rsidR="005B7B1D" w:rsidRPr="04F9A55C">
        <w:rPr>
          <w:rFonts w:cs="Courier New"/>
        </w:rPr>
        <w:t xml:space="preserve"> </w:t>
      </w:r>
      <w:r w:rsidR="00825929" w:rsidRPr="04F9A55C">
        <w:rPr>
          <w:rFonts w:cs="Courier New"/>
        </w:rPr>
        <w:t xml:space="preserve">experienced strong customer growth with </w:t>
      </w:r>
      <w:r w:rsidR="00A7469F" w:rsidRPr="04F9A55C">
        <w:rPr>
          <w:rFonts w:cs="Courier New"/>
        </w:rPr>
        <w:t xml:space="preserve">average </w:t>
      </w:r>
      <w:r w:rsidR="00C50B70" w:rsidRPr="04F9A55C">
        <w:rPr>
          <w:rFonts w:cs="Courier New"/>
        </w:rPr>
        <w:t>residential customer</w:t>
      </w:r>
      <w:r w:rsidR="00A7469F" w:rsidRPr="04F9A55C">
        <w:rPr>
          <w:rFonts w:cs="Courier New"/>
        </w:rPr>
        <w:t xml:space="preserve"> growth of </w:t>
      </w:r>
      <w:r w:rsidR="00C50B70" w:rsidRPr="04F9A55C">
        <w:rPr>
          <w:rFonts w:cs="Courier New"/>
        </w:rPr>
        <w:t>4.</w:t>
      </w:r>
      <w:r w:rsidR="00A7469F" w:rsidRPr="04F9A55C">
        <w:rPr>
          <w:rFonts w:cs="Courier New"/>
        </w:rPr>
        <w:t>3</w:t>
      </w:r>
      <w:r w:rsidRPr="04F9A55C">
        <w:rPr>
          <w:rFonts w:cs="Courier New"/>
        </w:rPr>
        <w:t xml:space="preserve"> percent</w:t>
      </w:r>
      <w:r w:rsidR="00C50B70" w:rsidRPr="04F9A55C">
        <w:rPr>
          <w:rFonts w:cs="Courier New"/>
        </w:rPr>
        <w:t xml:space="preserve"> and commercial </w:t>
      </w:r>
      <w:r w:rsidR="00A7469F" w:rsidRPr="04F9A55C">
        <w:rPr>
          <w:rFonts w:cs="Courier New"/>
        </w:rPr>
        <w:t xml:space="preserve">average customer growth of </w:t>
      </w:r>
      <w:r w:rsidR="00C50B70" w:rsidRPr="04F9A55C">
        <w:rPr>
          <w:rFonts w:cs="Courier New"/>
        </w:rPr>
        <w:t>1.</w:t>
      </w:r>
      <w:r w:rsidR="00A7469F" w:rsidRPr="04F9A55C">
        <w:rPr>
          <w:rFonts w:cs="Courier New"/>
        </w:rPr>
        <w:t>9</w:t>
      </w:r>
      <w:r w:rsidRPr="04F9A55C">
        <w:rPr>
          <w:rFonts w:cs="Courier New"/>
        </w:rPr>
        <w:t xml:space="preserve"> percent</w:t>
      </w:r>
      <w:r w:rsidR="00C50B70" w:rsidRPr="04F9A55C">
        <w:rPr>
          <w:rFonts w:cs="Courier New"/>
        </w:rPr>
        <w:t xml:space="preserve">. </w:t>
      </w:r>
      <w:r w:rsidR="009C6C4B" w:rsidRPr="04F9A55C">
        <w:rPr>
          <w:rFonts w:cs="Courier New"/>
        </w:rPr>
        <w:t xml:space="preserve">This growth is </w:t>
      </w:r>
      <w:r w:rsidR="00A7469F" w:rsidRPr="04F9A55C">
        <w:rPr>
          <w:rFonts w:cs="Courier New"/>
        </w:rPr>
        <w:t xml:space="preserve">the result of strong economic and population growth combined with expansion of the gas distribution system. </w:t>
      </w:r>
      <w:r w:rsidR="002236FD" w:rsidRPr="04F9A55C">
        <w:rPr>
          <w:rFonts w:cs="Courier New"/>
        </w:rPr>
        <w:t xml:space="preserve">As described in </w:t>
      </w:r>
      <w:r w:rsidR="00E800B8">
        <w:rPr>
          <w:rFonts w:cs="Courier New"/>
        </w:rPr>
        <w:t>w</w:t>
      </w:r>
      <w:r w:rsidR="002236FD" w:rsidRPr="04F9A55C">
        <w:rPr>
          <w:rFonts w:cs="Courier New"/>
        </w:rPr>
        <w:t xml:space="preserve">itness </w:t>
      </w:r>
      <w:r w:rsidRPr="04F9A55C">
        <w:rPr>
          <w:rFonts w:cs="Courier New"/>
        </w:rPr>
        <w:t xml:space="preserve">Richard K. </w:t>
      </w:r>
      <w:r w:rsidR="002236FD" w:rsidRPr="04F9A55C">
        <w:rPr>
          <w:rFonts w:cs="Courier New"/>
        </w:rPr>
        <w:t xml:space="preserve">Harper’s </w:t>
      </w:r>
      <w:r w:rsidR="00565B64">
        <w:rPr>
          <w:rFonts w:cs="Courier New"/>
        </w:rPr>
        <w:t xml:space="preserve">prepared </w:t>
      </w:r>
      <w:r w:rsidRPr="04F9A55C">
        <w:rPr>
          <w:rFonts w:cs="Courier New"/>
        </w:rPr>
        <w:t>direct</w:t>
      </w:r>
      <w:r w:rsidR="002236FD" w:rsidRPr="04F9A55C">
        <w:rPr>
          <w:rFonts w:cs="Courier New"/>
        </w:rPr>
        <w:t xml:space="preserve"> testimony, l</w:t>
      </w:r>
      <w:r w:rsidR="009C6C4B" w:rsidRPr="04F9A55C">
        <w:rPr>
          <w:rFonts w:cs="Courier New"/>
        </w:rPr>
        <w:t xml:space="preserve">ow interest rates helped </w:t>
      </w:r>
      <w:r w:rsidR="009C6C4B" w:rsidRPr="04F9A55C">
        <w:rPr>
          <w:rFonts w:cs="Courier New"/>
        </w:rPr>
        <w:lastRenderedPageBreak/>
        <w:t>to fuel a robust housing market coupled with strong state in-migration</w:t>
      </w:r>
      <w:r w:rsidR="00893512" w:rsidRPr="04F9A55C">
        <w:rPr>
          <w:rFonts w:cs="Courier New"/>
        </w:rPr>
        <w:t xml:space="preserve">, business expansion, </w:t>
      </w:r>
      <w:r w:rsidR="009C6C4B" w:rsidRPr="04F9A55C">
        <w:rPr>
          <w:rFonts w:cs="Courier New"/>
        </w:rPr>
        <w:t xml:space="preserve">and second-home purchases. In addition to </w:t>
      </w:r>
      <w:r w:rsidR="000B2FE6" w:rsidRPr="04F9A55C">
        <w:rPr>
          <w:rFonts w:cs="Courier New"/>
        </w:rPr>
        <w:t>strong regional populations and household growth</w:t>
      </w:r>
      <w:r w:rsidR="009C6C4B" w:rsidRPr="04F9A55C">
        <w:rPr>
          <w:rFonts w:cs="Courier New"/>
        </w:rPr>
        <w:t xml:space="preserve">, customer growth was positively impacted by expansion of the gas distribution system </w:t>
      </w:r>
      <w:r w:rsidR="000B2FE6" w:rsidRPr="04F9A55C">
        <w:rPr>
          <w:rFonts w:cs="Courier New"/>
        </w:rPr>
        <w:t>to areas where gas was previously unavailable</w:t>
      </w:r>
      <w:r w:rsidR="009C4920" w:rsidRPr="04F9A55C">
        <w:rPr>
          <w:rFonts w:cs="Courier New"/>
        </w:rPr>
        <w:t xml:space="preserve">. </w:t>
      </w:r>
      <w:r w:rsidR="00375F3E" w:rsidRPr="04F9A55C">
        <w:rPr>
          <w:rFonts w:cs="Courier New"/>
        </w:rPr>
        <w:t xml:space="preserve">In half </w:t>
      </w:r>
      <w:r w:rsidR="002236FD" w:rsidRPr="04F9A55C">
        <w:rPr>
          <w:rFonts w:cs="Courier New"/>
        </w:rPr>
        <w:t xml:space="preserve">of the </w:t>
      </w:r>
      <w:r w:rsidRPr="04F9A55C">
        <w:rPr>
          <w:rFonts w:cs="Courier New"/>
        </w:rPr>
        <w:t>c</w:t>
      </w:r>
      <w:r w:rsidR="002236FD" w:rsidRPr="04F9A55C">
        <w:rPr>
          <w:rFonts w:cs="Courier New"/>
        </w:rPr>
        <w:t>ompany’s</w:t>
      </w:r>
      <w:r w:rsidR="00375F3E" w:rsidRPr="04F9A55C">
        <w:rPr>
          <w:rFonts w:cs="Courier New"/>
        </w:rPr>
        <w:t xml:space="preserve"> Divisions</w:t>
      </w:r>
      <w:r w:rsidR="000563ED" w:rsidRPr="04F9A55C">
        <w:rPr>
          <w:rFonts w:cs="Courier New"/>
        </w:rPr>
        <w:t>,</w:t>
      </w:r>
      <w:r w:rsidR="00375F3E" w:rsidRPr="04F9A55C">
        <w:rPr>
          <w:rFonts w:cs="Courier New"/>
        </w:rPr>
        <w:t xml:space="preserve"> customer growth exceeded </w:t>
      </w:r>
      <w:r w:rsidR="009C4920" w:rsidRPr="04F9A55C">
        <w:rPr>
          <w:rFonts w:cs="Courier New"/>
        </w:rPr>
        <w:t>regional h</w:t>
      </w:r>
      <w:r w:rsidR="00375F3E" w:rsidRPr="04F9A55C">
        <w:rPr>
          <w:rFonts w:cs="Courier New"/>
        </w:rPr>
        <w:t>ousehold</w:t>
      </w:r>
      <w:r w:rsidR="009C4920" w:rsidRPr="04F9A55C">
        <w:rPr>
          <w:rFonts w:cs="Courier New"/>
        </w:rPr>
        <w:t xml:space="preserve"> growth. </w:t>
      </w:r>
      <w:r w:rsidR="00375F3E" w:rsidRPr="04F9A55C">
        <w:rPr>
          <w:rFonts w:cs="Courier New"/>
        </w:rPr>
        <w:t xml:space="preserve"> </w:t>
      </w:r>
    </w:p>
    <w:p w14:paraId="3B67E168" w14:textId="4D22CAEA" w:rsidR="009C4920" w:rsidRDefault="009C4920" w:rsidP="00A81010">
      <w:pPr>
        <w:widowControl w:val="0"/>
        <w:pBdr>
          <w:left w:val="single" w:sz="4" w:space="4" w:color="auto"/>
          <w:right w:val="single" w:sz="4" w:space="4" w:color="auto"/>
        </w:pBdr>
        <w:tabs>
          <w:tab w:val="left" w:pos="720"/>
        </w:tabs>
        <w:ind w:left="720" w:hanging="720"/>
        <w:jc w:val="both"/>
        <w:rPr>
          <w:rFonts w:cs="Courier New"/>
        </w:rPr>
      </w:pPr>
    </w:p>
    <w:p w14:paraId="77476A7B" w14:textId="10905D77" w:rsidR="007C5BF4" w:rsidRPr="00825929" w:rsidRDefault="009C4920" w:rsidP="64B93FBF">
      <w:pPr>
        <w:widowControl w:val="0"/>
        <w:pBdr>
          <w:left w:val="single" w:sz="4" w:space="4" w:color="000000"/>
          <w:right w:val="single" w:sz="4" w:space="4" w:color="000000"/>
        </w:pBdr>
        <w:tabs>
          <w:tab w:val="left" w:pos="720"/>
        </w:tabs>
        <w:ind w:left="720" w:hanging="720"/>
        <w:jc w:val="both"/>
        <w:rPr>
          <w:rFonts w:cs="Courier New"/>
        </w:rPr>
      </w:pPr>
      <w:r>
        <w:rPr>
          <w:rFonts w:cs="Courier New"/>
        </w:rPr>
        <w:tab/>
        <w:t xml:space="preserve">Between 2017 and 2022 </w:t>
      </w:r>
      <w:r w:rsidR="00A7469F">
        <w:rPr>
          <w:rFonts w:cs="Courier New"/>
        </w:rPr>
        <w:t xml:space="preserve">residential plus small commercial sales </w:t>
      </w:r>
      <w:r>
        <w:rPr>
          <w:rFonts w:cs="Courier New"/>
        </w:rPr>
        <w:t>averaged 2.</w:t>
      </w:r>
      <w:r w:rsidR="7B893BD1">
        <w:rPr>
          <w:rFonts w:cs="Courier New"/>
        </w:rPr>
        <w:t>1</w:t>
      </w:r>
      <w:r w:rsidR="00A81010" w:rsidRPr="47023597">
        <w:rPr>
          <w:rFonts w:cs="Courier New"/>
        </w:rPr>
        <w:t xml:space="preserve"> percent</w:t>
      </w:r>
      <w:r>
        <w:rPr>
          <w:rFonts w:cs="Courier New"/>
        </w:rPr>
        <w:t xml:space="preserve"> annual</w:t>
      </w:r>
      <w:r w:rsidR="00A7469F">
        <w:rPr>
          <w:rFonts w:cs="Courier New"/>
        </w:rPr>
        <w:t xml:space="preserve"> growth (</w:t>
      </w:r>
      <w:r w:rsidR="0051769A" w:rsidRPr="47023597">
        <w:rPr>
          <w:rFonts w:cs="Courier New"/>
        </w:rPr>
        <w:t xml:space="preserve">i.e., </w:t>
      </w:r>
      <w:r>
        <w:rPr>
          <w:rFonts w:cs="Courier New"/>
        </w:rPr>
        <w:t>2.0</w:t>
      </w:r>
      <w:r w:rsidR="00A81010" w:rsidRPr="47023597">
        <w:rPr>
          <w:rFonts w:cs="Courier New"/>
        </w:rPr>
        <w:t xml:space="preserve"> percent</w:t>
      </w:r>
      <w:r>
        <w:rPr>
          <w:rFonts w:cs="Courier New"/>
        </w:rPr>
        <w:t xml:space="preserve"> on a weather normal basis</w:t>
      </w:r>
      <w:r w:rsidR="00A7469F">
        <w:rPr>
          <w:rFonts w:cs="Courier New"/>
        </w:rPr>
        <w:t>)</w:t>
      </w:r>
      <w:r>
        <w:rPr>
          <w:rFonts w:cs="Courier New"/>
        </w:rPr>
        <w:t xml:space="preserve">. </w:t>
      </w:r>
      <w:r w:rsidR="00165FAE">
        <w:rPr>
          <w:rFonts w:cs="Courier New"/>
        </w:rPr>
        <w:t xml:space="preserve">Sales growth would have been </w:t>
      </w:r>
      <w:r>
        <w:rPr>
          <w:rFonts w:cs="Courier New"/>
        </w:rPr>
        <w:t xml:space="preserve">significantly </w:t>
      </w:r>
      <w:r w:rsidR="00165FAE">
        <w:rPr>
          <w:rFonts w:cs="Courier New"/>
        </w:rPr>
        <w:t>stronger if not for the impact of COVID</w:t>
      </w:r>
      <w:r w:rsidR="00893512">
        <w:rPr>
          <w:rFonts w:cs="Courier New"/>
        </w:rPr>
        <w:t>-</w:t>
      </w:r>
      <w:r w:rsidR="00165FAE">
        <w:rPr>
          <w:rFonts w:cs="Courier New"/>
        </w:rPr>
        <w:t xml:space="preserve">19. In 2020, </w:t>
      </w:r>
      <w:r w:rsidR="00EF6E2C">
        <w:rPr>
          <w:rFonts w:cs="Courier New"/>
        </w:rPr>
        <w:t>P</w:t>
      </w:r>
      <w:r w:rsidR="003E312B">
        <w:rPr>
          <w:rFonts w:cs="Courier New"/>
        </w:rPr>
        <w:t xml:space="preserve">eoples </w:t>
      </w:r>
      <w:r w:rsidR="00710D71">
        <w:rPr>
          <w:rFonts w:cs="Courier New"/>
        </w:rPr>
        <w:t xml:space="preserve">experienced a sharp drop in sales as </w:t>
      </w:r>
      <w:r w:rsidR="00182337">
        <w:rPr>
          <w:rFonts w:cs="Courier New"/>
        </w:rPr>
        <w:t>businesses</w:t>
      </w:r>
      <w:r w:rsidR="00165FAE">
        <w:rPr>
          <w:rFonts w:cs="Courier New"/>
        </w:rPr>
        <w:t xml:space="preserve"> closed and work and school </w:t>
      </w:r>
      <w:r w:rsidR="497963CF">
        <w:rPr>
          <w:rFonts w:cs="Courier New"/>
        </w:rPr>
        <w:t>activities</w:t>
      </w:r>
      <w:r w:rsidR="00165FAE">
        <w:rPr>
          <w:rFonts w:cs="Courier New"/>
        </w:rPr>
        <w:t xml:space="preserve"> </w:t>
      </w:r>
      <w:r w:rsidR="00182337">
        <w:rPr>
          <w:rFonts w:cs="Courier New"/>
        </w:rPr>
        <w:t>shifted to homes</w:t>
      </w:r>
      <w:r w:rsidR="00165FAE">
        <w:rPr>
          <w:rFonts w:cs="Courier New"/>
        </w:rPr>
        <w:t xml:space="preserve">. </w:t>
      </w:r>
      <w:r w:rsidR="00CB70E5">
        <w:rPr>
          <w:rFonts w:cs="Courier New"/>
        </w:rPr>
        <w:t>Small commercial sales fell 12.8</w:t>
      </w:r>
      <w:r w:rsidR="00A81010" w:rsidRPr="47023597">
        <w:rPr>
          <w:rFonts w:cs="Courier New"/>
        </w:rPr>
        <w:t xml:space="preserve"> percent</w:t>
      </w:r>
      <w:r w:rsidR="00710D71">
        <w:rPr>
          <w:rFonts w:cs="Courier New"/>
        </w:rPr>
        <w:t>. Somewhat mitigating the impact,</w:t>
      </w:r>
      <w:r w:rsidR="00182337">
        <w:rPr>
          <w:rFonts w:cs="Courier New"/>
        </w:rPr>
        <w:t xml:space="preserve"> residential sales increased 5.3</w:t>
      </w:r>
      <w:r w:rsidR="00A81010" w:rsidRPr="47023597">
        <w:rPr>
          <w:rFonts w:cs="Courier New"/>
        </w:rPr>
        <w:t xml:space="preserve"> percent</w:t>
      </w:r>
      <w:r w:rsidR="00EF6E2C">
        <w:rPr>
          <w:rFonts w:cs="Courier New"/>
        </w:rPr>
        <w:t xml:space="preserve">. </w:t>
      </w:r>
      <w:r w:rsidR="00710D71">
        <w:rPr>
          <w:rFonts w:cs="Courier New"/>
        </w:rPr>
        <w:t>But a</w:t>
      </w:r>
      <w:r w:rsidR="00182337">
        <w:rPr>
          <w:rFonts w:cs="Courier New"/>
        </w:rPr>
        <w:t xml:space="preserve">s </w:t>
      </w:r>
      <w:r w:rsidR="0051769A" w:rsidRPr="47023597">
        <w:rPr>
          <w:rFonts w:cs="Courier New"/>
        </w:rPr>
        <w:t xml:space="preserve">the </w:t>
      </w:r>
      <w:r w:rsidR="00182337">
        <w:rPr>
          <w:rFonts w:cs="Courier New"/>
        </w:rPr>
        <w:t>small commercial class</w:t>
      </w:r>
      <w:r w:rsidR="0051769A" w:rsidRPr="47023597">
        <w:rPr>
          <w:rFonts w:cs="Courier New"/>
        </w:rPr>
        <w:t>es</w:t>
      </w:r>
      <w:r w:rsidR="00182337">
        <w:rPr>
          <w:rFonts w:cs="Courier New"/>
        </w:rPr>
        <w:t xml:space="preserve"> account for roughly 75</w:t>
      </w:r>
      <w:r w:rsidR="00A81010" w:rsidRPr="47023597">
        <w:rPr>
          <w:rFonts w:cs="Courier New"/>
        </w:rPr>
        <w:t xml:space="preserve"> percent</w:t>
      </w:r>
      <w:r w:rsidR="00182337">
        <w:rPr>
          <w:rFonts w:cs="Courier New"/>
        </w:rPr>
        <w:t xml:space="preserve"> of sales, the drop in commercial sales had a much larger overall impact than </w:t>
      </w:r>
      <w:r w:rsidR="3DCB7A7D">
        <w:rPr>
          <w:rFonts w:cs="Courier New"/>
        </w:rPr>
        <w:t>the increase</w:t>
      </w:r>
      <w:r w:rsidR="00182337">
        <w:rPr>
          <w:rFonts w:cs="Courier New"/>
        </w:rPr>
        <w:t xml:space="preserve"> in residential sales</w:t>
      </w:r>
      <w:r w:rsidR="00710D71">
        <w:rPr>
          <w:rFonts w:cs="Courier New"/>
        </w:rPr>
        <w:t>; total sales fell 8.8</w:t>
      </w:r>
      <w:r w:rsidR="00A81010" w:rsidRPr="47023597">
        <w:rPr>
          <w:rFonts w:cs="Courier New"/>
        </w:rPr>
        <w:t xml:space="preserve"> percent</w:t>
      </w:r>
      <w:r w:rsidR="00710D71">
        <w:rPr>
          <w:rFonts w:cs="Courier New"/>
        </w:rPr>
        <w:t xml:space="preserve"> (</w:t>
      </w:r>
      <w:r w:rsidR="0051769A" w:rsidRPr="47023597">
        <w:rPr>
          <w:rFonts w:cs="Courier New"/>
        </w:rPr>
        <w:t xml:space="preserve">i.e., </w:t>
      </w:r>
      <w:r w:rsidR="00710D71">
        <w:rPr>
          <w:rFonts w:cs="Courier New"/>
        </w:rPr>
        <w:t>10.5</w:t>
      </w:r>
      <w:r w:rsidR="00A81010" w:rsidRPr="47023597">
        <w:rPr>
          <w:rFonts w:cs="Courier New"/>
        </w:rPr>
        <w:t xml:space="preserve"> percent</w:t>
      </w:r>
      <w:r w:rsidR="00710D71">
        <w:rPr>
          <w:rFonts w:cs="Courier New"/>
        </w:rPr>
        <w:t xml:space="preserve"> weather normalized)</w:t>
      </w:r>
      <w:r w:rsidR="00182337">
        <w:rPr>
          <w:rFonts w:cs="Courier New"/>
        </w:rPr>
        <w:t xml:space="preserve">. </w:t>
      </w:r>
      <w:r w:rsidR="00710D71">
        <w:rPr>
          <w:rFonts w:cs="Courier New"/>
        </w:rPr>
        <w:t>Since the bottom of the pandemic, sales growth has recovered with strong customer growth (</w:t>
      </w:r>
      <w:r w:rsidR="00182337">
        <w:rPr>
          <w:rFonts w:cs="Courier New"/>
        </w:rPr>
        <w:t xml:space="preserve">even through the pandemic, </w:t>
      </w:r>
      <w:r>
        <w:rPr>
          <w:rFonts w:cs="Courier New"/>
        </w:rPr>
        <w:t xml:space="preserve">the </w:t>
      </w:r>
      <w:r w:rsidR="00A56A07">
        <w:rPr>
          <w:rFonts w:cs="Courier New"/>
        </w:rPr>
        <w:t>c</w:t>
      </w:r>
      <w:r>
        <w:rPr>
          <w:rFonts w:cs="Courier New"/>
        </w:rPr>
        <w:t>ompany</w:t>
      </w:r>
      <w:r w:rsidR="00182337">
        <w:rPr>
          <w:rFonts w:cs="Courier New"/>
        </w:rPr>
        <w:t xml:space="preserve"> </w:t>
      </w:r>
      <w:r>
        <w:rPr>
          <w:rFonts w:cs="Courier New"/>
        </w:rPr>
        <w:t xml:space="preserve">continued to add </w:t>
      </w:r>
      <w:r w:rsidR="00182337">
        <w:rPr>
          <w:rFonts w:cs="Courier New"/>
        </w:rPr>
        <w:t>residential and commercial customer</w:t>
      </w:r>
      <w:r>
        <w:rPr>
          <w:rFonts w:cs="Courier New"/>
        </w:rPr>
        <w:t>s</w:t>
      </w:r>
      <w:r w:rsidR="00710D71">
        <w:rPr>
          <w:rFonts w:cs="Courier New"/>
        </w:rPr>
        <w:t xml:space="preserve">), </w:t>
      </w:r>
      <w:r w:rsidR="003974A9" w:rsidRPr="47023597">
        <w:rPr>
          <w:rFonts w:cs="Courier New"/>
        </w:rPr>
        <w:t xml:space="preserve">with </w:t>
      </w:r>
      <w:r w:rsidR="00710D71">
        <w:rPr>
          <w:rFonts w:cs="Courier New"/>
        </w:rPr>
        <w:t>commercial average use trending back to pre-</w:t>
      </w:r>
      <w:r w:rsidR="002202DD">
        <w:rPr>
          <w:rFonts w:cs="Courier New"/>
        </w:rPr>
        <w:t>COVID</w:t>
      </w:r>
      <w:r w:rsidR="00A56A07">
        <w:rPr>
          <w:rFonts w:cs="Courier New"/>
        </w:rPr>
        <w:t>-19</w:t>
      </w:r>
      <w:r w:rsidR="002202DD">
        <w:rPr>
          <w:rFonts w:cs="Courier New"/>
        </w:rPr>
        <w:t xml:space="preserve"> </w:t>
      </w:r>
      <w:r w:rsidR="00710D71">
        <w:rPr>
          <w:rFonts w:cs="Courier New"/>
        </w:rPr>
        <w:t>levels.</w:t>
      </w:r>
    </w:p>
    <w:p w14:paraId="2119DBB5" w14:textId="2643EC57" w:rsidR="00922BAD"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lastRenderedPageBreak/>
        <w:t>Q.</w:t>
      </w:r>
      <w:r w:rsidRPr="00A81010">
        <w:rPr>
          <w:rFonts w:cs="Courier New"/>
          <w:b/>
          <w:bCs/>
        </w:rPr>
        <w:tab/>
      </w:r>
      <w:r w:rsidR="00182337">
        <w:rPr>
          <w:rFonts w:cs="Courier New"/>
        </w:rPr>
        <w:t xml:space="preserve">Please </w:t>
      </w:r>
      <w:r w:rsidR="0046049A">
        <w:rPr>
          <w:rFonts w:cs="Courier New"/>
        </w:rPr>
        <w:t xml:space="preserve">summarize the </w:t>
      </w:r>
      <w:r w:rsidR="00594D8C">
        <w:rPr>
          <w:rFonts w:cs="Courier New"/>
        </w:rPr>
        <w:t>forecast</w:t>
      </w:r>
      <w:r w:rsidR="00182337">
        <w:rPr>
          <w:rFonts w:cs="Courier New"/>
        </w:rPr>
        <w:t>.</w:t>
      </w:r>
      <w:r w:rsidR="00922BAD">
        <w:rPr>
          <w:rFonts w:cs="Courier New"/>
        </w:rPr>
        <w:t xml:space="preserve"> </w:t>
      </w:r>
    </w:p>
    <w:p w14:paraId="6DB03A79" w14:textId="77777777" w:rsidR="00922BAD" w:rsidRPr="00A81010" w:rsidRDefault="00922BAD" w:rsidP="00A81010">
      <w:pPr>
        <w:widowControl w:val="0"/>
        <w:pBdr>
          <w:left w:val="single" w:sz="4" w:space="4" w:color="auto"/>
          <w:right w:val="single" w:sz="4" w:space="4" w:color="auto"/>
        </w:pBdr>
        <w:tabs>
          <w:tab w:val="left" w:pos="720"/>
        </w:tabs>
        <w:ind w:left="720" w:hanging="720"/>
        <w:jc w:val="both"/>
        <w:rPr>
          <w:rFonts w:cs="Courier New"/>
        </w:rPr>
      </w:pPr>
    </w:p>
    <w:p w14:paraId="61AA0E35" w14:textId="123ADEAB" w:rsidR="00922BAD" w:rsidRDefault="00A81010" w:rsidP="47023597">
      <w:pPr>
        <w:widowControl w:val="0"/>
        <w:pBdr>
          <w:left w:val="single" w:sz="4" w:space="4" w:color="auto"/>
          <w:right w:val="single" w:sz="4" w:space="4" w:color="auto"/>
        </w:pBdr>
        <w:tabs>
          <w:tab w:val="left" w:pos="720"/>
        </w:tabs>
        <w:ind w:left="720" w:hanging="720"/>
        <w:jc w:val="both"/>
        <w:rPr>
          <w:rFonts w:cs="Courier New"/>
        </w:rPr>
      </w:pPr>
      <w:r w:rsidRPr="47023597">
        <w:rPr>
          <w:rFonts w:cs="Courier New"/>
          <w:b/>
          <w:bCs/>
        </w:rPr>
        <w:t>A.</w:t>
      </w:r>
      <w:r>
        <w:tab/>
      </w:r>
      <w:r w:rsidR="00C501A2" w:rsidRPr="47023597">
        <w:rPr>
          <w:rFonts w:cs="Courier New"/>
        </w:rPr>
        <w:t>Over the next five years</w:t>
      </w:r>
      <w:r w:rsidR="00C91F94" w:rsidRPr="47023597">
        <w:rPr>
          <w:rFonts w:cs="Courier New"/>
        </w:rPr>
        <w:t xml:space="preserve"> (i.e., 2023 through 2027)</w:t>
      </w:r>
      <w:r w:rsidR="00594D8C" w:rsidRPr="47023597">
        <w:rPr>
          <w:rFonts w:cs="Courier New"/>
        </w:rPr>
        <w:t xml:space="preserve"> </w:t>
      </w:r>
      <w:r w:rsidR="003E312B" w:rsidRPr="47023597">
        <w:rPr>
          <w:rFonts w:cs="Courier New"/>
        </w:rPr>
        <w:t xml:space="preserve">Peoples </w:t>
      </w:r>
      <w:r w:rsidR="00C16151" w:rsidRPr="47023597">
        <w:rPr>
          <w:rFonts w:cs="Courier New"/>
        </w:rPr>
        <w:t>should see</w:t>
      </w:r>
      <w:r w:rsidR="00522CE7" w:rsidRPr="47023597">
        <w:rPr>
          <w:rFonts w:cs="Courier New"/>
        </w:rPr>
        <w:t xml:space="preserve"> </w:t>
      </w:r>
      <w:r w:rsidR="00C16151" w:rsidRPr="47023597">
        <w:rPr>
          <w:rFonts w:cs="Courier New"/>
        </w:rPr>
        <w:t>r</w:t>
      </w:r>
      <w:r w:rsidR="00522CE7" w:rsidRPr="47023597">
        <w:rPr>
          <w:rFonts w:cs="Courier New"/>
        </w:rPr>
        <w:t xml:space="preserve">elatively </w:t>
      </w:r>
      <w:r w:rsidR="00594D8C" w:rsidRPr="47023597">
        <w:rPr>
          <w:rFonts w:cs="Courier New"/>
        </w:rPr>
        <w:t xml:space="preserve">strong sales growth driven by </w:t>
      </w:r>
      <w:r w:rsidR="00893512" w:rsidRPr="47023597">
        <w:rPr>
          <w:rFonts w:cs="Courier New"/>
        </w:rPr>
        <w:t xml:space="preserve">projected household and </w:t>
      </w:r>
      <w:r w:rsidR="00594D8C" w:rsidRPr="47023597">
        <w:rPr>
          <w:rFonts w:cs="Courier New"/>
        </w:rPr>
        <w:t xml:space="preserve">economic growth </w:t>
      </w:r>
      <w:r w:rsidR="00893512" w:rsidRPr="47023597">
        <w:rPr>
          <w:rFonts w:cs="Courier New"/>
        </w:rPr>
        <w:t xml:space="preserve">and </w:t>
      </w:r>
      <w:r w:rsidR="00594D8C" w:rsidRPr="47023597">
        <w:rPr>
          <w:rFonts w:cs="Courier New"/>
        </w:rPr>
        <w:t>COVID</w:t>
      </w:r>
      <w:r w:rsidR="00A56A07">
        <w:rPr>
          <w:rFonts w:cs="Courier New"/>
        </w:rPr>
        <w:t>-19</w:t>
      </w:r>
      <w:r w:rsidR="00594D8C" w:rsidRPr="47023597">
        <w:rPr>
          <w:rFonts w:cs="Courier New"/>
        </w:rPr>
        <w:t xml:space="preserve"> </w:t>
      </w:r>
      <w:r w:rsidR="00893512" w:rsidRPr="47023597">
        <w:rPr>
          <w:rFonts w:cs="Courier New"/>
        </w:rPr>
        <w:t xml:space="preserve">sales </w:t>
      </w:r>
      <w:r w:rsidR="00594D8C" w:rsidRPr="47023597">
        <w:rPr>
          <w:rFonts w:cs="Courier New"/>
        </w:rPr>
        <w:t xml:space="preserve">recovery in the commercial sector. </w:t>
      </w:r>
      <w:r w:rsidR="00CB6B57" w:rsidRPr="47023597">
        <w:rPr>
          <w:rFonts w:cs="Courier New"/>
        </w:rPr>
        <w:t>Moody</w:t>
      </w:r>
      <w:r w:rsidR="002202DD">
        <w:rPr>
          <w:rFonts w:cs="Courier New"/>
        </w:rPr>
        <w:t>’s</w:t>
      </w:r>
      <w:r w:rsidR="00CB6B57" w:rsidRPr="47023597">
        <w:rPr>
          <w:rFonts w:cs="Courier New"/>
        </w:rPr>
        <w:t xml:space="preserve"> Analytics </w:t>
      </w:r>
      <w:r w:rsidR="2EB48FE3" w:rsidRPr="47023597">
        <w:rPr>
          <w:rFonts w:cs="Courier New"/>
        </w:rPr>
        <w:t>projects</w:t>
      </w:r>
      <w:r w:rsidR="00CB6B57" w:rsidRPr="47023597">
        <w:rPr>
          <w:rFonts w:cs="Courier New"/>
        </w:rPr>
        <w:t xml:space="preserve"> 1.7</w:t>
      </w:r>
      <w:r w:rsidRPr="47023597">
        <w:rPr>
          <w:rFonts w:cs="Courier New"/>
        </w:rPr>
        <w:t xml:space="preserve"> percent</w:t>
      </w:r>
      <w:r w:rsidR="00CB6B57" w:rsidRPr="47023597">
        <w:rPr>
          <w:rFonts w:cs="Courier New"/>
        </w:rPr>
        <w:t xml:space="preserve"> </w:t>
      </w:r>
      <w:r w:rsidR="003E312B" w:rsidRPr="47023597">
        <w:rPr>
          <w:rFonts w:cs="Courier New"/>
        </w:rPr>
        <w:t xml:space="preserve">state </w:t>
      </w:r>
      <w:r w:rsidR="00CB6B57" w:rsidRPr="47023597">
        <w:rPr>
          <w:rFonts w:cs="Courier New"/>
        </w:rPr>
        <w:t>average annual household growth</w:t>
      </w:r>
      <w:r w:rsidR="62A03B9C" w:rsidRPr="47023597">
        <w:rPr>
          <w:rFonts w:cs="Courier New"/>
        </w:rPr>
        <w:t>,</w:t>
      </w:r>
      <w:r w:rsidR="00CB6B57" w:rsidRPr="47023597">
        <w:rPr>
          <w:rFonts w:cs="Courier New"/>
        </w:rPr>
        <w:t xml:space="preserve"> up from 1.4</w:t>
      </w:r>
      <w:r w:rsidRPr="47023597">
        <w:rPr>
          <w:rFonts w:cs="Courier New"/>
        </w:rPr>
        <w:t xml:space="preserve"> percent</w:t>
      </w:r>
      <w:r w:rsidR="00CB6B57" w:rsidRPr="47023597">
        <w:rPr>
          <w:rFonts w:cs="Courier New"/>
        </w:rPr>
        <w:t xml:space="preserve"> </w:t>
      </w:r>
      <w:r w:rsidR="6DDBB2AD" w:rsidRPr="47023597">
        <w:rPr>
          <w:rFonts w:cs="Courier New"/>
        </w:rPr>
        <w:t xml:space="preserve">average growth </w:t>
      </w:r>
      <w:r w:rsidR="00CB6B57" w:rsidRPr="47023597">
        <w:rPr>
          <w:rFonts w:cs="Courier New"/>
        </w:rPr>
        <w:t>over the last five years</w:t>
      </w:r>
      <w:r w:rsidR="19D3452D" w:rsidRPr="47023597">
        <w:rPr>
          <w:rFonts w:cs="Courier New"/>
        </w:rPr>
        <w:t>,</w:t>
      </w:r>
      <w:r w:rsidR="00CB6B57" w:rsidRPr="47023597">
        <w:rPr>
          <w:rFonts w:cs="Courier New"/>
        </w:rPr>
        <w:t xml:space="preserve"> </w:t>
      </w:r>
      <w:r w:rsidR="00C501A2" w:rsidRPr="47023597">
        <w:rPr>
          <w:rFonts w:cs="Courier New"/>
        </w:rPr>
        <w:t>and 1.4</w:t>
      </w:r>
      <w:r w:rsidRPr="47023597">
        <w:rPr>
          <w:rFonts w:cs="Courier New"/>
        </w:rPr>
        <w:t xml:space="preserve"> percent</w:t>
      </w:r>
      <w:r w:rsidR="00C501A2" w:rsidRPr="47023597">
        <w:rPr>
          <w:rFonts w:cs="Courier New"/>
        </w:rPr>
        <w:t xml:space="preserve"> annual employment growth</w:t>
      </w:r>
      <w:r w:rsidR="65F15A7A" w:rsidRPr="47023597">
        <w:rPr>
          <w:rFonts w:cs="Courier New"/>
        </w:rPr>
        <w:t>,</w:t>
      </w:r>
      <w:r w:rsidR="00C501A2" w:rsidRPr="47023597">
        <w:rPr>
          <w:rFonts w:cs="Courier New"/>
        </w:rPr>
        <w:t xml:space="preserve"> down from 1.9</w:t>
      </w:r>
      <w:r w:rsidRPr="47023597">
        <w:rPr>
          <w:rFonts w:cs="Courier New"/>
        </w:rPr>
        <w:t xml:space="preserve"> percent</w:t>
      </w:r>
      <w:r w:rsidR="00C501A2" w:rsidRPr="47023597">
        <w:rPr>
          <w:rFonts w:cs="Courier New"/>
        </w:rPr>
        <w:t xml:space="preserve"> </w:t>
      </w:r>
      <w:r w:rsidR="00893512" w:rsidRPr="47023597">
        <w:rPr>
          <w:rFonts w:cs="Courier New"/>
        </w:rPr>
        <w:t>as the prior-</w:t>
      </w:r>
      <w:r w:rsidR="008925A0" w:rsidRPr="47023597">
        <w:rPr>
          <w:rFonts w:cs="Courier New"/>
        </w:rPr>
        <w:t>five-year</w:t>
      </w:r>
      <w:r w:rsidR="00893512" w:rsidRPr="47023597">
        <w:rPr>
          <w:rFonts w:cs="Courier New"/>
        </w:rPr>
        <w:t xml:space="preserve"> average includes </w:t>
      </w:r>
      <w:r w:rsidR="00FF70FC" w:rsidRPr="47023597">
        <w:rPr>
          <w:rFonts w:cs="Courier New"/>
        </w:rPr>
        <w:t xml:space="preserve">the COVID-19 </w:t>
      </w:r>
      <w:r w:rsidR="00C501A2" w:rsidRPr="47023597">
        <w:rPr>
          <w:rFonts w:cs="Courier New"/>
        </w:rPr>
        <w:t xml:space="preserve">2021 and 2022 </w:t>
      </w:r>
      <w:r w:rsidR="00FF70FC" w:rsidRPr="47023597">
        <w:rPr>
          <w:rFonts w:cs="Courier New"/>
        </w:rPr>
        <w:t xml:space="preserve">job recovery. </w:t>
      </w:r>
    </w:p>
    <w:p w14:paraId="71D9361D" w14:textId="591489DB" w:rsidR="00FF70FC" w:rsidRDefault="00FF70FC" w:rsidP="00A81010">
      <w:pPr>
        <w:widowControl w:val="0"/>
        <w:pBdr>
          <w:left w:val="single" w:sz="4" w:space="4" w:color="auto"/>
          <w:right w:val="single" w:sz="4" w:space="4" w:color="auto"/>
        </w:pBdr>
        <w:tabs>
          <w:tab w:val="left" w:pos="720"/>
        </w:tabs>
        <w:ind w:left="720" w:hanging="720"/>
        <w:jc w:val="both"/>
        <w:rPr>
          <w:rFonts w:cs="Courier New"/>
        </w:rPr>
      </w:pPr>
    </w:p>
    <w:p w14:paraId="3B795BB3" w14:textId="66AAF9BB" w:rsidR="002202DD" w:rsidRDefault="00922BAD" w:rsidP="00A81010">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3928EA" w:rsidRPr="0087131C">
        <w:rPr>
          <w:rFonts w:cs="Courier New"/>
          <w:b/>
          <w:bCs/>
        </w:rPr>
        <w:t>Residential Sales</w:t>
      </w:r>
      <w:r w:rsidR="003928EA" w:rsidRPr="00A81010">
        <w:rPr>
          <w:rFonts w:cs="Courier New"/>
        </w:rPr>
        <w:t>.</w:t>
      </w:r>
      <w:r w:rsidR="003928EA">
        <w:rPr>
          <w:rFonts w:cs="Courier New"/>
        </w:rPr>
        <w:t xml:space="preserve"> </w:t>
      </w:r>
      <w:r w:rsidR="006D3EB9">
        <w:rPr>
          <w:rFonts w:cs="Courier New"/>
        </w:rPr>
        <w:t>Over the next five years,</w:t>
      </w:r>
      <w:r w:rsidR="00C501A2">
        <w:rPr>
          <w:rFonts w:cs="Courier New"/>
        </w:rPr>
        <w:t xml:space="preserve"> </w:t>
      </w:r>
      <w:r w:rsidR="00BA4ACD">
        <w:rPr>
          <w:rFonts w:cs="Courier New"/>
        </w:rPr>
        <w:t xml:space="preserve">on a </w:t>
      </w:r>
      <w:r w:rsidR="6E73BBEE">
        <w:rPr>
          <w:rFonts w:cs="Courier New"/>
        </w:rPr>
        <w:t xml:space="preserve">normal </w:t>
      </w:r>
      <w:r w:rsidR="00BA4ACD">
        <w:rPr>
          <w:rFonts w:cs="Courier New"/>
        </w:rPr>
        <w:t xml:space="preserve">weather basis, </w:t>
      </w:r>
      <w:r w:rsidR="00C501A2">
        <w:rPr>
          <w:rFonts w:cs="Courier New"/>
        </w:rPr>
        <w:t>r</w:t>
      </w:r>
      <w:r w:rsidR="00CF3552">
        <w:rPr>
          <w:rFonts w:cs="Courier New"/>
        </w:rPr>
        <w:t xml:space="preserve">esidential sales are expected to average </w:t>
      </w:r>
      <w:r w:rsidR="4D3E419D">
        <w:rPr>
          <w:rFonts w:cs="Courier New"/>
        </w:rPr>
        <w:t>2.</w:t>
      </w:r>
      <w:r w:rsidR="00BA4ACD">
        <w:rPr>
          <w:rFonts w:cs="Courier New"/>
        </w:rPr>
        <w:t>1</w:t>
      </w:r>
      <w:r w:rsidR="00A81010" w:rsidRPr="47023597">
        <w:rPr>
          <w:rFonts w:cs="Courier New"/>
        </w:rPr>
        <w:t xml:space="preserve"> percent</w:t>
      </w:r>
      <w:r w:rsidR="00CF3552">
        <w:rPr>
          <w:rFonts w:cs="Courier New"/>
        </w:rPr>
        <w:t xml:space="preserve"> annual growth with annual customer growth of 3.4</w:t>
      </w:r>
      <w:r w:rsidR="00A81010" w:rsidRPr="47023597">
        <w:rPr>
          <w:rFonts w:cs="Courier New"/>
        </w:rPr>
        <w:t xml:space="preserve"> percent</w:t>
      </w:r>
      <w:r w:rsidR="00CF3552">
        <w:rPr>
          <w:rFonts w:cs="Courier New"/>
        </w:rPr>
        <w:t xml:space="preserve">. </w:t>
      </w:r>
      <w:r w:rsidR="003928EA">
        <w:rPr>
          <w:rFonts w:cs="Courier New"/>
        </w:rPr>
        <w:t>Weather</w:t>
      </w:r>
      <w:r w:rsidR="106BAC12">
        <w:rPr>
          <w:rFonts w:cs="Courier New"/>
        </w:rPr>
        <w:t>-</w:t>
      </w:r>
      <w:r w:rsidR="003928EA">
        <w:rPr>
          <w:rFonts w:cs="Courier New"/>
        </w:rPr>
        <w:t xml:space="preserve">normal average use drops in 2023 as </w:t>
      </w:r>
      <w:r w:rsidR="13C8C6AD">
        <w:rPr>
          <w:rFonts w:cs="Courier New"/>
        </w:rPr>
        <w:t>customer</w:t>
      </w:r>
      <w:r w:rsidR="003928EA">
        <w:rPr>
          <w:rFonts w:cs="Courier New"/>
        </w:rPr>
        <w:t xml:space="preserve"> </w:t>
      </w:r>
      <w:r w:rsidR="36012560">
        <w:rPr>
          <w:rFonts w:cs="Courier New"/>
        </w:rPr>
        <w:t>use</w:t>
      </w:r>
      <w:r w:rsidR="003928EA">
        <w:rPr>
          <w:rFonts w:cs="Courier New"/>
        </w:rPr>
        <w:t xml:space="preserve"> trend</w:t>
      </w:r>
      <w:r w:rsidR="41A8A792">
        <w:rPr>
          <w:rFonts w:cs="Courier New"/>
        </w:rPr>
        <w:t>s</w:t>
      </w:r>
      <w:r w:rsidR="003928EA">
        <w:rPr>
          <w:rFonts w:cs="Courier New"/>
        </w:rPr>
        <w:t xml:space="preserve"> back to pre-</w:t>
      </w:r>
      <w:r w:rsidR="002202DD">
        <w:rPr>
          <w:rFonts w:cs="Courier New"/>
        </w:rPr>
        <w:t>COVID</w:t>
      </w:r>
      <w:r w:rsidR="00A56A07">
        <w:rPr>
          <w:rFonts w:cs="Courier New"/>
        </w:rPr>
        <w:t>-19</w:t>
      </w:r>
      <w:r w:rsidR="002202DD">
        <w:rPr>
          <w:rFonts w:cs="Courier New"/>
        </w:rPr>
        <w:t xml:space="preserve"> </w:t>
      </w:r>
      <w:r w:rsidR="003928EA">
        <w:rPr>
          <w:rFonts w:cs="Courier New"/>
        </w:rPr>
        <w:t xml:space="preserve">levels. </w:t>
      </w:r>
      <w:r w:rsidR="00A80A56" w:rsidRPr="47023597">
        <w:rPr>
          <w:rFonts w:cs="Courier New"/>
        </w:rPr>
        <w:t>Beyond</w:t>
      </w:r>
      <w:r w:rsidR="003928EA">
        <w:rPr>
          <w:rFonts w:cs="Courier New"/>
        </w:rPr>
        <w:t xml:space="preserve"> 2023, average use declines </w:t>
      </w:r>
      <w:r w:rsidR="00D82F9E" w:rsidRPr="47023597">
        <w:rPr>
          <w:rFonts w:cs="Courier New"/>
        </w:rPr>
        <w:t xml:space="preserve">on </w:t>
      </w:r>
      <w:r w:rsidR="003928EA">
        <w:rPr>
          <w:rFonts w:cs="Courier New"/>
        </w:rPr>
        <w:t>average 0.8</w:t>
      </w:r>
      <w:r w:rsidR="00A81010" w:rsidRPr="47023597">
        <w:rPr>
          <w:rFonts w:cs="Courier New"/>
        </w:rPr>
        <w:t xml:space="preserve"> percent</w:t>
      </w:r>
      <w:r w:rsidR="003928EA">
        <w:rPr>
          <w:rFonts w:cs="Courier New"/>
        </w:rPr>
        <w:t xml:space="preserve"> as gas end-use efficiencies continue to improve. </w:t>
      </w:r>
      <w:r w:rsidR="003E5ECC">
        <w:rPr>
          <w:rFonts w:cs="Courier New"/>
        </w:rPr>
        <w:t xml:space="preserve">Table 1 below </w:t>
      </w:r>
      <w:r w:rsidR="007D5F09">
        <w:rPr>
          <w:rFonts w:cs="Courier New"/>
        </w:rPr>
        <w:t>shows residential sales</w:t>
      </w:r>
      <w:r w:rsidR="00FE21C9">
        <w:rPr>
          <w:rFonts w:cs="Courier New"/>
        </w:rPr>
        <w:t>, customers, and average use</w:t>
      </w:r>
      <w:r w:rsidR="007D5F09">
        <w:rPr>
          <w:rFonts w:cs="Courier New"/>
        </w:rPr>
        <w:t xml:space="preserve"> forecast</w:t>
      </w:r>
      <w:r w:rsidR="006156B0">
        <w:rPr>
          <w:rFonts w:cs="Courier New"/>
        </w:rPr>
        <w:t xml:space="preserve"> with historical and weather-normalized data.</w:t>
      </w:r>
      <w:r w:rsidR="00A35E5D">
        <w:rPr>
          <w:rFonts w:cs="Courier New"/>
        </w:rPr>
        <w:t xml:space="preserve"> </w:t>
      </w:r>
      <w:r w:rsidR="00A4497B">
        <w:rPr>
          <w:rFonts w:cs="Courier New"/>
        </w:rPr>
        <w:t xml:space="preserve"> Projected 2024 </w:t>
      </w:r>
      <w:r w:rsidR="00A35E5D">
        <w:rPr>
          <w:rFonts w:cs="Courier New"/>
        </w:rPr>
        <w:t>Test</w:t>
      </w:r>
      <w:r w:rsidR="00A4497B">
        <w:rPr>
          <w:rFonts w:cs="Courier New"/>
        </w:rPr>
        <w:t xml:space="preserve"> Year</w:t>
      </w:r>
      <w:r w:rsidR="00375BF3">
        <w:rPr>
          <w:rFonts w:cs="Courier New"/>
        </w:rPr>
        <w:t xml:space="preserve"> </w:t>
      </w:r>
      <w:r w:rsidR="00A35E5D">
        <w:rPr>
          <w:rFonts w:cs="Courier New"/>
        </w:rPr>
        <w:t xml:space="preserve">sales and customers are </w:t>
      </w:r>
      <w:r w:rsidR="005A151D">
        <w:rPr>
          <w:rFonts w:cs="Courier New"/>
        </w:rPr>
        <w:t>bolded</w:t>
      </w:r>
      <w:r w:rsidR="173130CD">
        <w:rPr>
          <w:rFonts w:cs="Courier New"/>
        </w:rPr>
        <w:t>.</w:t>
      </w:r>
    </w:p>
    <w:p w14:paraId="0D4FEF1C" w14:textId="77777777" w:rsidR="00426F87" w:rsidRDefault="00426F87" w:rsidP="00A81010">
      <w:pPr>
        <w:widowControl w:val="0"/>
        <w:pBdr>
          <w:left w:val="single" w:sz="4" w:space="4" w:color="auto"/>
          <w:right w:val="single" w:sz="4" w:space="4" w:color="auto"/>
        </w:pBdr>
        <w:tabs>
          <w:tab w:val="left" w:pos="720"/>
        </w:tabs>
        <w:ind w:left="720" w:hanging="720"/>
        <w:jc w:val="both"/>
        <w:rPr>
          <w:rFonts w:cs="Courier New"/>
        </w:rPr>
      </w:pPr>
    </w:p>
    <w:p w14:paraId="24E2BA80" w14:textId="77777777" w:rsidR="00426F87" w:rsidRDefault="00426F87" w:rsidP="00A81010">
      <w:pPr>
        <w:widowControl w:val="0"/>
        <w:pBdr>
          <w:left w:val="single" w:sz="4" w:space="4" w:color="auto"/>
          <w:right w:val="single" w:sz="4" w:space="4" w:color="auto"/>
        </w:pBdr>
        <w:tabs>
          <w:tab w:val="left" w:pos="720"/>
        </w:tabs>
        <w:ind w:left="720" w:hanging="720"/>
        <w:jc w:val="both"/>
        <w:rPr>
          <w:rFonts w:cs="Courier New"/>
        </w:rPr>
      </w:pPr>
    </w:p>
    <w:p w14:paraId="118EFDD3" w14:textId="77777777" w:rsidR="00426F87" w:rsidRDefault="00426F87" w:rsidP="00A81010">
      <w:pPr>
        <w:widowControl w:val="0"/>
        <w:pBdr>
          <w:left w:val="single" w:sz="4" w:space="4" w:color="auto"/>
          <w:right w:val="single" w:sz="4" w:space="4" w:color="auto"/>
        </w:pBdr>
        <w:tabs>
          <w:tab w:val="left" w:pos="720"/>
        </w:tabs>
        <w:ind w:left="720" w:hanging="720"/>
        <w:jc w:val="both"/>
        <w:rPr>
          <w:rFonts w:cs="Courier New"/>
        </w:rPr>
      </w:pPr>
    </w:p>
    <w:p w14:paraId="563BAD21" w14:textId="673D29D9" w:rsidR="003B6BE2" w:rsidRDefault="00C410E2" w:rsidP="00464BA2">
      <w:pPr>
        <w:widowControl w:val="0"/>
        <w:pBdr>
          <w:left w:val="single" w:sz="4" w:space="4" w:color="auto"/>
          <w:right w:val="single" w:sz="4" w:space="4" w:color="auto"/>
        </w:pBdr>
        <w:ind w:left="720" w:hanging="720"/>
        <w:jc w:val="both"/>
        <w:rPr>
          <w:rFonts w:cs="Courier New"/>
        </w:rPr>
      </w:pPr>
      <w:r w:rsidRPr="00464BA2">
        <w:rPr>
          <w:rFonts w:cs="Courier New"/>
          <w:b/>
          <w:bCs/>
          <w:szCs w:val="24"/>
        </w:rPr>
        <w:lastRenderedPageBreak/>
        <w:t xml:space="preserve">Table </w:t>
      </w:r>
      <w:r w:rsidRPr="00464BA2">
        <w:rPr>
          <w:rFonts w:cs="Courier New"/>
          <w:b/>
          <w:bCs/>
          <w:szCs w:val="24"/>
        </w:rPr>
        <w:fldChar w:fldCharType="begin"/>
      </w:r>
      <w:r w:rsidRPr="00464BA2">
        <w:rPr>
          <w:rFonts w:cs="Courier New"/>
          <w:b/>
          <w:bCs/>
          <w:szCs w:val="24"/>
        </w:rPr>
        <w:instrText xml:space="preserve"> SEQ Table \* ARABIC </w:instrText>
      </w:r>
      <w:r w:rsidRPr="00464BA2">
        <w:rPr>
          <w:rFonts w:cs="Courier New"/>
          <w:b/>
          <w:bCs/>
          <w:szCs w:val="24"/>
        </w:rPr>
        <w:fldChar w:fldCharType="separate"/>
      </w:r>
      <w:r w:rsidR="00DD6FBB">
        <w:rPr>
          <w:rFonts w:cs="Courier New"/>
          <w:b/>
          <w:bCs/>
          <w:noProof/>
          <w:szCs w:val="24"/>
        </w:rPr>
        <w:t>1</w:t>
      </w:r>
      <w:r w:rsidRPr="00464BA2">
        <w:rPr>
          <w:rFonts w:cs="Courier New"/>
          <w:b/>
          <w:bCs/>
          <w:szCs w:val="24"/>
        </w:rPr>
        <w:fldChar w:fldCharType="end"/>
      </w:r>
      <w:r w:rsidRPr="00464BA2">
        <w:rPr>
          <w:rFonts w:cs="Courier New"/>
          <w:b/>
          <w:bCs/>
          <w:szCs w:val="24"/>
        </w:rPr>
        <w:t>: Residential Sales and Customer Forecast</w:t>
      </w:r>
      <w:r w:rsidR="00464BA2">
        <w:rPr>
          <w:rFonts w:cs="Courier New"/>
          <w:b/>
          <w:bCs/>
          <w:szCs w:val="24"/>
        </w:rPr>
        <w:t xml:space="preserve"> </w:t>
      </w:r>
      <w:r w:rsidR="00FF7874">
        <w:rPr>
          <w:rFonts w:cs="Courier New"/>
        </w:rPr>
        <w:tab/>
      </w:r>
    </w:p>
    <w:p w14:paraId="444F61E5" w14:textId="633AD7A7" w:rsidR="00050D19" w:rsidRDefault="000A700D" w:rsidP="00A81010">
      <w:pPr>
        <w:widowControl w:val="0"/>
        <w:pBdr>
          <w:left w:val="single" w:sz="4" w:space="4" w:color="auto"/>
          <w:right w:val="single" w:sz="4" w:space="4" w:color="auto"/>
        </w:pBdr>
        <w:tabs>
          <w:tab w:val="left" w:pos="720"/>
        </w:tabs>
        <w:ind w:left="720" w:hanging="720"/>
        <w:jc w:val="both"/>
        <w:rPr>
          <w:rFonts w:cs="Courier New"/>
        </w:rPr>
      </w:pPr>
      <w:r>
        <w:rPr>
          <w:rFonts w:cs="Courier New"/>
          <w:noProof/>
        </w:rPr>
        <w:drawing>
          <wp:anchor distT="0" distB="0" distL="114300" distR="114300" simplePos="0" relativeHeight="251658242" behindDoc="0" locked="0" layoutInCell="1" allowOverlap="1" wp14:anchorId="21235C67" wp14:editId="248FF7A4">
            <wp:simplePos x="0" y="0"/>
            <wp:positionH relativeFrom="page">
              <wp:align>center</wp:align>
            </wp:positionH>
            <wp:positionV relativeFrom="paragraph">
              <wp:posOffset>139728</wp:posOffset>
            </wp:positionV>
            <wp:extent cx="3810635" cy="3206750"/>
            <wp:effectExtent l="0" t="0" r="0" b="0"/>
            <wp:wrapNone/>
            <wp:docPr id="9" name="Picture 9" descr="A picture containing text, crossword puzzle,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rossword puzzle, receip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635" cy="3206750"/>
                    </a:xfrm>
                    <a:prstGeom prst="rect">
                      <a:avLst/>
                    </a:prstGeom>
                    <a:noFill/>
                  </pic:spPr>
                </pic:pic>
              </a:graphicData>
            </a:graphic>
            <wp14:sizeRelH relativeFrom="page">
              <wp14:pctWidth>0</wp14:pctWidth>
            </wp14:sizeRelH>
            <wp14:sizeRelV relativeFrom="page">
              <wp14:pctHeight>0</wp14:pctHeight>
            </wp14:sizeRelV>
          </wp:anchor>
        </w:drawing>
      </w:r>
    </w:p>
    <w:p w14:paraId="758AD5EA" w14:textId="4E6D6A4B"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37AFF618"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59DA7DE6"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3261B6DD"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00112376"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21C8FBD3"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722F7258"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351D5825" w14:textId="3F9AB605"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593E9556" w14:textId="1A3590BE" w:rsidR="00426F87" w:rsidRDefault="00426F87" w:rsidP="00A81010">
      <w:pPr>
        <w:widowControl w:val="0"/>
        <w:pBdr>
          <w:left w:val="single" w:sz="4" w:space="4" w:color="auto"/>
          <w:right w:val="single" w:sz="4" w:space="4" w:color="auto"/>
        </w:pBdr>
        <w:tabs>
          <w:tab w:val="left" w:pos="720"/>
        </w:tabs>
        <w:ind w:left="720" w:hanging="720"/>
        <w:jc w:val="both"/>
        <w:rPr>
          <w:rFonts w:cs="Courier New"/>
        </w:rPr>
      </w:pPr>
    </w:p>
    <w:p w14:paraId="3F8C1FB7" w14:textId="7017FC66" w:rsidR="00426F87" w:rsidRDefault="00426F87" w:rsidP="00A81010">
      <w:pPr>
        <w:widowControl w:val="0"/>
        <w:pBdr>
          <w:left w:val="single" w:sz="4" w:space="4" w:color="auto"/>
          <w:right w:val="single" w:sz="4" w:space="4" w:color="auto"/>
        </w:pBdr>
        <w:tabs>
          <w:tab w:val="left" w:pos="720"/>
        </w:tabs>
        <w:ind w:left="720" w:hanging="720"/>
        <w:jc w:val="both"/>
        <w:rPr>
          <w:rFonts w:cs="Courier New"/>
        </w:rPr>
      </w:pPr>
    </w:p>
    <w:p w14:paraId="685BD7C4" w14:textId="77777777" w:rsidR="00DD6FBB" w:rsidRDefault="00DD6FBB" w:rsidP="00A81010">
      <w:pPr>
        <w:widowControl w:val="0"/>
        <w:pBdr>
          <w:left w:val="single" w:sz="4" w:space="4" w:color="auto"/>
          <w:right w:val="single" w:sz="4" w:space="4" w:color="auto"/>
        </w:pBdr>
        <w:tabs>
          <w:tab w:val="left" w:pos="720"/>
        </w:tabs>
        <w:ind w:left="720" w:hanging="720"/>
        <w:jc w:val="both"/>
        <w:rPr>
          <w:rFonts w:cs="Courier New"/>
        </w:rPr>
      </w:pPr>
    </w:p>
    <w:p w14:paraId="7D7ACC91" w14:textId="27CCE91A" w:rsidR="00276F84" w:rsidRDefault="003B6BE2" w:rsidP="00A81010">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A4497B">
        <w:rPr>
          <w:rFonts w:cs="Courier New"/>
        </w:rPr>
        <w:t xml:space="preserve">Projected 2024 </w:t>
      </w:r>
      <w:r w:rsidR="003928EA">
        <w:rPr>
          <w:rFonts w:cs="Courier New"/>
        </w:rPr>
        <w:t>T</w:t>
      </w:r>
      <w:r w:rsidR="003928EA" w:rsidRPr="00594D8C">
        <w:rPr>
          <w:rFonts w:cs="Courier New"/>
        </w:rPr>
        <w:t>est</w:t>
      </w:r>
      <w:r w:rsidR="00A4497B">
        <w:rPr>
          <w:rFonts w:cs="Courier New"/>
        </w:rPr>
        <w:t xml:space="preserve"> </w:t>
      </w:r>
      <w:r w:rsidR="003928EA" w:rsidRPr="00594D8C">
        <w:rPr>
          <w:rFonts w:cs="Courier New"/>
        </w:rPr>
        <w:t>Year residential sales are</w:t>
      </w:r>
      <w:r w:rsidR="003928EA">
        <w:rPr>
          <w:rFonts w:cs="Courier New"/>
        </w:rPr>
        <w:t xml:space="preserve"> 111,861 thousand therms compared with 2022 year-end sales of </w:t>
      </w:r>
      <w:r w:rsidR="006455F5">
        <w:rPr>
          <w:rFonts w:cs="Courier New"/>
        </w:rPr>
        <w:t>99,013</w:t>
      </w:r>
      <w:r w:rsidR="003928EA">
        <w:rPr>
          <w:rFonts w:cs="Courier New"/>
        </w:rPr>
        <w:t xml:space="preserve"> thousand</w:t>
      </w:r>
      <w:r w:rsidR="003E33FB">
        <w:rPr>
          <w:rFonts w:cs="Courier New"/>
        </w:rPr>
        <w:t xml:space="preserve"> therms</w:t>
      </w:r>
      <w:r w:rsidR="003928EA">
        <w:rPr>
          <w:rFonts w:cs="Courier New"/>
        </w:rPr>
        <w:t xml:space="preserve">. There is a large </w:t>
      </w:r>
      <w:r w:rsidR="009E0408">
        <w:rPr>
          <w:rFonts w:cs="Courier New"/>
        </w:rPr>
        <w:t>increase</w:t>
      </w:r>
      <w:r w:rsidR="003928EA">
        <w:rPr>
          <w:rFonts w:cs="Courier New"/>
        </w:rPr>
        <w:t xml:space="preserve"> in 2023 sales as a result of </w:t>
      </w:r>
      <w:r w:rsidR="009E0408">
        <w:rPr>
          <w:rFonts w:cs="Courier New"/>
        </w:rPr>
        <w:t xml:space="preserve">the </w:t>
      </w:r>
      <w:r w:rsidR="003928EA">
        <w:rPr>
          <w:rFonts w:cs="Courier New"/>
        </w:rPr>
        <w:t>transition from below normal weather in 2022 to normal weather in 2023</w:t>
      </w:r>
      <w:r w:rsidR="00276F84">
        <w:rPr>
          <w:rFonts w:cs="Courier New"/>
        </w:rPr>
        <w:t>.</w:t>
      </w:r>
      <w:r w:rsidR="0024198B">
        <w:rPr>
          <w:rFonts w:cs="Courier New"/>
        </w:rPr>
        <w:t xml:space="preserve"> On a weather normal basis, </w:t>
      </w:r>
      <w:r w:rsidR="00A4497B">
        <w:rPr>
          <w:rFonts w:cs="Courier New"/>
        </w:rPr>
        <w:t xml:space="preserve">Projected </w:t>
      </w:r>
      <w:r w:rsidR="0024198B">
        <w:rPr>
          <w:rFonts w:cs="Courier New"/>
        </w:rPr>
        <w:t>2024</w:t>
      </w:r>
      <w:r w:rsidR="008036A0">
        <w:rPr>
          <w:rFonts w:cs="Courier New"/>
        </w:rPr>
        <w:t xml:space="preserve"> </w:t>
      </w:r>
      <w:r w:rsidR="00A4497B">
        <w:rPr>
          <w:rFonts w:cs="Courier New"/>
        </w:rPr>
        <w:t>Test Year</w:t>
      </w:r>
      <w:r w:rsidR="008036A0">
        <w:rPr>
          <w:rFonts w:cs="Courier New"/>
        </w:rPr>
        <w:t xml:space="preserve"> sales are </w:t>
      </w:r>
      <w:r w:rsidR="00CF683D">
        <w:rPr>
          <w:rFonts w:cs="Courier New"/>
        </w:rPr>
        <w:t>3.5</w:t>
      </w:r>
      <w:r w:rsidR="00FC2267">
        <w:rPr>
          <w:rFonts w:cs="Courier New"/>
        </w:rPr>
        <w:t xml:space="preserve"> percent </w:t>
      </w:r>
      <w:r w:rsidR="00CF683D">
        <w:rPr>
          <w:rFonts w:cs="Courier New"/>
        </w:rPr>
        <w:t xml:space="preserve">higher than </w:t>
      </w:r>
      <w:r w:rsidR="00EF3F00">
        <w:rPr>
          <w:rFonts w:cs="Courier New"/>
        </w:rPr>
        <w:t>2022 sales.</w:t>
      </w:r>
    </w:p>
    <w:p w14:paraId="1B0204AC" w14:textId="77777777" w:rsidR="00276F84" w:rsidRDefault="00276F84" w:rsidP="00A81010">
      <w:pPr>
        <w:widowControl w:val="0"/>
        <w:pBdr>
          <w:left w:val="single" w:sz="4" w:space="4" w:color="auto"/>
          <w:right w:val="single" w:sz="4" w:space="4" w:color="auto"/>
        </w:pBdr>
        <w:tabs>
          <w:tab w:val="left" w:pos="720"/>
        </w:tabs>
        <w:ind w:left="720" w:hanging="720"/>
        <w:jc w:val="both"/>
        <w:rPr>
          <w:rFonts w:cs="Courier New"/>
        </w:rPr>
      </w:pPr>
    </w:p>
    <w:p w14:paraId="4C0F5A37" w14:textId="1DA7CE1B" w:rsidR="00050D19" w:rsidRDefault="008C7FAD" w:rsidP="00050D19">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rPr>
        <w:tab/>
      </w:r>
      <w:r w:rsidR="003E33FB" w:rsidRPr="0087131C">
        <w:rPr>
          <w:rFonts w:cs="Courier New"/>
          <w:b/>
          <w:bCs/>
        </w:rPr>
        <w:t>Commercial Sales</w:t>
      </w:r>
      <w:r w:rsidR="003E33FB" w:rsidRPr="00A81010">
        <w:rPr>
          <w:rFonts w:cs="Courier New"/>
        </w:rPr>
        <w:t xml:space="preserve">. </w:t>
      </w:r>
      <w:r w:rsidRPr="00A81010">
        <w:rPr>
          <w:rFonts w:cs="Courier New"/>
        </w:rPr>
        <w:t xml:space="preserve">Commercial </w:t>
      </w:r>
      <w:r w:rsidR="00182045" w:rsidRPr="00A81010">
        <w:rPr>
          <w:rFonts w:cs="Courier New"/>
        </w:rPr>
        <w:t>average use dropped</w:t>
      </w:r>
      <w:r w:rsidRPr="00A81010">
        <w:rPr>
          <w:rFonts w:cs="Courier New"/>
        </w:rPr>
        <w:t xml:space="preserve"> significant</w:t>
      </w:r>
      <w:r w:rsidR="0057690E" w:rsidRPr="00A81010">
        <w:rPr>
          <w:rFonts w:cs="Courier New"/>
        </w:rPr>
        <w:t>ly</w:t>
      </w:r>
      <w:r w:rsidRPr="00A81010">
        <w:rPr>
          <w:rFonts w:cs="Courier New"/>
        </w:rPr>
        <w:t xml:space="preserve"> in 2020 </w:t>
      </w:r>
      <w:r w:rsidR="00D378FF" w:rsidRPr="00A81010">
        <w:rPr>
          <w:rFonts w:cs="Courier New"/>
        </w:rPr>
        <w:t>because of</w:t>
      </w:r>
      <w:r w:rsidRPr="00A81010">
        <w:rPr>
          <w:rFonts w:cs="Courier New"/>
        </w:rPr>
        <w:t xml:space="preserve"> t</w:t>
      </w:r>
      <w:r w:rsidR="00834CA8" w:rsidRPr="00A81010">
        <w:rPr>
          <w:rFonts w:cs="Courier New"/>
        </w:rPr>
        <w:t>h</w:t>
      </w:r>
      <w:r w:rsidR="0046049A" w:rsidRPr="00A81010">
        <w:rPr>
          <w:rFonts w:cs="Courier New"/>
        </w:rPr>
        <w:t>e COVID-19 “work at home” mandate</w:t>
      </w:r>
      <w:r w:rsidR="00182045" w:rsidRPr="00A81010">
        <w:rPr>
          <w:rFonts w:cs="Courier New"/>
        </w:rPr>
        <w:t>; normalized average use fell from 8,</w:t>
      </w:r>
      <w:r w:rsidR="00094843">
        <w:rPr>
          <w:rFonts w:cs="Courier New"/>
        </w:rPr>
        <w:t>7</w:t>
      </w:r>
      <w:r w:rsidR="00182045" w:rsidRPr="00A81010">
        <w:rPr>
          <w:rFonts w:cs="Courier New"/>
        </w:rPr>
        <w:t>00 therms to slightly less than 7,</w:t>
      </w:r>
      <w:r w:rsidR="00374A5E">
        <w:rPr>
          <w:rFonts w:cs="Courier New"/>
        </w:rPr>
        <w:t>6</w:t>
      </w:r>
      <w:r w:rsidR="00182045" w:rsidRPr="00A81010">
        <w:rPr>
          <w:rFonts w:cs="Courier New"/>
        </w:rPr>
        <w:t>00 therms</w:t>
      </w:r>
      <w:r w:rsidRPr="00A81010">
        <w:rPr>
          <w:rFonts w:cs="Courier New"/>
        </w:rPr>
        <w:t xml:space="preserve">. </w:t>
      </w:r>
      <w:r w:rsidR="00182045" w:rsidRPr="00A81010">
        <w:rPr>
          <w:rFonts w:cs="Courier New"/>
        </w:rPr>
        <w:t xml:space="preserve">Average use has recovered </w:t>
      </w:r>
      <w:r w:rsidR="00182045" w:rsidRPr="00A81010">
        <w:rPr>
          <w:rFonts w:cs="Courier New"/>
        </w:rPr>
        <w:lastRenderedPageBreak/>
        <w:t>since then and is expected to continue to recover with</w:t>
      </w:r>
      <w:r w:rsidR="003D6240">
        <w:rPr>
          <w:rFonts w:cs="Courier New"/>
        </w:rPr>
        <w:t xml:space="preserve"> </w:t>
      </w:r>
      <w:r w:rsidR="00CB58CE">
        <w:rPr>
          <w:rFonts w:cs="Courier New"/>
        </w:rPr>
        <w:t xml:space="preserve">business operations trending back to </w:t>
      </w:r>
      <w:r w:rsidR="009E0408">
        <w:rPr>
          <w:rFonts w:cs="Courier New"/>
        </w:rPr>
        <w:t>pre-</w:t>
      </w:r>
      <w:r w:rsidR="002202DD">
        <w:rPr>
          <w:rFonts w:cs="Courier New"/>
        </w:rPr>
        <w:t>COVID</w:t>
      </w:r>
      <w:r w:rsidR="00A56A07">
        <w:rPr>
          <w:rFonts w:cs="Courier New"/>
        </w:rPr>
        <w:t>-19</w:t>
      </w:r>
      <w:r w:rsidR="002202DD">
        <w:rPr>
          <w:rFonts w:cs="Courier New"/>
        </w:rPr>
        <w:t xml:space="preserve"> </w:t>
      </w:r>
      <w:r w:rsidR="00CB58CE">
        <w:rPr>
          <w:rFonts w:cs="Courier New"/>
        </w:rPr>
        <w:t>activity levels. C</w:t>
      </w:r>
      <w:r w:rsidR="00182045">
        <w:rPr>
          <w:rFonts w:cs="Courier New"/>
        </w:rPr>
        <w:t xml:space="preserve">ustomer growth slows </w:t>
      </w:r>
      <w:r w:rsidR="00CB58CE">
        <w:rPr>
          <w:rFonts w:cs="Courier New"/>
        </w:rPr>
        <w:t xml:space="preserve">through the forecast period </w:t>
      </w:r>
      <w:r w:rsidR="00182045">
        <w:rPr>
          <w:rFonts w:cs="Courier New"/>
        </w:rPr>
        <w:t xml:space="preserve">as it is tied to </w:t>
      </w:r>
      <w:r w:rsidR="003D6240">
        <w:rPr>
          <w:rFonts w:cs="Courier New"/>
        </w:rPr>
        <w:t>l</w:t>
      </w:r>
      <w:r w:rsidR="008658DE">
        <w:rPr>
          <w:rFonts w:cs="Courier New"/>
        </w:rPr>
        <w:t xml:space="preserve">ower </w:t>
      </w:r>
      <w:r w:rsidR="0046049A">
        <w:rPr>
          <w:rFonts w:cs="Courier New"/>
        </w:rPr>
        <w:t xml:space="preserve">employment </w:t>
      </w:r>
      <w:r>
        <w:rPr>
          <w:rFonts w:cs="Courier New"/>
        </w:rPr>
        <w:t xml:space="preserve">and residential customer </w:t>
      </w:r>
      <w:r w:rsidR="008658DE">
        <w:rPr>
          <w:rFonts w:cs="Courier New"/>
        </w:rPr>
        <w:t>growth projections</w:t>
      </w:r>
      <w:r w:rsidR="00FC0278">
        <w:rPr>
          <w:rFonts w:cs="Courier New"/>
        </w:rPr>
        <w:t>.</w:t>
      </w:r>
      <w:r w:rsidR="00276F84">
        <w:rPr>
          <w:rFonts w:cs="Courier New"/>
        </w:rPr>
        <w:t xml:space="preserve"> </w:t>
      </w:r>
      <w:r w:rsidR="00DD6FBB">
        <w:rPr>
          <w:rFonts w:cs="Courier New"/>
        </w:rPr>
        <w:t>Table 2 below,</w:t>
      </w:r>
      <w:r w:rsidR="00A35E5D">
        <w:rPr>
          <w:rFonts w:cs="Courier New"/>
        </w:rPr>
        <w:t xml:space="preserve"> shows commercial </w:t>
      </w:r>
      <w:r w:rsidR="0043774E">
        <w:rPr>
          <w:rFonts w:cs="Courier New"/>
        </w:rPr>
        <w:t>actual and forecasted sales</w:t>
      </w:r>
      <w:r w:rsidR="00A35E5D">
        <w:rPr>
          <w:rFonts w:cs="Courier New"/>
        </w:rPr>
        <w:t xml:space="preserve">. </w:t>
      </w:r>
    </w:p>
    <w:p w14:paraId="3F38B724" w14:textId="77777777" w:rsidR="00050D19" w:rsidRDefault="00050D19" w:rsidP="00050D19">
      <w:pPr>
        <w:widowControl w:val="0"/>
        <w:pBdr>
          <w:left w:val="single" w:sz="4" w:space="4" w:color="auto"/>
          <w:right w:val="single" w:sz="4" w:space="4" w:color="auto"/>
        </w:pBdr>
        <w:tabs>
          <w:tab w:val="left" w:pos="720"/>
        </w:tabs>
        <w:ind w:left="720" w:hanging="720"/>
        <w:jc w:val="both"/>
        <w:rPr>
          <w:rFonts w:cs="Courier New"/>
          <w:b/>
          <w:bCs/>
          <w:sz w:val="26"/>
          <w:szCs w:val="26"/>
        </w:rPr>
      </w:pPr>
    </w:p>
    <w:p w14:paraId="018C5A68" w14:textId="66549F5A" w:rsidR="006E3C7F" w:rsidRPr="00464BA2" w:rsidRDefault="006E3C7F" w:rsidP="00050D19">
      <w:pPr>
        <w:widowControl w:val="0"/>
        <w:pBdr>
          <w:left w:val="single" w:sz="4" w:space="4" w:color="auto"/>
          <w:right w:val="single" w:sz="4" w:space="4" w:color="auto"/>
        </w:pBdr>
        <w:tabs>
          <w:tab w:val="left" w:pos="720"/>
        </w:tabs>
        <w:ind w:left="720" w:hanging="720"/>
        <w:jc w:val="both"/>
        <w:rPr>
          <w:rFonts w:cs="Courier New"/>
          <w:b/>
          <w:bCs/>
          <w:szCs w:val="24"/>
        </w:rPr>
      </w:pPr>
      <w:r w:rsidRPr="00464BA2">
        <w:rPr>
          <w:rFonts w:cs="Courier New"/>
          <w:b/>
          <w:bCs/>
          <w:szCs w:val="24"/>
        </w:rPr>
        <w:t xml:space="preserve">Table </w:t>
      </w:r>
      <w:r w:rsidRPr="00464BA2">
        <w:rPr>
          <w:rFonts w:cs="Courier New"/>
          <w:b/>
          <w:bCs/>
          <w:szCs w:val="24"/>
        </w:rPr>
        <w:fldChar w:fldCharType="begin"/>
      </w:r>
      <w:r w:rsidRPr="00464BA2">
        <w:rPr>
          <w:rFonts w:cs="Courier New"/>
          <w:b/>
          <w:bCs/>
          <w:szCs w:val="24"/>
        </w:rPr>
        <w:instrText xml:space="preserve"> SEQ Table \* ARABIC </w:instrText>
      </w:r>
      <w:r w:rsidRPr="00464BA2">
        <w:rPr>
          <w:rFonts w:cs="Courier New"/>
          <w:b/>
          <w:bCs/>
          <w:szCs w:val="24"/>
        </w:rPr>
        <w:fldChar w:fldCharType="separate"/>
      </w:r>
      <w:r w:rsidR="00DD6FBB">
        <w:rPr>
          <w:rFonts w:cs="Courier New"/>
          <w:b/>
          <w:bCs/>
          <w:noProof/>
          <w:szCs w:val="24"/>
        </w:rPr>
        <w:t>2</w:t>
      </w:r>
      <w:r w:rsidRPr="00464BA2">
        <w:rPr>
          <w:rFonts w:cs="Courier New"/>
          <w:b/>
          <w:bCs/>
          <w:szCs w:val="24"/>
        </w:rPr>
        <w:fldChar w:fldCharType="end"/>
      </w:r>
      <w:r w:rsidRPr="00464BA2">
        <w:rPr>
          <w:rFonts w:cs="Courier New"/>
          <w:b/>
          <w:bCs/>
          <w:szCs w:val="24"/>
        </w:rPr>
        <w:t>: Small Commercial Sales and Forecast</w:t>
      </w:r>
    </w:p>
    <w:p w14:paraId="0F637CB7" w14:textId="7020A9A3" w:rsidR="00050D19" w:rsidRDefault="00050D19" w:rsidP="00050D19">
      <w:pPr>
        <w:widowControl w:val="0"/>
        <w:pBdr>
          <w:left w:val="single" w:sz="4" w:space="4" w:color="auto"/>
          <w:right w:val="single" w:sz="4" w:space="4" w:color="auto"/>
        </w:pBdr>
        <w:tabs>
          <w:tab w:val="left" w:pos="720"/>
        </w:tabs>
        <w:ind w:left="720" w:hanging="720"/>
        <w:jc w:val="both"/>
        <w:rPr>
          <w:rFonts w:cs="Courier New"/>
          <w:b/>
          <w:bCs/>
          <w:sz w:val="26"/>
          <w:szCs w:val="26"/>
        </w:rPr>
      </w:pPr>
      <w:r w:rsidRPr="00050D19">
        <w:rPr>
          <w:noProof/>
        </w:rPr>
        <w:drawing>
          <wp:anchor distT="0" distB="0" distL="114300" distR="114300" simplePos="0" relativeHeight="251658240" behindDoc="0" locked="0" layoutInCell="1" allowOverlap="1" wp14:anchorId="324AAAF5" wp14:editId="69EF7994">
            <wp:simplePos x="0" y="0"/>
            <wp:positionH relativeFrom="column">
              <wp:posOffset>589164</wp:posOffset>
            </wp:positionH>
            <wp:positionV relativeFrom="paragraph">
              <wp:posOffset>91553</wp:posOffset>
            </wp:positionV>
            <wp:extent cx="4115420" cy="3384645"/>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23553" cy="3391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56C5A" w14:textId="77777777" w:rsidR="00050D19" w:rsidRDefault="00050D19" w:rsidP="00050D19">
      <w:pPr>
        <w:widowControl w:val="0"/>
        <w:pBdr>
          <w:left w:val="single" w:sz="4" w:space="4" w:color="auto"/>
          <w:right w:val="single" w:sz="4" w:space="4" w:color="auto"/>
        </w:pBdr>
        <w:tabs>
          <w:tab w:val="left" w:pos="720"/>
        </w:tabs>
        <w:ind w:left="720" w:hanging="720"/>
        <w:jc w:val="both"/>
        <w:rPr>
          <w:rFonts w:cs="Courier New"/>
          <w:b/>
          <w:bCs/>
          <w:sz w:val="26"/>
          <w:szCs w:val="26"/>
        </w:rPr>
      </w:pPr>
    </w:p>
    <w:p w14:paraId="2B3387FC" w14:textId="77777777" w:rsidR="00050D19" w:rsidRDefault="00050D19" w:rsidP="00050D19">
      <w:pPr>
        <w:widowControl w:val="0"/>
        <w:pBdr>
          <w:left w:val="single" w:sz="4" w:space="4" w:color="auto"/>
          <w:right w:val="single" w:sz="4" w:space="4" w:color="auto"/>
        </w:pBdr>
        <w:tabs>
          <w:tab w:val="left" w:pos="720"/>
        </w:tabs>
        <w:ind w:left="720" w:hanging="720"/>
        <w:jc w:val="both"/>
        <w:rPr>
          <w:rFonts w:cs="Courier New"/>
        </w:rPr>
      </w:pPr>
    </w:p>
    <w:p w14:paraId="683AB3BF" w14:textId="7D46FE04" w:rsidR="002E24B0" w:rsidRDefault="002E24B0" w:rsidP="00A81010">
      <w:pPr>
        <w:widowControl w:val="0"/>
        <w:pBdr>
          <w:left w:val="single" w:sz="4" w:space="4" w:color="auto"/>
          <w:right w:val="single" w:sz="4" w:space="4" w:color="auto"/>
        </w:pBdr>
        <w:tabs>
          <w:tab w:val="left" w:pos="720"/>
        </w:tabs>
        <w:ind w:left="720" w:hanging="720"/>
        <w:jc w:val="both"/>
        <w:rPr>
          <w:rFonts w:cs="Courier New"/>
        </w:rPr>
      </w:pPr>
    </w:p>
    <w:p w14:paraId="272EA12F" w14:textId="3A1B91EF"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15484D2D"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13F41C53"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15ADABFC"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11F7DCE4" w14:textId="3FB72559"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63BEB321"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rPr>
      </w:pPr>
    </w:p>
    <w:p w14:paraId="68295E85" w14:textId="77777777" w:rsidR="00050D19" w:rsidRDefault="00050D19" w:rsidP="00A81010">
      <w:pPr>
        <w:widowControl w:val="0"/>
        <w:pBdr>
          <w:left w:val="single" w:sz="4" w:space="4" w:color="auto"/>
          <w:right w:val="single" w:sz="4" w:space="4" w:color="auto"/>
        </w:pBdr>
        <w:tabs>
          <w:tab w:val="left" w:pos="720"/>
        </w:tabs>
        <w:ind w:left="720" w:hanging="720"/>
        <w:jc w:val="both"/>
        <w:rPr>
          <w:rFonts w:cs="Courier New"/>
          <w:b/>
          <w:bCs/>
        </w:rPr>
      </w:pPr>
    </w:p>
    <w:p w14:paraId="4A3DD8F4" w14:textId="77777777" w:rsidR="00464BA2" w:rsidRDefault="00464BA2" w:rsidP="00A81010">
      <w:pPr>
        <w:widowControl w:val="0"/>
        <w:pBdr>
          <w:left w:val="single" w:sz="4" w:space="4" w:color="auto"/>
          <w:right w:val="single" w:sz="4" w:space="4" w:color="auto"/>
        </w:pBdr>
        <w:tabs>
          <w:tab w:val="left" w:pos="720"/>
        </w:tabs>
        <w:ind w:left="720" w:hanging="720"/>
        <w:jc w:val="both"/>
        <w:rPr>
          <w:rFonts w:cs="Courier New"/>
          <w:b/>
          <w:bCs/>
        </w:rPr>
      </w:pPr>
    </w:p>
    <w:p w14:paraId="6B40BF02" w14:textId="41468A8B" w:rsidR="00A81010" w:rsidRDefault="00A81010" w:rsidP="00A81010">
      <w:pPr>
        <w:widowControl w:val="0"/>
        <w:pBdr>
          <w:left w:val="single" w:sz="4" w:space="4" w:color="auto"/>
          <w:right w:val="single" w:sz="4" w:space="4" w:color="auto"/>
        </w:pBdr>
        <w:tabs>
          <w:tab w:val="left" w:pos="720"/>
        </w:tabs>
        <w:ind w:left="720" w:hanging="720"/>
        <w:jc w:val="both"/>
        <w:rPr>
          <w:rFonts w:cs="Courier New"/>
        </w:rPr>
      </w:pPr>
      <w:r w:rsidRPr="00A81010">
        <w:rPr>
          <w:rFonts w:cs="Courier New"/>
          <w:b/>
          <w:bCs/>
        </w:rPr>
        <w:t>Q.</w:t>
      </w:r>
      <w:r w:rsidRPr="00A81010">
        <w:rPr>
          <w:rFonts w:cs="Courier New"/>
          <w:b/>
          <w:bCs/>
        </w:rPr>
        <w:tab/>
      </w:r>
      <w:r w:rsidR="00834CA8" w:rsidRPr="000403EA">
        <w:rPr>
          <w:rFonts w:cs="Courier New"/>
        </w:rPr>
        <w:t xml:space="preserve">Please </w:t>
      </w:r>
      <w:r w:rsidR="00337674">
        <w:rPr>
          <w:rFonts w:cs="Courier New"/>
        </w:rPr>
        <w:t>d</w:t>
      </w:r>
      <w:r w:rsidR="00337674" w:rsidRPr="000403EA">
        <w:rPr>
          <w:rFonts w:cs="Courier New"/>
        </w:rPr>
        <w:t xml:space="preserve">escribe </w:t>
      </w:r>
      <w:r w:rsidR="00834CA8" w:rsidRPr="000403EA">
        <w:rPr>
          <w:rFonts w:cs="Courier New"/>
        </w:rPr>
        <w:t xml:space="preserve">the </w:t>
      </w:r>
      <w:r w:rsidR="00337674">
        <w:rPr>
          <w:rFonts w:cs="Courier New"/>
        </w:rPr>
        <w:t>overall forecasting approach</w:t>
      </w:r>
      <w:r w:rsidR="000403EA">
        <w:rPr>
          <w:rFonts w:cs="Courier New"/>
        </w:rPr>
        <w:t xml:space="preserve">. </w:t>
      </w:r>
    </w:p>
    <w:p w14:paraId="06DC1FFC" w14:textId="77777777" w:rsidR="00693D7D" w:rsidRPr="00A81010" w:rsidRDefault="00693D7D" w:rsidP="00A81010">
      <w:pPr>
        <w:widowControl w:val="0"/>
        <w:pBdr>
          <w:left w:val="single" w:sz="4" w:space="4" w:color="auto"/>
          <w:right w:val="single" w:sz="4" w:space="4" w:color="auto"/>
        </w:pBdr>
        <w:tabs>
          <w:tab w:val="left" w:pos="720"/>
        </w:tabs>
        <w:ind w:left="720" w:hanging="720"/>
        <w:jc w:val="both"/>
        <w:rPr>
          <w:rFonts w:cs="Courier New"/>
        </w:rPr>
      </w:pPr>
    </w:p>
    <w:p w14:paraId="3C162C00" w14:textId="5DEC23B0" w:rsidR="00C64147" w:rsidRDefault="0055469D" w:rsidP="64B93FBF">
      <w:pPr>
        <w:widowControl w:val="0"/>
        <w:pBdr>
          <w:left w:val="single" w:sz="4" w:space="4" w:color="auto"/>
          <w:right w:val="single" w:sz="4" w:space="4" w:color="auto"/>
        </w:pBdr>
        <w:tabs>
          <w:tab w:val="left" w:pos="720"/>
        </w:tabs>
        <w:ind w:left="720" w:hanging="720"/>
        <w:jc w:val="both"/>
        <w:rPr>
          <w:rFonts w:cs="Courier New"/>
        </w:rPr>
      </w:pPr>
      <w:r w:rsidRPr="64B93FBF">
        <w:rPr>
          <w:rFonts w:cs="Courier New"/>
          <w:b/>
          <w:bCs/>
        </w:rPr>
        <w:t>A.</w:t>
      </w:r>
      <w:r w:rsidR="00737C12">
        <w:tab/>
      </w:r>
      <w:r w:rsidR="00737C12" w:rsidRPr="64B93FBF">
        <w:rPr>
          <w:rFonts w:cs="Courier New"/>
        </w:rPr>
        <w:t xml:space="preserve">A detailed summary of the forecast results, modeling approach, and model inputs are included in the Itron </w:t>
      </w:r>
      <w:r w:rsidR="00F06627">
        <w:rPr>
          <w:rFonts w:cs="Courier New"/>
        </w:rPr>
        <w:t xml:space="preserve">Forecast </w:t>
      </w:r>
      <w:r w:rsidR="00737C12" w:rsidRPr="64B93FBF">
        <w:rPr>
          <w:rFonts w:cs="Courier New"/>
        </w:rPr>
        <w:t xml:space="preserve">Report. </w:t>
      </w:r>
      <w:r w:rsidR="00512775">
        <w:rPr>
          <w:rFonts w:cs="Courier New"/>
        </w:rPr>
        <w:t>To</w:t>
      </w:r>
      <w:r w:rsidR="00E37EE8" w:rsidRPr="0087131C">
        <w:rPr>
          <w:rFonts w:cs="Courier New"/>
        </w:rPr>
        <w:t xml:space="preserve"> summarize,</w:t>
      </w:r>
      <w:r w:rsidR="00E37EE8">
        <w:rPr>
          <w:rFonts w:cs="Courier New"/>
          <w:b/>
          <w:bCs/>
        </w:rPr>
        <w:t xml:space="preserve"> </w:t>
      </w:r>
      <w:r w:rsidR="00E37EE8" w:rsidRPr="00512775">
        <w:rPr>
          <w:rFonts w:cs="Courier New"/>
        </w:rPr>
        <w:t>t</w:t>
      </w:r>
      <w:r w:rsidR="00C64147" w:rsidRPr="00C64147">
        <w:rPr>
          <w:rFonts w:cs="Courier New"/>
        </w:rPr>
        <w:t>he forecast is based on a set of</w:t>
      </w:r>
      <w:r w:rsidR="00837117" w:rsidRPr="00C64147">
        <w:rPr>
          <w:rFonts w:cs="Courier New"/>
        </w:rPr>
        <w:t xml:space="preserve"> </w:t>
      </w:r>
      <w:r w:rsidR="00C34600">
        <w:rPr>
          <w:rFonts w:cs="Courier New"/>
        </w:rPr>
        <w:lastRenderedPageBreak/>
        <w:t xml:space="preserve">residential and small commercial </w:t>
      </w:r>
      <w:r w:rsidR="00E37EE8">
        <w:rPr>
          <w:rFonts w:cs="Courier New"/>
        </w:rPr>
        <w:t xml:space="preserve">customer and average use models estimated with historical billed sales and customer data. </w:t>
      </w:r>
      <w:r w:rsidR="00A63F24">
        <w:rPr>
          <w:rFonts w:cs="Courier New"/>
        </w:rPr>
        <w:t xml:space="preserve">Models are </w:t>
      </w:r>
      <w:r w:rsidR="00E37EE8">
        <w:rPr>
          <w:rFonts w:cs="Courier New"/>
        </w:rPr>
        <w:t xml:space="preserve">estimated using linear regression and are </w:t>
      </w:r>
      <w:r w:rsidR="00A63F24">
        <w:rPr>
          <w:rFonts w:cs="Courier New"/>
        </w:rPr>
        <w:t>specified to capture the impact of household and economic growth, weather, price, and end-use efficiency improvements on sales and customer growth. Separate m</w:t>
      </w:r>
      <w:r w:rsidR="00C64147">
        <w:rPr>
          <w:rFonts w:cs="Courier New"/>
        </w:rPr>
        <w:t xml:space="preserve">odels are estimated </w:t>
      </w:r>
      <w:r w:rsidR="00276F84">
        <w:rPr>
          <w:rFonts w:cs="Courier New"/>
        </w:rPr>
        <w:t xml:space="preserve">for each </w:t>
      </w:r>
      <w:r w:rsidR="00C67233">
        <w:rPr>
          <w:rFonts w:cs="Courier New"/>
        </w:rPr>
        <w:t>Peoples’</w:t>
      </w:r>
      <w:r w:rsidR="00837117" w:rsidRPr="7FF5FE32">
        <w:rPr>
          <w:rFonts w:cs="Courier New"/>
        </w:rPr>
        <w:t xml:space="preserve"> </w:t>
      </w:r>
      <w:r w:rsidR="00C006B6">
        <w:rPr>
          <w:rFonts w:cs="Courier New"/>
        </w:rPr>
        <w:t>service area</w:t>
      </w:r>
      <w:r w:rsidR="00E9046E">
        <w:rPr>
          <w:rFonts w:cs="Courier New"/>
        </w:rPr>
        <w:t xml:space="preserve"> </w:t>
      </w:r>
      <w:r w:rsidR="00C64147">
        <w:rPr>
          <w:rFonts w:cs="Courier New"/>
        </w:rPr>
        <w:t>and include residential and commercial customer models and residential and commercial average use models</w:t>
      </w:r>
      <w:r w:rsidR="00276F84">
        <w:rPr>
          <w:rFonts w:cs="Courier New"/>
        </w:rPr>
        <w:t xml:space="preserve">. </w:t>
      </w:r>
      <w:r w:rsidR="00E37EE8">
        <w:rPr>
          <w:rFonts w:cs="Courier New"/>
        </w:rPr>
        <w:t>Residential and small commercial sales forecasts are</w:t>
      </w:r>
      <w:r w:rsidR="003D6240">
        <w:rPr>
          <w:rFonts w:cs="Courier New"/>
        </w:rPr>
        <w:t xml:space="preserve"> derived as the product of the customer and average use forecast</w:t>
      </w:r>
      <w:r w:rsidR="00037825">
        <w:rPr>
          <w:rFonts w:cs="Courier New"/>
        </w:rPr>
        <w:t>.</w:t>
      </w:r>
      <w:r w:rsidR="00E37EE8" w:rsidRPr="00E37EE8">
        <w:rPr>
          <w:rFonts w:cs="Courier New"/>
        </w:rPr>
        <w:t xml:space="preserve"> </w:t>
      </w:r>
    </w:p>
    <w:p w14:paraId="18E2BB12" w14:textId="77777777" w:rsidR="00C64147" w:rsidRDefault="00C64147" w:rsidP="7FF5FE32">
      <w:pPr>
        <w:widowControl w:val="0"/>
        <w:pBdr>
          <w:left w:val="single" w:sz="4" w:space="4" w:color="auto"/>
          <w:right w:val="single" w:sz="4" w:space="4" w:color="auto"/>
        </w:pBdr>
        <w:tabs>
          <w:tab w:val="left" w:pos="720"/>
        </w:tabs>
        <w:ind w:left="720" w:hanging="720"/>
        <w:jc w:val="both"/>
        <w:rPr>
          <w:rFonts w:cs="Courier New"/>
        </w:rPr>
      </w:pPr>
    </w:p>
    <w:p w14:paraId="315DE09E" w14:textId="3E8D2FF7" w:rsidR="00A81010" w:rsidRDefault="00C64147" w:rsidP="64B93FBF">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5A02AE">
        <w:rPr>
          <w:rFonts w:cs="Courier New"/>
        </w:rPr>
        <w:t>Monthly a</w:t>
      </w:r>
      <w:r w:rsidR="000601BF">
        <w:rPr>
          <w:rFonts w:cs="Courier New"/>
        </w:rPr>
        <w:t xml:space="preserve">verage use models are estimated over the period </w:t>
      </w:r>
      <w:r w:rsidR="003D6240">
        <w:rPr>
          <w:rFonts w:cs="Courier New"/>
        </w:rPr>
        <w:t>January 2014 through July 2022</w:t>
      </w:r>
      <w:r w:rsidR="000601BF">
        <w:rPr>
          <w:rFonts w:cs="Courier New"/>
        </w:rPr>
        <w:t xml:space="preserve">, and </w:t>
      </w:r>
      <w:r w:rsidR="005A02AE">
        <w:rPr>
          <w:rFonts w:cs="Courier New"/>
        </w:rPr>
        <w:t xml:space="preserve">monthly </w:t>
      </w:r>
      <w:r w:rsidR="000601BF">
        <w:rPr>
          <w:rFonts w:cs="Courier New"/>
        </w:rPr>
        <w:t xml:space="preserve">customer models from </w:t>
      </w:r>
      <w:r w:rsidR="003D6240">
        <w:rPr>
          <w:rFonts w:cs="Courier New"/>
        </w:rPr>
        <w:t xml:space="preserve">January 2016 through July 2022. Customer models are estimated using a shorter estimation period </w:t>
      </w:r>
      <w:r>
        <w:rPr>
          <w:rFonts w:cs="Courier New"/>
        </w:rPr>
        <w:t xml:space="preserve">(than the average use models) </w:t>
      </w:r>
      <w:r w:rsidR="003D6240">
        <w:rPr>
          <w:rFonts w:cs="Courier New"/>
        </w:rPr>
        <w:t xml:space="preserve">to </w:t>
      </w:r>
      <w:r w:rsidR="002679DA">
        <w:rPr>
          <w:rFonts w:cs="Courier New"/>
        </w:rPr>
        <w:t xml:space="preserve">give more weight to </w:t>
      </w:r>
      <w:r w:rsidR="003D6240">
        <w:rPr>
          <w:rFonts w:cs="Courier New"/>
        </w:rPr>
        <w:t>the strong growth experienced over the last seven years; this period corresponds with significant expansion of the gas distribution system</w:t>
      </w:r>
      <w:r w:rsidR="00ED64BE">
        <w:rPr>
          <w:rFonts w:cs="Courier New"/>
        </w:rPr>
        <w:t>.</w:t>
      </w:r>
      <w:r w:rsidR="000403EA">
        <w:rPr>
          <w:rFonts w:cs="Courier New"/>
        </w:rPr>
        <w:t xml:space="preserve"> </w:t>
      </w:r>
    </w:p>
    <w:p w14:paraId="2FB752A2" w14:textId="77777777" w:rsidR="00A81010" w:rsidRDefault="00A81010" w:rsidP="00A81010">
      <w:pPr>
        <w:widowControl w:val="0"/>
        <w:pBdr>
          <w:left w:val="single" w:sz="4" w:space="4" w:color="auto"/>
          <w:right w:val="single" w:sz="4" w:space="4" w:color="auto"/>
        </w:pBdr>
        <w:tabs>
          <w:tab w:val="left" w:pos="720"/>
        </w:tabs>
        <w:ind w:left="720" w:hanging="720"/>
        <w:jc w:val="both"/>
        <w:rPr>
          <w:rFonts w:cs="Courier New"/>
        </w:rPr>
      </w:pPr>
    </w:p>
    <w:p w14:paraId="39E9E72A" w14:textId="144F288E" w:rsidR="00337674" w:rsidRDefault="00337674" w:rsidP="00A81010">
      <w:pPr>
        <w:widowControl w:val="0"/>
        <w:pBdr>
          <w:left w:val="single" w:sz="4" w:space="4" w:color="auto"/>
          <w:right w:val="single" w:sz="4" w:space="4" w:color="auto"/>
        </w:pBdr>
        <w:tabs>
          <w:tab w:val="left" w:pos="720"/>
        </w:tabs>
        <w:ind w:left="720" w:hanging="720"/>
        <w:jc w:val="both"/>
        <w:rPr>
          <w:rFonts w:cs="Courier New"/>
        </w:rPr>
      </w:pPr>
      <w:r w:rsidRPr="00C631BF">
        <w:rPr>
          <w:rFonts w:cs="Courier New"/>
          <w:b/>
          <w:bCs/>
        </w:rPr>
        <w:t>Q.</w:t>
      </w:r>
      <w:r>
        <w:rPr>
          <w:rFonts w:cs="Courier New"/>
        </w:rPr>
        <w:tab/>
        <w:t>Please describe how the customer models are developed.</w:t>
      </w:r>
    </w:p>
    <w:p w14:paraId="0FA29075" w14:textId="77777777" w:rsidR="00337674" w:rsidRDefault="00337674" w:rsidP="00A81010">
      <w:pPr>
        <w:widowControl w:val="0"/>
        <w:pBdr>
          <w:left w:val="single" w:sz="4" w:space="4" w:color="auto"/>
          <w:right w:val="single" w:sz="4" w:space="4" w:color="auto"/>
        </w:pBdr>
        <w:tabs>
          <w:tab w:val="left" w:pos="720"/>
        </w:tabs>
        <w:ind w:left="720" w:hanging="720"/>
        <w:jc w:val="both"/>
        <w:rPr>
          <w:rFonts w:cs="Courier New"/>
        </w:rPr>
      </w:pPr>
    </w:p>
    <w:p w14:paraId="4620FD79" w14:textId="7870EE0B" w:rsidR="00A81010" w:rsidRDefault="00337674" w:rsidP="04F9A55C">
      <w:pPr>
        <w:widowControl w:val="0"/>
        <w:pBdr>
          <w:left w:val="single" w:sz="4" w:space="4" w:color="auto"/>
          <w:right w:val="single" w:sz="4" w:space="4" w:color="auto"/>
        </w:pBdr>
        <w:tabs>
          <w:tab w:val="left" w:pos="720"/>
        </w:tabs>
        <w:ind w:left="720" w:hanging="720"/>
        <w:jc w:val="both"/>
        <w:rPr>
          <w:rFonts w:cs="Courier New"/>
        </w:rPr>
      </w:pPr>
      <w:r w:rsidRPr="00C631BF">
        <w:rPr>
          <w:rFonts w:cs="Courier New"/>
          <w:b/>
          <w:bCs/>
        </w:rPr>
        <w:t>A.</w:t>
      </w:r>
      <w:r>
        <w:tab/>
      </w:r>
      <w:r w:rsidR="00DD7AB7" w:rsidRPr="04F9A55C">
        <w:rPr>
          <w:rFonts w:cs="Courier New"/>
        </w:rPr>
        <w:t>C</w:t>
      </w:r>
      <w:r w:rsidR="003D4E7B" w:rsidRPr="04F9A55C">
        <w:rPr>
          <w:rFonts w:cs="Courier New"/>
        </w:rPr>
        <w:t xml:space="preserve">ustomer </w:t>
      </w:r>
      <w:r w:rsidR="0041378A" w:rsidRPr="04F9A55C">
        <w:rPr>
          <w:rFonts w:cs="Courier New"/>
        </w:rPr>
        <w:t xml:space="preserve">forecasts are based on </w:t>
      </w:r>
      <w:r w:rsidR="00ED64BE" w:rsidRPr="04F9A55C">
        <w:rPr>
          <w:rFonts w:cs="Courier New"/>
        </w:rPr>
        <w:t xml:space="preserve">Woods &amp; Poole </w:t>
      </w:r>
      <w:r w:rsidR="000601BF" w:rsidRPr="04F9A55C">
        <w:rPr>
          <w:rFonts w:cs="Courier New"/>
        </w:rPr>
        <w:t>Metropolitan Statistical Area (</w:t>
      </w:r>
      <w:r w:rsidR="00A81010" w:rsidRPr="04F9A55C">
        <w:rPr>
          <w:rFonts w:cs="Courier New"/>
        </w:rPr>
        <w:t>“</w:t>
      </w:r>
      <w:r w:rsidR="00ED64BE" w:rsidRPr="04F9A55C">
        <w:rPr>
          <w:rFonts w:cs="Courier New"/>
        </w:rPr>
        <w:t>MSA</w:t>
      </w:r>
      <w:r w:rsidR="00A81010" w:rsidRPr="04F9A55C">
        <w:rPr>
          <w:rFonts w:cs="Courier New"/>
        </w:rPr>
        <w:t>”</w:t>
      </w:r>
      <w:r w:rsidR="000601BF" w:rsidRPr="04F9A55C">
        <w:rPr>
          <w:rFonts w:cs="Courier New"/>
        </w:rPr>
        <w:t xml:space="preserve">) historical and forecasted household </w:t>
      </w:r>
      <w:r w:rsidR="000601BF" w:rsidRPr="04F9A55C">
        <w:rPr>
          <w:rFonts w:cs="Courier New"/>
        </w:rPr>
        <w:lastRenderedPageBreak/>
        <w:t>and e</w:t>
      </w:r>
      <w:r w:rsidR="003D4E7B" w:rsidRPr="04F9A55C">
        <w:rPr>
          <w:rFonts w:cs="Courier New"/>
        </w:rPr>
        <w:t xml:space="preserve">mployment </w:t>
      </w:r>
      <w:r w:rsidR="00F87798" w:rsidRPr="04F9A55C">
        <w:rPr>
          <w:rFonts w:cs="Courier New"/>
        </w:rPr>
        <w:t>data</w:t>
      </w:r>
      <w:r w:rsidR="00ED64BE" w:rsidRPr="04F9A55C">
        <w:rPr>
          <w:rFonts w:cs="Courier New"/>
        </w:rPr>
        <w:t xml:space="preserve">. </w:t>
      </w:r>
      <w:r w:rsidR="003D4E7B" w:rsidRPr="04F9A55C">
        <w:rPr>
          <w:rFonts w:cs="Courier New"/>
        </w:rPr>
        <w:t>M</w:t>
      </w:r>
      <w:r w:rsidR="000601BF" w:rsidRPr="04F9A55C">
        <w:rPr>
          <w:rFonts w:cs="Courier New"/>
        </w:rPr>
        <w:t xml:space="preserve">SA forecasts are </w:t>
      </w:r>
      <w:r w:rsidR="003D4E7B" w:rsidRPr="04F9A55C">
        <w:rPr>
          <w:rFonts w:cs="Courier New"/>
        </w:rPr>
        <w:t>mapped</w:t>
      </w:r>
      <w:r w:rsidR="00ED64BE" w:rsidRPr="04F9A55C">
        <w:rPr>
          <w:rFonts w:cs="Courier New"/>
        </w:rPr>
        <w:t xml:space="preserve"> to </w:t>
      </w:r>
      <w:r w:rsidR="000601BF" w:rsidRPr="04F9A55C">
        <w:rPr>
          <w:rFonts w:cs="Courier New"/>
        </w:rPr>
        <w:t xml:space="preserve">Divisions based on the Division’s location. </w:t>
      </w:r>
      <w:r w:rsidR="003D4E7B" w:rsidRPr="04F9A55C">
        <w:rPr>
          <w:rFonts w:cs="Courier New"/>
        </w:rPr>
        <w:t xml:space="preserve">For model estimation, the </w:t>
      </w:r>
      <w:r w:rsidR="00F72DAD" w:rsidRPr="04F9A55C">
        <w:rPr>
          <w:rFonts w:cs="Courier New"/>
        </w:rPr>
        <w:t xml:space="preserve">Woods &amp; Poole </w:t>
      </w:r>
      <w:r w:rsidR="0055469D" w:rsidRPr="04F9A55C">
        <w:rPr>
          <w:rFonts w:cs="Courier New"/>
        </w:rPr>
        <w:t xml:space="preserve">household and employment </w:t>
      </w:r>
      <w:r w:rsidR="00A81010" w:rsidRPr="04F9A55C">
        <w:rPr>
          <w:rFonts w:cs="Courier New"/>
        </w:rPr>
        <w:t xml:space="preserve">series are converted </w:t>
      </w:r>
      <w:r w:rsidR="0041378A" w:rsidRPr="04F9A55C">
        <w:rPr>
          <w:rFonts w:cs="Courier New"/>
        </w:rPr>
        <w:t xml:space="preserve">from an annual </w:t>
      </w:r>
      <w:r w:rsidR="00A81010" w:rsidRPr="04F9A55C">
        <w:rPr>
          <w:rFonts w:cs="Courier New"/>
        </w:rPr>
        <w:t xml:space="preserve">to monthly data series. The household forecast is used in the residential customer model and employment in the commercial models. </w:t>
      </w:r>
      <w:r w:rsidR="0041378A" w:rsidRPr="04F9A55C">
        <w:rPr>
          <w:rFonts w:cs="Courier New"/>
        </w:rPr>
        <w:t>In some Divisions</w:t>
      </w:r>
      <w:r w:rsidR="003A0EE1" w:rsidRPr="04F9A55C">
        <w:rPr>
          <w:rFonts w:cs="Courier New"/>
        </w:rPr>
        <w:t>,</w:t>
      </w:r>
      <w:r w:rsidR="0041378A" w:rsidRPr="04F9A55C">
        <w:rPr>
          <w:rFonts w:cs="Courier New"/>
        </w:rPr>
        <w:t xml:space="preserve"> the relationship between commercial customer growth and employment is statistically weak or insignificant; in these Divisions p</w:t>
      </w:r>
      <w:r w:rsidR="00A81010" w:rsidRPr="04F9A55C">
        <w:rPr>
          <w:rFonts w:cs="Courier New"/>
        </w:rPr>
        <w:t>redicted residential customers are used to drive commercial customer</w:t>
      </w:r>
      <w:r w:rsidR="0041378A" w:rsidRPr="04F9A55C">
        <w:rPr>
          <w:rFonts w:cs="Courier New"/>
        </w:rPr>
        <w:t xml:space="preserve"> growth as there is a strong correlation between residential and </w:t>
      </w:r>
      <w:r w:rsidR="00D378FF">
        <w:rPr>
          <w:rFonts w:cs="Courier New"/>
        </w:rPr>
        <w:t xml:space="preserve">small </w:t>
      </w:r>
      <w:r w:rsidR="0041378A" w:rsidRPr="04F9A55C">
        <w:rPr>
          <w:rFonts w:cs="Courier New"/>
        </w:rPr>
        <w:t>commercial customer growth.</w:t>
      </w:r>
      <w:r w:rsidR="00A81010" w:rsidRPr="04F9A55C">
        <w:rPr>
          <w:rFonts w:cs="Courier New"/>
        </w:rPr>
        <w:t xml:space="preserve"> The initial customer forecasts were based on </w:t>
      </w:r>
      <w:r w:rsidR="000C4CD5" w:rsidRPr="04F9A55C">
        <w:rPr>
          <w:rFonts w:cs="Courier New"/>
        </w:rPr>
        <w:t xml:space="preserve">the </w:t>
      </w:r>
      <w:r w:rsidR="00A81010" w:rsidRPr="04F9A55C">
        <w:rPr>
          <w:rFonts w:cs="Courier New"/>
        </w:rPr>
        <w:t xml:space="preserve">Woods &amp; Poole June 2022 forecast. The forecast was updated in October 2022 to reflect Moody Analytics’ slightly lower state household and employment projections. </w:t>
      </w:r>
      <w:r w:rsidR="00DD7AB7" w:rsidRPr="04F9A55C">
        <w:rPr>
          <w:rFonts w:cs="Courier New"/>
        </w:rPr>
        <w:t xml:space="preserve"> </w:t>
      </w:r>
    </w:p>
    <w:p w14:paraId="32628A80" w14:textId="77777777" w:rsidR="00A81010" w:rsidRDefault="00A81010" w:rsidP="000403EA">
      <w:pPr>
        <w:widowControl w:val="0"/>
        <w:pBdr>
          <w:left w:val="single" w:sz="4" w:space="4" w:color="auto"/>
          <w:right w:val="single" w:sz="4" w:space="4" w:color="auto"/>
        </w:pBdr>
        <w:ind w:left="720" w:hanging="720"/>
        <w:jc w:val="both"/>
        <w:rPr>
          <w:rFonts w:cs="Courier New"/>
        </w:rPr>
      </w:pPr>
    </w:p>
    <w:p w14:paraId="784E3EC0" w14:textId="49D8D94B" w:rsidR="000403EA" w:rsidRDefault="00A81010" w:rsidP="64B93FBF">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87131C">
        <w:rPr>
          <w:rFonts w:cs="Courier New"/>
        </w:rPr>
        <w:t>C</w:t>
      </w:r>
      <w:r w:rsidR="0055469D">
        <w:rPr>
          <w:rFonts w:cs="Courier New"/>
        </w:rPr>
        <w:t>ustomer models also include auto-regressive terms</w:t>
      </w:r>
      <w:r w:rsidR="00D62249">
        <w:rPr>
          <w:rFonts w:cs="Courier New"/>
        </w:rPr>
        <w:t xml:space="preserve">. </w:t>
      </w:r>
      <w:r w:rsidR="002679DA">
        <w:rPr>
          <w:rFonts w:cs="Courier New"/>
        </w:rPr>
        <w:t>Auto-regressive terms use prior customer growth to partly explain future customer growth. The</w:t>
      </w:r>
      <w:r w:rsidR="00651C1A">
        <w:rPr>
          <w:rFonts w:cs="Courier New"/>
        </w:rPr>
        <w:t>se terms</w:t>
      </w:r>
      <w:r w:rsidR="002679DA">
        <w:rPr>
          <w:rFonts w:cs="Courier New"/>
        </w:rPr>
        <w:t xml:space="preserve"> </w:t>
      </w:r>
      <w:r w:rsidR="0055469D">
        <w:rPr>
          <w:rFonts w:cs="Courier New"/>
        </w:rPr>
        <w:t>capture variation in customer growth around the household and employment trend lines</w:t>
      </w:r>
      <w:r w:rsidR="00D62249">
        <w:rPr>
          <w:rFonts w:cs="Courier New"/>
        </w:rPr>
        <w:t xml:space="preserve"> and account for customer growth </w:t>
      </w:r>
      <w:r w:rsidR="00651C1A">
        <w:rPr>
          <w:rFonts w:cs="Courier New"/>
        </w:rPr>
        <w:t xml:space="preserve">that </w:t>
      </w:r>
      <w:r w:rsidR="00D62249">
        <w:rPr>
          <w:rFonts w:cs="Courier New"/>
        </w:rPr>
        <w:t xml:space="preserve">exceeds </w:t>
      </w:r>
      <w:r w:rsidR="003B7DF7">
        <w:rPr>
          <w:rFonts w:cs="Courier New"/>
        </w:rPr>
        <w:t>near-term</w:t>
      </w:r>
      <w:r w:rsidR="00D62249">
        <w:rPr>
          <w:rFonts w:cs="Courier New"/>
        </w:rPr>
        <w:t xml:space="preserve"> household and employment forecasts</w:t>
      </w:r>
      <w:r w:rsidR="0055469D">
        <w:rPr>
          <w:rFonts w:cs="Courier New"/>
        </w:rPr>
        <w:t>.</w:t>
      </w:r>
      <w:r w:rsidR="00DD7AB7">
        <w:rPr>
          <w:rFonts w:cs="Courier New"/>
        </w:rPr>
        <w:t xml:space="preserve"> </w:t>
      </w:r>
    </w:p>
    <w:p w14:paraId="39FFF647" w14:textId="77777777" w:rsidR="000403EA" w:rsidRDefault="000403EA" w:rsidP="000403EA">
      <w:pPr>
        <w:widowControl w:val="0"/>
        <w:pBdr>
          <w:left w:val="single" w:sz="4" w:space="4" w:color="auto"/>
          <w:right w:val="single" w:sz="4" w:space="4" w:color="auto"/>
        </w:pBdr>
        <w:ind w:left="720" w:hanging="720"/>
        <w:jc w:val="both"/>
        <w:rPr>
          <w:rFonts w:cs="Courier New"/>
        </w:rPr>
      </w:pPr>
    </w:p>
    <w:p w14:paraId="19564E3A" w14:textId="3F37C815" w:rsidR="007728C4" w:rsidRDefault="007728C4" w:rsidP="04F9A55C">
      <w:pPr>
        <w:widowControl w:val="0"/>
        <w:pBdr>
          <w:left w:val="single" w:sz="4" w:space="4" w:color="auto"/>
          <w:right w:val="single" w:sz="4" w:space="4" w:color="auto"/>
        </w:pBdr>
        <w:ind w:left="720" w:hanging="720"/>
        <w:jc w:val="both"/>
        <w:rPr>
          <w:rFonts w:cs="Courier New"/>
        </w:rPr>
      </w:pPr>
      <w:r w:rsidRPr="00C631BF">
        <w:rPr>
          <w:rFonts w:cs="Courier New"/>
          <w:b/>
          <w:bCs/>
        </w:rPr>
        <w:t>Q.</w:t>
      </w:r>
      <w:r>
        <w:tab/>
      </w:r>
      <w:r w:rsidR="00490066" w:rsidRPr="04F9A55C">
        <w:rPr>
          <w:rFonts w:cs="Courier New"/>
        </w:rPr>
        <w:t>Please describe h</w:t>
      </w:r>
      <w:r w:rsidRPr="04F9A55C">
        <w:rPr>
          <w:rFonts w:cs="Courier New"/>
        </w:rPr>
        <w:t xml:space="preserve">ow the average use models </w:t>
      </w:r>
      <w:r w:rsidR="00D378FF">
        <w:rPr>
          <w:rFonts w:cs="Courier New"/>
        </w:rPr>
        <w:t xml:space="preserve">were </w:t>
      </w:r>
      <w:r w:rsidRPr="04F9A55C">
        <w:rPr>
          <w:rFonts w:cs="Courier New"/>
        </w:rPr>
        <w:t>developed</w:t>
      </w:r>
      <w:r w:rsidR="003A0EE1" w:rsidRPr="04F9A55C">
        <w:rPr>
          <w:rFonts w:cs="Courier New"/>
        </w:rPr>
        <w:t>.</w:t>
      </w:r>
    </w:p>
    <w:p w14:paraId="08DBBF19" w14:textId="77777777" w:rsidR="007728C4" w:rsidRDefault="007728C4" w:rsidP="000403EA">
      <w:pPr>
        <w:widowControl w:val="0"/>
        <w:pBdr>
          <w:left w:val="single" w:sz="4" w:space="4" w:color="auto"/>
          <w:right w:val="single" w:sz="4" w:space="4" w:color="auto"/>
        </w:pBdr>
        <w:ind w:left="720" w:hanging="720"/>
        <w:jc w:val="both"/>
        <w:rPr>
          <w:rFonts w:cs="Courier New"/>
        </w:rPr>
      </w:pPr>
    </w:p>
    <w:p w14:paraId="2459640E" w14:textId="4ED129DF" w:rsidR="00DD6FBB" w:rsidRDefault="007728C4" w:rsidP="0008138E">
      <w:pPr>
        <w:widowControl w:val="0"/>
        <w:pBdr>
          <w:left w:val="single" w:sz="4" w:space="4" w:color="auto"/>
          <w:right w:val="single" w:sz="4" w:space="4" w:color="auto"/>
        </w:pBdr>
        <w:ind w:left="720" w:hanging="720"/>
        <w:jc w:val="both"/>
        <w:rPr>
          <w:rFonts w:cs="Courier New"/>
        </w:rPr>
      </w:pPr>
      <w:r w:rsidRPr="00C631BF">
        <w:rPr>
          <w:rFonts w:cs="Courier New"/>
          <w:b/>
          <w:bCs/>
        </w:rPr>
        <w:lastRenderedPageBreak/>
        <w:t>A.</w:t>
      </w:r>
      <w:r>
        <w:rPr>
          <w:rFonts w:cs="Courier New"/>
        </w:rPr>
        <w:t xml:space="preserve"> </w:t>
      </w:r>
      <w:r w:rsidR="00CD3F6F">
        <w:rPr>
          <w:rFonts w:cs="Courier New"/>
        </w:rPr>
        <w:tab/>
      </w:r>
      <w:r w:rsidR="0087131C">
        <w:rPr>
          <w:rFonts w:cs="Courier New"/>
        </w:rPr>
        <w:t>A</w:t>
      </w:r>
      <w:r w:rsidR="009770AB">
        <w:rPr>
          <w:rFonts w:cs="Courier New"/>
        </w:rPr>
        <w:t xml:space="preserve">verage </w:t>
      </w:r>
      <w:r w:rsidR="0087131C">
        <w:rPr>
          <w:rFonts w:cs="Courier New"/>
        </w:rPr>
        <w:t>us</w:t>
      </w:r>
      <w:r w:rsidR="00E76ED5">
        <w:rPr>
          <w:rFonts w:cs="Courier New"/>
        </w:rPr>
        <w:t>e</w:t>
      </w:r>
      <w:r w:rsidR="009770AB">
        <w:rPr>
          <w:rFonts w:cs="Courier New"/>
        </w:rPr>
        <w:t xml:space="preserve"> models </w:t>
      </w:r>
      <w:r w:rsidR="0087131C">
        <w:rPr>
          <w:rFonts w:cs="Courier New"/>
        </w:rPr>
        <w:t>are estimated</w:t>
      </w:r>
      <w:r w:rsidR="009770AB">
        <w:rPr>
          <w:rFonts w:cs="Courier New"/>
        </w:rPr>
        <w:t xml:space="preserve"> for both residential and small commercial </w:t>
      </w:r>
      <w:r w:rsidR="0087131C">
        <w:rPr>
          <w:rFonts w:cs="Courier New"/>
        </w:rPr>
        <w:t>customer</w:t>
      </w:r>
      <w:r w:rsidR="00E76ED5">
        <w:rPr>
          <w:rFonts w:cs="Courier New"/>
        </w:rPr>
        <w:t xml:space="preserve"> </w:t>
      </w:r>
      <w:r w:rsidR="009770AB">
        <w:rPr>
          <w:rFonts w:cs="Courier New"/>
        </w:rPr>
        <w:t>classes</w:t>
      </w:r>
      <w:r w:rsidR="00C55DC6">
        <w:rPr>
          <w:rFonts w:cs="Courier New"/>
        </w:rPr>
        <w:t xml:space="preserve"> using what </w:t>
      </w:r>
      <w:r w:rsidR="00AE55F1">
        <w:rPr>
          <w:rFonts w:cs="Courier New"/>
        </w:rPr>
        <w:t xml:space="preserve">is known as </w:t>
      </w:r>
      <w:r w:rsidR="00C55DC6">
        <w:rPr>
          <w:rFonts w:cs="Courier New"/>
        </w:rPr>
        <w:t>a Statistically Adjusted End-Use (SAE)</w:t>
      </w:r>
      <w:r w:rsidR="00AE55F1">
        <w:rPr>
          <w:rFonts w:cs="Courier New"/>
        </w:rPr>
        <w:t xml:space="preserve"> model</w:t>
      </w:r>
      <w:r w:rsidR="009770AB">
        <w:rPr>
          <w:rFonts w:cs="Courier New"/>
        </w:rPr>
        <w:t xml:space="preserve">. </w:t>
      </w:r>
      <w:r w:rsidR="00C55DC6">
        <w:rPr>
          <w:rFonts w:cs="Courier New"/>
        </w:rPr>
        <w:t>Th</w:t>
      </w:r>
      <w:r w:rsidR="00490066">
        <w:rPr>
          <w:rFonts w:cs="Courier New"/>
        </w:rPr>
        <w:t>e SAE model</w:t>
      </w:r>
      <w:r w:rsidR="00C55DC6">
        <w:rPr>
          <w:rFonts w:cs="Courier New"/>
        </w:rPr>
        <w:t xml:space="preserve"> is </w:t>
      </w:r>
      <w:r w:rsidR="0087131C">
        <w:rPr>
          <w:rFonts w:cs="Courier New"/>
        </w:rPr>
        <w:t xml:space="preserve">an end-use framework that </w:t>
      </w:r>
      <w:r w:rsidR="00E76ED5">
        <w:rPr>
          <w:rFonts w:cs="Courier New"/>
        </w:rPr>
        <w:t xml:space="preserve">relates monthly </w:t>
      </w:r>
      <w:r w:rsidR="001871E6">
        <w:rPr>
          <w:rFonts w:cs="Courier New"/>
        </w:rPr>
        <w:t xml:space="preserve">average </w:t>
      </w:r>
      <w:r w:rsidR="00E76ED5">
        <w:rPr>
          <w:rFonts w:cs="Courier New"/>
        </w:rPr>
        <w:t xml:space="preserve">use to </w:t>
      </w:r>
      <w:r w:rsidR="009770AB">
        <w:rPr>
          <w:rFonts w:cs="Courier New"/>
        </w:rPr>
        <w:t xml:space="preserve">heating </w:t>
      </w:r>
      <w:r w:rsidR="00E76ED5">
        <w:rPr>
          <w:rFonts w:cs="Courier New"/>
        </w:rPr>
        <w:t xml:space="preserve">(XHeat variable) </w:t>
      </w:r>
      <w:r w:rsidR="009770AB">
        <w:rPr>
          <w:rFonts w:cs="Courier New"/>
        </w:rPr>
        <w:t xml:space="preserve">and non-heating end-use </w:t>
      </w:r>
      <w:r w:rsidR="00E76ED5">
        <w:rPr>
          <w:rFonts w:cs="Courier New"/>
        </w:rPr>
        <w:t xml:space="preserve">(XOther variable) </w:t>
      </w:r>
      <w:r w:rsidR="0087131C">
        <w:rPr>
          <w:rFonts w:cs="Courier New"/>
        </w:rPr>
        <w:t xml:space="preserve">gas </w:t>
      </w:r>
      <w:r w:rsidR="009770AB">
        <w:rPr>
          <w:rFonts w:cs="Courier New"/>
        </w:rPr>
        <w:t>requirements.</w:t>
      </w:r>
      <w:r w:rsidR="001871E6">
        <w:rPr>
          <w:rFonts w:cs="Courier New"/>
        </w:rPr>
        <w:t xml:space="preserve"> Linear regression is used to estimate the relationship between average use and XHeat and XOther</w:t>
      </w:r>
      <w:r w:rsidR="00490066">
        <w:rPr>
          <w:rFonts w:cs="Courier New"/>
        </w:rPr>
        <w:t xml:space="preserve">; the estimated model coefficients effectively calibrate or statistically adjust the </w:t>
      </w:r>
      <w:r w:rsidR="008B12C0">
        <w:rPr>
          <w:rFonts w:cs="Courier New"/>
        </w:rPr>
        <w:t xml:space="preserve">XHeat and XOther </w:t>
      </w:r>
      <w:r w:rsidR="00490066">
        <w:rPr>
          <w:rFonts w:cs="Courier New"/>
        </w:rPr>
        <w:t>to actual customer usage.</w:t>
      </w:r>
      <w:r w:rsidR="001871E6">
        <w:rPr>
          <w:rFonts w:cs="Courier New"/>
        </w:rPr>
        <w:t xml:space="preserve"> </w:t>
      </w:r>
      <w:r w:rsidR="00C55DC6">
        <w:rPr>
          <w:rFonts w:cs="Courier New"/>
        </w:rPr>
        <w:t>XHeat</w:t>
      </w:r>
      <w:r w:rsidR="00E76ED5">
        <w:rPr>
          <w:rFonts w:cs="Courier New"/>
        </w:rPr>
        <w:t xml:space="preserve"> and XOther </w:t>
      </w:r>
      <w:r w:rsidR="00777EE4">
        <w:rPr>
          <w:rFonts w:cs="Courier New"/>
        </w:rPr>
        <w:t>inc</w:t>
      </w:r>
      <w:r w:rsidR="008B12C0">
        <w:rPr>
          <w:rFonts w:cs="Courier New"/>
        </w:rPr>
        <w:t>lude</w:t>
      </w:r>
      <w:r w:rsidR="0087131C">
        <w:rPr>
          <w:rFonts w:cs="Courier New"/>
        </w:rPr>
        <w:t xml:space="preserve"> structural drivers </w:t>
      </w:r>
      <w:r w:rsidR="008B12C0">
        <w:rPr>
          <w:rFonts w:cs="Courier New"/>
        </w:rPr>
        <w:t>(</w:t>
      </w:r>
      <w:r w:rsidR="0087131C">
        <w:rPr>
          <w:rFonts w:cs="Courier New"/>
        </w:rPr>
        <w:t xml:space="preserve">thermal shell and </w:t>
      </w:r>
      <w:r w:rsidR="00777EE4">
        <w:rPr>
          <w:rFonts w:cs="Courier New"/>
        </w:rPr>
        <w:t xml:space="preserve">end-use </w:t>
      </w:r>
      <w:r w:rsidR="008B12C0">
        <w:rPr>
          <w:rFonts w:cs="Courier New"/>
        </w:rPr>
        <w:t>efficiency</w:t>
      </w:r>
      <w:r w:rsidR="00777EE4">
        <w:rPr>
          <w:rFonts w:cs="Courier New"/>
        </w:rPr>
        <w:t xml:space="preserve"> </w:t>
      </w:r>
      <w:r w:rsidR="008B12C0">
        <w:rPr>
          <w:rFonts w:cs="Courier New"/>
        </w:rPr>
        <w:t xml:space="preserve">and saturation </w:t>
      </w:r>
      <w:r w:rsidR="008E329B">
        <w:rPr>
          <w:rFonts w:cs="Courier New"/>
        </w:rPr>
        <w:t>trends</w:t>
      </w:r>
      <w:r w:rsidR="008B12C0">
        <w:rPr>
          <w:rFonts w:cs="Courier New"/>
        </w:rPr>
        <w:t>)</w:t>
      </w:r>
      <w:r w:rsidR="00A86E51">
        <w:rPr>
          <w:rFonts w:cs="Courier New"/>
        </w:rPr>
        <w:t xml:space="preserve"> </w:t>
      </w:r>
      <w:r w:rsidR="000E70DD">
        <w:rPr>
          <w:rFonts w:cs="Courier New"/>
        </w:rPr>
        <w:t>a</w:t>
      </w:r>
      <w:r w:rsidR="00490066">
        <w:rPr>
          <w:rFonts w:cs="Courier New"/>
        </w:rPr>
        <w:t>s well as</w:t>
      </w:r>
      <w:r w:rsidR="000E70DD">
        <w:rPr>
          <w:rFonts w:cs="Courier New"/>
        </w:rPr>
        <w:t xml:space="preserve"> variables that capture short-term and long-term monthly utilization</w:t>
      </w:r>
      <w:r w:rsidR="008B12C0">
        <w:rPr>
          <w:rFonts w:cs="Courier New"/>
        </w:rPr>
        <w:t xml:space="preserve"> (</w:t>
      </w:r>
      <w:r w:rsidR="000E70DD">
        <w:rPr>
          <w:rFonts w:cs="Courier New"/>
        </w:rPr>
        <w:t xml:space="preserve">heating degree-days (HDD), </w:t>
      </w:r>
      <w:r w:rsidR="00730011">
        <w:rPr>
          <w:rFonts w:cs="Courier New"/>
        </w:rPr>
        <w:t>number of days</w:t>
      </w:r>
      <w:r w:rsidR="0087131C">
        <w:rPr>
          <w:rFonts w:cs="Courier New"/>
        </w:rPr>
        <w:t xml:space="preserve"> in the billing period</w:t>
      </w:r>
      <w:r w:rsidR="00730011">
        <w:rPr>
          <w:rFonts w:cs="Courier New"/>
        </w:rPr>
        <w:t xml:space="preserve">, </w:t>
      </w:r>
      <w:r w:rsidR="000E70DD">
        <w:rPr>
          <w:rFonts w:cs="Courier New"/>
        </w:rPr>
        <w:t>price, household size and income in the residential model, and employment and gross state product in the commercial model</w:t>
      </w:r>
      <w:r w:rsidR="008B12C0">
        <w:rPr>
          <w:rFonts w:cs="Courier New"/>
        </w:rPr>
        <w:t>)</w:t>
      </w:r>
      <w:r w:rsidR="000E70DD">
        <w:rPr>
          <w:rFonts w:cs="Courier New"/>
        </w:rPr>
        <w:t xml:space="preserve">. </w:t>
      </w:r>
      <w:r w:rsidR="00A677FB" w:rsidRPr="000A700D">
        <w:rPr>
          <w:rFonts w:cs="Courier New"/>
        </w:rPr>
        <w:fldChar w:fldCharType="begin"/>
      </w:r>
      <w:r w:rsidR="00A677FB" w:rsidRPr="000A700D">
        <w:rPr>
          <w:rFonts w:cs="Courier New"/>
        </w:rPr>
        <w:instrText xml:space="preserve"> REF _Ref127982298 \h </w:instrText>
      </w:r>
      <w:r w:rsidR="000225D4" w:rsidRPr="000A700D">
        <w:rPr>
          <w:rFonts w:cs="Courier New"/>
        </w:rPr>
        <w:instrText xml:space="preserve"> \* MERGEFORMAT </w:instrText>
      </w:r>
      <w:r w:rsidR="00A677FB" w:rsidRPr="000A700D">
        <w:rPr>
          <w:rFonts w:cs="Courier New"/>
        </w:rPr>
      </w:r>
      <w:r w:rsidR="00A677FB" w:rsidRPr="000A700D">
        <w:rPr>
          <w:rFonts w:cs="Courier New"/>
        </w:rPr>
        <w:fldChar w:fldCharType="separate"/>
      </w:r>
    </w:p>
    <w:p w14:paraId="4D5E41F8" w14:textId="77777777" w:rsidR="00947326" w:rsidRDefault="00A677FB" w:rsidP="0008138E">
      <w:pPr>
        <w:widowControl w:val="0"/>
        <w:pBdr>
          <w:left w:val="single" w:sz="4" w:space="4" w:color="auto"/>
          <w:right w:val="single" w:sz="4" w:space="4" w:color="auto"/>
        </w:pBdr>
        <w:ind w:left="720" w:hanging="720"/>
        <w:jc w:val="both"/>
        <w:rPr>
          <w:rFonts w:cs="Courier New"/>
        </w:rPr>
      </w:pPr>
      <w:r w:rsidRPr="000A700D">
        <w:rPr>
          <w:rFonts w:cs="Courier New"/>
        </w:rPr>
        <w:fldChar w:fldCharType="end"/>
      </w:r>
    </w:p>
    <w:p w14:paraId="3CBA7DB1" w14:textId="53C78204" w:rsidR="0008138E" w:rsidRDefault="00947326" w:rsidP="00947326">
      <w:pPr>
        <w:widowControl w:val="0"/>
        <w:pBdr>
          <w:left w:val="single" w:sz="4" w:space="4" w:color="auto"/>
          <w:right w:val="single" w:sz="4" w:space="4" w:color="auto"/>
        </w:pBdr>
        <w:tabs>
          <w:tab w:val="left" w:pos="720"/>
        </w:tabs>
        <w:ind w:left="720" w:hanging="720"/>
        <w:jc w:val="both"/>
        <w:rPr>
          <w:rFonts w:cs="Courier New"/>
        </w:rPr>
      </w:pPr>
      <w:r>
        <w:rPr>
          <w:rFonts w:cs="Courier New"/>
        </w:rPr>
        <w:tab/>
        <w:t xml:space="preserve">Figure 1 below, </w:t>
      </w:r>
      <w:r w:rsidR="00A677FB">
        <w:rPr>
          <w:rFonts w:cs="Courier New"/>
        </w:rPr>
        <w:t xml:space="preserve">shows the </w:t>
      </w:r>
      <w:r w:rsidR="00490066">
        <w:rPr>
          <w:rFonts w:cs="Courier New"/>
        </w:rPr>
        <w:t xml:space="preserve">residential </w:t>
      </w:r>
      <w:r w:rsidR="00A677FB">
        <w:rPr>
          <w:rFonts w:cs="Courier New"/>
        </w:rPr>
        <w:t>SAE model structure.</w:t>
      </w:r>
    </w:p>
    <w:p w14:paraId="62544791" w14:textId="77777777" w:rsidR="000A700D" w:rsidRDefault="000A700D" w:rsidP="0008138E">
      <w:pPr>
        <w:widowControl w:val="0"/>
        <w:pBdr>
          <w:left w:val="single" w:sz="4" w:space="4" w:color="auto"/>
          <w:right w:val="single" w:sz="4" w:space="4" w:color="auto"/>
        </w:pBdr>
        <w:ind w:left="720" w:hanging="720"/>
        <w:jc w:val="both"/>
        <w:rPr>
          <w:b/>
          <w:bCs/>
          <w:i/>
          <w:iCs/>
          <w:szCs w:val="24"/>
        </w:rPr>
      </w:pPr>
    </w:p>
    <w:p w14:paraId="572DABED" w14:textId="77777777" w:rsidR="000A700D" w:rsidRDefault="000A700D" w:rsidP="0008138E">
      <w:pPr>
        <w:widowControl w:val="0"/>
        <w:pBdr>
          <w:left w:val="single" w:sz="4" w:space="4" w:color="auto"/>
          <w:right w:val="single" w:sz="4" w:space="4" w:color="auto"/>
        </w:pBdr>
        <w:ind w:left="720" w:hanging="720"/>
        <w:jc w:val="both"/>
        <w:rPr>
          <w:b/>
          <w:bCs/>
          <w:i/>
          <w:iCs/>
          <w:szCs w:val="24"/>
        </w:rPr>
      </w:pPr>
    </w:p>
    <w:p w14:paraId="72E98448" w14:textId="77777777" w:rsidR="000A700D" w:rsidRDefault="000A700D" w:rsidP="0008138E">
      <w:pPr>
        <w:widowControl w:val="0"/>
        <w:pBdr>
          <w:left w:val="single" w:sz="4" w:space="4" w:color="auto"/>
          <w:right w:val="single" w:sz="4" w:space="4" w:color="auto"/>
        </w:pBdr>
        <w:ind w:left="720" w:hanging="720"/>
        <w:jc w:val="both"/>
        <w:rPr>
          <w:b/>
          <w:bCs/>
          <w:i/>
          <w:iCs/>
          <w:szCs w:val="24"/>
        </w:rPr>
      </w:pPr>
    </w:p>
    <w:p w14:paraId="2CA10EAA" w14:textId="77777777" w:rsidR="000A700D" w:rsidRDefault="000A700D" w:rsidP="0008138E">
      <w:pPr>
        <w:widowControl w:val="0"/>
        <w:pBdr>
          <w:left w:val="single" w:sz="4" w:space="4" w:color="auto"/>
          <w:right w:val="single" w:sz="4" w:space="4" w:color="auto"/>
        </w:pBdr>
        <w:ind w:left="720" w:hanging="720"/>
        <w:jc w:val="both"/>
        <w:rPr>
          <w:b/>
          <w:bCs/>
          <w:i/>
          <w:iCs/>
          <w:szCs w:val="24"/>
        </w:rPr>
      </w:pPr>
    </w:p>
    <w:p w14:paraId="3F9DADC0" w14:textId="77777777" w:rsidR="000A700D" w:rsidRDefault="000A700D" w:rsidP="0008138E">
      <w:pPr>
        <w:widowControl w:val="0"/>
        <w:pBdr>
          <w:left w:val="single" w:sz="4" w:space="4" w:color="auto"/>
          <w:right w:val="single" w:sz="4" w:space="4" w:color="auto"/>
        </w:pBdr>
        <w:ind w:left="720" w:hanging="720"/>
        <w:jc w:val="both"/>
        <w:rPr>
          <w:b/>
          <w:bCs/>
          <w:i/>
          <w:iCs/>
          <w:szCs w:val="24"/>
        </w:rPr>
      </w:pPr>
    </w:p>
    <w:p w14:paraId="1D3D6441" w14:textId="77777777" w:rsidR="00A938A4" w:rsidRDefault="00A938A4" w:rsidP="0008138E">
      <w:pPr>
        <w:widowControl w:val="0"/>
        <w:pBdr>
          <w:left w:val="single" w:sz="4" w:space="4" w:color="auto"/>
          <w:right w:val="single" w:sz="4" w:space="4" w:color="auto"/>
        </w:pBdr>
        <w:ind w:left="720" w:hanging="720"/>
        <w:jc w:val="both"/>
        <w:rPr>
          <w:b/>
          <w:bCs/>
          <w:i/>
          <w:iCs/>
          <w:szCs w:val="24"/>
        </w:rPr>
      </w:pPr>
    </w:p>
    <w:p w14:paraId="2AB02B7F" w14:textId="77777777" w:rsidR="000A700D" w:rsidRDefault="000A700D" w:rsidP="0008138E">
      <w:pPr>
        <w:widowControl w:val="0"/>
        <w:pBdr>
          <w:left w:val="single" w:sz="4" w:space="4" w:color="auto"/>
          <w:right w:val="single" w:sz="4" w:space="4" w:color="auto"/>
        </w:pBdr>
        <w:ind w:left="720" w:hanging="720"/>
        <w:jc w:val="both"/>
        <w:rPr>
          <w:b/>
          <w:bCs/>
          <w:i/>
          <w:iCs/>
          <w:szCs w:val="24"/>
        </w:rPr>
      </w:pPr>
    </w:p>
    <w:p w14:paraId="769FECBC" w14:textId="77777777" w:rsidR="000A700D" w:rsidRDefault="000A700D" w:rsidP="0008138E">
      <w:pPr>
        <w:widowControl w:val="0"/>
        <w:pBdr>
          <w:left w:val="single" w:sz="4" w:space="4" w:color="auto"/>
          <w:right w:val="single" w:sz="4" w:space="4" w:color="auto"/>
        </w:pBdr>
        <w:ind w:left="720" w:hanging="720"/>
        <w:jc w:val="both"/>
        <w:rPr>
          <w:b/>
          <w:bCs/>
          <w:i/>
          <w:iCs/>
          <w:szCs w:val="24"/>
        </w:rPr>
      </w:pPr>
    </w:p>
    <w:p w14:paraId="31440B2C" w14:textId="2F93D2BE" w:rsidR="0008138E" w:rsidRPr="0008138E" w:rsidRDefault="0008138E" w:rsidP="0008138E">
      <w:pPr>
        <w:widowControl w:val="0"/>
        <w:pBdr>
          <w:left w:val="single" w:sz="4" w:space="4" w:color="auto"/>
          <w:right w:val="single" w:sz="4" w:space="4" w:color="auto"/>
        </w:pBdr>
        <w:ind w:left="720" w:hanging="720"/>
        <w:jc w:val="both"/>
        <w:rPr>
          <w:b/>
          <w:bCs/>
          <w:i/>
          <w:iCs/>
          <w:szCs w:val="24"/>
        </w:rPr>
      </w:pPr>
      <w:r w:rsidRPr="0008138E">
        <w:rPr>
          <w:b/>
          <w:bCs/>
          <w:i/>
          <w:iCs/>
          <w:szCs w:val="24"/>
        </w:rPr>
        <w:t xml:space="preserve">Figure </w:t>
      </w:r>
      <w:r w:rsidRPr="0008138E">
        <w:rPr>
          <w:b/>
          <w:bCs/>
          <w:i/>
          <w:iCs/>
          <w:szCs w:val="24"/>
        </w:rPr>
        <w:fldChar w:fldCharType="begin"/>
      </w:r>
      <w:r w:rsidRPr="0008138E">
        <w:rPr>
          <w:b/>
          <w:bCs/>
          <w:i/>
          <w:iCs/>
          <w:szCs w:val="24"/>
        </w:rPr>
        <w:instrText xml:space="preserve"> SEQ Figure \* ARABIC </w:instrText>
      </w:r>
      <w:r w:rsidRPr="0008138E">
        <w:rPr>
          <w:b/>
          <w:bCs/>
          <w:i/>
          <w:iCs/>
          <w:szCs w:val="24"/>
        </w:rPr>
        <w:fldChar w:fldCharType="separate"/>
      </w:r>
      <w:r w:rsidR="00DD6FBB">
        <w:rPr>
          <w:b/>
          <w:bCs/>
          <w:i/>
          <w:iCs/>
          <w:noProof/>
          <w:szCs w:val="24"/>
        </w:rPr>
        <w:t>1</w:t>
      </w:r>
      <w:r w:rsidRPr="0008138E">
        <w:rPr>
          <w:b/>
          <w:bCs/>
          <w:i/>
          <w:iCs/>
          <w:szCs w:val="24"/>
        </w:rPr>
        <w:fldChar w:fldCharType="end"/>
      </w:r>
      <w:r w:rsidRPr="0008138E">
        <w:rPr>
          <w:b/>
          <w:bCs/>
          <w:i/>
          <w:iCs/>
          <w:szCs w:val="24"/>
        </w:rPr>
        <w:t>: Residential SAE Model</w:t>
      </w:r>
    </w:p>
    <w:p w14:paraId="7C077FB4" w14:textId="261F1A69" w:rsidR="0008138E" w:rsidRDefault="00734D8E" w:rsidP="007504E0">
      <w:pPr>
        <w:widowControl w:val="0"/>
        <w:pBdr>
          <w:left w:val="single" w:sz="4" w:space="4" w:color="auto"/>
          <w:right w:val="single" w:sz="4" w:space="4" w:color="auto"/>
        </w:pBdr>
        <w:ind w:left="720" w:hanging="720"/>
        <w:jc w:val="both"/>
        <w:rPr>
          <w:rFonts w:cs="Courier New"/>
        </w:rPr>
      </w:pPr>
      <w:r>
        <w:rPr>
          <w:rFonts w:cs="Courier New"/>
          <w:noProof/>
        </w:rPr>
        <w:drawing>
          <wp:anchor distT="0" distB="0" distL="114300" distR="114300" simplePos="0" relativeHeight="251658241" behindDoc="0" locked="0" layoutInCell="1" allowOverlap="1" wp14:anchorId="7604A463" wp14:editId="5C8B2EDB">
            <wp:simplePos x="0" y="0"/>
            <wp:positionH relativeFrom="page">
              <wp:posOffset>2053988</wp:posOffset>
            </wp:positionH>
            <wp:positionV relativeFrom="paragraph">
              <wp:posOffset>139320</wp:posOffset>
            </wp:positionV>
            <wp:extent cx="3941461" cy="2811439"/>
            <wp:effectExtent l="0" t="0" r="190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9006" cy="2816821"/>
                    </a:xfrm>
                    <a:prstGeom prst="rect">
                      <a:avLst/>
                    </a:prstGeom>
                    <a:noFill/>
                  </pic:spPr>
                </pic:pic>
              </a:graphicData>
            </a:graphic>
            <wp14:sizeRelH relativeFrom="margin">
              <wp14:pctWidth>0</wp14:pctWidth>
            </wp14:sizeRelH>
            <wp14:sizeRelV relativeFrom="margin">
              <wp14:pctHeight>0</wp14:pctHeight>
            </wp14:sizeRelV>
          </wp:anchor>
        </w:drawing>
      </w:r>
    </w:p>
    <w:p w14:paraId="70EDC656" w14:textId="4D753FD8" w:rsidR="007504E0" w:rsidRDefault="007504E0" w:rsidP="007504E0">
      <w:pPr>
        <w:widowControl w:val="0"/>
        <w:pBdr>
          <w:left w:val="single" w:sz="4" w:space="4" w:color="auto"/>
          <w:right w:val="single" w:sz="4" w:space="4" w:color="auto"/>
        </w:pBdr>
        <w:ind w:left="720" w:hanging="720"/>
        <w:jc w:val="both"/>
        <w:rPr>
          <w:rFonts w:cs="Courier New"/>
        </w:rPr>
      </w:pPr>
    </w:p>
    <w:p w14:paraId="7C9BE773" w14:textId="77777777" w:rsidR="007504E0" w:rsidRDefault="007504E0" w:rsidP="007504E0">
      <w:pPr>
        <w:widowControl w:val="0"/>
        <w:pBdr>
          <w:left w:val="single" w:sz="4" w:space="4" w:color="auto"/>
          <w:right w:val="single" w:sz="4" w:space="4" w:color="auto"/>
        </w:pBdr>
        <w:ind w:left="720" w:hanging="720"/>
        <w:jc w:val="both"/>
        <w:rPr>
          <w:rFonts w:cs="Courier New"/>
        </w:rPr>
      </w:pPr>
    </w:p>
    <w:p w14:paraId="36B66AB5" w14:textId="77777777" w:rsidR="0008138E" w:rsidRDefault="0008138E" w:rsidP="0008138E">
      <w:pPr>
        <w:widowControl w:val="0"/>
        <w:pBdr>
          <w:left w:val="single" w:sz="4" w:space="4" w:color="auto"/>
          <w:right w:val="single" w:sz="4" w:space="4" w:color="auto"/>
        </w:pBdr>
        <w:tabs>
          <w:tab w:val="left" w:pos="720"/>
        </w:tabs>
        <w:ind w:left="720" w:hanging="720"/>
        <w:jc w:val="both"/>
        <w:rPr>
          <w:rFonts w:cs="Courier New"/>
        </w:rPr>
      </w:pPr>
    </w:p>
    <w:p w14:paraId="1A2494A7" w14:textId="77777777" w:rsidR="0008138E" w:rsidRDefault="0008138E" w:rsidP="0008138E">
      <w:pPr>
        <w:widowControl w:val="0"/>
        <w:pBdr>
          <w:left w:val="single" w:sz="4" w:space="4" w:color="auto"/>
          <w:right w:val="single" w:sz="4" w:space="4" w:color="auto"/>
        </w:pBdr>
        <w:tabs>
          <w:tab w:val="left" w:pos="720"/>
        </w:tabs>
        <w:ind w:left="720" w:hanging="720"/>
        <w:jc w:val="both"/>
        <w:rPr>
          <w:rFonts w:cs="Courier New"/>
        </w:rPr>
      </w:pPr>
    </w:p>
    <w:p w14:paraId="2EB38619" w14:textId="77777777" w:rsidR="0008138E" w:rsidRDefault="0008138E" w:rsidP="0008138E">
      <w:pPr>
        <w:widowControl w:val="0"/>
        <w:pBdr>
          <w:left w:val="single" w:sz="4" w:space="4" w:color="auto"/>
          <w:right w:val="single" w:sz="4" w:space="4" w:color="auto"/>
        </w:pBdr>
        <w:tabs>
          <w:tab w:val="left" w:pos="720"/>
        </w:tabs>
        <w:ind w:left="720" w:hanging="720"/>
        <w:jc w:val="both"/>
        <w:rPr>
          <w:rFonts w:cs="Courier New"/>
        </w:rPr>
      </w:pPr>
    </w:p>
    <w:p w14:paraId="4AA67F68" w14:textId="77777777" w:rsidR="0008138E" w:rsidRDefault="0008138E" w:rsidP="0008138E">
      <w:pPr>
        <w:widowControl w:val="0"/>
        <w:pBdr>
          <w:left w:val="single" w:sz="4" w:space="4" w:color="auto"/>
          <w:right w:val="single" w:sz="4" w:space="4" w:color="auto"/>
        </w:pBdr>
        <w:tabs>
          <w:tab w:val="left" w:pos="720"/>
        </w:tabs>
        <w:ind w:left="720" w:hanging="720"/>
        <w:jc w:val="both"/>
        <w:rPr>
          <w:rFonts w:cs="Courier New"/>
        </w:rPr>
      </w:pPr>
    </w:p>
    <w:p w14:paraId="567D2749" w14:textId="77777777" w:rsidR="0008138E" w:rsidRDefault="0008138E" w:rsidP="0008138E">
      <w:pPr>
        <w:widowControl w:val="0"/>
        <w:pBdr>
          <w:left w:val="single" w:sz="4" w:space="4" w:color="auto"/>
          <w:right w:val="single" w:sz="4" w:space="4" w:color="auto"/>
        </w:pBdr>
        <w:tabs>
          <w:tab w:val="left" w:pos="720"/>
        </w:tabs>
        <w:ind w:left="720" w:hanging="720"/>
        <w:jc w:val="both"/>
        <w:rPr>
          <w:rFonts w:cs="Courier New"/>
        </w:rPr>
      </w:pPr>
    </w:p>
    <w:p w14:paraId="63F9CF8D" w14:textId="77777777" w:rsidR="000A700D" w:rsidRDefault="000A700D" w:rsidP="0008138E">
      <w:pPr>
        <w:widowControl w:val="0"/>
        <w:pBdr>
          <w:left w:val="single" w:sz="4" w:space="4" w:color="auto"/>
          <w:right w:val="single" w:sz="4" w:space="4" w:color="auto"/>
        </w:pBdr>
        <w:tabs>
          <w:tab w:val="left" w:pos="720"/>
        </w:tabs>
        <w:ind w:left="720" w:hanging="720"/>
        <w:jc w:val="both"/>
        <w:rPr>
          <w:rFonts w:cs="Courier New"/>
        </w:rPr>
      </w:pPr>
    </w:p>
    <w:p w14:paraId="49391F52" w14:textId="77777777" w:rsidR="000A700D" w:rsidRDefault="000A700D" w:rsidP="0008138E">
      <w:pPr>
        <w:widowControl w:val="0"/>
        <w:pBdr>
          <w:left w:val="single" w:sz="4" w:space="4" w:color="auto"/>
          <w:right w:val="single" w:sz="4" w:space="4" w:color="auto"/>
        </w:pBdr>
        <w:tabs>
          <w:tab w:val="left" w:pos="720"/>
        </w:tabs>
        <w:ind w:left="720" w:hanging="720"/>
        <w:jc w:val="both"/>
        <w:rPr>
          <w:rFonts w:cs="Courier New"/>
        </w:rPr>
      </w:pPr>
    </w:p>
    <w:p w14:paraId="09317358" w14:textId="38CE7FDD" w:rsidR="00A677FB" w:rsidRDefault="00734D8E" w:rsidP="0008138E">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490066">
        <w:rPr>
          <w:rFonts w:cs="Courier New"/>
        </w:rPr>
        <w:t xml:space="preserve">The commercial </w:t>
      </w:r>
      <w:r w:rsidR="008B12C0">
        <w:rPr>
          <w:rFonts w:cs="Courier New"/>
        </w:rPr>
        <w:t xml:space="preserve">SAE </w:t>
      </w:r>
      <w:r w:rsidR="00490066">
        <w:rPr>
          <w:rFonts w:cs="Courier New"/>
        </w:rPr>
        <w:t xml:space="preserve">model is similar.  </w:t>
      </w:r>
      <w:r w:rsidR="008B12C0">
        <w:rPr>
          <w:rFonts w:cs="Courier New"/>
        </w:rPr>
        <w:t>M</w:t>
      </w:r>
      <w:r w:rsidR="00490066">
        <w:rPr>
          <w:rFonts w:cs="Courier New"/>
        </w:rPr>
        <w:t xml:space="preserve">onthly binary variables and auto-regressive terms are </w:t>
      </w:r>
      <w:r w:rsidR="008B12C0">
        <w:rPr>
          <w:rFonts w:cs="Courier New"/>
        </w:rPr>
        <w:t xml:space="preserve">also </w:t>
      </w:r>
      <w:r w:rsidR="00490066">
        <w:rPr>
          <w:rFonts w:cs="Courier New"/>
        </w:rPr>
        <w:t xml:space="preserve">included in the model specification to account for </w:t>
      </w:r>
      <w:r w:rsidR="00651C1A">
        <w:rPr>
          <w:rFonts w:cs="Courier New"/>
        </w:rPr>
        <w:t xml:space="preserve">seasonal </w:t>
      </w:r>
      <w:r w:rsidR="00490066">
        <w:rPr>
          <w:rFonts w:cs="Courier New"/>
        </w:rPr>
        <w:t xml:space="preserve">variation not captured by the XHeat and XOther model variables. </w:t>
      </w:r>
    </w:p>
    <w:p w14:paraId="74C22419" w14:textId="216A09F7" w:rsidR="00CD3F6F" w:rsidRDefault="00CD3F6F" w:rsidP="000403EA">
      <w:pPr>
        <w:widowControl w:val="0"/>
        <w:pBdr>
          <w:left w:val="single" w:sz="4" w:space="4" w:color="auto"/>
          <w:right w:val="single" w:sz="4" w:space="4" w:color="auto"/>
        </w:pBdr>
        <w:ind w:left="720" w:hanging="720"/>
        <w:jc w:val="both"/>
        <w:rPr>
          <w:rFonts w:cs="Courier New"/>
        </w:rPr>
      </w:pPr>
    </w:p>
    <w:p w14:paraId="2D7B3C0F" w14:textId="38F3A411" w:rsidR="00CD3F6F" w:rsidRDefault="00CD3F6F" w:rsidP="00CD3F6F">
      <w:pPr>
        <w:widowControl w:val="0"/>
        <w:pBdr>
          <w:left w:val="single" w:sz="4" w:space="4" w:color="auto"/>
          <w:right w:val="single" w:sz="4" w:space="4" w:color="auto"/>
        </w:pBdr>
        <w:ind w:left="720" w:hanging="720"/>
        <w:jc w:val="both"/>
        <w:rPr>
          <w:rFonts w:cs="Courier New"/>
        </w:rPr>
      </w:pPr>
      <w:r w:rsidRPr="00C631BF">
        <w:rPr>
          <w:rFonts w:cs="Courier New"/>
          <w:b/>
          <w:bCs/>
        </w:rPr>
        <w:t>Q.</w:t>
      </w:r>
      <w:r>
        <w:rPr>
          <w:rFonts w:cs="Courier New"/>
        </w:rPr>
        <w:tab/>
        <w:t xml:space="preserve">How are the </w:t>
      </w:r>
      <w:r w:rsidR="00C55DC6">
        <w:rPr>
          <w:rFonts w:cs="Courier New"/>
        </w:rPr>
        <w:t xml:space="preserve">thermal shell and </w:t>
      </w:r>
      <w:r>
        <w:rPr>
          <w:rFonts w:cs="Courier New"/>
        </w:rPr>
        <w:t>end-use intensity trends</w:t>
      </w:r>
      <w:r w:rsidR="00053230">
        <w:rPr>
          <w:rFonts w:cs="Courier New"/>
        </w:rPr>
        <w:t xml:space="preserve"> </w:t>
      </w:r>
      <w:r w:rsidR="00E76ED5">
        <w:rPr>
          <w:rFonts w:cs="Courier New"/>
        </w:rPr>
        <w:t>derived?</w:t>
      </w:r>
    </w:p>
    <w:p w14:paraId="2B1B4D73" w14:textId="6451C012" w:rsidR="003B7DF7" w:rsidRDefault="003B7DF7" w:rsidP="000403EA">
      <w:pPr>
        <w:widowControl w:val="0"/>
        <w:pBdr>
          <w:left w:val="single" w:sz="4" w:space="4" w:color="auto"/>
          <w:right w:val="single" w:sz="4" w:space="4" w:color="auto"/>
        </w:pBdr>
        <w:ind w:left="720" w:hanging="720"/>
        <w:jc w:val="both"/>
        <w:rPr>
          <w:rFonts w:cs="Courier New"/>
        </w:rPr>
      </w:pPr>
    </w:p>
    <w:p w14:paraId="7AEA4E00" w14:textId="760C469F" w:rsidR="000403EA" w:rsidRDefault="00CD3F6F" w:rsidP="00CD3F6F">
      <w:pPr>
        <w:widowControl w:val="0"/>
        <w:pBdr>
          <w:left w:val="single" w:sz="4" w:space="4" w:color="auto"/>
          <w:right w:val="single" w:sz="4" w:space="4" w:color="auto"/>
        </w:pBdr>
        <w:ind w:left="720" w:hanging="720"/>
        <w:jc w:val="both"/>
        <w:rPr>
          <w:rFonts w:cs="Courier New"/>
        </w:rPr>
      </w:pPr>
      <w:r w:rsidRPr="00C631BF">
        <w:rPr>
          <w:rFonts w:cs="Courier New"/>
          <w:b/>
          <w:bCs/>
        </w:rPr>
        <w:t>A.</w:t>
      </w:r>
      <w:r w:rsidR="00A81010">
        <w:tab/>
      </w:r>
      <w:r w:rsidR="000E70DD">
        <w:rPr>
          <w:rFonts w:cs="Courier New"/>
        </w:rPr>
        <w:t xml:space="preserve">The </w:t>
      </w:r>
      <w:r w:rsidR="00C55DC6">
        <w:rPr>
          <w:rFonts w:cs="Courier New"/>
        </w:rPr>
        <w:t xml:space="preserve">thermal shell index (which captures improvements </w:t>
      </w:r>
      <w:r w:rsidR="00A677FB">
        <w:rPr>
          <w:rFonts w:cs="Courier New"/>
        </w:rPr>
        <w:t xml:space="preserve">in housing structure efficiency gains) and </w:t>
      </w:r>
      <w:r w:rsidR="000E70DD">
        <w:rPr>
          <w:rFonts w:cs="Courier New"/>
        </w:rPr>
        <w:t>end-use intensity trends</w:t>
      </w:r>
      <w:r w:rsidR="00490066">
        <w:rPr>
          <w:rFonts w:cs="Courier New"/>
        </w:rPr>
        <w:t xml:space="preserve"> (which captures both efficiency and saturation)</w:t>
      </w:r>
      <w:r w:rsidR="000E70DD">
        <w:rPr>
          <w:rFonts w:cs="Courier New"/>
        </w:rPr>
        <w:t xml:space="preserve"> are </w:t>
      </w:r>
      <w:r w:rsidR="00777EE4">
        <w:rPr>
          <w:rFonts w:cs="Courier New"/>
        </w:rPr>
        <w:t xml:space="preserve">derived from </w:t>
      </w:r>
      <w:r w:rsidR="00BF3875">
        <w:rPr>
          <w:rFonts w:cs="Courier New"/>
        </w:rPr>
        <w:t xml:space="preserve">the U.S. </w:t>
      </w:r>
      <w:r w:rsidR="00777EE4">
        <w:rPr>
          <w:rFonts w:cs="Courier New"/>
        </w:rPr>
        <w:t>Energy Information Administration</w:t>
      </w:r>
      <w:r w:rsidR="00BF3875">
        <w:rPr>
          <w:rFonts w:cs="Courier New"/>
        </w:rPr>
        <w:t>’s</w:t>
      </w:r>
      <w:r w:rsidR="00777EE4">
        <w:rPr>
          <w:rFonts w:cs="Courier New"/>
        </w:rPr>
        <w:t xml:space="preserve"> (EIA) Annual Energy Outlook (AEO).  Each year</w:t>
      </w:r>
      <w:r w:rsidR="00E22147">
        <w:rPr>
          <w:rFonts w:cs="Courier New"/>
        </w:rPr>
        <w:t>,</w:t>
      </w:r>
      <w:r w:rsidR="00777EE4">
        <w:rPr>
          <w:rFonts w:cs="Courier New"/>
        </w:rPr>
        <w:t xml:space="preserve"> Itron extracts </w:t>
      </w:r>
      <w:r w:rsidR="00777EE4">
        <w:rPr>
          <w:rFonts w:cs="Courier New"/>
        </w:rPr>
        <w:lastRenderedPageBreak/>
        <w:t>the underlying end-use data (</w:t>
      </w:r>
      <w:r w:rsidR="00E22147" w:rsidRPr="0087131C">
        <w:rPr>
          <w:rFonts w:cs="Courier New"/>
          <w:i/>
          <w:iCs/>
        </w:rPr>
        <w:t>e.g.</w:t>
      </w:r>
      <w:r w:rsidR="00E22147" w:rsidRPr="007737C3">
        <w:rPr>
          <w:rFonts w:cs="Courier New"/>
        </w:rPr>
        <w:t>,</w:t>
      </w:r>
      <w:r w:rsidR="00E22147">
        <w:rPr>
          <w:rFonts w:cs="Courier New"/>
        </w:rPr>
        <w:t xml:space="preserve"> </w:t>
      </w:r>
      <w:r w:rsidR="00777EE4">
        <w:rPr>
          <w:rFonts w:cs="Courier New"/>
        </w:rPr>
        <w:t>end-use consumption, number of units, average stock efficiency, number of households, building shell efficiency index, and square footage)</w:t>
      </w:r>
      <w:r w:rsidR="000E70DD">
        <w:rPr>
          <w:rFonts w:cs="Courier New"/>
        </w:rPr>
        <w:t xml:space="preserve"> </w:t>
      </w:r>
      <w:r w:rsidR="00777EE4">
        <w:rPr>
          <w:rFonts w:cs="Courier New"/>
        </w:rPr>
        <w:t>and constructs end-use intensity estimates (</w:t>
      </w:r>
      <w:r w:rsidR="00E22147" w:rsidRPr="0087131C">
        <w:rPr>
          <w:rFonts w:cs="Courier New"/>
          <w:i/>
          <w:iCs/>
        </w:rPr>
        <w:t>i.e.</w:t>
      </w:r>
      <w:r w:rsidR="00E22147">
        <w:rPr>
          <w:rFonts w:cs="Courier New"/>
        </w:rPr>
        <w:t xml:space="preserve">, </w:t>
      </w:r>
      <w:r w:rsidR="000E70DD">
        <w:rPr>
          <w:rFonts w:cs="Courier New"/>
        </w:rPr>
        <w:t xml:space="preserve">end-use consumption per household in the residential sector and use per square foot in the commercial sector) </w:t>
      </w:r>
      <w:r w:rsidR="00777EE4">
        <w:rPr>
          <w:rFonts w:cs="Courier New"/>
        </w:rPr>
        <w:t xml:space="preserve">that are </w:t>
      </w:r>
      <w:r w:rsidR="000E70DD">
        <w:rPr>
          <w:rFonts w:cs="Courier New"/>
        </w:rPr>
        <w:t xml:space="preserve">organized in Excel spreadsheets </w:t>
      </w:r>
      <w:r w:rsidR="00777EE4">
        <w:rPr>
          <w:rFonts w:cs="Courier New"/>
        </w:rPr>
        <w:t>and provided to Itron’s Energy Forecasting Group (</w:t>
      </w:r>
      <w:r w:rsidR="00A81010">
        <w:rPr>
          <w:rFonts w:cs="Courier New"/>
        </w:rPr>
        <w:t>“</w:t>
      </w:r>
      <w:r w:rsidR="00777EE4">
        <w:rPr>
          <w:rFonts w:cs="Courier New"/>
        </w:rPr>
        <w:t>EFG</w:t>
      </w:r>
      <w:r w:rsidR="00A81010">
        <w:rPr>
          <w:rFonts w:cs="Courier New"/>
        </w:rPr>
        <w:t>”</w:t>
      </w:r>
      <w:r w:rsidR="00777EE4">
        <w:rPr>
          <w:rFonts w:cs="Courier New"/>
        </w:rPr>
        <w:t xml:space="preserve">) members. </w:t>
      </w:r>
      <w:r w:rsidR="5E2F019E" w:rsidRPr="4982196F">
        <w:rPr>
          <w:rFonts w:cs="Courier New"/>
        </w:rPr>
        <w:t>The</w:t>
      </w:r>
      <w:r w:rsidR="00E556D7">
        <w:rPr>
          <w:rFonts w:cs="Courier New"/>
        </w:rPr>
        <w:t xml:space="preserve"> </w:t>
      </w:r>
      <w:r w:rsidR="000E70DD">
        <w:rPr>
          <w:rFonts w:cs="Courier New"/>
        </w:rPr>
        <w:t>forecast</w:t>
      </w:r>
      <w:r w:rsidR="00F65CB9">
        <w:rPr>
          <w:rFonts w:cs="Courier New"/>
        </w:rPr>
        <w:t xml:space="preserve"> </w:t>
      </w:r>
      <w:r w:rsidR="00485E5F">
        <w:rPr>
          <w:rFonts w:cs="Courier New"/>
        </w:rPr>
        <w:t xml:space="preserve">is based on </w:t>
      </w:r>
      <w:r w:rsidR="000E70DD">
        <w:rPr>
          <w:rFonts w:cs="Courier New"/>
        </w:rPr>
        <w:t>EIA’s 2022 South Atlantic Census Division</w:t>
      </w:r>
      <w:r w:rsidR="00485E5F">
        <w:rPr>
          <w:rFonts w:cs="Courier New"/>
        </w:rPr>
        <w:t xml:space="preserve"> outlook</w:t>
      </w:r>
      <w:r w:rsidR="000E70DD">
        <w:rPr>
          <w:rFonts w:cs="Courier New"/>
        </w:rPr>
        <w:t xml:space="preserve">. </w:t>
      </w:r>
    </w:p>
    <w:p w14:paraId="6D8B5AC3" w14:textId="77777777" w:rsidR="000403EA" w:rsidRDefault="000403EA" w:rsidP="000403EA">
      <w:pPr>
        <w:widowControl w:val="0"/>
        <w:pBdr>
          <w:left w:val="single" w:sz="4" w:space="4" w:color="auto"/>
          <w:right w:val="single" w:sz="4" w:space="4" w:color="auto"/>
        </w:pBdr>
        <w:ind w:left="720" w:hanging="720"/>
        <w:jc w:val="both"/>
        <w:rPr>
          <w:rFonts w:cs="Courier New"/>
        </w:rPr>
      </w:pPr>
    </w:p>
    <w:p w14:paraId="51363759" w14:textId="2D29BA8D" w:rsidR="00545EA4" w:rsidRDefault="00545EA4" w:rsidP="000403EA">
      <w:pPr>
        <w:widowControl w:val="0"/>
        <w:pBdr>
          <w:left w:val="single" w:sz="4" w:space="4" w:color="auto"/>
          <w:right w:val="single" w:sz="4" w:space="4" w:color="auto"/>
        </w:pBdr>
        <w:ind w:left="720" w:hanging="720"/>
        <w:jc w:val="both"/>
        <w:rPr>
          <w:rFonts w:cs="Courier New"/>
        </w:rPr>
      </w:pPr>
      <w:r w:rsidRPr="00C631BF">
        <w:rPr>
          <w:rFonts w:cs="Courier New"/>
          <w:b/>
          <w:bCs/>
        </w:rPr>
        <w:t>Q.</w:t>
      </w:r>
      <w:r>
        <w:rPr>
          <w:rFonts w:cs="Courier New"/>
        </w:rPr>
        <w:tab/>
        <w:t xml:space="preserve">How </w:t>
      </w:r>
      <w:r w:rsidR="00485E5F">
        <w:rPr>
          <w:rFonts w:cs="Courier New"/>
        </w:rPr>
        <w:t>are</w:t>
      </w:r>
      <w:r w:rsidR="00221828">
        <w:rPr>
          <w:rFonts w:cs="Courier New"/>
        </w:rPr>
        <w:t xml:space="preserve"> </w:t>
      </w:r>
      <w:r>
        <w:rPr>
          <w:rFonts w:cs="Courier New"/>
        </w:rPr>
        <w:t xml:space="preserve">Heating Degree Days </w:t>
      </w:r>
      <w:r w:rsidR="00F71D7E">
        <w:rPr>
          <w:rFonts w:cs="Courier New"/>
        </w:rPr>
        <w:t>(</w:t>
      </w:r>
      <w:r w:rsidR="00F06627">
        <w:rPr>
          <w:rFonts w:cs="Courier New"/>
        </w:rPr>
        <w:t>“</w:t>
      </w:r>
      <w:r w:rsidR="00F71D7E">
        <w:rPr>
          <w:rFonts w:cs="Courier New"/>
        </w:rPr>
        <w:t>HDD</w:t>
      </w:r>
      <w:r w:rsidR="00F06627">
        <w:rPr>
          <w:rFonts w:cs="Courier New"/>
        </w:rPr>
        <w:t>”</w:t>
      </w:r>
      <w:r w:rsidR="00F71D7E">
        <w:rPr>
          <w:rFonts w:cs="Courier New"/>
        </w:rPr>
        <w:t>)</w:t>
      </w:r>
      <w:r>
        <w:rPr>
          <w:rFonts w:cs="Courier New"/>
        </w:rPr>
        <w:t xml:space="preserve"> calculated?</w:t>
      </w:r>
    </w:p>
    <w:p w14:paraId="4629D242" w14:textId="77777777" w:rsidR="00545EA4" w:rsidRDefault="00545EA4" w:rsidP="000403EA">
      <w:pPr>
        <w:widowControl w:val="0"/>
        <w:pBdr>
          <w:left w:val="single" w:sz="4" w:space="4" w:color="auto"/>
          <w:right w:val="single" w:sz="4" w:space="4" w:color="auto"/>
        </w:pBdr>
        <w:ind w:left="720" w:hanging="720"/>
        <w:jc w:val="both"/>
        <w:rPr>
          <w:rFonts w:cs="Courier New"/>
        </w:rPr>
      </w:pPr>
    </w:p>
    <w:p w14:paraId="417B0963" w14:textId="44054451" w:rsidR="000403EA" w:rsidRDefault="00545EA4" w:rsidP="64B93FBF">
      <w:pPr>
        <w:widowControl w:val="0"/>
        <w:pBdr>
          <w:left w:val="single" w:sz="4" w:space="4" w:color="auto"/>
          <w:right w:val="single" w:sz="4" w:space="4" w:color="auto"/>
        </w:pBdr>
        <w:ind w:left="720" w:hanging="720"/>
        <w:jc w:val="both"/>
        <w:rPr>
          <w:rFonts w:cs="Courier New"/>
        </w:rPr>
      </w:pPr>
      <w:r w:rsidRPr="64B93FBF">
        <w:rPr>
          <w:rFonts w:cs="Courier New"/>
          <w:b/>
          <w:bCs/>
        </w:rPr>
        <w:t>A.</w:t>
      </w:r>
      <w:r>
        <w:tab/>
      </w:r>
      <w:r w:rsidR="20B1E296" w:rsidRPr="7FCF1B85">
        <w:rPr>
          <w:rFonts w:cs="Courier New"/>
        </w:rPr>
        <w:t>HDD</w:t>
      </w:r>
      <w:r w:rsidR="06503BBC" w:rsidRPr="7FCF1B85">
        <w:rPr>
          <w:rFonts w:cs="Courier New"/>
        </w:rPr>
        <w:t>s</w:t>
      </w:r>
      <w:r w:rsidR="20B1E296" w:rsidRPr="7FCF1B85">
        <w:rPr>
          <w:rFonts w:cs="Courier New"/>
        </w:rPr>
        <w:t xml:space="preserve"> are </w:t>
      </w:r>
      <w:r w:rsidR="00B63345" w:rsidRPr="7FCF1B85">
        <w:rPr>
          <w:rFonts w:cs="Courier New"/>
        </w:rPr>
        <w:t xml:space="preserve">used </w:t>
      </w:r>
      <w:r w:rsidR="00B36179" w:rsidRPr="7FCF1B85">
        <w:rPr>
          <w:rFonts w:cs="Courier New"/>
        </w:rPr>
        <w:t>to account for heating-related gas use</w:t>
      </w:r>
      <w:r w:rsidR="003A4A92" w:rsidRPr="7FCF1B85">
        <w:rPr>
          <w:rFonts w:cs="Courier New"/>
        </w:rPr>
        <w:t xml:space="preserve"> and are based on the average daily temperature</w:t>
      </w:r>
      <w:r w:rsidR="00B36179" w:rsidRPr="7FCF1B85">
        <w:rPr>
          <w:rFonts w:cs="Courier New"/>
        </w:rPr>
        <w:t>.</w:t>
      </w:r>
      <w:r w:rsidR="20B1E296" w:rsidRPr="7FCF1B85">
        <w:rPr>
          <w:rFonts w:cs="Courier New"/>
        </w:rPr>
        <w:t xml:space="preserve"> </w:t>
      </w:r>
      <w:r w:rsidR="00121E98" w:rsidRPr="7FCF1B85">
        <w:rPr>
          <w:rFonts w:cs="Courier New"/>
        </w:rPr>
        <w:t>HDD are positive</w:t>
      </w:r>
      <w:r w:rsidR="00730011" w:rsidRPr="64B93FBF">
        <w:rPr>
          <w:rFonts w:cs="Courier New"/>
        </w:rPr>
        <w:t xml:space="preserve"> when average daily temperature is below </w:t>
      </w:r>
      <w:r w:rsidR="000C0E27" w:rsidRPr="7FCF1B85">
        <w:rPr>
          <w:rFonts w:cs="Courier New"/>
        </w:rPr>
        <w:t>a defined temperature reference point</w:t>
      </w:r>
      <w:r w:rsidR="00402944" w:rsidRPr="7FCF1B85">
        <w:rPr>
          <w:rFonts w:cs="Courier New"/>
        </w:rPr>
        <w:t>.</w:t>
      </w:r>
      <w:r w:rsidR="00201696" w:rsidRPr="7FCF1B85">
        <w:rPr>
          <w:rFonts w:cs="Courier New"/>
        </w:rPr>
        <w:t xml:space="preserve"> </w:t>
      </w:r>
      <w:r w:rsidR="00402944" w:rsidRPr="7FCF1B85">
        <w:rPr>
          <w:rFonts w:cs="Courier New"/>
        </w:rPr>
        <w:t>T</w:t>
      </w:r>
      <w:r w:rsidR="00201696" w:rsidRPr="7FCF1B85">
        <w:rPr>
          <w:rFonts w:cs="Courier New"/>
        </w:rPr>
        <w:t xml:space="preserve">he </w:t>
      </w:r>
      <w:r w:rsidR="00B338EE" w:rsidRPr="7FCF1B85">
        <w:rPr>
          <w:rFonts w:cs="Courier New"/>
        </w:rPr>
        <w:t xml:space="preserve">NOAA published HDD is based on </w:t>
      </w:r>
      <w:r w:rsidR="00663B5B" w:rsidRPr="7FCF1B85">
        <w:rPr>
          <w:rFonts w:cs="Courier New"/>
        </w:rPr>
        <w:t>65</w:t>
      </w:r>
      <w:r w:rsidR="00B338EE" w:rsidRPr="7FCF1B85">
        <w:rPr>
          <w:rFonts w:cs="Courier New"/>
        </w:rPr>
        <w:t xml:space="preserve"> </w:t>
      </w:r>
      <w:r w:rsidR="00663B5B" w:rsidRPr="7FCF1B85">
        <w:rPr>
          <w:rFonts w:cs="Courier New"/>
        </w:rPr>
        <w:t>degrees.</w:t>
      </w:r>
      <w:r w:rsidR="00A0512C" w:rsidRPr="7FCF1B85">
        <w:rPr>
          <w:rFonts w:cs="Courier New"/>
        </w:rPr>
        <w:t xml:space="preserve"> </w:t>
      </w:r>
      <w:r w:rsidR="00A10792" w:rsidRPr="7FCF1B85">
        <w:rPr>
          <w:rFonts w:cs="Courier New"/>
        </w:rPr>
        <w:t xml:space="preserve">If the average temperature </w:t>
      </w:r>
      <w:r w:rsidR="00BA1DC6" w:rsidRPr="7FCF1B85">
        <w:rPr>
          <w:rFonts w:cs="Courier New"/>
        </w:rPr>
        <w:t xml:space="preserve">is 55 degrees, </w:t>
      </w:r>
      <w:r w:rsidR="0092368A" w:rsidRPr="7FCF1B85">
        <w:rPr>
          <w:rFonts w:cs="Courier New"/>
        </w:rPr>
        <w:t>the HDD would have a value of 10</w:t>
      </w:r>
      <w:r w:rsidR="0055539B" w:rsidRPr="7FCF1B85">
        <w:rPr>
          <w:rFonts w:cs="Courier New"/>
        </w:rPr>
        <w:t xml:space="preserve"> (65 degrees – 55 degrees</w:t>
      </w:r>
      <w:r w:rsidR="006A49DB" w:rsidRPr="7FCF1B85">
        <w:rPr>
          <w:rFonts w:cs="Courier New"/>
        </w:rPr>
        <w:t>)</w:t>
      </w:r>
      <w:r w:rsidR="0004329E" w:rsidRPr="7FCF1B85">
        <w:rPr>
          <w:rFonts w:cs="Courier New"/>
        </w:rPr>
        <w:t xml:space="preserve">. </w:t>
      </w:r>
      <w:r w:rsidR="005B43D6" w:rsidRPr="7FCF1B85">
        <w:rPr>
          <w:rFonts w:cs="Courier New"/>
        </w:rPr>
        <w:t xml:space="preserve">The calendar-month HDD is </w:t>
      </w:r>
      <w:r w:rsidR="2C6FA563" w:rsidRPr="02147FFD">
        <w:rPr>
          <w:rFonts w:cs="Courier New"/>
        </w:rPr>
        <w:t>the</w:t>
      </w:r>
      <w:r w:rsidR="005B43D6" w:rsidRPr="7FCF1B85">
        <w:rPr>
          <w:rFonts w:cs="Courier New"/>
        </w:rPr>
        <w:t xml:space="preserve"> sum of the daily HDD. </w:t>
      </w:r>
      <w:r w:rsidR="008A699B" w:rsidRPr="7FCF1B85">
        <w:rPr>
          <w:rFonts w:cs="Courier New"/>
        </w:rPr>
        <w:t xml:space="preserve">For most </w:t>
      </w:r>
      <w:r w:rsidR="00B326E1" w:rsidRPr="7FCF1B85">
        <w:rPr>
          <w:rFonts w:cs="Courier New"/>
        </w:rPr>
        <w:t>utilities,</w:t>
      </w:r>
      <w:r w:rsidR="008A699B" w:rsidRPr="7FCF1B85">
        <w:rPr>
          <w:rFonts w:cs="Courier New"/>
        </w:rPr>
        <w:t xml:space="preserve"> electric and gas heating use isn’t visible until </w:t>
      </w:r>
      <w:r w:rsidR="2D35E782" w:rsidRPr="02147FFD">
        <w:rPr>
          <w:rFonts w:cs="Courier New"/>
        </w:rPr>
        <w:t xml:space="preserve">the </w:t>
      </w:r>
      <w:r w:rsidR="009C40A8" w:rsidRPr="7FCF1B85">
        <w:rPr>
          <w:rFonts w:cs="Courier New"/>
        </w:rPr>
        <w:t xml:space="preserve">average daily temperature falls below </w:t>
      </w:r>
      <w:r w:rsidR="00730011" w:rsidRPr="64B93FBF">
        <w:rPr>
          <w:rFonts w:cs="Courier New"/>
        </w:rPr>
        <w:t>60 degrees</w:t>
      </w:r>
      <w:r w:rsidR="007573E8" w:rsidRPr="7FCF1B85">
        <w:rPr>
          <w:rFonts w:cs="Courier New"/>
        </w:rPr>
        <w:t xml:space="preserve">; </w:t>
      </w:r>
      <w:r w:rsidR="00BC07B2" w:rsidRPr="7FCF1B85">
        <w:rPr>
          <w:rFonts w:cs="Courier New"/>
        </w:rPr>
        <w:t xml:space="preserve">weather normalization and forecast </w:t>
      </w:r>
      <w:r w:rsidR="007B2FB7" w:rsidRPr="7FCF1B85">
        <w:rPr>
          <w:rFonts w:cs="Courier New"/>
        </w:rPr>
        <w:t xml:space="preserve">models can be improved using HDD with a base of 60 degrees </w:t>
      </w:r>
      <w:r w:rsidR="00A83E3E" w:rsidRPr="7FCF1B85">
        <w:rPr>
          <w:rFonts w:cs="Courier New"/>
        </w:rPr>
        <w:t xml:space="preserve">rather than </w:t>
      </w:r>
      <w:r w:rsidR="007B2FB7" w:rsidRPr="7FCF1B85">
        <w:rPr>
          <w:rFonts w:cs="Courier New"/>
        </w:rPr>
        <w:t>65 degrees.</w:t>
      </w:r>
      <w:r w:rsidR="00730011" w:rsidRPr="64B93FBF">
        <w:rPr>
          <w:rFonts w:cs="Courier New"/>
        </w:rPr>
        <w:t xml:space="preserve"> </w:t>
      </w:r>
      <w:r w:rsidR="007C3897" w:rsidRPr="64B93FBF">
        <w:rPr>
          <w:rFonts w:cs="Courier New"/>
        </w:rPr>
        <w:t xml:space="preserve">For </w:t>
      </w:r>
      <w:r w:rsidR="00E920BE" w:rsidRPr="64B93FBF">
        <w:rPr>
          <w:rFonts w:cs="Courier New"/>
        </w:rPr>
        <w:t>Peoples</w:t>
      </w:r>
      <w:r w:rsidR="007C3897" w:rsidRPr="64B93FBF">
        <w:rPr>
          <w:rFonts w:cs="Courier New"/>
        </w:rPr>
        <w:t xml:space="preserve">, Jacksonville is the only </w:t>
      </w:r>
      <w:r w:rsidR="006B0168">
        <w:rPr>
          <w:rFonts w:cs="Courier New"/>
        </w:rPr>
        <w:t>service area</w:t>
      </w:r>
      <w:r w:rsidR="006B0168" w:rsidRPr="64B93FBF">
        <w:rPr>
          <w:rFonts w:cs="Courier New"/>
        </w:rPr>
        <w:t xml:space="preserve"> </w:t>
      </w:r>
      <w:r w:rsidR="007C3897" w:rsidRPr="64B93FBF">
        <w:rPr>
          <w:rFonts w:cs="Courier New"/>
        </w:rPr>
        <w:t xml:space="preserve">where this is true. In the </w:t>
      </w:r>
      <w:r w:rsidR="00DA5687" w:rsidRPr="64B93FBF">
        <w:rPr>
          <w:rFonts w:cs="Courier New"/>
        </w:rPr>
        <w:t>rest of Florida</w:t>
      </w:r>
      <w:r w:rsidR="007C3897" w:rsidRPr="64B93FBF">
        <w:rPr>
          <w:rFonts w:cs="Courier New"/>
        </w:rPr>
        <w:t>, h</w:t>
      </w:r>
      <w:r w:rsidR="00730011" w:rsidRPr="64B93FBF">
        <w:rPr>
          <w:rFonts w:cs="Courier New"/>
        </w:rPr>
        <w:t>eating</w:t>
      </w:r>
      <w:r w:rsidR="00CF66EE" w:rsidRPr="64B93FBF">
        <w:rPr>
          <w:rFonts w:cs="Courier New"/>
        </w:rPr>
        <w:t>-</w:t>
      </w:r>
      <w:r w:rsidR="00730011" w:rsidRPr="64B93FBF">
        <w:rPr>
          <w:rFonts w:cs="Courier New"/>
        </w:rPr>
        <w:t xml:space="preserve">related gas use </w:t>
      </w:r>
      <w:r w:rsidR="007C3897" w:rsidRPr="64B93FBF">
        <w:rPr>
          <w:rFonts w:cs="Courier New"/>
        </w:rPr>
        <w:t xml:space="preserve">is </w:t>
      </w:r>
      <w:r w:rsidR="00151934" w:rsidRPr="7FCF1B85">
        <w:rPr>
          <w:rFonts w:cs="Courier New"/>
        </w:rPr>
        <w:t>starting</w:t>
      </w:r>
      <w:r w:rsidR="23F6D3E2" w:rsidRPr="7FCF1B85">
        <w:rPr>
          <w:rFonts w:cs="Courier New"/>
        </w:rPr>
        <w:t xml:space="preserve"> </w:t>
      </w:r>
      <w:r w:rsidR="00B70C0B" w:rsidRPr="7FCF1B85">
        <w:rPr>
          <w:rFonts w:cs="Courier New"/>
        </w:rPr>
        <w:t>at</w:t>
      </w:r>
      <w:r w:rsidR="007F6A7D" w:rsidRPr="7FCF1B85">
        <w:rPr>
          <w:rFonts w:cs="Courier New"/>
        </w:rPr>
        <w:t xml:space="preserve"> </w:t>
      </w:r>
      <w:r w:rsidR="6A281259" w:rsidRPr="7FCF1B85">
        <w:rPr>
          <w:rFonts w:cs="Courier New"/>
        </w:rPr>
        <w:lastRenderedPageBreak/>
        <w:t>65 degrees</w:t>
      </w:r>
      <w:r w:rsidR="23F6D3E2" w:rsidRPr="7FCF1B85">
        <w:rPr>
          <w:rFonts w:cs="Courier New"/>
        </w:rPr>
        <w:t>.</w:t>
      </w:r>
      <w:r w:rsidR="007A68D8" w:rsidRPr="64B93FBF">
        <w:rPr>
          <w:rFonts w:cs="Courier New"/>
        </w:rPr>
        <w:t xml:space="preserve"> In many of the central and southern divisions, heating</w:t>
      </w:r>
      <w:r w:rsidR="00CF66EE" w:rsidRPr="64B93FBF">
        <w:rPr>
          <w:rFonts w:cs="Courier New"/>
        </w:rPr>
        <w:t>-</w:t>
      </w:r>
      <w:r w:rsidR="00E43338" w:rsidRPr="64B93FBF">
        <w:rPr>
          <w:rFonts w:cs="Courier New"/>
        </w:rPr>
        <w:t>related use is visible</w:t>
      </w:r>
      <w:r w:rsidR="007A68D8" w:rsidRPr="64B93FBF">
        <w:rPr>
          <w:rFonts w:cs="Courier New"/>
        </w:rPr>
        <w:t xml:space="preserve"> at even higher temperature breakpoints</w:t>
      </w:r>
      <w:r w:rsidR="00E43338" w:rsidRPr="64B93FBF">
        <w:rPr>
          <w:rFonts w:cs="Courier New"/>
        </w:rPr>
        <w:t xml:space="preserve">; heating at these breakpoints is </w:t>
      </w:r>
      <w:r w:rsidR="00083856" w:rsidRPr="64B93FBF">
        <w:rPr>
          <w:rFonts w:cs="Courier New"/>
        </w:rPr>
        <w:t xml:space="preserve">likely capturing </w:t>
      </w:r>
      <w:r w:rsidR="007C3897" w:rsidRPr="64B93FBF">
        <w:rPr>
          <w:rFonts w:cs="Courier New"/>
        </w:rPr>
        <w:t xml:space="preserve">pool and spa gas heating. </w:t>
      </w:r>
      <w:r w:rsidR="0057322D" w:rsidRPr="64B93FBF">
        <w:rPr>
          <w:rFonts w:cs="Courier New"/>
        </w:rPr>
        <w:t xml:space="preserve">For all but Jacksonville, </w:t>
      </w:r>
      <w:r w:rsidR="007C3897" w:rsidRPr="64B93FBF">
        <w:rPr>
          <w:rFonts w:cs="Courier New"/>
        </w:rPr>
        <w:t>gas heating is relatively small with residential heating accounting for 2</w:t>
      </w:r>
      <w:r w:rsidR="0057322D" w:rsidRPr="64B93FBF">
        <w:rPr>
          <w:rFonts w:cs="Courier New"/>
        </w:rPr>
        <w:t>5</w:t>
      </w:r>
      <w:r w:rsidR="00A81010" w:rsidRPr="64B93FBF">
        <w:rPr>
          <w:rFonts w:cs="Courier New"/>
        </w:rPr>
        <w:t xml:space="preserve"> percent</w:t>
      </w:r>
      <w:r w:rsidR="007C3897" w:rsidRPr="64B93FBF">
        <w:rPr>
          <w:rFonts w:cs="Courier New"/>
        </w:rPr>
        <w:t xml:space="preserve"> to </w:t>
      </w:r>
      <w:r w:rsidR="0057322D" w:rsidRPr="64B93FBF">
        <w:rPr>
          <w:rFonts w:cs="Courier New"/>
        </w:rPr>
        <w:t>4</w:t>
      </w:r>
      <w:r w:rsidR="007C3897" w:rsidRPr="64B93FBF">
        <w:rPr>
          <w:rFonts w:cs="Courier New"/>
        </w:rPr>
        <w:t>0</w:t>
      </w:r>
      <w:r w:rsidR="00A81010" w:rsidRPr="64B93FBF">
        <w:rPr>
          <w:rFonts w:cs="Courier New"/>
        </w:rPr>
        <w:t xml:space="preserve"> percent</w:t>
      </w:r>
      <w:r w:rsidR="007C3897" w:rsidRPr="64B93FBF">
        <w:rPr>
          <w:rFonts w:cs="Courier New"/>
        </w:rPr>
        <w:t xml:space="preserve"> of gas use</w:t>
      </w:r>
      <w:r w:rsidR="0057322D" w:rsidRPr="64B93FBF">
        <w:rPr>
          <w:rFonts w:cs="Courier New"/>
        </w:rPr>
        <w:t xml:space="preserve"> across the </w:t>
      </w:r>
      <w:r w:rsidR="004B2A57" w:rsidRPr="64B93FBF">
        <w:rPr>
          <w:rFonts w:cs="Courier New"/>
        </w:rPr>
        <w:t>divisions</w:t>
      </w:r>
      <w:r w:rsidR="0057322D" w:rsidRPr="64B93FBF">
        <w:rPr>
          <w:rFonts w:cs="Courier New"/>
        </w:rPr>
        <w:t>. In comparison, residential customers in the South Atlantic Census Division use roughly 70</w:t>
      </w:r>
      <w:r w:rsidR="00A81010" w:rsidRPr="64B93FBF">
        <w:rPr>
          <w:rFonts w:cs="Courier New"/>
        </w:rPr>
        <w:t xml:space="preserve"> percent</w:t>
      </w:r>
      <w:r w:rsidR="0057322D" w:rsidRPr="64B93FBF">
        <w:rPr>
          <w:rFonts w:cs="Courier New"/>
        </w:rPr>
        <w:t xml:space="preserve"> of gas for space heating. Jacksonville </w:t>
      </w:r>
      <w:r w:rsidR="00C024B6" w:rsidRPr="64B93FBF">
        <w:rPr>
          <w:rFonts w:cs="Courier New"/>
        </w:rPr>
        <w:t xml:space="preserve">residential heating use </w:t>
      </w:r>
      <w:r w:rsidR="0057322D" w:rsidRPr="64B93FBF">
        <w:rPr>
          <w:rFonts w:cs="Courier New"/>
        </w:rPr>
        <w:t xml:space="preserve">is close to </w:t>
      </w:r>
      <w:r w:rsidR="00C024B6" w:rsidRPr="64B93FBF">
        <w:rPr>
          <w:rFonts w:cs="Courier New"/>
        </w:rPr>
        <w:t xml:space="preserve">that of </w:t>
      </w:r>
      <w:r w:rsidR="0057322D" w:rsidRPr="64B93FBF">
        <w:rPr>
          <w:rFonts w:cs="Courier New"/>
        </w:rPr>
        <w:t xml:space="preserve">the </w:t>
      </w:r>
      <w:r w:rsidR="00C024B6" w:rsidRPr="64B93FBF">
        <w:rPr>
          <w:rFonts w:cs="Courier New"/>
        </w:rPr>
        <w:t>C</w:t>
      </w:r>
      <w:r w:rsidR="0057322D" w:rsidRPr="64B93FBF">
        <w:rPr>
          <w:rFonts w:cs="Courier New"/>
        </w:rPr>
        <w:t>ensus Division</w:t>
      </w:r>
      <w:r w:rsidR="00C024B6" w:rsidRPr="64B93FBF">
        <w:rPr>
          <w:rFonts w:cs="Courier New"/>
        </w:rPr>
        <w:t xml:space="preserve">. </w:t>
      </w:r>
      <w:r w:rsidR="007C3897" w:rsidRPr="64B93FBF">
        <w:rPr>
          <w:rFonts w:cs="Courier New"/>
        </w:rPr>
        <w:t>In the commercial sector</w:t>
      </w:r>
      <w:r w:rsidR="0679FDF0" w:rsidRPr="64B93FBF">
        <w:rPr>
          <w:rFonts w:cs="Courier New"/>
        </w:rPr>
        <w:t>,</w:t>
      </w:r>
      <w:r w:rsidR="007C3897" w:rsidRPr="64B93FBF">
        <w:rPr>
          <w:rFonts w:cs="Courier New"/>
        </w:rPr>
        <w:t xml:space="preserve"> heating </w:t>
      </w:r>
      <w:r w:rsidR="00041528" w:rsidRPr="64B93FBF">
        <w:rPr>
          <w:rFonts w:cs="Courier New"/>
        </w:rPr>
        <w:t xml:space="preserve">use is relatively small accounting for 5 to 20 percent of gas use across the </w:t>
      </w:r>
      <w:r w:rsidR="00E86BA9" w:rsidRPr="64B93FBF">
        <w:rPr>
          <w:rFonts w:cs="Courier New"/>
        </w:rPr>
        <w:t>Divisions</w:t>
      </w:r>
      <w:r w:rsidR="00041528" w:rsidRPr="64B93FBF">
        <w:rPr>
          <w:rFonts w:cs="Courier New"/>
        </w:rPr>
        <w:t xml:space="preserve">.  In comparison, gas heating accounts for roughly a third of the South Atlantic Census Division commercial gas use. </w:t>
      </w:r>
    </w:p>
    <w:p w14:paraId="28CD8211" w14:textId="77777777" w:rsidR="000403EA" w:rsidRDefault="000403EA" w:rsidP="000403EA">
      <w:pPr>
        <w:widowControl w:val="0"/>
        <w:pBdr>
          <w:left w:val="single" w:sz="4" w:space="4" w:color="auto"/>
          <w:right w:val="single" w:sz="4" w:space="4" w:color="auto"/>
        </w:pBdr>
        <w:ind w:left="720" w:hanging="720"/>
        <w:jc w:val="both"/>
        <w:rPr>
          <w:rFonts w:cs="Courier New"/>
        </w:rPr>
      </w:pPr>
    </w:p>
    <w:p w14:paraId="509D95A6" w14:textId="63CED3FB" w:rsidR="000403EA" w:rsidRDefault="007C3897" w:rsidP="64B93FBF">
      <w:pPr>
        <w:widowControl w:val="0"/>
        <w:pBdr>
          <w:left w:val="single" w:sz="4" w:space="4" w:color="auto"/>
          <w:right w:val="single" w:sz="4" w:space="4" w:color="auto"/>
        </w:pBdr>
        <w:ind w:left="720" w:hanging="720"/>
        <w:jc w:val="both"/>
        <w:rPr>
          <w:rFonts w:cs="Courier New"/>
        </w:rPr>
      </w:pPr>
      <w:r>
        <w:rPr>
          <w:rFonts w:cs="Courier New"/>
        </w:rPr>
        <w:tab/>
      </w:r>
      <w:r w:rsidR="00C024B6">
        <w:rPr>
          <w:rFonts w:cs="Courier New"/>
        </w:rPr>
        <w:t>F</w:t>
      </w:r>
      <w:r>
        <w:rPr>
          <w:rFonts w:cs="Courier New"/>
        </w:rPr>
        <w:t>orecasted HDD</w:t>
      </w:r>
      <w:r w:rsidR="00DB0171">
        <w:rPr>
          <w:rFonts w:cs="Courier New"/>
        </w:rPr>
        <w:t>s</w:t>
      </w:r>
      <w:r>
        <w:rPr>
          <w:rFonts w:cs="Courier New"/>
        </w:rPr>
        <w:t xml:space="preserve"> are based on a </w:t>
      </w:r>
      <w:r w:rsidR="0057322D">
        <w:rPr>
          <w:rFonts w:cs="Courier New"/>
        </w:rPr>
        <w:t>2</w:t>
      </w:r>
      <w:r>
        <w:rPr>
          <w:rFonts w:cs="Courier New"/>
        </w:rPr>
        <w:t>0-year normal</w:t>
      </w:r>
      <w:r w:rsidR="003B5A28">
        <w:rPr>
          <w:rFonts w:cs="Courier New"/>
        </w:rPr>
        <w:t xml:space="preserve">. </w:t>
      </w:r>
      <w:r w:rsidR="0057322D">
        <w:rPr>
          <w:rFonts w:cs="Courier New"/>
        </w:rPr>
        <w:t>Normal HDD</w:t>
      </w:r>
      <w:r w:rsidR="00051F79">
        <w:rPr>
          <w:rFonts w:cs="Courier New"/>
        </w:rPr>
        <w:t>s</w:t>
      </w:r>
      <w:r w:rsidR="0057322D">
        <w:rPr>
          <w:rFonts w:cs="Courier New"/>
        </w:rPr>
        <w:t xml:space="preserve"> are </w:t>
      </w:r>
      <w:r w:rsidR="008E329B">
        <w:rPr>
          <w:rFonts w:cs="Courier New"/>
        </w:rPr>
        <w:t>calculated from</w:t>
      </w:r>
      <w:r>
        <w:rPr>
          <w:rFonts w:cs="Courier New"/>
        </w:rPr>
        <w:t xml:space="preserve"> daily </w:t>
      </w:r>
      <w:r w:rsidR="009D54C4">
        <w:rPr>
          <w:rFonts w:cs="Courier New"/>
        </w:rPr>
        <w:t xml:space="preserve">average </w:t>
      </w:r>
      <w:r>
        <w:rPr>
          <w:rFonts w:cs="Courier New"/>
        </w:rPr>
        <w:t xml:space="preserve">temperature data </w:t>
      </w:r>
      <w:r w:rsidR="00D06B89">
        <w:rPr>
          <w:rFonts w:cs="Courier New"/>
        </w:rPr>
        <w:t>from</w:t>
      </w:r>
      <w:r>
        <w:rPr>
          <w:rFonts w:cs="Courier New"/>
        </w:rPr>
        <w:t xml:space="preserve"> </w:t>
      </w:r>
      <w:r w:rsidR="00D06B89">
        <w:rPr>
          <w:rFonts w:cs="Courier New"/>
        </w:rPr>
        <w:t>January 1</w:t>
      </w:r>
      <w:r w:rsidR="00051F79">
        <w:rPr>
          <w:rFonts w:cs="Courier New"/>
        </w:rPr>
        <w:t>,</w:t>
      </w:r>
      <w:r w:rsidR="00D06B89">
        <w:rPr>
          <w:rFonts w:cs="Courier New"/>
        </w:rPr>
        <w:t xml:space="preserve"> </w:t>
      </w:r>
      <w:r w:rsidR="00051F79">
        <w:rPr>
          <w:rFonts w:cs="Courier New"/>
        </w:rPr>
        <w:t>2002,</w:t>
      </w:r>
      <w:r w:rsidR="00D06B89">
        <w:rPr>
          <w:rFonts w:cs="Courier New"/>
        </w:rPr>
        <w:t xml:space="preserve"> through December 31, 2021. </w:t>
      </w:r>
      <w:r w:rsidR="003B5A28">
        <w:rPr>
          <w:rFonts w:cs="Courier New"/>
        </w:rPr>
        <w:t xml:space="preserve">Daily </w:t>
      </w:r>
      <w:r w:rsidR="004E0DDC">
        <w:rPr>
          <w:rFonts w:cs="Courier New"/>
        </w:rPr>
        <w:t>average</w:t>
      </w:r>
      <w:r w:rsidR="003B5A28">
        <w:rPr>
          <w:rFonts w:cs="Courier New"/>
        </w:rPr>
        <w:t xml:space="preserve"> temperatures are first used to calculate daily HDD</w:t>
      </w:r>
      <w:r w:rsidR="008745D6">
        <w:rPr>
          <w:rFonts w:cs="Courier New"/>
        </w:rPr>
        <w:t>s</w:t>
      </w:r>
      <w:r w:rsidR="00255CF3">
        <w:rPr>
          <w:rFonts w:cs="Courier New"/>
        </w:rPr>
        <w:t>. Th</w:t>
      </w:r>
      <w:r w:rsidR="00FD67D0">
        <w:rPr>
          <w:rFonts w:cs="Courier New"/>
        </w:rPr>
        <w:t>e daily HDD</w:t>
      </w:r>
      <w:r w:rsidR="008745D6">
        <w:rPr>
          <w:rFonts w:cs="Courier New"/>
        </w:rPr>
        <w:t>s</w:t>
      </w:r>
      <w:r w:rsidR="004E08B7">
        <w:rPr>
          <w:rFonts w:cs="Courier New"/>
        </w:rPr>
        <w:t xml:space="preserve"> are then</w:t>
      </w:r>
      <w:r w:rsidR="00C024B6">
        <w:rPr>
          <w:rFonts w:cs="Courier New"/>
        </w:rPr>
        <w:t xml:space="preserve"> averag</w:t>
      </w:r>
      <w:r w:rsidR="004E08B7">
        <w:rPr>
          <w:rFonts w:cs="Courier New"/>
        </w:rPr>
        <w:t>ed</w:t>
      </w:r>
      <w:r w:rsidR="00C024B6">
        <w:rPr>
          <w:rFonts w:cs="Courier New"/>
        </w:rPr>
        <w:t xml:space="preserve"> </w:t>
      </w:r>
      <w:r w:rsidR="004E08B7">
        <w:rPr>
          <w:rFonts w:cs="Courier New"/>
        </w:rPr>
        <w:t xml:space="preserve">by date </w:t>
      </w:r>
      <w:r w:rsidR="00C024B6">
        <w:rPr>
          <w:rFonts w:cs="Courier New"/>
        </w:rPr>
        <w:t xml:space="preserve">– all the January </w:t>
      </w:r>
      <w:r w:rsidR="00051F79">
        <w:rPr>
          <w:rFonts w:cs="Courier New"/>
        </w:rPr>
        <w:t>1</w:t>
      </w:r>
      <w:r w:rsidR="00051F79" w:rsidRPr="00C024B6">
        <w:rPr>
          <w:rFonts w:cs="Courier New"/>
          <w:vertAlign w:val="superscript"/>
        </w:rPr>
        <w:t>st</w:t>
      </w:r>
      <w:r w:rsidR="00C024B6">
        <w:rPr>
          <w:rFonts w:cs="Courier New"/>
        </w:rPr>
        <w:t xml:space="preserve"> </w:t>
      </w:r>
      <w:r w:rsidR="004E08B7">
        <w:rPr>
          <w:rFonts w:cs="Courier New"/>
        </w:rPr>
        <w:t xml:space="preserve">HDD </w:t>
      </w:r>
      <w:r w:rsidR="00C024B6">
        <w:rPr>
          <w:rFonts w:cs="Courier New"/>
        </w:rPr>
        <w:t>are averaged, January 2</w:t>
      </w:r>
      <w:r w:rsidR="00C024B6" w:rsidRPr="00C024B6">
        <w:rPr>
          <w:rFonts w:cs="Courier New"/>
          <w:vertAlign w:val="superscript"/>
        </w:rPr>
        <w:t>nd</w:t>
      </w:r>
      <w:r w:rsidR="00C024B6">
        <w:rPr>
          <w:rFonts w:cs="Courier New"/>
          <w:vertAlign w:val="superscript"/>
        </w:rPr>
        <w:t xml:space="preserve"> </w:t>
      </w:r>
      <w:r w:rsidR="004E08B7">
        <w:rPr>
          <w:rFonts w:cs="Courier New"/>
        </w:rPr>
        <w:t>HDD a</w:t>
      </w:r>
      <w:r w:rsidR="00C024B6">
        <w:rPr>
          <w:rFonts w:cs="Courier New"/>
        </w:rPr>
        <w:t>re averaged</w:t>
      </w:r>
      <w:r w:rsidR="00051F79">
        <w:rPr>
          <w:rFonts w:cs="Courier New"/>
        </w:rPr>
        <w:t>,</w:t>
      </w:r>
      <w:r w:rsidR="05F14382">
        <w:rPr>
          <w:rFonts w:cs="Courier New"/>
        </w:rPr>
        <w:t xml:space="preserve"> etc., </w:t>
      </w:r>
      <w:r w:rsidR="00C024B6">
        <w:rPr>
          <w:rFonts w:cs="Courier New"/>
        </w:rPr>
        <w:t>through December 31</w:t>
      </w:r>
      <w:r w:rsidR="00C024B6" w:rsidRPr="00C024B6">
        <w:rPr>
          <w:rFonts w:cs="Courier New"/>
          <w:vertAlign w:val="superscript"/>
        </w:rPr>
        <w:t>st</w:t>
      </w:r>
      <w:r w:rsidR="00FD67D0">
        <w:rPr>
          <w:rFonts w:cs="Courier New"/>
        </w:rPr>
        <w:t xml:space="preserve"> across all twenty years.</w:t>
      </w:r>
      <w:r w:rsidR="00C024B6">
        <w:rPr>
          <w:rFonts w:cs="Courier New"/>
        </w:rPr>
        <w:t xml:space="preserve"> </w:t>
      </w:r>
      <w:r w:rsidR="00051F79">
        <w:rPr>
          <w:rFonts w:cs="Courier New"/>
        </w:rPr>
        <w:t>Actual and normal daily degree-days are then weighted based on the meter read schedule and summed across the billing month period</w:t>
      </w:r>
      <w:r w:rsidR="004E08B7">
        <w:rPr>
          <w:rFonts w:cs="Courier New"/>
        </w:rPr>
        <w:t xml:space="preserve">. This </w:t>
      </w:r>
      <w:r w:rsidR="003B5A28">
        <w:rPr>
          <w:rFonts w:cs="Courier New"/>
        </w:rPr>
        <w:t>result</w:t>
      </w:r>
      <w:r w:rsidR="004E08B7">
        <w:rPr>
          <w:rFonts w:cs="Courier New"/>
        </w:rPr>
        <w:t>s</w:t>
      </w:r>
      <w:r w:rsidR="003B5A28">
        <w:rPr>
          <w:rFonts w:cs="Courier New"/>
        </w:rPr>
        <w:t xml:space="preserve"> </w:t>
      </w:r>
      <w:r w:rsidR="00FC7A45">
        <w:rPr>
          <w:rFonts w:cs="Courier New"/>
        </w:rPr>
        <w:t xml:space="preserve">in </w:t>
      </w:r>
      <w:r w:rsidR="003B5A28">
        <w:rPr>
          <w:rFonts w:cs="Courier New"/>
        </w:rPr>
        <w:t>monthly cycle-weighted HDD</w:t>
      </w:r>
      <w:r w:rsidR="008745D6">
        <w:rPr>
          <w:rFonts w:cs="Courier New"/>
        </w:rPr>
        <w:t>s</w:t>
      </w:r>
      <w:r w:rsidR="003B5A28">
        <w:rPr>
          <w:rFonts w:cs="Courier New"/>
        </w:rPr>
        <w:t xml:space="preserve"> </w:t>
      </w:r>
      <w:r w:rsidR="004E08B7">
        <w:rPr>
          <w:rFonts w:cs="Courier New"/>
        </w:rPr>
        <w:t xml:space="preserve">that </w:t>
      </w:r>
      <w:r w:rsidR="003B5A28">
        <w:rPr>
          <w:rFonts w:cs="Courier New"/>
        </w:rPr>
        <w:t xml:space="preserve">are consistent with </w:t>
      </w:r>
      <w:r w:rsidR="00051F79">
        <w:rPr>
          <w:rFonts w:cs="Courier New"/>
        </w:rPr>
        <w:t xml:space="preserve">the </w:t>
      </w:r>
      <w:r w:rsidR="00051F79">
        <w:rPr>
          <w:rFonts w:cs="Courier New"/>
        </w:rPr>
        <w:lastRenderedPageBreak/>
        <w:t xml:space="preserve">monthly billed sales data. </w:t>
      </w:r>
    </w:p>
    <w:p w14:paraId="19798A06" w14:textId="0389167D" w:rsidR="00BD6564" w:rsidRDefault="00BD6564" w:rsidP="000403EA">
      <w:pPr>
        <w:widowControl w:val="0"/>
        <w:pBdr>
          <w:left w:val="single" w:sz="4" w:space="4" w:color="auto"/>
          <w:right w:val="single" w:sz="4" w:space="4" w:color="auto"/>
        </w:pBdr>
        <w:ind w:left="720" w:hanging="720"/>
        <w:jc w:val="both"/>
        <w:rPr>
          <w:rFonts w:cs="Courier New"/>
        </w:rPr>
      </w:pPr>
      <w:r w:rsidRPr="00C631BF">
        <w:rPr>
          <w:rFonts w:cs="Courier New"/>
          <w:b/>
          <w:bCs/>
        </w:rPr>
        <w:t>Q.</w:t>
      </w:r>
      <w:r>
        <w:rPr>
          <w:rFonts w:cs="Courier New"/>
        </w:rPr>
        <w:tab/>
      </w:r>
      <w:r w:rsidR="001871E6">
        <w:rPr>
          <w:rFonts w:cs="Courier New"/>
        </w:rPr>
        <w:t xml:space="preserve">What </w:t>
      </w:r>
      <w:r w:rsidR="00E86BA9">
        <w:rPr>
          <w:rFonts w:cs="Courier New"/>
        </w:rPr>
        <w:t>are the economic variables and source</w:t>
      </w:r>
      <w:r w:rsidR="009D18A9">
        <w:rPr>
          <w:rFonts w:cs="Courier New"/>
        </w:rPr>
        <w:t>s</w:t>
      </w:r>
      <w:r w:rsidR="00E86BA9">
        <w:rPr>
          <w:rFonts w:cs="Courier New"/>
        </w:rPr>
        <w:t xml:space="preserve"> used in constructing the average use model variables?</w:t>
      </w:r>
    </w:p>
    <w:p w14:paraId="6F0ED0BB" w14:textId="77777777" w:rsidR="00BD6564" w:rsidRDefault="00BD6564" w:rsidP="000403EA">
      <w:pPr>
        <w:widowControl w:val="0"/>
        <w:pBdr>
          <w:left w:val="single" w:sz="4" w:space="4" w:color="auto"/>
          <w:right w:val="single" w:sz="4" w:space="4" w:color="auto"/>
        </w:pBdr>
        <w:ind w:left="720" w:hanging="720"/>
        <w:jc w:val="both"/>
        <w:rPr>
          <w:rFonts w:cs="Courier New"/>
        </w:rPr>
      </w:pPr>
    </w:p>
    <w:p w14:paraId="0DE32F23" w14:textId="4BA69C88" w:rsidR="000403EA" w:rsidRDefault="00BD6564" w:rsidP="000403EA">
      <w:pPr>
        <w:widowControl w:val="0"/>
        <w:pBdr>
          <w:left w:val="single" w:sz="4" w:space="4" w:color="auto"/>
          <w:right w:val="single" w:sz="4" w:space="4" w:color="auto"/>
        </w:pBdr>
        <w:ind w:left="720" w:hanging="720"/>
        <w:jc w:val="both"/>
        <w:rPr>
          <w:rFonts w:cs="Courier New"/>
        </w:rPr>
      </w:pPr>
      <w:r w:rsidRPr="00C631BF">
        <w:rPr>
          <w:rFonts w:cs="Courier New"/>
          <w:b/>
          <w:bCs/>
        </w:rPr>
        <w:t>A.</w:t>
      </w:r>
      <w:r w:rsidR="000403EA">
        <w:rPr>
          <w:rFonts w:cs="Courier New"/>
        </w:rPr>
        <w:tab/>
      </w:r>
      <w:r w:rsidR="001F25B1">
        <w:rPr>
          <w:rFonts w:cs="Courier New"/>
        </w:rPr>
        <w:t xml:space="preserve">The economic variables </w:t>
      </w:r>
      <w:r w:rsidR="00E86BA9">
        <w:rPr>
          <w:rFonts w:cs="Courier New"/>
        </w:rPr>
        <w:t xml:space="preserve">incorporated into </w:t>
      </w:r>
      <w:r w:rsidR="001F25B1">
        <w:rPr>
          <w:rFonts w:cs="Courier New"/>
        </w:rPr>
        <w:t>the XHeat and XOther model variables are from Moody</w:t>
      </w:r>
      <w:r w:rsidR="247155BA">
        <w:rPr>
          <w:rFonts w:cs="Courier New"/>
        </w:rPr>
        <w:t>’s</w:t>
      </w:r>
      <w:r w:rsidR="001F25B1">
        <w:rPr>
          <w:rFonts w:cs="Courier New"/>
        </w:rPr>
        <w:t xml:space="preserve"> Analytics</w:t>
      </w:r>
      <w:r w:rsidR="29A3AFBB">
        <w:rPr>
          <w:rFonts w:cs="Courier New"/>
        </w:rPr>
        <w:t>’</w:t>
      </w:r>
      <w:r w:rsidR="001F25B1">
        <w:rPr>
          <w:rFonts w:cs="Courier New"/>
        </w:rPr>
        <w:t xml:space="preserve"> October 2022 state forecast. </w:t>
      </w:r>
      <w:r w:rsidR="001871E6">
        <w:rPr>
          <w:rFonts w:cs="Courier New"/>
        </w:rPr>
        <w:t>In the residential model this includes average household income and household size. In the commercial model</w:t>
      </w:r>
      <w:r w:rsidR="00E86BA9">
        <w:rPr>
          <w:rFonts w:cs="Courier New"/>
        </w:rPr>
        <w:t>,</w:t>
      </w:r>
      <w:r w:rsidR="001871E6">
        <w:rPr>
          <w:rFonts w:cs="Courier New"/>
        </w:rPr>
        <w:t xml:space="preserve"> the economic drivers include employment and economic output (gross state product). </w:t>
      </w:r>
      <w:r w:rsidR="001F25B1">
        <w:rPr>
          <w:rFonts w:cs="Courier New"/>
        </w:rPr>
        <w:t xml:space="preserve">Moody’s </w:t>
      </w:r>
      <w:r w:rsidR="00F336B6">
        <w:rPr>
          <w:rFonts w:cs="Courier New"/>
        </w:rPr>
        <w:t>Analytics</w:t>
      </w:r>
      <w:r w:rsidR="26FC9387">
        <w:rPr>
          <w:rFonts w:cs="Courier New"/>
        </w:rPr>
        <w:t>’</w:t>
      </w:r>
      <w:r w:rsidR="00F336B6">
        <w:rPr>
          <w:rFonts w:cs="Courier New"/>
        </w:rPr>
        <w:t xml:space="preserve"> </w:t>
      </w:r>
      <w:r w:rsidR="001F25B1">
        <w:rPr>
          <w:rFonts w:cs="Courier New"/>
        </w:rPr>
        <w:t>forecast is used in the average use models</w:t>
      </w:r>
      <w:r w:rsidR="00E47864">
        <w:rPr>
          <w:rFonts w:cs="Courier New"/>
        </w:rPr>
        <w:t>,</w:t>
      </w:r>
      <w:r w:rsidR="001A129F">
        <w:rPr>
          <w:rFonts w:cs="Courier New"/>
        </w:rPr>
        <w:t xml:space="preserve"> </w:t>
      </w:r>
      <w:r w:rsidR="00C86B27">
        <w:rPr>
          <w:rFonts w:cs="Courier New"/>
        </w:rPr>
        <w:t>rather than Woods &amp; Poole</w:t>
      </w:r>
      <w:r w:rsidR="00E47864">
        <w:rPr>
          <w:rFonts w:cs="Courier New"/>
        </w:rPr>
        <w:t>,</w:t>
      </w:r>
      <w:r w:rsidR="00C86B27">
        <w:rPr>
          <w:rFonts w:cs="Courier New"/>
        </w:rPr>
        <w:t xml:space="preserve"> </w:t>
      </w:r>
      <w:r w:rsidR="001A129F">
        <w:rPr>
          <w:rFonts w:cs="Courier New"/>
        </w:rPr>
        <w:t>as</w:t>
      </w:r>
      <w:r w:rsidR="001F25B1">
        <w:rPr>
          <w:rFonts w:cs="Courier New"/>
        </w:rPr>
        <w:t xml:space="preserve"> </w:t>
      </w:r>
      <w:r w:rsidR="001A129F">
        <w:rPr>
          <w:rFonts w:cs="Courier New"/>
        </w:rPr>
        <w:t>Moody</w:t>
      </w:r>
      <w:r w:rsidR="00F336B6">
        <w:rPr>
          <w:rFonts w:cs="Courier New"/>
        </w:rPr>
        <w:t>’s Analytics</w:t>
      </w:r>
      <w:r w:rsidR="001A129F">
        <w:rPr>
          <w:rFonts w:cs="Courier New"/>
        </w:rPr>
        <w:t xml:space="preserve"> provides forecasts at lower-level periodicity (quarterly vs.</w:t>
      </w:r>
      <w:r w:rsidR="00C86B27">
        <w:rPr>
          <w:rFonts w:cs="Courier New"/>
        </w:rPr>
        <w:t xml:space="preserve"> </w:t>
      </w:r>
      <w:r w:rsidR="001A129F">
        <w:rPr>
          <w:rFonts w:cs="Courier New"/>
        </w:rPr>
        <w:t>annual basis) and more frequently updates the forecast. The lower-level periodicity allows the model to better capture short-terms sales variation tied to economic activity.</w:t>
      </w:r>
      <w:r w:rsidR="000403EA">
        <w:rPr>
          <w:rFonts w:cs="Courier New"/>
        </w:rPr>
        <w:t xml:space="preserve"> </w:t>
      </w:r>
      <w:r w:rsidR="00C86B27">
        <w:rPr>
          <w:rFonts w:cs="Courier New"/>
        </w:rPr>
        <w:t>The advantage of the Woods &amp; Poole data is that it provides reasonably priced MSA level forecasts allowing us to better capture differences in customer growth</w:t>
      </w:r>
      <w:r w:rsidR="00B9134C">
        <w:rPr>
          <w:rFonts w:cs="Courier New"/>
        </w:rPr>
        <w:t xml:space="preserve"> a</w:t>
      </w:r>
      <w:r w:rsidR="00E86BA9">
        <w:rPr>
          <w:rFonts w:cs="Courier New"/>
        </w:rPr>
        <w:t>cross</w:t>
      </w:r>
      <w:r w:rsidR="00B9134C">
        <w:rPr>
          <w:rFonts w:cs="Courier New"/>
        </w:rPr>
        <w:t xml:space="preserve"> division</w:t>
      </w:r>
      <w:r w:rsidR="00E86BA9">
        <w:rPr>
          <w:rFonts w:cs="Courier New"/>
        </w:rPr>
        <w:t>s</w:t>
      </w:r>
      <w:r w:rsidR="00C86B27">
        <w:rPr>
          <w:rFonts w:cs="Courier New"/>
        </w:rPr>
        <w:t>.</w:t>
      </w:r>
    </w:p>
    <w:p w14:paraId="7B5C8184" w14:textId="77777777" w:rsidR="00BD6564" w:rsidRDefault="00BD6564" w:rsidP="000403EA">
      <w:pPr>
        <w:widowControl w:val="0"/>
        <w:pBdr>
          <w:left w:val="single" w:sz="4" w:space="4" w:color="auto"/>
          <w:right w:val="single" w:sz="4" w:space="4" w:color="auto"/>
        </w:pBdr>
        <w:ind w:left="720" w:hanging="720"/>
        <w:jc w:val="both"/>
        <w:rPr>
          <w:rFonts w:cs="Courier New"/>
        </w:rPr>
      </w:pPr>
    </w:p>
    <w:p w14:paraId="190DF832" w14:textId="01BAD211" w:rsidR="00BD6564" w:rsidRDefault="00BD6564" w:rsidP="000403EA">
      <w:pPr>
        <w:widowControl w:val="0"/>
        <w:pBdr>
          <w:left w:val="single" w:sz="4" w:space="4" w:color="auto"/>
          <w:right w:val="single" w:sz="4" w:space="4" w:color="auto"/>
        </w:pBdr>
        <w:ind w:left="720" w:hanging="720"/>
        <w:jc w:val="both"/>
        <w:rPr>
          <w:rFonts w:cs="Courier New"/>
        </w:rPr>
      </w:pPr>
      <w:r w:rsidRPr="00C566E0">
        <w:rPr>
          <w:rFonts w:cs="Courier New"/>
          <w:b/>
          <w:bCs/>
        </w:rPr>
        <w:t>Q.</w:t>
      </w:r>
      <w:r>
        <w:rPr>
          <w:rFonts w:cs="Courier New"/>
        </w:rPr>
        <w:tab/>
        <w:t xml:space="preserve">Do the average use models </w:t>
      </w:r>
      <w:r w:rsidR="00E47864">
        <w:rPr>
          <w:rFonts w:cs="Courier New"/>
        </w:rPr>
        <w:t>address</w:t>
      </w:r>
      <w:r>
        <w:rPr>
          <w:rFonts w:cs="Courier New"/>
        </w:rPr>
        <w:t xml:space="preserve"> the impacts of the COVID</w:t>
      </w:r>
      <w:r w:rsidR="00A56A07">
        <w:rPr>
          <w:rFonts w:cs="Courier New"/>
        </w:rPr>
        <w:t>-19</w:t>
      </w:r>
      <w:r>
        <w:rPr>
          <w:rFonts w:cs="Courier New"/>
        </w:rPr>
        <w:t xml:space="preserve"> pandemic?</w:t>
      </w:r>
    </w:p>
    <w:p w14:paraId="186EA80A" w14:textId="77777777" w:rsidR="000403EA" w:rsidRDefault="000403EA" w:rsidP="000403EA">
      <w:pPr>
        <w:widowControl w:val="0"/>
        <w:pBdr>
          <w:left w:val="single" w:sz="4" w:space="4" w:color="auto"/>
          <w:right w:val="single" w:sz="4" w:space="4" w:color="auto"/>
        </w:pBdr>
        <w:ind w:left="720" w:hanging="720"/>
        <w:jc w:val="both"/>
        <w:rPr>
          <w:rFonts w:cs="Courier New"/>
        </w:rPr>
      </w:pPr>
    </w:p>
    <w:p w14:paraId="3CC41A11" w14:textId="1F47F0DA" w:rsidR="000403EA" w:rsidRDefault="003E0F05" w:rsidP="00A81010">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C566E0">
        <w:rPr>
          <w:rFonts w:cs="Courier New"/>
          <w:b/>
          <w:bCs/>
        </w:rPr>
        <w:t>A.</w:t>
      </w:r>
      <w:r>
        <w:rPr>
          <w:rFonts w:cs="Courier New"/>
        </w:rPr>
        <w:tab/>
      </w:r>
      <w:r w:rsidR="00F937BD">
        <w:rPr>
          <w:rFonts w:cs="Courier New"/>
        </w:rPr>
        <w:t xml:space="preserve">Yes. </w:t>
      </w:r>
      <w:r w:rsidR="001A129F">
        <w:rPr>
          <w:rFonts w:cs="Courier New"/>
        </w:rPr>
        <w:t>Residential and commercial COVID</w:t>
      </w:r>
      <w:r w:rsidR="00A56A07">
        <w:rPr>
          <w:rFonts w:cs="Courier New"/>
        </w:rPr>
        <w:t xml:space="preserve">-19 </w:t>
      </w:r>
      <w:r w:rsidR="001A129F">
        <w:rPr>
          <w:rFonts w:cs="Courier New"/>
        </w:rPr>
        <w:t xml:space="preserve">impact variables are also </w:t>
      </w:r>
      <w:r w:rsidR="001A129F" w:rsidRPr="00A81010">
        <w:rPr>
          <w:rFonts w:cs="Courier New"/>
          <w:bCs/>
        </w:rPr>
        <w:t xml:space="preserve">included </w:t>
      </w:r>
      <w:r w:rsidR="00F336B6" w:rsidRPr="00A81010">
        <w:rPr>
          <w:rFonts w:cs="Courier New"/>
          <w:bCs/>
        </w:rPr>
        <w:t xml:space="preserve">in </w:t>
      </w:r>
      <w:r w:rsidR="001A129F" w:rsidRPr="00A81010">
        <w:rPr>
          <w:rFonts w:cs="Courier New"/>
          <w:bCs/>
        </w:rPr>
        <w:t>the average use models. The COVID</w:t>
      </w:r>
      <w:r w:rsidR="00A56A07">
        <w:rPr>
          <w:rFonts w:cs="Courier New"/>
          <w:bCs/>
        </w:rPr>
        <w:t>-19</w:t>
      </w:r>
      <w:r w:rsidR="001A129F" w:rsidRPr="00A81010">
        <w:rPr>
          <w:rFonts w:cs="Courier New"/>
          <w:bCs/>
        </w:rPr>
        <w:t xml:space="preserve"> </w:t>
      </w:r>
      <w:r w:rsidR="001A129F" w:rsidRPr="00A81010">
        <w:rPr>
          <w:rFonts w:cs="Courier New"/>
          <w:bCs/>
        </w:rPr>
        <w:lastRenderedPageBreak/>
        <w:t xml:space="preserve">variables are based on Google </w:t>
      </w:r>
      <w:r w:rsidR="005F4E3E">
        <w:rPr>
          <w:rFonts w:cs="Courier New"/>
          <w:bCs/>
        </w:rPr>
        <w:t>M</w:t>
      </w:r>
      <w:r w:rsidR="005F4E3E" w:rsidRPr="00A81010">
        <w:rPr>
          <w:rFonts w:cs="Courier New"/>
          <w:bCs/>
        </w:rPr>
        <w:t xml:space="preserve">obility </w:t>
      </w:r>
      <w:r w:rsidR="005F4E3E">
        <w:rPr>
          <w:rFonts w:cs="Courier New"/>
          <w:bCs/>
        </w:rPr>
        <w:t>D</w:t>
      </w:r>
      <w:r w:rsidR="001A129F" w:rsidRPr="00A81010">
        <w:rPr>
          <w:rFonts w:cs="Courier New"/>
          <w:bCs/>
        </w:rPr>
        <w:t>ata which measures activity around generalized locations includ</w:t>
      </w:r>
      <w:r w:rsidR="100CC2F9" w:rsidRPr="00A81010">
        <w:rPr>
          <w:rFonts w:cs="Courier New"/>
          <w:bCs/>
        </w:rPr>
        <w:t>ing</w:t>
      </w:r>
      <w:r w:rsidR="001A129F" w:rsidRPr="00A81010">
        <w:rPr>
          <w:rFonts w:cs="Courier New"/>
          <w:bCs/>
        </w:rPr>
        <w:t xml:space="preserve"> homes, workplace, and retail. The COVID</w:t>
      </w:r>
      <w:r w:rsidR="00A56A07">
        <w:rPr>
          <w:rFonts w:cs="Courier New"/>
          <w:bCs/>
        </w:rPr>
        <w:t>-19</w:t>
      </w:r>
      <w:r w:rsidR="001A129F" w:rsidRPr="00A81010">
        <w:rPr>
          <w:rFonts w:cs="Courier New"/>
          <w:bCs/>
        </w:rPr>
        <w:t xml:space="preserve"> model variables are statistically significant. For the forecast we assume that the COVID</w:t>
      </w:r>
      <w:r w:rsidR="00A56A07">
        <w:rPr>
          <w:rFonts w:cs="Courier New"/>
          <w:bCs/>
        </w:rPr>
        <w:t>-19</w:t>
      </w:r>
      <w:r w:rsidR="001A129F" w:rsidRPr="00A81010">
        <w:rPr>
          <w:rFonts w:cs="Courier New"/>
          <w:bCs/>
        </w:rPr>
        <w:t xml:space="preserve"> variables trend back to the March 2020 baseline.</w:t>
      </w:r>
      <w:r w:rsidR="000403EA" w:rsidRPr="00A81010">
        <w:rPr>
          <w:rFonts w:cs="Courier New"/>
          <w:bCs/>
        </w:rPr>
        <w:t xml:space="preserve"> </w:t>
      </w:r>
    </w:p>
    <w:p w14:paraId="2DF7A95B" w14:textId="139E7C73" w:rsidR="000409E0" w:rsidRPr="00A81010" w:rsidRDefault="000409E0" w:rsidP="00A81010">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p>
    <w:p w14:paraId="31790898" w14:textId="683D5174" w:rsidR="0000326D" w:rsidRDefault="00A81010" w:rsidP="7FCF1B85">
      <w:pPr>
        <w:pStyle w:val="Header"/>
        <w:widowControl w:val="0"/>
        <w:pBdr>
          <w:left w:val="single" w:sz="4" w:space="4" w:color="000000"/>
          <w:right w:val="single" w:sz="4" w:space="4" w:color="000000"/>
        </w:pBdr>
        <w:tabs>
          <w:tab w:val="clear" w:pos="4320"/>
          <w:tab w:val="clear" w:pos="8640"/>
          <w:tab w:val="left" w:pos="720"/>
        </w:tabs>
        <w:contextualSpacing/>
        <w:jc w:val="both"/>
        <w:rPr>
          <w:rFonts w:cs="Courier New"/>
        </w:rPr>
      </w:pPr>
      <w:r w:rsidRPr="00C566E0">
        <w:rPr>
          <w:rFonts w:cs="Courier New"/>
          <w:b/>
          <w:bCs/>
        </w:rPr>
        <w:t>Q.</w:t>
      </w:r>
      <w:r>
        <w:tab/>
      </w:r>
      <w:r w:rsidR="0000326D">
        <w:rPr>
          <w:rFonts w:cs="Courier New"/>
        </w:rPr>
        <w:t>How is the sales and customer forecast</w:t>
      </w:r>
      <w:r w:rsidR="00586C7A">
        <w:rPr>
          <w:rFonts w:cs="Courier New"/>
        </w:rPr>
        <w:t xml:space="preserve"> used?</w:t>
      </w:r>
    </w:p>
    <w:p w14:paraId="06E5EDDE" w14:textId="7B1C56C2" w:rsidR="00586C7A" w:rsidRDefault="00586C7A" w:rsidP="003822DA">
      <w:pPr>
        <w:widowControl w:val="0"/>
        <w:pBdr>
          <w:left w:val="single" w:sz="4" w:space="4" w:color="auto"/>
          <w:right w:val="single" w:sz="4" w:space="4" w:color="auto"/>
        </w:pBdr>
        <w:ind w:left="720" w:hanging="720"/>
        <w:jc w:val="both"/>
        <w:rPr>
          <w:rFonts w:cs="Courier New"/>
        </w:rPr>
      </w:pPr>
    </w:p>
    <w:p w14:paraId="093959D3" w14:textId="60C33D45" w:rsidR="00586C7A" w:rsidRPr="00586C7A" w:rsidRDefault="00A81010" w:rsidP="7FF5FE32">
      <w:pPr>
        <w:widowControl w:val="0"/>
        <w:pBdr>
          <w:left w:val="single" w:sz="4" w:space="4" w:color="auto"/>
          <w:right w:val="single" w:sz="4" w:space="4" w:color="auto"/>
        </w:pBdr>
        <w:ind w:left="720" w:hanging="720"/>
        <w:jc w:val="both"/>
        <w:rPr>
          <w:rFonts w:cs="Courier New"/>
        </w:rPr>
      </w:pPr>
      <w:r w:rsidRPr="00C566E0">
        <w:rPr>
          <w:rFonts w:cs="Courier New"/>
          <w:b/>
          <w:bCs/>
        </w:rPr>
        <w:t>A.</w:t>
      </w:r>
      <w:r>
        <w:tab/>
      </w:r>
      <w:r w:rsidR="00586C7A" w:rsidRPr="7FF5FE32">
        <w:rPr>
          <w:rFonts w:cs="Courier New"/>
        </w:rPr>
        <w:t xml:space="preserve">Residential and small commercial customer and sales forecasts are used in estimating the </w:t>
      </w:r>
      <w:r w:rsidR="00A4497B">
        <w:rPr>
          <w:rFonts w:cs="Courier New"/>
        </w:rPr>
        <w:t xml:space="preserve">Projected </w:t>
      </w:r>
      <w:r w:rsidR="00586C7A" w:rsidRPr="7FF5FE32">
        <w:rPr>
          <w:rFonts w:cs="Courier New"/>
        </w:rPr>
        <w:t xml:space="preserve">2024 </w:t>
      </w:r>
      <w:r w:rsidR="00A4497B">
        <w:rPr>
          <w:rFonts w:cs="Courier New"/>
        </w:rPr>
        <w:t>T</w:t>
      </w:r>
      <w:r w:rsidR="00586C7A" w:rsidRPr="7FF5FE32">
        <w:rPr>
          <w:rFonts w:cs="Courier New"/>
        </w:rPr>
        <w:t>est</w:t>
      </w:r>
      <w:r w:rsidR="00A4497B">
        <w:rPr>
          <w:rFonts w:cs="Courier New"/>
        </w:rPr>
        <w:t xml:space="preserve"> Y</w:t>
      </w:r>
      <w:r w:rsidR="00586C7A" w:rsidRPr="7FF5FE32">
        <w:rPr>
          <w:rFonts w:cs="Courier New"/>
        </w:rPr>
        <w:t>ear revenues at current rates. Residential sales and customers are allocated to three residential rate schedules and small commercial sales are allocated to four commercial rate schedules based on historical rate class shares of sales and customers. Rate-class level customer and sales forecast</w:t>
      </w:r>
      <w:r w:rsidR="008745D6">
        <w:rPr>
          <w:rFonts w:cs="Courier New"/>
        </w:rPr>
        <w:t>s</w:t>
      </w:r>
      <w:r w:rsidR="00586C7A" w:rsidRPr="7FF5FE32">
        <w:rPr>
          <w:rFonts w:cs="Courier New"/>
        </w:rPr>
        <w:t xml:space="preserve"> are then priced at current tariff levels. </w:t>
      </w:r>
      <w:r w:rsidR="00565B64">
        <w:rPr>
          <w:rFonts w:cs="Courier New"/>
        </w:rPr>
        <w:t xml:space="preserve"> </w:t>
      </w:r>
      <w:r w:rsidR="00586C7A" w:rsidRPr="7FF5FE32">
        <w:rPr>
          <w:rFonts w:cs="Courier New"/>
        </w:rPr>
        <w:t xml:space="preserve">A description of the base revenue forecast and revenue estimates are included in the </w:t>
      </w:r>
      <w:r w:rsidR="00E800B8">
        <w:rPr>
          <w:rFonts w:cs="Courier New"/>
        </w:rPr>
        <w:t xml:space="preserve">prepared </w:t>
      </w:r>
      <w:r w:rsidR="00A0266C">
        <w:rPr>
          <w:rFonts w:cs="Courier New"/>
        </w:rPr>
        <w:t>d</w:t>
      </w:r>
      <w:r w:rsidRPr="7FF5FE32">
        <w:rPr>
          <w:rFonts w:cs="Courier New"/>
        </w:rPr>
        <w:t xml:space="preserve">irect </w:t>
      </w:r>
      <w:r w:rsidR="00A0266C">
        <w:rPr>
          <w:rFonts w:cs="Courier New"/>
        </w:rPr>
        <w:t>t</w:t>
      </w:r>
      <w:r w:rsidR="00586C7A" w:rsidRPr="7FF5FE32">
        <w:rPr>
          <w:rFonts w:cs="Courier New"/>
        </w:rPr>
        <w:t xml:space="preserve">estimony of </w:t>
      </w:r>
      <w:r w:rsidRPr="7FF5FE32">
        <w:rPr>
          <w:rFonts w:cs="Courier New"/>
        </w:rPr>
        <w:t>Peoples</w:t>
      </w:r>
      <w:r w:rsidR="00A0266C">
        <w:rPr>
          <w:rFonts w:cs="Courier New"/>
        </w:rPr>
        <w:t xml:space="preserve">’ </w:t>
      </w:r>
      <w:r w:rsidRPr="7FF5FE32">
        <w:rPr>
          <w:rFonts w:cs="Courier New"/>
        </w:rPr>
        <w:t>w</w:t>
      </w:r>
      <w:r w:rsidR="00CD26EF" w:rsidRPr="7FF5FE32">
        <w:rPr>
          <w:rFonts w:cs="Courier New"/>
        </w:rPr>
        <w:t xml:space="preserve">itness </w:t>
      </w:r>
      <w:r w:rsidRPr="7FF5FE32">
        <w:rPr>
          <w:rFonts w:cs="Courier New"/>
        </w:rPr>
        <w:t xml:space="preserve">Rachel </w:t>
      </w:r>
      <w:r w:rsidR="00A0266C">
        <w:rPr>
          <w:rFonts w:cs="Courier New"/>
        </w:rPr>
        <w:t xml:space="preserve">B. </w:t>
      </w:r>
      <w:r w:rsidR="00CD26EF" w:rsidRPr="7FF5FE32">
        <w:rPr>
          <w:rFonts w:cs="Courier New"/>
        </w:rPr>
        <w:t>Parsons.</w:t>
      </w:r>
    </w:p>
    <w:p w14:paraId="5F476C75" w14:textId="451D1A06" w:rsidR="006C1D8A" w:rsidRPr="00B23997" w:rsidRDefault="007C5BF4" w:rsidP="003822DA">
      <w:pPr>
        <w:widowControl w:val="0"/>
        <w:pBdr>
          <w:left w:val="single" w:sz="4" w:space="4" w:color="auto"/>
          <w:right w:val="single" w:sz="4" w:space="4" w:color="auto"/>
        </w:pBdr>
        <w:ind w:left="720" w:hanging="720"/>
        <w:jc w:val="both"/>
        <w:rPr>
          <w:rFonts w:cs="Courier New"/>
        </w:rPr>
      </w:pPr>
      <w:r w:rsidRPr="007C5BF4">
        <w:rPr>
          <w:rFonts w:cs="Courier New"/>
          <w:b/>
          <w:bCs/>
        </w:rPr>
        <w:tab/>
      </w:r>
      <w:bookmarkStart w:id="1" w:name="_Hlk507488121"/>
    </w:p>
    <w:p w14:paraId="5218A1A4" w14:textId="437E551E" w:rsidR="008C291D" w:rsidRPr="00B23997" w:rsidRDefault="00AB5936" w:rsidP="00DB7D0E">
      <w:pPr>
        <w:pStyle w:val="Header"/>
        <w:widowControl w:val="0"/>
        <w:pBdr>
          <w:left w:val="single" w:sz="4" w:space="4" w:color="auto"/>
          <w:right w:val="single" w:sz="4" w:space="4" w:color="auto"/>
        </w:pBdr>
        <w:tabs>
          <w:tab w:val="clear" w:pos="4320"/>
          <w:tab w:val="clear" w:pos="8640"/>
          <w:tab w:val="left" w:pos="720"/>
        </w:tabs>
        <w:ind w:left="720" w:hanging="720"/>
        <w:contextualSpacing/>
        <w:rPr>
          <w:rFonts w:cs="Courier New"/>
          <w:b/>
        </w:rPr>
      </w:pPr>
      <w:r w:rsidRPr="00B23997">
        <w:rPr>
          <w:rFonts w:cs="Courier New"/>
          <w:b/>
        </w:rPr>
        <w:t>SUMMARY</w:t>
      </w:r>
      <w:bookmarkEnd w:id="1"/>
    </w:p>
    <w:p w14:paraId="15FDE1F4" w14:textId="5F0858AF" w:rsidR="004A08A5" w:rsidRPr="00B23997" w:rsidRDefault="00C566E0"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C566E0">
        <w:rPr>
          <w:rFonts w:cs="Courier New"/>
          <w:b/>
          <w:bCs/>
        </w:rPr>
        <w:t>Q.</w:t>
      </w:r>
      <w:r w:rsidR="00A81010" w:rsidRPr="00A81010">
        <w:rPr>
          <w:rFonts w:cs="Courier New"/>
          <w:b/>
          <w:bCs/>
        </w:rPr>
        <w:tab/>
      </w:r>
      <w:r w:rsidR="004A08A5" w:rsidRPr="00B23997">
        <w:rPr>
          <w:rFonts w:cs="Courier New"/>
        </w:rPr>
        <w:t xml:space="preserve">Please summarize your </w:t>
      </w:r>
      <w:r w:rsidR="000D79FB">
        <w:rPr>
          <w:rFonts w:cs="Courier New"/>
        </w:rPr>
        <w:t xml:space="preserve">prepared </w:t>
      </w:r>
      <w:r w:rsidR="004A08A5" w:rsidRPr="00B23997">
        <w:rPr>
          <w:rFonts w:cs="Courier New"/>
        </w:rPr>
        <w:t>direct testimony.</w:t>
      </w:r>
    </w:p>
    <w:p w14:paraId="47D20B28" w14:textId="77777777" w:rsidR="004A08A5" w:rsidRPr="00B23997" w:rsidRDefault="004A08A5"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3AE4D72F" w14:textId="59566384" w:rsidR="00AB3053" w:rsidRDefault="00A81010" w:rsidP="7FCF1B85">
      <w:pPr>
        <w:pStyle w:val="Header"/>
        <w:widowControl w:val="0"/>
        <w:pBdr>
          <w:left w:val="single" w:sz="4" w:space="4" w:color="000000"/>
          <w:right w:val="single" w:sz="4" w:space="4" w:color="000000"/>
        </w:pBdr>
        <w:tabs>
          <w:tab w:val="clear" w:pos="4320"/>
          <w:tab w:val="clear" w:pos="8640"/>
          <w:tab w:val="left" w:pos="720"/>
        </w:tabs>
        <w:ind w:left="720" w:hanging="720"/>
        <w:contextualSpacing/>
        <w:jc w:val="both"/>
        <w:rPr>
          <w:rFonts w:cs="Courier New"/>
          <w:bCs/>
        </w:rPr>
      </w:pPr>
      <w:r w:rsidRPr="00A81010">
        <w:rPr>
          <w:rFonts w:cs="Courier New"/>
          <w:b/>
          <w:bCs/>
        </w:rPr>
        <w:t>A.</w:t>
      </w:r>
      <w:r>
        <w:tab/>
      </w:r>
      <w:bookmarkStart w:id="2" w:name="_Hlk120967510"/>
      <w:r w:rsidR="00E6531F" w:rsidRPr="00E6531F">
        <w:rPr>
          <w:rFonts w:cs="Courier New"/>
          <w:bCs/>
        </w:rPr>
        <w:t>Given economic and population projections coupled with COVID</w:t>
      </w:r>
      <w:r w:rsidR="00A56A07">
        <w:rPr>
          <w:rFonts w:cs="Courier New"/>
          <w:bCs/>
        </w:rPr>
        <w:t>-19</w:t>
      </w:r>
      <w:r w:rsidR="00E6531F" w:rsidRPr="00E6531F">
        <w:rPr>
          <w:rFonts w:cs="Courier New"/>
          <w:bCs/>
        </w:rPr>
        <w:t xml:space="preserve"> recovery in the commercial sector</w:t>
      </w:r>
      <w:r w:rsidR="00D209E0">
        <w:rPr>
          <w:rFonts w:cs="Courier New"/>
          <w:bCs/>
        </w:rPr>
        <w:t>,</w:t>
      </w:r>
      <w:r w:rsidR="00E6531F" w:rsidRPr="00E6531F">
        <w:rPr>
          <w:rFonts w:cs="Courier New"/>
          <w:bCs/>
        </w:rPr>
        <w:t xml:space="preserve"> we expect to see </w:t>
      </w:r>
      <w:r w:rsidR="00E6531F" w:rsidRPr="00E6531F">
        <w:rPr>
          <w:rFonts w:cs="Courier New"/>
          <w:bCs/>
        </w:rPr>
        <w:lastRenderedPageBreak/>
        <w:t>continued strong growth in gas</w:t>
      </w:r>
      <w:r w:rsidR="00E6531F">
        <w:rPr>
          <w:rFonts w:cs="Courier New"/>
          <w:bCs/>
        </w:rPr>
        <w:t xml:space="preserve"> sales</w:t>
      </w:r>
      <w:r w:rsidR="00ED0D7C">
        <w:rPr>
          <w:rFonts w:cs="Courier New"/>
          <w:bCs/>
        </w:rPr>
        <w:t xml:space="preserve"> led by new gas customer connections</w:t>
      </w:r>
      <w:r w:rsidR="00E6531F" w:rsidRPr="00E6531F">
        <w:rPr>
          <w:rFonts w:cs="Courier New"/>
          <w:bCs/>
        </w:rPr>
        <w:t>.</w:t>
      </w:r>
      <w:r w:rsidR="00ED0D7C">
        <w:rPr>
          <w:rFonts w:cs="Courier New"/>
          <w:bCs/>
        </w:rPr>
        <w:t xml:space="preserve"> By 2024, P</w:t>
      </w:r>
      <w:r w:rsidR="003E312B">
        <w:rPr>
          <w:rFonts w:cs="Courier New"/>
          <w:bCs/>
        </w:rPr>
        <w:t xml:space="preserve">eoples </w:t>
      </w:r>
      <w:r w:rsidR="00AB3053">
        <w:rPr>
          <w:rFonts w:cs="Courier New"/>
          <w:bCs/>
        </w:rPr>
        <w:t xml:space="preserve">is </w:t>
      </w:r>
      <w:r w:rsidR="00ED0D7C">
        <w:rPr>
          <w:rFonts w:cs="Courier New"/>
          <w:bCs/>
        </w:rPr>
        <w:t xml:space="preserve">expected to add over </w:t>
      </w:r>
      <w:r w:rsidR="008745D6">
        <w:rPr>
          <w:rFonts w:cs="Courier New"/>
          <w:bCs/>
        </w:rPr>
        <w:t>31</w:t>
      </w:r>
      <w:r w:rsidR="00ED0D7C">
        <w:rPr>
          <w:rFonts w:cs="Courier New"/>
          <w:bCs/>
        </w:rPr>
        <w:t>,000 new residential customers and 1,300 commercial customers</w:t>
      </w:r>
      <w:r w:rsidR="2459BF95" w:rsidRPr="7FCF1B85">
        <w:rPr>
          <w:rFonts w:cs="Courier New"/>
        </w:rPr>
        <w:t xml:space="preserve"> over 2022</w:t>
      </w:r>
      <w:r w:rsidR="7530175D" w:rsidRPr="7FCF1B85">
        <w:rPr>
          <w:rFonts w:cs="Courier New"/>
        </w:rPr>
        <w:t>.</w:t>
      </w:r>
      <w:r w:rsidR="00E6531F">
        <w:rPr>
          <w:rFonts w:cs="Courier New"/>
          <w:bCs/>
        </w:rPr>
        <w:t xml:space="preserve"> </w:t>
      </w:r>
      <w:r w:rsidR="00ED0D7C">
        <w:rPr>
          <w:rFonts w:cs="Courier New"/>
          <w:bCs/>
        </w:rPr>
        <w:t xml:space="preserve">There is likely to be </w:t>
      </w:r>
      <w:r w:rsidR="00E6531F">
        <w:rPr>
          <w:rFonts w:cs="Courier New"/>
          <w:bCs/>
        </w:rPr>
        <w:t>near-term COVID</w:t>
      </w:r>
      <w:r w:rsidR="00A56A07">
        <w:rPr>
          <w:rFonts w:cs="Courier New"/>
          <w:bCs/>
        </w:rPr>
        <w:t>-19</w:t>
      </w:r>
      <w:r w:rsidR="00E6531F">
        <w:rPr>
          <w:rFonts w:cs="Courier New"/>
          <w:bCs/>
        </w:rPr>
        <w:t xml:space="preserve"> reset</w:t>
      </w:r>
      <w:r w:rsidR="00761317">
        <w:rPr>
          <w:rFonts w:cs="Courier New"/>
          <w:bCs/>
        </w:rPr>
        <w:t>s</w:t>
      </w:r>
      <w:r w:rsidR="00E6531F">
        <w:rPr>
          <w:rFonts w:cs="Courier New"/>
          <w:bCs/>
        </w:rPr>
        <w:t xml:space="preserve"> in both commercial (higher) and residential (lower) </w:t>
      </w:r>
      <w:r w:rsidR="00761317">
        <w:rPr>
          <w:rFonts w:cs="Courier New"/>
          <w:bCs/>
        </w:rPr>
        <w:t xml:space="preserve">use </w:t>
      </w:r>
      <w:r w:rsidR="00E6531F">
        <w:rPr>
          <w:rFonts w:cs="Courier New"/>
          <w:bCs/>
        </w:rPr>
        <w:t xml:space="preserve">as home and business activity </w:t>
      </w:r>
      <w:r w:rsidR="00E6531F" w:rsidRPr="0B425A98">
        <w:rPr>
          <w:rFonts w:cs="Courier New"/>
        </w:rPr>
        <w:t>recover</w:t>
      </w:r>
      <w:r w:rsidR="2734A2E5" w:rsidRPr="0B425A98">
        <w:rPr>
          <w:rFonts w:cs="Courier New"/>
        </w:rPr>
        <w:t>s</w:t>
      </w:r>
      <w:r w:rsidR="00E6531F">
        <w:rPr>
          <w:rFonts w:cs="Courier New"/>
          <w:bCs/>
        </w:rPr>
        <w:t xml:space="preserve"> from the pandemic. </w:t>
      </w:r>
      <w:r w:rsidR="00ED0D7C">
        <w:rPr>
          <w:rFonts w:cs="Courier New"/>
          <w:bCs/>
        </w:rPr>
        <w:t>Over the long</w:t>
      </w:r>
      <w:r w:rsidR="008745D6">
        <w:rPr>
          <w:rFonts w:cs="Courier New"/>
          <w:bCs/>
        </w:rPr>
        <w:t xml:space="preserve"> </w:t>
      </w:r>
      <w:r w:rsidR="00ED0D7C">
        <w:rPr>
          <w:rFonts w:cs="Courier New"/>
          <w:bCs/>
        </w:rPr>
        <w:t xml:space="preserve">term </w:t>
      </w:r>
      <w:r w:rsidR="00AB3053">
        <w:rPr>
          <w:rFonts w:cs="Courier New"/>
          <w:bCs/>
        </w:rPr>
        <w:t>residential average use will decline</w:t>
      </w:r>
      <w:r w:rsidR="005F4E3E">
        <w:rPr>
          <w:rFonts w:cs="Courier New"/>
          <w:bCs/>
        </w:rPr>
        <w:t>,</w:t>
      </w:r>
      <w:r w:rsidR="00AB3053">
        <w:rPr>
          <w:rFonts w:cs="Courier New"/>
          <w:bCs/>
        </w:rPr>
        <w:t xml:space="preserve"> and commercial average use will slow as improvements in end-use efficiency outweigh positive economic impact on usage. </w:t>
      </w:r>
      <w:r w:rsidR="00ED0D7C">
        <w:rPr>
          <w:rFonts w:cs="Courier New"/>
          <w:bCs/>
        </w:rPr>
        <w:t xml:space="preserve"> </w:t>
      </w:r>
      <w:bookmarkEnd w:id="2"/>
    </w:p>
    <w:p w14:paraId="3D380733" w14:textId="04A124B2" w:rsidR="305404A2" w:rsidRDefault="305404A2" w:rsidP="7FCF1B85">
      <w:pPr>
        <w:pStyle w:val="Header"/>
        <w:widowControl w:val="0"/>
        <w:pBdr>
          <w:left w:val="single" w:sz="4" w:space="4" w:color="000000"/>
          <w:right w:val="single" w:sz="4" w:space="4" w:color="000000"/>
        </w:pBdr>
        <w:tabs>
          <w:tab w:val="clear" w:pos="4320"/>
          <w:tab w:val="clear" w:pos="8640"/>
          <w:tab w:val="left" w:pos="720"/>
        </w:tabs>
        <w:ind w:left="720" w:hanging="720"/>
        <w:contextualSpacing/>
        <w:jc w:val="both"/>
        <w:rPr>
          <w:rFonts w:cs="Courier New"/>
        </w:rPr>
      </w:pPr>
    </w:p>
    <w:p w14:paraId="6E386855" w14:textId="7AC92189" w:rsidR="50A17414" w:rsidRDefault="50A17414" w:rsidP="7FCF1B85">
      <w:pPr>
        <w:pStyle w:val="Header"/>
        <w:widowControl w:val="0"/>
        <w:pBdr>
          <w:left w:val="single" w:sz="4" w:space="4" w:color="000000"/>
          <w:right w:val="single" w:sz="4" w:space="4" w:color="000000"/>
        </w:pBdr>
        <w:tabs>
          <w:tab w:val="clear" w:pos="4320"/>
          <w:tab w:val="clear" w:pos="8640"/>
          <w:tab w:val="left" w:pos="720"/>
        </w:tabs>
        <w:ind w:left="720" w:hanging="720"/>
        <w:contextualSpacing/>
        <w:jc w:val="both"/>
        <w:rPr>
          <w:rFonts w:cs="Courier New"/>
        </w:rPr>
      </w:pPr>
      <w:r w:rsidRPr="00DB7D0E">
        <w:rPr>
          <w:rFonts w:cs="Courier New"/>
          <w:b/>
          <w:bCs/>
        </w:rPr>
        <w:t xml:space="preserve">Q. </w:t>
      </w:r>
      <w:r w:rsidRPr="00DB7D0E">
        <w:rPr>
          <w:b/>
          <w:bCs/>
        </w:rPr>
        <w:tab/>
      </w:r>
      <w:r w:rsidRPr="7FCF1B85">
        <w:rPr>
          <w:rFonts w:cs="Courier New"/>
        </w:rPr>
        <w:t>Are Peoples’ forecasts of customers and therms by rate class for the projected test year ending December 31, 2024, appropriate?</w:t>
      </w:r>
    </w:p>
    <w:p w14:paraId="6FC518F7" w14:textId="77777777" w:rsidR="000D4A35" w:rsidRDefault="000D4A35" w:rsidP="7FCF1B85">
      <w:pPr>
        <w:pStyle w:val="Header"/>
        <w:widowControl w:val="0"/>
        <w:pBdr>
          <w:left w:val="single" w:sz="4" w:space="4" w:color="000000"/>
          <w:right w:val="single" w:sz="4" w:space="4" w:color="000000"/>
        </w:pBdr>
        <w:tabs>
          <w:tab w:val="clear" w:pos="4320"/>
          <w:tab w:val="clear" w:pos="8640"/>
          <w:tab w:val="left" w:pos="720"/>
        </w:tabs>
        <w:ind w:left="720" w:hanging="720"/>
        <w:contextualSpacing/>
        <w:jc w:val="both"/>
        <w:rPr>
          <w:rFonts w:cs="Courier New"/>
        </w:rPr>
      </w:pPr>
    </w:p>
    <w:p w14:paraId="25EB1EAB" w14:textId="7F170EE0" w:rsidR="001008B5" w:rsidRDefault="4508C8CD" w:rsidP="7FCF1B85">
      <w:pPr>
        <w:pStyle w:val="Header"/>
        <w:widowControl w:val="0"/>
        <w:pBdr>
          <w:left w:val="single" w:sz="4" w:space="4" w:color="000000"/>
          <w:right w:val="single" w:sz="4" w:space="4" w:color="000000"/>
        </w:pBdr>
        <w:tabs>
          <w:tab w:val="clear" w:pos="4320"/>
          <w:tab w:val="clear" w:pos="8640"/>
          <w:tab w:val="left" w:pos="720"/>
        </w:tabs>
        <w:ind w:left="720" w:hanging="720"/>
        <w:contextualSpacing/>
        <w:jc w:val="both"/>
        <w:rPr>
          <w:rFonts w:cs="Courier New"/>
        </w:rPr>
      </w:pPr>
      <w:r w:rsidRPr="00DB7D0E">
        <w:rPr>
          <w:rFonts w:cs="Courier New"/>
          <w:b/>
          <w:bCs/>
        </w:rPr>
        <w:t>A.</w:t>
      </w:r>
      <w:r w:rsidR="6E2DBDAE" w:rsidRPr="7FCF1B85">
        <w:rPr>
          <w:rFonts w:cs="Courier New"/>
        </w:rPr>
        <w:t xml:space="preserve"> </w:t>
      </w:r>
      <w:r w:rsidR="000D4A35">
        <w:rPr>
          <w:rFonts w:cs="Courier New"/>
        </w:rPr>
        <w:tab/>
      </w:r>
      <w:r w:rsidR="597CE6D8" w:rsidRPr="7FCF1B85">
        <w:rPr>
          <w:rFonts w:cs="Courier New"/>
        </w:rPr>
        <w:t>Yes.</w:t>
      </w:r>
      <w:r w:rsidR="7E7E5A4A">
        <w:rPr>
          <w:rFonts w:cs="Courier New"/>
        </w:rPr>
        <w:t xml:space="preserve"> </w:t>
      </w:r>
      <w:r w:rsidR="003822DA">
        <w:rPr>
          <w:rFonts w:cs="Courier New"/>
        </w:rPr>
        <w:t>The customer and SAE average use models are theoretically and statistically strong</w:t>
      </w:r>
      <w:r w:rsidR="001008B5">
        <w:rPr>
          <w:rFonts w:cs="Courier New"/>
        </w:rPr>
        <w:t xml:space="preserve"> as measured by </w:t>
      </w:r>
      <w:r w:rsidR="00761317">
        <w:rPr>
          <w:rFonts w:cs="Courier New"/>
        </w:rPr>
        <w:t xml:space="preserve">model </w:t>
      </w:r>
      <w:r w:rsidR="001008B5">
        <w:rPr>
          <w:rFonts w:cs="Courier New"/>
        </w:rPr>
        <w:t>coefficient and overall model fit statistics</w:t>
      </w:r>
      <w:r w:rsidR="00761317">
        <w:rPr>
          <w:rFonts w:cs="Courier New"/>
        </w:rPr>
        <w:t>; m</w:t>
      </w:r>
      <w:r w:rsidR="003822DA" w:rsidRPr="001008B5">
        <w:rPr>
          <w:rFonts w:cs="Courier New"/>
        </w:rPr>
        <w:t xml:space="preserve">odel </w:t>
      </w:r>
      <w:r w:rsidR="00E6531F" w:rsidRPr="001008B5">
        <w:rPr>
          <w:rFonts w:cs="Courier New"/>
        </w:rPr>
        <w:t xml:space="preserve">statistics and </w:t>
      </w:r>
      <w:r w:rsidR="003822DA" w:rsidRPr="001008B5">
        <w:rPr>
          <w:rFonts w:cs="Courier New"/>
        </w:rPr>
        <w:t>results</w:t>
      </w:r>
      <w:r w:rsidR="003822DA">
        <w:rPr>
          <w:rFonts w:cs="Courier New"/>
        </w:rPr>
        <w:t xml:space="preserve"> are included in the Itron </w:t>
      </w:r>
      <w:r w:rsidR="00F06627">
        <w:rPr>
          <w:rFonts w:cs="Courier New"/>
        </w:rPr>
        <w:t xml:space="preserve">Forecast </w:t>
      </w:r>
      <w:r w:rsidR="003822DA">
        <w:rPr>
          <w:rFonts w:cs="Courier New"/>
        </w:rPr>
        <w:t>Repor</w:t>
      </w:r>
      <w:r w:rsidR="00E6531F">
        <w:rPr>
          <w:rFonts w:cs="Courier New"/>
        </w:rPr>
        <w:t>t. Forecast drivers are developed from highly regarded sources including Moody</w:t>
      </w:r>
      <w:r w:rsidR="00761317">
        <w:rPr>
          <w:rFonts w:cs="Courier New"/>
        </w:rPr>
        <w:t>’s</w:t>
      </w:r>
      <w:r w:rsidR="00E6531F">
        <w:rPr>
          <w:rFonts w:cs="Courier New"/>
        </w:rPr>
        <w:t xml:space="preserve"> Analytics, Woods &amp; Poole, The Energy Information Agency, and Google</w:t>
      </w:r>
      <w:r w:rsidR="00A81E44">
        <w:rPr>
          <w:rFonts w:cs="Courier New"/>
        </w:rPr>
        <w:t xml:space="preserve"> Mobility Data</w:t>
      </w:r>
      <w:r w:rsidR="00E6531F">
        <w:rPr>
          <w:rFonts w:cs="Courier New"/>
        </w:rPr>
        <w:t xml:space="preserve">. </w:t>
      </w:r>
      <w:r w:rsidR="003822DA">
        <w:rPr>
          <w:rFonts w:cs="Courier New"/>
        </w:rPr>
        <w:t xml:space="preserve"> </w:t>
      </w:r>
    </w:p>
    <w:p w14:paraId="4279C3C1" w14:textId="77777777" w:rsidR="001008B5" w:rsidRDefault="001008B5" w:rsidP="00ED0D7C">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325711C6" w14:textId="4A01183A" w:rsidR="006F129E" w:rsidRDefault="00DB7D0E" w:rsidP="32FF9DA3">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bookmarkStart w:id="3" w:name="_Hlk120972810"/>
      <w:bookmarkStart w:id="4" w:name="_Hlk120972878"/>
      <w:bookmarkStart w:id="5" w:name="_Hlk120972776"/>
      <w:r>
        <w:rPr>
          <w:rFonts w:cs="Courier New"/>
        </w:rPr>
        <w:tab/>
      </w:r>
      <w:r w:rsidR="00A86E51">
        <w:rPr>
          <w:rFonts w:cs="Courier New"/>
        </w:rPr>
        <w:t xml:space="preserve">The SAE model is </w:t>
      </w:r>
      <w:r w:rsidR="001008B5">
        <w:rPr>
          <w:rFonts w:cs="Courier New"/>
        </w:rPr>
        <w:t>based on an end-use modeling framework that has been adopted by numerous utilities in the U.S. and Canada for both electric and gas demand forecasting.</w:t>
      </w:r>
      <w:r w:rsidR="00C712C9">
        <w:rPr>
          <w:rFonts w:cs="Courier New"/>
        </w:rPr>
        <w:t xml:space="preserve"> SAE models have </w:t>
      </w:r>
      <w:r w:rsidR="00C712C9">
        <w:rPr>
          <w:rFonts w:cs="Courier New"/>
        </w:rPr>
        <w:lastRenderedPageBreak/>
        <w:t>been used and accepted by state regulatory commission</w:t>
      </w:r>
      <w:r w:rsidR="008B0923">
        <w:rPr>
          <w:rFonts w:cs="Courier New"/>
        </w:rPr>
        <w:t>s</w:t>
      </w:r>
      <w:r w:rsidR="00C712C9">
        <w:rPr>
          <w:rFonts w:cs="Courier New"/>
        </w:rPr>
        <w:t xml:space="preserve"> across the country in support of both rate cases and Integrated Resource Plans</w:t>
      </w:r>
      <w:r w:rsidR="00555B36">
        <w:rPr>
          <w:rFonts w:cs="Courier New"/>
        </w:rPr>
        <w:t>.</w:t>
      </w:r>
      <w:r w:rsidR="00C55DC6">
        <w:rPr>
          <w:rFonts w:cs="Courier New"/>
        </w:rPr>
        <w:t xml:space="preserve"> </w:t>
      </w:r>
      <w:r w:rsidR="006F129E">
        <w:rPr>
          <w:rFonts w:cs="Courier New"/>
        </w:rPr>
        <w:t xml:space="preserve">In Florida, the SAE modeling </w:t>
      </w:r>
      <w:r w:rsidR="00C55DC6">
        <w:rPr>
          <w:rFonts w:cs="Courier New"/>
        </w:rPr>
        <w:t>approach</w:t>
      </w:r>
      <w:r w:rsidR="006F129E">
        <w:rPr>
          <w:rFonts w:cs="Courier New"/>
        </w:rPr>
        <w:t xml:space="preserve"> is used by Tampa Electric</w:t>
      </w:r>
      <w:r w:rsidR="00F06627">
        <w:rPr>
          <w:rFonts w:cs="Courier New"/>
        </w:rPr>
        <w:t xml:space="preserve"> Company</w:t>
      </w:r>
      <w:r w:rsidR="006F129E">
        <w:rPr>
          <w:rFonts w:cs="Courier New"/>
        </w:rPr>
        <w:t>, Duke Energy, Orlando Utilities Commission, and Lakeland Electric</w:t>
      </w:r>
      <w:r w:rsidR="592EF4C1">
        <w:rPr>
          <w:rFonts w:cs="Courier New"/>
        </w:rPr>
        <w:t xml:space="preserve"> and has been accepted by the Florida </w:t>
      </w:r>
      <w:r w:rsidR="00F06627">
        <w:rPr>
          <w:rFonts w:cs="Courier New"/>
        </w:rPr>
        <w:t>Public Service</w:t>
      </w:r>
      <w:r w:rsidR="592EF4C1">
        <w:rPr>
          <w:rFonts w:cs="Courier New"/>
        </w:rPr>
        <w:t xml:space="preserve"> Commission in both resource-related and rate case filings</w:t>
      </w:r>
      <w:r w:rsidR="006F129E">
        <w:rPr>
          <w:rFonts w:cs="Courier New"/>
        </w:rPr>
        <w:t xml:space="preserve">. </w:t>
      </w:r>
    </w:p>
    <w:p w14:paraId="38686A42" w14:textId="77777777" w:rsidR="006F129E" w:rsidRDefault="006F129E" w:rsidP="503B4DD9">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7970C6EC" w14:textId="44AA6C95" w:rsidR="00C712C9" w:rsidRDefault="00DB7D0E" w:rsidP="503B4DD9">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r>
      <w:r w:rsidR="00A86E51">
        <w:rPr>
          <w:rFonts w:cs="Courier New"/>
        </w:rPr>
        <w:t xml:space="preserve">The </w:t>
      </w:r>
      <w:r w:rsidR="00C712C9">
        <w:rPr>
          <w:rFonts w:cs="Courier New"/>
        </w:rPr>
        <w:t xml:space="preserve">strength of the SAE model is that </w:t>
      </w:r>
      <w:r w:rsidR="00D209E0">
        <w:rPr>
          <w:rFonts w:cs="Courier New"/>
        </w:rPr>
        <w:t>it</w:t>
      </w:r>
      <w:r w:rsidR="00C712C9">
        <w:rPr>
          <w:rFonts w:cs="Courier New"/>
        </w:rPr>
        <w:t xml:space="preserve"> captures both long-term structural trends</w:t>
      </w:r>
      <w:r w:rsidR="00761317">
        <w:rPr>
          <w:rFonts w:cs="Courier New"/>
        </w:rPr>
        <w:t xml:space="preserve"> (</w:t>
      </w:r>
      <w:r w:rsidR="008B0923">
        <w:rPr>
          <w:rFonts w:cs="Courier New"/>
        </w:rPr>
        <w:t xml:space="preserve">e.g., </w:t>
      </w:r>
      <w:r w:rsidR="00761317">
        <w:rPr>
          <w:rFonts w:cs="Courier New"/>
        </w:rPr>
        <w:t>end-use saturation and efficiency trends)</w:t>
      </w:r>
      <w:r w:rsidR="00C712C9">
        <w:rPr>
          <w:rFonts w:cs="Courier New"/>
        </w:rPr>
        <w:t xml:space="preserve"> </w:t>
      </w:r>
      <w:r w:rsidR="00A86E51">
        <w:rPr>
          <w:rFonts w:cs="Courier New"/>
        </w:rPr>
        <w:t xml:space="preserve">as well as the impact </w:t>
      </w:r>
      <w:r w:rsidR="00C712C9">
        <w:rPr>
          <w:rFonts w:cs="Courier New"/>
        </w:rPr>
        <w:t xml:space="preserve">and interaction </w:t>
      </w:r>
      <w:r w:rsidR="00A86E51">
        <w:rPr>
          <w:rFonts w:cs="Courier New"/>
        </w:rPr>
        <w:t>of weather</w:t>
      </w:r>
      <w:r w:rsidR="00C712C9">
        <w:rPr>
          <w:rFonts w:cs="Courier New"/>
        </w:rPr>
        <w:t xml:space="preserve"> conditions</w:t>
      </w:r>
      <w:r w:rsidR="00A86E51">
        <w:rPr>
          <w:rFonts w:cs="Courier New"/>
        </w:rPr>
        <w:t xml:space="preserve">, </w:t>
      </w:r>
      <w:r w:rsidR="00761317">
        <w:rPr>
          <w:rFonts w:cs="Courier New"/>
        </w:rPr>
        <w:t xml:space="preserve">number of </w:t>
      </w:r>
      <w:r w:rsidR="0F95A865">
        <w:rPr>
          <w:rFonts w:cs="Courier New"/>
        </w:rPr>
        <w:t xml:space="preserve">billing </w:t>
      </w:r>
      <w:r w:rsidR="00761317">
        <w:rPr>
          <w:rFonts w:cs="Courier New"/>
        </w:rPr>
        <w:t xml:space="preserve">days, </w:t>
      </w:r>
      <w:r w:rsidR="00A86E51">
        <w:rPr>
          <w:rFonts w:cs="Courier New"/>
        </w:rPr>
        <w:t xml:space="preserve">price, </w:t>
      </w:r>
      <w:r w:rsidR="00C712C9">
        <w:rPr>
          <w:rFonts w:cs="Courier New"/>
        </w:rPr>
        <w:t>household size, and economic activity</w:t>
      </w:r>
      <w:r w:rsidR="00A86E51">
        <w:rPr>
          <w:rFonts w:cs="Courier New"/>
        </w:rPr>
        <w:t>. Itron has been support</w:t>
      </w:r>
      <w:r w:rsidR="00D209E0">
        <w:rPr>
          <w:rFonts w:cs="Courier New"/>
        </w:rPr>
        <w:t>ing</w:t>
      </w:r>
      <w:r w:rsidR="00A86E51">
        <w:rPr>
          <w:rFonts w:cs="Courier New"/>
        </w:rPr>
        <w:t xml:space="preserve"> the SAE models for over 2</w:t>
      </w:r>
      <w:r w:rsidR="00B66136">
        <w:rPr>
          <w:rFonts w:cs="Courier New"/>
        </w:rPr>
        <w:t>5</w:t>
      </w:r>
      <w:r w:rsidR="00A86E51">
        <w:rPr>
          <w:rFonts w:cs="Courier New"/>
        </w:rPr>
        <w:t xml:space="preserve"> years</w:t>
      </w:r>
      <w:r w:rsidR="00B66136">
        <w:rPr>
          <w:rFonts w:cs="Courier New"/>
        </w:rPr>
        <w:t xml:space="preserve"> through Itron’s Energy Forecasting Group, model training, presentations, and participation in regulatory hearings.</w:t>
      </w:r>
      <w:r w:rsidR="00A86E51">
        <w:rPr>
          <w:rFonts w:cs="Courier New"/>
        </w:rPr>
        <w:t xml:space="preserve"> </w:t>
      </w:r>
    </w:p>
    <w:p w14:paraId="3CC8057A" w14:textId="77777777" w:rsidR="000D4A35" w:rsidRDefault="000D4A35" w:rsidP="503B4DD9">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bookmarkEnd w:id="3"/>
    <w:bookmarkEnd w:id="4"/>
    <w:p w14:paraId="6002DC3D" w14:textId="209C74CA" w:rsidR="004A08A5" w:rsidRDefault="00DB7D0E" w:rsidP="64B93FBF">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r>
      <w:r w:rsidR="00ED0D7C" w:rsidRPr="64B93FBF">
        <w:rPr>
          <w:rFonts w:cs="Courier New"/>
        </w:rPr>
        <w:t xml:space="preserve">The </w:t>
      </w:r>
      <w:r w:rsidR="00B66136" w:rsidRPr="64B93FBF">
        <w:rPr>
          <w:rFonts w:cs="Courier New"/>
        </w:rPr>
        <w:t>SAE average use models</w:t>
      </w:r>
      <w:r w:rsidR="006F5E61" w:rsidRPr="64B93FBF">
        <w:rPr>
          <w:rFonts w:cs="Courier New"/>
        </w:rPr>
        <w:t>,</w:t>
      </w:r>
      <w:r w:rsidR="00B66136" w:rsidRPr="64B93FBF">
        <w:rPr>
          <w:rFonts w:cs="Courier New"/>
        </w:rPr>
        <w:t xml:space="preserve"> coupled with customer models based on regional household and employment projections</w:t>
      </w:r>
      <w:r w:rsidR="006F5E61" w:rsidRPr="64B93FBF">
        <w:rPr>
          <w:rFonts w:cs="Courier New"/>
        </w:rPr>
        <w:t>,</w:t>
      </w:r>
      <w:r w:rsidR="00B66136" w:rsidRPr="64B93FBF">
        <w:rPr>
          <w:rFonts w:cs="Courier New"/>
        </w:rPr>
        <w:t xml:space="preserve"> results in </w:t>
      </w:r>
      <w:r w:rsidR="00A4497B">
        <w:rPr>
          <w:rFonts w:cs="Courier New"/>
        </w:rPr>
        <w:t xml:space="preserve">Projected </w:t>
      </w:r>
      <w:r w:rsidR="00B66136" w:rsidRPr="64B93FBF">
        <w:rPr>
          <w:rFonts w:cs="Courier New"/>
        </w:rPr>
        <w:t xml:space="preserve">2024 </w:t>
      </w:r>
      <w:r w:rsidR="00ED0D7C" w:rsidRPr="64B93FBF">
        <w:rPr>
          <w:rFonts w:cs="Courier New"/>
        </w:rPr>
        <w:t>Test</w:t>
      </w:r>
      <w:r w:rsidR="00A4497B">
        <w:rPr>
          <w:rFonts w:cs="Courier New"/>
        </w:rPr>
        <w:t xml:space="preserve"> </w:t>
      </w:r>
      <w:r w:rsidR="00D209E0" w:rsidRPr="64B93FBF">
        <w:rPr>
          <w:rFonts w:cs="Courier New"/>
        </w:rPr>
        <w:t>Y</w:t>
      </w:r>
      <w:r w:rsidR="00ED0D7C" w:rsidRPr="64B93FBF">
        <w:rPr>
          <w:rFonts w:cs="Courier New"/>
        </w:rPr>
        <w:t xml:space="preserve">ear </w:t>
      </w:r>
      <w:r w:rsidR="00D209E0" w:rsidRPr="64B93FBF">
        <w:rPr>
          <w:rFonts w:cs="Courier New"/>
        </w:rPr>
        <w:t>sales</w:t>
      </w:r>
      <w:r w:rsidR="00B66136" w:rsidRPr="64B93FBF">
        <w:rPr>
          <w:rFonts w:cs="Courier New"/>
        </w:rPr>
        <w:t xml:space="preserve"> that </w:t>
      </w:r>
      <w:r w:rsidR="00D209E0" w:rsidRPr="64B93FBF">
        <w:rPr>
          <w:rFonts w:cs="Courier New"/>
        </w:rPr>
        <w:t>are</w:t>
      </w:r>
      <w:r w:rsidR="00B66136" w:rsidRPr="64B93FBF">
        <w:rPr>
          <w:rFonts w:cs="Courier New"/>
        </w:rPr>
        <w:t xml:space="preserve"> reasonable and consistent with historical customer and usage trends. </w:t>
      </w:r>
    </w:p>
    <w:bookmarkEnd w:id="5"/>
    <w:p w14:paraId="68C800C6" w14:textId="77777777" w:rsidR="000D79FB" w:rsidRPr="00B23997" w:rsidRDefault="000D79FB"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5BD2AC5B" w14:textId="3EB960E3" w:rsidR="004A08A5" w:rsidRPr="00B23997" w:rsidRDefault="00A81010"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A81010">
        <w:rPr>
          <w:rFonts w:cs="Courier New"/>
          <w:b/>
          <w:bCs/>
        </w:rPr>
        <w:t>Q.</w:t>
      </w:r>
      <w:r w:rsidRPr="00A81010">
        <w:rPr>
          <w:rFonts w:cs="Courier New"/>
          <w:b/>
          <w:bCs/>
        </w:rPr>
        <w:tab/>
      </w:r>
      <w:r w:rsidR="004A08A5" w:rsidRPr="00B23997">
        <w:rPr>
          <w:rFonts w:cs="Courier New"/>
        </w:rPr>
        <w:t xml:space="preserve">Does this conclude your </w:t>
      </w:r>
      <w:r w:rsidR="000D79FB">
        <w:rPr>
          <w:rFonts w:cs="Courier New"/>
        </w:rPr>
        <w:t xml:space="preserve">prepared </w:t>
      </w:r>
      <w:r w:rsidR="004A08A5" w:rsidRPr="00B23997">
        <w:rPr>
          <w:rFonts w:cs="Courier New"/>
        </w:rPr>
        <w:t>direct testimony?</w:t>
      </w:r>
    </w:p>
    <w:p w14:paraId="3C2B05A3" w14:textId="77777777" w:rsidR="004A08A5" w:rsidRPr="00B23997" w:rsidRDefault="004A08A5"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582FF811" w14:textId="793B8ADD" w:rsidR="00AB5936" w:rsidRPr="00F06627" w:rsidRDefault="00A81010" w:rsidP="00F0662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A81010">
        <w:rPr>
          <w:rFonts w:cs="Courier New"/>
          <w:b/>
          <w:bCs/>
        </w:rPr>
        <w:t>A.</w:t>
      </w:r>
      <w:r w:rsidRPr="00A81010">
        <w:rPr>
          <w:rFonts w:cs="Courier New"/>
          <w:b/>
          <w:bCs/>
        </w:rPr>
        <w:tab/>
      </w:r>
      <w:r w:rsidR="004A08A5" w:rsidRPr="00B23997">
        <w:rPr>
          <w:rFonts w:cs="Courier New"/>
        </w:rPr>
        <w:t>Yes.</w:t>
      </w:r>
    </w:p>
    <w:p w14:paraId="39B018E0" w14:textId="77777777" w:rsidR="007863B2" w:rsidRPr="00B23997" w:rsidRDefault="007863B2" w:rsidP="007863B2">
      <w:pPr>
        <w:widowControl w:val="0"/>
        <w:rPr>
          <w:rFonts w:cs="Courier New"/>
          <w:b/>
          <w:sz w:val="28"/>
        </w:rPr>
        <w:sectPr w:rsidR="007863B2" w:rsidRPr="00B23997" w:rsidSect="00F837A4">
          <w:headerReference w:type="first" r:id="rId20"/>
          <w:footerReference w:type="first" r:id="rId21"/>
          <w:pgSz w:w="12240" w:h="15840" w:code="1"/>
          <w:pgMar w:top="1440" w:right="720" w:bottom="810" w:left="2160" w:header="720" w:footer="720" w:gutter="0"/>
          <w:paperSrc w:first="7" w:other="7"/>
          <w:lnNumType w:countBy="1"/>
          <w:pgNumType w:start="1"/>
          <w:cols w:space="720"/>
          <w:titlePg/>
        </w:sectPr>
      </w:pPr>
    </w:p>
    <w:p w14:paraId="0F2ECE38" w14:textId="77777777" w:rsidR="00FF5AF5" w:rsidRPr="00B23997" w:rsidRDefault="00FF5AF5" w:rsidP="00B23997">
      <w:pPr>
        <w:widowControl w:val="0"/>
        <w:ind w:left="-720"/>
        <w:jc w:val="center"/>
        <w:rPr>
          <w:rFonts w:cs="Courier New"/>
          <w:b/>
          <w:sz w:val="28"/>
        </w:rPr>
      </w:pPr>
      <w:r w:rsidRPr="00B23997">
        <w:rPr>
          <w:rFonts w:cs="Courier New"/>
          <w:b/>
          <w:sz w:val="28"/>
        </w:rPr>
        <w:lastRenderedPageBreak/>
        <w:t>EXHIBIT</w:t>
      </w:r>
    </w:p>
    <w:p w14:paraId="11A9FE9B" w14:textId="77777777" w:rsidR="00FF5AF5" w:rsidRPr="00B23997" w:rsidRDefault="00FF5AF5" w:rsidP="00B23997">
      <w:pPr>
        <w:widowControl w:val="0"/>
        <w:ind w:left="-720"/>
        <w:jc w:val="center"/>
        <w:rPr>
          <w:rFonts w:cs="Courier New"/>
          <w:b/>
          <w:sz w:val="28"/>
        </w:rPr>
      </w:pPr>
    </w:p>
    <w:p w14:paraId="419945FE"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301EF844" w14:textId="77777777" w:rsidR="00FF5AF5" w:rsidRPr="00B23997" w:rsidRDefault="00FF5AF5" w:rsidP="00B23997">
      <w:pPr>
        <w:widowControl w:val="0"/>
        <w:ind w:left="-720"/>
        <w:jc w:val="center"/>
        <w:rPr>
          <w:rFonts w:cs="Courier New"/>
          <w:b/>
          <w:sz w:val="28"/>
        </w:rPr>
      </w:pPr>
    </w:p>
    <w:p w14:paraId="2F271E1F" w14:textId="38D9CF32" w:rsidR="003967B6" w:rsidRPr="00B23997" w:rsidRDefault="00660753" w:rsidP="00B23997">
      <w:pPr>
        <w:widowControl w:val="0"/>
        <w:ind w:left="-720"/>
        <w:jc w:val="center"/>
        <w:rPr>
          <w:rFonts w:cs="Courier New"/>
          <w:b/>
          <w:sz w:val="28"/>
        </w:rPr>
      </w:pPr>
      <w:r>
        <w:rPr>
          <w:rFonts w:cs="Courier New"/>
          <w:b/>
          <w:sz w:val="28"/>
        </w:rPr>
        <w:t xml:space="preserve">ERIC FOX </w:t>
      </w:r>
    </w:p>
    <w:p w14:paraId="0ABB67CD" w14:textId="77777777" w:rsidR="00FF5AF5" w:rsidRPr="00B23997" w:rsidRDefault="00FF5AF5" w:rsidP="00B23997">
      <w:pPr>
        <w:widowControl w:val="0"/>
        <w:ind w:left="-720"/>
        <w:jc w:val="center"/>
        <w:rPr>
          <w:rFonts w:cs="Courier New"/>
          <w:sz w:val="28"/>
          <w:szCs w:val="28"/>
        </w:rPr>
      </w:pPr>
    </w:p>
    <w:p w14:paraId="57DD9835" w14:textId="23C2C720" w:rsidR="00FF5AF5" w:rsidRPr="00B23997" w:rsidRDefault="00635F03" w:rsidP="00DB7D0E">
      <w:pPr>
        <w:widowControl w:val="0"/>
        <w:ind w:left="-720"/>
        <w:jc w:val="center"/>
        <w:rPr>
          <w:rFonts w:cs="Courier New"/>
          <w:sz w:val="28"/>
        </w:rPr>
      </w:pPr>
      <w:r w:rsidRPr="00635F03">
        <w:rPr>
          <w:rFonts w:cs="Courier New"/>
          <w:b/>
          <w:bCs/>
          <w:sz w:val="28"/>
        </w:rPr>
        <w:t>ON BEHALF OF PEOPLES GAS SYSTEM</w:t>
      </w:r>
      <w:r w:rsidR="00A81010">
        <w:rPr>
          <w:rFonts w:cs="Courier New"/>
          <w:b/>
          <w:bCs/>
          <w:sz w:val="28"/>
        </w:rPr>
        <w:t>, INC.</w:t>
      </w:r>
    </w:p>
    <w:p w14:paraId="6B250EC8"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F353D8">
          <w:headerReference w:type="first" r:id="rId22"/>
          <w:footerReference w:type="first" r:id="rId23"/>
          <w:pgSz w:w="12240" w:h="15840" w:code="1"/>
          <w:pgMar w:top="1440" w:right="720" w:bottom="720" w:left="2160" w:header="720" w:footer="720" w:gutter="0"/>
          <w:paperSrc w:first="15" w:other="15"/>
          <w:cols w:space="720"/>
          <w:vAlign w:val="center"/>
          <w:titlePg/>
        </w:sectPr>
      </w:pPr>
    </w:p>
    <w:p w14:paraId="07B4ED38" w14:textId="77777777" w:rsidR="00FF5AF5" w:rsidRPr="00B23997" w:rsidRDefault="00FF5AF5" w:rsidP="00B23997">
      <w:pPr>
        <w:widowControl w:val="0"/>
        <w:tabs>
          <w:tab w:val="left" w:pos="720"/>
        </w:tabs>
        <w:ind w:right="72"/>
        <w:jc w:val="center"/>
        <w:rPr>
          <w:rFonts w:cs="Courier New"/>
          <w:b/>
          <w:sz w:val="28"/>
        </w:rPr>
      </w:pPr>
    </w:p>
    <w:p w14:paraId="42FD39D0"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079FAA72"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4247BC31" w14:textId="77777777" w:rsidTr="00CB3171">
        <w:tc>
          <w:tcPr>
            <w:tcW w:w="2205" w:type="dxa"/>
            <w:vAlign w:val="center"/>
          </w:tcPr>
          <w:p w14:paraId="135A8EA4"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141ED809"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E529C6B"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06E254AC" w14:textId="77777777" w:rsidTr="00CB3171">
        <w:trPr>
          <w:trHeight w:val="864"/>
        </w:trPr>
        <w:tc>
          <w:tcPr>
            <w:tcW w:w="2205" w:type="dxa"/>
            <w:vAlign w:val="center"/>
          </w:tcPr>
          <w:p w14:paraId="550B7F70"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3FE3ADF9" w14:textId="4E14E693" w:rsidR="009227F9" w:rsidRDefault="009227F9" w:rsidP="009227F9">
            <w:pPr>
              <w:pStyle w:val="paragraph"/>
              <w:spacing w:before="0" w:beforeAutospacing="0" w:after="0" w:afterAutospacing="0"/>
              <w:textAlignment w:val="baseline"/>
              <w:rPr>
                <w:rFonts w:ascii="Segoe UI" w:hAnsi="Segoe UI" w:cs="Segoe UI"/>
                <w:sz w:val="18"/>
                <w:szCs w:val="18"/>
              </w:rPr>
            </w:pPr>
            <w:r>
              <w:rPr>
                <w:rStyle w:val="normaltextrun"/>
                <w:rFonts w:ascii="Courier New" w:hAnsi="Courier New" w:cs="Courier New"/>
              </w:rPr>
              <w:t>List Of Minimum Filing Requirements</w:t>
            </w:r>
          </w:p>
          <w:p w14:paraId="3524CB26" w14:textId="439B8752" w:rsidR="00FF5AF5" w:rsidRPr="00B23997" w:rsidRDefault="009227F9" w:rsidP="009227F9">
            <w:pPr>
              <w:pStyle w:val="paragraph"/>
              <w:spacing w:before="0" w:beforeAutospacing="0" w:after="0" w:afterAutospacing="0"/>
              <w:textAlignment w:val="baseline"/>
              <w:rPr>
                <w:rFonts w:cs="Courier New"/>
                <w:bCs/>
              </w:rPr>
            </w:pPr>
            <w:r>
              <w:rPr>
                <w:rStyle w:val="normaltextrun"/>
                <w:rFonts w:ascii="Courier New" w:hAnsi="Courier New" w:cs="Courier New"/>
              </w:rPr>
              <w:t xml:space="preserve">Co-Sponsored </w:t>
            </w:r>
            <w:r w:rsidR="000279E7">
              <w:rPr>
                <w:rStyle w:val="normaltextrun"/>
                <w:rFonts w:ascii="Courier New" w:hAnsi="Courier New" w:cs="Courier New"/>
              </w:rPr>
              <w:t>B</w:t>
            </w:r>
            <w:r>
              <w:rPr>
                <w:rStyle w:val="normaltextrun"/>
                <w:rFonts w:ascii="Courier New" w:hAnsi="Courier New" w:cs="Courier New"/>
              </w:rPr>
              <w:t>y Eric Fox</w:t>
            </w:r>
          </w:p>
        </w:tc>
        <w:tc>
          <w:tcPr>
            <w:tcW w:w="1163" w:type="dxa"/>
            <w:vAlign w:val="center"/>
          </w:tcPr>
          <w:p w14:paraId="5F923404" w14:textId="043540C7" w:rsidR="00FF5AF5" w:rsidRPr="00B23997" w:rsidRDefault="00CD7B22" w:rsidP="00CB3171">
            <w:pPr>
              <w:widowControl w:val="0"/>
              <w:tabs>
                <w:tab w:val="left" w:pos="3960"/>
              </w:tabs>
              <w:jc w:val="center"/>
              <w:rPr>
                <w:rFonts w:cs="Courier New"/>
                <w:bCs/>
              </w:rPr>
            </w:pPr>
            <w:r>
              <w:rPr>
                <w:rFonts w:cs="Courier New"/>
                <w:bCs/>
              </w:rPr>
              <w:t>22</w:t>
            </w:r>
          </w:p>
        </w:tc>
      </w:tr>
      <w:tr w:rsidR="00B23997" w:rsidRPr="00B23997" w14:paraId="7F1F4E03" w14:textId="77777777" w:rsidTr="00CB3171">
        <w:trPr>
          <w:trHeight w:val="864"/>
        </w:trPr>
        <w:tc>
          <w:tcPr>
            <w:tcW w:w="2205" w:type="dxa"/>
            <w:vAlign w:val="center"/>
          </w:tcPr>
          <w:p w14:paraId="33D70E72" w14:textId="77777777" w:rsidR="00B23997" w:rsidRPr="00B23997" w:rsidRDefault="00B23997"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5C51FB96" w14:textId="7A49F939" w:rsidR="00B23997" w:rsidRPr="00B23997" w:rsidRDefault="00AB5936" w:rsidP="00CB3171">
            <w:pPr>
              <w:pStyle w:val="Header"/>
              <w:widowControl w:val="0"/>
              <w:tabs>
                <w:tab w:val="clear" w:pos="4320"/>
                <w:tab w:val="clear" w:pos="8640"/>
                <w:tab w:val="left" w:pos="3960"/>
              </w:tabs>
              <w:rPr>
                <w:rFonts w:cs="Courier New"/>
                <w:bCs/>
              </w:rPr>
            </w:pPr>
            <w:r>
              <w:rPr>
                <w:rFonts w:cs="Courier New"/>
                <w:bCs/>
              </w:rPr>
              <w:t xml:space="preserve">Resume - </w:t>
            </w:r>
            <w:r w:rsidR="000279E7">
              <w:rPr>
                <w:rFonts w:cs="Courier New"/>
                <w:bCs/>
              </w:rPr>
              <w:t>Work and Regulatory Experience</w:t>
            </w:r>
          </w:p>
        </w:tc>
        <w:tc>
          <w:tcPr>
            <w:tcW w:w="1163" w:type="dxa"/>
            <w:vAlign w:val="center"/>
          </w:tcPr>
          <w:p w14:paraId="502D90F8" w14:textId="70C680FB" w:rsidR="00B23997" w:rsidRPr="00B23997" w:rsidRDefault="00690FEC" w:rsidP="00CB3171">
            <w:pPr>
              <w:widowControl w:val="0"/>
              <w:tabs>
                <w:tab w:val="left" w:pos="3960"/>
              </w:tabs>
              <w:jc w:val="center"/>
              <w:rPr>
                <w:rFonts w:cs="Courier New"/>
                <w:bCs/>
              </w:rPr>
            </w:pPr>
            <w:r>
              <w:rPr>
                <w:rFonts w:cs="Courier New"/>
                <w:bCs/>
              </w:rPr>
              <w:t>23</w:t>
            </w:r>
          </w:p>
        </w:tc>
      </w:tr>
      <w:tr w:rsidR="00B23997" w:rsidRPr="00B23997" w14:paraId="43B3D16E" w14:textId="77777777" w:rsidTr="00CB3171">
        <w:trPr>
          <w:trHeight w:val="864"/>
        </w:trPr>
        <w:tc>
          <w:tcPr>
            <w:tcW w:w="2205" w:type="dxa"/>
            <w:vAlign w:val="center"/>
          </w:tcPr>
          <w:p w14:paraId="6F00B3B6" w14:textId="083505AA" w:rsidR="00B23997" w:rsidRPr="00B23997" w:rsidRDefault="000279E7"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08FB393E" w14:textId="42264358" w:rsidR="00B23997" w:rsidRPr="00B23997" w:rsidRDefault="000279E7" w:rsidP="00CB3171">
            <w:pPr>
              <w:pStyle w:val="Header"/>
              <w:widowControl w:val="0"/>
              <w:tabs>
                <w:tab w:val="clear" w:pos="4320"/>
                <w:tab w:val="clear" w:pos="8640"/>
                <w:tab w:val="left" w:pos="3960"/>
              </w:tabs>
              <w:rPr>
                <w:rFonts w:cs="Courier New"/>
                <w:bCs/>
              </w:rPr>
            </w:pPr>
            <w:r>
              <w:rPr>
                <w:rFonts w:cs="Courier New"/>
                <w:bCs/>
              </w:rPr>
              <w:t xml:space="preserve">Itron </w:t>
            </w:r>
            <w:r w:rsidR="00371487">
              <w:rPr>
                <w:rFonts w:cs="Courier New"/>
                <w:bCs/>
              </w:rPr>
              <w:t xml:space="preserve">Forecast </w:t>
            </w:r>
            <w:r>
              <w:rPr>
                <w:rFonts w:cs="Courier New"/>
                <w:bCs/>
              </w:rPr>
              <w:t>Report</w:t>
            </w:r>
          </w:p>
        </w:tc>
        <w:tc>
          <w:tcPr>
            <w:tcW w:w="1163" w:type="dxa"/>
            <w:vAlign w:val="center"/>
          </w:tcPr>
          <w:p w14:paraId="28CFB732" w14:textId="5FDAC6E1" w:rsidR="00B23997" w:rsidRPr="00B23997" w:rsidRDefault="00690FEC" w:rsidP="00CB3171">
            <w:pPr>
              <w:widowControl w:val="0"/>
              <w:tabs>
                <w:tab w:val="left" w:pos="3960"/>
              </w:tabs>
              <w:jc w:val="center"/>
              <w:rPr>
                <w:rFonts w:cs="Courier New"/>
                <w:bCs/>
              </w:rPr>
            </w:pPr>
            <w:r>
              <w:rPr>
                <w:rFonts w:cs="Courier New"/>
                <w:bCs/>
              </w:rPr>
              <w:t>31</w:t>
            </w:r>
          </w:p>
        </w:tc>
      </w:tr>
    </w:tbl>
    <w:p w14:paraId="41F2C6BD" w14:textId="77777777" w:rsidR="000279E7" w:rsidRPr="000279E7" w:rsidRDefault="000279E7" w:rsidP="000279E7">
      <w:pPr>
        <w:spacing w:line="240" w:lineRule="auto"/>
        <w:textAlignment w:val="baseline"/>
        <w:rPr>
          <w:rFonts w:ascii="Segoe UI" w:hAnsi="Segoe UI" w:cs="Segoe UI"/>
          <w:sz w:val="18"/>
          <w:szCs w:val="18"/>
        </w:rPr>
      </w:pPr>
      <w:r w:rsidRPr="000279E7">
        <w:rPr>
          <w:rFonts w:cs="Courier New"/>
          <w:szCs w:val="24"/>
        </w:rPr>
        <w:t> </w:t>
      </w:r>
    </w:p>
    <w:p w14:paraId="522F2E65" w14:textId="77777777" w:rsidR="000279E7" w:rsidRDefault="000279E7">
      <w:pPr>
        <w:rPr>
          <w:rFonts w:ascii="Arial" w:hAnsi="Arial" w:cs="Arial"/>
          <w:b/>
          <w:bCs/>
          <w:sz w:val="28"/>
          <w:szCs w:val="28"/>
        </w:rPr>
      </w:pPr>
      <w:r>
        <w:rPr>
          <w:rFonts w:ascii="Arial" w:hAnsi="Arial" w:cs="Arial"/>
          <w:b/>
          <w:bCs/>
          <w:sz w:val="28"/>
          <w:szCs w:val="28"/>
        </w:rPr>
        <w:br w:type="page"/>
      </w:r>
    </w:p>
    <w:p w14:paraId="6839C680" w14:textId="77777777" w:rsidR="006361C9" w:rsidRDefault="000279E7" w:rsidP="000279E7">
      <w:pPr>
        <w:spacing w:line="240" w:lineRule="auto"/>
        <w:jc w:val="center"/>
        <w:textAlignment w:val="baseline"/>
        <w:rPr>
          <w:rFonts w:ascii="Arial" w:hAnsi="Arial" w:cs="Arial"/>
          <w:b/>
          <w:bCs/>
          <w:sz w:val="28"/>
          <w:szCs w:val="28"/>
        </w:rPr>
      </w:pPr>
      <w:r w:rsidRPr="000279E7">
        <w:rPr>
          <w:rFonts w:ascii="Arial" w:hAnsi="Arial" w:cs="Arial"/>
          <w:b/>
          <w:bCs/>
          <w:sz w:val="28"/>
          <w:szCs w:val="28"/>
        </w:rPr>
        <w:lastRenderedPageBreak/>
        <w:t>List of Minimum Filing Requirements</w:t>
      </w:r>
    </w:p>
    <w:p w14:paraId="521F979B" w14:textId="62BCFE1A" w:rsidR="000279E7" w:rsidRPr="000279E7" w:rsidRDefault="000279E7" w:rsidP="000279E7">
      <w:pPr>
        <w:spacing w:line="240" w:lineRule="auto"/>
        <w:jc w:val="center"/>
        <w:textAlignment w:val="baseline"/>
        <w:rPr>
          <w:rFonts w:ascii="Segoe UI" w:hAnsi="Segoe UI" w:cs="Segoe UI"/>
          <w:sz w:val="18"/>
          <w:szCs w:val="18"/>
        </w:rPr>
      </w:pPr>
      <w:r w:rsidRPr="000279E7">
        <w:rPr>
          <w:rFonts w:ascii="Arial" w:hAnsi="Arial" w:cs="Arial"/>
          <w:b/>
          <w:bCs/>
          <w:sz w:val="28"/>
          <w:szCs w:val="28"/>
        </w:rPr>
        <w:t>Co-Sponsored by Eric Fox</w:t>
      </w:r>
    </w:p>
    <w:p w14:paraId="2107E389" w14:textId="77777777" w:rsidR="000279E7" w:rsidRPr="000279E7" w:rsidRDefault="000279E7" w:rsidP="000279E7">
      <w:pPr>
        <w:spacing w:line="240" w:lineRule="auto"/>
        <w:jc w:val="center"/>
        <w:textAlignment w:val="baseline"/>
        <w:rPr>
          <w:rFonts w:ascii="Segoe UI" w:hAnsi="Segoe UI" w:cs="Segoe UI"/>
          <w:sz w:val="18"/>
          <w:szCs w:val="18"/>
        </w:rPr>
      </w:pPr>
      <w:r w:rsidRPr="000279E7">
        <w:rPr>
          <w:rFonts w:cs="Courier New"/>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1241"/>
        <w:gridCol w:w="6688"/>
      </w:tblGrid>
      <w:tr w:rsidR="000279E7" w:rsidRPr="000279E7" w14:paraId="4D647087" w14:textId="77777777" w:rsidTr="000279E7">
        <w:trPr>
          <w:trHeight w:val="540"/>
        </w:trPr>
        <w:tc>
          <w:tcPr>
            <w:tcW w:w="1425" w:type="dxa"/>
            <w:tcBorders>
              <w:top w:val="single" w:sz="6" w:space="0" w:color="auto"/>
              <w:left w:val="single" w:sz="6" w:space="0" w:color="auto"/>
              <w:bottom w:val="single" w:sz="6" w:space="0" w:color="auto"/>
              <w:right w:val="single" w:sz="6" w:space="0" w:color="auto"/>
            </w:tcBorders>
            <w:shd w:val="clear" w:color="auto" w:fill="F2F2F2"/>
            <w:vAlign w:val="bottom"/>
            <w:hideMark/>
          </w:tcPr>
          <w:p w14:paraId="46B0CA86" w14:textId="0C2A51C1" w:rsidR="000279E7" w:rsidRPr="000279E7" w:rsidRDefault="000279E7" w:rsidP="00710B2A">
            <w:pPr>
              <w:spacing w:line="240" w:lineRule="auto"/>
              <w:jc w:val="center"/>
              <w:textAlignment w:val="baseline"/>
              <w:rPr>
                <w:rFonts w:ascii="Times New Roman" w:hAnsi="Times New Roman"/>
                <w:szCs w:val="24"/>
              </w:rPr>
            </w:pPr>
            <w:r w:rsidRPr="000279E7">
              <w:rPr>
                <w:rFonts w:ascii="Arial" w:hAnsi="Arial" w:cs="Arial"/>
                <w:b/>
                <w:bCs/>
                <w:szCs w:val="24"/>
              </w:rPr>
              <w:t>MFR Schedule</w:t>
            </w:r>
          </w:p>
        </w:tc>
        <w:tc>
          <w:tcPr>
            <w:tcW w:w="1260" w:type="dxa"/>
            <w:tcBorders>
              <w:top w:val="single" w:sz="6" w:space="0" w:color="auto"/>
              <w:left w:val="single" w:sz="6" w:space="0" w:color="auto"/>
              <w:bottom w:val="single" w:sz="6" w:space="0" w:color="auto"/>
              <w:right w:val="single" w:sz="6" w:space="0" w:color="auto"/>
            </w:tcBorders>
            <w:shd w:val="clear" w:color="auto" w:fill="F2F2F2"/>
            <w:vAlign w:val="bottom"/>
            <w:hideMark/>
          </w:tcPr>
          <w:p w14:paraId="075642A9" w14:textId="4E8F161B" w:rsidR="000279E7" w:rsidRPr="000279E7" w:rsidRDefault="000279E7" w:rsidP="00710B2A">
            <w:pPr>
              <w:spacing w:line="240" w:lineRule="auto"/>
              <w:jc w:val="center"/>
              <w:textAlignment w:val="baseline"/>
              <w:rPr>
                <w:rFonts w:ascii="Times New Roman" w:hAnsi="Times New Roman"/>
                <w:szCs w:val="24"/>
              </w:rPr>
            </w:pPr>
            <w:r w:rsidRPr="000279E7">
              <w:rPr>
                <w:rFonts w:ascii="Arial" w:hAnsi="Arial" w:cs="Arial"/>
                <w:b/>
                <w:bCs/>
                <w:szCs w:val="24"/>
              </w:rPr>
              <w:t>Page No.</w:t>
            </w:r>
          </w:p>
        </w:tc>
        <w:tc>
          <w:tcPr>
            <w:tcW w:w="6840" w:type="dxa"/>
            <w:tcBorders>
              <w:top w:val="single" w:sz="6" w:space="0" w:color="auto"/>
              <w:left w:val="single" w:sz="6" w:space="0" w:color="auto"/>
              <w:bottom w:val="single" w:sz="6" w:space="0" w:color="auto"/>
              <w:right w:val="single" w:sz="6" w:space="0" w:color="auto"/>
            </w:tcBorders>
            <w:shd w:val="clear" w:color="auto" w:fill="F2F2F2"/>
            <w:vAlign w:val="bottom"/>
            <w:hideMark/>
          </w:tcPr>
          <w:p w14:paraId="134807EB" w14:textId="624FDE1A" w:rsidR="000279E7" w:rsidRPr="000279E7" w:rsidRDefault="000279E7" w:rsidP="00710B2A">
            <w:pPr>
              <w:spacing w:line="240" w:lineRule="auto"/>
              <w:jc w:val="center"/>
              <w:textAlignment w:val="baseline"/>
              <w:rPr>
                <w:rFonts w:ascii="Times New Roman" w:hAnsi="Times New Roman"/>
                <w:szCs w:val="24"/>
              </w:rPr>
            </w:pPr>
            <w:r w:rsidRPr="000279E7">
              <w:rPr>
                <w:rFonts w:ascii="Arial" w:hAnsi="Arial" w:cs="Arial"/>
                <w:b/>
                <w:bCs/>
                <w:szCs w:val="24"/>
              </w:rPr>
              <w:t>MFR Title</w:t>
            </w:r>
          </w:p>
        </w:tc>
      </w:tr>
      <w:tr w:rsidR="009E7823" w:rsidRPr="000279E7" w14:paraId="662FBE60" w14:textId="77777777" w:rsidTr="001933AE">
        <w:trPr>
          <w:trHeight w:val="426"/>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14:paraId="79DD7824" w14:textId="73C3BF88" w:rsidR="009E7823" w:rsidRPr="000279E7" w:rsidRDefault="00866E42" w:rsidP="001933AE">
            <w:pPr>
              <w:spacing w:line="240" w:lineRule="auto"/>
              <w:jc w:val="center"/>
              <w:textAlignment w:val="baseline"/>
              <w:rPr>
                <w:rFonts w:ascii="Arial" w:hAnsi="Arial" w:cs="Arial"/>
                <w:szCs w:val="24"/>
              </w:rPr>
            </w:pPr>
            <w:r>
              <w:rPr>
                <w:rFonts w:ascii="Arial" w:hAnsi="Arial" w:cs="Arial"/>
                <w:szCs w:val="24"/>
              </w:rPr>
              <w:t>G-2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056F903" w14:textId="2A4952CE" w:rsidR="009E7823" w:rsidRPr="000279E7" w:rsidRDefault="00866E42" w:rsidP="001933AE">
            <w:pPr>
              <w:spacing w:line="240" w:lineRule="auto"/>
              <w:jc w:val="center"/>
              <w:textAlignment w:val="baseline"/>
              <w:rPr>
                <w:rFonts w:ascii="Arial" w:hAnsi="Arial" w:cs="Arial"/>
                <w:szCs w:val="24"/>
              </w:rPr>
            </w:pPr>
            <w:r>
              <w:rPr>
                <w:rFonts w:ascii="Arial" w:hAnsi="Arial" w:cs="Arial"/>
                <w:szCs w:val="24"/>
              </w:rPr>
              <w:t>P. 6</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center"/>
          </w:tcPr>
          <w:p w14:paraId="639BAC59" w14:textId="5733F277" w:rsidR="009E7823" w:rsidRPr="005D559E" w:rsidRDefault="005D559E" w:rsidP="00E800B8">
            <w:pPr>
              <w:spacing w:line="240" w:lineRule="auto"/>
              <w:ind w:left="121"/>
              <w:textAlignment w:val="baseline"/>
              <w:rPr>
                <w:rFonts w:ascii="Arial" w:hAnsi="Arial" w:cs="Arial"/>
                <w:szCs w:val="24"/>
              </w:rPr>
            </w:pPr>
            <w:r w:rsidRPr="005D559E">
              <w:rPr>
                <w:rFonts w:ascii="Arial" w:hAnsi="Arial" w:cs="Arial"/>
                <w:szCs w:val="24"/>
              </w:rPr>
              <w:t>Historic Base Year + 1 – Revenues And Cost Of Gas</w:t>
            </w:r>
          </w:p>
        </w:tc>
      </w:tr>
      <w:tr w:rsidR="009E7823" w:rsidRPr="000279E7" w14:paraId="6DC37C83" w14:textId="77777777" w:rsidTr="001933AE">
        <w:trPr>
          <w:trHeight w:val="426"/>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14:paraId="3B794E3B" w14:textId="6A4760E6" w:rsidR="009E7823" w:rsidRPr="000279E7" w:rsidRDefault="00866E42" w:rsidP="001933AE">
            <w:pPr>
              <w:spacing w:line="240" w:lineRule="auto"/>
              <w:jc w:val="center"/>
              <w:textAlignment w:val="baseline"/>
              <w:rPr>
                <w:rFonts w:ascii="Arial" w:hAnsi="Arial" w:cs="Arial"/>
                <w:szCs w:val="24"/>
              </w:rPr>
            </w:pPr>
            <w:r>
              <w:rPr>
                <w:rFonts w:ascii="Arial" w:hAnsi="Arial" w:cs="Arial"/>
                <w:szCs w:val="24"/>
              </w:rPr>
              <w:t>G-2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37BAF9C9" w14:textId="3C758264" w:rsidR="009E7823" w:rsidRPr="000279E7" w:rsidRDefault="00866E42" w:rsidP="001933AE">
            <w:pPr>
              <w:spacing w:line="240" w:lineRule="auto"/>
              <w:jc w:val="center"/>
              <w:textAlignment w:val="baseline"/>
              <w:rPr>
                <w:rFonts w:ascii="Arial" w:hAnsi="Arial" w:cs="Arial"/>
                <w:szCs w:val="24"/>
              </w:rPr>
            </w:pPr>
            <w:r>
              <w:rPr>
                <w:rFonts w:ascii="Arial" w:hAnsi="Arial" w:cs="Arial"/>
                <w:szCs w:val="24"/>
              </w:rPr>
              <w:t>P. 8</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center"/>
          </w:tcPr>
          <w:p w14:paraId="1B0D7162" w14:textId="3091CBFD" w:rsidR="009E7823" w:rsidRPr="000279E7" w:rsidRDefault="00B3654B" w:rsidP="00E800B8">
            <w:pPr>
              <w:spacing w:line="240" w:lineRule="auto"/>
              <w:ind w:left="121"/>
              <w:textAlignment w:val="baseline"/>
              <w:rPr>
                <w:rFonts w:ascii="Arial" w:hAnsi="Arial" w:cs="Arial"/>
                <w:szCs w:val="24"/>
              </w:rPr>
            </w:pPr>
            <w:r w:rsidRPr="00BF4C1B">
              <w:rPr>
                <w:rFonts w:ascii="Arial" w:hAnsi="Arial" w:cs="Arial"/>
                <w:szCs w:val="24"/>
              </w:rPr>
              <w:t xml:space="preserve">Projected Test Year - Revenues And Cost Of Gas  </w:t>
            </w:r>
          </w:p>
        </w:tc>
      </w:tr>
      <w:tr w:rsidR="000279E7" w:rsidRPr="000279E7" w14:paraId="63C718A8" w14:textId="77777777" w:rsidTr="001933AE">
        <w:trPr>
          <w:trHeight w:val="426"/>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DC0B0" w14:textId="7863DB2C" w:rsidR="000279E7" w:rsidRPr="000279E7" w:rsidRDefault="000279E7" w:rsidP="001933AE">
            <w:pPr>
              <w:spacing w:line="240" w:lineRule="auto"/>
              <w:jc w:val="center"/>
              <w:textAlignment w:val="baseline"/>
              <w:rPr>
                <w:rFonts w:ascii="Times New Roman" w:hAnsi="Times New Roman"/>
                <w:szCs w:val="24"/>
              </w:rPr>
            </w:pPr>
            <w:r w:rsidRPr="000279E7">
              <w:rPr>
                <w:rFonts w:ascii="Arial" w:hAnsi="Arial" w:cs="Arial"/>
                <w:szCs w:val="24"/>
              </w:rPr>
              <w:t>G-6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5EB04" w14:textId="29DC2038" w:rsidR="000279E7" w:rsidRPr="000279E7" w:rsidRDefault="000279E7" w:rsidP="001933AE">
            <w:pPr>
              <w:spacing w:line="240" w:lineRule="auto"/>
              <w:jc w:val="center"/>
              <w:textAlignment w:val="baseline"/>
              <w:rPr>
                <w:rFonts w:ascii="Times New Roman" w:hAnsi="Times New Roman"/>
                <w:szCs w:val="24"/>
              </w:rPr>
            </w:pPr>
            <w:r w:rsidRPr="000279E7">
              <w:rPr>
                <w:rFonts w:ascii="Arial" w:hAnsi="Arial" w:cs="Arial"/>
                <w:szCs w:val="24"/>
              </w:rPr>
              <w:t>P. 1</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5D271" w14:textId="7CCCDA48" w:rsidR="000279E7" w:rsidRPr="000279E7" w:rsidRDefault="000279E7" w:rsidP="005D559E">
            <w:pPr>
              <w:spacing w:line="240" w:lineRule="auto"/>
              <w:ind w:left="121"/>
              <w:textAlignment w:val="baseline"/>
              <w:rPr>
                <w:rFonts w:ascii="Times New Roman" w:hAnsi="Times New Roman"/>
                <w:szCs w:val="24"/>
              </w:rPr>
            </w:pPr>
            <w:r w:rsidRPr="000279E7">
              <w:rPr>
                <w:rFonts w:ascii="Arial" w:hAnsi="Arial" w:cs="Arial"/>
                <w:szCs w:val="24"/>
              </w:rPr>
              <w:t>Projected Test Year - Major Assumptions</w:t>
            </w:r>
          </w:p>
        </w:tc>
      </w:tr>
    </w:tbl>
    <w:p w14:paraId="1BF82E2F" w14:textId="77777777" w:rsidR="006C16F3" w:rsidRDefault="006C16F3" w:rsidP="006C16F3">
      <w:pPr>
        <w:widowControl w:val="0"/>
        <w:tabs>
          <w:tab w:val="left" w:pos="720"/>
        </w:tabs>
        <w:ind w:left="720" w:right="252" w:hanging="720"/>
        <w:jc w:val="center"/>
        <w:rPr>
          <w:rFonts w:cs="Courier New"/>
          <w:b/>
          <w:sz w:val="28"/>
          <w:szCs w:val="28"/>
        </w:rPr>
      </w:pPr>
    </w:p>
    <w:p w14:paraId="1B107C1F" w14:textId="77777777" w:rsidR="006C16F3" w:rsidRDefault="006C16F3">
      <w:pPr>
        <w:rPr>
          <w:rFonts w:cs="Courier New"/>
          <w:b/>
          <w:sz w:val="28"/>
          <w:szCs w:val="28"/>
        </w:rPr>
        <w:sectPr w:rsidR="006C16F3" w:rsidSect="00B23997">
          <w:footerReference w:type="default" r:id="rId24"/>
          <w:headerReference w:type="first" r:id="rId25"/>
          <w:footerReference w:type="first" r:id="rId26"/>
          <w:pgSz w:w="12240" w:h="15840" w:code="1"/>
          <w:pgMar w:top="1440" w:right="720" w:bottom="720" w:left="2160" w:header="720" w:footer="720" w:gutter="0"/>
          <w:paperSrc w:first="7" w:other="7"/>
          <w:cols w:space="720"/>
          <w:titlePg/>
        </w:sectPr>
      </w:pPr>
    </w:p>
    <w:p w14:paraId="73C6EF89" w14:textId="223AA5F5" w:rsidR="000D79FB" w:rsidRDefault="000D79FB" w:rsidP="00526076">
      <w:pPr>
        <w:widowControl w:val="0"/>
        <w:tabs>
          <w:tab w:val="left" w:pos="720"/>
        </w:tabs>
        <w:ind w:left="720" w:right="252" w:hanging="720"/>
        <w:rPr>
          <w:rFonts w:cs="Courier New"/>
          <w:b/>
          <w:sz w:val="28"/>
          <w:szCs w:val="28"/>
        </w:rPr>
      </w:pPr>
    </w:p>
    <w:sectPr w:rsidR="000D79FB" w:rsidSect="00B23997">
      <w:headerReference w:type="first" r:id="rId27"/>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472E" w14:textId="77777777" w:rsidR="00F60284" w:rsidRDefault="00F60284">
      <w:r>
        <w:separator/>
      </w:r>
    </w:p>
  </w:endnote>
  <w:endnote w:type="continuationSeparator" w:id="0">
    <w:p w14:paraId="37D723CC" w14:textId="77777777" w:rsidR="00F60284" w:rsidRDefault="00F60284">
      <w:r>
        <w:continuationSeparator/>
      </w:r>
    </w:p>
  </w:endnote>
  <w:endnote w:type="continuationNotice" w:id="1">
    <w:p w14:paraId="32395CE1" w14:textId="77777777" w:rsidR="00F60284" w:rsidRDefault="00F602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FE99"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A41E47" w14:textId="77777777" w:rsidR="00250E5D" w:rsidRDefault="00250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E412"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F45C55" w14:textId="77777777" w:rsidR="00250E5D" w:rsidRDefault="00250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6F8" w14:textId="77777777" w:rsidR="00B42D61" w:rsidRDefault="00B42D61"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3D3D" w14:textId="77777777" w:rsidR="00F837A4" w:rsidRDefault="00F837A4" w:rsidP="00B42D6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63E" w14:textId="77777777" w:rsidR="001328D2" w:rsidRDefault="001328D2"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560B" w14:textId="77777777" w:rsidR="00CD7B22" w:rsidRDefault="00CD7B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043D" w14:textId="77777777" w:rsidR="006C16F3" w:rsidRDefault="006C16F3" w:rsidP="00B42D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EDD5" w14:textId="77777777" w:rsidR="00F60284" w:rsidRDefault="00F60284">
      <w:r>
        <w:separator/>
      </w:r>
    </w:p>
  </w:footnote>
  <w:footnote w:type="continuationSeparator" w:id="0">
    <w:p w14:paraId="0BE9301F" w14:textId="77777777" w:rsidR="00F60284" w:rsidRDefault="00F60284">
      <w:r>
        <w:continuationSeparator/>
      </w:r>
    </w:p>
  </w:footnote>
  <w:footnote w:type="continuationNotice" w:id="1">
    <w:p w14:paraId="5599D181" w14:textId="77777777" w:rsidR="00F60284" w:rsidRDefault="00F602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431F" w14:textId="77777777" w:rsidR="00E800B8" w:rsidRDefault="00E80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6F73" w14:textId="77777777" w:rsidR="00B23997" w:rsidRDefault="00B23997" w:rsidP="00B23997">
    <w:pPr>
      <w:pStyle w:val="Header"/>
    </w:pPr>
  </w:p>
  <w:p w14:paraId="301847F3" w14:textId="77777777" w:rsidR="00B23997" w:rsidRPr="00B23997" w:rsidRDefault="00B23997"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D8E8" w14:textId="77777777" w:rsidR="00E800B8" w:rsidRDefault="00E80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B962" w14:textId="77777777" w:rsidR="00B23997" w:rsidRDefault="00B23997" w:rsidP="008C291D">
    <w:pPr>
      <w:tabs>
        <w:tab w:val="left" w:pos="-1440"/>
        <w:tab w:val="left" w:pos="-720"/>
        <w:tab w:val="left" w:pos="720"/>
        <w:tab w:val="left" w:pos="1440"/>
        <w:tab w:val="left" w:pos="4440"/>
        <w:tab w:val="left" w:pos="6840"/>
      </w:tabs>
      <w:spacing w:line="240" w:lineRule="auto"/>
      <w:contextualSpacing/>
      <w:jc w:val="right"/>
      <w:rPr>
        <w:b/>
      </w:rPr>
    </w:pPr>
  </w:p>
  <w:p w14:paraId="34EB8A84" w14:textId="77777777" w:rsidR="00B23997" w:rsidRDefault="00B23997" w:rsidP="008C291D">
    <w:pPr>
      <w:tabs>
        <w:tab w:val="left" w:pos="-1440"/>
        <w:tab w:val="left" w:pos="-720"/>
        <w:tab w:val="left" w:pos="720"/>
        <w:tab w:val="left" w:pos="1440"/>
        <w:tab w:val="left" w:pos="4440"/>
        <w:tab w:val="left" w:pos="6840"/>
      </w:tabs>
      <w:spacing w:line="240" w:lineRule="auto"/>
      <w:contextualSpacing/>
      <w:jc w:val="right"/>
      <w:rPr>
        <w:b/>
      </w:rPr>
    </w:pPr>
  </w:p>
  <w:p w14:paraId="4B2DC058" w14:textId="3D8D41DC" w:rsidR="009F7C9B" w:rsidRDefault="009F7C9B" w:rsidP="008C291D">
    <w:pPr>
      <w:tabs>
        <w:tab w:val="left" w:pos="-1440"/>
        <w:tab w:val="left" w:pos="-720"/>
        <w:tab w:val="left" w:pos="720"/>
        <w:tab w:val="left" w:pos="1440"/>
        <w:tab w:val="left" w:pos="4440"/>
        <w:tab w:val="left" w:pos="6840"/>
      </w:tabs>
      <w:spacing w:line="240" w:lineRule="auto"/>
      <w:contextualSpacing/>
      <w:jc w:val="right"/>
      <w:rPr>
        <w:b/>
      </w:rPr>
    </w:pPr>
    <w:r>
      <w:rPr>
        <w:b/>
      </w:rPr>
      <w:t>DOCKET NO. 20</w:t>
    </w:r>
    <w:r w:rsidR="000D79FB">
      <w:rPr>
        <w:b/>
      </w:rPr>
      <w:t>2</w:t>
    </w:r>
    <w:r w:rsidR="00F63891">
      <w:rPr>
        <w:b/>
      </w:rPr>
      <w:t>3</w:t>
    </w:r>
    <w:r w:rsidR="00595A35">
      <w:rPr>
        <w:b/>
      </w:rPr>
      <w:t>0023-</w:t>
    </w:r>
    <w:r>
      <w:rPr>
        <w:b/>
      </w:rPr>
      <w:t>GU</w:t>
    </w:r>
  </w:p>
  <w:p w14:paraId="3538DA5E" w14:textId="32CE10EF" w:rsidR="00512C76" w:rsidRDefault="009F7C9B" w:rsidP="008C291D">
    <w:pPr>
      <w:tabs>
        <w:tab w:val="left" w:pos="-1440"/>
        <w:tab w:val="left" w:pos="-720"/>
        <w:tab w:val="left" w:pos="720"/>
        <w:tab w:val="left" w:pos="1440"/>
        <w:tab w:val="left" w:pos="4440"/>
        <w:tab w:val="left" w:pos="6840"/>
      </w:tabs>
      <w:spacing w:line="240" w:lineRule="auto"/>
      <w:contextualSpacing/>
      <w:jc w:val="right"/>
      <w:rPr>
        <w:b/>
      </w:rPr>
    </w:pPr>
    <w:r>
      <w:rPr>
        <w:b/>
      </w:rPr>
      <w:t xml:space="preserve">WITNESS: </w:t>
    </w:r>
    <w:r w:rsidR="00483ED1">
      <w:rPr>
        <w:b/>
      </w:rPr>
      <w:t>FOX</w:t>
    </w:r>
  </w:p>
  <w:p w14:paraId="266C77F8" w14:textId="77777777" w:rsidR="00501876" w:rsidRDefault="00501876" w:rsidP="008C291D">
    <w:pPr>
      <w:tabs>
        <w:tab w:val="left" w:pos="-1440"/>
        <w:tab w:val="left" w:pos="-720"/>
        <w:tab w:val="left" w:pos="720"/>
        <w:tab w:val="left" w:pos="1440"/>
        <w:tab w:val="left" w:pos="4440"/>
        <w:tab w:val="left" w:pos="6840"/>
      </w:tabs>
      <w:spacing w:line="240" w:lineRule="auto"/>
      <w:contextualSpacing/>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AB45" w14:textId="77777777" w:rsidR="00526076" w:rsidRDefault="00526076" w:rsidP="00526076">
    <w:pPr>
      <w:tabs>
        <w:tab w:val="left" w:pos="-1440"/>
        <w:tab w:val="left" w:pos="-720"/>
        <w:tab w:val="left" w:pos="720"/>
        <w:tab w:val="left" w:pos="1440"/>
        <w:tab w:val="left" w:pos="4440"/>
        <w:tab w:val="left" w:pos="6840"/>
      </w:tabs>
      <w:spacing w:line="240" w:lineRule="auto"/>
      <w:ind w:left="5760"/>
      <w:contextualSpacing/>
      <w:rPr>
        <w:b/>
      </w:rPr>
    </w:pPr>
  </w:p>
  <w:p w14:paraId="1B64298B" w14:textId="77777777" w:rsidR="00526076" w:rsidRDefault="00526076" w:rsidP="00526076">
    <w:pPr>
      <w:tabs>
        <w:tab w:val="left" w:pos="-1440"/>
        <w:tab w:val="left" w:pos="-720"/>
        <w:tab w:val="left" w:pos="720"/>
        <w:tab w:val="left" w:pos="1440"/>
        <w:tab w:val="left" w:pos="4440"/>
        <w:tab w:val="left" w:pos="6840"/>
      </w:tabs>
      <w:spacing w:line="240" w:lineRule="auto"/>
      <w:ind w:left="5760"/>
      <w:contextualSpacing/>
      <w:rPr>
        <w:b/>
      </w:rPr>
    </w:pPr>
  </w:p>
  <w:p w14:paraId="6C9A8B2A" w14:textId="77777777" w:rsidR="00526076" w:rsidRDefault="00526076" w:rsidP="00526076">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7FD9CA02" w14:textId="77777777" w:rsidR="00526076" w:rsidRDefault="00526076" w:rsidP="00526076">
    <w:pPr>
      <w:tabs>
        <w:tab w:val="left" w:pos="-1440"/>
        <w:tab w:val="left" w:pos="-720"/>
        <w:tab w:val="left" w:pos="720"/>
        <w:tab w:val="left" w:pos="1440"/>
        <w:tab w:val="left" w:pos="4440"/>
        <w:tab w:val="left" w:pos="6840"/>
      </w:tabs>
      <w:spacing w:line="240" w:lineRule="auto"/>
      <w:ind w:left="5760"/>
      <w:contextualSpacing/>
      <w:rPr>
        <w:b/>
      </w:rPr>
    </w:pPr>
    <w:r>
      <w:rPr>
        <w:b/>
      </w:rPr>
      <w:t>WITNESS: FOX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8BC9" w14:textId="77777777" w:rsidR="00A81010" w:rsidRDefault="00A81010" w:rsidP="00526076">
    <w:pPr>
      <w:tabs>
        <w:tab w:val="left" w:pos="-1440"/>
        <w:tab w:val="left" w:pos="-720"/>
      </w:tabs>
      <w:spacing w:line="240" w:lineRule="auto"/>
      <w:ind w:left="5760"/>
      <w:rPr>
        <w:b/>
      </w:rPr>
    </w:pPr>
  </w:p>
  <w:p w14:paraId="3DA890F6" w14:textId="77777777" w:rsidR="00A81010" w:rsidRDefault="00A81010" w:rsidP="00526076">
    <w:pPr>
      <w:tabs>
        <w:tab w:val="left" w:pos="-1440"/>
        <w:tab w:val="left" w:pos="-720"/>
      </w:tabs>
      <w:spacing w:line="240" w:lineRule="auto"/>
      <w:ind w:left="5760"/>
      <w:rPr>
        <w:b/>
      </w:rPr>
    </w:pPr>
  </w:p>
  <w:p w14:paraId="06CDF96C" w14:textId="5C4A39FF" w:rsidR="00A81010" w:rsidRDefault="00A81010" w:rsidP="00526076">
    <w:pPr>
      <w:tabs>
        <w:tab w:val="left" w:pos="-1440"/>
        <w:tab w:val="left" w:pos="-720"/>
      </w:tabs>
      <w:spacing w:line="240" w:lineRule="auto"/>
      <w:ind w:left="5760"/>
      <w:rPr>
        <w:b/>
      </w:rPr>
    </w:pPr>
    <w:r>
      <w:rPr>
        <w:b/>
      </w:rPr>
      <w:t>DOCKET NO. 2023</w:t>
    </w:r>
    <w:r w:rsidR="00595A35">
      <w:rPr>
        <w:b/>
      </w:rPr>
      <w:t>0023-</w:t>
    </w:r>
    <w:r>
      <w:rPr>
        <w:b/>
      </w:rPr>
      <w:t>GU</w:t>
    </w:r>
  </w:p>
  <w:p w14:paraId="6FD93A9A" w14:textId="77777777" w:rsidR="00A81010" w:rsidRDefault="00A81010" w:rsidP="00526076">
    <w:pPr>
      <w:tabs>
        <w:tab w:val="left" w:pos="-1440"/>
        <w:tab w:val="left" w:pos="-720"/>
        <w:tab w:val="left" w:pos="720"/>
        <w:tab w:val="left" w:pos="1440"/>
        <w:tab w:val="left" w:pos="4440"/>
        <w:tab w:val="left" w:pos="6840"/>
      </w:tabs>
      <w:spacing w:line="240" w:lineRule="auto"/>
      <w:ind w:left="5760"/>
      <w:rPr>
        <w:b/>
      </w:rPr>
    </w:pPr>
    <w:r>
      <w:rPr>
        <w:b/>
      </w:rPr>
      <w:t>WITNESS: FOX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8BA9" w14:textId="0A9AC538" w:rsidR="006C16F3" w:rsidRPr="00526076" w:rsidRDefault="006C16F3" w:rsidP="00526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5"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7"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8"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9"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0"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2"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3"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6"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18"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19"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0"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3"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4"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26"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27"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490038">
    <w:abstractNumId w:val="10"/>
  </w:num>
  <w:num w:numId="2" w16cid:durableId="1904872839">
    <w:abstractNumId w:val="10"/>
  </w:num>
  <w:num w:numId="3" w16cid:durableId="796680198">
    <w:abstractNumId w:val="10"/>
  </w:num>
  <w:num w:numId="4" w16cid:durableId="357856520">
    <w:abstractNumId w:val="10"/>
  </w:num>
  <w:num w:numId="5" w16cid:durableId="2105030354">
    <w:abstractNumId w:val="10"/>
  </w:num>
  <w:num w:numId="6" w16cid:durableId="1602907344">
    <w:abstractNumId w:val="16"/>
  </w:num>
  <w:num w:numId="7" w16cid:durableId="879248668">
    <w:abstractNumId w:val="13"/>
  </w:num>
  <w:num w:numId="8" w16cid:durableId="352802024">
    <w:abstractNumId w:val="23"/>
  </w:num>
  <w:num w:numId="9" w16cid:durableId="2129544793">
    <w:abstractNumId w:val="1"/>
  </w:num>
  <w:num w:numId="10" w16cid:durableId="53741782">
    <w:abstractNumId w:val="9"/>
  </w:num>
  <w:num w:numId="11" w16cid:durableId="638877076">
    <w:abstractNumId w:val="18"/>
  </w:num>
  <w:num w:numId="12" w16cid:durableId="1940525918">
    <w:abstractNumId w:val="11"/>
  </w:num>
  <w:num w:numId="13" w16cid:durableId="613908189">
    <w:abstractNumId w:val="26"/>
  </w:num>
  <w:num w:numId="14" w16cid:durableId="724448470">
    <w:abstractNumId w:val="8"/>
  </w:num>
  <w:num w:numId="15" w16cid:durableId="1117404424">
    <w:abstractNumId w:val="15"/>
  </w:num>
  <w:num w:numId="16" w16cid:durableId="440420001">
    <w:abstractNumId w:val="7"/>
  </w:num>
  <w:num w:numId="17" w16cid:durableId="1228228266">
    <w:abstractNumId w:val="3"/>
  </w:num>
  <w:num w:numId="18" w16cid:durableId="975796561">
    <w:abstractNumId w:val="4"/>
  </w:num>
  <w:num w:numId="19" w16cid:durableId="1579749761">
    <w:abstractNumId w:val="12"/>
  </w:num>
  <w:num w:numId="20" w16cid:durableId="1178345710">
    <w:abstractNumId w:val="22"/>
  </w:num>
  <w:num w:numId="21" w16cid:durableId="190073615">
    <w:abstractNumId w:val="2"/>
  </w:num>
  <w:num w:numId="22" w16cid:durableId="1029648992">
    <w:abstractNumId w:val="25"/>
  </w:num>
  <w:num w:numId="23" w16cid:durableId="1430276660">
    <w:abstractNumId w:val="19"/>
  </w:num>
  <w:num w:numId="24" w16cid:durableId="1717965772">
    <w:abstractNumId w:val="6"/>
  </w:num>
  <w:num w:numId="25" w16cid:durableId="747849449">
    <w:abstractNumId w:val="27"/>
  </w:num>
  <w:num w:numId="26" w16cid:durableId="563831355">
    <w:abstractNumId w:val="29"/>
  </w:num>
  <w:num w:numId="27" w16cid:durableId="789131547">
    <w:abstractNumId w:val="14"/>
  </w:num>
  <w:num w:numId="28" w16cid:durableId="233441847">
    <w:abstractNumId w:val="24"/>
  </w:num>
  <w:num w:numId="29" w16cid:durableId="352540291">
    <w:abstractNumId w:val="5"/>
  </w:num>
  <w:num w:numId="30" w16cid:durableId="631903236">
    <w:abstractNumId w:val="17"/>
  </w:num>
  <w:num w:numId="31" w16cid:durableId="187112346">
    <w:abstractNumId w:val="28"/>
  </w:num>
  <w:num w:numId="32" w16cid:durableId="110784863">
    <w:abstractNumId w:val="21"/>
  </w:num>
  <w:num w:numId="33" w16cid:durableId="475027893">
    <w:abstractNumId w:val="0"/>
  </w:num>
  <w:num w:numId="34" w16cid:durableId="980160955">
    <w:abstractNumId w:val="30"/>
  </w:num>
  <w:num w:numId="35" w16cid:durableId="1452743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A3"/>
    <w:rsid w:val="0000326D"/>
    <w:rsid w:val="00004656"/>
    <w:rsid w:val="00010746"/>
    <w:rsid w:val="00011096"/>
    <w:rsid w:val="00014B8B"/>
    <w:rsid w:val="00015011"/>
    <w:rsid w:val="00017D53"/>
    <w:rsid w:val="00020470"/>
    <w:rsid w:val="000225D4"/>
    <w:rsid w:val="000228F3"/>
    <w:rsid w:val="000236BB"/>
    <w:rsid w:val="000279E7"/>
    <w:rsid w:val="00031DEC"/>
    <w:rsid w:val="00032798"/>
    <w:rsid w:val="00037825"/>
    <w:rsid w:val="00040082"/>
    <w:rsid w:val="000403EA"/>
    <w:rsid w:val="00040797"/>
    <w:rsid w:val="000409E0"/>
    <w:rsid w:val="00041528"/>
    <w:rsid w:val="0004329E"/>
    <w:rsid w:val="00043C81"/>
    <w:rsid w:val="000456F2"/>
    <w:rsid w:val="00046652"/>
    <w:rsid w:val="00050D19"/>
    <w:rsid w:val="00051F79"/>
    <w:rsid w:val="00053230"/>
    <w:rsid w:val="00053923"/>
    <w:rsid w:val="000563ED"/>
    <w:rsid w:val="000601BF"/>
    <w:rsid w:val="0006420C"/>
    <w:rsid w:val="00067CD0"/>
    <w:rsid w:val="000701E4"/>
    <w:rsid w:val="00071BAF"/>
    <w:rsid w:val="0007340E"/>
    <w:rsid w:val="00074950"/>
    <w:rsid w:val="00075870"/>
    <w:rsid w:val="0008138E"/>
    <w:rsid w:val="00082678"/>
    <w:rsid w:val="0008376F"/>
    <w:rsid w:val="00083856"/>
    <w:rsid w:val="00094731"/>
    <w:rsid w:val="00094843"/>
    <w:rsid w:val="000A59DE"/>
    <w:rsid w:val="000A6E6D"/>
    <w:rsid w:val="000A700D"/>
    <w:rsid w:val="000B2FE6"/>
    <w:rsid w:val="000C0E27"/>
    <w:rsid w:val="000C3319"/>
    <w:rsid w:val="000C459C"/>
    <w:rsid w:val="000C4CD2"/>
    <w:rsid w:val="000C4CD5"/>
    <w:rsid w:val="000D011C"/>
    <w:rsid w:val="000D140C"/>
    <w:rsid w:val="000D4A35"/>
    <w:rsid w:val="000D4CCF"/>
    <w:rsid w:val="000D52B8"/>
    <w:rsid w:val="000D6EE5"/>
    <w:rsid w:val="000D79FB"/>
    <w:rsid w:val="000E01C1"/>
    <w:rsid w:val="000E0294"/>
    <w:rsid w:val="000E04BB"/>
    <w:rsid w:val="000E6431"/>
    <w:rsid w:val="000E70DD"/>
    <w:rsid w:val="000E7D41"/>
    <w:rsid w:val="000F1CF9"/>
    <w:rsid w:val="000F1D3A"/>
    <w:rsid w:val="000F669C"/>
    <w:rsid w:val="001008B5"/>
    <w:rsid w:val="0010561E"/>
    <w:rsid w:val="001100D3"/>
    <w:rsid w:val="00110129"/>
    <w:rsid w:val="00110536"/>
    <w:rsid w:val="00113410"/>
    <w:rsid w:val="0011349A"/>
    <w:rsid w:val="001212F9"/>
    <w:rsid w:val="0012199B"/>
    <w:rsid w:val="00121D83"/>
    <w:rsid w:val="00121E98"/>
    <w:rsid w:val="00130858"/>
    <w:rsid w:val="001315BD"/>
    <w:rsid w:val="001328D2"/>
    <w:rsid w:val="00133990"/>
    <w:rsid w:val="00134DC8"/>
    <w:rsid w:val="00135D68"/>
    <w:rsid w:val="001363C3"/>
    <w:rsid w:val="00136C29"/>
    <w:rsid w:val="00140053"/>
    <w:rsid w:val="00141079"/>
    <w:rsid w:val="00144360"/>
    <w:rsid w:val="00145FDD"/>
    <w:rsid w:val="001468CE"/>
    <w:rsid w:val="00146921"/>
    <w:rsid w:val="001515CE"/>
    <w:rsid w:val="00151934"/>
    <w:rsid w:val="0015250A"/>
    <w:rsid w:val="00156FD8"/>
    <w:rsid w:val="0016276D"/>
    <w:rsid w:val="00163DFA"/>
    <w:rsid w:val="00165FAE"/>
    <w:rsid w:val="00170BEB"/>
    <w:rsid w:val="00173C59"/>
    <w:rsid w:val="00180D02"/>
    <w:rsid w:val="00182045"/>
    <w:rsid w:val="00182337"/>
    <w:rsid w:val="00182798"/>
    <w:rsid w:val="001871E6"/>
    <w:rsid w:val="00190143"/>
    <w:rsid w:val="0019145E"/>
    <w:rsid w:val="001933AE"/>
    <w:rsid w:val="001969A1"/>
    <w:rsid w:val="001A129F"/>
    <w:rsid w:val="001A362F"/>
    <w:rsid w:val="001A5B62"/>
    <w:rsid w:val="001A5D4B"/>
    <w:rsid w:val="001A6603"/>
    <w:rsid w:val="001A7514"/>
    <w:rsid w:val="001B036E"/>
    <w:rsid w:val="001B3D6B"/>
    <w:rsid w:val="001B5C49"/>
    <w:rsid w:val="001B5F2B"/>
    <w:rsid w:val="001B75BA"/>
    <w:rsid w:val="001C41BA"/>
    <w:rsid w:val="001C6DF2"/>
    <w:rsid w:val="001C7893"/>
    <w:rsid w:val="001C7B6C"/>
    <w:rsid w:val="001E345C"/>
    <w:rsid w:val="001E4DDA"/>
    <w:rsid w:val="001F25B1"/>
    <w:rsid w:val="001F4094"/>
    <w:rsid w:val="001F5750"/>
    <w:rsid w:val="001F65EA"/>
    <w:rsid w:val="001F78AF"/>
    <w:rsid w:val="00201696"/>
    <w:rsid w:val="00201CBF"/>
    <w:rsid w:val="0020266E"/>
    <w:rsid w:val="002028EE"/>
    <w:rsid w:val="00206C2E"/>
    <w:rsid w:val="00206F55"/>
    <w:rsid w:val="00211081"/>
    <w:rsid w:val="002202DD"/>
    <w:rsid w:val="002207F4"/>
    <w:rsid w:val="00221828"/>
    <w:rsid w:val="002232A8"/>
    <w:rsid w:val="002236FD"/>
    <w:rsid w:val="00223C9D"/>
    <w:rsid w:val="00234AE9"/>
    <w:rsid w:val="00235C67"/>
    <w:rsid w:val="00236372"/>
    <w:rsid w:val="00236630"/>
    <w:rsid w:val="00237836"/>
    <w:rsid w:val="0024146E"/>
    <w:rsid w:val="0024198B"/>
    <w:rsid w:val="0024215B"/>
    <w:rsid w:val="00246194"/>
    <w:rsid w:val="00247D9B"/>
    <w:rsid w:val="00250E5D"/>
    <w:rsid w:val="00254997"/>
    <w:rsid w:val="00255CF3"/>
    <w:rsid w:val="00260908"/>
    <w:rsid w:val="00261441"/>
    <w:rsid w:val="0026254C"/>
    <w:rsid w:val="00262F53"/>
    <w:rsid w:val="00263CE3"/>
    <w:rsid w:val="002679DA"/>
    <w:rsid w:val="002708F4"/>
    <w:rsid w:val="002759ED"/>
    <w:rsid w:val="00276F84"/>
    <w:rsid w:val="002855FF"/>
    <w:rsid w:val="00295B8A"/>
    <w:rsid w:val="00296058"/>
    <w:rsid w:val="002A00F9"/>
    <w:rsid w:val="002A5383"/>
    <w:rsid w:val="002B01F9"/>
    <w:rsid w:val="002B0555"/>
    <w:rsid w:val="002B0ECC"/>
    <w:rsid w:val="002B1F1E"/>
    <w:rsid w:val="002B29D2"/>
    <w:rsid w:val="002B6F69"/>
    <w:rsid w:val="002B73C9"/>
    <w:rsid w:val="002C09BA"/>
    <w:rsid w:val="002C0DEE"/>
    <w:rsid w:val="002C1888"/>
    <w:rsid w:val="002C3C82"/>
    <w:rsid w:val="002C6A1E"/>
    <w:rsid w:val="002C6B1C"/>
    <w:rsid w:val="002C7990"/>
    <w:rsid w:val="002D4CBA"/>
    <w:rsid w:val="002D523F"/>
    <w:rsid w:val="002D6B57"/>
    <w:rsid w:val="002D70EF"/>
    <w:rsid w:val="002E14E5"/>
    <w:rsid w:val="002E24B0"/>
    <w:rsid w:val="002E5098"/>
    <w:rsid w:val="002E66BB"/>
    <w:rsid w:val="002E75F0"/>
    <w:rsid w:val="002F71CB"/>
    <w:rsid w:val="002F7BD1"/>
    <w:rsid w:val="0030361C"/>
    <w:rsid w:val="0030520C"/>
    <w:rsid w:val="0031036A"/>
    <w:rsid w:val="003129D1"/>
    <w:rsid w:val="003150F2"/>
    <w:rsid w:val="00316501"/>
    <w:rsid w:val="00324B78"/>
    <w:rsid w:val="00325395"/>
    <w:rsid w:val="00331B56"/>
    <w:rsid w:val="0033341D"/>
    <w:rsid w:val="003337A1"/>
    <w:rsid w:val="00333D2A"/>
    <w:rsid w:val="00337674"/>
    <w:rsid w:val="00342344"/>
    <w:rsid w:val="003425C6"/>
    <w:rsid w:val="003525C4"/>
    <w:rsid w:val="003542B1"/>
    <w:rsid w:val="0035570E"/>
    <w:rsid w:val="0036078E"/>
    <w:rsid w:val="00364454"/>
    <w:rsid w:val="00370BC7"/>
    <w:rsid w:val="00371487"/>
    <w:rsid w:val="00372E9C"/>
    <w:rsid w:val="003744F3"/>
    <w:rsid w:val="00374A5E"/>
    <w:rsid w:val="00375806"/>
    <w:rsid w:val="00375BF3"/>
    <w:rsid w:val="00375F3E"/>
    <w:rsid w:val="0037641D"/>
    <w:rsid w:val="003822DA"/>
    <w:rsid w:val="00382A7E"/>
    <w:rsid w:val="0038438A"/>
    <w:rsid w:val="0039048D"/>
    <w:rsid w:val="003928EA"/>
    <w:rsid w:val="00394437"/>
    <w:rsid w:val="003967B6"/>
    <w:rsid w:val="003974A9"/>
    <w:rsid w:val="003979C9"/>
    <w:rsid w:val="003A0EE1"/>
    <w:rsid w:val="003A2063"/>
    <w:rsid w:val="003A227C"/>
    <w:rsid w:val="003A3048"/>
    <w:rsid w:val="003A4A92"/>
    <w:rsid w:val="003A7947"/>
    <w:rsid w:val="003B0ACB"/>
    <w:rsid w:val="003B2008"/>
    <w:rsid w:val="003B39A8"/>
    <w:rsid w:val="003B5A28"/>
    <w:rsid w:val="003B6BE2"/>
    <w:rsid w:val="003B7DF7"/>
    <w:rsid w:val="003B7ED6"/>
    <w:rsid w:val="003C276F"/>
    <w:rsid w:val="003C29F4"/>
    <w:rsid w:val="003C3BA7"/>
    <w:rsid w:val="003C4D74"/>
    <w:rsid w:val="003D4E7B"/>
    <w:rsid w:val="003D6240"/>
    <w:rsid w:val="003D6AA0"/>
    <w:rsid w:val="003E0F05"/>
    <w:rsid w:val="003E312B"/>
    <w:rsid w:val="003E33FB"/>
    <w:rsid w:val="003E4691"/>
    <w:rsid w:val="003E5D02"/>
    <w:rsid w:val="003E5ECC"/>
    <w:rsid w:val="003E6390"/>
    <w:rsid w:val="003F149F"/>
    <w:rsid w:val="003F4502"/>
    <w:rsid w:val="003F56B1"/>
    <w:rsid w:val="00400B18"/>
    <w:rsid w:val="00402944"/>
    <w:rsid w:val="00403B15"/>
    <w:rsid w:val="00406F14"/>
    <w:rsid w:val="00412747"/>
    <w:rsid w:val="004128FA"/>
    <w:rsid w:val="0041304B"/>
    <w:rsid w:val="0041378A"/>
    <w:rsid w:val="00414A34"/>
    <w:rsid w:val="00422943"/>
    <w:rsid w:val="00423653"/>
    <w:rsid w:val="004247CA"/>
    <w:rsid w:val="00426F87"/>
    <w:rsid w:val="0043774E"/>
    <w:rsid w:val="004409DD"/>
    <w:rsid w:val="004501CE"/>
    <w:rsid w:val="004540AE"/>
    <w:rsid w:val="0045651A"/>
    <w:rsid w:val="0046049A"/>
    <w:rsid w:val="00462056"/>
    <w:rsid w:val="0046209A"/>
    <w:rsid w:val="00462993"/>
    <w:rsid w:val="00464BA2"/>
    <w:rsid w:val="00476573"/>
    <w:rsid w:val="004801DC"/>
    <w:rsid w:val="00483ED1"/>
    <w:rsid w:val="00483F7C"/>
    <w:rsid w:val="00485989"/>
    <w:rsid w:val="00485C23"/>
    <w:rsid w:val="00485E5F"/>
    <w:rsid w:val="00485F8E"/>
    <w:rsid w:val="0048602A"/>
    <w:rsid w:val="00486C8B"/>
    <w:rsid w:val="00490066"/>
    <w:rsid w:val="00490CCD"/>
    <w:rsid w:val="0049356D"/>
    <w:rsid w:val="004946BB"/>
    <w:rsid w:val="00495F4E"/>
    <w:rsid w:val="00497676"/>
    <w:rsid w:val="004A08A5"/>
    <w:rsid w:val="004A64DF"/>
    <w:rsid w:val="004A6CBB"/>
    <w:rsid w:val="004A7BE9"/>
    <w:rsid w:val="004B2A57"/>
    <w:rsid w:val="004B2BA5"/>
    <w:rsid w:val="004C4577"/>
    <w:rsid w:val="004C76C6"/>
    <w:rsid w:val="004D0148"/>
    <w:rsid w:val="004E00A2"/>
    <w:rsid w:val="004E08B7"/>
    <w:rsid w:val="004E0DDC"/>
    <w:rsid w:val="004E200A"/>
    <w:rsid w:val="004E25F8"/>
    <w:rsid w:val="004E2E5A"/>
    <w:rsid w:val="004E48FD"/>
    <w:rsid w:val="004E686D"/>
    <w:rsid w:val="004F3121"/>
    <w:rsid w:val="004F5044"/>
    <w:rsid w:val="004F69A4"/>
    <w:rsid w:val="00500E76"/>
    <w:rsid w:val="00500F67"/>
    <w:rsid w:val="00501876"/>
    <w:rsid w:val="00501A97"/>
    <w:rsid w:val="005046B0"/>
    <w:rsid w:val="00504758"/>
    <w:rsid w:val="00505554"/>
    <w:rsid w:val="00506C7A"/>
    <w:rsid w:val="00506D17"/>
    <w:rsid w:val="00512775"/>
    <w:rsid w:val="005127F8"/>
    <w:rsid w:val="00512C76"/>
    <w:rsid w:val="00515F4D"/>
    <w:rsid w:val="0051632E"/>
    <w:rsid w:val="005165CB"/>
    <w:rsid w:val="00517673"/>
    <w:rsid w:val="0051769A"/>
    <w:rsid w:val="00517A96"/>
    <w:rsid w:val="00522CE7"/>
    <w:rsid w:val="00523FB2"/>
    <w:rsid w:val="00524981"/>
    <w:rsid w:val="00526076"/>
    <w:rsid w:val="00545996"/>
    <w:rsid w:val="00545EA4"/>
    <w:rsid w:val="005474AE"/>
    <w:rsid w:val="0055469D"/>
    <w:rsid w:val="00555256"/>
    <w:rsid w:val="0055539B"/>
    <w:rsid w:val="00555A1E"/>
    <w:rsid w:val="00555B36"/>
    <w:rsid w:val="00556AC5"/>
    <w:rsid w:val="00556CFE"/>
    <w:rsid w:val="005601C8"/>
    <w:rsid w:val="00560BCE"/>
    <w:rsid w:val="00563138"/>
    <w:rsid w:val="00564F23"/>
    <w:rsid w:val="00565936"/>
    <w:rsid w:val="00565B64"/>
    <w:rsid w:val="00566A47"/>
    <w:rsid w:val="0057322D"/>
    <w:rsid w:val="0057426C"/>
    <w:rsid w:val="00574A24"/>
    <w:rsid w:val="0057690E"/>
    <w:rsid w:val="00576B19"/>
    <w:rsid w:val="0058170B"/>
    <w:rsid w:val="005818E7"/>
    <w:rsid w:val="005868D6"/>
    <w:rsid w:val="00586C7A"/>
    <w:rsid w:val="00590CC1"/>
    <w:rsid w:val="00593D6C"/>
    <w:rsid w:val="00594D8C"/>
    <w:rsid w:val="005954D1"/>
    <w:rsid w:val="00595955"/>
    <w:rsid w:val="00595A35"/>
    <w:rsid w:val="005964B8"/>
    <w:rsid w:val="005A02AE"/>
    <w:rsid w:val="005A151D"/>
    <w:rsid w:val="005A43B0"/>
    <w:rsid w:val="005A4D6E"/>
    <w:rsid w:val="005A4F60"/>
    <w:rsid w:val="005B0D2C"/>
    <w:rsid w:val="005B0EE8"/>
    <w:rsid w:val="005B43D6"/>
    <w:rsid w:val="005B7B1D"/>
    <w:rsid w:val="005C232F"/>
    <w:rsid w:val="005C2B7E"/>
    <w:rsid w:val="005C336C"/>
    <w:rsid w:val="005C4A3E"/>
    <w:rsid w:val="005D1AC1"/>
    <w:rsid w:val="005D502D"/>
    <w:rsid w:val="005D559E"/>
    <w:rsid w:val="005E1EFB"/>
    <w:rsid w:val="005E278A"/>
    <w:rsid w:val="005E38B0"/>
    <w:rsid w:val="005E52A5"/>
    <w:rsid w:val="005E5745"/>
    <w:rsid w:val="005F4B2B"/>
    <w:rsid w:val="005F4E3E"/>
    <w:rsid w:val="00604D11"/>
    <w:rsid w:val="00606DC3"/>
    <w:rsid w:val="00611E9C"/>
    <w:rsid w:val="006156B0"/>
    <w:rsid w:val="006162C4"/>
    <w:rsid w:val="0061767C"/>
    <w:rsid w:val="006203D4"/>
    <w:rsid w:val="00623064"/>
    <w:rsid w:val="00624299"/>
    <w:rsid w:val="00631B65"/>
    <w:rsid w:val="00631C87"/>
    <w:rsid w:val="006329BB"/>
    <w:rsid w:val="00633C43"/>
    <w:rsid w:val="00634F13"/>
    <w:rsid w:val="00635F03"/>
    <w:rsid w:val="006361C9"/>
    <w:rsid w:val="00636B5A"/>
    <w:rsid w:val="00640230"/>
    <w:rsid w:val="00640552"/>
    <w:rsid w:val="00640E7A"/>
    <w:rsid w:val="00641AAE"/>
    <w:rsid w:val="006449FF"/>
    <w:rsid w:val="006455F5"/>
    <w:rsid w:val="0064757B"/>
    <w:rsid w:val="00647756"/>
    <w:rsid w:val="0065094F"/>
    <w:rsid w:val="00651C1A"/>
    <w:rsid w:val="0065554A"/>
    <w:rsid w:val="00655CB4"/>
    <w:rsid w:val="00660753"/>
    <w:rsid w:val="00663B5B"/>
    <w:rsid w:val="0066706D"/>
    <w:rsid w:val="00667474"/>
    <w:rsid w:val="00670848"/>
    <w:rsid w:val="00683C89"/>
    <w:rsid w:val="00690FEC"/>
    <w:rsid w:val="0069160E"/>
    <w:rsid w:val="00693815"/>
    <w:rsid w:val="00693D7D"/>
    <w:rsid w:val="00697319"/>
    <w:rsid w:val="006A3795"/>
    <w:rsid w:val="006A460E"/>
    <w:rsid w:val="006A49DB"/>
    <w:rsid w:val="006A4D25"/>
    <w:rsid w:val="006A70DA"/>
    <w:rsid w:val="006A710C"/>
    <w:rsid w:val="006A7B58"/>
    <w:rsid w:val="006B0168"/>
    <w:rsid w:val="006B7E87"/>
    <w:rsid w:val="006C0319"/>
    <w:rsid w:val="006C16F3"/>
    <w:rsid w:val="006C1D8A"/>
    <w:rsid w:val="006D00BA"/>
    <w:rsid w:val="006D17E2"/>
    <w:rsid w:val="006D3EB9"/>
    <w:rsid w:val="006D4625"/>
    <w:rsid w:val="006E0590"/>
    <w:rsid w:val="006E3C7F"/>
    <w:rsid w:val="006E6078"/>
    <w:rsid w:val="006E6234"/>
    <w:rsid w:val="006F0D7B"/>
    <w:rsid w:val="006F129E"/>
    <w:rsid w:val="006F33D0"/>
    <w:rsid w:val="006F465D"/>
    <w:rsid w:val="006F5E61"/>
    <w:rsid w:val="00702668"/>
    <w:rsid w:val="007028C7"/>
    <w:rsid w:val="007073F2"/>
    <w:rsid w:val="00710B2A"/>
    <w:rsid w:val="00710D71"/>
    <w:rsid w:val="007141BC"/>
    <w:rsid w:val="007168E1"/>
    <w:rsid w:val="007201CE"/>
    <w:rsid w:val="00720EDE"/>
    <w:rsid w:val="00721EC8"/>
    <w:rsid w:val="007255B9"/>
    <w:rsid w:val="0072599A"/>
    <w:rsid w:val="00727155"/>
    <w:rsid w:val="00730011"/>
    <w:rsid w:val="00734A85"/>
    <w:rsid w:val="00734D8E"/>
    <w:rsid w:val="00736182"/>
    <w:rsid w:val="00737C12"/>
    <w:rsid w:val="007419A8"/>
    <w:rsid w:val="007420E0"/>
    <w:rsid w:val="00742272"/>
    <w:rsid w:val="007444EE"/>
    <w:rsid w:val="0074484E"/>
    <w:rsid w:val="00746B76"/>
    <w:rsid w:val="00746F80"/>
    <w:rsid w:val="00747EAA"/>
    <w:rsid w:val="007504E0"/>
    <w:rsid w:val="007514B7"/>
    <w:rsid w:val="007533C3"/>
    <w:rsid w:val="00756B46"/>
    <w:rsid w:val="007573E8"/>
    <w:rsid w:val="00761317"/>
    <w:rsid w:val="007613D9"/>
    <w:rsid w:val="007669DF"/>
    <w:rsid w:val="00771100"/>
    <w:rsid w:val="007715BA"/>
    <w:rsid w:val="007728C4"/>
    <w:rsid w:val="007737C3"/>
    <w:rsid w:val="007748C5"/>
    <w:rsid w:val="00774956"/>
    <w:rsid w:val="0077679C"/>
    <w:rsid w:val="00777B67"/>
    <w:rsid w:val="00777EE4"/>
    <w:rsid w:val="007863B2"/>
    <w:rsid w:val="00786978"/>
    <w:rsid w:val="00790F3A"/>
    <w:rsid w:val="00793319"/>
    <w:rsid w:val="007966DC"/>
    <w:rsid w:val="007A0AF9"/>
    <w:rsid w:val="007A3801"/>
    <w:rsid w:val="007A68D8"/>
    <w:rsid w:val="007A717E"/>
    <w:rsid w:val="007B169A"/>
    <w:rsid w:val="007B2CB1"/>
    <w:rsid w:val="007B2FB7"/>
    <w:rsid w:val="007B3079"/>
    <w:rsid w:val="007B434C"/>
    <w:rsid w:val="007B4DE8"/>
    <w:rsid w:val="007B537D"/>
    <w:rsid w:val="007B54BB"/>
    <w:rsid w:val="007B7300"/>
    <w:rsid w:val="007C3897"/>
    <w:rsid w:val="007C3D0B"/>
    <w:rsid w:val="007C5BF4"/>
    <w:rsid w:val="007C69CB"/>
    <w:rsid w:val="007D5F09"/>
    <w:rsid w:val="007E0F24"/>
    <w:rsid w:val="007E28A3"/>
    <w:rsid w:val="007F3D3A"/>
    <w:rsid w:val="007F6961"/>
    <w:rsid w:val="007F6A31"/>
    <w:rsid w:val="007F6A7D"/>
    <w:rsid w:val="007F6B8E"/>
    <w:rsid w:val="007F751C"/>
    <w:rsid w:val="007F7C30"/>
    <w:rsid w:val="00801BEE"/>
    <w:rsid w:val="00802AC8"/>
    <w:rsid w:val="008036A0"/>
    <w:rsid w:val="00804ADD"/>
    <w:rsid w:val="0080656F"/>
    <w:rsid w:val="00811BEF"/>
    <w:rsid w:val="008204E4"/>
    <w:rsid w:val="00825929"/>
    <w:rsid w:val="00825DD2"/>
    <w:rsid w:val="00826540"/>
    <w:rsid w:val="00827708"/>
    <w:rsid w:val="008307E8"/>
    <w:rsid w:val="00831B92"/>
    <w:rsid w:val="00834CA8"/>
    <w:rsid w:val="00837117"/>
    <w:rsid w:val="00837417"/>
    <w:rsid w:val="00845C22"/>
    <w:rsid w:val="00846B0E"/>
    <w:rsid w:val="008513C3"/>
    <w:rsid w:val="00851698"/>
    <w:rsid w:val="00856065"/>
    <w:rsid w:val="0086000A"/>
    <w:rsid w:val="008601A6"/>
    <w:rsid w:val="00862CB4"/>
    <w:rsid w:val="00862F47"/>
    <w:rsid w:val="008658DE"/>
    <w:rsid w:val="00866E42"/>
    <w:rsid w:val="0086776E"/>
    <w:rsid w:val="0087131C"/>
    <w:rsid w:val="00871AEF"/>
    <w:rsid w:val="008745D6"/>
    <w:rsid w:val="008809A3"/>
    <w:rsid w:val="0088114F"/>
    <w:rsid w:val="00882859"/>
    <w:rsid w:val="00886AC9"/>
    <w:rsid w:val="00887205"/>
    <w:rsid w:val="00890165"/>
    <w:rsid w:val="008922EB"/>
    <w:rsid w:val="008925A0"/>
    <w:rsid w:val="00893512"/>
    <w:rsid w:val="00897E27"/>
    <w:rsid w:val="008A0E28"/>
    <w:rsid w:val="008A30AF"/>
    <w:rsid w:val="008A3A08"/>
    <w:rsid w:val="008A699B"/>
    <w:rsid w:val="008B0384"/>
    <w:rsid w:val="008B0923"/>
    <w:rsid w:val="008B0FEC"/>
    <w:rsid w:val="008B12C0"/>
    <w:rsid w:val="008B4673"/>
    <w:rsid w:val="008B624E"/>
    <w:rsid w:val="008C0A1D"/>
    <w:rsid w:val="008C291D"/>
    <w:rsid w:val="008C2D29"/>
    <w:rsid w:val="008C4862"/>
    <w:rsid w:val="008C7FAD"/>
    <w:rsid w:val="008D065C"/>
    <w:rsid w:val="008D1490"/>
    <w:rsid w:val="008D2961"/>
    <w:rsid w:val="008D6BB5"/>
    <w:rsid w:val="008E15AA"/>
    <w:rsid w:val="008E329B"/>
    <w:rsid w:val="008E6E85"/>
    <w:rsid w:val="008F164F"/>
    <w:rsid w:val="008F41CF"/>
    <w:rsid w:val="008F7338"/>
    <w:rsid w:val="008F7F70"/>
    <w:rsid w:val="00903F1E"/>
    <w:rsid w:val="00910114"/>
    <w:rsid w:val="00911275"/>
    <w:rsid w:val="00920FAB"/>
    <w:rsid w:val="0092122F"/>
    <w:rsid w:val="00922013"/>
    <w:rsid w:val="00922060"/>
    <w:rsid w:val="009227F9"/>
    <w:rsid w:val="00922BAD"/>
    <w:rsid w:val="0092368A"/>
    <w:rsid w:val="00924079"/>
    <w:rsid w:val="009321EB"/>
    <w:rsid w:val="00933CC0"/>
    <w:rsid w:val="00935D9E"/>
    <w:rsid w:val="009407B3"/>
    <w:rsid w:val="00947326"/>
    <w:rsid w:val="009501BE"/>
    <w:rsid w:val="00960773"/>
    <w:rsid w:val="00966DDB"/>
    <w:rsid w:val="00967C6F"/>
    <w:rsid w:val="0097169D"/>
    <w:rsid w:val="00972608"/>
    <w:rsid w:val="0097274C"/>
    <w:rsid w:val="00974067"/>
    <w:rsid w:val="009753FE"/>
    <w:rsid w:val="009770AB"/>
    <w:rsid w:val="00982503"/>
    <w:rsid w:val="00985668"/>
    <w:rsid w:val="00992EAE"/>
    <w:rsid w:val="00993E84"/>
    <w:rsid w:val="009944FE"/>
    <w:rsid w:val="0099555E"/>
    <w:rsid w:val="00996B49"/>
    <w:rsid w:val="00996C11"/>
    <w:rsid w:val="009A04A9"/>
    <w:rsid w:val="009B1017"/>
    <w:rsid w:val="009B2965"/>
    <w:rsid w:val="009B3F56"/>
    <w:rsid w:val="009B6902"/>
    <w:rsid w:val="009B6FB7"/>
    <w:rsid w:val="009C0B78"/>
    <w:rsid w:val="009C40A8"/>
    <w:rsid w:val="009C4920"/>
    <w:rsid w:val="009C4A6C"/>
    <w:rsid w:val="009C5DF6"/>
    <w:rsid w:val="009C6238"/>
    <w:rsid w:val="009C6BDB"/>
    <w:rsid w:val="009C6C4B"/>
    <w:rsid w:val="009C6FDC"/>
    <w:rsid w:val="009D110E"/>
    <w:rsid w:val="009D13E5"/>
    <w:rsid w:val="009D18A9"/>
    <w:rsid w:val="009D1D4D"/>
    <w:rsid w:val="009D29FB"/>
    <w:rsid w:val="009D54C4"/>
    <w:rsid w:val="009E0408"/>
    <w:rsid w:val="009E07C2"/>
    <w:rsid w:val="009E222F"/>
    <w:rsid w:val="009E2B5A"/>
    <w:rsid w:val="009E3871"/>
    <w:rsid w:val="009E3D3E"/>
    <w:rsid w:val="009E4361"/>
    <w:rsid w:val="009E4F9D"/>
    <w:rsid w:val="009E5FF9"/>
    <w:rsid w:val="009E616A"/>
    <w:rsid w:val="009E71CE"/>
    <w:rsid w:val="009E7823"/>
    <w:rsid w:val="009F3784"/>
    <w:rsid w:val="009F5E9C"/>
    <w:rsid w:val="009F7478"/>
    <w:rsid w:val="009F7C9B"/>
    <w:rsid w:val="00A0266C"/>
    <w:rsid w:val="00A02CE0"/>
    <w:rsid w:val="00A0512C"/>
    <w:rsid w:val="00A10212"/>
    <w:rsid w:val="00A10792"/>
    <w:rsid w:val="00A10E49"/>
    <w:rsid w:val="00A159E9"/>
    <w:rsid w:val="00A2061B"/>
    <w:rsid w:val="00A218E6"/>
    <w:rsid w:val="00A2482C"/>
    <w:rsid w:val="00A25746"/>
    <w:rsid w:val="00A26699"/>
    <w:rsid w:val="00A30388"/>
    <w:rsid w:val="00A329E3"/>
    <w:rsid w:val="00A35B53"/>
    <w:rsid w:val="00A35E5D"/>
    <w:rsid w:val="00A4497B"/>
    <w:rsid w:val="00A4664A"/>
    <w:rsid w:val="00A51D04"/>
    <w:rsid w:val="00A56A07"/>
    <w:rsid w:val="00A60B7E"/>
    <w:rsid w:val="00A61533"/>
    <w:rsid w:val="00A63B46"/>
    <w:rsid w:val="00A63F24"/>
    <w:rsid w:val="00A665F0"/>
    <w:rsid w:val="00A677FB"/>
    <w:rsid w:val="00A7469F"/>
    <w:rsid w:val="00A74912"/>
    <w:rsid w:val="00A80A56"/>
    <w:rsid w:val="00A81010"/>
    <w:rsid w:val="00A81E44"/>
    <w:rsid w:val="00A82902"/>
    <w:rsid w:val="00A83E3E"/>
    <w:rsid w:val="00A84ACC"/>
    <w:rsid w:val="00A86E51"/>
    <w:rsid w:val="00A914CA"/>
    <w:rsid w:val="00A92C2C"/>
    <w:rsid w:val="00A938A4"/>
    <w:rsid w:val="00AA1503"/>
    <w:rsid w:val="00AA1516"/>
    <w:rsid w:val="00AA2B62"/>
    <w:rsid w:val="00AA34D5"/>
    <w:rsid w:val="00AA7D5D"/>
    <w:rsid w:val="00AB21FA"/>
    <w:rsid w:val="00AB28D0"/>
    <w:rsid w:val="00AB3053"/>
    <w:rsid w:val="00AB5936"/>
    <w:rsid w:val="00AC4EB9"/>
    <w:rsid w:val="00AC58B5"/>
    <w:rsid w:val="00AC651B"/>
    <w:rsid w:val="00AC7585"/>
    <w:rsid w:val="00AC7D66"/>
    <w:rsid w:val="00AD3C15"/>
    <w:rsid w:val="00AD41BA"/>
    <w:rsid w:val="00AE00E8"/>
    <w:rsid w:val="00AE55F1"/>
    <w:rsid w:val="00AE6843"/>
    <w:rsid w:val="00AE6D74"/>
    <w:rsid w:val="00AF0BB8"/>
    <w:rsid w:val="00AF45DD"/>
    <w:rsid w:val="00AF5478"/>
    <w:rsid w:val="00AF5D89"/>
    <w:rsid w:val="00B00880"/>
    <w:rsid w:val="00B01E5C"/>
    <w:rsid w:val="00B0244A"/>
    <w:rsid w:val="00B10B1D"/>
    <w:rsid w:val="00B1155E"/>
    <w:rsid w:val="00B129F2"/>
    <w:rsid w:val="00B1544B"/>
    <w:rsid w:val="00B16E72"/>
    <w:rsid w:val="00B23997"/>
    <w:rsid w:val="00B24D74"/>
    <w:rsid w:val="00B24D94"/>
    <w:rsid w:val="00B307E5"/>
    <w:rsid w:val="00B326E1"/>
    <w:rsid w:val="00B338EE"/>
    <w:rsid w:val="00B35B1B"/>
    <w:rsid w:val="00B36179"/>
    <w:rsid w:val="00B3654B"/>
    <w:rsid w:val="00B407DE"/>
    <w:rsid w:val="00B42D61"/>
    <w:rsid w:val="00B43518"/>
    <w:rsid w:val="00B46303"/>
    <w:rsid w:val="00B478B1"/>
    <w:rsid w:val="00B512BD"/>
    <w:rsid w:val="00B51A6C"/>
    <w:rsid w:val="00B569E5"/>
    <w:rsid w:val="00B61BEC"/>
    <w:rsid w:val="00B62B24"/>
    <w:rsid w:val="00B63345"/>
    <w:rsid w:val="00B63C72"/>
    <w:rsid w:val="00B644C7"/>
    <w:rsid w:val="00B65555"/>
    <w:rsid w:val="00B66136"/>
    <w:rsid w:val="00B70C0B"/>
    <w:rsid w:val="00B766A8"/>
    <w:rsid w:val="00B77973"/>
    <w:rsid w:val="00B87B5D"/>
    <w:rsid w:val="00B910C2"/>
    <w:rsid w:val="00B9134C"/>
    <w:rsid w:val="00B92A3B"/>
    <w:rsid w:val="00B93DC7"/>
    <w:rsid w:val="00B9481E"/>
    <w:rsid w:val="00BA0CD3"/>
    <w:rsid w:val="00BA1DC6"/>
    <w:rsid w:val="00BA2821"/>
    <w:rsid w:val="00BA4ACD"/>
    <w:rsid w:val="00BA70B7"/>
    <w:rsid w:val="00BB49C7"/>
    <w:rsid w:val="00BB5A05"/>
    <w:rsid w:val="00BB6F7B"/>
    <w:rsid w:val="00BC07B2"/>
    <w:rsid w:val="00BC5D5A"/>
    <w:rsid w:val="00BC7789"/>
    <w:rsid w:val="00BD12CA"/>
    <w:rsid w:val="00BD1AE1"/>
    <w:rsid w:val="00BD6564"/>
    <w:rsid w:val="00BE0405"/>
    <w:rsid w:val="00BE2D23"/>
    <w:rsid w:val="00BE3D81"/>
    <w:rsid w:val="00BE70E4"/>
    <w:rsid w:val="00BE7411"/>
    <w:rsid w:val="00BF0758"/>
    <w:rsid w:val="00BF1F9F"/>
    <w:rsid w:val="00BF31F8"/>
    <w:rsid w:val="00BF3875"/>
    <w:rsid w:val="00BF4C1B"/>
    <w:rsid w:val="00BF4D53"/>
    <w:rsid w:val="00BF5852"/>
    <w:rsid w:val="00BF756B"/>
    <w:rsid w:val="00C006B6"/>
    <w:rsid w:val="00C024B6"/>
    <w:rsid w:val="00C07854"/>
    <w:rsid w:val="00C102C1"/>
    <w:rsid w:val="00C1076A"/>
    <w:rsid w:val="00C13917"/>
    <w:rsid w:val="00C16151"/>
    <w:rsid w:val="00C161B3"/>
    <w:rsid w:val="00C21198"/>
    <w:rsid w:val="00C30A33"/>
    <w:rsid w:val="00C32082"/>
    <w:rsid w:val="00C33A11"/>
    <w:rsid w:val="00C34600"/>
    <w:rsid w:val="00C410E2"/>
    <w:rsid w:val="00C428FE"/>
    <w:rsid w:val="00C4318B"/>
    <w:rsid w:val="00C46E6F"/>
    <w:rsid w:val="00C501A2"/>
    <w:rsid w:val="00C50B70"/>
    <w:rsid w:val="00C52B44"/>
    <w:rsid w:val="00C5313A"/>
    <w:rsid w:val="00C53B68"/>
    <w:rsid w:val="00C555A7"/>
    <w:rsid w:val="00C55DC6"/>
    <w:rsid w:val="00C566E0"/>
    <w:rsid w:val="00C605C2"/>
    <w:rsid w:val="00C631BF"/>
    <w:rsid w:val="00C64147"/>
    <w:rsid w:val="00C6666F"/>
    <w:rsid w:val="00C67233"/>
    <w:rsid w:val="00C712C9"/>
    <w:rsid w:val="00C77D81"/>
    <w:rsid w:val="00C85C72"/>
    <w:rsid w:val="00C86B27"/>
    <w:rsid w:val="00C91F94"/>
    <w:rsid w:val="00C95C4B"/>
    <w:rsid w:val="00CA049C"/>
    <w:rsid w:val="00CA0B16"/>
    <w:rsid w:val="00CA1098"/>
    <w:rsid w:val="00CA5E78"/>
    <w:rsid w:val="00CB3171"/>
    <w:rsid w:val="00CB58CE"/>
    <w:rsid w:val="00CB6B57"/>
    <w:rsid w:val="00CB70E5"/>
    <w:rsid w:val="00CB729D"/>
    <w:rsid w:val="00CC4084"/>
    <w:rsid w:val="00CC4E33"/>
    <w:rsid w:val="00CC70AE"/>
    <w:rsid w:val="00CD1AE7"/>
    <w:rsid w:val="00CD26EF"/>
    <w:rsid w:val="00CD3F6F"/>
    <w:rsid w:val="00CD58B3"/>
    <w:rsid w:val="00CD6428"/>
    <w:rsid w:val="00CD7B22"/>
    <w:rsid w:val="00CD7CDD"/>
    <w:rsid w:val="00CE08BA"/>
    <w:rsid w:val="00CE0E8E"/>
    <w:rsid w:val="00CE1002"/>
    <w:rsid w:val="00CE6E57"/>
    <w:rsid w:val="00CF1CF7"/>
    <w:rsid w:val="00CF22C4"/>
    <w:rsid w:val="00CF3538"/>
    <w:rsid w:val="00CF3552"/>
    <w:rsid w:val="00CF66EE"/>
    <w:rsid w:val="00CF683D"/>
    <w:rsid w:val="00D05EF1"/>
    <w:rsid w:val="00D062A0"/>
    <w:rsid w:val="00D06B89"/>
    <w:rsid w:val="00D147B1"/>
    <w:rsid w:val="00D20054"/>
    <w:rsid w:val="00D209E0"/>
    <w:rsid w:val="00D20D8C"/>
    <w:rsid w:val="00D230F7"/>
    <w:rsid w:val="00D24BE1"/>
    <w:rsid w:val="00D26F11"/>
    <w:rsid w:val="00D31587"/>
    <w:rsid w:val="00D33D77"/>
    <w:rsid w:val="00D34A9D"/>
    <w:rsid w:val="00D378FF"/>
    <w:rsid w:val="00D37CBA"/>
    <w:rsid w:val="00D411FA"/>
    <w:rsid w:val="00D4139C"/>
    <w:rsid w:val="00D41831"/>
    <w:rsid w:val="00D418C7"/>
    <w:rsid w:val="00D44827"/>
    <w:rsid w:val="00D451EA"/>
    <w:rsid w:val="00D51376"/>
    <w:rsid w:val="00D51387"/>
    <w:rsid w:val="00D51A56"/>
    <w:rsid w:val="00D54714"/>
    <w:rsid w:val="00D56230"/>
    <w:rsid w:val="00D601BF"/>
    <w:rsid w:val="00D61C10"/>
    <w:rsid w:val="00D62249"/>
    <w:rsid w:val="00D64432"/>
    <w:rsid w:val="00D64C31"/>
    <w:rsid w:val="00D65D7C"/>
    <w:rsid w:val="00D73C39"/>
    <w:rsid w:val="00D819D4"/>
    <w:rsid w:val="00D82795"/>
    <w:rsid w:val="00D82A44"/>
    <w:rsid w:val="00D82F9E"/>
    <w:rsid w:val="00D86BA6"/>
    <w:rsid w:val="00D916B9"/>
    <w:rsid w:val="00D96D79"/>
    <w:rsid w:val="00D9797F"/>
    <w:rsid w:val="00DA2AB7"/>
    <w:rsid w:val="00DA5687"/>
    <w:rsid w:val="00DA5D14"/>
    <w:rsid w:val="00DB0171"/>
    <w:rsid w:val="00DB1E27"/>
    <w:rsid w:val="00DB24F1"/>
    <w:rsid w:val="00DB3DAD"/>
    <w:rsid w:val="00DB640C"/>
    <w:rsid w:val="00DB7D0E"/>
    <w:rsid w:val="00DC47F9"/>
    <w:rsid w:val="00DC5BFA"/>
    <w:rsid w:val="00DD3883"/>
    <w:rsid w:val="00DD6DD8"/>
    <w:rsid w:val="00DD6FBB"/>
    <w:rsid w:val="00DD7AB7"/>
    <w:rsid w:val="00DE4D84"/>
    <w:rsid w:val="00DE4DEE"/>
    <w:rsid w:val="00DE5279"/>
    <w:rsid w:val="00DE61E0"/>
    <w:rsid w:val="00DE732C"/>
    <w:rsid w:val="00DE7FCE"/>
    <w:rsid w:val="00DF13E8"/>
    <w:rsid w:val="00DF1BA0"/>
    <w:rsid w:val="00DF7EEA"/>
    <w:rsid w:val="00E00570"/>
    <w:rsid w:val="00E027BF"/>
    <w:rsid w:val="00E03811"/>
    <w:rsid w:val="00E03B71"/>
    <w:rsid w:val="00E120A6"/>
    <w:rsid w:val="00E12823"/>
    <w:rsid w:val="00E146AC"/>
    <w:rsid w:val="00E175BE"/>
    <w:rsid w:val="00E215B4"/>
    <w:rsid w:val="00E22147"/>
    <w:rsid w:val="00E352E1"/>
    <w:rsid w:val="00E35B28"/>
    <w:rsid w:val="00E37EE8"/>
    <w:rsid w:val="00E40901"/>
    <w:rsid w:val="00E43338"/>
    <w:rsid w:val="00E44433"/>
    <w:rsid w:val="00E47864"/>
    <w:rsid w:val="00E556D7"/>
    <w:rsid w:val="00E606EA"/>
    <w:rsid w:val="00E64909"/>
    <w:rsid w:val="00E64A3F"/>
    <w:rsid w:val="00E6531F"/>
    <w:rsid w:val="00E71B76"/>
    <w:rsid w:val="00E740B8"/>
    <w:rsid w:val="00E76ED5"/>
    <w:rsid w:val="00E800B8"/>
    <w:rsid w:val="00E8166D"/>
    <w:rsid w:val="00E8330D"/>
    <w:rsid w:val="00E86BA9"/>
    <w:rsid w:val="00E9046E"/>
    <w:rsid w:val="00E905B3"/>
    <w:rsid w:val="00E920BE"/>
    <w:rsid w:val="00E93EB6"/>
    <w:rsid w:val="00E953E4"/>
    <w:rsid w:val="00E96D32"/>
    <w:rsid w:val="00EA1D6A"/>
    <w:rsid w:val="00EA6548"/>
    <w:rsid w:val="00EA7535"/>
    <w:rsid w:val="00EB10C0"/>
    <w:rsid w:val="00EB201B"/>
    <w:rsid w:val="00EB4E4B"/>
    <w:rsid w:val="00EB52E3"/>
    <w:rsid w:val="00EC4B31"/>
    <w:rsid w:val="00EC7004"/>
    <w:rsid w:val="00ED007F"/>
    <w:rsid w:val="00ED0B15"/>
    <w:rsid w:val="00ED0D7C"/>
    <w:rsid w:val="00ED64BE"/>
    <w:rsid w:val="00EE05BD"/>
    <w:rsid w:val="00EE1261"/>
    <w:rsid w:val="00EE346C"/>
    <w:rsid w:val="00EE36B7"/>
    <w:rsid w:val="00EF3F00"/>
    <w:rsid w:val="00EF6E2C"/>
    <w:rsid w:val="00F015F4"/>
    <w:rsid w:val="00F01A47"/>
    <w:rsid w:val="00F06627"/>
    <w:rsid w:val="00F067E8"/>
    <w:rsid w:val="00F06C0C"/>
    <w:rsid w:val="00F1513A"/>
    <w:rsid w:val="00F20BDE"/>
    <w:rsid w:val="00F25C10"/>
    <w:rsid w:val="00F264D1"/>
    <w:rsid w:val="00F307DB"/>
    <w:rsid w:val="00F336B6"/>
    <w:rsid w:val="00F353D8"/>
    <w:rsid w:val="00F35B8E"/>
    <w:rsid w:val="00F35F77"/>
    <w:rsid w:val="00F42BFF"/>
    <w:rsid w:val="00F46C81"/>
    <w:rsid w:val="00F50A69"/>
    <w:rsid w:val="00F511E0"/>
    <w:rsid w:val="00F54489"/>
    <w:rsid w:val="00F56433"/>
    <w:rsid w:val="00F60284"/>
    <w:rsid w:val="00F63891"/>
    <w:rsid w:val="00F65CB9"/>
    <w:rsid w:val="00F673F4"/>
    <w:rsid w:val="00F713FD"/>
    <w:rsid w:val="00F71D7E"/>
    <w:rsid w:val="00F72DAD"/>
    <w:rsid w:val="00F75700"/>
    <w:rsid w:val="00F7737B"/>
    <w:rsid w:val="00F7786A"/>
    <w:rsid w:val="00F81971"/>
    <w:rsid w:val="00F837A4"/>
    <w:rsid w:val="00F849F3"/>
    <w:rsid w:val="00F857F9"/>
    <w:rsid w:val="00F86DF6"/>
    <w:rsid w:val="00F87798"/>
    <w:rsid w:val="00F91815"/>
    <w:rsid w:val="00F919C9"/>
    <w:rsid w:val="00F9228A"/>
    <w:rsid w:val="00F937BD"/>
    <w:rsid w:val="00FA00FB"/>
    <w:rsid w:val="00FA1A73"/>
    <w:rsid w:val="00FA688A"/>
    <w:rsid w:val="00FA75C6"/>
    <w:rsid w:val="00FB0636"/>
    <w:rsid w:val="00FB2C83"/>
    <w:rsid w:val="00FB5D0D"/>
    <w:rsid w:val="00FB7993"/>
    <w:rsid w:val="00FC0278"/>
    <w:rsid w:val="00FC10C8"/>
    <w:rsid w:val="00FC2267"/>
    <w:rsid w:val="00FC33F8"/>
    <w:rsid w:val="00FC7304"/>
    <w:rsid w:val="00FC7A45"/>
    <w:rsid w:val="00FC7FF7"/>
    <w:rsid w:val="00FD231C"/>
    <w:rsid w:val="00FD3EEA"/>
    <w:rsid w:val="00FD4510"/>
    <w:rsid w:val="00FD652B"/>
    <w:rsid w:val="00FD67D0"/>
    <w:rsid w:val="00FE21C9"/>
    <w:rsid w:val="00FE349B"/>
    <w:rsid w:val="00FE51A4"/>
    <w:rsid w:val="00FE5BC1"/>
    <w:rsid w:val="00FE640B"/>
    <w:rsid w:val="00FF5AF5"/>
    <w:rsid w:val="00FF70FC"/>
    <w:rsid w:val="00FF7874"/>
    <w:rsid w:val="0113368D"/>
    <w:rsid w:val="0164FE2C"/>
    <w:rsid w:val="01D16EF4"/>
    <w:rsid w:val="02147FFD"/>
    <w:rsid w:val="036D3F55"/>
    <w:rsid w:val="043B5174"/>
    <w:rsid w:val="0487648A"/>
    <w:rsid w:val="04F9A55C"/>
    <w:rsid w:val="05275AD6"/>
    <w:rsid w:val="054C99E2"/>
    <w:rsid w:val="059E5E68"/>
    <w:rsid w:val="05BB4447"/>
    <w:rsid w:val="05F14382"/>
    <w:rsid w:val="06503BBC"/>
    <w:rsid w:val="0679FDF0"/>
    <w:rsid w:val="06C32B37"/>
    <w:rsid w:val="079D9A8F"/>
    <w:rsid w:val="07AF059A"/>
    <w:rsid w:val="085EFB98"/>
    <w:rsid w:val="08C8BC5F"/>
    <w:rsid w:val="094D2D78"/>
    <w:rsid w:val="0952C245"/>
    <w:rsid w:val="0969044D"/>
    <w:rsid w:val="0AAFED84"/>
    <w:rsid w:val="0B425A98"/>
    <w:rsid w:val="0B7787EC"/>
    <w:rsid w:val="0C65A236"/>
    <w:rsid w:val="0CBB7541"/>
    <w:rsid w:val="0CE9494C"/>
    <w:rsid w:val="0D0DB277"/>
    <w:rsid w:val="0D873EE4"/>
    <w:rsid w:val="0DAB0440"/>
    <w:rsid w:val="0F237E9F"/>
    <w:rsid w:val="0F29F64E"/>
    <w:rsid w:val="0F95A865"/>
    <w:rsid w:val="0FAD879C"/>
    <w:rsid w:val="100CC2F9"/>
    <w:rsid w:val="104932A7"/>
    <w:rsid w:val="106BAC12"/>
    <w:rsid w:val="114AEB13"/>
    <w:rsid w:val="12192E60"/>
    <w:rsid w:val="12D44037"/>
    <w:rsid w:val="13AD4F0D"/>
    <w:rsid w:val="13C8C6AD"/>
    <w:rsid w:val="148A4282"/>
    <w:rsid w:val="154B67BD"/>
    <w:rsid w:val="15D0762F"/>
    <w:rsid w:val="166F3647"/>
    <w:rsid w:val="1670819E"/>
    <w:rsid w:val="16DFB1B2"/>
    <w:rsid w:val="170FFFDC"/>
    <w:rsid w:val="1711BB03"/>
    <w:rsid w:val="173130CD"/>
    <w:rsid w:val="17F25100"/>
    <w:rsid w:val="1846EAE0"/>
    <w:rsid w:val="190FA163"/>
    <w:rsid w:val="19D0D236"/>
    <w:rsid w:val="19D3452D"/>
    <w:rsid w:val="1AF3531F"/>
    <w:rsid w:val="1B6B8A3B"/>
    <w:rsid w:val="1BEC7B9F"/>
    <w:rsid w:val="1C38779B"/>
    <w:rsid w:val="1C4A2A20"/>
    <w:rsid w:val="1CD15C02"/>
    <w:rsid w:val="1CEA0458"/>
    <w:rsid w:val="1D7892CE"/>
    <w:rsid w:val="1E319B43"/>
    <w:rsid w:val="1EA32AFD"/>
    <w:rsid w:val="1F9FAA99"/>
    <w:rsid w:val="1FCD90BF"/>
    <w:rsid w:val="1FD320D0"/>
    <w:rsid w:val="203EFB5E"/>
    <w:rsid w:val="207DED6F"/>
    <w:rsid w:val="20B1E296"/>
    <w:rsid w:val="22C5332B"/>
    <w:rsid w:val="23769C20"/>
    <w:rsid w:val="23BA641F"/>
    <w:rsid w:val="23F6D3E2"/>
    <w:rsid w:val="2459BF95"/>
    <w:rsid w:val="247155BA"/>
    <w:rsid w:val="250B86C3"/>
    <w:rsid w:val="252F627F"/>
    <w:rsid w:val="269271FC"/>
    <w:rsid w:val="26FC9387"/>
    <w:rsid w:val="2734A2E5"/>
    <w:rsid w:val="27C6AD9B"/>
    <w:rsid w:val="291DE943"/>
    <w:rsid w:val="29A3AFBB"/>
    <w:rsid w:val="29B0CF6A"/>
    <w:rsid w:val="29C196F4"/>
    <w:rsid w:val="29CEF802"/>
    <w:rsid w:val="2A8241A2"/>
    <w:rsid w:val="2B0CF23A"/>
    <w:rsid w:val="2BE7A3A9"/>
    <w:rsid w:val="2C6FA563"/>
    <w:rsid w:val="2D35E782"/>
    <w:rsid w:val="2D4E7464"/>
    <w:rsid w:val="2E5FF373"/>
    <w:rsid w:val="2EB48FE3"/>
    <w:rsid w:val="2F31A716"/>
    <w:rsid w:val="2FFBC3D4"/>
    <w:rsid w:val="305404A2"/>
    <w:rsid w:val="308C6777"/>
    <w:rsid w:val="31636FDF"/>
    <w:rsid w:val="3175575B"/>
    <w:rsid w:val="31E92DC5"/>
    <w:rsid w:val="32DD9A89"/>
    <w:rsid w:val="32F2536F"/>
    <w:rsid w:val="32FF9DA3"/>
    <w:rsid w:val="36012560"/>
    <w:rsid w:val="3790E550"/>
    <w:rsid w:val="380CEA1F"/>
    <w:rsid w:val="381915A8"/>
    <w:rsid w:val="3BA0E086"/>
    <w:rsid w:val="3BF3CC8A"/>
    <w:rsid w:val="3DAF106E"/>
    <w:rsid w:val="3DCB7A7D"/>
    <w:rsid w:val="3DF90B4C"/>
    <w:rsid w:val="3E0E3CC6"/>
    <w:rsid w:val="3E458E39"/>
    <w:rsid w:val="3EC5644B"/>
    <w:rsid w:val="3ECD0F2B"/>
    <w:rsid w:val="3F07D445"/>
    <w:rsid w:val="4020CD08"/>
    <w:rsid w:val="404A00C3"/>
    <w:rsid w:val="418344C8"/>
    <w:rsid w:val="41A8A792"/>
    <w:rsid w:val="41E86EAA"/>
    <w:rsid w:val="41FECA76"/>
    <w:rsid w:val="423FC7B9"/>
    <w:rsid w:val="43CAFE82"/>
    <w:rsid w:val="4429F3EB"/>
    <w:rsid w:val="4508C8CD"/>
    <w:rsid w:val="45FD9007"/>
    <w:rsid w:val="4650A70C"/>
    <w:rsid w:val="47023597"/>
    <w:rsid w:val="47461E2C"/>
    <w:rsid w:val="4848FA6E"/>
    <w:rsid w:val="488B5EC9"/>
    <w:rsid w:val="48CF10D5"/>
    <w:rsid w:val="48EAA5C6"/>
    <w:rsid w:val="491EA438"/>
    <w:rsid w:val="494C3089"/>
    <w:rsid w:val="497963CF"/>
    <w:rsid w:val="4982196F"/>
    <w:rsid w:val="49B0E20B"/>
    <w:rsid w:val="4A51BCAF"/>
    <w:rsid w:val="4A67091C"/>
    <w:rsid w:val="4A74AD72"/>
    <w:rsid w:val="4C05F67E"/>
    <w:rsid w:val="4C2EFD7F"/>
    <w:rsid w:val="4D3E419D"/>
    <w:rsid w:val="4DB77D00"/>
    <w:rsid w:val="4DC2ECB8"/>
    <w:rsid w:val="4E3BA8DB"/>
    <w:rsid w:val="4E93B810"/>
    <w:rsid w:val="4EF56ECF"/>
    <w:rsid w:val="4F0D137E"/>
    <w:rsid w:val="503B4DD9"/>
    <w:rsid w:val="506D8EF4"/>
    <w:rsid w:val="50A17414"/>
    <w:rsid w:val="50E3EEF6"/>
    <w:rsid w:val="50FD809F"/>
    <w:rsid w:val="51609C6F"/>
    <w:rsid w:val="5193308B"/>
    <w:rsid w:val="51B605D2"/>
    <w:rsid w:val="527D6A1F"/>
    <w:rsid w:val="52C6E20F"/>
    <w:rsid w:val="5329F70C"/>
    <w:rsid w:val="535FA14F"/>
    <w:rsid w:val="5462BD6F"/>
    <w:rsid w:val="5689D4AC"/>
    <w:rsid w:val="56DB1B06"/>
    <w:rsid w:val="5797DF54"/>
    <w:rsid w:val="592EF4C1"/>
    <w:rsid w:val="597CE6D8"/>
    <w:rsid w:val="5A46C7D7"/>
    <w:rsid w:val="5AB175CA"/>
    <w:rsid w:val="5AC56C8D"/>
    <w:rsid w:val="5CC1542A"/>
    <w:rsid w:val="5D683D87"/>
    <w:rsid w:val="5DDDF018"/>
    <w:rsid w:val="5DDDF690"/>
    <w:rsid w:val="5E2F019E"/>
    <w:rsid w:val="5F1D0C76"/>
    <w:rsid w:val="605B58A5"/>
    <w:rsid w:val="60B8DCD7"/>
    <w:rsid w:val="60F11DCF"/>
    <w:rsid w:val="62A03B9C"/>
    <w:rsid w:val="6353B4A5"/>
    <w:rsid w:val="64284C33"/>
    <w:rsid w:val="644A9E33"/>
    <w:rsid w:val="64895EBB"/>
    <w:rsid w:val="64A7E7F9"/>
    <w:rsid w:val="64B93FBF"/>
    <w:rsid w:val="65537F37"/>
    <w:rsid w:val="65CC267F"/>
    <w:rsid w:val="65F15A7A"/>
    <w:rsid w:val="66774CDE"/>
    <w:rsid w:val="66CD5D85"/>
    <w:rsid w:val="673474CF"/>
    <w:rsid w:val="674A9166"/>
    <w:rsid w:val="67A26B2D"/>
    <w:rsid w:val="687AE7EF"/>
    <w:rsid w:val="6A281259"/>
    <w:rsid w:val="6AAE7137"/>
    <w:rsid w:val="6AED75BC"/>
    <w:rsid w:val="6B03804D"/>
    <w:rsid w:val="6BA0CEA8"/>
    <w:rsid w:val="6CA6389D"/>
    <w:rsid w:val="6D23C713"/>
    <w:rsid w:val="6D3BA4B5"/>
    <w:rsid w:val="6DC87BF4"/>
    <w:rsid w:val="6DDBB2AD"/>
    <w:rsid w:val="6E2DBDAE"/>
    <w:rsid w:val="6E73BBEE"/>
    <w:rsid w:val="6F580533"/>
    <w:rsid w:val="6FC83BF8"/>
    <w:rsid w:val="70A34230"/>
    <w:rsid w:val="728D15FD"/>
    <w:rsid w:val="7326F025"/>
    <w:rsid w:val="7400970A"/>
    <w:rsid w:val="749254C1"/>
    <w:rsid w:val="750C1448"/>
    <w:rsid w:val="7530175D"/>
    <w:rsid w:val="75604DD0"/>
    <w:rsid w:val="756EB7F6"/>
    <w:rsid w:val="766DFCD8"/>
    <w:rsid w:val="77F14541"/>
    <w:rsid w:val="787C0192"/>
    <w:rsid w:val="789CA379"/>
    <w:rsid w:val="78D7A84B"/>
    <w:rsid w:val="7A45C5B7"/>
    <w:rsid w:val="7AB0BDF6"/>
    <w:rsid w:val="7B893BD1"/>
    <w:rsid w:val="7BD54E5A"/>
    <w:rsid w:val="7D5C7BE7"/>
    <w:rsid w:val="7E629EBF"/>
    <w:rsid w:val="7E7E5A4A"/>
    <w:rsid w:val="7EB75744"/>
    <w:rsid w:val="7ED730C0"/>
    <w:rsid w:val="7F89D674"/>
    <w:rsid w:val="7FAA6A96"/>
    <w:rsid w:val="7FCF1B85"/>
    <w:rsid w:val="7FF5F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142067"/>
  <w15:docId w15:val="{1318BCB0-30B3-4BD7-A616-9EE64D0C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paragraph" w:customStyle="1" w:styleId="AnswerBodyTextParagraph">
    <w:name w:val="Answer Body Text Paragraph"/>
    <w:basedOn w:val="Normal"/>
    <w:qFormat/>
    <w:rsid w:val="00D96D79"/>
    <w:pPr>
      <w:spacing w:after="120" w:line="480" w:lineRule="auto"/>
      <w:ind w:left="720"/>
      <w:jc w:val="both"/>
    </w:pPr>
    <w:rPr>
      <w:rFonts w:ascii="Times New Roman" w:hAnsi="Times New Roman" w:cs="Arial"/>
    </w:rPr>
  </w:style>
  <w:style w:type="paragraph" w:customStyle="1" w:styleId="Answer">
    <w:name w:val="Answer"/>
    <w:basedOn w:val="Normal"/>
    <w:next w:val="Normal"/>
    <w:qFormat/>
    <w:rsid w:val="00D96D79"/>
    <w:pPr>
      <w:spacing w:after="120" w:line="480" w:lineRule="auto"/>
      <w:jc w:val="both"/>
    </w:pPr>
    <w:rPr>
      <w:rFonts w:ascii="Times New Roman" w:hAnsi="Times New Roman"/>
      <w:szCs w:val="24"/>
    </w:rPr>
  </w:style>
  <w:style w:type="paragraph" w:styleId="Caption">
    <w:name w:val="caption"/>
    <w:basedOn w:val="Normal"/>
    <w:next w:val="Normal"/>
    <w:uiPriority w:val="35"/>
    <w:unhideWhenUsed/>
    <w:qFormat/>
    <w:rsid w:val="00FE21C9"/>
    <w:pPr>
      <w:spacing w:after="200" w:line="240" w:lineRule="auto"/>
    </w:pPr>
    <w:rPr>
      <w:i/>
      <w:iCs/>
      <w:color w:val="1F497D" w:themeColor="text2"/>
      <w:sz w:val="18"/>
      <w:szCs w:val="18"/>
    </w:rPr>
  </w:style>
  <w:style w:type="character" w:customStyle="1" w:styleId="normaltextrun">
    <w:name w:val="normaltextrun"/>
    <w:basedOn w:val="DefaultParagraphFont"/>
    <w:rsid w:val="0016276D"/>
  </w:style>
  <w:style w:type="character" w:customStyle="1" w:styleId="eop">
    <w:name w:val="eop"/>
    <w:basedOn w:val="DefaultParagraphFont"/>
    <w:rsid w:val="009227F9"/>
  </w:style>
  <w:style w:type="paragraph" w:customStyle="1" w:styleId="paragraph">
    <w:name w:val="paragraph"/>
    <w:basedOn w:val="Normal"/>
    <w:rsid w:val="009227F9"/>
    <w:pPr>
      <w:spacing w:before="100" w:beforeAutospacing="1" w:after="100" w:afterAutospacing="1" w:line="240" w:lineRule="auto"/>
    </w:pPr>
    <w:rPr>
      <w:rFonts w:ascii="Times New Roman" w:hAnsi="Times New Roman"/>
      <w:szCs w:val="24"/>
    </w:rPr>
  </w:style>
  <w:style w:type="character" w:customStyle="1" w:styleId="pagebreaktextspan">
    <w:name w:val="pagebreaktextspan"/>
    <w:basedOn w:val="DefaultParagraphFont"/>
    <w:rsid w:val="0002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7304">
      <w:bodyDiv w:val="1"/>
      <w:marLeft w:val="0"/>
      <w:marRight w:val="0"/>
      <w:marTop w:val="0"/>
      <w:marBottom w:val="0"/>
      <w:divBdr>
        <w:top w:val="none" w:sz="0" w:space="0" w:color="auto"/>
        <w:left w:val="none" w:sz="0" w:space="0" w:color="auto"/>
        <w:bottom w:val="none" w:sz="0" w:space="0" w:color="auto"/>
        <w:right w:val="none" w:sz="0" w:space="0" w:color="auto"/>
      </w:divBdr>
      <w:divsChild>
        <w:div w:id="354620934">
          <w:marLeft w:val="0"/>
          <w:marRight w:val="0"/>
          <w:marTop w:val="0"/>
          <w:marBottom w:val="0"/>
          <w:divBdr>
            <w:top w:val="none" w:sz="0" w:space="0" w:color="auto"/>
            <w:left w:val="none" w:sz="0" w:space="0" w:color="auto"/>
            <w:bottom w:val="none" w:sz="0" w:space="0" w:color="auto"/>
            <w:right w:val="none" w:sz="0" w:space="0" w:color="auto"/>
          </w:divBdr>
        </w:div>
        <w:div w:id="933052878">
          <w:marLeft w:val="0"/>
          <w:marRight w:val="0"/>
          <w:marTop w:val="0"/>
          <w:marBottom w:val="0"/>
          <w:divBdr>
            <w:top w:val="none" w:sz="0" w:space="0" w:color="auto"/>
            <w:left w:val="none" w:sz="0" w:space="0" w:color="auto"/>
            <w:bottom w:val="none" w:sz="0" w:space="0" w:color="auto"/>
            <w:right w:val="none" w:sz="0" w:space="0" w:color="auto"/>
          </w:divBdr>
        </w:div>
      </w:divsChild>
    </w:div>
    <w:div w:id="149836690">
      <w:bodyDiv w:val="1"/>
      <w:marLeft w:val="0"/>
      <w:marRight w:val="0"/>
      <w:marTop w:val="0"/>
      <w:marBottom w:val="0"/>
      <w:divBdr>
        <w:top w:val="none" w:sz="0" w:space="0" w:color="auto"/>
        <w:left w:val="none" w:sz="0" w:space="0" w:color="auto"/>
        <w:bottom w:val="none" w:sz="0" w:space="0" w:color="auto"/>
        <w:right w:val="none" w:sz="0" w:space="0" w:color="auto"/>
      </w:divBdr>
    </w:div>
    <w:div w:id="242684663">
      <w:bodyDiv w:val="1"/>
      <w:marLeft w:val="0"/>
      <w:marRight w:val="0"/>
      <w:marTop w:val="0"/>
      <w:marBottom w:val="0"/>
      <w:divBdr>
        <w:top w:val="none" w:sz="0" w:space="0" w:color="auto"/>
        <w:left w:val="none" w:sz="0" w:space="0" w:color="auto"/>
        <w:bottom w:val="none" w:sz="0" w:space="0" w:color="auto"/>
        <w:right w:val="none" w:sz="0" w:space="0" w:color="auto"/>
      </w:divBdr>
    </w:div>
    <w:div w:id="357434484">
      <w:bodyDiv w:val="1"/>
      <w:marLeft w:val="0"/>
      <w:marRight w:val="0"/>
      <w:marTop w:val="0"/>
      <w:marBottom w:val="0"/>
      <w:divBdr>
        <w:top w:val="none" w:sz="0" w:space="0" w:color="auto"/>
        <w:left w:val="none" w:sz="0" w:space="0" w:color="auto"/>
        <w:bottom w:val="none" w:sz="0" w:space="0" w:color="auto"/>
        <w:right w:val="none" w:sz="0" w:space="0" w:color="auto"/>
      </w:divBdr>
    </w:div>
    <w:div w:id="777673883">
      <w:bodyDiv w:val="1"/>
      <w:marLeft w:val="0"/>
      <w:marRight w:val="0"/>
      <w:marTop w:val="0"/>
      <w:marBottom w:val="0"/>
      <w:divBdr>
        <w:top w:val="none" w:sz="0" w:space="0" w:color="auto"/>
        <w:left w:val="none" w:sz="0" w:space="0" w:color="auto"/>
        <w:bottom w:val="none" w:sz="0" w:space="0" w:color="auto"/>
        <w:right w:val="none" w:sz="0" w:space="0" w:color="auto"/>
      </w:divBdr>
    </w:div>
    <w:div w:id="835343936">
      <w:bodyDiv w:val="1"/>
      <w:marLeft w:val="0"/>
      <w:marRight w:val="0"/>
      <w:marTop w:val="0"/>
      <w:marBottom w:val="0"/>
      <w:divBdr>
        <w:top w:val="none" w:sz="0" w:space="0" w:color="auto"/>
        <w:left w:val="none" w:sz="0" w:space="0" w:color="auto"/>
        <w:bottom w:val="none" w:sz="0" w:space="0" w:color="auto"/>
        <w:right w:val="none" w:sz="0" w:space="0" w:color="auto"/>
      </w:divBdr>
    </w:div>
    <w:div w:id="935938383">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320764780">
      <w:bodyDiv w:val="1"/>
      <w:marLeft w:val="0"/>
      <w:marRight w:val="0"/>
      <w:marTop w:val="0"/>
      <w:marBottom w:val="0"/>
      <w:divBdr>
        <w:top w:val="none" w:sz="0" w:space="0" w:color="auto"/>
        <w:left w:val="none" w:sz="0" w:space="0" w:color="auto"/>
        <w:bottom w:val="none" w:sz="0" w:space="0" w:color="auto"/>
        <w:right w:val="none" w:sz="0" w:space="0" w:color="auto"/>
      </w:divBdr>
    </w:div>
    <w:div w:id="1535734446">
      <w:bodyDiv w:val="1"/>
      <w:marLeft w:val="0"/>
      <w:marRight w:val="0"/>
      <w:marTop w:val="0"/>
      <w:marBottom w:val="0"/>
      <w:divBdr>
        <w:top w:val="none" w:sz="0" w:space="0" w:color="auto"/>
        <w:left w:val="none" w:sz="0" w:space="0" w:color="auto"/>
        <w:bottom w:val="none" w:sz="0" w:space="0" w:color="auto"/>
        <w:right w:val="none" w:sz="0" w:space="0" w:color="auto"/>
      </w:divBdr>
      <w:divsChild>
        <w:div w:id="283851081">
          <w:marLeft w:val="0"/>
          <w:marRight w:val="0"/>
          <w:marTop w:val="0"/>
          <w:marBottom w:val="0"/>
          <w:divBdr>
            <w:top w:val="none" w:sz="0" w:space="0" w:color="auto"/>
            <w:left w:val="none" w:sz="0" w:space="0" w:color="auto"/>
            <w:bottom w:val="none" w:sz="0" w:space="0" w:color="auto"/>
            <w:right w:val="none" w:sz="0" w:space="0" w:color="auto"/>
          </w:divBdr>
        </w:div>
        <w:div w:id="571237246">
          <w:marLeft w:val="0"/>
          <w:marRight w:val="0"/>
          <w:marTop w:val="0"/>
          <w:marBottom w:val="0"/>
          <w:divBdr>
            <w:top w:val="none" w:sz="0" w:space="0" w:color="auto"/>
            <w:left w:val="none" w:sz="0" w:space="0" w:color="auto"/>
            <w:bottom w:val="none" w:sz="0" w:space="0" w:color="auto"/>
            <w:right w:val="none" w:sz="0" w:space="0" w:color="auto"/>
          </w:divBdr>
        </w:div>
        <w:div w:id="681862015">
          <w:marLeft w:val="0"/>
          <w:marRight w:val="0"/>
          <w:marTop w:val="0"/>
          <w:marBottom w:val="0"/>
          <w:divBdr>
            <w:top w:val="none" w:sz="0" w:space="0" w:color="auto"/>
            <w:left w:val="none" w:sz="0" w:space="0" w:color="auto"/>
            <w:bottom w:val="none" w:sz="0" w:space="0" w:color="auto"/>
            <w:right w:val="none" w:sz="0" w:space="0" w:color="auto"/>
          </w:divBdr>
        </w:div>
        <w:div w:id="724914012">
          <w:marLeft w:val="0"/>
          <w:marRight w:val="0"/>
          <w:marTop w:val="0"/>
          <w:marBottom w:val="0"/>
          <w:divBdr>
            <w:top w:val="none" w:sz="0" w:space="0" w:color="auto"/>
            <w:left w:val="none" w:sz="0" w:space="0" w:color="auto"/>
            <w:bottom w:val="none" w:sz="0" w:space="0" w:color="auto"/>
            <w:right w:val="none" w:sz="0" w:space="0" w:color="auto"/>
          </w:divBdr>
        </w:div>
        <w:div w:id="796527052">
          <w:marLeft w:val="0"/>
          <w:marRight w:val="0"/>
          <w:marTop w:val="0"/>
          <w:marBottom w:val="0"/>
          <w:divBdr>
            <w:top w:val="none" w:sz="0" w:space="0" w:color="auto"/>
            <w:left w:val="none" w:sz="0" w:space="0" w:color="auto"/>
            <w:bottom w:val="none" w:sz="0" w:space="0" w:color="auto"/>
            <w:right w:val="none" w:sz="0" w:space="0" w:color="auto"/>
          </w:divBdr>
        </w:div>
        <w:div w:id="1396851438">
          <w:marLeft w:val="0"/>
          <w:marRight w:val="0"/>
          <w:marTop w:val="0"/>
          <w:marBottom w:val="0"/>
          <w:divBdr>
            <w:top w:val="none" w:sz="0" w:space="0" w:color="auto"/>
            <w:left w:val="none" w:sz="0" w:space="0" w:color="auto"/>
            <w:bottom w:val="none" w:sz="0" w:space="0" w:color="auto"/>
            <w:right w:val="none" w:sz="0" w:space="0" w:color="auto"/>
          </w:divBdr>
        </w:div>
        <w:div w:id="1464273027">
          <w:marLeft w:val="0"/>
          <w:marRight w:val="0"/>
          <w:marTop w:val="0"/>
          <w:marBottom w:val="0"/>
          <w:divBdr>
            <w:top w:val="none" w:sz="0" w:space="0" w:color="auto"/>
            <w:left w:val="none" w:sz="0" w:space="0" w:color="auto"/>
            <w:bottom w:val="none" w:sz="0" w:space="0" w:color="auto"/>
            <w:right w:val="none" w:sz="0" w:space="0" w:color="auto"/>
          </w:divBdr>
          <w:divsChild>
            <w:div w:id="344868537">
              <w:marLeft w:val="-75"/>
              <w:marRight w:val="0"/>
              <w:marTop w:val="30"/>
              <w:marBottom w:val="30"/>
              <w:divBdr>
                <w:top w:val="none" w:sz="0" w:space="0" w:color="auto"/>
                <w:left w:val="none" w:sz="0" w:space="0" w:color="auto"/>
                <w:bottom w:val="none" w:sz="0" w:space="0" w:color="auto"/>
                <w:right w:val="none" w:sz="0" w:space="0" w:color="auto"/>
              </w:divBdr>
              <w:divsChild>
                <w:div w:id="108790937">
                  <w:marLeft w:val="0"/>
                  <w:marRight w:val="0"/>
                  <w:marTop w:val="0"/>
                  <w:marBottom w:val="0"/>
                  <w:divBdr>
                    <w:top w:val="none" w:sz="0" w:space="0" w:color="auto"/>
                    <w:left w:val="none" w:sz="0" w:space="0" w:color="auto"/>
                    <w:bottom w:val="none" w:sz="0" w:space="0" w:color="auto"/>
                    <w:right w:val="none" w:sz="0" w:space="0" w:color="auto"/>
                  </w:divBdr>
                  <w:divsChild>
                    <w:div w:id="2060936069">
                      <w:marLeft w:val="0"/>
                      <w:marRight w:val="0"/>
                      <w:marTop w:val="0"/>
                      <w:marBottom w:val="0"/>
                      <w:divBdr>
                        <w:top w:val="none" w:sz="0" w:space="0" w:color="auto"/>
                        <w:left w:val="none" w:sz="0" w:space="0" w:color="auto"/>
                        <w:bottom w:val="none" w:sz="0" w:space="0" w:color="auto"/>
                        <w:right w:val="none" w:sz="0" w:space="0" w:color="auto"/>
                      </w:divBdr>
                    </w:div>
                  </w:divsChild>
                </w:div>
                <w:div w:id="142739740">
                  <w:marLeft w:val="0"/>
                  <w:marRight w:val="0"/>
                  <w:marTop w:val="0"/>
                  <w:marBottom w:val="0"/>
                  <w:divBdr>
                    <w:top w:val="none" w:sz="0" w:space="0" w:color="auto"/>
                    <w:left w:val="none" w:sz="0" w:space="0" w:color="auto"/>
                    <w:bottom w:val="none" w:sz="0" w:space="0" w:color="auto"/>
                    <w:right w:val="none" w:sz="0" w:space="0" w:color="auto"/>
                  </w:divBdr>
                  <w:divsChild>
                    <w:div w:id="1590312174">
                      <w:marLeft w:val="0"/>
                      <w:marRight w:val="0"/>
                      <w:marTop w:val="0"/>
                      <w:marBottom w:val="0"/>
                      <w:divBdr>
                        <w:top w:val="none" w:sz="0" w:space="0" w:color="auto"/>
                        <w:left w:val="none" w:sz="0" w:space="0" w:color="auto"/>
                        <w:bottom w:val="none" w:sz="0" w:space="0" w:color="auto"/>
                        <w:right w:val="none" w:sz="0" w:space="0" w:color="auto"/>
                      </w:divBdr>
                    </w:div>
                  </w:divsChild>
                </w:div>
                <w:div w:id="367263814">
                  <w:marLeft w:val="0"/>
                  <w:marRight w:val="0"/>
                  <w:marTop w:val="0"/>
                  <w:marBottom w:val="0"/>
                  <w:divBdr>
                    <w:top w:val="none" w:sz="0" w:space="0" w:color="auto"/>
                    <w:left w:val="none" w:sz="0" w:space="0" w:color="auto"/>
                    <w:bottom w:val="none" w:sz="0" w:space="0" w:color="auto"/>
                    <w:right w:val="none" w:sz="0" w:space="0" w:color="auto"/>
                  </w:divBdr>
                  <w:divsChild>
                    <w:div w:id="1008559615">
                      <w:marLeft w:val="0"/>
                      <w:marRight w:val="0"/>
                      <w:marTop w:val="0"/>
                      <w:marBottom w:val="0"/>
                      <w:divBdr>
                        <w:top w:val="none" w:sz="0" w:space="0" w:color="auto"/>
                        <w:left w:val="none" w:sz="0" w:space="0" w:color="auto"/>
                        <w:bottom w:val="none" w:sz="0" w:space="0" w:color="auto"/>
                        <w:right w:val="none" w:sz="0" w:space="0" w:color="auto"/>
                      </w:divBdr>
                    </w:div>
                  </w:divsChild>
                </w:div>
                <w:div w:id="973487868">
                  <w:marLeft w:val="0"/>
                  <w:marRight w:val="0"/>
                  <w:marTop w:val="0"/>
                  <w:marBottom w:val="0"/>
                  <w:divBdr>
                    <w:top w:val="none" w:sz="0" w:space="0" w:color="auto"/>
                    <w:left w:val="none" w:sz="0" w:space="0" w:color="auto"/>
                    <w:bottom w:val="none" w:sz="0" w:space="0" w:color="auto"/>
                    <w:right w:val="none" w:sz="0" w:space="0" w:color="auto"/>
                  </w:divBdr>
                  <w:divsChild>
                    <w:div w:id="1999335116">
                      <w:marLeft w:val="0"/>
                      <w:marRight w:val="0"/>
                      <w:marTop w:val="0"/>
                      <w:marBottom w:val="0"/>
                      <w:divBdr>
                        <w:top w:val="none" w:sz="0" w:space="0" w:color="auto"/>
                        <w:left w:val="none" w:sz="0" w:space="0" w:color="auto"/>
                        <w:bottom w:val="none" w:sz="0" w:space="0" w:color="auto"/>
                        <w:right w:val="none" w:sz="0" w:space="0" w:color="auto"/>
                      </w:divBdr>
                    </w:div>
                  </w:divsChild>
                </w:div>
                <w:div w:id="976570981">
                  <w:marLeft w:val="0"/>
                  <w:marRight w:val="0"/>
                  <w:marTop w:val="0"/>
                  <w:marBottom w:val="0"/>
                  <w:divBdr>
                    <w:top w:val="none" w:sz="0" w:space="0" w:color="auto"/>
                    <w:left w:val="none" w:sz="0" w:space="0" w:color="auto"/>
                    <w:bottom w:val="none" w:sz="0" w:space="0" w:color="auto"/>
                    <w:right w:val="none" w:sz="0" w:space="0" w:color="auto"/>
                  </w:divBdr>
                  <w:divsChild>
                    <w:div w:id="1941257632">
                      <w:marLeft w:val="0"/>
                      <w:marRight w:val="0"/>
                      <w:marTop w:val="0"/>
                      <w:marBottom w:val="0"/>
                      <w:divBdr>
                        <w:top w:val="none" w:sz="0" w:space="0" w:color="auto"/>
                        <w:left w:val="none" w:sz="0" w:space="0" w:color="auto"/>
                        <w:bottom w:val="none" w:sz="0" w:space="0" w:color="auto"/>
                        <w:right w:val="none" w:sz="0" w:space="0" w:color="auto"/>
                      </w:divBdr>
                    </w:div>
                  </w:divsChild>
                </w:div>
                <w:div w:id="2001108374">
                  <w:marLeft w:val="0"/>
                  <w:marRight w:val="0"/>
                  <w:marTop w:val="0"/>
                  <w:marBottom w:val="0"/>
                  <w:divBdr>
                    <w:top w:val="none" w:sz="0" w:space="0" w:color="auto"/>
                    <w:left w:val="none" w:sz="0" w:space="0" w:color="auto"/>
                    <w:bottom w:val="none" w:sz="0" w:space="0" w:color="auto"/>
                    <w:right w:val="none" w:sz="0" w:space="0" w:color="auto"/>
                  </w:divBdr>
                  <w:divsChild>
                    <w:div w:id="526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3961">
          <w:marLeft w:val="0"/>
          <w:marRight w:val="0"/>
          <w:marTop w:val="0"/>
          <w:marBottom w:val="0"/>
          <w:divBdr>
            <w:top w:val="none" w:sz="0" w:space="0" w:color="auto"/>
            <w:left w:val="none" w:sz="0" w:space="0" w:color="auto"/>
            <w:bottom w:val="none" w:sz="0" w:space="0" w:color="auto"/>
            <w:right w:val="none" w:sz="0" w:space="0" w:color="auto"/>
          </w:divBdr>
        </w:div>
        <w:div w:id="1734500899">
          <w:marLeft w:val="0"/>
          <w:marRight w:val="0"/>
          <w:marTop w:val="0"/>
          <w:marBottom w:val="0"/>
          <w:divBdr>
            <w:top w:val="none" w:sz="0" w:space="0" w:color="auto"/>
            <w:left w:val="none" w:sz="0" w:space="0" w:color="auto"/>
            <w:bottom w:val="none" w:sz="0" w:space="0" w:color="auto"/>
            <w:right w:val="none" w:sz="0" w:space="0" w:color="auto"/>
          </w:divBdr>
        </w:div>
        <w:div w:id="1872575679">
          <w:marLeft w:val="0"/>
          <w:marRight w:val="0"/>
          <w:marTop w:val="0"/>
          <w:marBottom w:val="0"/>
          <w:divBdr>
            <w:top w:val="none" w:sz="0" w:space="0" w:color="auto"/>
            <w:left w:val="none" w:sz="0" w:space="0" w:color="auto"/>
            <w:bottom w:val="none" w:sz="0" w:space="0" w:color="auto"/>
            <w:right w:val="none" w:sz="0" w:space="0" w:color="auto"/>
          </w:divBdr>
        </w:div>
        <w:div w:id="1941254073">
          <w:marLeft w:val="0"/>
          <w:marRight w:val="0"/>
          <w:marTop w:val="0"/>
          <w:marBottom w:val="0"/>
          <w:divBdr>
            <w:top w:val="none" w:sz="0" w:space="0" w:color="auto"/>
            <w:left w:val="none" w:sz="0" w:space="0" w:color="auto"/>
            <w:bottom w:val="none" w:sz="0" w:space="0" w:color="auto"/>
            <w:right w:val="none" w:sz="0" w:space="0" w:color="auto"/>
          </w:divBdr>
        </w:div>
        <w:div w:id="2115245467">
          <w:marLeft w:val="0"/>
          <w:marRight w:val="0"/>
          <w:marTop w:val="0"/>
          <w:marBottom w:val="0"/>
          <w:divBdr>
            <w:top w:val="none" w:sz="0" w:space="0" w:color="auto"/>
            <w:left w:val="none" w:sz="0" w:space="0" w:color="auto"/>
            <w:bottom w:val="none" w:sz="0" w:space="0" w:color="auto"/>
            <w:right w:val="none" w:sz="0" w:space="0" w:color="auto"/>
          </w:divBdr>
        </w:div>
      </w:divsChild>
    </w:div>
    <w:div w:id="1637179111">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 w:id="1862166404">
      <w:bodyDiv w:val="1"/>
      <w:marLeft w:val="0"/>
      <w:marRight w:val="0"/>
      <w:marTop w:val="0"/>
      <w:marBottom w:val="0"/>
      <w:divBdr>
        <w:top w:val="none" w:sz="0" w:space="0" w:color="auto"/>
        <w:left w:val="none" w:sz="0" w:space="0" w:color="auto"/>
        <w:bottom w:val="none" w:sz="0" w:space="0" w:color="auto"/>
        <w:right w:val="none" w:sz="0" w:space="0" w:color="auto"/>
      </w:divBdr>
    </w:div>
    <w:div w:id="20588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Template%20(PGS%20-%20Consult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64041-7FC4-4E9A-A8B5-EB44FA1FF2AF}"/>
</file>

<file path=customXml/itemProps2.xml><?xml version="1.0" encoding="utf-8"?>
<ds:datastoreItem xmlns:ds="http://schemas.openxmlformats.org/officeDocument/2006/customXml" ds:itemID="{EDD37EBC-22A4-4174-A59D-288C50B211FB}"/>
</file>

<file path=customXml/itemProps3.xml><?xml version="1.0" encoding="utf-8"?>
<ds:datastoreItem xmlns:ds="http://schemas.openxmlformats.org/officeDocument/2006/customXml" ds:itemID="{FB3639B8-24C3-4813-B730-C788DA84EA78}"/>
</file>

<file path=customXml/itemProps4.xml><?xml version="1.0" encoding="utf-8"?>
<ds:datastoreItem xmlns:ds="http://schemas.openxmlformats.org/officeDocument/2006/customXml" ds:itemID="{E020FADA-F7D8-4A94-A920-4F8CCD9C544A}"/>
</file>

<file path=docProps/app.xml><?xml version="1.0" encoding="utf-8"?>
<Properties xmlns="http://schemas.openxmlformats.org/officeDocument/2006/extended-properties" xmlns:vt="http://schemas.openxmlformats.org/officeDocument/2006/docPropsVTypes">
  <Template>Direct Testimony Template (PGS - Consultant).dotx</Template>
  <TotalTime>50</TotalTime>
  <Pages>24</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subject/>
  <dc:creator>Nelson, Ty R.</dc:creator>
  <cp:keywords/>
  <cp:lastModifiedBy>Irizarry, Brenda L.</cp:lastModifiedBy>
  <cp:revision>7</cp:revision>
  <cp:lastPrinted>2018-05-30T01:19:00Z</cp:lastPrinted>
  <dcterms:created xsi:type="dcterms:W3CDTF">2023-03-15T19:38:00Z</dcterms:created>
  <dcterms:modified xsi:type="dcterms:W3CDTF">2023-03-15T21:03:00Z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ies>
</file>