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5"/>
        <w:gridCol w:w="936"/>
        <w:gridCol w:w="1463"/>
        <w:gridCol w:w="5706"/>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bookmarkStart w:id="0" w:name="_GoBack"/>
          <w:bookmarkEnd w:id="0"/>
          <w:p w:rsidR="007C0528" w:rsidRDefault="009D040B" w:rsidP="00532DFB">
            <w:pPr>
              <w:pStyle w:val="MastHeadState"/>
            </w:pPr>
            <w:r>
              <w:fldChar w:fldCharType="begin"/>
            </w:r>
            <w:r>
              <w:instrText xml:space="preserve">  </w:instrText>
            </w:r>
            <w:r>
              <w:fldChar w:fldCharType="end"/>
            </w:r>
            <w:r w:rsidR="007C0528">
              <w:t>State of Florida</w:t>
            </w:r>
          </w:p>
          <w:p w:rsidR="007C0528" w:rsidRDefault="00072CCA">
            <w:pPr>
              <w:jc w:val="center"/>
            </w:pPr>
            <w:r>
              <w:rPr>
                <w:noProof/>
              </w:rPr>
              <w:drawing>
                <wp:inline distT="0" distB="0" distL="0" distR="0" wp14:anchorId="4A005C27" wp14:editId="0ADC171E">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9A1C87" w:rsidP="009A1C87">
            <w:pPr>
              <w:pStyle w:val="MemoHeading"/>
            </w:pPr>
            <w:bookmarkStart w:id="1" w:name="FilingDate"/>
            <w:r>
              <w:t>October 27</w:t>
            </w:r>
            <w:r w:rsidR="002C10A1">
              <w:t>, 2023</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2C10A1" w:rsidRDefault="008764D0">
            <w:pPr>
              <w:pStyle w:val="MemoHeading"/>
            </w:pPr>
            <w:bookmarkStart w:id="2" w:name="From"/>
            <w:r>
              <w:t>Division of Economics (</w:t>
            </w:r>
            <w:r w:rsidR="00731EF7">
              <w:t>Barrett</w:t>
            </w:r>
            <w:r w:rsidR="002C10A1">
              <w:t>)</w:t>
            </w:r>
          </w:p>
          <w:p w:rsidR="008764D0" w:rsidRPr="008764D0" w:rsidRDefault="008764D0" w:rsidP="008764D0">
            <w:r>
              <w:t>Divis</w:t>
            </w:r>
            <w:r w:rsidR="00731EF7">
              <w:t>ion Of Engineering (Ellis</w:t>
            </w:r>
            <w:r>
              <w:t>)</w:t>
            </w:r>
          </w:p>
          <w:p w:rsidR="007C0528" w:rsidRDefault="002C10A1">
            <w:pPr>
              <w:pStyle w:val="MemoHeading"/>
            </w:pPr>
            <w:r>
              <w:t>Office of the General Counsel (Stiller)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2C10A1">
            <w:pPr>
              <w:pStyle w:val="MemoHeadingRe"/>
            </w:pPr>
            <w:bookmarkStart w:id="3" w:name="Re"/>
            <w:r>
              <w:t>Docket No. 20230072-EI – Petition for approval of shared solar tariff change, by Tampa Electric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9A1C87" w:rsidP="009A1C87">
            <w:pPr>
              <w:pStyle w:val="MemoHeading"/>
            </w:pPr>
            <w:bookmarkStart w:id="4" w:name="AgendaDate"/>
            <w:r>
              <w:t>11/09</w:t>
            </w:r>
            <w:r w:rsidR="002C10A1">
              <w:t>/23</w:t>
            </w:r>
            <w:bookmarkEnd w:id="4"/>
            <w:r w:rsidR="007C0528">
              <w:t xml:space="preserve"> – </w:t>
            </w:r>
            <w:bookmarkStart w:id="5" w:name="PermittedStatus"/>
            <w:r w:rsidR="00D912D6">
              <w:t xml:space="preserve">Regular Agenda </w:t>
            </w:r>
            <w:bookmarkEnd w:id="5"/>
            <w:r w:rsidR="008764D0">
              <w:t>– Tariff Filing – Interested Persons May Participate</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2C10A1">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2C10A1">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107D90" w:rsidP="00107D90">
            <w:pPr>
              <w:pStyle w:val="MemoHeading"/>
            </w:pPr>
            <w:bookmarkStart w:id="9" w:name="CriticalDates"/>
            <w:r>
              <w:t>1</w:t>
            </w:r>
            <w:r w:rsidR="008453CC">
              <w:t>/</w:t>
            </w:r>
            <w:r>
              <w:t>31</w:t>
            </w:r>
            <w:r w:rsidR="008453CC">
              <w:t xml:space="preserve">/2024 </w:t>
            </w:r>
            <w:r>
              <w:t>(</w:t>
            </w:r>
            <w:r w:rsidR="008453CC">
              <w:t xml:space="preserve">8-month </w:t>
            </w:r>
            <w:bookmarkEnd w:id="9"/>
            <w:r>
              <w:t>Effective Date)</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2C10A1">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2C10A1" w:rsidRDefault="002C10A1" w:rsidP="00E767D3">
      <w:pPr>
        <w:pStyle w:val="BodyText"/>
      </w:pPr>
      <w:r>
        <w:t xml:space="preserve">On May 31, 2023, Tampa Electric Company (TECO or utility) filed a petition for approval of changes to its Shared Solar Rider </w:t>
      </w:r>
      <w:r w:rsidR="0056025A">
        <w:t xml:space="preserve">Tariff </w:t>
      </w:r>
      <w:r>
        <w:t xml:space="preserve">(SSR-1 </w:t>
      </w:r>
      <w:r w:rsidR="0056025A">
        <w:t>T</w:t>
      </w:r>
      <w:r>
        <w:t>ariff or</w:t>
      </w:r>
      <w:r w:rsidR="00566ABA">
        <w:t xml:space="preserve"> </w:t>
      </w:r>
      <w:r w:rsidR="0056025A">
        <w:t>T</w:t>
      </w:r>
      <w:r w:rsidR="00566ABA">
        <w:t xml:space="preserve">ariff). The </w:t>
      </w:r>
      <w:r>
        <w:t xml:space="preserve">SSR-1 </w:t>
      </w:r>
      <w:r w:rsidR="0056025A">
        <w:t>T</w:t>
      </w:r>
      <w:r>
        <w:t xml:space="preserve">ariff </w:t>
      </w:r>
      <w:r w:rsidR="0056025A">
        <w:t xml:space="preserve">pertains to </w:t>
      </w:r>
      <w:r w:rsidR="00566ABA">
        <w:t>an optional program that is</w:t>
      </w:r>
      <w:r>
        <w:t xml:space="preserve"> marketed by TECO as </w:t>
      </w:r>
      <w:r w:rsidR="0056025A">
        <w:t>its</w:t>
      </w:r>
      <w:r>
        <w:t xml:space="preserve"> “Sun Select” program. </w:t>
      </w:r>
      <w:r w:rsidR="0015396B">
        <w:t>The utility’s current SSR</w:t>
      </w:r>
      <w:r w:rsidR="009A1C87">
        <w:t>-1 Tariff was approved by the Commission in</w:t>
      </w:r>
      <w:r w:rsidR="00731EF7">
        <w:t xml:space="preserve"> Order No. PSC-2019-0215-TRF-EI</w:t>
      </w:r>
      <w:r w:rsidR="00107D90">
        <w:t xml:space="preserve"> (Tariff Approval Order) </w:t>
      </w:r>
      <w:r w:rsidR="00731EF7">
        <w:t xml:space="preserve">and </w:t>
      </w:r>
      <w:r w:rsidR="00C52AB2">
        <w:t>offers residential and commercial customers the option to purchase all or a portion of their monthly energy consumption from an allocation of 17.5 megawatts (MWs) of dedicated capacity from the utility’s Lake Hancock solar facility.</w:t>
      </w:r>
      <w:r w:rsidR="00C52AB2">
        <w:rPr>
          <w:rStyle w:val="FootnoteReference"/>
        </w:rPr>
        <w:footnoteReference w:id="1"/>
      </w:r>
      <w:r w:rsidR="00546381">
        <w:t xml:space="preserve"> In its petition, the utility seeks </w:t>
      </w:r>
      <w:proofErr w:type="gramStart"/>
      <w:r w:rsidR="00546381">
        <w:lastRenderedPageBreak/>
        <w:t>approval</w:t>
      </w:r>
      <w:proofErr w:type="gramEnd"/>
      <w:r w:rsidR="00546381">
        <w:t xml:space="preserve"> of several modifications designed to attract more participants to subscribe to the optional Tariff. TECO also states that </w:t>
      </w:r>
      <w:r w:rsidR="00082538">
        <w:t xml:space="preserve">it </w:t>
      </w:r>
      <w:r w:rsidR="00546381">
        <w:t>hopes to learn more about customer adoption of community solar programs and engage with its customers to help them reach decarbonization goals.</w:t>
      </w:r>
    </w:p>
    <w:p w:rsidR="00350089" w:rsidRDefault="00731EF7" w:rsidP="002C10A1">
      <w:pPr>
        <w:pStyle w:val="BodyText"/>
      </w:pPr>
      <w:r>
        <w:t>In Order No. PSC-2023-0214-PCO-EI</w:t>
      </w:r>
      <w:r w:rsidR="00274789">
        <w:t>, the Commission suspended th</w:t>
      </w:r>
      <w:r w:rsidR="00B02550">
        <w:t xml:space="preserve">e proposed modified </w:t>
      </w:r>
      <w:r w:rsidR="00274789">
        <w:t>tariff in order to allow</w:t>
      </w:r>
      <w:r w:rsidR="002C10A1">
        <w:rPr>
          <w:rFonts w:ascii="TimesNewRomanPSMT" w:hAnsi="TimesNewRomanPSMT" w:cs="TimesNewRomanPSMT"/>
        </w:rPr>
        <w:t xml:space="preserve"> staff sufficient time to review the propose</w:t>
      </w:r>
      <w:r w:rsidR="00274789">
        <w:rPr>
          <w:rFonts w:ascii="TimesNewRomanPSMT" w:hAnsi="TimesNewRomanPSMT" w:cs="TimesNewRomanPSMT"/>
        </w:rPr>
        <w:t xml:space="preserve">d modifications and gather </w:t>
      </w:r>
      <w:r w:rsidR="002C10A1">
        <w:rPr>
          <w:rFonts w:ascii="TimesNewRomanPSMT" w:hAnsi="TimesNewRomanPSMT" w:cs="TimesNewRomanPSMT"/>
        </w:rPr>
        <w:t>pertinent information</w:t>
      </w:r>
      <w:r w:rsidR="00274789">
        <w:rPr>
          <w:rFonts w:ascii="TimesNewRomanPSMT" w:hAnsi="TimesNewRomanPSMT" w:cs="TimesNewRomanPSMT"/>
        </w:rPr>
        <w:t>.</w:t>
      </w:r>
      <w:r w:rsidR="00274789">
        <w:rPr>
          <w:rStyle w:val="FootnoteReference"/>
          <w:rFonts w:ascii="TimesNewRomanPSMT" w:hAnsi="TimesNewRomanPSMT" w:cs="TimesNewRomanPSMT"/>
        </w:rPr>
        <w:footnoteReference w:id="2"/>
      </w:r>
      <w:r w:rsidR="00274789">
        <w:rPr>
          <w:rFonts w:ascii="TimesNewRomanPSMT" w:hAnsi="TimesNewRomanPSMT" w:cs="TimesNewRomanPSMT"/>
        </w:rPr>
        <w:t xml:space="preserve"> </w:t>
      </w:r>
      <w:r w:rsidR="00BA4714">
        <w:rPr>
          <w:rFonts w:ascii="TimesNewRomanPSMT" w:hAnsi="TimesNewRomanPSMT" w:cs="TimesNewRomanPSMT"/>
        </w:rPr>
        <w:t>Subsequently, s</w:t>
      </w:r>
      <w:r w:rsidR="009B3CE7">
        <w:rPr>
          <w:rFonts w:ascii="TimesNewRomanPSMT" w:hAnsi="TimesNewRomanPSMT" w:cs="TimesNewRomanPSMT"/>
        </w:rPr>
        <w:t xml:space="preserve">taff issued two data requests to the utility, and </w:t>
      </w:r>
      <w:r w:rsidR="00B02550">
        <w:rPr>
          <w:rFonts w:ascii="TimesNewRomanPSMT" w:hAnsi="TimesNewRomanPSMT" w:cs="TimesNewRomanPSMT"/>
        </w:rPr>
        <w:t xml:space="preserve">conducted </w:t>
      </w:r>
      <w:r w:rsidR="00066A62">
        <w:t xml:space="preserve">two </w:t>
      </w:r>
      <w:r w:rsidR="009B3CE7">
        <w:t>informal meeting</w:t>
      </w:r>
      <w:r w:rsidR="00066A62">
        <w:t>s</w:t>
      </w:r>
      <w:r w:rsidR="009B3CE7">
        <w:t xml:space="preserve"> </w:t>
      </w:r>
      <w:r w:rsidR="00B02550">
        <w:t xml:space="preserve">with </w:t>
      </w:r>
      <w:r w:rsidR="009B3CE7">
        <w:t>ut</w:t>
      </w:r>
      <w:r w:rsidR="00E767D3">
        <w:t xml:space="preserve">ility representatives </w:t>
      </w:r>
      <w:r w:rsidR="00B02550">
        <w:t>on August 17, 2023</w:t>
      </w:r>
      <w:r w:rsidR="0015396B">
        <w:t>,</w:t>
      </w:r>
      <w:r w:rsidR="00066A62">
        <w:t xml:space="preserve"> and September 7, 2023</w:t>
      </w:r>
      <w:r w:rsidR="00E767D3">
        <w:t xml:space="preserve">. </w:t>
      </w:r>
    </w:p>
    <w:p w:rsidR="00350089" w:rsidRDefault="00350089" w:rsidP="00350089">
      <w:pPr>
        <w:pStyle w:val="BodyText"/>
      </w:pPr>
      <w:r w:rsidRPr="00350B53">
        <w:t xml:space="preserve">On September </w:t>
      </w:r>
      <w:r w:rsidR="00066A62">
        <w:t>15</w:t>
      </w:r>
      <w:r w:rsidR="00BA4714" w:rsidRPr="00350B53">
        <w:t>, 2023,</w:t>
      </w:r>
      <w:r w:rsidRPr="00350B53">
        <w:t xml:space="preserve"> </w:t>
      </w:r>
      <w:r w:rsidR="00B02550" w:rsidRPr="00350B53">
        <w:t xml:space="preserve">TECO filed </w:t>
      </w:r>
      <w:r w:rsidR="00BA4714" w:rsidRPr="00350B53">
        <w:t>r</w:t>
      </w:r>
      <w:r w:rsidRPr="00350B53">
        <w:t>evision</w:t>
      </w:r>
      <w:r w:rsidR="00BA4714" w:rsidRPr="00350B53">
        <w:t>s</w:t>
      </w:r>
      <w:r w:rsidR="0015396B">
        <w:t xml:space="preserve"> to the</w:t>
      </w:r>
      <w:r w:rsidRPr="00350B53">
        <w:t xml:space="preserve"> </w:t>
      </w:r>
      <w:r w:rsidR="00B02550" w:rsidRPr="00350B53">
        <w:t>proposed S</w:t>
      </w:r>
      <w:r w:rsidR="00BA4714" w:rsidRPr="00350B53">
        <w:t xml:space="preserve">SR-1 </w:t>
      </w:r>
      <w:r w:rsidR="00B02550" w:rsidRPr="00350B53">
        <w:t>T</w:t>
      </w:r>
      <w:r w:rsidRPr="00350B53">
        <w:t>ariff</w:t>
      </w:r>
      <w:r w:rsidR="00BA4714" w:rsidRPr="00350B53">
        <w:t xml:space="preserve"> based on feedback provided by staff</w:t>
      </w:r>
      <w:r w:rsidRPr="00350B53">
        <w:t>.</w:t>
      </w:r>
      <w:r>
        <w:t xml:space="preserve"> </w:t>
      </w:r>
      <w:r w:rsidR="00B02550">
        <w:t xml:space="preserve">TECO’s </w:t>
      </w:r>
      <w:r>
        <w:rPr>
          <w:rFonts w:ascii="TimesNewRomanPSMT" w:hAnsi="TimesNewRomanPSMT" w:cs="TimesNewRomanPSMT"/>
        </w:rPr>
        <w:t xml:space="preserve">proposed </w:t>
      </w:r>
      <w:r w:rsidR="00B02550">
        <w:rPr>
          <w:rFonts w:ascii="TimesNewRomanPSMT" w:hAnsi="TimesNewRomanPSMT" w:cs="TimesNewRomanPSMT"/>
        </w:rPr>
        <w:t>S</w:t>
      </w:r>
      <w:r w:rsidR="00BA4714">
        <w:rPr>
          <w:rFonts w:ascii="TimesNewRomanPSMT" w:hAnsi="TimesNewRomanPSMT" w:cs="TimesNewRomanPSMT"/>
        </w:rPr>
        <w:t>SR-1</w:t>
      </w:r>
      <w:r w:rsidR="00B02550">
        <w:rPr>
          <w:rFonts w:ascii="TimesNewRomanPSMT" w:hAnsi="TimesNewRomanPSMT" w:cs="TimesNewRomanPSMT"/>
        </w:rPr>
        <w:t xml:space="preserve"> Tariff</w:t>
      </w:r>
      <w:r w:rsidR="00107D90">
        <w:rPr>
          <w:rFonts w:ascii="TimesNewRomanPSMT" w:hAnsi="TimesNewRomanPSMT" w:cs="TimesNewRomanPSMT"/>
        </w:rPr>
        <w:t>, as amended,</w:t>
      </w:r>
      <w:r w:rsidR="00B02550">
        <w:rPr>
          <w:rFonts w:ascii="TimesNewRomanPSMT" w:hAnsi="TimesNewRomanPSMT" w:cs="TimesNewRomanPSMT"/>
        </w:rPr>
        <w:t xml:space="preserve"> </w:t>
      </w:r>
      <w:r w:rsidR="00107D90">
        <w:rPr>
          <w:rFonts w:ascii="TimesNewRomanPSMT" w:hAnsi="TimesNewRomanPSMT" w:cs="TimesNewRomanPSMT"/>
        </w:rPr>
        <w:t xml:space="preserve">is </w:t>
      </w:r>
      <w:r>
        <w:rPr>
          <w:rFonts w:ascii="TimesNewRomanPSMT" w:hAnsi="TimesNewRomanPSMT" w:cs="TimesNewRomanPSMT"/>
        </w:rPr>
        <w:t>shown in Attachment A.</w:t>
      </w:r>
    </w:p>
    <w:p w:rsidR="0068481F" w:rsidRDefault="002C10A1" w:rsidP="002C10A1">
      <w:pPr>
        <w:pStyle w:val="BodyText"/>
      </w:pPr>
      <w:r>
        <w:t>The Commission has jurisdiction over this matter pursuant to Sections 366.03, 366.04, 366.05, and 366.06, Florida Statutes (F.S.).</w:t>
      </w: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2C10A1" w:rsidRDefault="002C10A1">
      <w:pPr>
        <w:pStyle w:val="IssueHeading"/>
        <w:rPr>
          <w:vanish/>
          <w:specVanish/>
        </w:rPr>
      </w:pPr>
      <w:r w:rsidRPr="004C3641">
        <w:t xml:space="preserve">Issue </w:t>
      </w:r>
      <w:fldSimple w:instr=" SEQ Issue \* MERGEFORMAT ">
        <w:r w:rsidR="00520785">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520785">
        <w:rPr>
          <w:noProof/>
        </w:rPr>
        <w:instrText>1</w:instrText>
      </w:r>
      <w:r>
        <w:fldChar w:fldCharType="end"/>
      </w:r>
      <w:r>
        <w:tab/>
        <w:instrText xml:space="preserve">" \l 1 </w:instrText>
      </w:r>
      <w:r>
        <w:fldChar w:fldCharType="end"/>
      </w:r>
      <w:r>
        <w:t> </w:t>
      </w:r>
    </w:p>
    <w:p w:rsidR="002C10A1" w:rsidRDefault="002C10A1">
      <w:pPr>
        <w:pStyle w:val="BodyText"/>
      </w:pPr>
      <w:r>
        <w:t> </w:t>
      </w:r>
      <w:r w:rsidR="00A2465C">
        <w:rPr>
          <w:rFonts w:ascii="TimesNewRomanPSMT" w:hAnsi="TimesNewRomanPSMT" w:cs="TimesNewRomanPSMT"/>
        </w:rPr>
        <w:t xml:space="preserve">Should </w:t>
      </w:r>
      <w:r w:rsidR="009B3CE7">
        <w:rPr>
          <w:rFonts w:ascii="TimesNewRomanPSMT" w:hAnsi="TimesNewRomanPSMT" w:cs="TimesNewRomanPSMT"/>
        </w:rPr>
        <w:t>the Commission approve the</w:t>
      </w:r>
      <w:r w:rsidR="00A2465C">
        <w:rPr>
          <w:rFonts w:ascii="TimesNewRomanPSMT" w:hAnsi="TimesNewRomanPSMT" w:cs="TimesNewRomanPSMT"/>
        </w:rPr>
        <w:t xml:space="preserve"> proposed </w:t>
      </w:r>
      <w:r w:rsidR="009B3CE7">
        <w:rPr>
          <w:rFonts w:ascii="TimesNewRomanPSMT" w:hAnsi="TimesNewRomanPSMT" w:cs="TimesNewRomanPSMT"/>
        </w:rPr>
        <w:t xml:space="preserve">changes to TECO’s </w:t>
      </w:r>
      <w:r w:rsidR="00A2465C">
        <w:rPr>
          <w:rFonts w:ascii="TimesNewRomanPSMT" w:hAnsi="TimesNewRomanPSMT" w:cs="TimesNewRomanPSMT"/>
        </w:rPr>
        <w:t>Share</w:t>
      </w:r>
      <w:r w:rsidR="00E54530">
        <w:rPr>
          <w:rFonts w:ascii="TimesNewRomanPSMT" w:hAnsi="TimesNewRomanPSMT" w:cs="TimesNewRomanPSMT"/>
        </w:rPr>
        <w:t>d Solar Rider T</w:t>
      </w:r>
      <w:r w:rsidR="009B3CE7">
        <w:rPr>
          <w:rFonts w:ascii="TimesNewRomanPSMT" w:hAnsi="TimesNewRomanPSMT" w:cs="TimesNewRomanPSMT"/>
        </w:rPr>
        <w:t>ariff</w:t>
      </w:r>
      <w:r w:rsidR="00A2465C">
        <w:rPr>
          <w:rFonts w:ascii="TimesNewRomanPSMT" w:hAnsi="TimesNewRomanPSMT" w:cs="TimesNewRomanPSMT"/>
        </w:rPr>
        <w:t>?</w:t>
      </w:r>
    </w:p>
    <w:p w:rsidR="002C10A1" w:rsidRPr="004C3641" w:rsidRDefault="002C10A1">
      <w:pPr>
        <w:pStyle w:val="IssueSubsectionHeading"/>
        <w:rPr>
          <w:vanish/>
          <w:specVanish/>
        </w:rPr>
      </w:pPr>
      <w:r w:rsidRPr="004C3641">
        <w:t>Recommendation: </w:t>
      </w:r>
    </w:p>
    <w:p w:rsidR="00FD7A55" w:rsidRDefault="002C10A1">
      <w:pPr>
        <w:pStyle w:val="BodyText"/>
        <w:rPr>
          <w:rFonts w:ascii="TimesNewRomanPSMT" w:hAnsi="TimesNewRomanPSMT" w:cs="TimesNewRomanPSMT"/>
        </w:rPr>
      </w:pPr>
      <w:r>
        <w:t> </w:t>
      </w:r>
      <w:r w:rsidR="006A32FA">
        <w:t xml:space="preserve">Yes, </w:t>
      </w:r>
      <w:r w:rsidR="006A32FA">
        <w:rPr>
          <w:rFonts w:ascii="TimesNewRomanPSMT" w:hAnsi="TimesNewRomanPSMT" w:cs="TimesNewRomanPSMT"/>
        </w:rPr>
        <w:t xml:space="preserve">the Commission should approve the proposed changes to TECO’s Shared Solar Rider </w:t>
      </w:r>
      <w:r w:rsidR="00E54530">
        <w:rPr>
          <w:rFonts w:ascii="TimesNewRomanPSMT" w:hAnsi="TimesNewRomanPSMT" w:cs="TimesNewRomanPSMT"/>
        </w:rPr>
        <w:t>T</w:t>
      </w:r>
      <w:r w:rsidR="006A32FA">
        <w:rPr>
          <w:rFonts w:ascii="TimesNewRomanPSMT" w:hAnsi="TimesNewRomanPSMT" w:cs="TimesNewRomanPSMT"/>
        </w:rPr>
        <w:t>ariff</w:t>
      </w:r>
      <w:r w:rsidR="00961A98">
        <w:rPr>
          <w:rFonts w:ascii="TimesNewRomanPSMT" w:hAnsi="TimesNewRomanPSMT" w:cs="TimesNewRomanPSMT"/>
        </w:rPr>
        <w:t>, as</w:t>
      </w:r>
      <w:r w:rsidR="006A32FA">
        <w:rPr>
          <w:rFonts w:ascii="TimesNewRomanPSMT" w:hAnsi="TimesNewRomanPSMT" w:cs="TimesNewRomanPSMT"/>
        </w:rPr>
        <w:t xml:space="preserve"> </w:t>
      </w:r>
      <w:r w:rsidR="00EE16F9">
        <w:rPr>
          <w:rFonts w:ascii="TimesNewRomanPSMT" w:hAnsi="TimesNewRomanPSMT" w:cs="TimesNewRomanPSMT"/>
        </w:rPr>
        <w:t xml:space="preserve">shown in Attachment </w:t>
      </w:r>
      <w:proofErr w:type="gramStart"/>
      <w:r w:rsidR="00EE16F9">
        <w:rPr>
          <w:rFonts w:ascii="TimesNewRomanPSMT" w:hAnsi="TimesNewRomanPSMT" w:cs="TimesNewRomanPSMT"/>
        </w:rPr>
        <w:t>A</w:t>
      </w:r>
      <w:proofErr w:type="gramEnd"/>
      <w:r w:rsidR="006A32FA">
        <w:rPr>
          <w:rFonts w:ascii="TimesNewRomanPSMT" w:hAnsi="TimesNewRomanPSMT" w:cs="TimesNewRomanPSMT"/>
        </w:rPr>
        <w:t>,</w:t>
      </w:r>
      <w:r w:rsidR="00350089">
        <w:rPr>
          <w:rFonts w:ascii="TimesNewRomanPSMT" w:hAnsi="TimesNewRomanPSMT" w:cs="TimesNewRomanPSMT"/>
        </w:rPr>
        <w:t xml:space="preserve"> contingent upon</w:t>
      </w:r>
      <w:r w:rsidR="00056A02">
        <w:rPr>
          <w:rFonts w:ascii="TimesNewRomanPSMT" w:hAnsi="TimesNewRomanPSMT" w:cs="TimesNewRomanPSMT"/>
        </w:rPr>
        <w:t xml:space="preserve"> </w:t>
      </w:r>
      <w:r w:rsidR="00BB02F1">
        <w:rPr>
          <w:rFonts w:ascii="TimesNewRomanPSMT" w:hAnsi="TimesNewRomanPSMT" w:cs="TimesNewRomanPSMT"/>
        </w:rPr>
        <w:t xml:space="preserve">TECO’s compliance with certain program implementation </w:t>
      </w:r>
      <w:r w:rsidR="00056A02">
        <w:rPr>
          <w:rFonts w:ascii="TimesNewRomanPSMT" w:hAnsi="TimesNewRomanPSMT" w:cs="TimesNewRomanPSMT"/>
        </w:rPr>
        <w:t>provisions and report</w:t>
      </w:r>
      <w:r w:rsidR="00A91523">
        <w:rPr>
          <w:rFonts w:ascii="TimesNewRomanPSMT" w:hAnsi="TimesNewRomanPSMT" w:cs="TimesNewRomanPSMT"/>
        </w:rPr>
        <w:t>ing</w:t>
      </w:r>
      <w:r w:rsidR="00056A02">
        <w:rPr>
          <w:rFonts w:ascii="TimesNewRomanPSMT" w:hAnsi="TimesNewRomanPSMT" w:cs="TimesNewRomanPSMT"/>
        </w:rPr>
        <w:t xml:space="preserve"> requirement</w:t>
      </w:r>
      <w:r w:rsidR="00BB02F1">
        <w:rPr>
          <w:rFonts w:ascii="TimesNewRomanPSMT" w:hAnsi="TimesNewRomanPSMT" w:cs="TimesNewRomanPSMT"/>
        </w:rPr>
        <w:t>s</w:t>
      </w:r>
      <w:r w:rsidR="00056A02">
        <w:rPr>
          <w:rFonts w:ascii="TimesNewRomanPSMT" w:hAnsi="TimesNewRomanPSMT" w:cs="TimesNewRomanPSMT"/>
        </w:rPr>
        <w:t xml:space="preserve"> described below. </w:t>
      </w:r>
    </w:p>
    <w:p w:rsidR="00FD7A55" w:rsidRPr="00731EF7" w:rsidRDefault="00056A02">
      <w:pPr>
        <w:pStyle w:val="BodyText"/>
        <w:rPr>
          <w:u w:val="single"/>
        </w:rPr>
      </w:pPr>
      <w:r>
        <w:rPr>
          <w:rFonts w:ascii="TimesNewRomanPSMT" w:hAnsi="TimesNewRomanPSMT" w:cs="TimesNewRomanPSMT"/>
        </w:rPr>
        <w:t>First,</w:t>
      </w:r>
      <w:r w:rsidR="00266B11">
        <w:rPr>
          <w:rFonts w:ascii="TimesNewRomanPSMT" w:hAnsi="TimesNewRomanPSMT" w:cs="TimesNewRomanPSMT"/>
        </w:rPr>
        <w:t xml:space="preserve"> </w:t>
      </w:r>
      <w:r>
        <w:rPr>
          <w:rFonts w:ascii="TimesNewRomanPSMT" w:hAnsi="TimesNewRomanPSMT" w:cs="TimesNewRomanPSMT"/>
        </w:rPr>
        <w:t>incremental</w:t>
      </w:r>
      <w:r w:rsidR="006A32FA">
        <w:rPr>
          <w:rFonts w:ascii="TimesNewRomanPSMT" w:hAnsi="TimesNewRomanPSMT" w:cs="TimesNewRomanPSMT"/>
        </w:rPr>
        <w:t xml:space="preserve"> revenues </w:t>
      </w:r>
      <w:r>
        <w:rPr>
          <w:rFonts w:ascii="TimesNewRomanPSMT" w:hAnsi="TimesNewRomanPSMT" w:cs="TimesNewRomanPSMT"/>
        </w:rPr>
        <w:t xml:space="preserve">from this program </w:t>
      </w:r>
      <w:r w:rsidR="006963C5">
        <w:rPr>
          <w:rFonts w:ascii="TimesNewRomanPSMT" w:hAnsi="TimesNewRomanPSMT" w:cs="TimesNewRomanPSMT"/>
        </w:rPr>
        <w:t xml:space="preserve">that exceed </w:t>
      </w:r>
      <w:r w:rsidR="00BB02F1">
        <w:rPr>
          <w:rFonts w:ascii="TimesNewRomanPSMT" w:hAnsi="TimesNewRomanPSMT" w:cs="TimesNewRomanPSMT"/>
        </w:rPr>
        <w:t xml:space="preserve">the Sun Select </w:t>
      </w:r>
      <w:r w:rsidR="006963C5">
        <w:rPr>
          <w:rFonts w:ascii="TimesNewRomanPSMT" w:hAnsi="TimesNewRomanPSMT" w:cs="TimesNewRomanPSMT"/>
        </w:rPr>
        <w:t xml:space="preserve">revenue </w:t>
      </w:r>
      <w:r w:rsidR="000C2009">
        <w:rPr>
          <w:rFonts w:ascii="TimesNewRomanPSMT" w:hAnsi="TimesNewRomanPSMT" w:cs="TimesNewRomanPSMT"/>
        </w:rPr>
        <w:t xml:space="preserve">credits </w:t>
      </w:r>
      <w:r w:rsidR="00BB02F1">
        <w:rPr>
          <w:rFonts w:ascii="TimesNewRomanPSMT" w:hAnsi="TimesNewRomanPSMT" w:cs="TimesNewRomanPSMT"/>
        </w:rPr>
        <w:t xml:space="preserve">approved in the 2021 Settlement </w:t>
      </w:r>
      <w:r>
        <w:rPr>
          <w:rFonts w:ascii="TimesNewRomanPSMT" w:hAnsi="TimesNewRomanPSMT" w:cs="TimesNewRomanPSMT"/>
        </w:rPr>
        <w:t xml:space="preserve">should be recorded </w:t>
      </w:r>
      <w:r w:rsidR="00FD7A55">
        <w:rPr>
          <w:rFonts w:ascii="TimesNewRomanPSMT" w:hAnsi="TimesNewRomanPSMT" w:cs="TimesNewRomanPSMT"/>
        </w:rPr>
        <w:t>as a</w:t>
      </w:r>
      <w:r w:rsidR="00066A62">
        <w:rPr>
          <w:rFonts w:ascii="TimesNewRomanPSMT" w:hAnsi="TimesNewRomanPSMT" w:cs="TimesNewRomanPSMT"/>
        </w:rPr>
        <w:t xml:space="preserve"> credit to the Fuel and Purchased Power Cost Recovery Clause (Fuel Clause)</w:t>
      </w:r>
      <w:r w:rsidR="006A32FA">
        <w:rPr>
          <w:rFonts w:ascii="TimesNewRomanPSMT" w:hAnsi="TimesNewRomanPSMT" w:cs="TimesNewRomanPSMT"/>
        </w:rPr>
        <w:t xml:space="preserve"> </w:t>
      </w:r>
      <w:r w:rsidR="00066A62">
        <w:rPr>
          <w:rFonts w:ascii="TimesNewRomanPSMT" w:hAnsi="TimesNewRomanPSMT" w:cs="TimesNewRomanPSMT"/>
        </w:rPr>
        <w:t xml:space="preserve">to </w:t>
      </w:r>
      <w:r w:rsidR="00731EF7">
        <w:rPr>
          <w:rFonts w:ascii="TimesNewRomanPSMT" w:hAnsi="TimesNewRomanPSMT" w:cs="TimesNewRomanPSMT"/>
        </w:rPr>
        <w:t xml:space="preserve">offset </w:t>
      </w:r>
      <w:r w:rsidR="00350089">
        <w:rPr>
          <w:rFonts w:ascii="TimesNewRomanPSMT" w:hAnsi="TimesNewRomanPSMT" w:cs="TimesNewRomanPSMT"/>
        </w:rPr>
        <w:t>expenditures for fuel</w:t>
      </w:r>
      <w:r w:rsidR="00BB02F1">
        <w:rPr>
          <w:rFonts w:ascii="TimesNewRomanPSMT" w:hAnsi="TimesNewRomanPSMT" w:cs="TimesNewRomanPSMT"/>
        </w:rPr>
        <w:t>.</w:t>
      </w:r>
      <w:r w:rsidR="00520785">
        <w:rPr>
          <w:rFonts w:ascii="TimesNewRomanPSMT" w:hAnsi="TimesNewRomanPSMT" w:cs="TimesNewRomanPSMT"/>
        </w:rPr>
        <w:t xml:space="preserve"> </w:t>
      </w:r>
    </w:p>
    <w:p w:rsidR="00195677" w:rsidRDefault="00CC6867">
      <w:pPr>
        <w:pStyle w:val="BodyText"/>
        <w:rPr>
          <w:rFonts w:ascii="TimesNewRomanPSMT" w:hAnsi="TimesNewRomanPSMT" w:cs="TimesNewRomanPSMT"/>
          <w:highlight w:val="yellow"/>
        </w:rPr>
      </w:pPr>
      <w:r w:rsidRPr="00731EF7">
        <w:rPr>
          <w:rFonts w:ascii="TimesNewRomanPSMT" w:hAnsi="TimesNewRomanPSMT" w:cs="TimesNewRomanPSMT"/>
        </w:rPr>
        <w:t xml:space="preserve">Second, TECO should manage its </w:t>
      </w:r>
      <w:r w:rsidR="00CA6CE1" w:rsidRPr="00731EF7">
        <w:rPr>
          <w:rFonts w:ascii="TimesNewRomanPSMT" w:hAnsi="TimesNewRomanPSMT" w:cs="TimesNewRomanPSMT"/>
        </w:rPr>
        <w:t xml:space="preserve">SSR-1 Tariff program </w:t>
      </w:r>
      <w:r w:rsidRPr="00731EF7">
        <w:rPr>
          <w:rFonts w:ascii="TimesNewRomanPSMT" w:hAnsi="TimesNewRomanPSMT" w:cs="TimesNewRomanPSMT"/>
        </w:rPr>
        <w:t>subscriptions to ensu</w:t>
      </w:r>
      <w:r w:rsidR="00731EF7">
        <w:rPr>
          <w:rFonts w:ascii="TimesNewRomanPSMT" w:hAnsi="TimesNewRomanPSMT" w:cs="TimesNewRomanPSMT"/>
        </w:rPr>
        <w:t xml:space="preserve">re that the proportion of </w:t>
      </w:r>
      <w:r w:rsidR="00B141F6" w:rsidRPr="00731EF7">
        <w:rPr>
          <w:rFonts w:ascii="TimesNewRomanPSMT" w:hAnsi="TimesNewRomanPSMT" w:cs="TimesNewRomanPSMT"/>
        </w:rPr>
        <w:t>energy sales</w:t>
      </w:r>
      <w:r w:rsidRPr="00731EF7">
        <w:rPr>
          <w:rFonts w:ascii="TimesNewRomanPSMT" w:hAnsi="TimesNewRomanPSMT" w:cs="TimesNewRomanPSMT"/>
        </w:rPr>
        <w:t xml:space="preserve"> </w:t>
      </w:r>
      <w:r w:rsidR="00B141F6" w:rsidRPr="00731EF7">
        <w:rPr>
          <w:rFonts w:ascii="TimesNewRomanPSMT" w:hAnsi="TimesNewRomanPSMT" w:cs="TimesNewRomanPSMT"/>
        </w:rPr>
        <w:t xml:space="preserve">of </w:t>
      </w:r>
      <w:r w:rsidR="00066A62" w:rsidRPr="00731EF7">
        <w:rPr>
          <w:rFonts w:ascii="TimesNewRomanPSMT" w:hAnsi="TimesNewRomanPSMT" w:cs="TimesNewRomanPSMT"/>
        </w:rPr>
        <w:t>residential and commercial custo</w:t>
      </w:r>
      <w:r w:rsidR="00731EF7">
        <w:rPr>
          <w:rFonts w:ascii="TimesNewRomanPSMT" w:hAnsi="TimesNewRomanPSMT" w:cs="TimesNewRomanPSMT"/>
        </w:rPr>
        <w:t>m</w:t>
      </w:r>
      <w:r w:rsidR="00066A62" w:rsidRPr="00731EF7">
        <w:rPr>
          <w:rFonts w:ascii="TimesNewRomanPSMT" w:hAnsi="TimesNewRomanPSMT" w:cs="TimesNewRomanPSMT"/>
        </w:rPr>
        <w:t>ers in the RS and GS classes</w:t>
      </w:r>
      <w:r w:rsidRPr="00731EF7">
        <w:rPr>
          <w:rFonts w:ascii="TimesNewRomanPSMT" w:hAnsi="TimesNewRomanPSMT" w:cs="TimesNewRomanPSMT"/>
        </w:rPr>
        <w:t xml:space="preserve"> </w:t>
      </w:r>
      <w:r w:rsidR="00195677" w:rsidRPr="00731EF7">
        <w:rPr>
          <w:rFonts w:ascii="TimesNewRomanPSMT" w:hAnsi="TimesNewRomanPSMT" w:cs="TimesNewRomanPSMT"/>
        </w:rPr>
        <w:t xml:space="preserve">to total energy sales (all classes) </w:t>
      </w:r>
      <w:r w:rsidR="0015396B">
        <w:rPr>
          <w:rFonts w:ascii="TimesNewRomanPSMT" w:hAnsi="TimesNewRomanPSMT" w:cs="TimesNewRomanPSMT"/>
        </w:rPr>
        <w:t>is</w:t>
      </w:r>
      <w:r w:rsidR="00520785" w:rsidRPr="00731EF7">
        <w:rPr>
          <w:rFonts w:ascii="TimesNewRomanPSMT" w:hAnsi="TimesNewRomanPSMT" w:cs="TimesNewRomanPSMT"/>
        </w:rPr>
        <w:t>, in the aggregate,</w:t>
      </w:r>
      <w:r w:rsidRPr="00731EF7">
        <w:rPr>
          <w:rFonts w:ascii="TimesNewRomanPSMT" w:hAnsi="TimesNewRomanPSMT" w:cs="TimesNewRomanPSMT"/>
        </w:rPr>
        <w:t xml:space="preserve"> no lower than </w:t>
      </w:r>
      <w:r w:rsidR="00520785" w:rsidRPr="00731EF7">
        <w:rPr>
          <w:rFonts w:ascii="TimesNewRomanPSMT" w:hAnsi="TimesNewRomanPSMT" w:cs="TimesNewRomanPSMT"/>
        </w:rPr>
        <w:t>thirty percent</w:t>
      </w:r>
      <w:r w:rsidR="00E4295D" w:rsidRPr="00731EF7">
        <w:rPr>
          <w:rFonts w:ascii="TimesNewRomanPSMT" w:hAnsi="TimesNewRomanPSMT" w:cs="TimesNewRomanPSMT"/>
        </w:rPr>
        <w:t>.</w:t>
      </w:r>
      <w:r w:rsidR="00E4295D" w:rsidRPr="00195677">
        <w:rPr>
          <w:rFonts w:ascii="TimesNewRomanPSMT" w:hAnsi="TimesNewRomanPSMT" w:cs="TimesNewRomanPSMT"/>
          <w:highlight w:val="yellow"/>
        </w:rPr>
        <w:t xml:space="preserve"> </w:t>
      </w:r>
    </w:p>
    <w:p w:rsidR="00107D90" w:rsidRDefault="00CC6867">
      <w:pPr>
        <w:pStyle w:val="BodyText"/>
        <w:rPr>
          <w:rFonts w:ascii="TimesNewRomanPSMT" w:hAnsi="TimesNewRomanPSMT" w:cs="TimesNewRomanPSMT"/>
        </w:rPr>
      </w:pPr>
      <w:r w:rsidRPr="00195677">
        <w:rPr>
          <w:rFonts w:ascii="TimesNewRomanPSMT" w:hAnsi="TimesNewRomanPSMT" w:cs="TimesNewRomanPSMT"/>
        </w:rPr>
        <w:t>Third</w:t>
      </w:r>
      <w:r w:rsidR="00056A02" w:rsidRPr="00195677">
        <w:rPr>
          <w:rFonts w:ascii="TimesNewRomanPSMT" w:hAnsi="TimesNewRomanPSMT" w:cs="TimesNewRomanPSMT"/>
        </w:rPr>
        <w:t xml:space="preserve">, </w:t>
      </w:r>
      <w:r w:rsidR="00097631">
        <w:rPr>
          <w:rFonts w:ascii="TimesNewRomanPSMT" w:hAnsi="TimesNewRomanPSMT" w:cs="TimesNewRomanPSMT"/>
        </w:rPr>
        <w:t>in its</w:t>
      </w:r>
      <w:r w:rsidR="00056A02">
        <w:rPr>
          <w:rFonts w:ascii="TimesNewRomanPSMT" w:hAnsi="TimesNewRomanPSMT" w:cs="TimesNewRomanPSMT"/>
        </w:rPr>
        <w:t xml:space="preserve"> </w:t>
      </w:r>
      <w:r w:rsidR="00097631">
        <w:rPr>
          <w:rFonts w:ascii="TimesNewRomanPSMT" w:hAnsi="TimesNewRomanPSMT" w:cs="TimesNewRomanPSMT"/>
        </w:rPr>
        <w:t xml:space="preserve">marketing of </w:t>
      </w:r>
      <w:r w:rsidR="00066A62">
        <w:rPr>
          <w:rFonts w:ascii="TimesNewRomanPSMT" w:hAnsi="TimesNewRomanPSMT" w:cs="TimesNewRomanPSMT"/>
        </w:rPr>
        <w:t xml:space="preserve">the </w:t>
      </w:r>
      <w:r w:rsidR="00097631">
        <w:rPr>
          <w:rFonts w:ascii="TimesNewRomanPSMT" w:hAnsi="TimesNewRomanPSMT" w:cs="TimesNewRomanPSMT"/>
        </w:rPr>
        <w:t xml:space="preserve">revised </w:t>
      </w:r>
      <w:r w:rsidR="006A32FA">
        <w:rPr>
          <w:rFonts w:ascii="TimesNewRomanPSMT" w:hAnsi="TimesNewRomanPSMT" w:cs="TimesNewRomanPSMT"/>
        </w:rPr>
        <w:t>program</w:t>
      </w:r>
      <w:r w:rsidR="00E4295D">
        <w:rPr>
          <w:rFonts w:ascii="TimesNewRomanPSMT" w:hAnsi="TimesNewRomanPSMT" w:cs="TimesNewRomanPSMT"/>
        </w:rPr>
        <w:t>, TECO</w:t>
      </w:r>
      <w:r w:rsidR="00266B11">
        <w:rPr>
          <w:rFonts w:ascii="TimesNewRomanPSMT" w:hAnsi="TimesNewRomanPSMT" w:cs="TimesNewRomanPSMT"/>
        </w:rPr>
        <w:t xml:space="preserve"> </w:t>
      </w:r>
      <w:r w:rsidR="00097631">
        <w:rPr>
          <w:rFonts w:ascii="TimesNewRomanPSMT" w:hAnsi="TimesNewRomanPSMT" w:cs="TimesNewRomanPSMT"/>
        </w:rPr>
        <w:t xml:space="preserve">should not claim or imply </w:t>
      </w:r>
      <w:r w:rsidR="00266B11">
        <w:rPr>
          <w:rFonts w:ascii="TimesNewRomanPSMT" w:hAnsi="TimesNewRomanPSMT" w:cs="TimesNewRomanPSMT"/>
        </w:rPr>
        <w:t>that program revenues are earmarked for</w:t>
      </w:r>
      <w:r w:rsidR="00066A62">
        <w:rPr>
          <w:rFonts w:ascii="TimesNewRomanPSMT" w:hAnsi="TimesNewRomanPSMT" w:cs="TimesNewRomanPSMT"/>
        </w:rPr>
        <w:t xml:space="preserve"> or contribute to the</w:t>
      </w:r>
      <w:r w:rsidR="00266B11">
        <w:rPr>
          <w:rFonts w:ascii="TimesNewRomanPSMT" w:hAnsi="TimesNewRomanPSMT" w:cs="TimesNewRomanPSMT"/>
        </w:rPr>
        <w:t xml:space="preserve"> constructi</w:t>
      </w:r>
      <w:r w:rsidR="00097631">
        <w:rPr>
          <w:rFonts w:ascii="TimesNewRomanPSMT" w:hAnsi="TimesNewRomanPSMT" w:cs="TimesNewRomanPSMT"/>
        </w:rPr>
        <w:t>on</w:t>
      </w:r>
      <w:r w:rsidR="00266B11">
        <w:rPr>
          <w:rFonts w:ascii="TimesNewRomanPSMT" w:hAnsi="TimesNewRomanPSMT" w:cs="TimesNewRomanPSMT"/>
        </w:rPr>
        <w:t xml:space="preserve"> </w:t>
      </w:r>
      <w:r w:rsidR="00097631">
        <w:rPr>
          <w:rFonts w:ascii="TimesNewRomanPSMT" w:hAnsi="TimesNewRomanPSMT" w:cs="TimesNewRomanPSMT"/>
        </w:rPr>
        <w:t xml:space="preserve">of </w:t>
      </w:r>
      <w:r w:rsidR="00266B11">
        <w:rPr>
          <w:rFonts w:ascii="TimesNewRomanPSMT" w:hAnsi="TimesNewRomanPSMT" w:cs="TimesNewRomanPSMT"/>
        </w:rPr>
        <w:t>new solar resources.</w:t>
      </w:r>
      <w:r w:rsidR="00097631">
        <w:rPr>
          <w:rFonts w:ascii="TimesNewRomanPSMT" w:hAnsi="TimesNewRomanPSMT" w:cs="TimesNewRomanPSMT"/>
        </w:rPr>
        <w:t xml:space="preserve"> </w:t>
      </w:r>
    </w:p>
    <w:p w:rsidR="002C10A1" w:rsidRPr="001554CA" w:rsidRDefault="00195677">
      <w:pPr>
        <w:pStyle w:val="BodyText"/>
        <w:rPr>
          <w:rFonts w:ascii="TimesNewRomanPSMT" w:hAnsi="TimesNewRomanPSMT" w:cs="TimesNewRomanPSMT"/>
        </w:rPr>
      </w:pPr>
      <w:r>
        <w:rPr>
          <w:rFonts w:ascii="TimesNewRomanPSMT" w:hAnsi="TimesNewRomanPSMT" w:cs="TimesNewRomanPSMT"/>
        </w:rPr>
        <w:t xml:space="preserve">Finally, </w:t>
      </w:r>
      <w:r w:rsidR="00097631">
        <w:rPr>
          <w:rFonts w:ascii="TimesNewRomanPSMT" w:hAnsi="TimesNewRomanPSMT" w:cs="TimesNewRomanPSMT"/>
        </w:rPr>
        <w:t>TECO</w:t>
      </w:r>
      <w:r w:rsidR="00266B11">
        <w:rPr>
          <w:rFonts w:ascii="TimesNewRomanPSMT" w:hAnsi="TimesNewRomanPSMT" w:cs="TimesNewRomanPSMT"/>
        </w:rPr>
        <w:t xml:space="preserve"> should submit </w:t>
      </w:r>
      <w:r w:rsidR="00056A02">
        <w:rPr>
          <w:rFonts w:ascii="TimesNewRomanPSMT" w:hAnsi="TimesNewRomanPSMT" w:cs="TimesNewRomanPSMT"/>
        </w:rPr>
        <w:t>annual</w:t>
      </w:r>
      <w:r w:rsidR="00266B11">
        <w:rPr>
          <w:rFonts w:ascii="TimesNewRomanPSMT" w:hAnsi="TimesNewRomanPSMT" w:cs="TimesNewRomanPSMT"/>
        </w:rPr>
        <w:t xml:space="preserve"> report</w:t>
      </w:r>
      <w:r w:rsidR="009F7463">
        <w:rPr>
          <w:rFonts w:ascii="TimesNewRomanPSMT" w:hAnsi="TimesNewRomanPSMT" w:cs="TimesNewRomanPSMT"/>
        </w:rPr>
        <w:t>s</w:t>
      </w:r>
      <w:r w:rsidR="00266B11">
        <w:rPr>
          <w:rFonts w:ascii="TimesNewRomanPSMT" w:hAnsi="TimesNewRomanPSMT" w:cs="TimesNewRomanPSMT"/>
        </w:rPr>
        <w:t xml:space="preserve"> </w:t>
      </w:r>
      <w:r w:rsidR="00097631">
        <w:rPr>
          <w:rFonts w:ascii="TimesNewRomanPSMT" w:hAnsi="TimesNewRomanPSMT" w:cs="TimesNewRomanPSMT"/>
        </w:rPr>
        <w:t>in March of 2024, 2025, 2026</w:t>
      </w:r>
      <w:r w:rsidR="009F7463">
        <w:rPr>
          <w:rFonts w:ascii="TimesNewRomanPSMT" w:hAnsi="TimesNewRomanPSMT" w:cs="TimesNewRomanPSMT"/>
        </w:rPr>
        <w:t>, and 2027</w:t>
      </w:r>
      <w:r w:rsidR="00097631">
        <w:rPr>
          <w:rFonts w:ascii="TimesNewRomanPSMT" w:hAnsi="TimesNewRomanPSMT" w:cs="TimesNewRomanPSMT"/>
        </w:rPr>
        <w:t xml:space="preserve"> </w:t>
      </w:r>
      <w:r w:rsidR="00066A62">
        <w:rPr>
          <w:rFonts w:ascii="TimesNewRomanPSMT" w:hAnsi="TimesNewRomanPSMT" w:cs="TimesNewRomanPSMT"/>
        </w:rPr>
        <w:t xml:space="preserve">with data </w:t>
      </w:r>
      <w:r w:rsidR="00056A02">
        <w:rPr>
          <w:rFonts w:ascii="TimesNewRomanPSMT" w:hAnsi="TimesNewRomanPSMT" w:cs="TimesNewRomanPSMT"/>
        </w:rPr>
        <w:t xml:space="preserve">for </w:t>
      </w:r>
      <w:r w:rsidR="00097631">
        <w:rPr>
          <w:rFonts w:ascii="TimesNewRomanPSMT" w:hAnsi="TimesNewRomanPSMT" w:cs="TimesNewRomanPSMT"/>
        </w:rPr>
        <w:t>the prior calendar year</w:t>
      </w:r>
      <w:r w:rsidR="00056A02">
        <w:rPr>
          <w:rFonts w:ascii="TimesNewRomanPSMT" w:hAnsi="TimesNewRomanPSMT" w:cs="TimesNewRomanPSMT"/>
        </w:rPr>
        <w:t xml:space="preserve">, </w:t>
      </w:r>
      <w:r w:rsidR="009F7463">
        <w:rPr>
          <w:rFonts w:ascii="TimesNewRomanPSMT" w:hAnsi="TimesNewRomanPSMT" w:cs="TimesNewRomanPSMT"/>
        </w:rPr>
        <w:t>detailing the following:</w:t>
      </w:r>
      <w:r w:rsidR="00266B11">
        <w:rPr>
          <w:rFonts w:ascii="TimesNewRomanPSMT" w:hAnsi="TimesNewRomanPSMT" w:cs="TimesNewRomanPSMT"/>
        </w:rPr>
        <w:t xml:space="preserve"> </w:t>
      </w:r>
      <w:r w:rsidR="00E4295D">
        <w:rPr>
          <w:rFonts w:ascii="TimesNewRomanPSMT" w:hAnsi="TimesNewRomanPSMT" w:cs="TimesNewRomanPSMT"/>
        </w:rPr>
        <w:t>1</w:t>
      </w:r>
      <w:r w:rsidR="00157CD7">
        <w:rPr>
          <w:rFonts w:ascii="TimesNewRomanPSMT" w:hAnsi="TimesNewRomanPSMT" w:cs="TimesNewRomanPSMT"/>
        </w:rPr>
        <w:t>)</w:t>
      </w:r>
      <w:r w:rsidR="00E4295D">
        <w:rPr>
          <w:rFonts w:ascii="TimesNewRomanPSMT" w:hAnsi="TimesNewRomanPSMT" w:cs="TimesNewRomanPSMT"/>
        </w:rPr>
        <w:t xml:space="preserve"> </w:t>
      </w:r>
      <w:r w:rsidR="00157CD7">
        <w:rPr>
          <w:rFonts w:ascii="TimesNewRomanPSMT" w:hAnsi="TimesNewRomanPSMT" w:cs="TimesNewRomanPSMT"/>
        </w:rPr>
        <w:t>the</w:t>
      </w:r>
      <w:r w:rsidR="00056A02">
        <w:rPr>
          <w:rFonts w:ascii="TimesNewRomanPSMT" w:hAnsi="TimesNewRomanPSMT" w:cs="TimesNewRomanPSMT"/>
        </w:rPr>
        <w:t xml:space="preserve"> number of </w:t>
      </w:r>
      <w:r w:rsidR="00E4295D">
        <w:rPr>
          <w:rFonts w:ascii="TimesNewRomanPSMT" w:hAnsi="TimesNewRomanPSMT" w:cs="TimesNewRomanPSMT"/>
        </w:rPr>
        <w:t xml:space="preserve">revised SSR-1 Tariff </w:t>
      </w:r>
      <w:r w:rsidR="00056A02">
        <w:rPr>
          <w:rFonts w:ascii="TimesNewRomanPSMT" w:hAnsi="TimesNewRomanPSMT" w:cs="TimesNewRomanPSMT"/>
        </w:rPr>
        <w:t>program participants</w:t>
      </w:r>
      <w:r w:rsidR="009F7463">
        <w:rPr>
          <w:rFonts w:ascii="TimesNewRomanPSMT" w:hAnsi="TimesNewRomanPSMT" w:cs="TimesNewRomanPSMT"/>
        </w:rPr>
        <w:t>, amount of energy sales, waiting list levels, and revenues collected,</w:t>
      </w:r>
      <w:r w:rsidR="00056A02">
        <w:rPr>
          <w:rFonts w:ascii="TimesNewRomanPSMT" w:hAnsi="TimesNewRomanPSMT" w:cs="TimesNewRomanPSMT"/>
        </w:rPr>
        <w:t xml:space="preserve"> by subscription level</w:t>
      </w:r>
      <w:r w:rsidR="009F7463">
        <w:rPr>
          <w:rFonts w:ascii="TimesNewRomanPSMT" w:hAnsi="TimesNewRomanPSMT" w:cs="TimesNewRomanPSMT"/>
        </w:rPr>
        <w:t xml:space="preserve"> and</w:t>
      </w:r>
      <w:r w:rsidR="00056A02">
        <w:rPr>
          <w:rFonts w:ascii="TimesNewRomanPSMT" w:hAnsi="TimesNewRomanPSMT" w:cs="TimesNewRomanPSMT"/>
        </w:rPr>
        <w:t xml:space="preserve"> by rate class</w:t>
      </w:r>
      <w:r w:rsidR="00E4295D">
        <w:rPr>
          <w:rFonts w:ascii="TimesNewRomanPSMT" w:hAnsi="TimesNewRomanPSMT" w:cs="TimesNewRomanPSMT"/>
        </w:rPr>
        <w:t>;</w:t>
      </w:r>
      <w:r w:rsidR="009F7463">
        <w:rPr>
          <w:rFonts w:ascii="TimesNewRomanPSMT" w:hAnsi="TimesNewRomanPSMT" w:cs="TimesNewRomanPSMT"/>
        </w:rPr>
        <w:t xml:space="preserve"> </w:t>
      </w:r>
      <w:r w:rsidR="00CA6CE1">
        <w:rPr>
          <w:rFonts w:ascii="TimesNewRomanPSMT" w:hAnsi="TimesNewRomanPSMT" w:cs="TimesNewRomanPSMT"/>
        </w:rPr>
        <w:t>2</w:t>
      </w:r>
      <w:r w:rsidR="00157CD7">
        <w:rPr>
          <w:rFonts w:ascii="TimesNewRomanPSMT" w:hAnsi="TimesNewRomanPSMT" w:cs="TimesNewRomanPSMT"/>
        </w:rPr>
        <w:t>)</w:t>
      </w:r>
      <w:r w:rsidR="00B63632">
        <w:rPr>
          <w:rFonts w:ascii="TimesNewRomanPSMT" w:hAnsi="TimesNewRomanPSMT" w:cs="TimesNewRomanPSMT"/>
        </w:rPr>
        <w:t xml:space="preserve"> </w:t>
      </w:r>
      <w:r w:rsidR="00157CD7">
        <w:rPr>
          <w:rFonts w:ascii="TimesNewRomanPSMT" w:hAnsi="TimesNewRomanPSMT" w:cs="TimesNewRomanPSMT"/>
        </w:rPr>
        <w:t>t</w:t>
      </w:r>
      <w:r w:rsidR="00E4295D">
        <w:rPr>
          <w:rFonts w:ascii="TimesNewRomanPSMT" w:hAnsi="TimesNewRomanPSMT" w:cs="TimesNewRomanPSMT"/>
        </w:rPr>
        <w:t xml:space="preserve">he </w:t>
      </w:r>
      <w:r w:rsidR="009F7463">
        <w:rPr>
          <w:rFonts w:ascii="TimesNewRomanPSMT" w:hAnsi="TimesNewRomanPSMT" w:cs="TimesNewRomanPSMT"/>
        </w:rPr>
        <w:t>incremental revenue</w:t>
      </w:r>
      <w:r w:rsidR="00CA6CE1">
        <w:rPr>
          <w:rFonts w:ascii="TimesNewRomanPSMT" w:hAnsi="TimesNewRomanPSMT" w:cs="TimesNewRomanPSMT"/>
        </w:rPr>
        <w:t>,</w:t>
      </w:r>
      <w:r w:rsidR="009F7463">
        <w:rPr>
          <w:rFonts w:ascii="TimesNewRomanPSMT" w:hAnsi="TimesNewRomanPSMT" w:cs="TimesNewRomanPSMT"/>
        </w:rPr>
        <w:t xml:space="preserve"> above the </w:t>
      </w:r>
      <w:r w:rsidR="00CA6CE1">
        <w:rPr>
          <w:rFonts w:ascii="TimesNewRomanPSMT" w:hAnsi="TimesNewRomanPSMT" w:cs="TimesNewRomanPSMT"/>
        </w:rPr>
        <w:t xml:space="preserve">Sun Select </w:t>
      </w:r>
      <w:r w:rsidR="009F7463">
        <w:rPr>
          <w:rFonts w:ascii="TimesNewRomanPSMT" w:hAnsi="TimesNewRomanPSMT" w:cs="TimesNewRomanPSMT"/>
        </w:rPr>
        <w:t>revenue currently included in base rates</w:t>
      </w:r>
      <w:r w:rsidR="00CA6CE1">
        <w:rPr>
          <w:rFonts w:ascii="TimesNewRomanPSMT" w:hAnsi="TimesNewRomanPSMT" w:cs="TimesNewRomanPSMT"/>
        </w:rPr>
        <w:t>,</w:t>
      </w:r>
      <w:r w:rsidR="009F7463">
        <w:rPr>
          <w:rFonts w:ascii="TimesNewRomanPSMT" w:hAnsi="TimesNewRomanPSMT" w:cs="TimesNewRomanPSMT"/>
        </w:rPr>
        <w:t xml:space="preserve"> credited to the </w:t>
      </w:r>
      <w:r w:rsidR="00066A62">
        <w:rPr>
          <w:rFonts w:ascii="TimesNewRomanPSMT" w:hAnsi="TimesNewRomanPSMT" w:cs="TimesNewRomanPSMT"/>
        </w:rPr>
        <w:t>Fuel Clause</w:t>
      </w:r>
      <w:r w:rsidR="00CA6CE1">
        <w:rPr>
          <w:rFonts w:ascii="TimesNewRomanPSMT" w:hAnsi="TimesNewRomanPSMT" w:cs="TimesNewRomanPSMT"/>
        </w:rPr>
        <w:t>;</w:t>
      </w:r>
      <w:r w:rsidR="00056A02">
        <w:rPr>
          <w:rFonts w:ascii="TimesNewRomanPSMT" w:hAnsi="TimesNewRomanPSMT" w:cs="TimesNewRomanPSMT"/>
        </w:rPr>
        <w:t xml:space="preserve"> </w:t>
      </w:r>
      <w:r w:rsidR="00E4295D">
        <w:rPr>
          <w:rFonts w:ascii="TimesNewRomanPSMT" w:hAnsi="TimesNewRomanPSMT" w:cs="TimesNewRomanPSMT"/>
        </w:rPr>
        <w:t>3</w:t>
      </w:r>
      <w:r w:rsidR="00157CD7">
        <w:rPr>
          <w:rFonts w:ascii="TimesNewRomanPSMT" w:hAnsi="TimesNewRomanPSMT" w:cs="TimesNewRomanPSMT"/>
        </w:rPr>
        <w:t>)</w:t>
      </w:r>
      <w:r w:rsidR="00E4295D">
        <w:rPr>
          <w:rFonts w:ascii="TimesNewRomanPSMT" w:hAnsi="TimesNewRomanPSMT" w:cs="TimesNewRomanPSMT"/>
        </w:rPr>
        <w:t xml:space="preserve"> </w:t>
      </w:r>
      <w:r w:rsidR="00B63632">
        <w:rPr>
          <w:rFonts w:ascii="TimesNewRomanPSMT" w:hAnsi="TimesNewRomanPSMT" w:cs="TimesNewRomanPSMT"/>
        </w:rPr>
        <w:t>a</w:t>
      </w:r>
      <w:r w:rsidR="00E4295D">
        <w:rPr>
          <w:rFonts w:ascii="TimesNewRomanPSMT" w:hAnsi="TimesNewRomanPSMT" w:cs="TimesNewRomanPSMT"/>
        </w:rPr>
        <w:t xml:space="preserve"> </w:t>
      </w:r>
      <w:r w:rsidR="00056A02">
        <w:rPr>
          <w:rFonts w:ascii="TimesNewRomanPSMT" w:hAnsi="TimesNewRomanPSMT" w:cs="TimesNewRomanPSMT"/>
        </w:rPr>
        <w:t>summar</w:t>
      </w:r>
      <w:r w:rsidR="00CC6867">
        <w:rPr>
          <w:rFonts w:ascii="TimesNewRomanPSMT" w:hAnsi="TimesNewRomanPSMT" w:cs="TimesNewRomanPSMT"/>
        </w:rPr>
        <w:t>y of</w:t>
      </w:r>
      <w:r w:rsidR="00056A02">
        <w:rPr>
          <w:rFonts w:ascii="TimesNewRomanPSMT" w:hAnsi="TimesNewRomanPSMT" w:cs="TimesNewRomanPSMT"/>
        </w:rPr>
        <w:t xml:space="preserve"> </w:t>
      </w:r>
      <w:r w:rsidR="00CA6CE1">
        <w:rPr>
          <w:rFonts w:ascii="TimesNewRomanPSMT" w:hAnsi="TimesNewRomanPSMT" w:cs="TimesNewRomanPSMT"/>
        </w:rPr>
        <w:t>TECO’s</w:t>
      </w:r>
      <w:r w:rsidR="00056A02">
        <w:rPr>
          <w:rFonts w:ascii="TimesNewRomanPSMT" w:hAnsi="TimesNewRomanPSMT" w:cs="TimesNewRomanPSMT"/>
        </w:rPr>
        <w:t xml:space="preserve"> key findings </w:t>
      </w:r>
      <w:r w:rsidR="00CA6CE1">
        <w:rPr>
          <w:rFonts w:ascii="TimesNewRomanPSMT" w:hAnsi="TimesNewRomanPSMT" w:cs="TimesNewRomanPSMT"/>
        </w:rPr>
        <w:t xml:space="preserve">regarding </w:t>
      </w:r>
      <w:r w:rsidR="00056A02">
        <w:rPr>
          <w:rFonts w:ascii="TimesNewRomanPSMT" w:hAnsi="TimesNewRomanPSMT" w:cs="TimesNewRomanPSMT"/>
        </w:rPr>
        <w:t>customer ad</w:t>
      </w:r>
      <w:r w:rsidR="00350089">
        <w:rPr>
          <w:rFonts w:ascii="TimesNewRomanPSMT" w:hAnsi="TimesNewRomanPSMT" w:cs="TimesNewRomanPSMT"/>
        </w:rPr>
        <w:t>o</w:t>
      </w:r>
      <w:r w:rsidR="00056A02">
        <w:rPr>
          <w:rFonts w:ascii="TimesNewRomanPSMT" w:hAnsi="TimesNewRomanPSMT" w:cs="TimesNewRomanPSMT"/>
        </w:rPr>
        <w:t>ption of community solar programs and its customers’ desire to reach decarbonization goals</w:t>
      </w:r>
      <w:r w:rsidR="00280226" w:rsidRPr="00CD19C3">
        <w:rPr>
          <w:rFonts w:ascii="TimesNewRomanPSMT" w:hAnsi="TimesNewRomanPSMT" w:cs="TimesNewRomanPSMT"/>
        </w:rPr>
        <w:t>; and 4)</w:t>
      </w:r>
      <w:r w:rsidR="00570AE4" w:rsidRPr="00CD19C3">
        <w:rPr>
          <w:rFonts w:ascii="TimesNewRomanPSMT" w:hAnsi="TimesNewRomanPSMT" w:cs="TimesNewRomanPSMT"/>
        </w:rPr>
        <w:t xml:space="preserve"> a detailed description of whether and ho</w:t>
      </w:r>
      <w:r w:rsidR="0015396B">
        <w:rPr>
          <w:rFonts w:ascii="TimesNewRomanPSMT" w:hAnsi="TimesNewRomanPSMT" w:cs="TimesNewRomanPSMT"/>
        </w:rPr>
        <w:t>w the results of the program have</w:t>
      </w:r>
      <w:r w:rsidR="00570AE4" w:rsidRPr="00CD19C3">
        <w:rPr>
          <w:rFonts w:ascii="TimesNewRomanPSMT" w:hAnsi="TimesNewRomanPSMT" w:cs="TimesNewRomanPSMT"/>
        </w:rPr>
        <w:t xml:space="preserve"> impacted TECO’s generation planning</w:t>
      </w:r>
      <w:r w:rsidR="00056A02" w:rsidRPr="00CD19C3">
        <w:rPr>
          <w:rFonts w:ascii="TimesNewRomanPSMT" w:hAnsi="TimesNewRomanPSMT" w:cs="TimesNewRomanPSMT"/>
        </w:rPr>
        <w:t>.</w:t>
      </w:r>
      <w:r w:rsidR="00056A02" w:rsidRPr="00AE37EF">
        <w:rPr>
          <w:rFonts w:ascii="TimesNewRomanPSMT" w:hAnsi="TimesNewRomanPSMT" w:cs="TimesNewRomanPSMT"/>
        </w:rPr>
        <w:t xml:space="preserve"> </w:t>
      </w:r>
      <w:r w:rsidR="00350089">
        <w:rPr>
          <w:rFonts w:ascii="TimesNewRomanPSMT" w:hAnsi="TimesNewRomanPSMT" w:cs="TimesNewRomanPSMT"/>
        </w:rPr>
        <w:t xml:space="preserve">(Barrett, </w:t>
      </w:r>
      <w:r w:rsidR="00AE37EF">
        <w:rPr>
          <w:rFonts w:ascii="TimesNewRomanPSMT" w:hAnsi="TimesNewRomanPSMT" w:cs="TimesNewRomanPSMT"/>
        </w:rPr>
        <w:t>Ellis</w:t>
      </w:r>
      <w:r w:rsidR="00731EF7">
        <w:rPr>
          <w:rFonts w:ascii="TimesNewRomanPSMT" w:hAnsi="TimesNewRomanPSMT" w:cs="TimesNewRomanPSMT"/>
        </w:rPr>
        <w:t>)</w:t>
      </w:r>
      <w:r w:rsidR="002C10A1">
        <w:t xml:space="preserve"> </w:t>
      </w:r>
    </w:p>
    <w:p w:rsidR="002C10A1" w:rsidRPr="004C3641" w:rsidRDefault="002C10A1">
      <w:pPr>
        <w:pStyle w:val="IssueSubsectionHeading"/>
        <w:rPr>
          <w:vanish/>
          <w:specVanish/>
        </w:rPr>
      </w:pPr>
      <w:r w:rsidRPr="004C3641">
        <w:t>Staff Analysis: </w:t>
      </w:r>
    </w:p>
    <w:p w:rsidR="00434E01" w:rsidRDefault="002C10A1" w:rsidP="001554CA">
      <w:pPr>
        <w:autoSpaceDE w:val="0"/>
        <w:autoSpaceDN w:val="0"/>
        <w:adjustRightInd w:val="0"/>
        <w:jc w:val="both"/>
      </w:pPr>
      <w:r>
        <w:t> </w:t>
      </w:r>
      <w:r w:rsidR="00C52AB2">
        <w:t>As set forth in the Tariff Approval Order, t</w:t>
      </w:r>
      <w:r w:rsidR="000A7C8D">
        <w:t xml:space="preserve">he utility’s current SSR-1 </w:t>
      </w:r>
      <w:r w:rsidR="0087242B">
        <w:t>T</w:t>
      </w:r>
      <w:r w:rsidR="000A7C8D">
        <w:t>ariff</w:t>
      </w:r>
      <w:r w:rsidR="001554CA">
        <w:t xml:space="preserve"> </w:t>
      </w:r>
      <w:r w:rsidR="00350B53">
        <w:t>offers</w:t>
      </w:r>
      <w:r w:rsidR="00F13885">
        <w:t xml:space="preserve"> customers an opportunity to </w:t>
      </w:r>
      <w:r w:rsidR="00AE37EF" w:rsidRPr="00731EF7">
        <w:t>support the construction of</w:t>
      </w:r>
      <w:r w:rsidR="00AE37EF">
        <w:t xml:space="preserve"> </w:t>
      </w:r>
      <w:r w:rsidR="0087242B">
        <w:t xml:space="preserve">a </w:t>
      </w:r>
      <w:r w:rsidR="00F13885">
        <w:t xml:space="preserve">17.5 MW </w:t>
      </w:r>
      <w:r w:rsidR="0087242B">
        <w:t xml:space="preserve">portion </w:t>
      </w:r>
      <w:r w:rsidR="00F13885">
        <w:t xml:space="preserve">of the Lake Hancock solar project, a 49.5 MW solar facility constructed by TECO </w:t>
      </w:r>
      <w:r w:rsidR="0021725D">
        <w:t xml:space="preserve">that came fully on-line </w:t>
      </w:r>
      <w:r w:rsidR="00F13885">
        <w:t>in 2019. The remaining 32 MW</w:t>
      </w:r>
      <w:r w:rsidR="00B63632">
        <w:t>s</w:t>
      </w:r>
      <w:r w:rsidR="00F13885">
        <w:t xml:space="preserve"> of the Lake Hancock solar project were included in base rate</w:t>
      </w:r>
      <w:r w:rsidR="00701D46">
        <w:t xml:space="preserve"> charges</w:t>
      </w:r>
      <w:r w:rsidR="00F13885">
        <w:t xml:space="preserve"> through a solar generation base rate adjustment (SoBRA) mechanism.</w:t>
      </w:r>
      <w:r w:rsidR="00F13885">
        <w:rPr>
          <w:rStyle w:val="FootnoteReference"/>
        </w:rPr>
        <w:footnoteReference w:id="3"/>
      </w:r>
      <w:r w:rsidR="00F13885">
        <w:t xml:space="preserve"> </w:t>
      </w:r>
    </w:p>
    <w:p w:rsidR="00434E01" w:rsidRDefault="00434E01" w:rsidP="001554CA">
      <w:pPr>
        <w:autoSpaceDE w:val="0"/>
        <w:autoSpaceDN w:val="0"/>
        <w:adjustRightInd w:val="0"/>
        <w:jc w:val="both"/>
      </w:pPr>
    </w:p>
    <w:p w:rsidR="00F13885" w:rsidRDefault="00F13885" w:rsidP="001554CA">
      <w:pPr>
        <w:autoSpaceDE w:val="0"/>
        <w:autoSpaceDN w:val="0"/>
        <w:adjustRightInd w:val="0"/>
        <w:jc w:val="both"/>
      </w:pPr>
      <w:r>
        <w:t xml:space="preserve">Customers </w:t>
      </w:r>
      <w:r w:rsidR="00434E01">
        <w:t>taking service under the</w:t>
      </w:r>
      <w:r w:rsidR="00701D46">
        <w:t xml:space="preserve"> current </w:t>
      </w:r>
      <w:r w:rsidR="00434E01">
        <w:t xml:space="preserve">SSR-1 Tariff </w:t>
      </w:r>
      <w:r>
        <w:t xml:space="preserve">pay a levelized energy rate of </w:t>
      </w:r>
      <w:r w:rsidR="00BD4F30">
        <w:t>6.3</w:t>
      </w:r>
      <w:r w:rsidR="00082538">
        <w:t xml:space="preserve"> cents/kWh</w:t>
      </w:r>
      <w:r w:rsidR="00701D46">
        <w:t>, which recovers</w:t>
      </w:r>
      <w:r>
        <w:t xml:space="preserve"> the anticipated revenue require</w:t>
      </w:r>
      <w:r w:rsidR="00701D46">
        <w:t xml:space="preserve">ment of the capital </w:t>
      </w:r>
      <w:r w:rsidR="00434E01">
        <w:t>and operating and mai</w:t>
      </w:r>
      <w:r w:rsidR="00B633C1">
        <w:t>n</w:t>
      </w:r>
      <w:r w:rsidR="00434E01">
        <w:t>tenance (</w:t>
      </w:r>
      <w:r w:rsidR="00701D46">
        <w:t>O&amp;M</w:t>
      </w:r>
      <w:r w:rsidR="00434E01">
        <w:t>) costs</w:t>
      </w:r>
      <w:r w:rsidR="00701D46">
        <w:t xml:space="preserve"> of </w:t>
      </w:r>
      <w:r w:rsidR="00A67C57">
        <w:t xml:space="preserve">17.5 MWs of </w:t>
      </w:r>
      <w:r w:rsidR="00701D46">
        <w:t>this</w:t>
      </w:r>
      <w:r>
        <w:t xml:space="preserve"> solar facility over the 30</w:t>
      </w:r>
      <w:r w:rsidR="00157CD7">
        <w:t>-</w:t>
      </w:r>
      <w:r>
        <w:t>year projected life, plus program administrative costs</w:t>
      </w:r>
      <w:r w:rsidR="00DF7476">
        <w:t xml:space="preserve">. </w:t>
      </w:r>
      <w:r w:rsidR="00A67C57">
        <w:t xml:space="preserve">Under the SSR-1 Tariff, residential customers can opt to purchase solar energy on the basis of 25, 50, or 100 percent of their monthly energy usage, and commercial/industrial customers are eligible to purchase in 1,000 kWh blocks. </w:t>
      </w:r>
      <w:r w:rsidR="0087242B">
        <w:t>I</w:t>
      </w:r>
      <w:r>
        <w:t>n exchange</w:t>
      </w:r>
      <w:r w:rsidR="0087242B">
        <w:t>, such customers are</w:t>
      </w:r>
      <w:r>
        <w:t xml:space="preserve"> exempted from having to pay </w:t>
      </w:r>
      <w:r w:rsidR="0087242B">
        <w:t xml:space="preserve">fuel </w:t>
      </w:r>
      <w:r>
        <w:t>costs</w:t>
      </w:r>
      <w:r w:rsidR="0087242B">
        <w:t xml:space="preserve"> via</w:t>
      </w:r>
      <w:r>
        <w:t xml:space="preserve"> the Fuel Clause</w:t>
      </w:r>
      <w:r w:rsidR="0087242B">
        <w:t xml:space="preserve"> for th</w:t>
      </w:r>
      <w:r w:rsidR="00A67C57">
        <w:t>e</w:t>
      </w:r>
      <w:r w:rsidR="0087242B">
        <w:t xml:space="preserve"> portion of their bills under SSR-1 Tariff subscription</w:t>
      </w:r>
      <w:r>
        <w:t xml:space="preserve">. While </w:t>
      </w:r>
      <w:r w:rsidR="00701D46">
        <w:t xml:space="preserve">this </w:t>
      </w:r>
      <w:r w:rsidR="0015396B">
        <w:t xml:space="preserve">exemption </w:t>
      </w:r>
      <w:r w:rsidR="00701D46">
        <w:t>decreased revenues in the Fuel C</w:t>
      </w:r>
      <w:r>
        <w:t xml:space="preserve">lause, </w:t>
      </w:r>
      <w:r>
        <w:lastRenderedPageBreak/>
        <w:t xml:space="preserve">the general body of ratepayers received the benefit of an additional 17.5 MW of solar capacity that </w:t>
      </w:r>
      <w:r w:rsidR="000A7DCC">
        <w:t>was not funded by the general body of ratepayers at the time the original proposal was approved.</w:t>
      </w:r>
      <w:r w:rsidR="009D65EE">
        <w:t xml:space="preserve"> </w:t>
      </w:r>
    </w:p>
    <w:p w:rsidR="008501BD" w:rsidRDefault="008501BD" w:rsidP="001554CA">
      <w:pPr>
        <w:autoSpaceDE w:val="0"/>
        <w:autoSpaceDN w:val="0"/>
        <w:adjustRightInd w:val="0"/>
        <w:jc w:val="both"/>
      </w:pPr>
    </w:p>
    <w:p w:rsidR="00AC3154" w:rsidRDefault="00AB46DB" w:rsidP="001554CA">
      <w:pPr>
        <w:autoSpaceDE w:val="0"/>
        <w:autoSpaceDN w:val="0"/>
        <w:adjustRightInd w:val="0"/>
        <w:jc w:val="both"/>
      </w:pPr>
      <w:r>
        <w:t xml:space="preserve">The Tariff Approval Order provided </w:t>
      </w:r>
      <w:r w:rsidR="00A67C57">
        <w:t xml:space="preserve">that </w:t>
      </w:r>
      <w:r>
        <w:t xml:space="preserve">the 17.5 MW portion of the Lake Hancock unit would be included in TECO’s revenue requirement as an addition to base rates in a future rate case proceeding. Accordingly, in </w:t>
      </w:r>
      <w:r w:rsidR="00A67C57">
        <w:t>the 2021 Settlement</w:t>
      </w:r>
      <w:r>
        <w:t>, TECO included the cost associated with the 17.5 MW portion of Lake Hancock</w:t>
      </w:r>
      <w:r w:rsidR="00557366">
        <w:t xml:space="preserve"> </w:t>
      </w:r>
      <w:r>
        <w:t xml:space="preserve">in </w:t>
      </w:r>
      <w:r w:rsidR="0015396B">
        <w:t>it</w:t>
      </w:r>
      <w:r w:rsidR="00557366">
        <w:t xml:space="preserve">s </w:t>
      </w:r>
      <w:r>
        <w:t>base rates.</w:t>
      </w:r>
      <w:r>
        <w:rPr>
          <w:rStyle w:val="FootnoteReference"/>
        </w:rPr>
        <w:footnoteReference w:id="4"/>
      </w:r>
      <w:r>
        <w:t xml:space="preserve"> The projected </w:t>
      </w:r>
      <w:r w:rsidR="00BA215B">
        <w:t xml:space="preserve">SSR-1 Tariff </w:t>
      </w:r>
      <w:r>
        <w:t>revenue</w:t>
      </w:r>
      <w:r w:rsidR="00BA215B">
        <w:t>s</w:t>
      </w:r>
      <w:r w:rsidRPr="00731EF7">
        <w:t xml:space="preserve"> </w:t>
      </w:r>
      <w:r w:rsidR="00646616" w:rsidRPr="00731EF7">
        <w:t>will continue to be</w:t>
      </w:r>
      <w:r w:rsidR="00646616">
        <w:t xml:space="preserve"> </w:t>
      </w:r>
      <w:r>
        <w:t>included as a credit to the revenue requirement when calculating base rates</w:t>
      </w:r>
      <w:r w:rsidR="00BA215B">
        <w:t>. Staff confirmed that TECO included the SSR-1 Tariff revenues as an offset when calculating base rates</w:t>
      </w:r>
      <w:r w:rsidR="00731EF7">
        <w:t xml:space="preserve"> in Docket No. 20210034-EI</w:t>
      </w:r>
      <w:r w:rsidR="00BA215B">
        <w:t xml:space="preserve">, </w:t>
      </w:r>
      <w:r w:rsidR="00A67C57">
        <w:t xml:space="preserve">thereby </w:t>
      </w:r>
      <w:r w:rsidR="00BA215B">
        <w:t xml:space="preserve">putting downward pressure </w:t>
      </w:r>
      <w:r w:rsidR="004871A5">
        <w:t>on</w:t>
      </w:r>
      <w:r w:rsidR="00BA215B">
        <w:t xml:space="preserve"> base rates and avoiding </w:t>
      </w:r>
      <w:r w:rsidR="002306D0">
        <w:t>double recovery</w:t>
      </w:r>
      <w:r w:rsidR="00BA215B">
        <w:t xml:space="preserve">. </w:t>
      </w:r>
    </w:p>
    <w:p w:rsidR="006C3970" w:rsidRDefault="006C3970" w:rsidP="001554CA">
      <w:pPr>
        <w:autoSpaceDE w:val="0"/>
        <w:autoSpaceDN w:val="0"/>
        <w:adjustRightInd w:val="0"/>
        <w:jc w:val="both"/>
      </w:pPr>
    </w:p>
    <w:p w:rsidR="00671047" w:rsidRDefault="00E24112" w:rsidP="00671047">
      <w:pPr>
        <w:autoSpaceDE w:val="0"/>
        <w:autoSpaceDN w:val="0"/>
        <w:adjustRightInd w:val="0"/>
        <w:jc w:val="both"/>
        <w:rPr>
          <w:rFonts w:ascii="Arial" w:hAnsi="Arial" w:cs="Arial"/>
          <w:b/>
        </w:rPr>
      </w:pPr>
      <w:r>
        <w:rPr>
          <w:rFonts w:ascii="Arial" w:hAnsi="Arial" w:cs="Arial"/>
          <w:b/>
        </w:rPr>
        <w:t>Pro</w:t>
      </w:r>
      <w:r w:rsidR="00671047">
        <w:rPr>
          <w:rFonts w:ascii="Arial" w:hAnsi="Arial" w:cs="Arial"/>
          <w:b/>
        </w:rPr>
        <w:t xml:space="preserve">posed Changes to </w:t>
      </w:r>
      <w:r w:rsidR="00DE6BC6">
        <w:rPr>
          <w:rFonts w:ascii="Arial" w:hAnsi="Arial" w:cs="Arial"/>
          <w:b/>
        </w:rPr>
        <w:t xml:space="preserve">SSR-1 Tariff and </w:t>
      </w:r>
      <w:r w:rsidR="006C3970">
        <w:rPr>
          <w:rFonts w:ascii="Arial" w:hAnsi="Arial" w:cs="Arial"/>
          <w:b/>
        </w:rPr>
        <w:t xml:space="preserve">Sun Select </w:t>
      </w:r>
      <w:r w:rsidR="00671047">
        <w:rPr>
          <w:rFonts w:ascii="Arial" w:hAnsi="Arial" w:cs="Arial"/>
          <w:b/>
        </w:rPr>
        <w:t>Program</w:t>
      </w:r>
    </w:p>
    <w:p w:rsidR="00DE6BC6" w:rsidRDefault="00383262" w:rsidP="00671047">
      <w:pPr>
        <w:autoSpaceDE w:val="0"/>
        <w:autoSpaceDN w:val="0"/>
        <w:adjustRightInd w:val="0"/>
        <w:jc w:val="both"/>
      </w:pPr>
      <w:r>
        <w:t xml:space="preserve">As shown in Attachment A, </w:t>
      </w:r>
      <w:r w:rsidR="00DE6BC6">
        <w:t xml:space="preserve">TECO proposes the following </w:t>
      </w:r>
      <w:r>
        <w:t xml:space="preserve">notable </w:t>
      </w:r>
      <w:r w:rsidR="00DE6BC6">
        <w:t>changes to its SSR-1 Tariff</w:t>
      </w:r>
      <w:r>
        <w:t>:</w:t>
      </w:r>
    </w:p>
    <w:p w:rsidR="00934665" w:rsidRDefault="00934665" w:rsidP="00671047">
      <w:pPr>
        <w:autoSpaceDE w:val="0"/>
        <w:autoSpaceDN w:val="0"/>
        <w:adjustRightInd w:val="0"/>
        <w:jc w:val="both"/>
      </w:pPr>
    </w:p>
    <w:p w:rsidR="00DE6BC6" w:rsidRDefault="000D3FC5" w:rsidP="001554CA">
      <w:pPr>
        <w:pStyle w:val="ListParagraph"/>
        <w:numPr>
          <w:ilvl w:val="0"/>
          <w:numId w:val="12"/>
        </w:numPr>
        <w:autoSpaceDE w:val="0"/>
        <w:autoSpaceDN w:val="0"/>
        <w:adjustRightInd w:val="0"/>
        <w:jc w:val="both"/>
      </w:pPr>
      <w:r>
        <w:t>T</w:t>
      </w:r>
      <w:r w:rsidR="00DF7476">
        <w:t>he T</w:t>
      </w:r>
      <w:r w:rsidR="00DE6BC6">
        <w:t>ariff rate</w:t>
      </w:r>
      <w:r>
        <w:t xml:space="preserve"> decrease</w:t>
      </w:r>
      <w:r w:rsidR="00DF7476">
        <w:t>s from 6.</w:t>
      </w:r>
      <w:r w:rsidR="00DE6BC6">
        <w:t xml:space="preserve">3 </w:t>
      </w:r>
      <w:r w:rsidR="00DF7476">
        <w:t>cents</w:t>
      </w:r>
      <w:r w:rsidR="00934665">
        <w:t>/</w:t>
      </w:r>
      <w:r w:rsidR="00DE6BC6">
        <w:t xml:space="preserve">kWh to </w:t>
      </w:r>
      <w:r w:rsidR="00DF7476">
        <w:t>4.</w:t>
      </w:r>
      <w:r w:rsidR="00DE6BC6">
        <w:t xml:space="preserve">9 </w:t>
      </w:r>
      <w:r w:rsidR="00DF7476">
        <w:t>cents</w:t>
      </w:r>
      <w:r w:rsidR="00934665">
        <w:t>/</w:t>
      </w:r>
      <w:r w:rsidR="00DE6BC6">
        <w:t>kWh.</w:t>
      </w:r>
    </w:p>
    <w:p w:rsidR="00DE6BC6" w:rsidRPr="00731EF7" w:rsidRDefault="00DF7476" w:rsidP="001554CA">
      <w:pPr>
        <w:pStyle w:val="ListParagraph"/>
        <w:numPr>
          <w:ilvl w:val="0"/>
          <w:numId w:val="12"/>
        </w:numPr>
        <w:autoSpaceDE w:val="0"/>
        <w:autoSpaceDN w:val="0"/>
        <w:adjustRightInd w:val="0"/>
        <w:jc w:val="both"/>
      </w:pPr>
      <w:r>
        <w:t xml:space="preserve">The </w:t>
      </w:r>
      <w:r w:rsidR="00520785">
        <w:t>p</w:t>
      </w:r>
      <w:r w:rsidR="00DE6BC6">
        <w:t>rogram capacity</w:t>
      </w:r>
      <w:r w:rsidR="000D3FC5">
        <w:t xml:space="preserve"> increase</w:t>
      </w:r>
      <w:r>
        <w:t>s</w:t>
      </w:r>
      <w:r w:rsidR="00DE6BC6">
        <w:t xml:space="preserve"> from 17.5 M</w:t>
      </w:r>
      <w:r w:rsidR="00383262">
        <w:t>W</w:t>
      </w:r>
      <w:r w:rsidR="00DE6BC6" w:rsidRPr="00731EF7">
        <w:t xml:space="preserve"> </w:t>
      </w:r>
      <w:r w:rsidR="00646616" w:rsidRPr="00731EF7">
        <w:t xml:space="preserve">of incremental capacity </w:t>
      </w:r>
      <w:r w:rsidR="00DE6BC6" w:rsidRPr="00731EF7">
        <w:t>to 30 M</w:t>
      </w:r>
      <w:r w:rsidR="00731EF7">
        <w:t>W</w:t>
      </w:r>
      <w:r w:rsidR="00646616" w:rsidRPr="00731EF7">
        <w:t xml:space="preserve"> of existing capacity</w:t>
      </w:r>
      <w:r w:rsidR="00DE6BC6" w:rsidRPr="00731EF7">
        <w:t>.</w:t>
      </w:r>
    </w:p>
    <w:p w:rsidR="00DE6BC6" w:rsidRDefault="00DE6BC6" w:rsidP="001554CA">
      <w:pPr>
        <w:pStyle w:val="ListParagraph"/>
        <w:numPr>
          <w:ilvl w:val="0"/>
          <w:numId w:val="12"/>
        </w:numPr>
        <w:autoSpaceDE w:val="0"/>
        <w:autoSpaceDN w:val="0"/>
        <w:adjustRightInd w:val="0"/>
        <w:jc w:val="both"/>
      </w:pPr>
      <w:r>
        <w:t xml:space="preserve">New customer enrollments and re-enrollments will not </w:t>
      </w:r>
      <w:r w:rsidR="00383262">
        <w:t xml:space="preserve">be allowed to </w:t>
      </w:r>
      <w:r>
        <w:t>exceed 10 million kWh per year for GSD, GSLDPR, and GSLDSU customers.</w:t>
      </w:r>
    </w:p>
    <w:p w:rsidR="00383262" w:rsidRDefault="00DE6BC6" w:rsidP="001554CA">
      <w:pPr>
        <w:pStyle w:val="ListParagraph"/>
        <w:numPr>
          <w:ilvl w:val="0"/>
          <w:numId w:val="12"/>
        </w:numPr>
        <w:autoSpaceDE w:val="0"/>
        <w:autoSpaceDN w:val="0"/>
        <w:adjustRightInd w:val="0"/>
        <w:jc w:val="both"/>
      </w:pPr>
      <w:r>
        <w:t>Re-enrollments are prohibited for 12 months after an account</w:t>
      </w:r>
      <w:r w:rsidR="00383262">
        <w:t>’</w:t>
      </w:r>
      <w:r>
        <w:t>s cancellation from the program</w:t>
      </w:r>
      <w:r w:rsidR="00DF7476">
        <w:t>.</w:t>
      </w:r>
    </w:p>
    <w:p w:rsidR="00DE6BC6" w:rsidRDefault="00383262" w:rsidP="001554CA">
      <w:pPr>
        <w:pStyle w:val="ListParagraph"/>
        <w:numPr>
          <w:ilvl w:val="0"/>
          <w:numId w:val="12"/>
        </w:numPr>
        <w:autoSpaceDE w:val="0"/>
        <w:autoSpaceDN w:val="0"/>
        <w:adjustRightInd w:val="0"/>
        <w:jc w:val="both"/>
      </w:pPr>
      <w:r>
        <w:t>The SSR-1 Tariff’s “Monthly Rate” is renamed “Rate.”</w:t>
      </w:r>
      <w:r w:rsidR="00157CD7">
        <w:t xml:space="preserve"> </w:t>
      </w:r>
    </w:p>
    <w:p w:rsidR="001E7EE2" w:rsidRDefault="001E7EE2" w:rsidP="00383262">
      <w:pPr>
        <w:autoSpaceDE w:val="0"/>
        <w:autoSpaceDN w:val="0"/>
        <w:adjustRightInd w:val="0"/>
        <w:jc w:val="both"/>
      </w:pPr>
    </w:p>
    <w:p w:rsidR="00671047" w:rsidRDefault="00E24112" w:rsidP="00383262">
      <w:pPr>
        <w:autoSpaceDE w:val="0"/>
        <w:autoSpaceDN w:val="0"/>
        <w:adjustRightInd w:val="0"/>
        <w:jc w:val="both"/>
      </w:pPr>
      <w:r>
        <w:t>T</w:t>
      </w:r>
      <w:r w:rsidR="00671047">
        <w:t xml:space="preserve">he utility </w:t>
      </w:r>
      <w:r w:rsidR="00934665">
        <w:t xml:space="preserve">explained that it </w:t>
      </w:r>
      <w:r w:rsidR="00671047">
        <w:t xml:space="preserve">seeks approval of changes to the </w:t>
      </w:r>
      <w:r>
        <w:t xml:space="preserve">Sun Select program </w:t>
      </w:r>
      <w:r w:rsidR="00FE2E91">
        <w:t xml:space="preserve">for the purpose of </w:t>
      </w:r>
      <w:r>
        <w:t>elevat</w:t>
      </w:r>
      <w:r w:rsidR="00FE2E91">
        <w:t>ing</w:t>
      </w:r>
      <w:r>
        <w:t xml:space="preserve"> participation</w:t>
      </w:r>
      <w:r w:rsidR="006C3970">
        <w:t xml:space="preserve"> levels</w:t>
      </w:r>
      <w:r>
        <w:t xml:space="preserve">. </w:t>
      </w:r>
      <w:r w:rsidR="009169F1">
        <w:t>P</w:t>
      </w:r>
      <w:r w:rsidR="00721D70">
        <w:t>articipation in the program has been modest, with only 35 percent of the available capacity currently subscribed</w:t>
      </w:r>
      <w:r w:rsidR="005E6033">
        <w:t xml:space="preserve"> and a </w:t>
      </w:r>
      <w:r w:rsidR="00CB7AC7">
        <w:t>churn</w:t>
      </w:r>
      <w:r w:rsidR="002C0A3E">
        <w:t xml:space="preserve"> rate of 44 percent</w:t>
      </w:r>
      <w:r w:rsidR="00721D70">
        <w:t>.</w:t>
      </w:r>
      <w:r w:rsidR="00721D70">
        <w:rPr>
          <w:rStyle w:val="FootnoteReference"/>
        </w:rPr>
        <w:footnoteReference w:id="5"/>
      </w:r>
      <w:r w:rsidR="00DF7476">
        <w:t xml:space="preserve"> </w:t>
      </w:r>
      <w:r w:rsidR="00671047">
        <w:t>Additionally, the utility states it hopes to learn more about customer adoption of community solar programs and engage with its customers to help them reach decarbonization goals.</w:t>
      </w:r>
    </w:p>
    <w:p w:rsidR="00671047" w:rsidRPr="000A7C8D" w:rsidRDefault="00671047" w:rsidP="00671047">
      <w:pPr>
        <w:autoSpaceDE w:val="0"/>
        <w:autoSpaceDN w:val="0"/>
        <w:adjustRightInd w:val="0"/>
        <w:jc w:val="both"/>
        <w:rPr>
          <w:rFonts w:ascii="Arial" w:hAnsi="Arial" w:cs="Arial"/>
          <w:b/>
        </w:rPr>
      </w:pPr>
    </w:p>
    <w:p w:rsidR="00934665" w:rsidRDefault="00800A9A" w:rsidP="001554CA">
      <w:pPr>
        <w:pStyle w:val="BodyText"/>
        <w:spacing w:after="0"/>
      </w:pPr>
      <w:r w:rsidRPr="00DF7476">
        <w:t xml:space="preserve">In order to achieve these objectives, TECO proposes </w:t>
      </w:r>
      <w:r w:rsidR="009E2CC9" w:rsidRPr="00DF7476">
        <w:t xml:space="preserve">two primary changes to the program. First, </w:t>
      </w:r>
      <w:r w:rsidR="00DF7476">
        <w:t>the utility</w:t>
      </w:r>
      <w:r w:rsidR="009E2CC9" w:rsidRPr="00DF7476">
        <w:t xml:space="preserve"> </w:t>
      </w:r>
      <w:r w:rsidR="00721D70" w:rsidRPr="00DF7476">
        <w:t>pr</w:t>
      </w:r>
      <w:r w:rsidR="00721D70">
        <w:t>oposes to reduce the monthly rate</w:t>
      </w:r>
      <w:r w:rsidR="00DF7476">
        <w:t xml:space="preserve"> under the SSR-1 </w:t>
      </w:r>
      <w:r w:rsidR="002306D0">
        <w:t>T</w:t>
      </w:r>
      <w:r w:rsidR="00DF7476">
        <w:t xml:space="preserve">ariff from </w:t>
      </w:r>
      <w:r w:rsidR="00721D70">
        <w:t>6</w:t>
      </w:r>
      <w:r w:rsidR="00DF7476">
        <w:t>.</w:t>
      </w:r>
      <w:r w:rsidR="00721D70">
        <w:t xml:space="preserve">3 </w:t>
      </w:r>
      <w:r w:rsidR="00DF7476">
        <w:t>cents</w:t>
      </w:r>
      <w:r w:rsidR="00A67C57">
        <w:t>/</w:t>
      </w:r>
      <w:r w:rsidR="00DF7476">
        <w:t xml:space="preserve">kWh to </w:t>
      </w:r>
      <w:r w:rsidR="00721D70">
        <w:t>4</w:t>
      </w:r>
      <w:r w:rsidR="00DF7476">
        <w:t>.</w:t>
      </w:r>
      <w:r w:rsidR="00721D70">
        <w:t xml:space="preserve">9 </w:t>
      </w:r>
      <w:r w:rsidR="00DF7476">
        <w:t>cents</w:t>
      </w:r>
      <w:r w:rsidR="00934665">
        <w:t>/</w:t>
      </w:r>
      <w:r w:rsidR="00721D70">
        <w:t xml:space="preserve">kWh based on a </w:t>
      </w:r>
      <w:r w:rsidR="009E2CC9">
        <w:t xml:space="preserve">revised </w:t>
      </w:r>
      <w:r w:rsidR="00721D70">
        <w:t>pricing model</w:t>
      </w:r>
      <w:r w:rsidR="00DF7476">
        <w:t xml:space="preserve">. The reduction of </w:t>
      </w:r>
      <w:r w:rsidR="00721D70">
        <w:t>1</w:t>
      </w:r>
      <w:r w:rsidR="00DF7476">
        <w:t>.</w:t>
      </w:r>
      <w:r w:rsidR="00721D70">
        <w:t xml:space="preserve">4 </w:t>
      </w:r>
      <w:r w:rsidR="00DF7476">
        <w:t>cents</w:t>
      </w:r>
      <w:r w:rsidR="00934665">
        <w:t>/</w:t>
      </w:r>
      <w:r w:rsidR="00721D70">
        <w:t>kWh is intended for current</w:t>
      </w:r>
      <w:r w:rsidR="00557366">
        <w:t xml:space="preserve"> and</w:t>
      </w:r>
      <w:r w:rsidR="00721D70">
        <w:t xml:space="preserve"> future program participants. </w:t>
      </w:r>
      <w:r w:rsidR="00C46843">
        <w:t xml:space="preserve">Second, TECO proposes to </w:t>
      </w:r>
      <w:r w:rsidR="00C46843" w:rsidRPr="00BE2675">
        <w:t>e</w:t>
      </w:r>
      <w:r w:rsidR="009E2CC9" w:rsidRPr="00BE2675">
        <w:t>xpand the available capacity of the Sun Select program</w:t>
      </w:r>
      <w:r w:rsidR="0095652C" w:rsidRPr="00BE2675">
        <w:t xml:space="preserve"> from 17.5 MWs to 30</w:t>
      </w:r>
      <w:r w:rsidR="00A45AC0">
        <w:t>.0</w:t>
      </w:r>
      <w:r w:rsidR="0095652C" w:rsidRPr="00BE2675">
        <w:t xml:space="preserve"> MWs.</w:t>
      </w:r>
      <w:r w:rsidR="00771986" w:rsidRPr="00BE2675">
        <w:t xml:space="preserve"> </w:t>
      </w:r>
    </w:p>
    <w:p w:rsidR="00934665" w:rsidRDefault="00934665" w:rsidP="001554CA">
      <w:pPr>
        <w:pStyle w:val="BodyText"/>
        <w:spacing w:after="0"/>
      </w:pPr>
    </w:p>
    <w:p w:rsidR="00F226EA" w:rsidRDefault="00C46843" w:rsidP="001554CA">
      <w:pPr>
        <w:pStyle w:val="BodyText"/>
        <w:spacing w:after="0"/>
        <w:rPr>
          <w:rFonts w:ascii="TimesNewRomanPSMT" w:hAnsi="TimesNewRomanPSMT" w:cs="TimesNewRomanPSMT"/>
        </w:rPr>
      </w:pPr>
      <w:r w:rsidRPr="00BE2675">
        <w:t xml:space="preserve">TECO’s proposal </w:t>
      </w:r>
      <w:r w:rsidR="00934665">
        <w:t xml:space="preserve">to reduce the monthly </w:t>
      </w:r>
      <w:r w:rsidR="007E5980">
        <w:t xml:space="preserve">SSR-1 </w:t>
      </w:r>
      <w:r w:rsidR="002306D0">
        <w:t>Tariff</w:t>
      </w:r>
      <w:r w:rsidR="007E5980">
        <w:t xml:space="preserve"> </w:t>
      </w:r>
      <w:r w:rsidR="00934665">
        <w:t xml:space="preserve">rate </w:t>
      </w:r>
      <w:r w:rsidRPr="00BE2675">
        <w:t xml:space="preserve">is based on a complete </w:t>
      </w:r>
      <w:r>
        <w:t>change in its pricing model.</w:t>
      </w:r>
      <w:r w:rsidR="00F226EA" w:rsidRPr="00F226EA">
        <w:rPr>
          <w:rFonts w:ascii="TimesNewRomanPSMT" w:hAnsi="TimesNewRomanPSMT" w:cs="TimesNewRomanPSMT"/>
        </w:rPr>
        <w:t xml:space="preserve"> </w:t>
      </w:r>
      <w:r w:rsidR="00F226EA">
        <w:rPr>
          <w:rFonts w:ascii="TimesNewRomanPSMT" w:hAnsi="TimesNewRomanPSMT" w:cs="TimesNewRomanPSMT"/>
        </w:rPr>
        <w:t>Exhibit B to the petition, the “Waterfall Chart,” proposes that increased incremental costs under the proposed program are offset by decreased incremental costs, resulting in the proposed SSR-1 Tariff rate of 4.9 cents/kWh.</w:t>
      </w:r>
      <w:r w:rsidR="00F226EA">
        <w:rPr>
          <w:rStyle w:val="FootnoteReference"/>
          <w:rFonts w:ascii="TimesNewRomanPSMT" w:hAnsi="TimesNewRomanPSMT" w:cs="TimesNewRomanPSMT"/>
        </w:rPr>
        <w:footnoteReference w:id="6"/>
      </w:r>
      <w:r w:rsidR="00F226EA">
        <w:rPr>
          <w:rFonts w:ascii="TimesNewRomanPSMT" w:hAnsi="TimesNewRomanPSMT" w:cs="TimesNewRomanPSMT"/>
        </w:rPr>
        <w:t xml:space="preserve"> </w:t>
      </w:r>
      <w:r w:rsidR="0093445E">
        <w:t xml:space="preserve">TECO states it used a marginal cost of service analysis to arrive at its calculation of levelized costs, including energy and generation capacity. </w:t>
      </w:r>
      <w:r w:rsidR="0093445E">
        <w:lastRenderedPageBreak/>
        <w:t xml:space="preserve">TECO then used various cost/credit assumptions that, when summed, equal the proposed SSR-1 rate. </w:t>
      </w:r>
      <w:r w:rsidR="00F226EA">
        <w:rPr>
          <w:rFonts w:ascii="TimesNewRomanPSMT" w:hAnsi="TimesNewRomanPSMT" w:cs="TimesNewRomanPSMT"/>
        </w:rPr>
        <w:t xml:space="preserve">These cost considerations are more fully described below. </w:t>
      </w:r>
    </w:p>
    <w:p w:rsidR="00F226EA" w:rsidRDefault="00F226EA" w:rsidP="001554CA">
      <w:pPr>
        <w:pStyle w:val="BodyText"/>
        <w:spacing w:after="0"/>
        <w:rPr>
          <w:rFonts w:ascii="TimesNewRomanPSMT" w:hAnsi="TimesNewRomanPSMT" w:cs="TimesNewRomanPSMT"/>
        </w:rPr>
      </w:pPr>
    </w:p>
    <w:p w:rsidR="00ED1D15" w:rsidRDefault="000B3164" w:rsidP="001554CA">
      <w:pPr>
        <w:pStyle w:val="BodyText"/>
        <w:spacing w:after="0"/>
        <w:rPr>
          <w:rFonts w:ascii="TimesNewRomanPSMT" w:hAnsi="TimesNewRomanPSMT" w:cs="TimesNewRomanPSMT"/>
        </w:rPr>
      </w:pPr>
      <w:r>
        <w:t xml:space="preserve">While TECO </w:t>
      </w:r>
      <w:r w:rsidR="0015396B">
        <w:t xml:space="preserve">has historically </w:t>
      </w:r>
      <w:r>
        <w:t xml:space="preserve">based  </w:t>
      </w:r>
      <w:r w:rsidR="0015396B">
        <w:t xml:space="preserve">Sun Select </w:t>
      </w:r>
      <w:r>
        <w:t xml:space="preserve">program costs on the actual capital and O&amp;M costs of the eligible 17.5 MW of the Lake Hancock facility, the proposed changes </w:t>
      </w:r>
      <w:r w:rsidR="00082538">
        <w:t xml:space="preserve">are </w:t>
      </w:r>
      <w:r>
        <w:t>base</w:t>
      </w:r>
      <w:r w:rsidR="00082538">
        <w:t>d upon the capital and</w:t>
      </w:r>
      <w:r>
        <w:t xml:space="preserve"> O&amp;M expenses of TECO’s </w:t>
      </w:r>
      <w:r w:rsidR="00646616" w:rsidRPr="00731EF7">
        <w:t>entire</w:t>
      </w:r>
      <w:r w:rsidR="00646616">
        <w:t xml:space="preserve"> </w:t>
      </w:r>
      <w:r>
        <w:t xml:space="preserve">solar fleet, plus added credits and expenses associated with the facility’s energy and capacity. </w:t>
      </w:r>
      <w:r w:rsidR="00E24112">
        <w:t xml:space="preserve">TECO </w:t>
      </w:r>
      <w:r w:rsidR="00CB0596">
        <w:t>propose</w:t>
      </w:r>
      <w:r w:rsidR="009E2CC9">
        <w:t>s</w:t>
      </w:r>
      <w:r w:rsidR="00C46843">
        <w:t xml:space="preserve"> </w:t>
      </w:r>
      <w:r w:rsidR="000D3FC5">
        <w:t>a</w:t>
      </w:r>
      <w:r w:rsidR="00CB0596">
        <w:t xml:space="preserve"> program price</w:t>
      </w:r>
      <w:r w:rsidR="00687DC4">
        <w:t xml:space="preserve"> in part</w:t>
      </w:r>
      <w:r w:rsidR="00CB0596">
        <w:t xml:space="preserve"> </w:t>
      </w:r>
      <w:r w:rsidR="00C46843">
        <w:t xml:space="preserve">based </w:t>
      </w:r>
      <w:r w:rsidR="00CB0596">
        <w:t xml:space="preserve">on the </w:t>
      </w:r>
      <w:r w:rsidR="009E2CC9">
        <w:t>average</w:t>
      </w:r>
      <w:r w:rsidR="00687DC4">
        <w:t xml:space="preserve"> installed</w:t>
      </w:r>
      <w:r w:rsidR="009E2CC9">
        <w:t xml:space="preserve"> </w:t>
      </w:r>
      <w:r w:rsidR="00CB0596">
        <w:t>costs of TECO</w:t>
      </w:r>
      <w:r w:rsidR="00800A9A">
        <w:t>’s entire solar gene</w:t>
      </w:r>
      <w:r w:rsidR="00CB0596">
        <w:t>ration portfolio</w:t>
      </w:r>
      <w:r w:rsidR="00C46843">
        <w:t xml:space="preserve">, which is lower than </w:t>
      </w:r>
      <w:r w:rsidR="009E2CC9">
        <w:t>the</w:t>
      </w:r>
      <w:r w:rsidR="00687DC4">
        <w:t xml:space="preserve"> installed</w:t>
      </w:r>
      <w:r w:rsidR="009E2CC9">
        <w:t xml:space="preserve"> cost of the </w:t>
      </w:r>
      <w:r w:rsidR="00CB0596">
        <w:t>Lake Hancock solar facility</w:t>
      </w:r>
      <w:r w:rsidR="00C46843">
        <w:t xml:space="preserve"> under which the Sun Select program price was originally established</w:t>
      </w:r>
      <w:r w:rsidR="00E24112">
        <w:t xml:space="preserve">. </w:t>
      </w:r>
      <w:r w:rsidR="00F226EA">
        <w:t>In addition, the utility’s pricing model adjusted the depreciable life of solar assets by five years (from 30 years to 35 years).</w:t>
      </w:r>
      <w:r w:rsidR="00F226EA">
        <w:rPr>
          <w:rStyle w:val="FootnoteReference"/>
        </w:rPr>
        <w:footnoteReference w:id="7"/>
      </w:r>
      <w:r w:rsidR="00F226EA">
        <w:t xml:space="preserve"> </w:t>
      </w:r>
      <w:r w:rsidR="00687DC4">
        <w:t>Unlike the original program</w:t>
      </w:r>
      <w:r w:rsidR="00C46843">
        <w:t xml:space="preserve">, </w:t>
      </w:r>
      <w:r w:rsidR="00ED1D15">
        <w:t xml:space="preserve">no new incremental capacity will be constructed as a result of this </w:t>
      </w:r>
      <w:r w:rsidR="00C46843">
        <w:t>increase in</w:t>
      </w:r>
      <w:r w:rsidR="00ED1D15">
        <w:t xml:space="preserve"> </w:t>
      </w:r>
      <w:r w:rsidR="00687DC4">
        <w:t xml:space="preserve">amount of eligible solar capacity in </w:t>
      </w:r>
      <w:r w:rsidR="00ED1D15">
        <w:t xml:space="preserve">the </w:t>
      </w:r>
      <w:r w:rsidR="00C46843">
        <w:t xml:space="preserve">Sun Select </w:t>
      </w:r>
      <w:r w:rsidR="00ED1D15">
        <w:t xml:space="preserve">participation </w:t>
      </w:r>
      <w:r w:rsidR="00C46843">
        <w:t>from 17.5 MW to 30.0 MW</w:t>
      </w:r>
      <w:r w:rsidR="00A45AC0">
        <w:t>,</w:t>
      </w:r>
      <w:r w:rsidR="0091227E">
        <w:rPr>
          <w:rStyle w:val="FootnoteReference"/>
        </w:rPr>
        <w:footnoteReference w:id="8"/>
      </w:r>
      <w:r w:rsidR="005E6033" w:rsidRPr="005E6033">
        <w:t xml:space="preserve"> </w:t>
      </w:r>
      <w:r w:rsidR="00A45AC0">
        <w:t xml:space="preserve">or approximately </w:t>
      </w:r>
      <w:r w:rsidR="005E6033">
        <w:t>0.3 percent of TECO’s net energy for load in 2023.</w:t>
      </w:r>
      <w:r w:rsidR="005E6033">
        <w:rPr>
          <w:rStyle w:val="FootnoteReference"/>
        </w:rPr>
        <w:footnoteReference w:id="9"/>
      </w:r>
      <w:r w:rsidR="00F226EA" w:rsidRPr="00F226EA">
        <w:rPr>
          <w:rFonts w:ascii="TimesNewRomanPSMT" w:hAnsi="TimesNewRomanPSMT" w:cs="TimesNewRomanPSMT"/>
        </w:rPr>
        <w:t xml:space="preserve"> </w:t>
      </w:r>
      <w:r w:rsidR="00F226EA">
        <w:rPr>
          <w:rFonts w:ascii="TimesNewRomanPSMT" w:hAnsi="TimesNewRomanPSMT" w:cs="TimesNewRomanPSMT"/>
        </w:rPr>
        <w:t>TECO states that the portfolio approach enables it to make available to customers the entire capacity limit of the program, rather than having a small portion reserved as a buffer.</w:t>
      </w:r>
      <w:r w:rsidR="00F226EA">
        <w:rPr>
          <w:rStyle w:val="FootnoteReference"/>
          <w:rFonts w:ascii="TimesNewRomanPSMT" w:hAnsi="TimesNewRomanPSMT" w:cs="TimesNewRomanPSMT"/>
        </w:rPr>
        <w:footnoteReference w:id="10"/>
      </w:r>
    </w:p>
    <w:p w:rsidR="003A01AD" w:rsidRDefault="003A01AD" w:rsidP="001554CA">
      <w:pPr>
        <w:pStyle w:val="BodyText"/>
        <w:spacing w:after="0"/>
      </w:pPr>
    </w:p>
    <w:p w:rsidR="003A01AD" w:rsidRDefault="00F226EA" w:rsidP="003A01AD">
      <w:pPr>
        <w:pStyle w:val="BodyText"/>
      </w:pPr>
      <w:r>
        <w:t xml:space="preserve">Regarding the </w:t>
      </w:r>
      <w:r w:rsidR="0093445E">
        <w:t xml:space="preserve">proposed </w:t>
      </w:r>
      <w:r>
        <w:t xml:space="preserve">capacity credit, </w:t>
      </w:r>
      <w:r w:rsidR="00282D65">
        <w:t>TECO specifies</w:t>
      </w:r>
      <w:r w:rsidR="0015396B">
        <w:t xml:space="preserve"> that</w:t>
      </w:r>
      <w:r w:rsidR="00282D65">
        <w:t xml:space="preserve"> it includes the</w:t>
      </w:r>
      <w:r>
        <w:t xml:space="preserve"> capacity credit as an offset to ensure customers are not paying for capacity twice, using the next avoidable unit instead of the system’s costs.</w:t>
      </w:r>
      <w:r w:rsidR="00282D65">
        <w:t xml:space="preserve"> </w:t>
      </w:r>
      <w:r>
        <w:t>TECO includes a 1.5 cent</w:t>
      </w:r>
      <w:r w:rsidR="00082538">
        <w:t>s</w:t>
      </w:r>
      <w:r>
        <w:t>/kWh credit for capacity based on the installed cost information for the 2023 Standard Offer Contract avoided unit, a 2030 natural gas-fired internal combustion engine. However, no new generation will be constructed, and the existing capacity is solar, which TECO considers non-firm for its winter system peak and only partially firm for its summer system peak.</w:t>
      </w:r>
      <w:r w:rsidR="0093445E">
        <w:t xml:space="preserve"> As a result, the resulting 4.9 cent</w:t>
      </w:r>
      <w:r w:rsidR="00082538">
        <w:t>s</w:t>
      </w:r>
      <w:r w:rsidR="000A7DCC">
        <w:t>/kWh rate is not cost based.</w:t>
      </w:r>
      <w:r w:rsidR="0093445E">
        <w:t xml:space="preserve"> </w:t>
      </w:r>
      <w:r w:rsidR="000A7DCC">
        <w:t xml:space="preserve">While </w:t>
      </w:r>
      <w:r w:rsidR="0093445E">
        <w:t xml:space="preserve">the program is voluntary, the Commission </w:t>
      </w:r>
      <w:r w:rsidR="000A7DCC">
        <w:t>should consider whether it has</w:t>
      </w:r>
      <w:r w:rsidR="0093445E">
        <w:t xml:space="preserve"> an undue impact on the general body of ratepayers. </w:t>
      </w:r>
      <w:r>
        <w:t xml:space="preserve"> </w:t>
      </w:r>
    </w:p>
    <w:p w:rsidR="00130E74" w:rsidRDefault="00130E74" w:rsidP="00130E74">
      <w:pPr>
        <w:pStyle w:val="BodyText"/>
        <w:rPr>
          <w:rFonts w:ascii="TimesNewRomanPSMT" w:hAnsi="TimesNewRomanPSMT" w:cs="TimesNewRomanPSMT"/>
        </w:rPr>
      </w:pPr>
      <w:r>
        <w:t>In addition</w:t>
      </w:r>
      <w:r w:rsidR="005E6033">
        <w:t xml:space="preserve"> to the proposed rate change</w:t>
      </w:r>
      <w:r>
        <w:t xml:space="preserve">, a proposed wording change in the tariff </w:t>
      </w:r>
      <w:r w:rsidR="005E6033">
        <w:t>renames</w:t>
      </w:r>
      <w:r>
        <w:t xml:space="preserve"> the term “Monthly Rate” to “Rate” in reference to the SSR-1 rate, designed to avoid the appearance of a flat fee. </w:t>
      </w:r>
    </w:p>
    <w:p w:rsidR="00FC67A5" w:rsidRDefault="00FC67A5" w:rsidP="001554CA">
      <w:pPr>
        <w:autoSpaceDE w:val="0"/>
        <w:autoSpaceDN w:val="0"/>
        <w:adjustRightInd w:val="0"/>
        <w:jc w:val="both"/>
      </w:pPr>
      <w:r w:rsidRPr="00FC67A5">
        <w:rPr>
          <w:rFonts w:ascii="TimesNewRomanPSMT" w:hAnsi="TimesNewRomanPSMT" w:cs="TimesNewRomanPSMT"/>
        </w:rPr>
        <w:t xml:space="preserve">In response to </w:t>
      </w:r>
      <w:r w:rsidR="002306D0" w:rsidRPr="00FC67A5">
        <w:rPr>
          <w:rFonts w:ascii="TimesNewRomanPSMT" w:hAnsi="TimesNewRomanPSMT" w:cs="TimesNewRomanPSMT"/>
        </w:rPr>
        <w:t>staff</w:t>
      </w:r>
      <w:r w:rsidR="002306D0">
        <w:rPr>
          <w:rFonts w:ascii="TimesNewRomanPSMT" w:hAnsi="TimesNewRomanPSMT" w:cs="TimesNewRomanPSMT"/>
        </w:rPr>
        <w:t xml:space="preserve"> concerns</w:t>
      </w:r>
      <w:r w:rsidRPr="00FC67A5">
        <w:rPr>
          <w:rFonts w:ascii="TimesNewRomanPSMT" w:hAnsi="TimesNewRomanPSMT" w:cs="TimesNewRomanPSMT"/>
        </w:rPr>
        <w:t xml:space="preserve">, TECO </w:t>
      </w:r>
      <w:r w:rsidR="002230A1">
        <w:rPr>
          <w:rFonts w:ascii="TimesNewRomanPSMT" w:hAnsi="TimesNewRomanPSMT" w:cs="TimesNewRomanPSMT"/>
        </w:rPr>
        <w:t xml:space="preserve">updated its original tariff filing to </w:t>
      </w:r>
      <w:r w:rsidRPr="00FC67A5">
        <w:rPr>
          <w:rFonts w:ascii="TimesNewRomanPSMT" w:hAnsi="TimesNewRomanPSMT" w:cs="TimesNewRomanPSMT"/>
        </w:rPr>
        <w:t>include two other proposed changes to its</w:t>
      </w:r>
      <w:r w:rsidR="002230A1">
        <w:rPr>
          <w:rFonts w:ascii="TimesNewRomanPSMT" w:hAnsi="TimesNewRomanPSMT" w:cs="TimesNewRomanPSMT"/>
        </w:rPr>
        <w:t xml:space="preserve"> SSR-1 T</w:t>
      </w:r>
      <w:r w:rsidRPr="00FC67A5">
        <w:rPr>
          <w:rFonts w:ascii="TimesNewRomanPSMT" w:hAnsi="TimesNewRomanPSMT" w:cs="TimesNewRomanPSMT"/>
        </w:rPr>
        <w:t xml:space="preserve">ariff. First, </w:t>
      </w:r>
      <w:r w:rsidR="001E7EE2">
        <w:rPr>
          <w:rFonts w:ascii="TimesNewRomanPSMT" w:hAnsi="TimesNewRomanPSMT" w:cs="TimesNewRomanPSMT"/>
        </w:rPr>
        <w:t>the proposed tariff would</w:t>
      </w:r>
      <w:r w:rsidRPr="00FC67A5">
        <w:rPr>
          <w:rFonts w:ascii="TimesNewRomanPSMT" w:hAnsi="TimesNewRomanPSMT" w:cs="TimesNewRomanPSMT"/>
        </w:rPr>
        <w:t xml:space="preserve"> limit </w:t>
      </w:r>
      <w:r>
        <w:rPr>
          <w:rFonts w:ascii="TimesNewRomanPSMT" w:hAnsi="TimesNewRomanPSMT" w:cs="TimesNewRomanPSMT"/>
        </w:rPr>
        <w:t>n</w:t>
      </w:r>
      <w:r>
        <w:t xml:space="preserve">ew customer enrollments and re-enrollments to 10 million kWh per year for </w:t>
      </w:r>
      <w:r w:rsidR="002230A1">
        <w:t xml:space="preserve">the customers in the </w:t>
      </w:r>
      <w:r>
        <w:t xml:space="preserve">GSD, GSLDPR, and GSLDSU </w:t>
      </w:r>
      <w:r w:rsidR="002230A1">
        <w:t>rate classes,</w:t>
      </w:r>
      <w:r w:rsidR="001E7EE2">
        <w:t xml:space="preserve"> </w:t>
      </w:r>
      <w:r w:rsidR="00557366">
        <w:t>to address</w:t>
      </w:r>
      <w:r w:rsidR="001E7EE2">
        <w:t xml:space="preserve"> staff concerns that a small number of customers could prohibit more widespread adoption of th</w:t>
      </w:r>
      <w:r w:rsidR="00BC6398">
        <w:t>e program. Second, TECO proposed</w:t>
      </w:r>
      <w:r w:rsidR="001E7EE2">
        <w:t xml:space="preserve"> tariff changes that would prohibit r</w:t>
      </w:r>
      <w:r>
        <w:t>e-enrollments for 12 months after an account’s cancellation from the program</w:t>
      </w:r>
      <w:r w:rsidR="002230A1">
        <w:t>.</w:t>
      </w:r>
      <w:r w:rsidR="001E7EE2">
        <w:t xml:space="preserve"> TECO offered this change in response to staff’s concern that some customers may seek to enter and exit the program </w:t>
      </w:r>
      <w:r w:rsidR="001E7EE2">
        <w:lastRenderedPageBreak/>
        <w:t>frequently</w:t>
      </w:r>
      <w:r w:rsidR="002230A1">
        <w:t>,</w:t>
      </w:r>
      <w:r w:rsidR="001E7EE2">
        <w:t xml:space="preserve"> based on what </w:t>
      </w:r>
      <w:r w:rsidR="0015396B">
        <w:t>they</w:t>
      </w:r>
      <w:r w:rsidR="001E7EE2">
        <w:t xml:space="preserve"> perceive is or will be a favorable relationship between TECO’s fuel factor and the SSR-1 Tariff rate.</w:t>
      </w:r>
    </w:p>
    <w:p w:rsidR="00732C5A" w:rsidRDefault="00732C5A" w:rsidP="00130E74">
      <w:pPr>
        <w:autoSpaceDE w:val="0"/>
        <w:autoSpaceDN w:val="0"/>
        <w:adjustRightInd w:val="0"/>
        <w:jc w:val="both"/>
      </w:pPr>
    </w:p>
    <w:p w:rsidR="009169F1" w:rsidRDefault="009169F1" w:rsidP="002230A1">
      <w:pPr>
        <w:pStyle w:val="BodyText"/>
        <w:spacing w:after="0"/>
        <w:rPr>
          <w:rFonts w:ascii="Arial" w:hAnsi="Arial" w:cs="Arial"/>
          <w:b/>
          <w:i/>
        </w:rPr>
      </w:pPr>
      <w:r>
        <w:rPr>
          <w:rFonts w:ascii="Arial" w:hAnsi="Arial" w:cs="Arial"/>
          <w:b/>
          <w:i/>
        </w:rPr>
        <w:t>SSR-1 Tariff Customer Impacts</w:t>
      </w:r>
    </w:p>
    <w:p w:rsidR="00344A57" w:rsidRDefault="00411457" w:rsidP="002230A1">
      <w:pPr>
        <w:pStyle w:val="BodyText"/>
        <w:spacing w:after="0"/>
      </w:pPr>
      <w:r w:rsidRPr="00E81815">
        <w:t xml:space="preserve">TECO claims that the proposed program provides Sun Select </w:t>
      </w:r>
      <w:r w:rsidR="00B1031A">
        <w:t xml:space="preserve">participants </w:t>
      </w:r>
      <w:r w:rsidRPr="00E81815">
        <w:t>a pricing option to facilitate their efforts to decarbonize their operations or homes by using renewable power.</w:t>
      </w:r>
      <w:r>
        <w:t xml:space="preserve"> TECO also indicated that it provides participants with an opportunity to mitigate bill changes due to fuel price fluctuations (h</w:t>
      </w:r>
      <w:r w:rsidR="00344A57">
        <w:t>edge).</w:t>
      </w:r>
      <w:r w:rsidR="00BD605A">
        <w:rPr>
          <w:rStyle w:val="FootnoteReference"/>
        </w:rPr>
        <w:footnoteReference w:id="11"/>
      </w:r>
      <w:r w:rsidR="00DE5FD6">
        <w:t xml:space="preserve"> Staff considered several customer impacts, as discussed below.</w:t>
      </w:r>
    </w:p>
    <w:p w:rsidR="00DE5FD6" w:rsidRDefault="00DE5FD6" w:rsidP="002230A1">
      <w:pPr>
        <w:pStyle w:val="BodyText"/>
        <w:spacing w:after="0"/>
      </w:pPr>
    </w:p>
    <w:p w:rsidR="00DE5FD6" w:rsidRPr="00DE5FD6" w:rsidRDefault="00DE5FD6" w:rsidP="002230A1">
      <w:pPr>
        <w:pStyle w:val="BodyText"/>
        <w:spacing w:after="0"/>
        <w:rPr>
          <w:rFonts w:ascii="Arial" w:hAnsi="Arial" w:cs="Arial"/>
          <w:b/>
        </w:rPr>
      </w:pPr>
      <w:r w:rsidRPr="00DE5FD6">
        <w:rPr>
          <w:rFonts w:ascii="Arial" w:hAnsi="Arial" w:cs="Arial"/>
          <w:b/>
        </w:rPr>
        <w:tab/>
        <w:t>Pricing Impact</w:t>
      </w:r>
    </w:p>
    <w:p w:rsidR="00E81815" w:rsidRDefault="00344A57" w:rsidP="002230A1">
      <w:pPr>
        <w:pStyle w:val="BodyText"/>
        <w:spacing w:after="0"/>
      </w:pPr>
      <w:r>
        <w:t>W</w:t>
      </w:r>
      <w:r w:rsidR="00AC3749">
        <w:t>hen a subscriber enrolls in this optional program, the</w:t>
      </w:r>
      <w:r w:rsidR="000A7DCC">
        <w:t xml:space="preserve">y continue </w:t>
      </w:r>
      <w:r w:rsidR="00BD5FBA">
        <w:t>to receive electric service from TECO’s mix of fossil and renewable generating resources. The</w:t>
      </w:r>
      <w:r w:rsidR="00AC3749">
        <w:t xml:space="preserve"> fixed Sun Select tarif</w:t>
      </w:r>
      <w:r w:rsidR="008B6999">
        <w:t xml:space="preserve">f rate effectively replaces a portion or all of the </w:t>
      </w:r>
      <w:r w:rsidR="00AC3749">
        <w:t>Fuel Clause charge</w:t>
      </w:r>
      <w:r w:rsidR="008B6999">
        <w:t xml:space="preserve">s that customer would ordinarily be assessed. </w:t>
      </w:r>
      <w:r w:rsidR="005207ED" w:rsidRPr="00DE5FD6">
        <w:t xml:space="preserve">Staff notes this is somewhat similar to a customer installing rooftop solar panels, in that such a customer voluntarily pays a premium (for their rooftop solar panels), with the expectation of having lower </w:t>
      </w:r>
      <w:r w:rsidR="008B6999" w:rsidRPr="00DE5FD6">
        <w:t>Fuel Clause charges</w:t>
      </w:r>
      <w:r w:rsidR="005207ED" w:rsidRPr="00DE5FD6">
        <w:t xml:space="preserve"> as the result of paying the premium. F</w:t>
      </w:r>
      <w:r w:rsidR="005207ED">
        <w:t>uel Clause charges</w:t>
      </w:r>
      <w:r w:rsidR="008B6999">
        <w:t xml:space="preserve"> are ordinarily reset on an annual basis, or perhaps more often depending on actions the utility takes in responding to external (market) conditions</w:t>
      </w:r>
      <w:r w:rsidR="009168F4">
        <w:t xml:space="preserve"> or as required by the Commission</w:t>
      </w:r>
      <w:r w:rsidR="008B6999">
        <w:t xml:space="preserve">. </w:t>
      </w:r>
      <w:r w:rsidR="001F43A7">
        <w:t>TECO’s marketing</w:t>
      </w:r>
      <w:r w:rsidR="00221D04">
        <w:t xml:space="preserve"> materials for this program state</w:t>
      </w:r>
      <w:r w:rsidR="0093445E">
        <w:t>:</w:t>
      </w:r>
      <w:r w:rsidR="001F43A7">
        <w:t xml:space="preserve"> </w:t>
      </w:r>
    </w:p>
    <w:p w:rsidR="00E81815" w:rsidRDefault="00E81815" w:rsidP="002230A1">
      <w:pPr>
        <w:pStyle w:val="BodyText"/>
        <w:spacing w:after="0"/>
      </w:pPr>
    </w:p>
    <w:p w:rsidR="00E81815" w:rsidRDefault="001F43A7" w:rsidP="00E81815">
      <w:pPr>
        <w:pStyle w:val="BodyText"/>
        <w:spacing w:after="0"/>
        <w:ind w:left="720" w:right="720"/>
      </w:pPr>
      <w:r>
        <w:t>Sun Select participants lock in a solar rate. While this rate is slightly higher, your fuel charge is waived for that portion of your electricity use.</w:t>
      </w:r>
      <w:r>
        <w:rPr>
          <w:rStyle w:val="FootnoteReference"/>
        </w:rPr>
        <w:footnoteReference w:id="12"/>
      </w:r>
      <w:r>
        <w:t xml:space="preserve"> </w:t>
      </w:r>
    </w:p>
    <w:p w:rsidR="00E81815" w:rsidRDefault="00E81815" w:rsidP="002230A1">
      <w:pPr>
        <w:pStyle w:val="BodyText"/>
        <w:spacing w:after="0"/>
      </w:pPr>
    </w:p>
    <w:p w:rsidR="00BD5FBA" w:rsidRDefault="00C05F51" w:rsidP="002230A1">
      <w:pPr>
        <w:pStyle w:val="BodyText"/>
        <w:spacing w:after="0"/>
      </w:pPr>
      <w:r w:rsidRPr="00DE5FD6">
        <w:t xml:space="preserve">Staff </w:t>
      </w:r>
      <w:r w:rsidR="00FA5C62" w:rsidRPr="00DE5FD6">
        <w:t>compared</w:t>
      </w:r>
      <w:r w:rsidRPr="00DE5FD6">
        <w:t xml:space="preserve"> the </w:t>
      </w:r>
      <w:r w:rsidR="00841D7C" w:rsidRPr="00DE5FD6">
        <w:t xml:space="preserve">proposed </w:t>
      </w:r>
      <w:r w:rsidRPr="00DE5FD6">
        <w:t xml:space="preserve">SSR-1 Tariff and TECO’s </w:t>
      </w:r>
      <w:r w:rsidR="00841D7C" w:rsidRPr="00DE5FD6">
        <w:t>Projected System Average Fuel Costs (for 2024 through 2030)</w:t>
      </w:r>
      <w:r w:rsidRPr="00DE5FD6">
        <w:t>. As shown in Table 1</w:t>
      </w:r>
      <w:r w:rsidR="00DE5FD6">
        <w:t>-1</w:t>
      </w:r>
      <w:r w:rsidR="001F43A7" w:rsidRPr="00DE5FD6">
        <w:t>, the</w:t>
      </w:r>
      <w:r w:rsidR="00841D7C" w:rsidRPr="00DE5FD6">
        <w:t xml:space="preserve"> proposed</w:t>
      </w:r>
      <w:r w:rsidR="001F43A7" w:rsidRPr="00DE5FD6">
        <w:t xml:space="preserve"> </w:t>
      </w:r>
      <w:r w:rsidR="002306D0" w:rsidRPr="00DE5FD6">
        <w:t>Tariff</w:t>
      </w:r>
      <w:r w:rsidR="006839B8" w:rsidRPr="00DE5FD6">
        <w:t xml:space="preserve"> </w:t>
      </w:r>
      <w:r w:rsidR="00CC6BEC" w:rsidRPr="00DE5FD6">
        <w:t>rate (</w:t>
      </w:r>
      <w:r w:rsidR="00841D7C" w:rsidRPr="00DE5FD6">
        <w:t>4.9</w:t>
      </w:r>
      <w:r w:rsidR="00AC3749" w:rsidRPr="00DE5FD6">
        <w:t xml:space="preserve"> </w:t>
      </w:r>
      <w:r w:rsidR="00863D8F" w:rsidRPr="00DE5FD6">
        <w:t xml:space="preserve">cents </w:t>
      </w:r>
      <w:r w:rsidR="00AC3749" w:rsidRPr="00DE5FD6">
        <w:t>per kWh</w:t>
      </w:r>
      <w:r w:rsidR="00CC6BEC" w:rsidRPr="00DE5FD6">
        <w:t xml:space="preserve">) is higher than </w:t>
      </w:r>
      <w:r w:rsidR="00E1255E" w:rsidRPr="00DE5FD6">
        <w:t xml:space="preserve">TECO’s </w:t>
      </w:r>
      <w:r w:rsidR="00841D7C" w:rsidRPr="00DE5FD6">
        <w:t>Projected System Average Fuel Costs (for 2024 through 2030)</w:t>
      </w:r>
      <w:r>
        <w:t>.</w:t>
      </w:r>
    </w:p>
    <w:p w:rsidR="00841D7C" w:rsidRDefault="00C05F51" w:rsidP="002230A1">
      <w:pPr>
        <w:pStyle w:val="BodyText"/>
        <w:spacing w:after="0"/>
      </w:pPr>
      <w:r>
        <w:t xml:space="preserve">  </w:t>
      </w:r>
    </w:p>
    <w:p w:rsidR="008453CC" w:rsidRDefault="00BD5FBA" w:rsidP="005228DC">
      <w:pPr>
        <w:pStyle w:val="BodyText"/>
        <w:spacing w:after="0"/>
        <w:jc w:val="center"/>
        <w:rPr>
          <w:rFonts w:ascii="Arial" w:hAnsi="Arial" w:cs="Arial"/>
          <w:b/>
        </w:rPr>
      </w:pPr>
      <w:r>
        <w:rPr>
          <w:rFonts w:ascii="Arial" w:hAnsi="Arial" w:cs="Arial"/>
          <w:b/>
        </w:rPr>
        <w:t>T</w:t>
      </w:r>
      <w:r w:rsidR="008453CC">
        <w:rPr>
          <w:rFonts w:ascii="Arial" w:hAnsi="Arial" w:cs="Arial"/>
          <w:b/>
        </w:rPr>
        <w:t>able 1-1</w:t>
      </w:r>
    </w:p>
    <w:p w:rsidR="00DE5FD6" w:rsidRDefault="00BD5FBA" w:rsidP="00BD5FBA">
      <w:pPr>
        <w:pStyle w:val="BodyText"/>
        <w:spacing w:after="0"/>
        <w:ind w:firstLine="720"/>
        <w:jc w:val="center"/>
        <w:rPr>
          <w:rFonts w:ascii="Arial" w:hAnsi="Arial" w:cs="Arial"/>
          <w:b/>
        </w:rPr>
      </w:pPr>
      <w:r>
        <w:rPr>
          <w:rFonts w:ascii="Arial" w:hAnsi="Arial" w:cs="Arial"/>
          <w:b/>
        </w:rPr>
        <w:t xml:space="preserve">Proposed Tariff Rate and </w:t>
      </w:r>
      <w:r w:rsidR="00E96259">
        <w:rPr>
          <w:rFonts w:ascii="Arial" w:hAnsi="Arial" w:cs="Arial"/>
          <w:b/>
        </w:rPr>
        <w:t xml:space="preserve">Projected </w:t>
      </w:r>
      <w:r w:rsidR="00DF718F" w:rsidRPr="00DF718F">
        <w:rPr>
          <w:rFonts w:ascii="Arial" w:hAnsi="Arial" w:cs="Arial"/>
          <w:b/>
        </w:rPr>
        <w:t>Fuel Cost Comparison</w:t>
      </w:r>
      <w:r w:rsidR="00841D7C">
        <w:rPr>
          <w:rFonts w:ascii="Arial" w:hAnsi="Arial" w:cs="Arial"/>
          <w:b/>
        </w:rPr>
        <w:t xml:space="preserve"> (cents</w:t>
      </w:r>
      <w:r w:rsidR="008453CC">
        <w:rPr>
          <w:rFonts w:ascii="Arial" w:hAnsi="Arial" w:cs="Arial"/>
          <w:b/>
        </w:rPr>
        <w:t>/kWh)</w:t>
      </w:r>
    </w:p>
    <w:tbl>
      <w:tblPr>
        <w:tblStyle w:val="TableGrid"/>
        <w:tblW w:w="0" w:type="auto"/>
        <w:jc w:val="center"/>
        <w:tblLook w:val="04A0" w:firstRow="1" w:lastRow="0" w:firstColumn="1" w:lastColumn="0" w:noHBand="0" w:noVBand="1"/>
      </w:tblPr>
      <w:tblGrid>
        <w:gridCol w:w="1075"/>
        <w:gridCol w:w="1800"/>
        <w:gridCol w:w="2070"/>
        <w:gridCol w:w="4405"/>
      </w:tblGrid>
      <w:tr w:rsidR="006C08C1" w:rsidTr="00E1255E">
        <w:trPr>
          <w:jc w:val="center"/>
        </w:trPr>
        <w:tc>
          <w:tcPr>
            <w:tcW w:w="1075" w:type="dxa"/>
            <w:vAlign w:val="center"/>
          </w:tcPr>
          <w:p w:rsidR="006C08C1" w:rsidRDefault="006C08C1" w:rsidP="00DF718F">
            <w:pPr>
              <w:pStyle w:val="BodyText"/>
              <w:spacing w:after="0"/>
              <w:jc w:val="center"/>
              <w:rPr>
                <w:sz w:val="22"/>
                <w:szCs w:val="22"/>
              </w:rPr>
            </w:pPr>
            <w:r w:rsidRPr="0033532D">
              <w:rPr>
                <w:sz w:val="22"/>
                <w:szCs w:val="22"/>
              </w:rPr>
              <w:t>Year</w:t>
            </w:r>
          </w:p>
          <w:p w:rsidR="00841D7C" w:rsidRDefault="00841D7C" w:rsidP="00DF718F">
            <w:pPr>
              <w:pStyle w:val="BodyText"/>
              <w:spacing w:after="0"/>
              <w:jc w:val="center"/>
              <w:rPr>
                <w:sz w:val="22"/>
                <w:szCs w:val="22"/>
              </w:rPr>
            </w:pPr>
          </w:p>
          <w:p w:rsidR="00841D7C" w:rsidRPr="0033532D" w:rsidRDefault="00841D7C" w:rsidP="00DF718F">
            <w:pPr>
              <w:pStyle w:val="BodyText"/>
              <w:spacing w:after="0"/>
              <w:jc w:val="center"/>
              <w:rPr>
                <w:sz w:val="22"/>
                <w:szCs w:val="22"/>
              </w:rPr>
            </w:pPr>
          </w:p>
          <w:p w:rsidR="006C08C1" w:rsidRPr="0033532D" w:rsidRDefault="006C08C1" w:rsidP="00DF718F">
            <w:pPr>
              <w:pStyle w:val="BodyText"/>
              <w:spacing w:after="0"/>
              <w:jc w:val="center"/>
              <w:rPr>
                <w:sz w:val="22"/>
                <w:szCs w:val="22"/>
              </w:rPr>
            </w:pPr>
            <w:r w:rsidRPr="0033532D">
              <w:rPr>
                <w:sz w:val="22"/>
                <w:szCs w:val="22"/>
              </w:rPr>
              <w:t>(A)</w:t>
            </w:r>
          </w:p>
        </w:tc>
        <w:tc>
          <w:tcPr>
            <w:tcW w:w="1800" w:type="dxa"/>
            <w:vAlign w:val="center"/>
          </w:tcPr>
          <w:p w:rsidR="006C08C1" w:rsidRDefault="006C08C1" w:rsidP="00DF718F">
            <w:pPr>
              <w:pStyle w:val="BodyText"/>
              <w:spacing w:after="0"/>
              <w:jc w:val="center"/>
              <w:rPr>
                <w:sz w:val="22"/>
                <w:szCs w:val="22"/>
              </w:rPr>
            </w:pPr>
            <w:r w:rsidRPr="0033532D">
              <w:rPr>
                <w:sz w:val="22"/>
                <w:szCs w:val="22"/>
              </w:rPr>
              <w:t>Proposed SSR-1 Tariff Rate</w:t>
            </w:r>
          </w:p>
          <w:p w:rsidR="00841D7C" w:rsidRPr="0033532D" w:rsidRDefault="00841D7C" w:rsidP="00DF718F">
            <w:pPr>
              <w:pStyle w:val="BodyText"/>
              <w:spacing w:after="0"/>
              <w:jc w:val="center"/>
              <w:rPr>
                <w:sz w:val="22"/>
                <w:szCs w:val="22"/>
              </w:rPr>
            </w:pPr>
          </w:p>
          <w:p w:rsidR="006C08C1" w:rsidRPr="0033532D" w:rsidRDefault="006C08C1" w:rsidP="00DF718F">
            <w:pPr>
              <w:pStyle w:val="BodyText"/>
              <w:spacing w:after="0"/>
              <w:jc w:val="center"/>
              <w:rPr>
                <w:sz w:val="22"/>
                <w:szCs w:val="22"/>
              </w:rPr>
            </w:pPr>
            <w:r w:rsidRPr="0033532D">
              <w:rPr>
                <w:sz w:val="22"/>
                <w:szCs w:val="22"/>
              </w:rPr>
              <w:t>(B)</w:t>
            </w:r>
          </w:p>
        </w:tc>
        <w:tc>
          <w:tcPr>
            <w:tcW w:w="2070" w:type="dxa"/>
            <w:vAlign w:val="center"/>
          </w:tcPr>
          <w:p w:rsidR="006C08C1" w:rsidRDefault="006C08C1" w:rsidP="00DF718F">
            <w:pPr>
              <w:pStyle w:val="BodyText"/>
              <w:spacing w:after="0"/>
              <w:jc w:val="center"/>
              <w:rPr>
                <w:sz w:val="22"/>
                <w:szCs w:val="22"/>
              </w:rPr>
            </w:pPr>
            <w:r w:rsidRPr="0033532D">
              <w:rPr>
                <w:sz w:val="22"/>
                <w:szCs w:val="22"/>
              </w:rPr>
              <w:t>Projected System Average Fuel Cost</w:t>
            </w:r>
          </w:p>
          <w:p w:rsidR="00E1255E" w:rsidRPr="0033532D" w:rsidRDefault="00E1255E" w:rsidP="00DF718F">
            <w:pPr>
              <w:pStyle w:val="BodyText"/>
              <w:spacing w:after="0"/>
              <w:jc w:val="center"/>
              <w:rPr>
                <w:sz w:val="22"/>
                <w:szCs w:val="22"/>
              </w:rPr>
            </w:pPr>
          </w:p>
          <w:p w:rsidR="006C08C1" w:rsidRPr="0033532D" w:rsidRDefault="00841D7C" w:rsidP="006C08C1">
            <w:pPr>
              <w:pStyle w:val="BodyText"/>
              <w:spacing w:after="0"/>
              <w:jc w:val="center"/>
              <w:rPr>
                <w:sz w:val="22"/>
                <w:szCs w:val="22"/>
              </w:rPr>
            </w:pPr>
            <w:r>
              <w:rPr>
                <w:sz w:val="22"/>
                <w:szCs w:val="22"/>
              </w:rPr>
              <w:t>(C</w:t>
            </w:r>
            <w:r w:rsidR="006C08C1" w:rsidRPr="0033532D">
              <w:rPr>
                <w:sz w:val="22"/>
                <w:szCs w:val="22"/>
              </w:rPr>
              <w:t>)*</w:t>
            </w:r>
          </w:p>
        </w:tc>
        <w:tc>
          <w:tcPr>
            <w:tcW w:w="4405" w:type="dxa"/>
            <w:vAlign w:val="center"/>
          </w:tcPr>
          <w:p w:rsidR="006C08C1" w:rsidRDefault="006C08C1" w:rsidP="00DF718F">
            <w:pPr>
              <w:pStyle w:val="BodyText"/>
              <w:spacing w:after="0"/>
              <w:jc w:val="center"/>
              <w:rPr>
                <w:sz w:val="22"/>
                <w:szCs w:val="22"/>
              </w:rPr>
            </w:pPr>
            <w:r w:rsidRPr="0033532D">
              <w:rPr>
                <w:sz w:val="22"/>
                <w:szCs w:val="22"/>
              </w:rPr>
              <w:t xml:space="preserve">Difference between </w:t>
            </w:r>
            <w:r w:rsidR="00841D7C">
              <w:rPr>
                <w:sz w:val="22"/>
                <w:szCs w:val="22"/>
              </w:rPr>
              <w:t>Proposed SSR-1 Tariff Rate</w:t>
            </w:r>
            <w:r w:rsidRPr="0033532D">
              <w:rPr>
                <w:sz w:val="22"/>
                <w:szCs w:val="22"/>
              </w:rPr>
              <w:t xml:space="preserve"> and Projected Average System Fuel Costs</w:t>
            </w:r>
          </w:p>
          <w:p w:rsidR="00E1255E" w:rsidRPr="0033532D" w:rsidRDefault="00E1255E" w:rsidP="00DF718F">
            <w:pPr>
              <w:pStyle w:val="BodyText"/>
              <w:spacing w:after="0"/>
              <w:jc w:val="center"/>
              <w:rPr>
                <w:sz w:val="22"/>
                <w:szCs w:val="22"/>
              </w:rPr>
            </w:pPr>
          </w:p>
          <w:p w:rsidR="006C08C1" w:rsidRPr="0033532D" w:rsidRDefault="00AC3E7A" w:rsidP="00E16DB4">
            <w:pPr>
              <w:pStyle w:val="BodyText"/>
              <w:spacing w:after="0"/>
              <w:jc w:val="center"/>
              <w:rPr>
                <w:sz w:val="22"/>
                <w:szCs w:val="22"/>
              </w:rPr>
            </w:pPr>
            <w:r>
              <w:rPr>
                <w:sz w:val="22"/>
                <w:szCs w:val="22"/>
              </w:rPr>
              <w:t>(B – C</w:t>
            </w:r>
            <w:r w:rsidR="006C08C1" w:rsidRPr="0033532D">
              <w:rPr>
                <w:sz w:val="22"/>
                <w:szCs w:val="22"/>
              </w:rPr>
              <w:t>)</w:t>
            </w:r>
          </w:p>
        </w:tc>
      </w:tr>
      <w:tr w:rsidR="00841D7C" w:rsidTr="00E1255E">
        <w:trPr>
          <w:jc w:val="center"/>
        </w:trPr>
        <w:tc>
          <w:tcPr>
            <w:tcW w:w="1075" w:type="dxa"/>
            <w:vAlign w:val="center"/>
          </w:tcPr>
          <w:p w:rsidR="00841D7C" w:rsidRDefault="00841D7C" w:rsidP="00841D7C">
            <w:pPr>
              <w:pStyle w:val="BodyText"/>
              <w:spacing w:after="0"/>
              <w:jc w:val="center"/>
            </w:pPr>
            <w:r>
              <w:t>2024</w:t>
            </w:r>
          </w:p>
        </w:tc>
        <w:tc>
          <w:tcPr>
            <w:tcW w:w="1800" w:type="dxa"/>
            <w:vAlign w:val="center"/>
          </w:tcPr>
          <w:p w:rsidR="00841D7C" w:rsidRDefault="00841D7C" w:rsidP="00841D7C">
            <w:pPr>
              <w:pStyle w:val="BodyText"/>
              <w:spacing w:after="0"/>
              <w:jc w:val="center"/>
            </w:pPr>
            <w:r>
              <w:t>4.9</w:t>
            </w:r>
          </w:p>
        </w:tc>
        <w:tc>
          <w:tcPr>
            <w:tcW w:w="2070" w:type="dxa"/>
            <w:vAlign w:val="center"/>
          </w:tcPr>
          <w:p w:rsidR="00841D7C" w:rsidRDefault="00AC3E7A" w:rsidP="00841D7C">
            <w:pPr>
              <w:pStyle w:val="BodyText"/>
              <w:spacing w:after="0"/>
              <w:jc w:val="center"/>
            </w:pPr>
            <w:r>
              <w:t>3.8</w:t>
            </w:r>
          </w:p>
        </w:tc>
        <w:tc>
          <w:tcPr>
            <w:tcW w:w="4405" w:type="dxa"/>
            <w:vAlign w:val="center"/>
          </w:tcPr>
          <w:p w:rsidR="00841D7C" w:rsidRDefault="00AC3E7A" w:rsidP="00841D7C">
            <w:pPr>
              <w:pStyle w:val="BodyText"/>
              <w:spacing w:after="0"/>
              <w:jc w:val="center"/>
            </w:pPr>
            <w:r>
              <w:t>1.4</w:t>
            </w:r>
          </w:p>
        </w:tc>
      </w:tr>
      <w:tr w:rsidR="00841D7C" w:rsidTr="00E1255E">
        <w:trPr>
          <w:jc w:val="center"/>
        </w:trPr>
        <w:tc>
          <w:tcPr>
            <w:tcW w:w="1075" w:type="dxa"/>
            <w:vAlign w:val="center"/>
          </w:tcPr>
          <w:p w:rsidR="00841D7C" w:rsidRDefault="00841D7C" w:rsidP="00841D7C">
            <w:pPr>
              <w:pStyle w:val="BodyText"/>
              <w:spacing w:after="0"/>
              <w:jc w:val="center"/>
            </w:pPr>
            <w:r>
              <w:t>2025</w:t>
            </w:r>
          </w:p>
        </w:tc>
        <w:tc>
          <w:tcPr>
            <w:tcW w:w="1800" w:type="dxa"/>
            <w:vAlign w:val="center"/>
          </w:tcPr>
          <w:p w:rsidR="00841D7C" w:rsidRDefault="00841D7C" w:rsidP="00841D7C">
            <w:pPr>
              <w:pStyle w:val="BodyText"/>
              <w:spacing w:after="0"/>
              <w:jc w:val="center"/>
            </w:pPr>
            <w:r>
              <w:t>4.9</w:t>
            </w:r>
          </w:p>
        </w:tc>
        <w:tc>
          <w:tcPr>
            <w:tcW w:w="2070" w:type="dxa"/>
            <w:vAlign w:val="center"/>
          </w:tcPr>
          <w:p w:rsidR="00841D7C" w:rsidRDefault="00AC3E7A" w:rsidP="00841D7C">
            <w:pPr>
              <w:pStyle w:val="BodyText"/>
              <w:spacing w:after="0"/>
              <w:jc w:val="center"/>
            </w:pPr>
            <w:r>
              <w:t>3.3</w:t>
            </w:r>
          </w:p>
        </w:tc>
        <w:tc>
          <w:tcPr>
            <w:tcW w:w="4405" w:type="dxa"/>
            <w:vAlign w:val="center"/>
          </w:tcPr>
          <w:p w:rsidR="00841D7C" w:rsidRDefault="00AC3E7A" w:rsidP="00841D7C">
            <w:pPr>
              <w:pStyle w:val="BodyText"/>
              <w:spacing w:after="0"/>
              <w:jc w:val="center"/>
            </w:pPr>
            <w:r>
              <w:t>1.6</w:t>
            </w:r>
          </w:p>
        </w:tc>
      </w:tr>
      <w:tr w:rsidR="00841D7C" w:rsidTr="00E1255E">
        <w:trPr>
          <w:jc w:val="center"/>
        </w:trPr>
        <w:tc>
          <w:tcPr>
            <w:tcW w:w="1075" w:type="dxa"/>
            <w:vAlign w:val="center"/>
          </w:tcPr>
          <w:p w:rsidR="00841D7C" w:rsidRDefault="00841D7C" w:rsidP="00841D7C">
            <w:pPr>
              <w:pStyle w:val="BodyText"/>
              <w:spacing w:after="0"/>
              <w:jc w:val="center"/>
            </w:pPr>
            <w:r>
              <w:t>2026</w:t>
            </w:r>
          </w:p>
        </w:tc>
        <w:tc>
          <w:tcPr>
            <w:tcW w:w="1800" w:type="dxa"/>
            <w:vAlign w:val="center"/>
          </w:tcPr>
          <w:p w:rsidR="00841D7C" w:rsidRDefault="00841D7C" w:rsidP="00841D7C">
            <w:pPr>
              <w:pStyle w:val="BodyText"/>
              <w:spacing w:after="0"/>
              <w:jc w:val="center"/>
            </w:pPr>
            <w:r>
              <w:t>4.9</w:t>
            </w:r>
          </w:p>
        </w:tc>
        <w:tc>
          <w:tcPr>
            <w:tcW w:w="2070" w:type="dxa"/>
            <w:vAlign w:val="center"/>
          </w:tcPr>
          <w:p w:rsidR="00AC3E7A" w:rsidRDefault="00AC3E7A" w:rsidP="00AC3E7A">
            <w:pPr>
              <w:pStyle w:val="BodyText"/>
              <w:spacing w:after="0"/>
              <w:jc w:val="center"/>
            </w:pPr>
            <w:r>
              <w:t>3.2</w:t>
            </w:r>
          </w:p>
        </w:tc>
        <w:tc>
          <w:tcPr>
            <w:tcW w:w="4405" w:type="dxa"/>
            <w:vAlign w:val="center"/>
          </w:tcPr>
          <w:p w:rsidR="00841D7C" w:rsidRDefault="00AC3E7A" w:rsidP="00841D7C">
            <w:pPr>
              <w:pStyle w:val="BodyText"/>
              <w:spacing w:after="0"/>
              <w:jc w:val="center"/>
            </w:pPr>
            <w:r>
              <w:t>1.7</w:t>
            </w:r>
          </w:p>
        </w:tc>
      </w:tr>
      <w:tr w:rsidR="00AC3E7A" w:rsidTr="00E1255E">
        <w:trPr>
          <w:jc w:val="center"/>
        </w:trPr>
        <w:tc>
          <w:tcPr>
            <w:tcW w:w="1075" w:type="dxa"/>
            <w:vAlign w:val="center"/>
          </w:tcPr>
          <w:p w:rsidR="00AC3E7A" w:rsidRDefault="00AC3E7A" w:rsidP="00AC3E7A">
            <w:pPr>
              <w:pStyle w:val="BodyText"/>
              <w:spacing w:after="0"/>
              <w:jc w:val="center"/>
            </w:pPr>
            <w:r>
              <w:t>2027</w:t>
            </w:r>
          </w:p>
        </w:tc>
        <w:tc>
          <w:tcPr>
            <w:tcW w:w="1800" w:type="dxa"/>
            <w:vAlign w:val="center"/>
          </w:tcPr>
          <w:p w:rsidR="00AC3E7A" w:rsidRDefault="00AC3E7A" w:rsidP="00AC3E7A">
            <w:pPr>
              <w:pStyle w:val="BodyText"/>
              <w:spacing w:after="0"/>
              <w:jc w:val="center"/>
            </w:pPr>
            <w:r>
              <w:t>4.9</w:t>
            </w:r>
          </w:p>
        </w:tc>
        <w:tc>
          <w:tcPr>
            <w:tcW w:w="2070" w:type="dxa"/>
            <w:vAlign w:val="center"/>
          </w:tcPr>
          <w:p w:rsidR="00AC3E7A" w:rsidRDefault="00AC3E7A" w:rsidP="00AC3E7A">
            <w:pPr>
              <w:pStyle w:val="BodyText"/>
              <w:spacing w:after="0"/>
              <w:jc w:val="center"/>
            </w:pPr>
            <w:r>
              <w:t>3.2</w:t>
            </w:r>
          </w:p>
        </w:tc>
        <w:tc>
          <w:tcPr>
            <w:tcW w:w="4405" w:type="dxa"/>
            <w:vAlign w:val="center"/>
          </w:tcPr>
          <w:p w:rsidR="00AC3E7A" w:rsidRDefault="00AC3E7A" w:rsidP="00AC3E7A">
            <w:pPr>
              <w:pStyle w:val="BodyText"/>
              <w:spacing w:after="0"/>
              <w:jc w:val="center"/>
            </w:pPr>
            <w:r>
              <w:t>1.7</w:t>
            </w:r>
          </w:p>
        </w:tc>
      </w:tr>
      <w:tr w:rsidR="00AC3E7A" w:rsidTr="00E1255E">
        <w:trPr>
          <w:jc w:val="center"/>
        </w:trPr>
        <w:tc>
          <w:tcPr>
            <w:tcW w:w="1075" w:type="dxa"/>
            <w:vAlign w:val="center"/>
          </w:tcPr>
          <w:p w:rsidR="00AC3E7A" w:rsidRDefault="00AC3E7A" w:rsidP="00AC3E7A">
            <w:pPr>
              <w:pStyle w:val="BodyText"/>
              <w:spacing w:after="0"/>
              <w:jc w:val="center"/>
            </w:pPr>
            <w:r>
              <w:t>2028</w:t>
            </w:r>
          </w:p>
        </w:tc>
        <w:tc>
          <w:tcPr>
            <w:tcW w:w="1800" w:type="dxa"/>
            <w:vAlign w:val="center"/>
          </w:tcPr>
          <w:p w:rsidR="00AC3E7A" w:rsidRDefault="00AC3E7A" w:rsidP="00AC3E7A">
            <w:pPr>
              <w:pStyle w:val="BodyText"/>
              <w:spacing w:after="0"/>
              <w:jc w:val="center"/>
            </w:pPr>
            <w:r>
              <w:t>4.9</w:t>
            </w:r>
          </w:p>
        </w:tc>
        <w:tc>
          <w:tcPr>
            <w:tcW w:w="2070" w:type="dxa"/>
            <w:vAlign w:val="center"/>
          </w:tcPr>
          <w:p w:rsidR="00AC3E7A" w:rsidRDefault="00AC3E7A" w:rsidP="00AC3E7A">
            <w:pPr>
              <w:pStyle w:val="BodyText"/>
              <w:spacing w:after="0"/>
              <w:jc w:val="center"/>
            </w:pPr>
            <w:r>
              <w:t>3.2</w:t>
            </w:r>
          </w:p>
        </w:tc>
        <w:tc>
          <w:tcPr>
            <w:tcW w:w="4405" w:type="dxa"/>
            <w:vAlign w:val="center"/>
          </w:tcPr>
          <w:p w:rsidR="00AC3E7A" w:rsidRDefault="00AC3E7A" w:rsidP="00AC3E7A">
            <w:pPr>
              <w:pStyle w:val="BodyText"/>
              <w:spacing w:after="0"/>
              <w:jc w:val="center"/>
            </w:pPr>
            <w:r>
              <w:t>1.7</w:t>
            </w:r>
          </w:p>
        </w:tc>
      </w:tr>
      <w:tr w:rsidR="00AC3E7A" w:rsidTr="00E1255E">
        <w:trPr>
          <w:jc w:val="center"/>
        </w:trPr>
        <w:tc>
          <w:tcPr>
            <w:tcW w:w="1075" w:type="dxa"/>
            <w:vAlign w:val="center"/>
          </w:tcPr>
          <w:p w:rsidR="00AC3E7A" w:rsidRDefault="00AC3E7A" w:rsidP="00AC3E7A">
            <w:pPr>
              <w:pStyle w:val="BodyText"/>
              <w:spacing w:after="0"/>
              <w:jc w:val="center"/>
            </w:pPr>
            <w:r>
              <w:t>2029</w:t>
            </w:r>
          </w:p>
        </w:tc>
        <w:tc>
          <w:tcPr>
            <w:tcW w:w="1800" w:type="dxa"/>
            <w:vAlign w:val="center"/>
          </w:tcPr>
          <w:p w:rsidR="00AC3E7A" w:rsidRDefault="00AC3E7A" w:rsidP="00AC3E7A">
            <w:pPr>
              <w:pStyle w:val="BodyText"/>
              <w:spacing w:after="0"/>
              <w:jc w:val="center"/>
            </w:pPr>
            <w:r>
              <w:t>4.9</w:t>
            </w:r>
          </w:p>
        </w:tc>
        <w:tc>
          <w:tcPr>
            <w:tcW w:w="2070" w:type="dxa"/>
            <w:vAlign w:val="center"/>
          </w:tcPr>
          <w:p w:rsidR="00AC3E7A" w:rsidRDefault="00AC3E7A" w:rsidP="00AC3E7A">
            <w:pPr>
              <w:pStyle w:val="BodyText"/>
              <w:spacing w:after="0"/>
              <w:jc w:val="center"/>
            </w:pPr>
            <w:r>
              <w:t>3.2</w:t>
            </w:r>
          </w:p>
        </w:tc>
        <w:tc>
          <w:tcPr>
            <w:tcW w:w="4405" w:type="dxa"/>
            <w:vAlign w:val="center"/>
          </w:tcPr>
          <w:p w:rsidR="00AC3E7A" w:rsidRDefault="00AC3E7A" w:rsidP="00AC3E7A">
            <w:pPr>
              <w:pStyle w:val="BodyText"/>
              <w:spacing w:after="0"/>
              <w:jc w:val="center"/>
            </w:pPr>
            <w:r>
              <w:t>1.7</w:t>
            </w:r>
          </w:p>
        </w:tc>
      </w:tr>
      <w:tr w:rsidR="00AC3E7A" w:rsidTr="00E1255E">
        <w:trPr>
          <w:jc w:val="center"/>
        </w:trPr>
        <w:tc>
          <w:tcPr>
            <w:tcW w:w="1075" w:type="dxa"/>
            <w:vAlign w:val="center"/>
          </w:tcPr>
          <w:p w:rsidR="00AC3E7A" w:rsidRDefault="00AC3E7A" w:rsidP="00AC3E7A">
            <w:pPr>
              <w:pStyle w:val="BodyText"/>
              <w:spacing w:after="0"/>
              <w:jc w:val="center"/>
            </w:pPr>
            <w:r>
              <w:t>2030</w:t>
            </w:r>
          </w:p>
        </w:tc>
        <w:tc>
          <w:tcPr>
            <w:tcW w:w="1800" w:type="dxa"/>
            <w:vAlign w:val="center"/>
          </w:tcPr>
          <w:p w:rsidR="00AC3E7A" w:rsidRDefault="00AC3E7A" w:rsidP="00AC3E7A">
            <w:pPr>
              <w:pStyle w:val="BodyText"/>
              <w:spacing w:after="0"/>
              <w:jc w:val="center"/>
            </w:pPr>
            <w:r>
              <w:t>4.9</w:t>
            </w:r>
          </w:p>
        </w:tc>
        <w:tc>
          <w:tcPr>
            <w:tcW w:w="2070" w:type="dxa"/>
            <w:vAlign w:val="center"/>
          </w:tcPr>
          <w:p w:rsidR="00AC3E7A" w:rsidRDefault="00AC3E7A" w:rsidP="00AC3E7A">
            <w:pPr>
              <w:pStyle w:val="BodyText"/>
              <w:spacing w:after="0"/>
              <w:jc w:val="center"/>
            </w:pPr>
            <w:r>
              <w:t>3.2</w:t>
            </w:r>
          </w:p>
        </w:tc>
        <w:tc>
          <w:tcPr>
            <w:tcW w:w="4405" w:type="dxa"/>
            <w:vAlign w:val="center"/>
          </w:tcPr>
          <w:p w:rsidR="00AC3E7A" w:rsidRDefault="00AC3E7A" w:rsidP="00AC3E7A">
            <w:pPr>
              <w:pStyle w:val="BodyText"/>
              <w:spacing w:after="0"/>
              <w:jc w:val="center"/>
            </w:pPr>
            <w:r>
              <w:t>1.7</w:t>
            </w:r>
          </w:p>
        </w:tc>
      </w:tr>
    </w:tbl>
    <w:p w:rsidR="00863D8F" w:rsidRPr="00DF718F" w:rsidRDefault="00DF718F" w:rsidP="00DF718F">
      <w:pPr>
        <w:pStyle w:val="BodyText"/>
        <w:spacing w:after="0"/>
        <w:jc w:val="left"/>
        <w:rPr>
          <w:sz w:val="20"/>
          <w:szCs w:val="20"/>
        </w:rPr>
      </w:pPr>
      <w:r w:rsidRPr="00DF718F">
        <w:rPr>
          <w:sz w:val="20"/>
          <w:szCs w:val="20"/>
        </w:rPr>
        <w:t xml:space="preserve">Source: </w:t>
      </w:r>
      <w:r w:rsidR="00FE0580">
        <w:rPr>
          <w:sz w:val="20"/>
          <w:szCs w:val="20"/>
        </w:rPr>
        <w:t>*</w:t>
      </w:r>
      <w:r w:rsidRPr="00DF718F">
        <w:rPr>
          <w:sz w:val="20"/>
          <w:szCs w:val="20"/>
        </w:rPr>
        <w:t>TECO’s Response to Staff’s 1</w:t>
      </w:r>
      <w:r w:rsidRPr="00DF718F">
        <w:rPr>
          <w:sz w:val="20"/>
          <w:szCs w:val="20"/>
          <w:vertAlign w:val="superscript"/>
        </w:rPr>
        <w:t>st</w:t>
      </w:r>
      <w:r w:rsidRPr="00DF718F">
        <w:rPr>
          <w:sz w:val="20"/>
          <w:szCs w:val="20"/>
        </w:rPr>
        <w:t xml:space="preserve"> Data Request</w:t>
      </w:r>
      <w:r w:rsidR="008453CC">
        <w:rPr>
          <w:sz w:val="20"/>
          <w:szCs w:val="20"/>
        </w:rPr>
        <w:t>,</w:t>
      </w:r>
      <w:r w:rsidR="00FE0580">
        <w:rPr>
          <w:sz w:val="20"/>
          <w:szCs w:val="20"/>
        </w:rPr>
        <w:t xml:space="preserve"> No. </w:t>
      </w:r>
      <w:r w:rsidR="006C08C1">
        <w:rPr>
          <w:sz w:val="20"/>
          <w:szCs w:val="20"/>
        </w:rPr>
        <w:t>3.b and</w:t>
      </w:r>
      <w:r w:rsidR="008453CC">
        <w:rPr>
          <w:sz w:val="20"/>
          <w:szCs w:val="20"/>
        </w:rPr>
        <w:t xml:space="preserve"> FPSC Document No. 04</w:t>
      </w:r>
      <w:r w:rsidR="00FE0580">
        <w:rPr>
          <w:sz w:val="20"/>
          <w:szCs w:val="20"/>
        </w:rPr>
        <w:t>517</w:t>
      </w:r>
      <w:r w:rsidR="008453CC">
        <w:rPr>
          <w:sz w:val="20"/>
          <w:szCs w:val="20"/>
        </w:rPr>
        <w:t>-2023,</w:t>
      </w:r>
      <w:r w:rsidRPr="00DF718F">
        <w:rPr>
          <w:sz w:val="20"/>
          <w:szCs w:val="20"/>
        </w:rPr>
        <w:t xml:space="preserve"> and </w:t>
      </w:r>
      <w:r w:rsidR="008453CC">
        <w:rPr>
          <w:sz w:val="20"/>
          <w:szCs w:val="20"/>
        </w:rPr>
        <w:t>FPSC Document No. 05265-2023</w:t>
      </w:r>
      <w:r w:rsidRPr="00DF718F">
        <w:rPr>
          <w:sz w:val="20"/>
          <w:szCs w:val="20"/>
        </w:rPr>
        <w:t>.</w:t>
      </w:r>
    </w:p>
    <w:p w:rsidR="004F0BF6" w:rsidRDefault="004C49ED" w:rsidP="00897FC1">
      <w:pPr>
        <w:pStyle w:val="BodyText"/>
        <w:spacing w:after="0"/>
      </w:pPr>
      <w:r>
        <w:lastRenderedPageBreak/>
        <w:t xml:space="preserve">Based on 2024 through 2030 rate comparisons, Sun Select participants appear to continue the history of paying more for electric service than they otherwise would, assuming the </w:t>
      </w:r>
      <w:r w:rsidR="00897FC1">
        <w:t xml:space="preserve">nominal </w:t>
      </w:r>
      <w:r>
        <w:t>fuel price projections provided by TECO.</w:t>
      </w:r>
      <w:r w:rsidR="00897FC1">
        <w:rPr>
          <w:rStyle w:val="FootnoteReference"/>
        </w:rPr>
        <w:footnoteReference w:id="13"/>
      </w:r>
      <w:r>
        <w:t xml:space="preserve"> </w:t>
      </w:r>
      <w:r w:rsidR="00BD605A">
        <w:t>Staff further notes that fuel prices are inherently volatile</w:t>
      </w:r>
      <w:proofErr w:type="gramStart"/>
      <w:r w:rsidR="00BD605A">
        <w:t xml:space="preserve">, </w:t>
      </w:r>
      <w:r w:rsidR="00557366">
        <w:t xml:space="preserve"> and</w:t>
      </w:r>
      <w:proofErr w:type="gramEnd"/>
      <w:r w:rsidR="00171244">
        <w:t xml:space="preserve"> believes it is plausible that</w:t>
      </w:r>
      <w:r w:rsidR="00BD605A">
        <w:t xml:space="preserve"> in some </w:t>
      </w:r>
      <w:r w:rsidR="00171244">
        <w:t xml:space="preserve">future </w:t>
      </w:r>
      <w:r w:rsidR="00BD605A">
        <w:t>periods Sun Select participants may pay less than the fuel factor for the volume of energy they purchase under the program.</w:t>
      </w:r>
    </w:p>
    <w:p w:rsidR="00897FC1" w:rsidRDefault="00897FC1" w:rsidP="00897FC1">
      <w:pPr>
        <w:pStyle w:val="BodyText"/>
        <w:spacing w:after="0"/>
      </w:pPr>
    </w:p>
    <w:p w:rsidR="009D5E43" w:rsidRDefault="00411457" w:rsidP="00897FC1">
      <w:pPr>
        <w:pStyle w:val="BodyText"/>
        <w:spacing w:after="0"/>
      </w:pPr>
      <w:r>
        <w:t>Additionally, as is the case</w:t>
      </w:r>
      <w:r w:rsidR="00171244">
        <w:t xml:space="preserve"> under the existing tariff</w:t>
      </w:r>
      <w:r>
        <w:t xml:space="preserve">, the </w:t>
      </w:r>
      <w:r w:rsidR="00171244">
        <w:t xml:space="preserve">proposed </w:t>
      </w:r>
      <w:r>
        <w:t>SSR-Tariff rate serves as</w:t>
      </w:r>
      <w:r w:rsidR="00CD19C3">
        <w:t xml:space="preserve"> a </w:t>
      </w:r>
      <w:r w:rsidR="00171244">
        <w:t xml:space="preserve">hedge of fuel prices. By paying a flat rate for Sun Select rather than the variable fuel factor, participants </w:t>
      </w:r>
      <w:r>
        <w:t>may perc</w:t>
      </w:r>
      <w:r w:rsidR="00CD19C3">
        <w:t>eive a benefit of the program in</w:t>
      </w:r>
      <w:r>
        <w:t xml:space="preserve"> more stable bills.</w:t>
      </w:r>
    </w:p>
    <w:p w:rsidR="00897FC1" w:rsidRDefault="00897FC1" w:rsidP="00897FC1">
      <w:pPr>
        <w:pStyle w:val="BodyText"/>
        <w:spacing w:after="0"/>
      </w:pPr>
    </w:p>
    <w:p w:rsidR="005D614A" w:rsidRPr="005D614A" w:rsidRDefault="005D614A" w:rsidP="005D614A">
      <w:pPr>
        <w:pStyle w:val="BodyText"/>
        <w:spacing w:after="0"/>
        <w:ind w:firstLine="720"/>
        <w:rPr>
          <w:rFonts w:ascii="Arial" w:hAnsi="Arial" w:cs="Arial"/>
          <w:b/>
        </w:rPr>
      </w:pPr>
      <w:r w:rsidRPr="005D614A">
        <w:rPr>
          <w:rFonts w:ascii="Arial" w:hAnsi="Arial" w:cs="Arial"/>
          <w:b/>
        </w:rPr>
        <w:t>Access and Marketing</w:t>
      </w:r>
    </w:p>
    <w:p w:rsidR="00241392" w:rsidRDefault="00E1255E" w:rsidP="005D614A">
      <w:pPr>
        <w:pStyle w:val="BodyText"/>
        <w:spacing w:after="0"/>
        <w:rPr>
          <w:rFonts w:ascii="TimesNewRomanPSMT" w:hAnsi="TimesNewRomanPSMT" w:cs="TimesNewRomanPSMT"/>
        </w:rPr>
      </w:pPr>
      <w:r>
        <w:t xml:space="preserve">Staff has identified two </w:t>
      </w:r>
      <w:r w:rsidR="005D614A">
        <w:t>areas of concern regarding customer impacts</w:t>
      </w:r>
      <w:r w:rsidR="00CD19C3">
        <w:t xml:space="preserve"> that can be addressed by staff’s recommendation, as discussed below</w:t>
      </w:r>
      <w:r w:rsidR="005D614A">
        <w:t>.</w:t>
      </w:r>
      <w:r>
        <w:t xml:space="preserve"> First, TECO’s petition does not address</w:t>
      </w:r>
      <w:r w:rsidR="0098456C">
        <w:t xml:space="preserve"> the potential for one or more rate classes to be excluded for participation at the levels they have been able to in the past.  If TECO’s proposal to reduce the rate for this optional program is approved, and fuel prices rise, staff believes </w:t>
      </w:r>
      <w:r w:rsidR="004B2F57">
        <w:t xml:space="preserve">that the residential and general service </w:t>
      </w:r>
      <w:r w:rsidR="0098456C">
        <w:t xml:space="preserve">rate classes should be in a position to participate </w:t>
      </w:r>
      <w:r w:rsidR="004B2F57">
        <w:t xml:space="preserve">in proportions somewhat similar to their level of participation </w:t>
      </w:r>
      <w:r w:rsidR="00CB7AC7">
        <w:t>to date.</w:t>
      </w:r>
      <w:r w:rsidR="00171244">
        <w:rPr>
          <w:rStyle w:val="FootnoteReference"/>
        </w:rPr>
        <w:footnoteReference w:id="14"/>
      </w:r>
      <w:r w:rsidR="0098456C">
        <w:t xml:space="preserve"> In Table </w:t>
      </w:r>
      <w:r>
        <w:t>1-</w:t>
      </w:r>
      <w:r w:rsidR="0098456C">
        <w:t xml:space="preserve">2, staff presents the level of </w:t>
      </w:r>
      <w:r w:rsidR="00BD6E80">
        <w:t xml:space="preserve">sales </w:t>
      </w:r>
      <w:r w:rsidR="0098456C">
        <w:t xml:space="preserve">participation </w:t>
      </w:r>
      <w:r w:rsidR="00CB7AC7">
        <w:t xml:space="preserve">in numbers and percent for </w:t>
      </w:r>
      <w:r w:rsidR="0098456C">
        <w:t>the applicable rate classes as of</w:t>
      </w:r>
      <w:r w:rsidR="00BD6E80">
        <w:t xml:space="preserve"> June 2023. </w:t>
      </w:r>
      <w:r w:rsidR="004B2F57">
        <w:t>The Residential C</w:t>
      </w:r>
      <w:r>
        <w:t>l</w:t>
      </w:r>
      <w:r w:rsidR="004B2F57">
        <w:t>ass has accounted for 43 percent of total sales</w:t>
      </w:r>
      <w:r>
        <w:t xml:space="preserve"> (all classes), and the General Services C</w:t>
      </w:r>
      <w:r w:rsidR="004B2F57">
        <w:t>lass has participated at a much lower rate, about 1 percent of total sales, for a total partic</w:t>
      </w:r>
      <w:r w:rsidR="00B633C1">
        <w:t>i</w:t>
      </w:r>
      <w:r w:rsidR="004B2F57">
        <w:t xml:space="preserve">pation rate between the two classes of 44 percent. </w:t>
      </w:r>
      <w:r w:rsidR="00BD6E80">
        <w:t>Staff believes T</w:t>
      </w:r>
      <w:r w:rsidR="0098456C">
        <w:rPr>
          <w:rFonts w:ascii="TimesNewRomanPSMT" w:hAnsi="TimesNewRomanPSMT" w:cs="TimesNewRomanPSMT"/>
        </w:rPr>
        <w:t xml:space="preserve">ECO should manage its </w:t>
      </w:r>
      <w:r w:rsidR="00CB7AC7">
        <w:rPr>
          <w:rFonts w:ascii="TimesNewRomanPSMT" w:hAnsi="TimesNewRomanPSMT" w:cs="TimesNewRomanPSMT"/>
        </w:rPr>
        <w:t xml:space="preserve">SSR-1 </w:t>
      </w:r>
      <w:r w:rsidR="0098456C">
        <w:rPr>
          <w:rFonts w:ascii="TimesNewRomanPSMT" w:hAnsi="TimesNewRomanPSMT" w:cs="TimesNewRomanPSMT"/>
        </w:rPr>
        <w:t>Tariff program subscriptions to ensure that the proportion of energy sales of the Residential class (RS) and General Services class (GS)</w:t>
      </w:r>
      <w:r w:rsidR="00EC15F1">
        <w:rPr>
          <w:rFonts w:ascii="TimesNewRomanPSMT" w:hAnsi="TimesNewRomanPSMT" w:cs="TimesNewRomanPSMT"/>
        </w:rPr>
        <w:t>, in the aggregate,</w:t>
      </w:r>
      <w:r w:rsidR="0098456C">
        <w:rPr>
          <w:rFonts w:ascii="TimesNewRomanPSMT" w:hAnsi="TimesNewRomanPSMT" w:cs="TimesNewRomanPSMT"/>
        </w:rPr>
        <w:t xml:space="preserve"> </w:t>
      </w:r>
      <w:r w:rsidR="004B2F57">
        <w:rPr>
          <w:rFonts w:ascii="TimesNewRomanPSMT" w:hAnsi="TimesNewRomanPSMT" w:cs="TimesNewRomanPSMT"/>
        </w:rPr>
        <w:t xml:space="preserve">to total sales </w:t>
      </w:r>
      <w:r w:rsidR="0098456C">
        <w:rPr>
          <w:rFonts w:ascii="TimesNewRomanPSMT" w:hAnsi="TimesNewRomanPSMT" w:cs="TimesNewRomanPSMT"/>
        </w:rPr>
        <w:t xml:space="preserve">are no lower than </w:t>
      </w:r>
      <w:r w:rsidR="004B2F57">
        <w:rPr>
          <w:rFonts w:ascii="TimesNewRomanPSMT" w:hAnsi="TimesNewRomanPSMT" w:cs="TimesNewRomanPSMT"/>
        </w:rPr>
        <w:t xml:space="preserve">thirty percent. </w:t>
      </w:r>
      <w:r w:rsidR="00C9602F" w:rsidRPr="00CD19C3">
        <w:rPr>
          <w:rFonts w:ascii="TimesNewRomanPSMT" w:hAnsi="TimesNewRomanPSMT" w:cs="TimesNewRomanPSMT"/>
        </w:rPr>
        <w:t xml:space="preserve">This reservation threshold will ensure </w:t>
      </w:r>
      <w:r w:rsidR="005D614A" w:rsidRPr="00CD19C3">
        <w:rPr>
          <w:rFonts w:ascii="TimesNewRomanPSMT" w:hAnsi="TimesNewRomanPSMT" w:cs="TimesNewRomanPSMT"/>
        </w:rPr>
        <w:t xml:space="preserve">the RS and GS classes have the opportunity to subscribe </w:t>
      </w:r>
      <w:r w:rsidR="00C9602F" w:rsidRPr="00CD19C3">
        <w:rPr>
          <w:rFonts w:ascii="TimesNewRomanPSMT" w:hAnsi="TimesNewRomanPSMT" w:cs="TimesNewRomanPSMT"/>
        </w:rPr>
        <w:t>to a minimum of 30 percent of sales</w:t>
      </w:r>
      <w:r w:rsidR="005D614A" w:rsidRPr="00CD19C3">
        <w:rPr>
          <w:rFonts w:ascii="TimesNewRomanPSMT" w:hAnsi="TimesNewRomanPSMT" w:cs="TimesNewRomanPSMT"/>
        </w:rPr>
        <w:t>.</w:t>
      </w:r>
      <w:r w:rsidR="00961A98">
        <w:rPr>
          <w:rFonts w:ascii="TimesNewRomanPSMT" w:hAnsi="TimesNewRomanPSMT" w:cs="TimesNewRomanPSMT"/>
        </w:rPr>
        <w:t xml:space="preserve"> </w:t>
      </w:r>
      <w:r w:rsidR="005D614A">
        <w:rPr>
          <w:rFonts w:ascii="TimesNewRomanPSMT" w:hAnsi="TimesNewRomanPSMT" w:cs="TimesNewRomanPSMT"/>
        </w:rPr>
        <w:t xml:space="preserve"> </w:t>
      </w:r>
      <w:r w:rsidR="004B2F57">
        <w:rPr>
          <w:rFonts w:ascii="TimesNewRomanPSMT" w:hAnsi="TimesNewRomanPSMT" w:cs="TimesNewRomanPSMT"/>
        </w:rPr>
        <w:t xml:space="preserve">Staff notes that </w:t>
      </w:r>
      <w:r w:rsidR="00CB7AC7">
        <w:rPr>
          <w:rFonts w:ascii="TimesNewRomanPSMT" w:hAnsi="TimesNewRomanPSMT" w:cs="TimesNewRomanPSMT"/>
        </w:rPr>
        <w:t>the current tariff language supports subscription management</w:t>
      </w:r>
      <w:r w:rsidR="004B2F57">
        <w:rPr>
          <w:rFonts w:ascii="TimesNewRomanPSMT" w:hAnsi="TimesNewRomanPSMT" w:cs="TimesNewRomanPSMT"/>
        </w:rPr>
        <w:t xml:space="preserve"> by the utility</w:t>
      </w:r>
      <w:r w:rsidR="0098456C">
        <w:rPr>
          <w:rFonts w:ascii="TimesNewRomanPSMT" w:hAnsi="TimesNewRomanPSMT" w:cs="TimesNewRomanPSMT"/>
        </w:rPr>
        <w:t>.</w:t>
      </w:r>
    </w:p>
    <w:p w:rsidR="00BD5FBA" w:rsidRDefault="00BD5FBA" w:rsidP="005D614A">
      <w:pPr>
        <w:pStyle w:val="BodyText"/>
        <w:spacing w:after="0"/>
        <w:rPr>
          <w:rFonts w:ascii="TimesNewRomanPSMT" w:hAnsi="TimesNewRomanPSMT" w:cs="TimesNewRomanPSMT"/>
        </w:rPr>
      </w:pPr>
    </w:p>
    <w:p w:rsidR="008453CC" w:rsidRDefault="008453CC" w:rsidP="008453CC">
      <w:pPr>
        <w:pStyle w:val="BodyText"/>
        <w:spacing w:after="0"/>
        <w:jc w:val="center"/>
        <w:rPr>
          <w:rFonts w:ascii="Arial" w:hAnsi="Arial" w:cs="Arial"/>
          <w:b/>
        </w:rPr>
      </w:pPr>
      <w:r>
        <w:rPr>
          <w:rFonts w:ascii="Arial" w:hAnsi="Arial" w:cs="Arial"/>
          <w:b/>
        </w:rPr>
        <w:t>Table 1-2</w:t>
      </w:r>
    </w:p>
    <w:p w:rsidR="00BD605A" w:rsidRPr="00DF718F" w:rsidRDefault="00C9602F" w:rsidP="008453CC">
      <w:pPr>
        <w:pStyle w:val="BodyText"/>
        <w:spacing w:after="0"/>
        <w:jc w:val="center"/>
        <w:rPr>
          <w:rFonts w:ascii="Arial" w:hAnsi="Arial" w:cs="Arial"/>
          <w:b/>
        </w:rPr>
      </w:pPr>
      <w:r w:rsidRPr="00CD19C3">
        <w:rPr>
          <w:rFonts w:ascii="Arial" w:hAnsi="Arial" w:cs="Arial"/>
          <w:b/>
        </w:rPr>
        <w:t xml:space="preserve">SSR-1 Tariff </w:t>
      </w:r>
      <w:r w:rsidR="00DF718F" w:rsidRPr="00CD19C3">
        <w:rPr>
          <w:rFonts w:ascii="Arial" w:hAnsi="Arial" w:cs="Arial"/>
          <w:b/>
        </w:rPr>
        <w:t>Participation</w:t>
      </w:r>
      <w:r w:rsidR="005D614A" w:rsidRPr="00CD19C3">
        <w:rPr>
          <w:rFonts w:ascii="Arial" w:hAnsi="Arial" w:cs="Arial"/>
          <w:b/>
        </w:rPr>
        <w:t xml:space="preserve"> </w:t>
      </w:r>
      <w:r w:rsidRPr="00CD19C3">
        <w:rPr>
          <w:rFonts w:ascii="Arial" w:hAnsi="Arial" w:cs="Arial"/>
          <w:b/>
        </w:rPr>
        <w:t>by Rate Class</w:t>
      </w:r>
      <w:r w:rsidR="005D614A">
        <w:rPr>
          <w:rFonts w:ascii="Arial" w:hAnsi="Arial" w:cs="Arial"/>
          <w:b/>
        </w:rPr>
        <w:t xml:space="preserve"> (June 2023)</w:t>
      </w:r>
    </w:p>
    <w:tbl>
      <w:tblPr>
        <w:tblStyle w:val="TableGrid"/>
        <w:tblW w:w="9402" w:type="dxa"/>
        <w:jc w:val="center"/>
        <w:tblLook w:val="04A0" w:firstRow="1" w:lastRow="0" w:firstColumn="1" w:lastColumn="0" w:noHBand="0" w:noVBand="1"/>
      </w:tblPr>
      <w:tblGrid>
        <w:gridCol w:w="1740"/>
        <w:gridCol w:w="1915"/>
        <w:gridCol w:w="1915"/>
        <w:gridCol w:w="1916"/>
        <w:gridCol w:w="1916"/>
      </w:tblGrid>
      <w:tr w:rsidR="00705592" w:rsidTr="005D614A">
        <w:trPr>
          <w:trHeight w:val="521"/>
          <w:jc w:val="center"/>
        </w:trPr>
        <w:tc>
          <w:tcPr>
            <w:tcW w:w="1740" w:type="dxa"/>
            <w:vAlign w:val="center"/>
          </w:tcPr>
          <w:p w:rsidR="00705592" w:rsidRDefault="00705592" w:rsidP="00082538">
            <w:pPr>
              <w:pStyle w:val="BodyText"/>
              <w:spacing w:after="0"/>
              <w:jc w:val="center"/>
              <w:rPr>
                <w:rFonts w:ascii="TimesNewRomanPSMT" w:hAnsi="TimesNewRomanPSMT" w:cs="TimesNewRomanPSMT"/>
              </w:rPr>
            </w:pPr>
            <w:r>
              <w:rPr>
                <w:rFonts w:ascii="TimesNewRomanPSMT" w:hAnsi="TimesNewRomanPSMT" w:cs="TimesNewRomanPSMT"/>
              </w:rPr>
              <w:t>Usage</w:t>
            </w:r>
          </w:p>
        </w:tc>
        <w:tc>
          <w:tcPr>
            <w:tcW w:w="1915" w:type="dxa"/>
            <w:vAlign w:val="center"/>
          </w:tcPr>
          <w:p w:rsidR="00705592" w:rsidRDefault="00705592" w:rsidP="00082538">
            <w:pPr>
              <w:pStyle w:val="BodyText"/>
              <w:spacing w:after="0"/>
              <w:jc w:val="center"/>
              <w:rPr>
                <w:rFonts w:ascii="TimesNewRomanPSMT" w:hAnsi="TimesNewRomanPSMT" w:cs="TimesNewRomanPSMT"/>
              </w:rPr>
            </w:pPr>
            <w:r>
              <w:rPr>
                <w:rFonts w:ascii="TimesNewRomanPSMT" w:hAnsi="TimesNewRomanPSMT" w:cs="TimesNewRomanPSMT"/>
              </w:rPr>
              <w:t>Residential</w:t>
            </w:r>
          </w:p>
        </w:tc>
        <w:tc>
          <w:tcPr>
            <w:tcW w:w="1915" w:type="dxa"/>
            <w:vAlign w:val="center"/>
          </w:tcPr>
          <w:p w:rsidR="00705592" w:rsidRDefault="00705592" w:rsidP="00082538">
            <w:pPr>
              <w:pStyle w:val="BodyText"/>
              <w:spacing w:after="0"/>
              <w:jc w:val="center"/>
              <w:rPr>
                <w:rFonts w:ascii="TimesNewRomanPSMT" w:hAnsi="TimesNewRomanPSMT" w:cs="TimesNewRomanPSMT"/>
              </w:rPr>
            </w:pPr>
            <w:r>
              <w:rPr>
                <w:rFonts w:ascii="TimesNewRomanPSMT" w:hAnsi="TimesNewRomanPSMT" w:cs="TimesNewRomanPSMT"/>
              </w:rPr>
              <w:t>Small Commercial</w:t>
            </w:r>
          </w:p>
        </w:tc>
        <w:tc>
          <w:tcPr>
            <w:tcW w:w="1916" w:type="dxa"/>
            <w:vAlign w:val="center"/>
          </w:tcPr>
          <w:p w:rsidR="00705592" w:rsidRDefault="00705592" w:rsidP="00082538">
            <w:pPr>
              <w:pStyle w:val="BodyText"/>
              <w:spacing w:after="0"/>
              <w:jc w:val="center"/>
              <w:rPr>
                <w:rFonts w:ascii="TimesNewRomanPSMT" w:hAnsi="TimesNewRomanPSMT" w:cs="TimesNewRomanPSMT"/>
              </w:rPr>
            </w:pPr>
            <w:r>
              <w:rPr>
                <w:rFonts w:ascii="TimesNewRomanPSMT" w:hAnsi="TimesNewRomanPSMT" w:cs="TimesNewRomanPSMT"/>
              </w:rPr>
              <w:t>Commercial and Industrial</w:t>
            </w:r>
          </w:p>
        </w:tc>
        <w:tc>
          <w:tcPr>
            <w:tcW w:w="1916" w:type="dxa"/>
            <w:vAlign w:val="center"/>
          </w:tcPr>
          <w:p w:rsidR="00705592" w:rsidRDefault="00705592" w:rsidP="00082538">
            <w:pPr>
              <w:pStyle w:val="BodyText"/>
              <w:spacing w:after="0"/>
              <w:jc w:val="center"/>
              <w:rPr>
                <w:rFonts w:ascii="TimesNewRomanPSMT" w:hAnsi="TimesNewRomanPSMT" w:cs="TimesNewRomanPSMT"/>
              </w:rPr>
            </w:pPr>
            <w:r>
              <w:rPr>
                <w:rFonts w:ascii="TimesNewRomanPSMT" w:hAnsi="TimesNewRomanPSMT" w:cs="TimesNewRomanPSMT"/>
              </w:rPr>
              <w:t>Total</w:t>
            </w:r>
          </w:p>
        </w:tc>
      </w:tr>
      <w:tr w:rsidR="00705592" w:rsidTr="0033532D">
        <w:trPr>
          <w:jc w:val="center"/>
        </w:trPr>
        <w:tc>
          <w:tcPr>
            <w:tcW w:w="1740" w:type="dxa"/>
            <w:vAlign w:val="center"/>
          </w:tcPr>
          <w:p w:rsidR="00705592" w:rsidRDefault="00705592" w:rsidP="00082538">
            <w:pPr>
              <w:pStyle w:val="BodyText"/>
              <w:spacing w:after="0"/>
              <w:jc w:val="center"/>
              <w:rPr>
                <w:rFonts w:ascii="TimesNewRomanPSMT" w:hAnsi="TimesNewRomanPSMT" w:cs="TimesNewRomanPSMT"/>
              </w:rPr>
            </w:pPr>
            <w:r>
              <w:rPr>
                <w:rFonts w:ascii="TimesNewRomanPSMT" w:hAnsi="TimesNewRomanPSMT" w:cs="TimesNewRomanPSMT"/>
              </w:rPr>
              <w:t>MW</w:t>
            </w:r>
          </w:p>
        </w:tc>
        <w:tc>
          <w:tcPr>
            <w:tcW w:w="1915" w:type="dxa"/>
            <w:vAlign w:val="center"/>
          </w:tcPr>
          <w:p w:rsidR="00705592" w:rsidRDefault="00705592" w:rsidP="00082538">
            <w:pPr>
              <w:pStyle w:val="BodyText"/>
              <w:spacing w:after="0"/>
              <w:jc w:val="center"/>
              <w:rPr>
                <w:rFonts w:ascii="TimesNewRomanPSMT" w:hAnsi="TimesNewRomanPSMT" w:cs="TimesNewRomanPSMT"/>
              </w:rPr>
            </w:pPr>
            <w:r>
              <w:rPr>
                <w:rFonts w:ascii="TimesNewRomanPSMT" w:hAnsi="TimesNewRomanPSMT" w:cs="TimesNewRomanPSMT"/>
              </w:rPr>
              <w:t>4.96</w:t>
            </w:r>
          </w:p>
        </w:tc>
        <w:tc>
          <w:tcPr>
            <w:tcW w:w="1915" w:type="dxa"/>
            <w:vAlign w:val="center"/>
          </w:tcPr>
          <w:p w:rsidR="00705592" w:rsidRDefault="00705592" w:rsidP="00082538">
            <w:pPr>
              <w:pStyle w:val="BodyText"/>
              <w:spacing w:after="0"/>
              <w:jc w:val="center"/>
              <w:rPr>
                <w:rFonts w:ascii="TimesNewRomanPSMT" w:hAnsi="TimesNewRomanPSMT" w:cs="TimesNewRomanPSMT"/>
              </w:rPr>
            </w:pPr>
            <w:r>
              <w:rPr>
                <w:rFonts w:ascii="TimesNewRomanPSMT" w:hAnsi="TimesNewRomanPSMT" w:cs="TimesNewRomanPSMT"/>
              </w:rPr>
              <w:t>0.11</w:t>
            </w:r>
          </w:p>
        </w:tc>
        <w:tc>
          <w:tcPr>
            <w:tcW w:w="1916" w:type="dxa"/>
            <w:vAlign w:val="center"/>
          </w:tcPr>
          <w:p w:rsidR="00705592" w:rsidRDefault="00705592" w:rsidP="00082538">
            <w:pPr>
              <w:pStyle w:val="BodyText"/>
              <w:spacing w:after="0"/>
              <w:jc w:val="center"/>
              <w:rPr>
                <w:rFonts w:ascii="TimesNewRomanPSMT" w:hAnsi="TimesNewRomanPSMT" w:cs="TimesNewRomanPSMT"/>
              </w:rPr>
            </w:pPr>
            <w:r>
              <w:rPr>
                <w:rFonts w:ascii="TimesNewRomanPSMT" w:hAnsi="TimesNewRomanPSMT" w:cs="TimesNewRomanPSMT"/>
              </w:rPr>
              <w:t>6.73</w:t>
            </w:r>
          </w:p>
        </w:tc>
        <w:tc>
          <w:tcPr>
            <w:tcW w:w="1916" w:type="dxa"/>
            <w:vAlign w:val="center"/>
          </w:tcPr>
          <w:p w:rsidR="00705592" w:rsidRDefault="00705592" w:rsidP="00082538">
            <w:pPr>
              <w:pStyle w:val="BodyText"/>
              <w:spacing w:after="0"/>
              <w:jc w:val="center"/>
              <w:rPr>
                <w:rFonts w:ascii="TimesNewRomanPSMT" w:hAnsi="TimesNewRomanPSMT" w:cs="TimesNewRomanPSMT"/>
              </w:rPr>
            </w:pPr>
            <w:r>
              <w:rPr>
                <w:rFonts w:ascii="TimesNewRomanPSMT" w:hAnsi="TimesNewRomanPSMT" w:cs="TimesNewRomanPSMT"/>
              </w:rPr>
              <w:t>11.8</w:t>
            </w:r>
          </w:p>
        </w:tc>
      </w:tr>
      <w:tr w:rsidR="00705592" w:rsidTr="0033532D">
        <w:trPr>
          <w:jc w:val="center"/>
        </w:trPr>
        <w:tc>
          <w:tcPr>
            <w:tcW w:w="1740" w:type="dxa"/>
            <w:vAlign w:val="center"/>
          </w:tcPr>
          <w:p w:rsidR="00705592" w:rsidRDefault="00705592" w:rsidP="00082538">
            <w:pPr>
              <w:pStyle w:val="BodyText"/>
              <w:spacing w:after="0"/>
              <w:jc w:val="center"/>
              <w:rPr>
                <w:rFonts w:ascii="TimesNewRomanPSMT" w:hAnsi="TimesNewRomanPSMT" w:cs="TimesNewRomanPSMT"/>
              </w:rPr>
            </w:pPr>
            <w:r>
              <w:rPr>
                <w:rFonts w:ascii="TimesNewRomanPSMT" w:hAnsi="TimesNewRomanPSMT" w:cs="TimesNewRomanPSMT"/>
              </w:rPr>
              <w:t>kWh</w:t>
            </w:r>
          </w:p>
        </w:tc>
        <w:tc>
          <w:tcPr>
            <w:tcW w:w="1915" w:type="dxa"/>
            <w:vAlign w:val="center"/>
          </w:tcPr>
          <w:p w:rsidR="00705592" w:rsidRDefault="00705592" w:rsidP="00082538">
            <w:pPr>
              <w:pStyle w:val="BodyText"/>
              <w:spacing w:after="0"/>
              <w:jc w:val="center"/>
              <w:rPr>
                <w:rFonts w:ascii="TimesNewRomanPSMT" w:hAnsi="TimesNewRomanPSMT" w:cs="TimesNewRomanPSMT"/>
              </w:rPr>
            </w:pPr>
            <w:r>
              <w:rPr>
                <w:rFonts w:ascii="TimesNewRomanPSMT" w:hAnsi="TimesNewRomanPSMT" w:cs="TimesNewRomanPSMT"/>
              </w:rPr>
              <w:t>11,524,305</w:t>
            </w:r>
          </w:p>
        </w:tc>
        <w:tc>
          <w:tcPr>
            <w:tcW w:w="1915" w:type="dxa"/>
            <w:vAlign w:val="center"/>
          </w:tcPr>
          <w:p w:rsidR="00705592" w:rsidRDefault="00705592" w:rsidP="00082538">
            <w:pPr>
              <w:pStyle w:val="BodyText"/>
              <w:spacing w:after="0"/>
              <w:jc w:val="center"/>
              <w:rPr>
                <w:rFonts w:ascii="TimesNewRomanPSMT" w:hAnsi="TimesNewRomanPSMT" w:cs="TimesNewRomanPSMT"/>
              </w:rPr>
            </w:pPr>
            <w:r>
              <w:rPr>
                <w:rFonts w:ascii="TimesNewRomanPSMT" w:hAnsi="TimesNewRomanPSMT" w:cs="TimesNewRomanPSMT"/>
              </w:rPr>
              <w:t>308,985</w:t>
            </w:r>
          </w:p>
        </w:tc>
        <w:tc>
          <w:tcPr>
            <w:tcW w:w="1916" w:type="dxa"/>
            <w:vAlign w:val="center"/>
          </w:tcPr>
          <w:p w:rsidR="00705592" w:rsidRDefault="00705592" w:rsidP="00082538">
            <w:pPr>
              <w:pStyle w:val="BodyText"/>
              <w:spacing w:after="0"/>
              <w:jc w:val="center"/>
              <w:rPr>
                <w:rFonts w:ascii="TimesNewRomanPSMT" w:hAnsi="TimesNewRomanPSMT" w:cs="TimesNewRomanPSMT"/>
              </w:rPr>
            </w:pPr>
            <w:r>
              <w:rPr>
                <w:rFonts w:ascii="TimesNewRomanPSMT" w:hAnsi="TimesNewRomanPSMT" w:cs="TimesNewRomanPSMT"/>
              </w:rPr>
              <w:t>14,855,328</w:t>
            </w:r>
          </w:p>
        </w:tc>
        <w:tc>
          <w:tcPr>
            <w:tcW w:w="1916" w:type="dxa"/>
            <w:vAlign w:val="center"/>
          </w:tcPr>
          <w:p w:rsidR="00705592" w:rsidRDefault="00705592" w:rsidP="00082538">
            <w:pPr>
              <w:pStyle w:val="BodyText"/>
              <w:spacing w:after="0"/>
              <w:jc w:val="center"/>
              <w:rPr>
                <w:rFonts w:ascii="TimesNewRomanPSMT" w:hAnsi="TimesNewRomanPSMT" w:cs="TimesNewRomanPSMT"/>
              </w:rPr>
            </w:pPr>
            <w:r>
              <w:rPr>
                <w:rFonts w:ascii="TimesNewRomanPSMT" w:hAnsi="TimesNewRomanPSMT" w:cs="TimesNewRomanPSMT"/>
              </w:rPr>
              <w:t>26,688,618</w:t>
            </w:r>
          </w:p>
        </w:tc>
      </w:tr>
      <w:tr w:rsidR="00705592" w:rsidTr="0033532D">
        <w:trPr>
          <w:jc w:val="center"/>
        </w:trPr>
        <w:tc>
          <w:tcPr>
            <w:tcW w:w="1740" w:type="dxa"/>
            <w:vAlign w:val="center"/>
          </w:tcPr>
          <w:p w:rsidR="00705592" w:rsidRDefault="00705592" w:rsidP="00082538">
            <w:pPr>
              <w:pStyle w:val="BodyText"/>
              <w:spacing w:after="0"/>
              <w:jc w:val="center"/>
              <w:rPr>
                <w:rFonts w:ascii="TimesNewRomanPSMT" w:hAnsi="TimesNewRomanPSMT" w:cs="TimesNewRomanPSMT"/>
              </w:rPr>
            </w:pPr>
            <w:r>
              <w:rPr>
                <w:rFonts w:ascii="TimesNewRomanPSMT" w:hAnsi="TimesNewRomanPSMT" w:cs="TimesNewRomanPSMT"/>
              </w:rPr>
              <w:t>Percent (%)</w:t>
            </w:r>
          </w:p>
        </w:tc>
        <w:tc>
          <w:tcPr>
            <w:tcW w:w="1915" w:type="dxa"/>
            <w:vAlign w:val="center"/>
          </w:tcPr>
          <w:p w:rsidR="00705592" w:rsidRDefault="00705592" w:rsidP="00082538">
            <w:pPr>
              <w:pStyle w:val="BodyText"/>
              <w:spacing w:after="0"/>
              <w:jc w:val="center"/>
              <w:rPr>
                <w:rFonts w:ascii="TimesNewRomanPSMT" w:hAnsi="TimesNewRomanPSMT" w:cs="TimesNewRomanPSMT"/>
              </w:rPr>
            </w:pPr>
            <w:r>
              <w:rPr>
                <w:rFonts w:ascii="TimesNewRomanPSMT" w:hAnsi="TimesNewRomanPSMT" w:cs="TimesNewRomanPSMT"/>
              </w:rPr>
              <w:t>43.18</w:t>
            </w:r>
          </w:p>
        </w:tc>
        <w:tc>
          <w:tcPr>
            <w:tcW w:w="1915" w:type="dxa"/>
            <w:vAlign w:val="center"/>
          </w:tcPr>
          <w:p w:rsidR="00705592" w:rsidRDefault="00705592" w:rsidP="00082538">
            <w:pPr>
              <w:pStyle w:val="BodyText"/>
              <w:spacing w:after="0"/>
              <w:jc w:val="center"/>
              <w:rPr>
                <w:rFonts w:ascii="TimesNewRomanPSMT" w:hAnsi="TimesNewRomanPSMT" w:cs="TimesNewRomanPSMT"/>
              </w:rPr>
            </w:pPr>
            <w:r>
              <w:rPr>
                <w:rFonts w:ascii="TimesNewRomanPSMT" w:hAnsi="TimesNewRomanPSMT" w:cs="TimesNewRomanPSMT"/>
              </w:rPr>
              <w:t>0.93</w:t>
            </w:r>
          </w:p>
        </w:tc>
        <w:tc>
          <w:tcPr>
            <w:tcW w:w="1916" w:type="dxa"/>
            <w:vAlign w:val="center"/>
          </w:tcPr>
          <w:p w:rsidR="00705592" w:rsidRDefault="00705592" w:rsidP="00082538">
            <w:pPr>
              <w:pStyle w:val="BodyText"/>
              <w:spacing w:after="0"/>
              <w:jc w:val="center"/>
              <w:rPr>
                <w:rFonts w:ascii="TimesNewRomanPSMT" w:hAnsi="TimesNewRomanPSMT" w:cs="TimesNewRomanPSMT"/>
              </w:rPr>
            </w:pPr>
            <w:r>
              <w:rPr>
                <w:rFonts w:ascii="TimesNewRomanPSMT" w:hAnsi="TimesNewRomanPSMT" w:cs="TimesNewRomanPSMT"/>
              </w:rPr>
              <w:t>55.66</w:t>
            </w:r>
          </w:p>
        </w:tc>
        <w:tc>
          <w:tcPr>
            <w:tcW w:w="1916" w:type="dxa"/>
            <w:vAlign w:val="center"/>
          </w:tcPr>
          <w:p w:rsidR="00705592" w:rsidRDefault="00705592" w:rsidP="00082538">
            <w:pPr>
              <w:pStyle w:val="BodyText"/>
              <w:spacing w:after="0"/>
              <w:jc w:val="center"/>
              <w:rPr>
                <w:rFonts w:ascii="TimesNewRomanPSMT" w:hAnsi="TimesNewRomanPSMT" w:cs="TimesNewRomanPSMT"/>
              </w:rPr>
            </w:pPr>
            <w:r>
              <w:rPr>
                <w:rFonts w:ascii="TimesNewRomanPSMT" w:hAnsi="TimesNewRomanPSMT" w:cs="TimesNewRomanPSMT"/>
              </w:rPr>
              <w:t>100</w:t>
            </w:r>
          </w:p>
        </w:tc>
      </w:tr>
    </w:tbl>
    <w:p w:rsidR="00DF718F" w:rsidRPr="00241392" w:rsidRDefault="00DF718F" w:rsidP="00DF718F">
      <w:pPr>
        <w:pStyle w:val="BodyText"/>
        <w:jc w:val="left"/>
        <w:rPr>
          <w:rFonts w:ascii="TimesNewRomanPSMT" w:hAnsi="TimesNewRomanPSMT" w:cs="TimesNewRomanPSMT"/>
          <w:sz w:val="20"/>
          <w:szCs w:val="20"/>
        </w:rPr>
      </w:pPr>
      <w:r w:rsidRPr="00241392">
        <w:rPr>
          <w:rFonts w:ascii="TimesNewRomanPSMT" w:hAnsi="TimesNewRomanPSMT" w:cs="TimesNewRomanPSMT"/>
          <w:sz w:val="20"/>
          <w:szCs w:val="20"/>
        </w:rPr>
        <w:t>Source:</w:t>
      </w:r>
      <w:r w:rsidR="00241392" w:rsidRPr="00241392">
        <w:rPr>
          <w:rFonts w:ascii="TimesNewRomanPSMT" w:hAnsi="TimesNewRomanPSMT" w:cs="TimesNewRomanPSMT"/>
          <w:sz w:val="20"/>
          <w:szCs w:val="20"/>
        </w:rPr>
        <w:t xml:space="preserve"> TECO’s Response to Staff’s 1</w:t>
      </w:r>
      <w:r w:rsidR="00241392" w:rsidRPr="00241392">
        <w:rPr>
          <w:rFonts w:ascii="TimesNewRomanPSMT" w:hAnsi="TimesNewRomanPSMT" w:cs="TimesNewRomanPSMT"/>
          <w:sz w:val="20"/>
          <w:szCs w:val="20"/>
          <w:vertAlign w:val="superscript"/>
        </w:rPr>
        <w:t>st</w:t>
      </w:r>
      <w:r w:rsidR="008453CC">
        <w:rPr>
          <w:rFonts w:ascii="TimesNewRomanPSMT" w:hAnsi="TimesNewRomanPSMT" w:cs="TimesNewRomanPSMT"/>
          <w:sz w:val="20"/>
          <w:szCs w:val="20"/>
        </w:rPr>
        <w:t xml:space="preserve"> Data Request, FPSC Document No. 04715-2023.</w:t>
      </w:r>
    </w:p>
    <w:p w:rsidR="00BD605A" w:rsidRDefault="00E1255E" w:rsidP="00C839A7">
      <w:pPr>
        <w:pStyle w:val="BodyText"/>
        <w:rPr>
          <w:rFonts w:ascii="TimesNewRomanPSMT" w:hAnsi="TimesNewRomanPSMT" w:cs="TimesNewRomanPSMT"/>
        </w:rPr>
      </w:pPr>
      <w:r>
        <w:rPr>
          <w:rFonts w:ascii="TimesNewRomanPSMT" w:hAnsi="TimesNewRomanPSMT" w:cs="TimesNewRomanPSMT"/>
        </w:rPr>
        <w:t>Second, if</w:t>
      </w:r>
      <w:r w:rsidR="00DC6D3A">
        <w:rPr>
          <w:rFonts w:ascii="TimesNewRomanPSMT" w:hAnsi="TimesNewRomanPSMT" w:cs="TimesNewRomanPSMT"/>
        </w:rPr>
        <w:t xml:space="preserve"> the proposed SSR-1 Tariff is approved, staff believes TECO should </w:t>
      </w:r>
      <w:r w:rsidR="0015396B">
        <w:rPr>
          <w:rFonts w:ascii="TimesNewRomanPSMT" w:hAnsi="TimesNewRomanPSMT" w:cs="TimesNewRomanPSMT"/>
        </w:rPr>
        <w:t>carefully review all</w:t>
      </w:r>
      <w:r w:rsidR="00DC6D3A">
        <w:rPr>
          <w:rFonts w:ascii="TimesNewRomanPSMT" w:hAnsi="TimesNewRomanPSMT" w:cs="TimesNewRomanPSMT"/>
        </w:rPr>
        <w:t xml:space="preserve"> marketing efforts and materials to ensure that they contain no claim or implication that </w:t>
      </w:r>
      <w:r w:rsidR="0015396B">
        <w:rPr>
          <w:rFonts w:ascii="TimesNewRomanPSMT" w:hAnsi="TimesNewRomanPSMT" w:cs="TimesNewRomanPSMT"/>
        </w:rPr>
        <w:t xml:space="preserve">Sun Select </w:t>
      </w:r>
      <w:r w:rsidR="00DC6D3A">
        <w:rPr>
          <w:rFonts w:ascii="TimesNewRomanPSMT" w:hAnsi="TimesNewRomanPSMT" w:cs="TimesNewRomanPSMT"/>
        </w:rPr>
        <w:t xml:space="preserve">program revenues </w:t>
      </w:r>
      <w:r w:rsidR="0015396B">
        <w:rPr>
          <w:rFonts w:ascii="TimesNewRomanPSMT" w:hAnsi="TimesNewRomanPSMT" w:cs="TimesNewRomanPSMT"/>
        </w:rPr>
        <w:t xml:space="preserve">are </w:t>
      </w:r>
      <w:r w:rsidR="00DC6D3A">
        <w:rPr>
          <w:rFonts w:ascii="TimesNewRomanPSMT" w:hAnsi="TimesNewRomanPSMT" w:cs="TimesNewRomanPSMT"/>
        </w:rPr>
        <w:t>earmarked for constructing new solar resources. In corresponding with staff, the utility emphasized that no new solar construction is planned.</w:t>
      </w:r>
    </w:p>
    <w:p w:rsidR="00BD5FBA" w:rsidRDefault="00BD5FBA" w:rsidP="00C839A7">
      <w:pPr>
        <w:pStyle w:val="BodyText"/>
        <w:rPr>
          <w:rFonts w:ascii="TimesNewRomanPSMT" w:hAnsi="TimesNewRomanPSMT" w:cs="TimesNewRomanPSMT"/>
        </w:rPr>
      </w:pPr>
    </w:p>
    <w:p w:rsidR="004F0BF6" w:rsidRPr="001554CA" w:rsidRDefault="004F0BF6" w:rsidP="00372681">
      <w:pPr>
        <w:pStyle w:val="BodyText"/>
        <w:spacing w:after="0"/>
        <w:rPr>
          <w:rFonts w:ascii="Arial" w:hAnsi="Arial" w:cs="Arial"/>
          <w:b/>
          <w:i/>
        </w:rPr>
      </w:pPr>
      <w:r w:rsidRPr="001554CA">
        <w:rPr>
          <w:rFonts w:ascii="Arial" w:hAnsi="Arial" w:cs="Arial"/>
          <w:b/>
          <w:i/>
        </w:rPr>
        <w:lastRenderedPageBreak/>
        <w:t>SSR-1 Tariff Impacts, Non-Participant Customers</w:t>
      </w:r>
    </w:p>
    <w:p w:rsidR="00BF74A6" w:rsidRDefault="00BF74A6" w:rsidP="00372681">
      <w:pPr>
        <w:pStyle w:val="BodyText"/>
        <w:spacing w:after="0"/>
      </w:pPr>
      <w:r>
        <w:t>TECO reports that increasing pr</w:t>
      </w:r>
      <w:r w:rsidR="00372681">
        <w:t>ogram participation in the SSR-1</w:t>
      </w:r>
      <w:r>
        <w:t xml:space="preserve"> program to 3</w:t>
      </w:r>
      <w:r w:rsidR="00344A57">
        <w:t>0 MW will have no effect on base</w:t>
      </w:r>
      <w:r>
        <w:t xml:space="preserve"> rates, fuel, or oth</w:t>
      </w:r>
      <w:r w:rsidR="00344A57">
        <w:t>er charges to non-participants</w:t>
      </w:r>
      <w:r w:rsidR="000431F6">
        <w:t xml:space="preserve"> in 2024</w:t>
      </w:r>
      <w:r w:rsidR="00344A57">
        <w:t>.</w:t>
      </w:r>
      <w:r>
        <w:t xml:space="preserve"> </w:t>
      </w:r>
    </w:p>
    <w:p w:rsidR="008453CC" w:rsidRDefault="008453CC" w:rsidP="008453CC">
      <w:pPr>
        <w:pStyle w:val="BodyText"/>
        <w:spacing w:after="0"/>
      </w:pPr>
    </w:p>
    <w:p w:rsidR="00420398" w:rsidRDefault="00372681" w:rsidP="008453CC">
      <w:pPr>
        <w:pStyle w:val="BodyText"/>
        <w:spacing w:after="0"/>
      </w:pPr>
      <w:r>
        <w:t>Staff’s pri</w:t>
      </w:r>
      <w:r w:rsidR="00171244">
        <w:t>mary concern related to non-participan</w:t>
      </w:r>
      <w:r w:rsidR="00E1255E">
        <w:t>t impacts is the potential for F</w:t>
      </w:r>
      <w:r w:rsidR="00171244">
        <w:t xml:space="preserve">uel </w:t>
      </w:r>
      <w:r w:rsidR="00E1255E">
        <w:t>Clause factor</w:t>
      </w:r>
      <w:r w:rsidR="00171244">
        <w:t xml:space="preserve"> increases.</w:t>
      </w:r>
      <w:r w:rsidR="007F0FD8">
        <w:t xml:space="preserve"> </w:t>
      </w:r>
      <w:r w:rsidR="00D30DA2">
        <w:t>If the utility’s proposal is approved, staff believes participation and revenues derived from this program</w:t>
      </w:r>
      <w:r w:rsidR="00FF521B">
        <w:t>,</w:t>
      </w:r>
      <w:r w:rsidR="00D30DA2">
        <w:t xml:space="preserve"> </w:t>
      </w:r>
      <w:r w:rsidR="00DC6D3A">
        <w:t>based on the attractive lower rate and higher program capacity</w:t>
      </w:r>
      <w:r w:rsidR="00FF521B">
        <w:t>,</w:t>
      </w:r>
      <w:r w:rsidR="00DC6D3A">
        <w:t xml:space="preserve"> </w:t>
      </w:r>
      <w:r w:rsidR="00D30DA2">
        <w:t xml:space="preserve">will </w:t>
      </w:r>
      <w:r w:rsidR="007F0FD8">
        <w:t>likely both increase</w:t>
      </w:r>
      <w:r w:rsidR="00944BFF">
        <w:t>.</w:t>
      </w:r>
      <w:r w:rsidR="007F0FD8">
        <w:t xml:space="preserve"> Concurrently, fuel clause collections would decrease</w:t>
      </w:r>
      <w:r w:rsidR="00AD096E">
        <w:t xml:space="preserve"> </w:t>
      </w:r>
      <w:r w:rsidR="007F0FD8">
        <w:t xml:space="preserve">as more customers avoid the fuel clause factor on their bills.  </w:t>
      </w:r>
      <w:r w:rsidR="00944BFF">
        <w:t>Such decreases in fuel revenue c</w:t>
      </w:r>
      <w:r w:rsidR="00AD096E">
        <w:t xml:space="preserve">ould impose an added burden on the other customers that continue to pay </w:t>
      </w:r>
      <w:r w:rsidR="004034A9">
        <w:t>f</w:t>
      </w:r>
      <w:r w:rsidR="00AD096E">
        <w:t xml:space="preserve">uel </w:t>
      </w:r>
      <w:r w:rsidR="004034A9">
        <w:t>c</w:t>
      </w:r>
      <w:r w:rsidR="00AD096E">
        <w:t>lause charges</w:t>
      </w:r>
      <w:r w:rsidR="00944BFF">
        <w:t xml:space="preserve"> at a potentially higher rate</w:t>
      </w:r>
      <w:r w:rsidR="00AD096E">
        <w:t>.</w:t>
      </w:r>
      <w:r w:rsidR="00C30659">
        <w:t xml:space="preserve"> </w:t>
      </w:r>
      <w:r w:rsidR="000431F6">
        <w:t xml:space="preserve">While previously the Sun Select program offered additional solar generation that offset fuel and capacity prices, the proposed </w:t>
      </w:r>
      <w:r w:rsidR="00C30659">
        <w:t xml:space="preserve">program </w:t>
      </w:r>
      <w:r w:rsidR="000431F6">
        <w:t xml:space="preserve">expansion </w:t>
      </w:r>
      <w:r w:rsidR="00C30659">
        <w:t>to 30 MWs uses</w:t>
      </w:r>
      <w:r w:rsidR="000431F6">
        <w:t xml:space="preserve"> existing solar capacity, which offers no additional avoided system savings.</w:t>
      </w:r>
    </w:p>
    <w:p w:rsidR="00420398" w:rsidRDefault="00420398" w:rsidP="008453CC">
      <w:pPr>
        <w:pStyle w:val="BodyText"/>
        <w:spacing w:after="0"/>
      </w:pPr>
    </w:p>
    <w:p w:rsidR="003F3D10" w:rsidRDefault="00AD096E" w:rsidP="008453CC">
      <w:pPr>
        <w:pStyle w:val="BodyText"/>
        <w:spacing w:after="0"/>
      </w:pPr>
      <w:r>
        <w:t xml:space="preserve">However, staff believes the Commission could address this </w:t>
      </w:r>
      <w:r w:rsidR="00E8272C">
        <w:t xml:space="preserve">concern </w:t>
      </w:r>
      <w:r w:rsidR="006B1D70">
        <w:t xml:space="preserve">by </w:t>
      </w:r>
      <w:r>
        <w:rPr>
          <w:rFonts w:ascii="TimesNewRomanPSMT" w:hAnsi="TimesNewRomanPSMT" w:cs="TimesNewRomanPSMT"/>
        </w:rPr>
        <w:t xml:space="preserve">requiring TECO to </w:t>
      </w:r>
      <w:r w:rsidR="006B1D70">
        <w:rPr>
          <w:rFonts w:ascii="TimesNewRomanPSMT" w:hAnsi="TimesNewRomanPSMT" w:cs="TimesNewRomanPSMT"/>
        </w:rPr>
        <w:t xml:space="preserve">record incremental revenue collected from this program </w:t>
      </w:r>
      <w:r w:rsidR="007F0FD8">
        <w:rPr>
          <w:rFonts w:ascii="TimesNewRomanPSMT" w:hAnsi="TimesNewRomanPSMT" w:cs="TimesNewRomanPSMT"/>
        </w:rPr>
        <w:t>(i.e.</w:t>
      </w:r>
      <w:r w:rsidR="00FF521B">
        <w:rPr>
          <w:rFonts w:ascii="TimesNewRomanPSMT" w:hAnsi="TimesNewRomanPSMT" w:cs="TimesNewRomanPSMT"/>
        </w:rPr>
        <w:t>,</w:t>
      </w:r>
      <w:r w:rsidR="007F0FD8">
        <w:rPr>
          <w:rFonts w:ascii="TimesNewRomanPSMT" w:hAnsi="TimesNewRomanPSMT" w:cs="TimesNewRomanPSMT"/>
        </w:rPr>
        <w:t xml:space="preserve"> revenue </w:t>
      </w:r>
      <w:r w:rsidR="006B1D70">
        <w:rPr>
          <w:rFonts w:ascii="TimesNewRomanPSMT" w:hAnsi="TimesNewRomanPSMT" w:cs="TimesNewRomanPSMT"/>
        </w:rPr>
        <w:t>exceed</w:t>
      </w:r>
      <w:r w:rsidR="007F0FD8">
        <w:rPr>
          <w:rFonts w:ascii="TimesNewRomanPSMT" w:hAnsi="TimesNewRomanPSMT" w:cs="TimesNewRomanPSMT"/>
        </w:rPr>
        <w:t>ing</w:t>
      </w:r>
      <w:r w:rsidR="006B1D70">
        <w:rPr>
          <w:rFonts w:ascii="TimesNewRomanPSMT" w:hAnsi="TimesNewRomanPSMT" w:cs="TimesNewRomanPSMT"/>
        </w:rPr>
        <w:t xml:space="preserve"> the authorized </w:t>
      </w:r>
      <w:r w:rsidR="007335AE">
        <w:rPr>
          <w:rFonts w:ascii="TimesNewRomanPSMT" w:hAnsi="TimesNewRomanPSMT" w:cs="TimesNewRomanPSMT"/>
        </w:rPr>
        <w:t xml:space="preserve">Shared Solar Tariff </w:t>
      </w:r>
      <w:r w:rsidR="006B1D70">
        <w:rPr>
          <w:rFonts w:ascii="TimesNewRomanPSMT" w:hAnsi="TimesNewRomanPSMT" w:cs="TimesNewRomanPSMT"/>
        </w:rPr>
        <w:t xml:space="preserve">revenue </w:t>
      </w:r>
      <w:r w:rsidR="004034A9">
        <w:rPr>
          <w:rFonts w:ascii="TimesNewRomanPSMT" w:hAnsi="TimesNewRomanPSMT" w:cs="TimesNewRomanPSMT"/>
        </w:rPr>
        <w:t>credits approved in the</w:t>
      </w:r>
      <w:r w:rsidR="006B1D70">
        <w:rPr>
          <w:rFonts w:ascii="TimesNewRomanPSMT" w:hAnsi="TimesNewRomanPSMT" w:cs="TimesNewRomanPSMT"/>
        </w:rPr>
        <w:t xml:space="preserve"> 2021 Agreement</w:t>
      </w:r>
      <w:r w:rsidR="007F0FD8">
        <w:rPr>
          <w:rFonts w:ascii="TimesNewRomanPSMT" w:hAnsi="TimesNewRomanPSMT" w:cs="TimesNewRomanPSMT"/>
        </w:rPr>
        <w:t>)</w:t>
      </w:r>
      <w:r w:rsidR="006B1D70">
        <w:rPr>
          <w:rFonts w:ascii="TimesNewRomanPSMT" w:hAnsi="TimesNewRomanPSMT" w:cs="TimesNewRomanPSMT"/>
        </w:rPr>
        <w:t xml:space="preserve"> </w:t>
      </w:r>
      <w:r>
        <w:rPr>
          <w:rFonts w:ascii="TimesNewRomanPSMT" w:hAnsi="TimesNewRomanPSMT" w:cs="TimesNewRomanPSMT"/>
        </w:rPr>
        <w:t>as an offset to expenditures for fuel</w:t>
      </w:r>
      <w:r w:rsidR="004034A9">
        <w:rPr>
          <w:rFonts w:ascii="TimesNewRomanPSMT" w:hAnsi="TimesNewRomanPSMT" w:cs="TimesNewRomanPSMT"/>
        </w:rPr>
        <w:t xml:space="preserve"> in t</w:t>
      </w:r>
      <w:r>
        <w:rPr>
          <w:rFonts w:ascii="TimesNewRomanPSMT" w:hAnsi="TimesNewRomanPSMT" w:cs="TimesNewRomanPSMT"/>
        </w:rPr>
        <w:t xml:space="preserve">he fuel </w:t>
      </w:r>
      <w:r w:rsidR="006B1D70">
        <w:rPr>
          <w:rFonts w:ascii="TimesNewRomanPSMT" w:hAnsi="TimesNewRomanPSMT" w:cs="TimesNewRomanPSMT"/>
        </w:rPr>
        <w:t>cost recovery clause docket.</w:t>
      </w:r>
      <w:r w:rsidR="007F0FD8">
        <w:rPr>
          <w:rFonts w:ascii="TimesNewRomanPSMT" w:hAnsi="TimesNewRomanPSMT" w:cs="TimesNewRomanPSMT"/>
        </w:rPr>
        <w:t xml:space="preserve"> Projected Shared Solar Tariff r</w:t>
      </w:r>
      <w:r w:rsidR="007335AE">
        <w:rPr>
          <w:rFonts w:ascii="TimesNewRomanPSMT" w:hAnsi="TimesNewRomanPSMT" w:cs="TimesNewRomanPSMT"/>
        </w:rPr>
        <w:t>evenue amounts in 2021 Settlement Agreement were credited to base rates.</w:t>
      </w:r>
      <w:r w:rsidR="00E8272C">
        <w:rPr>
          <w:rStyle w:val="FootnoteReference"/>
          <w:rFonts w:ascii="TimesNewRomanPSMT" w:hAnsi="TimesNewRomanPSMT" w:cs="TimesNewRomanPSMT"/>
        </w:rPr>
        <w:footnoteReference w:id="15"/>
      </w:r>
      <w:r w:rsidR="006B1D70">
        <w:rPr>
          <w:rFonts w:ascii="TimesNewRomanPSMT" w:hAnsi="TimesNewRomanPSMT" w:cs="TimesNewRomanPSMT"/>
        </w:rPr>
        <w:t xml:space="preserve"> </w:t>
      </w:r>
      <w:r w:rsidR="00815FD7">
        <w:rPr>
          <w:rFonts w:ascii="TimesNewRomanPSMT" w:hAnsi="TimesNewRomanPSMT" w:cs="TimesNewRomanPSMT"/>
        </w:rPr>
        <w:t>Staff believes e</w:t>
      </w:r>
      <w:r w:rsidR="006B1D70">
        <w:rPr>
          <w:rFonts w:ascii="TimesNewRomanPSMT" w:hAnsi="TimesNewRomanPSMT" w:cs="TimesNewRomanPSMT"/>
        </w:rPr>
        <w:t>xcess revenue</w:t>
      </w:r>
      <w:r w:rsidR="00815FD7">
        <w:rPr>
          <w:rFonts w:ascii="TimesNewRomanPSMT" w:hAnsi="TimesNewRomanPSMT" w:cs="TimesNewRomanPSMT"/>
        </w:rPr>
        <w:t>s</w:t>
      </w:r>
      <w:r w:rsidR="006B1D70">
        <w:rPr>
          <w:rFonts w:ascii="TimesNewRomanPSMT" w:hAnsi="TimesNewRomanPSMT" w:cs="TimesNewRomanPSMT"/>
        </w:rPr>
        <w:t xml:space="preserve"> </w:t>
      </w:r>
      <w:r w:rsidR="00944BFF">
        <w:rPr>
          <w:rFonts w:ascii="TimesNewRomanPSMT" w:hAnsi="TimesNewRomanPSMT" w:cs="TimesNewRomanPSMT"/>
        </w:rPr>
        <w:t xml:space="preserve">generated under the proposed revisions to TECO’s Shared Solar Tariff </w:t>
      </w:r>
      <w:r w:rsidR="00815FD7">
        <w:rPr>
          <w:rFonts w:ascii="TimesNewRomanPSMT" w:hAnsi="TimesNewRomanPSMT" w:cs="TimesNewRomanPSMT"/>
        </w:rPr>
        <w:t xml:space="preserve">can </w:t>
      </w:r>
      <w:r w:rsidR="00863B94">
        <w:rPr>
          <w:rFonts w:ascii="TimesNewRomanPSMT" w:hAnsi="TimesNewRomanPSMT" w:cs="TimesNewRomanPSMT"/>
        </w:rPr>
        <w:t xml:space="preserve">and should </w:t>
      </w:r>
      <w:r w:rsidR="00815FD7">
        <w:rPr>
          <w:rFonts w:ascii="TimesNewRomanPSMT" w:hAnsi="TimesNewRomanPSMT" w:cs="TimesNewRomanPSMT"/>
        </w:rPr>
        <w:t xml:space="preserve">be used to </w:t>
      </w:r>
      <w:r w:rsidR="00863B94">
        <w:rPr>
          <w:rFonts w:ascii="TimesNewRomanPSMT" w:hAnsi="TimesNewRomanPSMT" w:cs="TimesNewRomanPSMT"/>
        </w:rPr>
        <w:t xml:space="preserve">reduce the potential of unfavorable </w:t>
      </w:r>
      <w:r w:rsidR="00815FD7">
        <w:rPr>
          <w:rFonts w:ascii="TimesNewRomanPSMT" w:hAnsi="TimesNewRomanPSMT" w:cs="TimesNewRomanPSMT"/>
        </w:rPr>
        <w:t>impact</w:t>
      </w:r>
      <w:r w:rsidR="00863B94">
        <w:rPr>
          <w:rFonts w:ascii="TimesNewRomanPSMT" w:hAnsi="TimesNewRomanPSMT" w:cs="TimesNewRomanPSMT"/>
        </w:rPr>
        <w:t>s</w:t>
      </w:r>
      <w:r w:rsidR="00815FD7">
        <w:rPr>
          <w:rFonts w:ascii="TimesNewRomanPSMT" w:hAnsi="TimesNewRomanPSMT" w:cs="TimesNewRomanPSMT"/>
        </w:rPr>
        <w:t xml:space="preserve"> </w:t>
      </w:r>
      <w:r w:rsidR="00863B94">
        <w:rPr>
          <w:rFonts w:ascii="TimesNewRomanPSMT" w:hAnsi="TimesNewRomanPSMT" w:cs="TimesNewRomanPSMT"/>
        </w:rPr>
        <w:t xml:space="preserve">on </w:t>
      </w:r>
      <w:r w:rsidR="004034A9">
        <w:rPr>
          <w:rFonts w:ascii="TimesNewRomanPSMT" w:hAnsi="TimesNewRomanPSMT" w:cs="TimesNewRomanPSMT"/>
        </w:rPr>
        <w:t xml:space="preserve">TECO’s </w:t>
      </w:r>
      <w:r w:rsidR="00863B94">
        <w:rPr>
          <w:rFonts w:ascii="TimesNewRomanPSMT" w:hAnsi="TimesNewRomanPSMT" w:cs="TimesNewRomanPSMT"/>
        </w:rPr>
        <w:t>fuel factor which would otherwise be borne by non-participants</w:t>
      </w:r>
      <w:r w:rsidR="00815FD7">
        <w:t>.</w:t>
      </w:r>
      <w:r w:rsidR="00B7184F">
        <w:t xml:space="preserve"> The Commission approved a similar approach in Order No. PSC-2023-0191-TRF-EI, which addressed Duke Energy Florida, LLC’s (Duke) optional Clean Energy Impact program and associated tariff.</w:t>
      </w:r>
      <w:r w:rsidR="00B7184F">
        <w:rPr>
          <w:rStyle w:val="FootnoteReference"/>
        </w:rPr>
        <w:footnoteReference w:id="16"/>
      </w:r>
      <w:r w:rsidR="00B7184F">
        <w:t xml:space="preserve"> The </w:t>
      </w:r>
      <w:r w:rsidR="002306D0">
        <w:t>Commission</w:t>
      </w:r>
      <w:r w:rsidR="00B7184F">
        <w:t xml:space="preserve"> required Duke to include program </w:t>
      </w:r>
      <w:r w:rsidR="002306D0">
        <w:t>revenues</w:t>
      </w:r>
      <w:r w:rsidR="00B7184F">
        <w:t xml:space="preserve">, net of expenses, in Duke’s Fuel Clause filings to ensure that program benefits for the general body of ratepayers are reflected in rates on a </w:t>
      </w:r>
      <w:proofErr w:type="gramStart"/>
      <w:r w:rsidR="00B7184F">
        <w:t>more timely</w:t>
      </w:r>
      <w:proofErr w:type="gramEnd"/>
      <w:r w:rsidR="00B7184F">
        <w:t xml:space="preserve"> basis. </w:t>
      </w:r>
      <w:r w:rsidR="006B1D70">
        <w:rPr>
          <w:rFonts w:ascii="TimesNewRomanPSMT" w:hAnsi="TimesNewRomanPSMT" w:cs="TimesNewRomanPSMT"/>
        </w:rPr>
        <w:t xml:space="preserve"> </w:t>
      </w:r>
      <w:r>
        <w:t xml:space="preserve"> </w:t>
      </w:r>
      <w:r w:rsidR="00D30DA2">
        <w:t xml:space="preserve"> </w:t>
      </w:r>
    </w:p>
    <w:p w:rsidR="008453CC" w:rsidRDefault="008453CC" w:rsidP="00372681">
      <w:pPr>
        <w:pStyle w:val="BodyText"/>
        <w:spacing w:after="0"/>
        <w:rPr>
          <w:rFonts w:ascii="Arial" w:hAnsi="Arial" w:cs="Arial"/>
          <w:b/>
          <w:i/>
        </w:rPr>
      </w:pPr>
    </w:p>
    <w:p w:rsidR="00DC6D3A" w:rsidRPr="006A670B" w:rsidRDefault="00DC6D3A" w:rsidP="00372681">
      <w:pPr>
        <w:pStyle w:val="BodyText"/>
        <w:spacing w:after="0"/>
        <w:rPr>
          <w:rFonts w:ascii="Arial" w:hAnsi="Arial" w:cs="Arial"/>
          <w:b/>
          <w:i/>
        </w:rPr>
      </w:pPr>
      <w:r w:rsidRPr="006A670B">
        <w:rPr>
          <w:rFonts w:ascii="Arial" w:hAnsi="Arial" w:cs="Arial"/>
          <w:b/>
          <w:i/>
        </w:rPr>
        <w:t>Reporting Requirements</w:t>
      </w:r>
    </w:p>
    <w:p w:rsidR="00BC6398" w:rsidRDefault="00BC6398" w:rsidP="00BC6398">
      <w:pPr>
        <w:pStyle w:val="BodyText"/>
        <w:spacing w:after="0"/>
      </w:pPr>
      <w:r>
        <w:rPr>
          <w:rFonts w:ascii="TimesNewRomanPSMT" w:hAnsi="TimesNewRomanPSMT" w:cs="TimesNewRomanPSMT"/>
        </w:rPr>
        <w:t>T</w:t>
      </w:r>
      <w:r w:rsidR="00AE03A0">
        <w:rPr>
          <w:rFonts w:ascii="TimesNewRomanPSMT" w:hAnsi="TimesNewRomanPSMT" w:cs="TimesNewRomanPSMT"/>
        </w:rPr>
        <w:t xml:space="preserve">he utility </w:t>
      </w:r>
      <w:r>
        <w:rPr>
          <w:rFonts w:ascii="TimesNewRomanPSMT" w:hAnsi="TimesNewRomanPSMT" w:cs="TimesNewRomanPSMT"/>
        </w:rPr>
        <w:t xml:space="preserve">stated that it </w:t>
      </w:r>
      <w:r w:rsidR="00AE03A0">
        <w:rPr>
          <w:rFonts w:ascii="TimesNewRomanPSMT" w:hAnsi="TimesNewRomanPSMT" w:cs="TimesNewRomanPSMT"/>
        </w:rPr>
        <w:t xml:space="preserve">seeks to learn about customer adoption of community solar programs and its </w:t>
      </w:r>
      <w:r w:rsidR="00C75857">
        <w:rPr>
          <w:rFonts w:ascii="TimesNewRomanPSMT" w:hAnsi="TimesNewRomanPSMT" w:cs="TimesNewRomanPSMT"/>
        </w:rPr>
        <w:t xml:space="preserve">customers’ </w:t>
      </w:r>
      <w:r w:rsidR="00AE4A01">
        <w:rPr>
          <w:rFonts w:ascii="TimesNewRomanPSMT" w:hAnsi="TimesNewRomanPSMT" w:cs="TimesNewRomanPSMT"/>
        </w:rPr>
        <w:t>desire</w:t>
      </w:r>
      <w:r w:rsidR="00AE03A0">
        <w:rPr>
          <w:rFonts w:ascii="TimesNewRomanPSMT" w:hAnsi="TimesNewRomanPSMT" w:cs="TimesNewRomanPSMT"/>
        </w:rPr>
        <w:t xml:space="preserve"> to reach decarbonization goals</w:t>
      </w:r>
      <w:r>
        <w:rPr>
          <w:rFonts w:ascii="TimesNewRomanPSMT" w:hAnsi="TimesNewRomanPSMT" w:cs="TimesNewRomanPSMT"/>
        </w:rPr>
        <w:t>. However,</w:t>
      </w:r>
      <w:r w:rsidR="00DE5FD6">
        <w:rPr>
          <w:rFonts w:ascii="TimesNewRomanPSMT" w:hAnsi="TimesNewRomanPSMT" w:cs="TimesNewRomanPSMT"/>
        </w:rPr>
        <w:t xml:space="preserve"> because</w:t>
      </w:r>
      <w:r>
        <w:t xml:space="preserve"> the utility has not clearly expressed how additional generation now or in the future may or may not materialize as a result of this program, staff is uncertain as to what deg</w:t>
      </w:r>
      <w:r w:rsidR="00DE5FD6">
        <w:t>ree the proposed pricing option</w:t>
      </w:r>
      <w:r>
        <w:t xml:space="preserve"> facilitates decarbonization. A utility representative indicated that TECO will be reviewing the ongoing results of the program to evaluate it</w:t>
      </w:r>
      <w:r w:rsidR="004B299C">
        <w:t>s</w:t>
      </w:r>
      <w:r>
        <w:t xml:space="preserve"> options for accelerating decarbonization efforts in the future, but no specific plans are in place at this time.</w:t>
      </w:r>
      <w:r w:rsidR="00570AE4" w:rsidRPr="00CD19C3">
        <w:rPr>
          <w:rFonts w:ascii="TimesNewRomanPSMT" w:hAnsi="TimesNewRomanPSMT" w:cs="TimesNewRomanPSMT"/>
        </w:rPr>
        <w:t xml:space="preserve"> As such, staff believes a reporting requirement would give TECO the opportunity to share its key findings with the Commission.</w:t>
      </w:r>
    </w:p>
    <w:p w:rsidR="00BC6398" w:rsidRDefault="00BC6398" w:rsidP="00BC6398">
      <w:pPr>
        <w:pStyle w:val="BodyText"/>
        <w:spacing w:after="0"/>
      </w:pPr>
    </w:p>
    <w:p w:rsidR="00AE03A0" w:rsidRDefault="00AE03A0" w:rsidP="00372681">
      <w:pPr>
        <w:pStyle w:val="BodyText"/>
        <w:spacing w:after="0"/>
      </w:pPr>
      <w:r>
        <w:rPr>
          <w:rFonts w:ascii="TimesNewRomanPSMT" w:hAnsi="TimesNewRomanPSMT" w:cs="TimesNewRomanPSMT"/>
        </w:rPr>
        <w:lastRenderedPageBreak/>
        <w:t xml:space="preserve">If </w:t>
      </w:r>
      <w:r w:rsidR="00354C05">
        <w:rPr>
          <w:rFonts w:ascii="TimesNewRomanPSMT" w:hAnsi="TimesNewRomanPSMT" w:cs="TimesNewRomanPSMT"/>
        </w:rPr>
        <w:t xml:space="preserve">the petition is </w:t>
      </w:r>
      <w:r>
        <w:rPr>
          <w:rFonts w:ascii="TimesNewRomanPSMT" w:hAnsi="TimesNewRomanPSMT" w:cs="TimesNewRomanPSMT"/>
        </w:rPr>
        <w:t xml:space="preserve">approved, </w:t>
      </w:r>
      <w:r w:rsidR="00433D36">
        <w:rPr>
          <w:rFonts w:ascii="TimesNewRomanPSMT" w:hAnsi="TimesNewRomanPSMT" w:cs="TimesNewRomanPSMT"/>
        </w:rPr>
        <w:t xml:space="preserve">the utility should </w:t>
      </w:r>
      <w:r>
        <w:rPr>
          <w:rFonts w:ascii="TimesNewRomanPSMT" w:hAnsi="TimesNewRomanPSMT" w:cs="TimesNewRomanPSMT"/>
        </w:rPr>
        <w:t xml:space="preserve">be required to </w:t>
      </w:r>
      <w:r w:rsidR="00433D36">
        <w:rPr>
          <w:rFonts w:ascii="TimesNewRomanPSMT" w:hAnsi="TimesNewRomanPSMT" w:cs="TimesNewRomanPSMT"/>
        </w:rPr>
        <w:t xml:space="preserve">submit an annual report on the progress of this program for </w:t>
      </w:r>
      <w:r>
        <w:rPr>
          <w:rFonts w:ascii="TimesNewRomanPSMT" w:hAnsi="TimesNewRomanPSMT" w:cs="TimesNewRomanPSMT"/>
        </w:rPr>
        <w:t xml:space="preserve">the years </w:t>
      </w:r>
      <w:r w:rsidR="00433D36">
        <w:rPr>
          <w:rFonts w:ascii="TimesNewRomanPSMT" w:hAnsi="TimesNewRomanPSMT" w:cs="TimesNewRomanPSMT"/>
        </w:rPr>
        <w:t>2024-202</w:t>
      </w:r>
      <w:r w:rsidR="0098456C">
        <w:rPr>
          <w:rFonts w:ascii="TimesNewRomanPSMT" w:hAnsi="TimesNewRomanPSMT" w:cs="TimesNewRomanPSMT"/>
        </w:rPr>
        <w:t>7</w:t>
      </w:r>
      <w:r>
        <w:rPr>
          <w:rFonts w:ascii="TimesNewRomanPSMT" w:hAnsi="TimesNewRomanPSMT" w:cs="TimesNewRomanPSMT"/>
        </w:rPr>
        <w:t xml:space="preserve">. </w:t>
      </w:r>
      <w:r w:rsidR="00ED71C4">
        <w:rPr>
          <w:rFonts w:ascii="TimesNewRomanPSMT" w:hAnsi="TimesNewRomanPSMT" w:cs="TimesNewRomanPSMT"/>
        </w:rPr>
        <w:t>Specifically</w:t>
      </w:r>
      <w:r w:rsidR="00DC6D3A">
        <w:rPr>
          <w:rFonts w:ascii="TimesNewRomanPSMT" w:hAnsi="TimesNewRomanPSMT" w:cs="TimesNewRomanPSMT"/>
        </w:rPr>
        <w:t xml:space="preserve">, </w:t>
      </w:r>
      <w:r w:rsidR="002760D5">
        <w:rPr>
          <w:rFonts w:ascii="TimesNewRomanPSMT" w:hAnsi="TimesNewRomanPSMT" w:cs="TimesNewRomanPSMT"/>
        </w:rPr>
        <w:t>s</w:t>
      </w:r>
      <w:r w:rsidR="00DC6D3A">
        <w:rPr>
          <w:rFonts w:ascii="TimesNewRomanPSMT" w:hAnsi="TimesNewRomanPSMT" w:cs="TimesNewRomanPSMT"/>
        </w:rPr>
        <w:t>taff believes the utility should submit an annual report</w:t>
      </w:r>
      <w:r w:rsidR="00ED71C4">
        <w:rPr>
          <w:rFonts w:ascii="TimesNewRomanPSMT" w:hAnsi="TimesNewRomanPSMT" w:cs="TimesNewRomanPSMT"/>
        </w:rPr>
        <w:t xml:space="preserve"> </w:t>
      </w:r>
      <w:r w:rsidR="00354C05">
        <w:rPr>
          <w:rFonts w:ascii="TimesNewRomanPSMT" w:hAnsi="TimesNewRomanPSMT" w:cs="TimesNewRomanPSMT"/>
        </w:rPr>
        <w:t xml:space="preserve">in March of 2024, 2025, 2026, and 2027, </w:t>
      </w:r>
      <w:r w:rsidR="00ED71C4">
        <w:rPr>
          <w:rFonts w:ascii="TimesNewRomanPSMT" w:hAnsi="TimesNewRomanPSMT" w:cs="TimesNewRomanPSMT"/>
        </w:rPr>
        <w:t>for the prior year, detailing the following:</w:t>
      </w:r>
      <w:r w:rsidR="004B299C">
        <w:rPr>
          <w:rFonts w:ascii="TimesNewRomanPSMT" w:hAnsi="TimesNewRomanPSMT" w:cs="TimesNewRomanPSMT"/>
        </w:rPr>
        <w:t xml:space="preserve"> 1)</w:t>
      </w:r>
      <w:r w:rsidR="00DC6D3A">
        <w:rPr>
          <w:rFonts w:ascii="TimesNewRomanPSMT" w:hAnsi="TimesNewRomanPSMT" w:cs="TimesNewRomanPSMT"/>
        </w:rPr>
        <w:t xml:space="preserve"> </w:t>
      </w:r>
      <w:r w:rsidR="00354C05">
        <w:rPr>
          <w:rFonts w:ascii="TimesNewRomanPSMT" w:hAnsi="TimesNewRomanPSMT" w:cs="TimesNewRomanPSMT"/>
        </w:rPr>
        <w:t>t</w:t>
      </w:r>
      <w:r w:rsidR="00DC6D3A">
        <w:rPr>
          <w:rFonts w:ascii="TimesNewRomanPSMT" w:hAnsi="TimesNewRomanPSMT" w:cs="TimesNewRomanPSMT"/>
        </w:rPr>
        <w:t>he number of revised SSR-1 Tariff program participants, amount of energy sales, waiting list levels, and revenues collected, by subscrip</w:t>
      </w:r>
      <w:r w:rsidR="004B299C">
        <w:rPr>
          <w:rFonts w:ascii="TimesNewRomanPSMT" w:hAnsi="TimesNewRomanPSMT" w:cs="TimesNewRomanPSMT"/>
        </w:rPr>
        <w:t>tion level and by rate class; 2)</w:t>
      </w:r>
      <w:r w:rsidR="00DC6D3A">
        <w:rPr>
          <w:rFonts w:ascii="TimesNewRomanPSMT" w:hAnsi="TimesNewRomanPSMT" w:cs="TimesNewRomanPSMT"/>
        </w:rPr>
        <w:t xml:space="preserve"> </w:t>
      </w:r>
      <w:r w:rsidR="00354C05">
        <w:rPr>
          <w:rFonts w:ascii="TimesNewRomanPSMT" w:hAnsi="TimesNewRomanPSMT" w:cs="TimesNewRomanPSMT"/>
        </w:rPr>
        <w:t>t</w:t>
      </w:r>
      <w:r w:rsidR="00DC6D3A">
        <w:rPr>
          <w:rFonts w:ascii="TimesNewRomanPSMT" w:hAnsi="TimesNewRomanPSMT" w:cs="TimesNewRomanPSMT"/>
        </w:rPr>
        <w:t>he incremental revenue, above the Sun Select revenue currently included in base rates,</w:t>
      </w:r>
      <w:r w:rsidR="004B299C">
        <w:rPr>
          <w:rFonts w:ascii="TimesNewRomanPSMT" w:hAnsi="TimesNewRomanPSMT" w:cs="TimesNewRomanPSMT"/>
        </w:rPr>
        <w:t xml:space="preserve"> credited to the fuel clause; 3)</w:t>
      </w:r>
      <w:r w:rsidR="00DC6D3A">
        <w:rPr>
          <w:rFonts w:ascii="TimesNewRomanPSMT" w:hAnsi="TimesNewRomanPSMT" w:cs="TimesNewRomanPSMT"/>
        </w:rPr>
        <w:t xml:space="preserve"> </w:t>
      </w:r>
      <w:r w:rsidR="00354C05">
        <w:rPr>
          <w:rFonts w:ascii="TimesNewRomanPSMT" w:hAnsi="TimesNewRomanPSMT" w:cs="TimesNewRomanPSMT"/>
        </w:rPr>
        <w:t>a</w:t>
      </w:r>
      <w:r w:rsidR="00DC6D3A">
        <w:rPr>
          <w:rFonts w:ascii="TimesNewRomanPSMT" w:hAnsi="TimesNewRomanPSMT" w:cs="TimesNewRomanPSMT"/>
        </w:rPr>
        <w:t xml:space="preserve"> summary of TECO’s key findings regarding customer adoption of community solar programs and its customers’ desire to reach decarbonization goal</w:t>
      </w:r>
      <w:r w:rsidR="00DC6D3A" w:rsidRPr="00CD19C3">
        <w:rPr>
          <w:rFonts w:ascii="TimesNewRomanPSMT" w:hAnsi="TimesNewRomanPSMT" w:cs="TimesNewRomanPSMT"/>
        </w:rPr>
        <w:t>s</w:t>
      </w:r>
      <w:r w:rsidR="00280226" w:rsidRPr="00CD19C3">
        <w:rPr>
          <w:rFonts w:ascii="TimesNewRomanPSMT" w:hAnsi="TimesNewRomanPSMT" w:cs="TimesNewRomanPSMT"/>
        </w:rPr>
        <w:t>; and 4)</w:t>
      </w:r>
      <w:r w:rsidR="00570AE4" w:rsidRPr="00CD19C3">
        <w:rPr>
          <w:rFonts w:ascii="TimesNewRomanPSMT" w:hAnsi="TimesNewRomanPSMT" w:cs="TimesNewRomanPSMT"/>
        </w:rPr>
        <w:t xml:space="preserve"> a detailed description of whether and how the results of the program has impacted TECO’s generation planning</w:t>
      </w:r>
      <w:r w:rsidR="00DC6D3A" w:rsidRPr="00CD19C3">
        <w:rPr>
          <w:rFonts w:ascii="TimesNewRomanPSMT" w:hAnsi="TimesNewRomanPSMT" w:cs="TimesNewRomanPSMT"/>
        </w:rPr>
        <w:t>.</w:t>
      </w:r>
      <w:r w:rsidR="00433D36">
        <w:t xml:space="preserve"> </w:t>
      </w:r>
    </w:p>
    <w:p w:rsidR="00372681" w:rsidRDefault="00372681" w:rsidP="00EB6195">
      <w:pPr>
        <w:autoSpaceDE w:val="0"/>
        <w:autoSpaceDN w:val="0"/>
        <w:adjustRightInd w:val="0"/>
        <w:jc w:val="both"/>
        <w:rPr>
          <w:rFonts w:ascii="Arial" w:hAnsi="Arial" w:cs="Arial"/>
          <w:b/>
        </w:rPr>
      </w:pPr>
    </w:p>
    <w:p w:rsidR="00EB6195" w:rsidRPr="000A7C8D" w:rsidRDefault="00EB6195" w:rsidP="00EB6195">
      <w:pPr>
        <w:autoSpaceDE w:val="0"/>
        <w:autoSpaceDN w:val="0"/>
        <w:adjustRightInd w:val="0"/>
        <w:jc w:val="both"/>
        <w:rPr>
          <w:rFonts w:ascii="Arial" w:hAnsi="Arial" w:cs="Arial"/>
          <w:b/>
        </w:rPr>
      </w:pPr>
      <w:r>
        <w:rPr>
          <w:rFonts w:ascii="Arial" w:hAnsi="Arial" w:cs="Arial"/>
          <w:b/>
        </w:rPr>
        <w:t>Conclusion</w:t>
      </w:r>
    </w:p>
    <w:p w:rsidR="00C30659" w:rsidRDefault="000D3FC5" w:rsidP="00961A98">
      <w:pPr>
        <w:autoSpaceDE w:val="0"/>
        <w:autoSpaceDN w:val="0"/>
        <w:adjustRightInd w:val="0"/>
        <w:jc w:val="both"/>
        <w:rPr>
          <w:rFonts w:ascii="TimesNewRomanPSMT" w:hAnsi="TimesNewRomanPSMT" w:cs="TimesNewRomanPSMT"/>
        </w:rPr>
      </w:pPr>
      <w:r>
        <w:t xml:space="preserve">Staff agrees </w:t>
      </w:r>
      <w:r w:rsidR="000C2009">
        <w:t xml:space="preserve">with TECO </w:t>
      </w:r>
      <w:r>
        <w:t xml:space="preserve">that a lower price, if approved, should assist </w:t>
      </w:r>
      <w:r w:rsidR="00354C05">
        <w:t>the utility</w:t>
      </w:r>
      <w:r>
        <w:t xml:space="preserve"> in increasing subscriptions to this program. Additionally, staff notes that higher participation up to the proposed limit of 30 MWs would give TECO the opportunity to learn more about customer adoption of community solar program and their customer’s desire to reach climate change oriented goals.</w:t>
      </w:r>
      <w:r w:rsidR="00961A98">
        <w:t xml:space="preserve"> Further, s</w:t>
      </w:r>
      <w:r w:rsidR="0098456C">
        <w:rPr>
          <w:rFonts w:ascii="TimesNewRomanPSMT" w:hAnsi="TimesNewRomanPSMT" w:cs="TimesNewRomanPSMT"/>
        </w:rPr>
        <w:t xml:space="preserve">taff </w:t>
      </w:r>
      <w:r w:rsidR="00BD6E80">
        <w:rPr>
          <w:rFonts w:ascii="TimesNewRomanPSMT" w:hAnsi="TimesNewRomanPSMT" w:cs="TimesNewRomanPSMT"/>
        </w:rPr>
        <w:t>notes that the Commission has a history of generally being supportive of optional renewable energy programs by the investor</w:t>
      </w:r>
      <w:r w:rsidR="00C30659">
        <w:rPr>
          <w:rFonts w:ascii="TimesNewRomanPSMT" w:hAnsi="TimesNewRomanPSMT" w:cs="TimesNewRomanPSMT"/>
        </w:rPr>
        <w:t>-</w:t>
      </w:r>
      <w:r w:rsidR="00BD6E80">
        <w:rPr>
          <w:rFonts w:ascii="TimesNewRomanPSMT" w:hAnsi="TimesNewRomanPSMT" w:cs="TimesNewRomanPSMT"/>
        </w:rPr>
        <w:t xml:space="preserve">owned electric utilities operating in Florida when the pricing of such services are not expected to result in harm to the general body of ratepayers. </w:t>
      </w:r>
    </w:p>
    <w:p w:rsidR="00961A98" w:rsidRDefault="00961A98" w:rsidP="00961A98">
      <w:pPr>
        <w:autoSpaceDE w:val="0"/>
        <w:autoSpaceDN w:val="0"/>
        <w:adjustRightInd w:val="0"/>
        <w:jc w:val="both"/>
        <w:rPr>
          <w:rFonts w:ascii="TimesNewRomanPSMT" w:hAnsi="TimesNewRomanPSMT" w:cs="TimesNewRomanPSMT"/>
        </w:rPr>
      </w:pPr>
    </w:p>
    <w:p w:rsidR="00C30659" w:rsidRDefault="00BD6E80" w:rsidP="00C30659">
      <w:pPr>
        <w:pStyle w:val="BodyText"/>
        <w:rPr>
          <w:rFonts w:ascii="TimesNewRomanPSMT" w:hAnsi="TimesNewRomanPSMT" w:cs="TimesNewRomanPSMT"/>
        </w:rPr>
      </w:pPr>
      <w:r>
        <w:rPr>
          <w:rFonts w:ascii="TimesNewRomanPSMT" w:hAnsi="TimesNewRomanPSMT" w:cs="TimesNewRomanPSMT"/>
        </w:rPr>
        <w:t xml:space="preserve">Staff </w:t>
      </w:r>
      <w:r w:rsidR="0098456C">
        <w:rPr>
          <w:rFonts w:ascii="TimesNewRomanPSMT" w:hAnsi="TimesNewRomanPSMT" w:cs="TimesNewRomanPSMT"/>
        </w:rPr>
        <w:t xml:space="preserve">believes the Commission </w:t>
      </w:r>
      <w:r w:rsidR="00C30659">
        <w:rPr>
          <w:rFonts w:ascii="TimesNewRomanPSMT" w:hAnsi="TimesNewRomanPSMT" w:cs="TimesNewRomanPSMT"/>
        </w:rPr>
        <w:t>should approve the proposed changes to TECO’s Shared Solar Rider Tariff</w:t>
      </w:r>
      <w:r w:rsidR="00961A98">
        <w:rPr>
          <w:rFonts w:ascii="TimesNewRomanPSMT" w:hAnsi="TimesNewRomanPSMT" w:cs="TimesNewRomanPSMT"/>
        </w:rPr>
        <w:t>, as</w:t>
      </w:r>
      <w:r w:rsidR="00C30659">
        <w:rPr>
          <w:rFonts w:ascii="TimesNewRomanPSMT" w:hAnsi="TimesNewRomanPSMT" w:cs="TimesNewRomanPSMT"/>
        </w:rPr>
        <w:t xml:space="preserve"> shown in Attachment </w:t>
      </w:r>
      <w:proofErr w:type="gramStart"/>
      <w:r w:rsidR="00C30659">
        <w:rPr>
          <w:rFonts w:ascii="TimesNewRomanPSMT" w:hAnsi="TimesNewRomanPSMT" w:cs="TimesNewRomanPSMT"/>
        </w:rPr>
        <w:t>A</w:t>
      </w:r>
      <w:proofErr w:type="gramEnd"/>
      <w:r w:rsidR="00C30659">
        <w:rPr>
          <w:rFonts w:ascii="TimesNewRomanPSMT" w:hAnsi="TimesNewRomanPSMT" w:cs="TimesNewRomanPSMT"/>
        </w:rPr>
        <w:t xml:space="preserve">, contingent upon TECO’s compliance with certain program implementation provisions and reporting requirements described below. </w:t>
      </w:r>
    </w:p>
    <w:p w:rsidR="00C30659" w:rsidRPr="00731EF7" w:rsidRDefault="00C30659" w:rsidP="00C30659">
      <w:pPr>
        <w:pStyle w:val="BodyText"/>
        <w:rPr>
          <w:u w:val="single"/>
        </w:rPr>
      </w:pPr>
      <w:r>
        <w:rPr>
          <w:rFonts w:ascii="TimesNewRomanPSMT" w:hAnsi="TimesNewRomanPSMT" w:cs="TimesNewRomanPSMT"/>
        </w:rPr>
        <w:t xml:space="preserve">First, incremental revenues from this program that exceed the Sun Select revenue credits approved in the 2021 Settlement should be recorded as a credit to the Fuel and Purchased Power Cost Recovery Clause (Fuel Clause) to offset expenditures for fuel. </w:t>
      </w:r>
      <w:r w:rsidRPr="00731EF7">
        <w:rPr>
          <w:rFonts w:ascii="TimesNewRomanPSMT" w:hAnsi="TimesNewRomanPSMT" w:cs="TimesNewRomanPSMT"/>
        </w:rPr>
        <w:t>While TECO’s proposed Shar</w:t>
      </w:r>
      <w:r w:rsidR="00961A98">
        <w:rPr>
          <w:rFonts w:ascii="TimesNewRomanPSMT" w:hAnsi="TimesNewRomanPSMT" w:cs="TimesNewRomanPSMT"/>
        </w:rPr>
        <w:t>e</w:t>
      </w:r>
      <w:r w:rsidRPr="00731EF7">
        <w:rPr>
          <w:rFonts w:ascii="TimesNewRomanPSMT" w:hAnsi="TimesNewRomanPSMT" w:cs="TimesNewRomanPSMT"/>
        </w:rPr>
        <w:t xml:space="preserve">d Solar Rider Tariff charge of </w:t>
      </w:r>
      <w:r w:rsidRPr="00731EF7">
        <w:t>4.9 cent</w:t>
      </w:r>
      <w:r w:rsidR="00082538">
        <w:t>s</w:t>
      </w:r>
      <w:r w:rsidRPr="00731EF7">
        <w:t>/kWh is not cost based, this voluntary program is not expected to have an undue impact on the general body of ratepayers, assuming such incremental revenues are credited to the Fuel Clause.</w:t>
      </w:r>
    </w:p>
    <w:p w:rsidR="00C30659" w:rsidRDefault="00C30659" w:rsidP="00C30659">
      <w:pPr>
        <w:pStyle w:val="BodyText"/>
        <w:rPr>
          <w:rFonts w:ascii="TimesNewRomanPSMT" w:hAnsi="TimesNewRomanPSMT" w:cs="TimesNewRomanPSMT"/>
          <w:highlight w:val="yellow"/>
        </w:rPr>
      </w:pPr>
      <w:r w:rsidRPr="00731EF7">
        <w:rPr>
          <w:rFonts w:ascii="TimesNewRomanPSMT" w:hAnsi="TimesNewRomanPSMT" w:cs="TimesNewRomanPSMT"/>
        </w:rPr>
        <w:t>Second, TECO should manage its SSR-1 Tariff program subscriptions to ensu</w:t>
      </w:r>
      <w:r>
        <w:rPr>
          <w:rFonts w:ascii="TimesNewRomanPSMT" w:hAnsi="TimesNewRomanPSMT" w:cs="TimesNewRomanPSMT"/>
        </w:rPr>
        <w:t xml:space="preserve">re that the proportion of </w:t>
      </w:r>
      <w:r w:rsidRPr="00731EF7">
        <w:rPr>
          <w:rFonts w:ascii="TimesNewRomanPSMT" w:hAnsi="TimesNewRomanPSMT" w:cs="TimesNewRomanPSMT"/>
        </w:rPr>
        <w:t>energy sales of residential and commercial custo</w:t>
      </w:r>
      <w:r>
        <w:rPr>
          <w:rFonts w:ascii="TimesNewRomanPSMT" w:hAnsi="TimesNewRomanPSMT" w:cs="TimesNewRomanPSMT"/>
        </w:rPr>
        <w:t>m</w:t>
      </w:r>
      <w:r w:rsidRPr="00731EF7">
        <w:rPr>
          <w:rFonts w:ascii="TimesNewRomanPSMT" w:hAnsi="TimesNewRomanPSMT" w:cs="TimesNewRomanPSMT"/>
        </w:rPr>
        <w:t>ers in the RS and GS classes to total energy sales (all classes) are, in the aggregate, no lower than thirty percent.</w:t>
      </w:r>
      <w:r w:rsidRPr="00195677">
        <w:rPr>
          <w:rFonts w:ascii="TimesNewRomanPSMT" w:hAnsi="TimesNewRomanPSMT" w:cs="TimesNewRomanPSMT"/>
          <w:highlight w:val="yellow"/>
        </w:rPr>
        <w:t xml:space="preserve"> </w:t>
      </w:r>
    </w:p>
    <w:p w:rsidR="00C30659" w:rsidRDefault="00C30659" w:rsidP="00C30659">
      <w:pPr>
        <w:pStyle w:val="BodyText"/>
        <w:rPr>
          <w:rFonts w:ascii="TimesNewRomanPSMT" w:hAnsi="TimesNewRomanPSMT" w:cs="TimesNewRomanPSMT"/>
        </w:rPr>
      </w:pPr>
      <w:r w:rsidRPr="00195677">
        <w:rPr>
          <w:rFonts w:ascii="TimesNewRomanPSMT" w:hAnsi="TimesNewRomanPSMT" w:cs="TimesNewRomanPSMT"/>
        </w:rPr>
        <w:t xml:space="preserve">Third, </w:t>
      </w:r>
      <w:r>
        <w:rPr>
          <w:rFonts w:ascii="TimesNewRomanPSMT" w:hAnsi="TimesNewRomanPSMT" w:cs="TimesNewRomanPSMT"/>
        </w:rPr>
        <w:t xml:space="preserve">in its marketing of the revised program, TECO should not claim or imply that program revenues are earmarked for or contribute to the construction of new solar resources. </w:t>
      </w:r>
    </w:p>
    <w:p w:rsidR="00C30659" w:rsidRPr="001554CA" w:rsidRDefault="00C30659" w:rsidP="00C30659">
      <w:pPr>
        <w:pStyle w:val="BodyText"/>
        <w:rPr>
          <w:rFonts w:ascii="TimesNewRomanPSMT" w:hAnsi="TimesNewRomanPSMT" w:cs="TimesNewRomanPSMT"/>
        </w:rPr>
      </w:pPr>
      <w:r>
        <w:rPr>
          <w:rFonts w:ascii="TimesNewRomanPSMT" w:hAnsi="TimesNewRomanPSMT" w:cs="TimesNewRomanPSMT"/>
        </w:rPr>
        <w:t>Finally, TECO should submit annual reports in March of 2024, 2025, 2026, and 2027 with data for the prior calendar year, detailing the following: 1) the number of revised SSR-1 Tariff program participants, amount of energy sales, waiting list levels, and revenues collected, by subscription level and by rate class; 2) the incremental revenue, above the Sun Select revenue currently included in base rates, credited to the Fuel Clause; 3) a summary of TECO’s key findings regarding customer adoption of community solar programs and its customers’ desire to reach decarbonization goal</w:t>
      </w:r>
      <w:r w:rsidRPr="00CD19C3">
        <w:rPr>
          <w:rFonts w:ascii="TimesNewRomanPSMT" w:hAnsi="TimesNewRomanPSMT" w:cs="TimesNewRomanPSMT"/>
        </w:rPr>
        <w:t>s</w:t>
      </w:r>
      <w:r w:rsidR="00280226" w:rsidRPr="00CD19C3">
        <w:rPr>
          <w:rFonts w:ascii="TimesNewRomanPSMT" w:hAnsi="TimesNewRomanPSMT" w:cs="TimesNewRomanPSMT"/>
        </w:rPr>
        <w:t>; and 4) a detailed description of whether and how the results of the program has impacted TECO’s generation planning</w:t>
      </w:r>
      <w:r w:rsidRPr="00CD19C3">
        <w:rPr>
          <w:rFonts w:ascii="TimesNewRomanPSMT" w:hAnsi="TimesNewRomanPSMT" w:cs="TimesNewRomanPSMT"/>
        </w:rPr>
        <w:t>.</w:t>
      </w:r>
      <w:r w:rsidRPr="00AE37EF">
        <w:rPr>
          <w:rFonts w:ascii="TimesNewRomanPSMT" w:hAnsi="TimesNewRomanPSMT" w:cs="TimesNewRomanPSMT"/>
        </w:rPr>
        <w:t xml:space="preserve"> </w:t>
      </w:r>
    </w:p>
    <w:p w:rsidR="00C839A7" w:rsidRDefault="00C839A7" w:rsidP="00A2465C">
      <w:pPr>
        <w:pStyle w:val="BodyText"/>
      </w:pPr>
    </w:p>
    <w:p w:rsidR="002C10A1" w:rsidRDefault="002C10A1">
      <w:pPr>
        <w:pStyle w:val="IssueHeading"/>
        <w:rPr>
          <w:vanish/>
          <w:specVanish/>
        </w:rPr>
      </w:pPr>
      <w:r w:rsidRPr="004C3641">
        <w:rPr>
          <w:b w:val="0"/>
          <w:i w:val="0"/>
        </w:rPr>
        <w:br w:type="page"/>
      </w:r>
      <w:r w:rsidRPr="004C3641">
        <w:lastRenderedPageBreak/>
        <w:t xml:space="preserve">Issue </w:t>
      </w:r>
      <w:fldSimple w:instr=" SEQ Issue \* MERGEFORMAT ">
        <w:r w:rsidR="00520785">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520785">
        <w:rPr>
          <w:noProof/>
        </w:rPr>
        <w:instrText>2</w:instrText>
      </w:r>
      <w:r>
        <w:fldChar w:fldCharType="end"/>
      </w:r>
      <w:r>
        <w:tab/>
        <w:instrText xml:space="preserve">" \l 1 </w:instrText>
      </w:r>
      <w:r>
        <w:fldChar w:fldCharType="end"/>
      </w:r>
      <w:r>
        <w:t> </w:t>
      </w:r>
    </w:p>
    <w:p w:rsidR="002C10A1" w:rsidRDefault="002C10A1">
      <w:pPr>
        <w:pStyle w:val="BodyText"/>
      </w:pPr>
      <w:r>
        <w:t> Should this docket be closed?</w:t>
      </w:r>
    </w:p>
    <w:p w:rsidR="002C10A1" w:rsidRPr="004C3641" w:rsidRDefault="002C10A1">
      <w:pPr>
        <w:pStyle w:val="IssueSubsectionHeading"/>
        <w:rPr>
          <w:vanish/>
          <w:specVanish/>
        </w:rPr>
      </w:pPr>
      <w:r w:rsidRPr="004C3641">
        <w:t>Recommendation: </w:t>
      </w:r>
    </w:p>
    <w:p w:rsidR="002C10A1" w:rsidRDefault="002C10A1">
      <w:pPr>
        <w:pStyle w:val="BodyText"/>
      </w:pPr>
      <w:r>
        <w:t> </w:t>
      </w:r>
      <w:r w:rsidR="00BF13E9">
        <w:rPr>
          <w:rFonts w:ascii="TimesNewRomanPSMT" w:hAnsi="TimesNewRomanPSMT" w:cs="TimesNewRomanPSMT"/>
        </w:rPr>
        <w:t xml:space="preserve">If Issue 1 is approved and a protest is filed within 21 days of the issuance of the order, </w:t>
      </w:r>
      <w:r w:rsidR="00024377">
        <w:rPr>
          <w:rFonts w:ascii="TimesNewRomanPSMT" w:hAnsi="TimesNewRomanPSMT" w:cs="TimesNewRomanPSMT"/>
        </w:rPr>
        <w:t xml:space="preserve">the tariff, in effect at that time, should remain in effect, with any revenue held subject to refund, pending resolution of the protest. If no timely protest is filed, this docket should be </w:t>
      </w:r>
      <w:r w:rsidR="0064191A">
        <w:rPr>
          <w:rFonts w:ascii="TimesNewRomanPSMT" w:hAnsi="TimesNewRomanPSMT" w:cs="TimesNewRomanPSMT"/>
        </w:rPr>
        <w:t>closed upon</w:t>
      </w:r>
      <w:r w:rsidR="00024377">
        <w:rPr>
          <w:rFonts w:ascii="TimesNewRomanPSMT" w:hAnsi="TimesNewRomanPSMT" w:cs="TimesNewRomanPSMT"/>
        </w:rPr>
        <w:t xml:space="preserve"> the issuance of the consummating order.</w:t>
      </w:r>
      <w:r w:rsidR="00212A0F">
        <w:rPr>
          <w:rFonts w:ascii="TimesNewRomanPSMT" w:hAnsi="TimesNewRomanPSMT" w:cs="TimesNewRomanPSMT"/>
        </w:rPr>
        <w:t xml:space="preserve"> (Stiller)</w:t>
      </w:r>
      <w:r>
        <w:t xml:space="preserve"> </w:t>
      </w:r>
    </w:p>
    <w:p w:rsidR="002C10A1" w:rsidRPr="004C3641" w:rsidRDefault="002C10A1">
      <w:pPr>
        <w:pStyle w:val="IssueSubsectionHeading"/>
        <w:rPr>
          <w:vanish/>
          <w:specVanish/>
        </w:rPr>
      </w:pPr>
      <w:r w:rsidRPr="004C3641">
        <w:t>Staff Analysis: </w:t>
      </w:r>
    </w:p>
    <w:p w:rsidR="004029CB" w:rsidRDefault="002C10A1" w:rsidP="00E275D8">
      <w:pPr>
        <w:pStyle w:val="BodyText"/>
        <w:sectPr w:rsidR="004029CB"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t> </w:t>
      </w:r>
      <w:r w:rsidR="00024377">
        <w:rPr>
          <w:rFonts w:ascii="TimesNewRomanPSMT" w:hAnsi="TimesNewRomanPSMT" w:cs="TimesNewRomanPSMT"/>
        </w:rPr>
        <w:t xml:space="preserve">If Issue 1 is approved and a protest is filed within 21 days of the issuance of the order, the tariff, in effect at that time, should remain in effect, with any revenue held subject to refund, pending resolution of the protest. If no timely protest is filed, this docket should be </w:t>
      </w:r>
      <w:r w:rsidR="0064191A">
        <w:rPr>
          <w:rFonts w:ascii="TimesNewRomanPSMT" w:hAnsi="TimesNewRomanPSMT" w:cs="TimesNewRomanPSMT"/>
        </w:rPr>
        <w:t>closed upon</w:t>
      </w:r>
      <w:r w:rsidR="00024377">
        <w:rPr>
          <w:rFonts w:ascii="TimesNewRomanPSMT" w:hAnsi="TimesNewRomanPSMT" w:cs="TimesNewRomanPSMT"/>
        </w:rPr>
        <w:t xml:space="preserve"> the issuance of the consummating order</w:t>
      </w:r>
      <w:r w:rsidR="00212A0F">
        <w:rPr>
          <w:rFonts w:ascii="TimesNewRomanPSMT" w:hAnsi="TimesNewRomanPSMT" w:cs="TimesNewRomanPSMT"/>
        </w:rPr>
        <w:t>.</w:t>
      </w:r>
    </w:p>
    <w:p w:rsidR="00A1033E" w:rsidRDefault="00A1033E" w:rsidP="00E275D8">
      <w:pPr>
        <w:pStyle w:val="BodyText"/>
      </w:pPr>
      <w:r>
        <w:rPr>
          <w:noProof/>
        </w:rPr>
        <w:lastRenderedPageBreak/>
        <w:drawing>
          <wp:inline distT="0" distB="0" distL="0" distR="0" wp14:anchorId="282126B2" wp14:editId="6E235C0A">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1033E" w:rsidRDefault="00A1033E" w:rsidP="00E275D8">
      <w:pPr>
        <w:pStyle w:val="BodyText"/>
      </w:pPr>
      <w:r>
        <w:rPr>
          <w:noProof/>
        </w:rPr>
        <w:lastRenderedPageBreak/>
        <w:drawing>
          <wp:inline distT="0" distB="0" distL="0" distR="0" wp14:anchorId="00FCFE95" wp14:editId="66B254C3">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1033E" w:rsidRDefault="00A1033E" w:rsidP="00E275D8">
      <w:pPr>
        <w:pStyle w:val="BodyText"/>
      </w:pPr>
    </w:p>
    <w:p w:rsidR="00A1033E" w:rsidRDefault="00A1033E" w:rsidP="00E275D8">
      <w:pPr>
        <w:pStyle w:val="BodyText"/>
      </w:pPr>
      <w:r>
        <w:rPr>
          <w:noProof/>
        </w:rPr>
        <w:lastRenderedPageBreak/>
        <w:drawing>
          <wp:inline distT="0" distB="0" distL="0" distR="0" wp14:anchorId="3800CE58" wp14:editId="0E98EFC5">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1033E" w:rsidRDefault="00A1033E" w:rsidP="00E275D8">
      <w:pPr>
        <w:pStyle w:val="BodyText"/>
      </w:pPr>
    </w:p>
    <w:p w:rsidR="00A1033E" w:rsidRDefault="00A1033E" w:rsidP="00E275D8">
      <w:pPr>
        <w:pStyle w:val="BodyText"/>
      </w:pPr>
      <w:r>
        <w:rPr>
          <w:noProof/>
        </w:rPr>
        <w:lastRenderedPageBreak/>
        <w:drawing>
          <wp:inline distT="0" distB="0" distL="0" distR="0" wp14:anchorId="193A0880" wp14:editId="58E9CCE3">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A1033E" w:rsidSect="0068481F">
      <w:headerReference w:type="default" r:id="rId18"/>
      <w:pgSz w:w="12240" w:h="15840" w:code="1"/>
      <w:pgMar w:top="1584" w:right="1440" w:bottom="1440" w:left="1440" w:header="720" w:footer="720" w:gutter="0"/>
      <w:cols w:space="720"/>
      <w:formProt w:val="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D2C455" w16cid:durableId="1BA500BC"/>
  <w16cid:commentId w16cid:paraId="3E2293BC" w16cid:durableId="2E362B4D"/>
  <w16cid:commentId w16cid:paraId="7652859D" w16cid:durableId="01C057D1"/>
  <w16cid:commentId w16cid:paraId="129125DB" w16cid:durableId="31A3B0E9"/>
  <w16cid:commentId w16cid:paraId="78BE0251" w16cid:durableId="6F3B9C83"/>
  <w16cid:commentId w16cid:paraId="0897BFA7" w16cid:durableId="22BB98AB"/>
  <w16cid:commentId w16cid:paraId="416B87D5" w16cid:durableId="180BC7A2"/>
  <w16cid:commentId w16cid:paraId="5485FED6" w16cid:durableId="12EE1A6B"/>
  <w16cid:commentId w16cid:paraId="79377B8A" w16cid:durableId="154A5BF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6FCA" w:rsidRDefault="00586FCA">
      <w:r>
        <w:separator/>
      </w:r>
    </w:p>
  </w:endnote>
  <w:endnote w:type="continuationSeparator" w:id="0">
    <w:p w:rsidR="00586FCA" w:rsidRDefault="00586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FC5" w:rsidRDefault="000D3FC5">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734B2">
      <w:rPr>
        <w:rStyle w:val="PageNumber"/>
        <w:noProof/>
      </w:rPr>
      <w:t>14</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FC5" w:rsidRDefault="000D3F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6FCA" w:rsidRDefault="00586FCA">
      <w:r>
        <w:separator/>
      </w:r>
    </w:p>
  </w:footnote>
  <w:footnote w:type="continuationSeparator" w:id="0">
    <w:p w:rsidR="00586FCA" w:rsidRDefault="00586FCA">
      <w:r>
        <w:continuationSeparator/>
      </w:r>
    </w:p>
  </w:footnote>
  <w:footnote w:id="1">
    <w:p w:rsidR="00C52AB2" w:rsidRDefault="00C52AB2" w:rsidP="00C52AB2">
      <w:pPr>
        <w:pStyle w:val="FootnoteText"/>
      </w:pPr>
      <w:r>
        <w:rPr>
          <w:rStyle w:val="FootnoteReference"/>
        </w:rPr>
        <w:footnoteRef/>
      </w:r>
      <w:r>
        <w:t xml:space="preserve">Order No. PSC-2019-0215-TRF-EI, Order Approving Tampa Electric Company’s Shared Solar Tariff, issued June 3, 2019, in Docket No. 20180204-EI, </w:t>
      </w:r>
      <w:r w:rsidRPr="00DF4EEB">
        <w:rPr>
          <w:i/>
        </w:rPr>
        <w:t>In re:</w:t>
      </w:r>
      <w:r>
        <w:rPr>
          <w:i/>
        </w:rPr>
        <w:t xml:space="preserve"> </w:t>
      </w:r>
      <w:r w:rsidRPr="00DF4EEB">
        <w:rPr>
          <w:i/>
        </w:rPr>
        <w:t>Petition for approval of shared solar ta</w:t>
      </w:r>
      <w:r>
        <w:rPr>
          <w:i/>
        </w:rPr>
        <w:t>riff, by Tampa Electric Company.</w:t>
      </w:r>
      <w:r w:rsidR="00565230">
        <w:rPr>
          <w:i/>
        </w:rPr>
        <w:t xml:space="preserve"> </w:t>
      </w:r>
      <w:r w:rsidR="00C208E9" w:rsidRPr="00B941E4">
        <w:t>In 2021, the Commiss</w:t>
      </w:r>
      <w:r w:rsidR="00565230">
        <w:t>i</w:t>
      </w:r>
      <w:r w:rsidR="00C208E9" w:rsidRPr="00B941E4">
        <w:t>on</w:t>
      </w:r>
      <w:r w:rsidR="004C4B29" w:rsidRPr="00B941E4">
        <w:t xml:space="preserve"> reaffirmed its approval of the SSR-1 Tariff when it</w:t>
      </w:r>
      <w:r w:rsidR="00C208E9" w:rsidRPr="00B941E4">
        <w:t xml:space="preserve"> approved a stipulation and settlement agreement that resolved TECO’s last general rate case</w:t>
      </w:r>
      <w:r w:rsidR="004C4B29" w:rsidRPr="00B941E4">
        <w:t xml:space="preserve">. </w:t>
      </w:r>
      <w:r w:rsidR="004C4B29" w:rsidRPr="0015396B">
        <w:rPr>
          <w:i/>
        </w:rPr>
        <w:t>See</w:t>
      </w:r>
      <w:r w:rsidR="004C4B29" w:rsidRPr="00B941E4">
        <w:t xml:space="preserve"> Order No. PSC-2021-0423-S-EI, issued November 10, 2021, in Docket No. 20210034-EI,</w:t>
      </w:r>
      <w:r w:rsidR="004C4B29">
        <w:rPr>
          <w:i/>
        </w:rPr>
        <w:t xml:space="preserve"> In re: Petition for rate increase by Tampa Electric Company </w:t>
      </w:r>
      <w:r w:rsidR="004C4B29" w:rsidRPr="00B941E4">
        <w:t>(2021 Settlement).</w:t>
      </w:r>
    </w:p>
  </w:footnote>
  <w:footnote w:id="2">
    <w:p w:rsidR="000D3FC5" w:rsidRDefault="000D3FC5">
      <w:pPr>
        <w:pStyle w:val="FootnoteText"/>
      </w:pPr>
      <w:r>
        <w:rPr>
          <w:rStyle w:val="FootnoteReference"/>
        </w:rPr>
        <w:footnoteRef/>
      </w:r>
      <w:r>
        <w:t>Order No. PSC-2023-0214-PCO-EI</w:t>
      </w:r>
      <w:r w:rsidR="002306D0">
        <w:t>,</w:t>
      </w:r>
      <w:r>
        <w:t xml:space="preserve"> issued July 26, 2023, in Docket No. 20230072-EI, </w:t>
      </w:r>
      <w:r w:rsidRPr="00DF4EEB">
        <w:rPr>
          <w:i/>
        </w:rPr>
        <w:t>In re:</w:t>
      </w:r>
      <w:r>
        <w:rPr>
          <w:i/>
        </w:rPr>
        <w:t xml:space="preserve"> </w:t>
      </w:r>
      <w:r w:rsidRPr="00DF4EEB">
        <w:rPr>
          <w:i/>
        </w:rPr>
        <w:t>Petition for approval of shared solar tariff</w:t>
      </w:r>
      <w:r>
        <w:rPr>
          <w:i/>
        </w:rPr>
        <w:t xml:space="preserve"> change</w:t>
      </w:r>
      <w:r w:rsidRPr="00DF4EEB">
        <w:rPr>
          <w:i/>
        </w:rPr>
        <w:t>, by Tampa Electric Company.</w:t>
      </w:r>
    </w:p>
  </w:footnote>
  <w:footnote w:id="3">
    <w:p w:rsidR="000D3FC5" w:rsidRDefault="000D3FC5" w:rsidP="00F13885">
      <w:pPr>
        <w:pStyle w:val="FootnoteText"/>
        <w:rPr>
          <w:highlight w:val="yellow"/>
        </w:rPr>
      </w:pPr>
      <w:r w:rsidRPr="00350B53">
        <w:rPr>
          <w:rStyle w:val="FootnoteReference"/>
        </w:rPr>
        <w:footnoteRef/>
      </w:r>
      <w:r w:rsidR="00350B53">
        <w:t xml:space="preserve">Order No. PSC-2018-0571-FOF-EI, issued December 7, 2018, in Docket No. 20180133-EI, </w:t>
      </w:r>
      <w:r w:rsidR="00350B53" w:rsidRPr="00DF4EEB">
        <w:rPr>
          <w:i/>
        </w:rPr>
        <w:t>In re:</w:t>
      </w:r>
      <w:r w:rsidR="00350B53">
        <w:rPr>
          <w:i/>
        </w:rPr>
        <w:t xml:space="preserve"> </w:t>
      </w:r>
      <w:r w:rsidR="00350B53" w:rsidRPr="00DF4EEB">
        <w:rPr>
          <w:i/>
        </w:rPr>
        <w:t xml:space="preserve">Petition for </w:t>
      </w:r>
      <w:r w:rsidR="00350B53">
        <w:rPr>
          <w:i/>
        </w:rPr>
        <w:t xml:space="preserve">limited proceeding to </w:t>
      </w:r>
      <w:r w:rsidR="00350B53" w:rsidRPr="00DF4EEB">
        <w:rPr>
          <w:i/>
        </w:rPr>
        <w:t>approv</w:t>
      </w:r>
      <w:r w:rsidR="00350B53">
        <w:rPr>
          <w:i/>
        </w:rPr>
        <w:t>e second Solar Base Rate Adjustment (SoBRA), effective January 1, 2019,</w:t>
      </w:r>
      <w:r w:rsidR="00350B53" w:rsidRPr="00DF4EEB">
        <w:rPr>
          <w:i/>
        </w:rPr>
        <w:t xml:space="preserve"> by Tampa Electric Company.</w:t>
      </w:r>
    </w:p>
  </w:footnote>
  <w:footnote w:id="4">
    <w:p w:rsidR="00AB46DB" w:rsidRPr="0081017E" w:rsidRDefault="00AB46DB">
      <w:pPr>
        <w:pStyle w:val="FootnoteText"/>
        <w:rPr>
          <w:i/>
        </w:rPr>
      </w:pPr>
      <w:r>
        <w:rPr>
          <w:rStyle w:val="FootnoteReference"/>
        </w:rPr>
        <w:footnoteRef/>
      </w:r>
      <w:r>
        <w:t xml:space="preserve">Order No. PSC-2021-0423-S-EI, issued </w:t>
      </w:r>
      <w:r w:rsidR="002306D0">
        <w:t>November</w:t>
      </w:r>
      <w:r>
        <w:t xml:space="preserve"> 10, 2021, Docket No. 20210034-EI,</w:t>
      </w:r>
      <w:r w:rsidRPr="0081017E">
        <w:rPr>
          <w:i/>
        </w:rPr>
        <w:t xml:space="preserve"> In re: Petition for rate increase by Tampa Electric Company.</w:t>
      </w:r>
    </w:p>
  </w:footnote>
  <w:footnote w:id="5">
    <w:p w:rsidR="000D3FC5" w:rsidRDefault="000D3FC5" w:rsidP="00721D70">
      <w:pPr>
        <w:pStyle w:val="FootnoteText"/>
      </w:pPr>
      <w:r>
        <w:rPr>
          <w:rStyle w:val="FootnoteReference"/>
        </w:rPr>
        <w:footnoteRef/>
      </w:r>
      <w:r>
        <w:t>E</w:t>
      </w:r>
      <w:r w:rsidRPr="00522AC6">
        <w:t xml:space="preserve">xhibit </w:t>
      </w:r>
      <w:r>
        <w:t>A to the petition (</w:t>
      </w:r>
      <w:r w:rsidRPr="00522AC6">
        <w:t>“S</w:t>
      </w:r>
      <w:r>
        <w:t>un Select De-enrollment Reasons</w:t>
      </w:r>
      <w:r w:rsidRPr="00522AC6">
        <w:t>”</w:t>
      </w:r>
      <w:r>
        <w:t>) summarizes</w:t>
      </w:r>
      <w:r w:rsidRPr="00522AC6">
        <w:t xml:space="preserve"> </w:t>
      </w:r>
      <w:r>
        <w:t xml:space="preserve">de-enrollment </w:t>
      </w:r>
      <w:r w:rsidRPr="00522AC6">
        <w:t>data reflecting that about 51 perc</w:t>
      </w:r>
      <w:r>
        <w:t xml:space="preserve">ent of customers that enrolled </w:t>
      </w:r>
      <w:r w:rsidRPr="00522AC6">
        <w:t>and later dropped out of the program cited high participation costs as their reason for exiting.</w:t>
      </w:r>
    </w:p>
  </w:footnote>
  <w:footnote w:id="6">
    <w:p w:rsidR="00F226EA" w:rsidRDefault="00F226EA" w:rsidP="00F226EA">
      <w:pPr>
        <w:pStyle w:val="FootnoteText"/>
      </w:pPr>
      <w:r>
        <w:rPr>
          <w:rStyle w:val="FootnoteReference"/>
        </w:rPr>
        <w:footnoteRef/>
      </w:r>
      <w:r>
        <w:t>Exhibit B to Petition, FPSC Document No. 03449-2023.</w:t>
      </w:r>
    </w:p>
  </w:footnote>
  <w:footnote w:id="7">
    <w:p w:rsidR="00F226EA" w:rsidRDefault="00F226EA" w:rsidP="00F226EA">
      <w:pPr>
        <w:pStyle w:val="FootnoteText"/>
      </w:pPr>
      <w:r>
        <w:rPr>
          <w:rStyle w:val="FootnoteReference"/>
        </w:rPr>
        <w:footnoteRef/>
      </w:r>
      <w:r w:rsidRPr="00795892">
        <w:t>The pri</w:t>
      </w:r>
      <w:r>
        <w:t>ce support for the current (</w:t>
      </w:r>
      <w:r w:rsidRPr="00795892">
        <w:t>6</w:t>
      </w:r>
      <w:r>
        <w:t>.</w:t>
      </w:r>
      <w:r w:rsidRPr="00795892">
        <w:t xml:space="preserve">3 </w:t>
      </w:r>
      <w:r>
        <w:t xml:space="preserve">cents </w:t>
      </w:r>
      <w:r w:rsidRPr="00795892">
        <w:t>per kWh) rate used a depreciable life of 30 years for the Lake Hancock facility.</w:t>
      </w:r>
      <w:r>
        <w:t xml:space="preserve"> </w:t>
      </w:r>
      <w:r w:rsidRPr="00537D55">
        <w:rPr>
          <w:rFonts w:ascii="TimesNewRomanPSMT" w:hAnsi="TimesNewRomanPSMT" w:cs="TimesNewRomanPSMT"/>
        </w:rPr>
        <w:t xml:space="preserve">In the 2021 Agreement, the utility agreed to extend the life of solar assets to 35 years for depreciation purposes. TECO proposes to use this Commission-approved 35-year life in calculating the </w:t>
      </w:r>
      <w:r>
        <w:rPr>
          <w:rFonts w:ascii="TimesNewRomanPSMT" w:hAnsi="TimesNewRomanPSMT" w:cs="TimesNewRomanPSMT"/>
        </w:rPr>
        <w:t>SSR-1</w:t>
      </w:r>
      <w:r w:rsidRPr="00537D55">
        <w:rPr>
          <w:rFonts w:ascii="TimesNewRomanPSMT" w:hAnsi="TimesNewRomanPSMT" w:cs="TimesNewRomanPSMT"/>
        </w:rPr>
        <w:t xml:space="preserve"> rate. This change puts additional downward pressure on the rate.</w:t>
      </w:r>
    </w:p>
  </w:footnote>
  <w:footnote w:id="8">
    <w:p w:rsidR="0091227E" w:rsidRDefault="0091227E">
      <w:pPr>
        <w:pStyle w:val="FootnoteText"/>
      </w:pPr>
      <w:r>
        <w:rPr>
          <w:rStyle w:val="FootnoteReference"/>
        </w:rPr>
        <w:footnoteRef/>
      </w:r>
      <w:r>
        <w:t xml:space="preserve"> TECO’s response to Staff Data Request 2, No. 16.a.</w:t>
      </w:r>
    </w:p>
  </w:footnote>
  <w:footnote w:id="9">
    <w:p w:rsidR="000D3FC5" w:rsidRDefault="000D3FC5" w:rsidP="005E6033">
      <w:pPr>
        <w:pStyle w:val="FootnoteText"/>
      </w:pPr>
      <w:r>
        <w:rPr>
          <w:rStyle w:val="FootnoteReference"/>
        </w:rPr>
        <w:footnoteRef/>
      </w:r>
      <w:r>
        <w:t>Based on 30 MW operating at a 25.8% capacity factor, which produces approximately 67.8 gigawatt-hours (GWh) annually, versus TECO’s net energy for load of 20,977 GWh.</w:t>
      </w:r>
    </w:p>
  </w:footnote>
  <w:footnote w:id="10">
    <w:p w:rsidR="00F226EA" w:rsidRDefault="00F226EA" w:rsidP="00F226EA">
      <w:pPr>
        <w:pStyle w:val="FootnoteText"/>
      </w:pPr>
      <w:r>
        <w:rPr>
          <w:rStyle w:val="FootnoteReference"/>
        </w:rPr>
        <w:footnoteRef/>
      </w:r>
      <w:r>
        <w:rPr>
          <w:rFonts w:ascii="TimesNewRomanPSMT" w:hAnsi="TimesNewRomanPSMT" w:cs="TimesNewRomanPSMT"/>
        </w:rPr>
        <w:t xml:space="preserve">In its current form, the Sun Select program features a </w:t>
      </w:r>
      <w:r w:rsidRPr="00814784">
        <w:rPr>
          <w:rFonts w:ascii="TimesNewRomanPSMT" w:hAnsi="TimesNewRomanPSMT" w:cs="TimesNewRomanPSMT"/>
        </w:rPr>
        <w:t>5 percent</w:t>
      </w:r>
      <w:r>
        <w:rPr>
          <w:rFonts w:ascii="TimesNewRomanPSMT" w:hAnsi="TimesNewRomanPSMT" w:cs="TimesNewRomanPSMT"/>
        </w:rPr>
        <w:t xml:space="preserve"> buffer</w:t>
      </w:r>
      <w:r w:rsidRPr="00814784">
        <w:rPr>
          <w:rFonts w:ascii="TimesNewRomanPSMT" w:hAnsi="TimesNewRomanPSMT" w:cs="TimesNewRomanPSMT"/>
        </w:rPr>
        <w:t xml:space="preserve">, which </w:t>
      </w:r>
      <w:r>
        <w:rPr>
          <w:rFonts w:ascii="TimesNewRomanPSMT" w:hAnsi="TimesNewRomanPSMT" w:cs="TimesNewRomanPSMT"/>
        </w:rPr>
        <w:t>results in the program</w:t>
      </w:r>
      <w:r w:rsidRPr="00814784">
        <w:rPr>
          <w:rFonts w:ascii="TimesNewRomanPSMT" w:hAnsi="TimesNewRomanPSMT" w:cs="TimesNewRomanPSMT"/>
        </w:rPr>
        <w:t xml:space="preserve"> having a </w:t>
      </w:r>
      <w:r>
        <w:rPr>
          <w:rFonts w:ascii="TimesNewRomanPSMT" w:hAnsi="TimesNewRomanPSMT" w:cs="TimesNewRomanPSMT"/>
        </w:rPr>
        <w:t>maximum</w:t>
      </w:r>
      <w:r w:rsidRPr="00814784">
        <w:rPr>
          <w:rFonts w:ascii="TimesNewRomanPSMT" w:hAnsi="TimesNewRomanPSMT" w:cs="TimesNewRomanPSMT"/>
        </w:rPr>
        <w:t xml:space="preserve"> expected annual energy outp</w:t>
      </w:r>
      <w:r>
        <w:rPr>
          <w:rFonts w:ascii="TimesNewRomanPSMT" w:hAnsi="TimesNewRomanPSMT" w:cs="TimesNewRomanPSMT"/>
        </w:rPr>
        <w:t>ut of 95 percent.</w:t>
      </w:r>
    </w:p>
  </w:footnote>
  <w:footnote w:id="11">
    <w:p w:rsidR="000D3FC5" w:rsidRDefault="000D3FC5">
      <w:pPr>
        <w:pStyle w:val="FootnoteText"/>
      </w:pPr>
      <w:r>
        <w:rPr>
          <w:rStyle w:val="FootnoteReference"/>
        </w:rPr>
        <w:footnoteRef/>
      </w:r>
      <w:r w:rsidR="00E81815">
        <w:t>TECO’s R</w:t>
      </w:r>
      <w:r>
        <w:t xml:space="preserve">esponse to Staff’s First Data Request, Nos. 5 and </w:t>
      </w:r>
      <w:r w:rsidR="00E81815">
        <w:t xml:space="preserve">6, </w:t>
      </w:r>
      <w:r w:rsidR="00897FC1">
        <w:t>FPSC Document No.</w:t>
      </w:r>
      <w:r w:rsidR="00E81815">
        <w:t xml:space="preserve"> 04517-2023. </w:t>
      </w:r>
    </w:p>
  </w:footnote>
  <w:footnote w:id="12">
    <w:p w:rsidR="000D3FC5" w:rsidRDefault="000D3FC5" w:rsidP="001F43A7">
      <w:pPr>
        <w:jc w:val="both"/>
      </w:pPr>
      <w:r>
        <w:rPr>
          <w:rStyle w:val="FootnoteReference"/>
        </w:rPr>
        <w:footnoteRef/>
      </w:r>
      <w:r w:rsidRPr="001F43A7">
        <w:rPr>
          <w:sz w:val="20"/>
          <w:szCs w:val="20"/>
        </w:rPr>
        <w:t xml:space="preserve">The utility provided staff the website link promoting their optional Sun Select program. </w:t>
      </w:r>
      <w:r w:rsidRPr="0015396B">
        <w:rPr>
          <w:i/>
          <w:sz w:val="20"/>
          <w:szCs w:val="20"/>
        </w:rPr>
        <w:t>See</w:t>
      </w:r>
      <w:r w:rsidRPr="001F43A7">
        <w:rPr>
          <w:sz w:val="20"/>
          <w:szCs w:val="20"/>
        </w:rPr>
        <w:t xml:space="preserve"> </w:t>
      </w:r>
      <w:hyperlink r:id="rId1" w:history="1">
        <w:r w:rsidRPr="001F43A7">
          <w:rPr>
            <w:rStyle w:val="Hyperlink"/>
            <w:sz w:val="20"/>
            <w:szCs w:val="20"/>
          </w:rPr>
          <w:t>https://www.tampaelectric.com/company/solar-energy/sun-select/</w:t>
        </w:r>
      </w:hyperlink>
    </w:p>
    <w:p w:rsidR="000D3FC5" w:rsidRDefault="000D3FC5">
      <w:pPr>
        <w:pStyle w:val="FootnoteText"/>
      </w:pPr>
    </w:p>
  </w:footnote>
  <w:footnote w:id="13">
    <w:p w:rsidR="00897FC1" w:rsidRDefault="00897FC1">
      <w:pPr>
        <w:pStyle w:val="FootnoteText"/>
      </w:pPr>
      <w:r>
        <w:rPr>
          <w:rStyle w:val="FootnoteReference"/>
        </w:rPr>
        <w:footnoteRef/>
      </w:r>
      <w:r>
        <w:t>TECO provided staff a projection of nominal System Average Fuel Costs to 2030, FPSC Document No. 05265-2023.</w:t>
      </w:r>
    </w:p>
  </w:footnote>
  <w:footnote w:id="14">
    <w:p w:rsidR="00171244" w:rsidRDefault="00171244">
      <w:pPr>
        <w:pStyle w:val="FootnoteText"/>
      </w:pPr>
      <w:r>
        <w:rPr>
          <w:rStyle w:val="FootnoteReference"/>
        </w:rPr>
        <w:footnoteRef/>
      </w:r>
      <w:r w:rsidR="00897FC1">
        <w:t>TECO’s R</w:t>
      </w:r>
      <w:r>
        <w:t>esponse to Staff’s First Data Request, No. 4.a.</w:t>
      </w:r>
      <w:r w:rsidR="00897FC1">
        <w:t>, FPSC Document No. 04517-2023.</w:t>
      </w:r>
    </w:p>
  </w:footnote>
  <w:footnote w:id="15">
    <w:p w:rsidR="00E8272C" w:rsidRDefault="00E8272C">
      <w:pPr>
        <w:pStyle w:val="FootnoteText"/>
      </w:pPr>
      <w:r>
        <w:rPr>
          <w:rStyle w:val="FootnoteReference"/>
        </w:rPr>
        <w:footnoteRef/>
      </w:r>
      <w:r w:rsidR="007335AE" w:rsidRPr="0015396B">
        <w:rPr>
          <w:i/>
        </w:rPr>
        <w:t>See</w:t>
      </w:r>
      <w:r w:rsidR="007335AE">
        <w:t xml:space="preserve"> Order No. PSC-2021-0423-S-EI</w:t>
      </w:r>
      <w:r>
        <w:t xml:space="preserve">, </w:t>
      </w:r>
      <w:r w:rsidR="007335AE">
        <w:t>issued November 10, 2021, in Docket No. 20210034-EI</w:t>
      </w:r>
      <w:r w:rsidR="00354C05">
        <w:t>,</w:t>
      </w:r>
      <w:r w:rsidR="00354C05" w:rsidRPr="00B941E4">
        <w:rPr>
          <w:i/>
        </w:rPr>
        <w:t xml:space="preserve"> In re: Petition for rate increase by Tampa Electric Company</w:t>
      </w:r>
      <w:r w:rsidR="007335AE" w:rsidRPr="00B941E4">
        <w:rPr>
          <w:i/>
        </w:rPr>
        <w:t>.</w:t>
      </w:r>
      <w:r w:rsidR="007335AE">
        <w:t xml:space="preserve"> At Page 5 of th</w:t>
      </w:r>
      <w:r w:rsidR="00354C05">
        <w:t>at</w:t>
      </w:r>
      <w:r w:rsidR="007335AE">
        <w:t xml:space="preserve"> </w:t>
      </w:r>
      <w:r w:rsidR="00354C05">
        <w:t>O</w:t>
      </w:r>
      <w:r w:rsidR="007335AE">
        <w:t xml:space="preserve">rder, </w:t>
      </w:r>
      <w:r>
        <w:t xml:space="preserve">the revenue requirement of the 17.5 MW portion of Lake Hancock Generating Station was required to be included in the revenue requirements of future rate proceedings, as an addition to base rates, and the revenues under the tariff were to be credited to the revenue requirement as an offset. This was implemented in the 2021 </w:t>
      </w:r>
      <w:r w:rsidR="002306D0">
        <w:t>Settlement</w:t>
      </w:r>
      <w:r>
        <w:t xml:space="preserve"> Agreement</w:t>
      </w:r>
      <w:r w:rsidR="00C818DB">
        <w:t xml:space="preserve"> in revised MFR Schedule E-13c in Docket No. 20210034-EI (Document No. 03510-2021, Pages 2,</w:t>
      </w:r>
      <w:r w:rsidR="007335AE">
        <w:t xml:space="preserve"> </w:t>
      </w:r>
      <w:r w:rsidR="00C818DB">
        <w:t>3, and 5</w:t>
      </w:r>
      <w:r>
        <w:t xml:space="preserve">. This credit to revenue amounted to $723,807 for the RS rate class, </w:t>
      </w:r>
      <w:r w:rsidR="00C818DB">
        <w:t>$6,691</w:t>
      </w:r>
      <w:r>
        <w:t xml:space="preserve"> for the GS class, and </w:t>
      </w:r>
      <w:r w:rsidR="00C818DB">
        <w:t xml:space="preserve">$15,120 </w:t>
      </w:r>
      <w:r w:rsidR="007335AE">
        <w:t xml:space="preserve">for the GSD and </w:t>
      </w:r>
      <w:r w:rsidR="002306D0">
        <w:t>GSDT.</w:t>
      </w:r>
    </w:p>
  </w:footnote>
  <w:footnote w:id="16">
    <w:p w:rsidR="00B7184F" w:rsidRPr="00B941E4" w:rsidRDefault="00B7184F">
      <w:pPr>
        <w:pStyle w:val="FootnoteText"/>
      </w:pPr>
      <w:r>
        <w:rPr>
          <w:rStyle w:val="FootnoteReference"/>
        </w:rPr>
        <w:footnoteRef/>
      </w:r>
      <w:r>
        <w:t xml:space="preserve">Oder No. PSC-2023-0191-TRF-EI, issued June 29, 2023, in Docket No. 20220202-EI, </w:t>
      </w:r>
      <w:r w:rsidRPr="0081017E">
        <w:rPr>
          <w:i/>
        </w:rPr>
        <w:t>In re: Petition for approval of new clean energy impact program, a new renewable certificates (REC) buying program, by Duke Energy Florida, LLC.</w:t>
      </w:r>
      <w:r w:rsidR="00D417F2">
        <w:rPr>
          <w:i/>
        </w:rPr>
        <w:t xml:space="preserve"> </w:t>
      </w:r>
      <w:r w:rsidR="00D417F2">
        <w:t xml:space="preserve">An appeal of this Order is currently pending before the Florida Supreme Court, Case No. SC21-303.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FC5" w:rsidRDefault="000D3FC5" w:rsidP="00220732">
    <w:pPr>
      <w:pStyle w:val="Header"/>
      <w:tabs>
        <w:tab w:val="clear" w:pos="4320"/>
        <w:tab w:val="clear" w:pos="8640"/>
        <w:tab w:val="right" w:pos="9360"/>
      </w:tabs>
    </w:pPr>
    <w:bookmarkStart w:id="14" w:name="DocketLabel"/>
    <w:r>
      <w:t>Docket No.</w:t>
    </w:r>
    <w:bookmarkEnd w:id="14"/>
    <w:r>
      <w:t xml:space="preserve"> </w:t>
    </w:r>
    <w:bookmarkStart w:id="15" w:name="DocketList"/>
    <w:r>
      <w:t>20230072-EI</w:t>
    </w:r>
    <w:bookmarkEnd w:id="15"/>
  </w:p>
  <w:p w:rsidR="000D3FC5" w:rsidRDefault="000D3FC5" w:rsidP="00840F79">
    <w:pPr>
      <w:pStyle w:val="Header"/>
    </w:pPr>
    <w:r>
      <w:t xml:space="preserve">Date: </w:t>
    </w:r>
    <w:fldSimple w:instr=" REF FilingDate ">
      <w:r w:rsidR="00B941E4">
        <w:t>October 27</w:t>
      </w:r>
      <w:r w:rsidR="00520785">
        <w:t>, 2023</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FC5" w:rsidRDefault="000D3FC5" w:rsidP="00220732">
    <w:pPr>
      <w:pStyle w:val="Header"/>
      <w:tabs>
        <w:tab w:val="clear" w:pos="4320"/>
        <w:tab w:val="clear" w:pos="8640"/>
        <w:tab w:val="right" w:pos="9360"/>
      </w:tabs>
    </w:pPr>
    <w:r>
      <w:fldChar w:fldCharType="begin"/>
    </w:r>
    <w:r>
      <w:instrText xml:space="preserve"> REF DocketLabel</w:instrText>
    </w:r>
    <w:r>
      <w:fldChar w:fldCharType="separate"/>
    </w:r>
    <w:r w:rsidR="00520785">
      <w:t>Docket No.</w:t>
    </w:r>
    <w:r>
      <w:fldChar w:fldCharType="end"/>
    </w:r>
    <w:r>
      <w:t xml:space="preserve"> </w:t>
    </w:r>
    <w:r>
      <w:fldChar w:fldCharType="begin"/>
    </w:r>
    <w:r>
      <w:instrText xml:space="preserve"> REF DocketList</w:instrText>
    </w:r>
    <w:r>
      <w:fldChar w:fldCharType="separate"/>
    </w:r>
    <w:r w:rsidR="00520785">
      <w:t>20230072-EI</w:t>
    </w:r>
    <w:r>
      <w:fldChar w:fldCharType="end"/>
    </w:r>
    <w:r>
      <w:tab/>
      <w:t xml:space="preserve">Issue </w:t>
    </w:r>
    <w:fldSimple w:instr=" Seq Issue \c \* Arabic ">
      <w:r w:rsidR="00E734B2">
        <w:rPr>
          <w:noProof/>
        </w:rPr>
        <w:t>2</w:t>
      </w:r>
    </w:fldSimple>
  </w:p>
  <w:p w:rsidR="000D3FC5" w:rsidRDefault="000D3FC5">
    <w:pPr>
      <w:pStyle w:val="Header"/>
    </w:pPr>
    <w:r>
      <w:t xml:space="preserve">Date: </w:t>
    </w:r>
    <w:fldSimple w:instr=" REF FilingDate ">
      <w:r w:rsidR="0033532D">
        <w:t>October 27</w:t>
      </w:r>
      <w:r w:rsidR="00520785">
        <w:t>, 2023</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FC5" w:rsidRDefault="000D3F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FC5" w:rsidRDefault="000D3FC5" w:rsidP="004029CB">
    <w:pPr>
      <w:pStyle w:val="Header"/>
      <w:tabs>
        <w:tab w:val="clear" w:pos="4320"/>
        <w:tab w:val="clear" w:pos="8640"/>
        <w:tab w:val="right" w:pos="9360"/>
      </w:tabs>
    </w:pPr>
    <w:r>
      <w:fldChar w:fldCharType="begin"/>
    </w:r>
    <w:r>
      <w:instrText xml:space="preserve"> REF DocketLabel</w:instrText>
    </w:r>
    <w:r>
      <w:fldChar w:fldCharType="separate"/>
    </w:r>
    <w:r w:rsidR="00520785">
      <w:t>Docket No.</w:t>
    </w:r>
    <w:r>
      <w:fldChar w:fldCharType="end"/>
    </w:r>
    <w:r>
      <w:t xml:space="preserve"> </w:t>
    </w:r>
    <w:r>
      <w:fldChar w:fldCharType="begin"/>
    </w:r>
    <w:r>
      <w:instrText xml:space="preserve"> REF DocketList</w:instrText>
    </w:r>
    <w:r>
      <w:fldChar w:fldCharType="separate"/>
    </w:r>
    <w:r w:rsidR="00520785">
      <w:t>20230072-EI</w:t>
    </w:r>
    <w:r>
      <w:fldChar w:fldCharType="end"/>
    </w:r>
    <w:r>
      <w:tab/>
      <w:t>Attachment A</w:t>
    </w:r>
  </w:p>
  <w:p w:rsidR="000D3FC5" w:rsidRDefault="000D3FC5" w:rsidP="004029CB">
    <w:pPr>
      <w:pStyle w:val="Header"/>
      <w:tabs>
        <w:tab w:val="clear" w:pos="4320"/>
        <w:tab w:val="clear" w:pos="8640"/>
        <w:tab w:val="right" w:pos="9360"/>
      </w:tabs>
    </w:pPr>
    <w:r>
      <w:t>Date:</w:t>
    </w:r>
    <w:r w:rsidRPr="004029CB">
      <w:t xml:space="preserve"> </w:t>
    </w:r>
    <w:fldSimple w:instr=" REF FilingDate ">
      <w:r w:rsidR="0033532D">
        <w:t>October 27</w:t>
      </w:r>
      <w:r w:rsidR="00520785">
        <w:t>, 2023</w:t>
      </w:r>
    </w:fldSimple>
    <w:r>
      <w:tab/>
    </w:r>
    <w:r w:rsidR="00561210">
      <w:t xml:space="preserve">Page </w:t>
    </w:r>
    <w:r w:rsidR="00561210">
      <w:fldChar w:fldCharType="begin"/>
    </w:r>
    <w:r w:rsidR="00561210">
      <w:instrText xml:space="preserve">= </w:instrText>
    </w:r>
    <w:r w:rsidR="00561210">
      <w:fldChar w:fldCharType="begin"/>
    </w:r>
    <w:r w:rsidR="00561210">
      <w:instrText xml:space="preserve">Page </w:instrText>
    </w:r>
    <w:r w:rsidR="00561210">
      <w:fldChar w:fldCharType="separate"/>
    </w:r>
    <w:r w:rsidR="00E734B2">
      <w:rPr>
        <w:noProof/>
      </w:rPr>
      <w:instrText>14</w:instrText>
    </w:r>
    <w:r w:rsidR="00561210">
      <w:fldChar w:fldCharType="end"/>
    </w:r>
    <w:r w:rsidR="009D040B">
      <w:instrText>- 10</w:instrText>
    </w:r>
    <w:r w:rsidR="00561210">
      <w:fldChar w:fldCharType="separate"/>
    </w:r>
    <w:r w:rsidR="00E734B2">
      <w:rPr>
        <w:noProof/>
      </w:rPr>
      <w:t>4</w:t>
    </w:r>
    <w:r w:rsidR="00561210">
      <w:fldChar w:fldCharType="end"/>
    </w:r>
    <w:r w:rsidR="00561210">
      <w:t xml:space="preserve"> of 4</w:t>
    </w:r>
  </w:p>
  <w:p w:rsidR="000D3FC5" w:rsidRPr="004029CB" w:rsidRDefault="000D3FC5" w:rsidP="004029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E7E655E"/>
    <w:multiLevelType w:val="hybridMultilevel"/>
    <w:tmpl w:val="29FC08C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6B932FBB"/>
    <w:multiLevelType w:val="hybridMultilevel"/>
    <w:tmpl w:val="7D40A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A75876"/>
    <w:multiLevelType w:val="multilevel"/>
    <w:tmpl w:val="FF26110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F941B5A"/>
    <w:multiLevelType w:val="hybridMultilevel"/>
    <w:tmpl w:val="B8C4D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3"/>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s-MX" w:vendorID="64" w:dllVersion="6" w:nlCheck="1" w:checkStyle="1"/>
  <w:activeWritingStyle w:appName="MSWord" w:lang="en-US" w:vendorID="64" w:dllVersion="4096" w:nlCheck="1" w:checkStyle="0"/>
  <w:activeWritingStyle w:appName="MSWord" w:lang="en-US"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638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2DC39D9-B7F2-4F33-8079-DE13EA01171C}"/>
    <w:docVar w:name="dgnword-eventsink" w:val="337566896"/>
    <w:docVar w:name="NumberOfIssues" w:val="0"/>
    <w:docVar w:name="StaffInToC" w:val="True"/>
  </w:docVars>
  <w:rsids>
    <w:rsidRoot w:val="002C10A1"/>
    <w:rsid w:val="000043D5"/>
    <w:rsid w:val="00006170"/>
    <w:rsid w:val="00010E37"/>
    <w:rsid w:val="000172DA"/>
    <w:rsid w:val="00022337"/>
    <w:rsid w:val="00023A0E"/>
    <w:rsid w:val="00024377"/>
    <w:rsid w:val="000247C5"/>
    <w:rsid w:val="000277C2"/>
    <w:rsid w:val="00035B48"/>
    <w:rsid w:val="00036CE2"/>
    <w:rsid w:val="000431F6"/>
    <w:rsid w:val="000437FE"/>
    <w:rsid w:val="000513BE"/>
    <w:rsid w:val="00051573"/>
    <w:rsid w:val="00052BE1"/>
    <w:rsid w:val="0005451B"/>
    <w:rsid w:val="00056A02"/>
    <w:rsid w:val="00065A06"/>
    <w:rsid w:val="000666F3"/>
    <w:rsid w:val="00066A62"/>
    <w:rsid w:val="00067714"/>
    <w:rsid w:val="00070DCB"/>
    <w:rsid w:val="00072CCA"/>
    <w:rsid w:val="00073120"/>
    <w:rsid w:val="000764D0"/>
    <w:rsid w:val="00082538"/>
    <w:rsid w:val="000828D3"/>
    <w:rsid w:val="00097631"/>
    <w:rsid w:val="000A2B57"/>
    <w:rsid w:val="000A418B"/>
    <w:rsid w:val="000A7C8D"/>
    <w:rsid w:val="000A7DCC"/>
    <w:rsid w:val="000B0ACE"/>
    <w:rsid w:val="000B3164"/>
    <w:rsid w:val="000C0A5B"/>
    <w:rsid w:val="000C2009"/>
    <w:rsid w:val="000C4431"/>
    <w:rsid w:val="000C6607"/>
    <w:rsid w:val="000D1C06"/>
    <w:rsid w:val="000D3043"/>
    <w:rsid w:val="000D3FC5"/>
    <w:rsid w:val="000D4319"/>
    <w:rsid w:val="000E24FA"/>
    <w:rsid w:val="000E338A"/>
    <w:rsid w:val="000E4392"/>
    <w:rsid w:val="000E5995"/>
    <w:rsid w:val="000F374A"/>
    <w:rsid w:val="000F4DAF"/>
    <w:rsid w:val="00102C05"/>
    <w:rsid w:val="00105BA1"/>
    <w:rsid w:val="001076AF"/>
    <w:rsid w:val="00107D90"/>
    <w:rsid w:val="001109F6"/>
    <w:rsid w:val="00116C6B"/>
    <w:rsid w:val="00117C8C"/>
    <w:rsid w:val="00122FF5"/>
    <w:rsid w:val="001239F0"/>
    <w:rsid w:val="00124C38"/>
    <w:rsid w:val="00124E2E"/>
    <w:rsid w:val="00125ED4"/>
    <w:rsid w:val="001303BF"/>
    <w:rsid w:val="001305E9"/>
    <w:rsid w:val="001307AF"/>
    <w:rsid w:val="00130E74"/>
    <w:rsid w:val="0013347E"/>
    <w:rsid w:val="00135687"/>
    <w:rsid w:val="00136BD1"/>
    <w:rsid w:val="00136BDE"/>
    <w:rsid w:val="00146B5D"/>
    <w:rsid w:val="00146B83"/>
    <w:rsid w:val="00150ECE"/>
    <w:rsid w:val="0015396B"/>
    <w:rsid w:val="0015506E"/>
    <w:rsid w:val="001554CA"/>
    <w:rsid w:val="00157CD7"/>
    <w:rsid w:val="00163031"/>
    <w:rsid w:val="001654C4"/>
    <w:rsid w:val="00171244"/>
    <w:rsid w:val="00171A90"/>
    <w:rsid w:val="00180254"/>
    <w:rsid w:val="00185D30"/>
    <w:rsid w:val="00190D7E"/>
    <w:rsid w:val="00191E1F"/>
    <w:rsid w:val="00191EE8"/>
    <w:rsid w:val="00192943"/>
    <w:rsid w:val="00193BAF"/>
    <w:rsid w:val="00194791"/>
    <w:rsid w:val="00194AD9"/>
    <w:rsid w:val="00195677"/>
    <w:rsid w:val="001A5067"/>
    <w:rsid w:val="001A7406"/>
    <w:rsid w:val="001A7AE4"/>
    <w:rsid w:val="001B1EDC"/>
    <w:rsid w:val="001B4053"/>
    <w:rsid w:val="001B4FEE"/>
    <w:rsid w:val="001B51C5"/>
    <w:rsid w:val="001B672A"/>
    <w:rsid w:val="001B6F3F"/>
    <w:rsid w:val="001C52B5"/>
    <w:rsid w:val="001D0D3E"/>
    <w:rsid w:val="001D2817"/>
    <w:rsid w:val="001D2899"/>
    <w:rsid w:val="001E14A3"/>
    <w:rsid w:val="001E25DF"/>
    <w:rsid w:val="001E7EE2"/>
    <w:rsid w:val="001E7FF4"/>
    <w:rsid w:val="001F2245"/>
    <w:rsid w:val="001F2C63"/>
    <w:rsid w:val="001F43A7"/>
    <w:rsid w:val="001F48C7"/>
    <w:rsid w:val="001F6DA1"/>
    <w:rsid w:val="00200178"/>
    <w:rsid w:val="00204200"/>
    <w:rsid w:val="002044E6"/>
    <w:rsid w:val="00205C82"/>
    <w:rsid w:val="00205DC2"/>
    <w:rsid w:val="00212A0F"/>
    <w:rsid w:val="00212B17"/>
    <w:rsid w:val="002147C7"/>
    <w:rsid w:val="002163B6"/>
    <w:rsid w:val="00217215"/>
    <w:rsid w:val="0021725D"/>
    <w:rsid w:val="00220732"/>
    <w:rsid w:val="0022121F"/>
    <w:rsid w:val="00221D04"/>
    <w:rsid w:val="00221D32"/>
    <w:rsid w:val="00222AC1"/>
    <w:rsid w:val="002230A1"/>
    <w:rsid w:val="002251E1"/>
    <w:rsid w:val="00225C3F"/>
    <w:rsid w:val="002306D0"/>
    <w:rsid w:val="00230CDA"/>
    <w:rsid w:val="00241392"/>
    <w:rsid w:val="00255A34"/>
    <w:rsid w:val="00263D44"/>
    <w:rsid w:val="00266B11"/>
    <w:rsid w:val="002702AD"/>
    <w:rsid w:val="00274789"/>
    <w:rsid w:val="002760D5"/>
    <w:rsid w:val="00280226"/>
    <w:rsid w:val="00281EB4"/>
    <w:rsid w:val="00282D65"/>
    <w:rsid w:val="00292D82"/>
    <w:rsid w:val="00293EE7"/>
    <w:rsid w:val="002963CB"/>
    <w:rsid w:val="002B2DAC"/>
    <w:rsid w:val="002B4A01"/>
    <w:rsid w:val="002C0A3E"/>
    <w:rsid w:val="002C10A1"/>
    <w:rsid w:val="002C291B"/>
    <w:rsid w:val="002C746A"/>
    <w:rsid w:val="002C7E4E"/>
    <w:rsid w:val="002D226D"/>
    <w:rsid w:val="002D74E3"/>
    <w:rsid w:val="002E3C37"/>
    <w:rsid w:val="002F1CAA"/>
    <w:rsid w:val="002F6030"/>
    <w:rsid w:val="003001AC"/>
    <w:rsid w:val="003037E1"/>
    <w:rsid w:val="003037F2"/>
    <w:rsid w:val="0030492A"/>
    <w:rsid w:val="00304F92"/>
    <w:rsid w:val="00306EC3"/>
    <w:rsid w:val="00307E51"/>
    <w:rsid w:val="003103EC"/>
    <w:rsid w:val="003120C6"/>
    <w:rsid w:val="00312132"/>
    <w:rsid w:val="003130BA"/>
    <w:rsid w:val="003144EF"/>
    <w:rsid w:val="0031480E"/>
    <w:rsid w:val="00316877"/>
    <w:rsid w:val="0032261C"/>
    <w:rsid w:val="00322F74"/>
    <w:rsid w:val="00325E15"/>
    <w:rsid w:val="00334E1E"/>
    <w:rsid w:val="0033532D"/>
    <w:rsid w:val="00340073"/>
    <w:rsid w:val="003411D8"/>
    <w:rsid w:val="003445B0"/>
    <w:rsid w:val="00344A57"/>
    <w:rsid w:val="00350089"/>
    <w:rsid w:val="00350B53"/>
    <w:rsid w:val="00353B66"/>
    <w:rsid w:val="00354C05"/>
    <w:rsid w:val="00355934"/>
    <w:rsid w:val="00357928"/>
    <w:rsid w:val="003579E1"/>
    <w:rsid w:val="0036293D"/>
    <w:rsid w:val="003632FD"/>
    <w:rsid w:val="00370F78"/>
    <w:rsid w:val="00372681"/>
    <w:rsid w:val="00372805"/>
    <w:rsid w:val="00373180"/>
    <w:rsid w:val="00375AB9"/>
    <w:rsid w:val="0037691E"/>
    <w:rsid w:val="0038212A"/>
    <w:rsid w:val="003821A0"/>
    <w:rsid w:val="00383262"/>
    <w:rsid w:val="00385B04"/>
    <w:rsid w:val="003864CF"/>
    <w:rsid w:val="003948AE"/>
    <w:rsid w:val="003A01AD"/>
    <w:rsid w:val="003A08C0"/>
    <w:rsid w:val="003A22A6"/>
    <w:rsid w:val="003A32EB"/>
    <w:rsid w:val="003A5494"/>
    <w:rsid w:val="003B2510"/>
    <w:rsid w:val="003B4355"/>
    <w:rsid w:val="003B5C84"/>
    <w:rsid w:val="003B6816"/>
    <w:rsid w:val="003C2CC4"/>
    <w:rsid w:val="003C3710"/>
    <w:rsid w:val="003C42A3"/>
    <w:rsid w:val="003C48F7"/>
    <w:rsid w:val="003C4DC8"/>
    <w:rsid w:val="003E0463"/>
    <w:rsid w:val="003E0EFC"/>
    <w:rsid w:val="003E1A94"/>
    <w:rsid w:val="003E4A2B"/>
    <w:rsid w:val="003E6FE9"/>
    <w:rsid w:val="003E76C2"/>
    <w:rsid w:val="003F1367"/>
    <w:rsid w:val="003F1679"/>
    <w:rsid w:val="003F21EB"/>
    <w:rsid w:val="003F3D10"/>
    <w:rsid w:val="003F4A35"/>
    <w:rsid w:val="003F5F03"/>
    <w:rsid w:val="003F7FDD"/>
    <w:rsid w:val="00402101"/>
    <w:rsid w:val="00402481"/>
    <w:rsid w:val="004029CB"/>
    <w:rsid w:val="004034A9"/>
    <w:rsid w:val="004042B4"/>
    <w:rsid w:val="00410DC4"/>
    <w:rsid w:val="00411457"/>
    <w:rsid w:val="00412DAE"/>
    <w:rsid w:val="0041302D"/>
    <w:rsid w:val="00420398"/>
    <w:rsid w:val="004242E6"/>
    <w:rsid w:val="00426314"/>
    <w:rsid w:val="00427B35"/>
    <w:rsid w:val="00431598"/>
    <w:rsid w:val="004319AD"/>
    <w:rsid w:val="00433D36"/>
    <w:rsid w:val="00434E01"/>
    <w:rsid w:val="004426B8"/>
    <w:rsid w:val="00444432"/>
    <w:rsid w:val="00446A18"/>
    <w:rsid w:val="00447D5C"/>
    <w:rsid w:val="00450202"/>
    <w:rsid w:val="004502B2"/>
    <w:rsid w:val="00455499"/>
    <w:rsid w:val="00461528"/>
    <w:rsid w:val="004649A7"/>
    <w:rsid w:val="00471860"/>
    <w:rsid w:val="00477026"/>
    <w:rsid w:val="00477730"/>
    <w:rsid w:val="00481167"/>
    <w:rsid w:val="00482D1B"/>
    <w:rsid w:val="004871A5"/>
    <w:rsid w:val="00490A09"/>
    <w:rsid w:val="004A744D"/>
    <w:rsid w:val="004B299C"/>
    <w:rsid w:val="004B2F57"/>
    <w:rsid w:val="004B60BD"/>
    <w:rsid w:val="004C3150"/>
    <w:rsid w:val="004C33F2"/>
    <w:rsid w:val="004C3641"/>
    <w:rsid w:val="004C3873"/>
    <w:rsid w:val="004C4390"/>
    <w:rsid w:val="004C49ED"/>
    <w:rsid w:val="004C4AF7"/>
    <w:rsid w:val="004C4B29"/>
    <w:rsid w:val="004C6467"/>
    <w:rsid w:val="004C7501"/>
    <w:rsid w:val="004D020C"/>
    <w:rsid w:val="004D2881"/>
    <w:rsid w:val="004D2D7D"/>
    <w:rsid w:val="004D385F"/>
    <w:rsid w:val="004D5B39"/>
    <w:rsid w:val="004D7976"/>
    <w:rsid w:val="004E0CEA"/>
    <w:rsid w:val="004E330D"/>
    <w:rsid w:val="004E4985"/>
    <w:rsid w:val="004E5147"/>
    <w:rsid w:val="004E69B5"/>
    <w:rsid w:val="004E7964"/>
    <w:rsid w:val="004F0BF6"/>
    <w:rsid w:val="004F50D1"/>
    <w:rsid w:val="004F5190"/>
    <w:rsid w:val="004F5C43"/>
    <w:rsid w:val="005050A2"/>
    <w:rsid w:val="00506030"/>
    <w:rsid w:val="0050652D"/>
    <w:rsid w:val="00506C03"/>
    <w:rsid w:val="00511A11"/>
    <w:rsid w:val="00516496"/>
    <w:rsid w:val="00517C89"/>
    <w:rsid w:val="00520785"/>
    <w:rsid w:val="005207ED"/>
    <w:rsid w:val="005228DC"/>
    <w:rsid w:val="00522AC6"/>
    <w:rsid w:val="00522E7D"/>
    <w:rsid w:val="00523992"/>
    <w:rsid w:val="00523B11"/>
    <w:rsid w:val="0052455B"/>
    <w:rsid w:val="0052572A"/>
    <w:rsid w:val="00532DFB"/>
    <w:rsid w:val="00537D55"/>
    <w:rsid w:val="005437F3"/>
    <w:rsid w:val="00543CB3"/>
    <w:rsid w:val="005442E4"/>
    <w:rsid w:val="00545154"/>
    <w:rsid w:val="00546381"/>
    <w:rsid w:val="00547652"/>
    <w:rsid w:val="005539DE"/>
    <w:rsid w:val="0055529B"/>
    <w:rsid w:val="00557366"/>
    <w:rsid w:val="0056025A"/>
    <w:rsid w:val="00560FF0"/>
    <w:rsid w:val="00561210"/>
    <w:rsid w:val="005614BD"/>
    <w:rsid w:val="00565230"/>
    <w:rsid w:val="00566ABA"/>
    <w:rsid w:val="00567A88"/>
    <w:rsid w:val="00570AE4"/>
    <w:rsid w:val="0057154F"/>
    <w:rsid w:val="00580F69"/>
    <w:rsid w:val="00581CA3"/>
    <w:rsid w:val="00585031"/>
    <w:rsid w:val="00586E8B"/>
    <w:rsid w:val="00586FCA"/>
    <w:rsid w:val="00587A44"/>
    <w:rsid w:val="005948E8"/>
    <w:rsid w:val="00597730"/>
    <w:rsid w:val="005977EC"/>
    <w:rsid w:val="00597DE7"/>
    <w:rsid w:val="005A4AA2"/>
    <w:rsid w:val="005B1864"/>
    <w:rsid w:val="005B34B6"/>
    <w:rsid w:val="005B606A"/>
    <w:rsid w:val="005B6C8F"/>
    <w:rsid w:val="005B6EC3"/>
    <w:rsid w:val="005C17D7"/>
    <w:rsid w:val="005C33CE"/>
    <w:rsid w:val="005D0F74"/>
    <w:rsid w:val="005D2E7D"/>
    <w:rsid w:val="005D4A8F"/>
    <w:rsid w:val="005D561B"/>
    <w:rsid w:val="005D578F"/>
    <w:rsid w:val="005D5ECF"/>
    <w:rsid w:val="005D614A"/>
    <w:rsid w:val="005E6033"/>
    <w:rsid w:val="005F468D"/>
    <w:rsid w:val="005F69A3"/>
    <w:rsid w:val="00604CC7"/>
    <w:rsid w:val="00613441"/>
    <w:rsid w:val="00615423"/>
    <w:rsid w:val="006165B2"/>
    <w:rsid w:val="00617276"/>
    <w:rsid w:val="0062031D"/>
    <w:rsid w:val="0062527B"/>
    <w:rsid w:val="00625D97"/>
    <w:rsid w:val="00625F1C"/>
    <w:rsid w:val="0062658E"/>
    <w:rsid w:val="00626983"/>
    <w:rsid w:val="006279E1"/>
    <w:rsid w:val="00630CEB"/>
    <w:rsid w:val="00632264"/>
    <w:rsid w:val="006355F2"/>
    <w:rsid w:val="0064191A"/>
    <w:rsid w:val="00642523"/>
    <w:rsid w:val="0064344D"/>
    <w:rsid w:val="00646616"/>
    <w:rsid w:val="006470BC"/>
    <w:rsid w:val="006554D3"/>
    <w:rsid w:val="006603F4"/>
    <w:rsid w:val="00661708"/>
    <w:rsid w:val="00666522"/>
    <w:rsid w:val="00667036"/>
    <w:rsid w:val="00667B89"/>
    <w:rsid w:val="00671047"/>
    <w:rsid w:val="00673BDB"/>
    <w:rsid w:val="00674341"/>
    <w:rsid w:val="006771B8"/>
    <w:rsid w:val="00682631"/>
    <w:rsid w:val="006839B8"/>
    <w:rsid w:val="00683A89"/>
    <w:rsid w:val="006843B6"/>
    <w:rsid w:val="0068481F"/>
    <w:rsid w:val="00686490"/>
    <w:rsid w:val="00687DC4"/>
    <w:rsid w:val="00693EA1"/>
    <w:rsid w:val="0069636F"/>
    <w:rsid w:val="006963C5"/>
    <w:rsid w:val="00696F5D"/>
    <w:rsid w:val="00697249"/>
    <w:rsid w:val="006A06F3"/>
    <w:rsid w:val="006A1A67"/>
    <w:rsid w:val="006A32FA"/>
    <w:rsid w:val="006B09C4"/>
    <w:rsid w:val="006B1D70"/>
    <w:rsid w:val="006B3947"/>
    <w:rsid w:val="006B4293"/>
    <w:rsid w:val="006B624F"/>
    <w:rsid w:val="006C08C1"/>
    <w:rsid w:val="006C0C95"/>
    <w:rsid w:val="006C31E3"/>
    <w:rsid w:val="006C3970"/>
    <w:rsid w:val="006D18D3"/>
    <w:rsid w:val="006D1EE9"/>
    <w:rsid w:val="006D3BD1"/>
    <w:rsid w:val="006D7D5B"/>
    <w:rsid w:val="006E010E"/>
    <w:rsid w:val="006E08CB"/>
    <w:rsid w:val="006E598D"/>
    <w:rsid w:val="006F4B26"/>
    <w:rsid w:val="006F4CD9"/>
    <w:rsid w:val="00701D46"/>
    <w:rsid w:val="0070437D"/>
    <w:rsid w:val="00704CF1"/>
    <w:rsid w:val="00705592"/>
    <w:rsid w:val="00705B04"/>
    <w:rsid w:val="0071040E"/>
    <w:rsid w:val="00717EE9"/>
    <w:rsid w:val="00721D70"/>
    <w:rsid w:val="00724124"/>
    <w:rsid w:val="00724992"/>
    <w:rsid w:val="00724F64"/>
    <w:rsid w:val="00725C7D"/>
    <w:rsid w:val="00727F90"/>
    <w:rsid w:val="00731EF7"/>
    <w:rsid w:val="00732C5A"/>
    <w:rsid w:val="007335AE"/>
    <w:rsid w:val="00734820"/>
    <w:rsid w:val="007349DC"/>
    <w:rsid w:val="0074000A"/>
    <w:rsid w:val="0074152B"/>
    <w:rsid w:val="0074365E"/>
    <w:rsid w:val="00744B55"/>
    <w:rsid w:val="00745924"/>
    <w:rsid w:val="007502A9"/>
    <w:rsid w:val="007515FD"/>
    <w:rsid w:val="00760D80"/>
    <w:rsid w:val="00761CB4"/>
    <w:rsid w:val="00771986"/>
    <w:rsid w:val="00780C09"/>
    <w:rsid w:val="00780DDF"/>
    <w:rsid w:val="007834E9"/>
    <w:rsid w:val="00783F55"/>
    <w:rsid w:val="00787DBC"/>
    <w:rsid w:val="0079019A"/>
    <w:rsid w:val="00792935"/>
    <w:rsid w:val="00795892"/>
    <w:rsid w:val="007A04A1"/>
    <w:rsid w:val="007A1840"/>
    <w:rsid w:val="007A39D4"/>
    <w:rsid w:val="007B730C"/>
    <w:rsid w:val="007C0528"/>
    <w:rsid w:val="007C08EA"/>
    <w:rsid w:val="007C3D38"/>
    <w:rsid w:val="007D0F35"/>
    <w:rsid w:val="007D4546"/>
    <w:rsid w:val="007D4FEB"/>
    <w:rsid w:val="007D6146"/>
    <w:rsid w:val="007E0CE7"/>
    <w:rsid w:val="007E2540"/>
    <w:rsid w:val="007E3F8F"/>
    <w:rsid w:val="007E5980"/>
    <w:rsid w:val="007F0FD8"/>
    <w:rsid w:val="007F1193"/>
    <w:rsid w:val="007F417F"/>
    <w:rsid w:val="007F51C2"/>
    <w:rsid w:val="007F7644"/>
    <w:rsid w:val="00800A9A"/>
    <w:rsid w:val="008042BD"/>
    <w:rsid w:val="008050B3"/>
    <w:rsid w:val="0081017E"/>
    <w:rsid w:val="00814784"/>
    <w:rsid w:val="008159B3"/>
    <w:rsid w:val="00815FD7"/>
    <w:rsid w:val="00816624"/>
    <w:rsid w:val="00822427"/>
    <w:rsid w:val="00822562"/>
    <w:rsid w:val="00823663"/>
    <w:rsid w:val="00823664"/>
    <w:rsid w:val="00824DAC"/>
    <w:rsid w:val="008305B7"/>
    <w:rsid w:val="00832DDC"/>
    <w:rsid w:val="00840F79"/>
    <w:rsid w:val="00841D7C"/>
    <w:rsid w:val="008426B0"/>
    <w:rsid w:val="008431BB"/>
    <w:rsid w:val="008453CC"/>
    <w:rsid w:val="00845E34"/>
    <w:rsid w:val="008501BD"/>
    <w:rsid w:val="00850BAC"/>
    <w:rsid w:val="00854A3E"/>
    <w:rsid w:val="00855D08"/>
    <w:rsid w:val="008574E7"/>
    <w:rsid w:val="00857FB2"/>
    <w:rsid w:val="008618A4"/>
    <w:rsid w:val="00863B94"/>
    <w:rsid w:val="00863D8F"/>
    <w:rsid w:val="0087242B"/>
    <w:rsid w:val="008731AB"/>
    <w:rsid w:val="00874344"/>
    <w:rsid w:val="0087505D"/>
    <w:rsid w:val="008764D0"/>
    <w:rsid w:val="00877703"/>
    <w:rsid w:val="00882155"/>
    <w:rsid w:val="0088233B"/>
    <w:rsid w:val="0088599E"/>
    <w:rsid w:val="00886C37"/>
    <w:rsid w:val="008915FC"/>
    <w:rsid w:val="00892D99"/>
    <w:rsid w:val="00893315"/>
    <w:rsid w:val="00894C09"/>
    <w:rsid w:val="00895FF3"/>
    <w:rsid w:val="00897FC1"/>
    <w:rsid w:val="008B5C68"/>
    <w:rsid w:val="008B62AE"/>
    <w:rsid w:val="008B6999"/>
    <w:rsid w:val="008C04B5"/>
    <w:rsid w:val="008C14FA"/>
    <w:rsid w:val="008C67EE"/>
    <w:rsid w:val="008C7B0B"/>
    <w:rsid w:val="008D00B8"/>
    <w:rsid w:val="008D4057"/>
    <w:rsid w:val="008E1F19"/>
    <w:rsid w:val="008F2262"/>
    <w:rsid w:val="008F4D2B"/>
    <w:rsid w:val="008F5B91"/>
    <w:rsid w:val="008F7736"/>
    <w:rsid w:val="0090019E"/>
    <w:rsid w:val="00900435"/>
    <w:rsid w:val="00901086"/>
    <w:rsid w:val="00901261"/>
    <w:rsid w:val="00901C8A"/>
    <w:rsid w:val="00902F66"/>
    <w:rsid w:val="00904F3B"/>
    <w:rsid w:val="00905886"/>
    <w:rsid w:val="009070D6"/>
    <w:rsid w:val="009076C6"/>
    <w:rsid w:val="0091019E"/>
    <w:rsid w:val="009106F1"/>
    <w:rsid w:val="0091227E"/>
    <w:rsid w:val="00912404"/>
    <w:rsid w:val="009145D6"/>
    <w:rsid w:val="00915541"/>
    <w:rsid w:val="009168F4"/>
    <w:rsid w:val="009169F1"/>
    <w:rsid w:val="00920E64"/>
    <w:rsid w:val="00922002"/>
    <w:rsid w:val="009225CB"/>
    <w:rsid w:val="00924020"/>
    <w:rsid w:val="009246AA"/>
    <w:rsid w:val="00924BF4"/>
    <w:rsid w:val="00926AD4"/>
    <w:rsid w:val="009271A7"/>
    <w:rsid w:val="0092762F"/>
    <w:rsid w:val="0093445E"/>
    <w:rsid w:val="00934665"/>
    <w:rsid w:val="00935D69"/>
    <w:rsid w:val="0093658B"/>
    <w:rsid w:val="009429FF"/>
    <w:rsid w:val="00942A7D"/>
    <w:rsid w:val="009444D1"/>
    <w:rsid w:val="00944BFF"/>
    <w:rsid w:val="00945BD6"/>
    <w:rsid w:val="009479FB"/>
    <w:rsid w:val="00951C45"/>
    <w:rsid w:val="00951DD8"/>
    <w:rsid w:val="0095652C"/>
    <w:rsid w:val="00961A98"/>
    <w:rsid w:val="009650E3"/>
    <w:rsid w:val="009656F2"/>
    <w:rsid w:val="0096697F"/>
    <w:rsid w:val="00966A08"/>
    <w:rsid w:val="009701B7"/>
    <w:rsid w:val="00971207"/>
    <w:rsid w:val="00975CB4"/>
    <w:rsid w:val="0098189A"/>
    <w:rsid w:val="0098456C"/>
    <w:rsid w:val="009859D2"/>
    <w:rsid w:val="009863B0"/>
    <w:rsid w:val="00987DE1"/>
    <w:rsid w:val="00990571"/>
    <w:rsid w:val="00991905"/>
    <w:rsid w:val="00992507"/>
    <w:rsid w:val="009926B2"/>
    <w:rsid w:val="0099673A"/>
    <w:rsid w:val="009A1C87"/>
    <w:rsid w:val="009A3291"/>
    <w:rsid w:val="009A3330"/>
    <w:rsid w:val="009A548F"/>
    <w:rsid w:val="009A7C96"/>
    <w:rsid w:val="009B3CE7"/>
    <w:rsid w:val="009B61BF"/>
    <w:rsid w:val="009C3253"/>
    <w:rsid w:val="009C3DB9"/>
    <w:rsid w:val="009C5968"/>
    <w:rsid w:val="009D040B"/>
    <w:rsid w:val="009D0436"/>
    <w:rsid w:val="009D46E5"/>
    <w:rsid w:val="009D568A"/>
    <w:rsid w:val="009D5E43"/>
    <w:rsid w:val="009D65EE"/>
    <w:rsid w:val="009E2CC9"/>
    <w:rsid w:val="009E3ED2"/>
    <w:rsid w:val="009F04EC"/>
    <w:rsid w:val="009F2A7C"/>
    <w:rsid w:val="009F3B36"/>
    <w:rsid w:val="009F7463"/>
    <w:rsid w:val="00A019B9"/>
    <w:rsid w:val="00A03157"/>
    <w:rsid w:val="00A1033E"/>
    <w:rsid w:val="00A11756"/>
    <w:rsid w:val="00A12497"/>
    <w:rsid w:val="00A12508"/>
    <w:rsid w:val="00A1282B"/>
    <w:rsid w:val="00A13A27"/>
    <w:rsid w:val="00A1517F"/>
    <w:rsid w:val="00A15B7C"/>
    <w:rsid w:val="00A175B6"/>
    <w:rsid w:val="00A21835"/>
    <w:rsid w:val="00A2374B"/>
    <w:rsid w:val="00A23AAB"/>
    <w:rsid w:val="00A2465C"/>
    <w:rsid w:val="00A264BC"/>
    <w:rsid w:val="00A27D6E"/>
    <w:rsid w:val="00A328EC"/>
    <w:rsid w:val="00A33A51"/>
    <w:rsid w:val="00A35B5A"/>
    <w:rsid w:val="00A36702"/>
    <w:rsid w:val="00A41CA6"/>
    <w:rsid w:val="00A431ED"/>
    <w:rsid w:val="00A438BB"/>
    <w:rsid w:val="00A44534"/>
    <w:rsid w:val="00A45AC0"/>
    <w:rsid w:val="00A47927"/>
    <w:rsid w:val="00A47FFC"/>
    <w:rsid w:val="00A5442F"/>
    <w:rsid w:val="00A54DAD"/>
    <w:rsid w:val="00A54FF9"/>
    <w:rsid w:val="00A56765"/>
    <w:rsid w:val="00A60C08"/>
    <w:rsid w:val="00A63E22"/>
    <w:rsid w:val="00A675AC"/>
    <w:rsid w:val="00A67C57"/>
    <w:rsid w:val="00A7097D"/>
    <w:rsid w:val="00A7581F"/>
    <w:rsid w:val="00A80DDA"/>
    <w:rsid w:val="00A81274"/>
    <w:rsid w:val="00A86ACA"/>
    <w:rsid w:val="00A91523"/>
    <w:rsid w:val="00A92439"/>
    <w:rsid w:val="00A92FB1"/>
    <w:rsid w:val="00A95980"/>
    <w:rsid w:val="00A95A0C"/>
    <w:rsid w:val="00AA2765"/>
    <w:rsid w:val="00AA77B5"/>
    <w:rsid w:val="00AB46DB"/>
    <w:rsid w:val="00AB6C5D"/>
    <w:rsid w:val="00AC3154"/>
    <w:rsid w:val="00AC3401"/>
    <w:rsid w:val="00AC3749"/>
    <w:rsid w:val="00AC3E7A"/>
    <w:rsid w:val="00AC51A7"/>
    <w:rsid w:val="00AC603B"/>
    <w:rsid w:val="00AD096E"/>
    <w:rsid w:val="00AD0E89"/>
    <w:rsid w:val="00AD444B"/>
    <w:rsid w:val="00AD5614"/>
    <w:rsid w:val="00AD6C78"/>
    <w:rsid w:val="00AE03A0"/>
    <w:rsid w:val="00AE03F0"/>
    <w:rsid w:val="00AE044F"/>
    <w:rsid w:val="00AE2EAB"/>
    <w:rsid w:val="00AE37EF"/>
    <w:rsid w:val="00AE4A01"/>
    <w:rsid w:val="00AF13D0"/>
    <w:rsid w:val="00AF5E0E"/>
    <w:rsid w:val="00AF5F89"/>
    <w:rsid w:val="00AF6FB4"/>
    <w:rsid w:val="00AF73CB"/>
    <w:rsid w:val="00B002D6"/>
    <w:rsid w:val="00B02550"/>
    <w:rsid w:val="00B02EF0"/>
    <w:rsid w:val="00B03379"/>
    <w:rsid w:val="00B03FA5"/>
    <w:rsid w:val="00B04110"/>
    <w:rsid w:val="00B05B51"/>
    <w:rsid w:val="00B1031A"/>
    <w:rsid w:val="00B141F6"/>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516ED"/>
    <w:rsid w:val="00B565DA"/>
    <w:rsid w:val="00B57A6A"/>
    <w:rsid w:val="00B62D0D"/>
    <w:rsid w:val="00B633C1"/>
    <w:rsid w:val="00B63632"/>
    <w:rsid w:val="00B7184F"/>
    <w:rsid w:val="00B760F1"/>
    <w:rsid w:val="00B7669E"/>
    <w:rsid w:val="00B76EBB"/>
    <w:rsid w:val="00B77DA1"/>
    <w:rsid w:val="00B822A0"/>
    <w:rsid w:val="00B82F85"/>
    <w:rsid w:val="00B858AE"/>
    <w:rsid w:val="00B85964"/>
    <w:rsid w:val="00B941E4"/>
    <w:rsid w:val="00B96250"/>
    <w:rsid w:val="00BA0D55"/>
    <w:rsid w:val="00BA2062"/>
    <w:rsid w:val="00BA215B"/>
    <w:rsid w:val="00BA37B3"/>
    <w:rsid w:val="00BA4714"/>
    <w:rsid w:val="00BA4CC6"/>
    <w:rsid w:val="00BA6807"/>
    <w:rsid w:val="00BA7F46"/>
    <w:rsid w:val="00BB02F1"/>
    <w:rsid w:val="00BB0F1D"/>
    <w:rsid w:val="00BB3493"/>
    <w:rsid w:val="00BB6E4C"/>
    <w:rsid w:val="00BB7468"/>
    <w:rsid w:val="00BC0514"/>
    <w:rsid w:val="00BC188A"/>
    <w:rsid w:val="00BC402E"/>
    <w:rsid w:val="00BC5AE6"/>
    <w:rsid w:val="00BC6398"/>
    <w:rsid w:val="00BC70C6"/>
    <w:rsid w:val="00BD0F48"/>
    <w:rsid w:val="00BD14E5"/>
    <w:rsid w:val="00BD4F30"/>
    <w:rsid w:val="00BD5FBA"/>
    <w:rsid w:val="00BD605A"/>
    <w:rsid w:val="00BD6E80"/>
    <w:rsid w:val="00BE0E50"/>
    <w:rsid w:val="00BE2675"/>
    <w:rsid w:val="00BE6DDB"/>
    <w:rsid w:val="00BF03E0"/>
    <w:rsid w:val="00BF13E9"/>
    <w:rsid w:val="00BF5010"/>
    <w:rsid w:val="00BF5622"/>
    <w:rsid w:val="00BF6363"/>
    <w:rsid w:val="00BF74A6"/>
    <w:rsid w:val="00C03009"/>
    <w:rsid w:val="00C03D5F"/>
    <w:rsid w:val="00C05F51"/>
    <w:rsid w:val="00C06E54"/>
    <w:rsid w:val="00C13791"/>
    <w:rsid w:val="00C208E9"/>
    <w:rsid w:val="00C210BD"/>
    <w:rsid w:val="00C24A9E"/>
    <w:rsid w:val="00C2575A"/>
    <w:rsid w:val="00C30659"/>
    <w:rsid w:val="00C31BB3"/>
    <w:rsid w:val="00C36977"/>
    <w:rsid w:val="00C46628"/>
    <w:rsid w:val="00C467DA"/>
    <w:rsid w:val="00C46843"/>
    <w:rsid w:val="00C477D9"/>
    <w:rsid w:val="00C52AB2"/>
    <w:rsid w:val="00C57869"/>
    <w:rsid w:val="00C60039"/>
    <w:rsid w:val="00C60BA3"/>
    <w:rsid w:val="00C623F7"/>
    <w:rsid w:val="00C62A81"/>
    <w:rsid w:val="00C62DEE"/>
    <w:rsid w:val="00C63E2D"/>
    <w:rsid w:val="00C67CD7"/>
    <w:rsid w:val="00C71E00"/>
    <w:rsid w:val="00C75857"/>
    <w:rsid w:val="00C75BC5"/>
    <w:rsid w:val="00C81670"/>
    <w:rsid w:val="00C81773"/>
    <w:rsid w:val="00C818DB"/>
    <w:rsid w:val="00C82861"/>
    <w:rsid w:val="00C839A7"/>
    <w:rsid w:val="00C839E6"/>
    <w:rsid w:val="00C858AC"/>
    <w:rsid w:val="00C86896"/>
    <w:rsid w:val="00C907A8"/>
    <w:rsid w:val="00C91670"/>
    <w:rsid w:val="00C93211"/>
    <w:rsid w:val="00C93DB8"/>
    <w:rsid w:val="00C942EC"/>
    <w:rsid w:val="00C9602F"/>
    <w:rsid w:val="00C96047"/>
    <w:rsid w:val="00C979D0"/>
    <w:rsid w:val="00CA0818"/>
    <w:rsid w:val="00CA15C8"/>
    <w:rsid w:val="00CA2C8F"/>
    <w:rsid w:val="00CA30DA"/>
    <w:rsid w:val="00CA3A24"/>
    <w:rsid w:val="00CA6CE1"/>
    <w:rsid w:val="00CB0596"/>
    <w:rsid w:val="00CB1112"/>
    <w:rsid w:val="00CB1777"/>
    <w:rsid w:val="00CB33E9"/>
    <w:rsid w:val="00CB7AC7"/>
    <w:rsid w:val="00CC10A9"/>
    <w:rsid w:val="00CC6867"/>
    <w:rsid w:val="00CC6BEC"/>
    <w:rsid w:val="00CD0655"/>
    <w:rsid w:val="00CD19C3"/>
    <w:rsid w:val="00CD414A"/>
    <w:rsid w:val="00CD5AB4"/>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30DA2"/>
    <w:rsid w:val="00D33123"/>
    <w:rsid w:val="00D417F2"/>
    <w:rsid w:val="00D479AE"/>
    <w:rsid w:val="00D50FCD"/>
    <w:rsid w:val="00D533E3"/>
    <w:rsid w:val="00D60B16"/>
    <w:rsid w:val="00D60F02"/>
    <w:rsid w:val="00D6239E"/>
    <w:rsid w:val="00D66E49"/>
    <w:rsid w:val="00D70D71"/>
    <w:rsid w:val="00D72F74"/>
    <w:rsid w:val="00D81563"/>
    <w:rsid w:val="00D837C1"/>
    <w:rsid w:val="00D85907"/>
    <w:rsid w:val="00D860AC"/>
    <w:rsid w:val="00D9073E"/>
    <w:rsid w:val="00D912D6"/>
    <w:rsid w:val="00D9221D"/>
    <w:rsid w:val="00D9253C"/>
    <w:rsid w:val="00D949AA"/>
    <w:rsid w:val="00D958DF"/>
    <w:rsid w:val="00D96DA1"/>
    <w:rsid w:val="00DA4D0F"/>
    <w:rsid w:val="00DA51E7"/>
    <w:rsid w:val="00DA567A"/>
    <w:rsid w:val="00DB0260"/>
    <w:rsid w:val="00DB1C78"/>
    <w:rsid w:val="00DB7D96"/>
    <w:rsid w:val="00DC23FE"/>
    <w:rsid w:val="00DC430B"/>
    <w:rsid w:val="00DC59E6"/>
    <w:rsid w:val="00DC6D3A"/>
    <w:rsid w:val="00DD150B"/>
    <w:rsid w:val="00DD3356"/>
    <w:rsid w:val="00DD5025"/>
    <w:rsid w:val="00DD5406"/>
    <w:rsid w:val="00DD5464"/>
    <w:rsid w:val="00DD6F85"/>
    <w:rsid w:val="00DE254E"/>
    <w:rsid w:val="00DE32C0"/>
    <w:rsid w:val="00DE3321"/>
    <w:rsid w:val="00DE5FD6"/>
    <w:rsid w:val="00DE6BC6"/>
    <w:rsid w:val="00DE76A7"/>
    <w:rsid w:val="00DF1510"/>
    <w:rsid w:val="00DF4085"/>
    <w:rsid w:val="00DF718F"/>
    <w:rsid w:val="00DF7476"/>
    <w:rsid w:val="00E02F1F"/>
    <w:rsid w:val="00E03B39"/>
    <w:rsid w:val="00E05454"/>
    <w:rsid w:val="00E06484"/>
    <w:rsid w:val="00E06B24"/>
    <w:rsid w:val="00E1255E"/>
    <w:rsid w:val="00E16DB4"/>
    <w:rsid w:val="00E20A7D"/>
    <w:rsid w:val="00E23D60"/>
    <w:rsid w:val="00E23FE4"/>
    <w:rsid w:val="00E24112"/>
    <w:rsid w:val="00E275D8"/>
    <w:rsid w:val="00E30F6A"/>
    <w:rsid w:val="00E3117C"/>
    <w:rsid w:val="00E31288"/>
    <w:rsid w:val="00E34307"/>
    <w:rsid w:val="00E34511"/>
    <w:rsid w:val="00E3635B"/>
    <w:rsid w:val="00E375C3"/>
    <w:rsid w:val="00E375CA"/>
    <w:rsid w:val="00E4295D"/>
    <w:rsid w:val="00E47F1E"/>
    <w:rsid w:val="00E5364F"/>
    <w:rsid w:val="00E53CDE"/>
    <w:rsid w:val="00E54530"/>
    <w:rsid w:val="00E567E8"/>
    <w:rsid w:val="00E63766"/>
    <w:rsid w:val="00E64679"/>
    <w:rsid w:val="00E64EEE"/>
    <w:rsid w:val="00E65EBC"/>
    <w:rsid w:val="00E6602E"/>
    <w:rsid w:val="00E677FE"/>
    <w:rsid w:val="00E67EFD"/>
    <w:rsid w:val="00E73432"/>
    <w:rsid w:val="00E734B2"/>
    <w:rsid w:val="00E767D3"/>
    <w:rsid w:val="00E77B0C"/>
    <w:rsid w:val="00E77FB8"/>
    <w:rsid w:val="00E81815"/>
    <w:rsid w:val="00E8272C"/>
    <w:rsid w:val="00E838B0"/>
    <w:rsid w:val="00E86A7C"/>
    <w:rsid w:val="00E878E1"/>
    <w:rsid w:val="00E87F2C"/>
    <w:rsid w:val="00E95278"/>
    <w:rsid w:val="00E96259"/>
    <w:rsid w:val="00E96A42"/>
    <w:rsid w:val="00EA2273"/>
    <w:rsid w:val="00EA7C3C"/>
    <w:rsid w:val="00EB2DB3"/>
    <w:rsid w:val="00EB6195"/>
    <w:rsid w:val="00EC15F1"/>
    <w:rsid w:val="00EC3FBB"/>
    <w:rsid w:val="00EC6B7A"/>
    <w:rsid w:val="00ED1D15"/>
    <w:rsid w:val="00ED3A87"/>
    <w:rsid w:val="00ED5B67"/>
    <w:rsid w:val="00ED71C4"/>
    <w:rsid w:val="00EE16F9"/>
    <w:rsid w:val="00EE1A5C"/>
    <w:rsid w:val="00EE5F5A"/>
    <w:rsid w:val="00EE6085"/>
    <w:rsid w:val="00EF20A4"/>
    <w:rsid w:val="00EF264C"/>
    <w:rsid w:val="00EF3FEE"/>
    <w:rsid w:val="00EF6B41"/>
    <w:rsid w:val="00F04B59"/>
    <w:rsid w:val="00F07B69"/>
    <w:rsid w:val="00F11741"/>
    <w:rsid w:val="00F117B0"/>
    <w:rsid w:val="00F12B1C"/>
    <w:rsid w:val="00F13885"/>
    <w:rsid w:val="00F13CF8"/>
    <w:rsid w:val="00F15855"/>
    <w:rsid w:val="00F200B2"/>
    <w:rsid w:val="00F221EF"/>
    <w:rsid w:val="00F226EA"/>
    <w:rsid w:val="00F227DC"/>
    <w:rsid w:val="00F30701"/>
    <w:rsid w:val="00F32743"/>
    <w:rsid w:val="00F32978"/>
    <w:rsid w:val="00F45CB2"/>
    <w:rsid w:val="00F511F3"/>
    <w:rsid w:val="00F544C0"/>
    <w:rsid w:val="00F55332"/>
    <w:rsid w:val="00F554F8"/>
    <w:rsid w:val="00F6156E"/>
    <w:rsid w:val="00F6504A"/>
    <w:rsid w:val="00F65519"/>
    <w:rsid w:val="00F66D9F"/>
    <w:rsid w:val="00F713C0"/>
    <w:rsid w:val="00F75DDC"/>
    <w:rsid w:val="00F7792F"/>
    <w:rsid w:val="00F842AA"/>
    <w:rsid w:val="00F8476F"/>
    <w:rsid w:val="00F853E1"/>
    <w:rsid w:val="00F85604"/>
    <w:rsid w:val="00F93809"/>
    <w:rsid w:val="00F94B7A"/>
    <w:rsid w:val="00FA17AC"/>
    <w:rsid w:val="00FA32DE"/>
    <w:rsid w:val="00FA3382"/>
    <w:rsid w:val="00FA59CD"/>
    <w:rsid w:val="00FA5C62"/>
    <w:rsid w:val="00FB0CDC"/>
    <w:rsid w:val="00FB1740"/>
    <w:rsid w:val="00FB4235"/>
    <w:rsid w:val="00FC4446"/>
    <w:rsid w:val="00FC5469"/>
    <w:rsid w:val="00FC5FE3"/>
    <w:rsid w:val="00FC67A5"/>
    <w:rsid w:val="00FC6D7D"/>
    <w:rsid w:val="00FD16B0"/>
    <w:rsid w:val="00FD2778"/>
    <w:rsid w:val="00FD4268"/>
    <w:rsid w:val="00FD4DC9"/>
    <w:rsid w:val="00FD4FED"/>
    <w:rsid w:val="00FD7A55"/>
    <w:rsid w:val="00FE00C8"/>
    <w:rsid w:val="00FE0577"/>
    <w:rsid w:val="00FE0580"/>
    <w:rsid w:val="00FE2E91"/>
    <w:rsid w:val="00FE2FF8"/>
    <w:rsid w:val="00FE59EC"/>
    <w:rsid w:val="00FE5B67"/>
    <w:rsid w:val="00FE60D6"/>
    <w:rsid w:val="00FE64BA"/>
    <w:rsid w:val="00FF3D2B"/>
    <w:rsid w:val="00FF4046"/>
    <w:rsid w:val="00FF5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8D29B5E3-18C8-4C40-BE7F-E5AEC7FC6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uiPriority w:val="99"/>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2C10A1"/>
    <w:rPr>
      <w:vertAlign w:val="superscript"/>
    </w:rPr>
  </w:style>
  <w:style w:type="character" w:customStyle="1" w:styleId="FootnoteTextChar">
    <w:name w:val="Footnote Text Char"/>
    <w:basedOn w:val="DefaultParagraphFont"/>
    <w:link w:val="FootnoteText"/>
    <w:rsid w:val="00F13885"/>
  </w:style>
  <w:style w:type="character" w:styleId="CommentReference">
    <w:name w:val="annotation reference"/>
    <w:basedOn w:val="DefaultParagraphFont"/>
    <w:semiHidden/>
    <w:unhideWhenUsed/>
    <w:rsid w:val="00B02550"/>
    <w:rPr>
      <w:sz w:val="16"/>
      <w:szCs w:val="16"/>
    </w:rPr>
  </w:style>
  <w:style w:type="paragraph" w:styleId="ListParagraph">
    <w:name w:val="List Paragraph"/>
    <w:basedOn w:val="Normal"/>
    <w:uiPriority w:val="34"/>
    <w:qFormat/>
    <w:rsid w:val="00DE6BC6"/>
    <w:pPr>
      <w:ind w:left="720"/>
      <w:contextualSpacing/>
    </w:pPr>
  </w:style>
  <w:style w:type="paragraph" w:styleId="Revision">
    <w:name w:val="Revision"/>
    <w:hidden/>
    <w:uiPriority w:val="99"/>
    <w:semiHidden/>
    <w:rsid w:val="000D3FC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494354">
      <w:bodyDiv w:val="1"/>
      <w:marLeft w:val="0"/>
      <w:marRight w:val="0"/>
      <w:marTop w:val="0"/>
      <w:marBottom w:val="0"/>
      <w:divBdr>
        <w:top w:val="none" w:sz="0" w:space="0" w:color="auto"/>
        <w:left w:val="none" w:sz="0" w:space="0" w:color="auto"/>
        <w:bottom w:val="none" w:sz="0" w:space="0" w:color="auto"/>
        <w:right w:val="none" w:sz="0" w:space="0" w:color="auto"/>
      </w:divBdr>
    </w:div>
    <w:div w:id="155061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linkprotect.cudasvc.com/url?a=https%3a%2f%2fwww.tampaelectric.com%2fcompany%2fsolar-energy%2fsun-select%2f&amp;c=E,1,dhZoKmcI9Xie8KZ4jZZQ2LASiPeFs3jYhC8c9W9zeJ7qv_v9VDLh5xpe-w-axHCwJTQVC6hRS1UYbQzOut4HGaL9cRYomidh-IFZnIqjz9TmHSISMA,,&amp;typo=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A2BC0-E9AA-41D2-8575-105846C3F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14</Pages>
  <Words>3677</Words>
  <Characters>19999</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Joseph Cipriani</dc:creator>
  <cp:lastModifiedBy>Bailey Lang</cp:lastModifiedBy>
  <cp:revision>2</cp:revision>
  <cp:lastPrinted>2023-09-20T13:47:00Z</cp:lastPrinted>
  <dcterms:created xsi:type="dcterms:W3CDTF">2023-10-27T12:23:00Z</dcterms:created>
  <dcterms:modified xsi:type="dcterms:W3CDTF">2023-10-27T12:23:00Z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20230072-EI</vt:lpwstr>
  </property>
  <property fmtid="{D5CDD505-2E9C-101B-9397-08002B2CF9AE}" pid="3" name="MasterDocument">
    <vt:bool>false</vt:bool>
  </property>
</Properties>
</file>