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4F5D3CD"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9A9B455" w14:textId="77777777" w:rsidR="007C0528" w:rsidRDefault="007C0528" w:rsidP="00532DFB">
            <w:pPr>
              <w:pStyle w:val="MastHeadState"/>
            </w:pPr>
            <w:bookmarkStart w:id="0" w:name="_GoBack"/>
            <w:bookmarkEnd w:id="0"/>
            <w:r>
              <w:t>State of Florida</w:t>
            </w:r>
          </w:p>
          <w:p w14:paraId="3E780193" w14:textId="77777777" w:rsidR="007C0528" w:rsidRDefault="00072CCA">
            <w:pPr>
              <w:jc w:val="center"/>
            </w:pPr>
            <w:r>
              <w:rPr>
                <w:noProof/>
              </w:rPr>
              <w:drawing>
                <wp:inline distT="0" distB="0" distL="0" distR="0" wp14:anchorId="6D38EBF1" wp14:editId="3BC0665A">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1CE13AB9"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07968847" w14:textId="77777777" w:rsidR="007C0528" w:rsidRDefault="007C0528">
            <w:pPr>
              <w:pStyle w:val="MastHeadPSC"/>
            </w:pPr>
            <w:r>
              <w:t>Public Service Commission</w:t>
            </w:r>
          </w:p>
          <w:p w14:paraId="34F6C0B1" w14:textId="77777777" w:rsidR="007C0528" w:rsidRDefault="007C0528">
            <w:pPr>
              <w:pStyle w:val="MastHeadAddress"/>
            </w:pPr>
            <w:r>
              <w:t>Capital Circle Office Center ● 2540 Shumard Oak Boulevard</w:t>
            </w:r>
            <w:r>
              <w:br/>
              <w:t>Tallahassee, Florida 32399-0850</w:t>
            </w:r>
          </w:p>
          <w:p w14:paraId="794B2947" w14:textId="77777777" w:rsidR="007C0528" w:rsidRDefault="007C0528">
            <w:pPr>
              <w:pStyle w:val="MastHeadMemorandum"/>
            </w:pPr>
            <w:r>
              <w:t>-M-E-M-O-R-A-N-D-U-M-</w:t>
            </w:r>
          </w:p>
          <w:p w14:paraId="537B86F9" w14:textId="77777777" w:rsidR="007C0528" w:rsidRDefault="007C0528">
            <w:pPr>
              <w:pStyle w:val="MemoHeading"/>
            </w:pPr>
          </w:p>
        </w:tc>
      </w:tr>
      <w:tr w:rsidR="007C0528" w14:paraId="50B708EB"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5CB350B"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FBEAB1A" w14:textId="13801980" w:rsidR="007C0528" w:rsidRPr="001345B7" w:rsidRDefault="001345B7">
            <w:pPr>
              <w:pStyle w:val="MemoHeading"/>
            </w:pPr>
            <w:bookmarkStart w:id="1" w:name="FilingDate"/>
            <w:r w:rsidRPr="001345B7">
              <w:t>November 21</w:t>
            </w:r>
            <w:r w:rsidR="00B017B6" w:rsidRPr="001345B7">
              <w:t>, 2023</w:t>
            </w:r>
            <w:bookmarkEnd w:id="1"/>
          </w:p>
        </w:tc>
      </w:tr>
      <w:tr w:rsidR="007C0528" w14:paraId="3E31DE67" w14:textId="77777777">
        <w:tc>
          <w:tcPr>
            <w:tcW w:w="1254" w:type="dxa"/>
            <w:tcBorders>
              <w:top w:val="nil"/>
              <w:left w:val="nil"/>
              <w:bottom w:val="nil"/>
              <w:right w:val="nil"/>
            </w:tcBorders>
            <w:shd w:val="clear" w:color="auto" w:fill="auto"/>
            <w:tcMar>
              <w:top w:w="288" w:type="dxa"/>
              <w:bottom w:w="0" w:type="dxa"/>
              <w:right w:w="0" w:type="dxa"/>
            </w:tcMar>
          </w:tcPr>
          <w:p w14:paraId="18DDFE9C"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77D54FB" w14:textId="77777777" w:rsidR="007C0528" w:rsidRDefault="007C0528" w:rsidP="0093658B">
            <w:pPr>
              <w:pStyle w:val="MemoHeading"/>
            </w:pPr>
            <w:r>
              <w:t>Office of Commission Clerk (</w:t>
            </w:r>
            <w:r w:rsidR="004E69B5">
              <w:t>Teitzman</w:t>
            </w:r>
            <w:r>
              <w:t>)</w:t>
            </w:r>
          </w:p>
        </w:tc>
      </w:tr>
      <w:tr w:rsidR="007C0528" w14:paraId="417BAB0A" w14:textId="77777777">
        <w:tc>
          <w:tcPr>
            <w:tcW w:w="1254" w:type="dxa"/>
            <w:tcBorders>
              <w:top w:val="nil"/>
              <w:left w:val="nil"/>
              <w:bottom w:val="nil"/>
              <w:right w:val="nil"/>
            </w:tcBorders>
            <w:shd w:val="clear" w:color="auto" w:fill="auto"/>
            <w:tcMar>
              <w:top w:w="288" w:type="dxa"/>
              <w:right w:w="0" w:type="dxa"/>
            </w:tcMar>
          </w:tcPr>
          <w:p w14:paraId="1A2DD842"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BCE1059" w14:textId="26472E67" w:rsidR="00B017B6" w:rsidRDefault="00B017B6">
            <w:pPr>
              <w:pStyle w:val="MemoHeading"/>
            </w:pPr>
            <w:bookmarkStart w:id="2" w:name="From"/>
            <w:r>
              <w:t>Division of Economi</w:t>
            </w:r>
            <w:r w:rsidR="00D12C99">
              <w:t>cs (Smith II,</w:t>
            </w:r>
            <w:r>
              <w:t xml:space="preserve"> Wu)</w:t>
            </w:r>
          </w:p>
          <w:p w14:paraId="5B562542" w14:textId="1210E05B" w:rsidR="00B017B6" w:rsidRDefault="00B017B6">
            <w:pPr>
              <w:pStyle w:val="MemoHeading"/>
            </w:pPr>
            <w:r>
              <w:t>Division of Accounting and Finance (</w:t>
            </w:r>
            <w:r w:rsidR="00D12C99">
              <w:t xml:space="preserve">D. </w:t>
            </w:r>
            <w:r>
              <w:t>Buys, Mouring)</w:t>
            </w:r>
          </w:p>
          <w:p w14:paraId="12E049CB" w14:textId="77777777" w:rsidR="007C0528" w:rsidRDefault="00B017B6">
            <w:pPr>
              <w:pStyle w:val="MemoHeading"/>
            </w:pPr>
            <w:r>
              <w:t>Office of the General Counsel (Stiller, Crawford)</w:t>
            </w:r>
            <w:bookmarkEnd w:id="2"/>
          </w:p>
        </w:tc>
      </w:tr>
      <w:tr w:rsidR="007C0528" w14:paraId="68FF7B2A" w14:textId="77777777">
        <w:tc>
          <w:tcPr>
            <w:tcW w:w="1254" w:type="dxa"/>
            <w:tcBorders>
              <w:top w:val="nil"/>
              <w:left w:val="nil"/>
              <w:bottom w:val="nil"/>
              <w:right w:val="nil"/>
            </w:tcBorders>
            <w:shd w:val="clear" w:color="auto" w:fill="auto"/>
            <w:tcMar>
              <w:top w:w="288" w:type="dxa"/>
              <w:right w:w="0" w:type="dxa"/>
            </w:tcMar>
          </w:tcPr>
          <w:p w14:paraId="405D849C"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EB536AD" w14:textId="77777777" w:rsidR="007C0528" w:rsidRDefault="00B017B6">
            <w:pPr>
              <w:pStyle w:val="MemoHeadingRe"/>
            </w:pPr>
            <w:bookmarkStart w:id="3" w:name="Re"/>
            <w:r>
              <w:t>Docket No. 20230079-EI – Petition for approval of 2023 depreciation study by Florida Public Utilities Company.</w:t>
            </w:r>
            <w:bookmarkEnd w:id="3"/>
          </w:p>
        </w:tc>
      </w:tr>
      <w:tr w:rsidR="007C0528" w14:paraId="0451AFDF" w14:textId="77777777">
        <w:tc>
          <w:tcPr>
            <w:tcW w:w="1254" w:type="dxa"/>
            <w:tcBorders>
              <w:top w:val="nil"/>
              <w:left w:val="nil"/>
              <w:bottom w:val="nil"/>
              <w:right w:val="nil"/>
            </w:tcBorders>
            <w:shd w:val="clear" w:color="auto" w:fill="auto"/>
            <w:tcMar>
              <w:top w:w="288" w:type="dxa"/>
              <w:bottom w:w="0" w:type="dxa"/>
              <w:right w:w="0" w:type="dxa"/>
            </w:tcMar>
          </w:tcPr>
          <w:p w14:paraId="2C24DED0"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D84A243" w14:textId="750E2025" w:rsidR="007C0528" w:rsidRDefault="001345B7">
            <w:pPr>
              <w:pStyle w:val="MemoHeading"/>
            </w:pPr>
            <w:bookmarkStart w:id="4" w:name="AgendaDate"/>
            <w:r w:rsidRPr="001345B7">
              <w:t>12</w:t>
            </w:r>
            <w:r w:rsidR="00B017B6" w:rsidRPr="001345B7">
              <w:t>/</w:t>
            </w:r>
            <w:r w:rsidRPr="001345B7">
              <w:t>05</w:t>
            </w:r>
            <w:r w:rsidR="00B017B6" w:rsidRPr="001345B7">
              <w:t>/23</w:t>
            </w:r>
            <w:bookmarkEnd w:id="4"/>
            <w:r w:rsidR="007C0528">
              <w:t xml:space="preserve"> – </w:t>
            </w:r>
            <w:bookmarkStart w:id="5" w:name="PermittedStatus"/>
            <w:r w:rsidR="00D12C99">
              <w:t>Regular Agenda – Proposed Agency Action – Interested</w:t>
            </w:r>
            <w:r w:rsidR="00B017B6">
              <w:t xml:space="preserve"> Persons May Participate</w:t>
            </w:r>
            <w:bookmarkEnd w:id="5"/>
          </w:p>
        </w:tc>
      </w:tr>
      <w:tr w:rsidR="007C0528" w14:paraId="3A540BC5" w14:textId="77777777">
        <w:tc>
          <w:tcPr>
            <w:tcW w:w="3690" w:type="dxa"/>
            <w:gridSpan w:val="3"/>
            <w:tcBorders>
              <w:top w:val="nil"/>
              <w:left w:val="nil"/>
              <w:bottom w:val="nil"/>
              <w:right w:val="nil"/>
            </w:tcBorders>
            <w:shd w:val="clear" w:color="auto" w:fill="auto"/>
            <w:tcMar>
              <w:top w:w="288" w:type="dxa"/>
              <w:bottom w:w="0" w:type="dxa"/>
              <w:right w:w="0" w:type="dxa"/>
            </w:tcMar>
          </w:tcPr>
          <w:p w14:paraId="4CD4B515"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1733D3E1" w14:textId="77777777" w:rsidR="007C0528" w:rsidRDefault="00B017B6">
            <w:pPr>
              <w:pStyle w:val="MemoHeading"/>
            </w:pPr>
            <w:bookmarkStart w:id="6" w:name="CommissionersAssigned"/>
            <w:r>
              <w:t>All Commissioners</w:t>
            </w:r>
            <w:bookmarkEnd w:id="6"/>
          </w:p>
        </w:tc>
      </w:tr>
      <w:tr w:rsidR="007C0528" w14:paraId="23BE9D3D" w14:textId="77777777">
        <w:tc>
          <w:tcPr>
            <w:tcW w:w="3690" w:type="dxa"/>
            <w:gridSpan w:val="3"/>
            <w:tcBorders>
              <w:top w:val="nil"/>
              <w:left w:val="nil"/>
              <w:bottom w:val="nil"/>
              <w:right w:val="nil"/>
            </w:tcBorders>
            <w:shd w:val="clear" w:color="auto" w:fill="auto"/>
            <w:tcMar>
              <w:top w:w="288" w:type="dxa"/>
              <w:bottom w:w="0" w:type="dxa"/>
              <w:right w:w="0" w:type="dxa"/>
            </w:tcMar>
          </w:tcPr>
          <w:p w14:paraId="455464C6"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1AAE276" w14:textId="77777777" w:rsidR="007C0528" w:rsidRDefault="00B017B6">
            <w:pPr>
              <w:pStyle w:val="MemoHeading"/>
            </w:pPr>
            <w:bookmarkStart w:id="7" w:name="PrehearingOfficer"/>
            <w:r>
              <w:t>La Rosa</w:t>
            </w:r>
            <w:bookmarkEnd w:id="7"/>
          </w:p>
        </w:tc>
      </w:tr>
      <w:tr w:rsidR="007C0528" w14:paraId="1E6FF25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2A2F4DD"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2098BBF9" w14:textId="77777777" w:rsidR="007C0528" w:rsidRDefault="00B017B6">
            <w:pPr>
              <w:pStyle w:val="MemoHeading"/>
            </w:pPr>
            <w:bookmarkStart w:id="9" w:name="CriticalDates"/>
            <w:r>
              <w:t>None</w:t>
            </w:r>
            <w:bookmarkEnd w:id="9"/>
          </w:p>
        </w:tc>
      </w:tr>
      <w:tr w:rsidR="007C0528" w14:paraId="38C230A6"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7B08D88"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B326E66" w14:textId="77777777" w:rsidR="007C0528" w:rsidRDefault="00B017B6">
            <w:pPr>
              <w:pStyle w:val="MemoHeading"/>
            </w:pPr>
            <w:bookmarkStart w:id="10" w:name="SpecialInstructions"/>
            <w:r>
              <w:t>None</w:t>
            </w:r>
            <w:bookmarkEnd w:id="10"/>
          </w:p>
        </w:tc>
      </w:tr>
    </w:tbl>
    <w:p w14:paraId="0CD111DF" w14:textId="77777777" w:rsidR="007C0528" w:rsidRDefault="007C0528">
      <w:pPr>
        <w:pStyle w:val="BodyText"/>
      </w:pPr>
    </w:p>
    <w:p w14:paraId="4BA74904"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6BA8F059" w14:textId="63B79ADA" w:rsidR="00AC084D" w:rsidRPr="009935AD" w:rsidRDefault="00AC084D" w:rsidP="00AC084D">
      <w:pPr>
        <w:pStyle w:val="BodyText"/>
      </w:pPr>
      <w:r w:rsidRPr="00617E21">
        <w:t>Rule 25-</w:t>
      </w:r>
      <w:r w:rsidR="00617E21" w:rsidRPr="00617E21">
        <w:t>6</w:t>
      </w:r>
      <w:r w:rsidRPr="00617E21">
        <w:t>.04</w:t>
      </w:r>
      <w:r w:rsidR="00617E21" w:rsidRPr="00617E21">
        <w:t>36</w:t>
      </w:r>
      <w:r w:rsidRPr="00617E21">
        <w:t>(4)(a), Florida Administrative</w:t>
      </w:r>
      <w:r w:rsidRPr="00A93C7A">
        <w:t xml:space="preserve"> Code (F.A.C.), requires </w:t>
      </w:r>
      <w:r w:rsidR="0090653E">
        <w:t>electric</w:t>
      </w:r>
      <w:r w:rsidRPr="00A93C7A">
        <w:t xml:space="preserve"> public utilities to file a comprehensive depreciation study with the Florida Public Service Commission (Commission) fo</w:t>
      </w:r>
      <w:r w:rsidR="0090653E">
        <w:t>r review at least once every four</w:t>
      </w:r>
      <w:r w:rsidRPr="00A93C7A">
        <w:t xml:space="preserve"> years from the submission date of the previous study. </w:t>
      </w:r>
      <w:r w:rsidR="00D23A95" w:rsidRPr="00A93C7A">
        <w:t xml:space="preserve">Florida </w:t>
      </w:r>
      <w:r w:rsidR="00D23A95" w:rsidRPr="00DF1701">
        <w:t>Public Utilities Co</w:t>
      </w:r>
      <w:r w:rsidR="007B3B70">
        <w:t>mpany</w:t>
      </w:r>
      <w:r w:rsidRPr="00DF1701">
        <w:t xml:space="preserve"> (</w:t>
      </w:r>
      <w:r w:rsidR="00D23A95" w:rsidRPr="00DF1701">
        <w:t>FPUC</w:t>
      </w:r>
      <w:r w:rsidRPr="00DF1701">
        <w:t xml:space="preserve"> or Company) filed its 202</w:t>
      </w:r>
      <w:r w:rsidR="00526114" w:rsidRPr="00DF1701">
        <w:t>3</w:t>
      </w:r>
      <w:r w:rsidRPr="00DF1701">
        <w:t xml:space="preserve"> Depreciation Study (202</w:t>
      </w:r>
      <w:r w:rsidR="006263C1" w:rsidRPr="00DF1701">
        <w:t>3</w:t>
      </w:r>
      <w:r w:rsidRPr="00DF1701">
        <w:t xml:space="preserve"> Study) on J</w:t>
      </w:r>
      <w:r w:rsidR="006263C1" w:rsidRPr="00DF1701">
        <w:t>une 26</w:t>
      </w:r>
      <w:r w:rsidRPr="00DF1701">
        <w:t xml:space="preserve">, 2023. </w:t>
      </w:r>
      <w:r w:rsidR="00DF1701" w:rsidRPr="00100195">
        <w:t>FPUC</w:t>
      </w:r>
      <w:r w:rsidRPr="00100195">
        <w:t xml:space="preserve">’s last depreciation study was filed on </w:t>
      </w:r>
      <w:r w:rsidR="007B01CA" w:rsidRPr="00100195">
        <w:t>Sept</w:t>
      </w:r>
      <w:r w:rsidRPr="00100195">
        <w:t xml:space="preserve">ember </w:t>
      </w:r>
      <w:r w:rsidR="00100195" w:rsidRPr="00100195">
        <w:t>3</w:t>
      </w:r>
      <w:r w:rsidRPr="00100195">
        <w:t>, 201</w:t>
      </w:r>
      <w:r w:rsidR="00100195" w:rsidRPr="00100195">
        <w:t>9</w:t>
      </w:r>
      <w:r w:rsidRPr="00100195">
        <w:t xml:space="preserve"> (201</w:t>
      </w:r>
      <w:r w:rsidR="00100195" w:rsidRPr="00100195">
        <w:t>9</w:t>
      </w:r>
      <w:r w:rsidRPr="00100195">
        <w:t xml:space="preserve"> Study). </w:t>
      </w:r>
      <w:r w:rsidR="00100195" w:rsidRPr="00100195">
        <w:t>FPUC</w:t>
      </w:r>
      <w:r w:rsidRPr="00100195">
        <w:t xml:space="preserve"> serves </w:t>
      </w:r>
      <w:r w:rsidRPr="00035481">
        <w:t xml:space="preserve">approximately </w:t>
      </w:r>
      <w:r w:rsidR="00035481" w:rsidRPr="00035481">
        <w:t>3</w:t>
      </w:r>
      <w:r w:rsidRPr="00035481">
        <w:t>2,8</w:t>
      </w:r>
      <w:r w:rsidR="00035481" w:rsidRPr="00035481">
        <w:t>55</w:t>
      </w:r>
      <w:r w:rsidRPr="00035481">
        <w:t xml:space="preserve"> customers,</w:t>
      </w:r>
      <w:r w:rsidRPr="0090653E">
        <w:t xml:space="preserve"> and reported 2022 operating revenues of approximately $</w:t>
      </w:r>
      <w:r w:rsidR="0090653E" w:rsidRPr="0090653E">
        <w:t>87</w:t>
      </w:r>
      <w:r w:rsidRPr="0090653E">
        <w:t>,4</w:t>
      </w:r>
      <w:r w:rsidR="0090653E" w:rsidRPr="0090653E">
        <w:t>79</w:t>
      </w:r>
      <w:r w:rsidRPr="0090653E">
        <w:t>,</w:t>
      </w:r>
      <w:r w:rsidR="0090653E" w:rsidRPr="0090653E">
        <w:t>279</w:t>
      </w:r>
      <w:r w:rsidRPr="0090653E">
        <w:t>.</w:t>
      </w:r>
      <w:r w:rsidRPr="0090653E">
        <w:rPr>
          <w:rStyle w:val="FootnoteReference"/>
        </w:rPr>
        <w:footnoteReference w:id="1"/>
      </w:r>
      <w:r w:rsidRPr="0090653E">
        <w:t xml:space="preserve"> Staff has completed its review</w:t>
      </w:r>
      <w:r w:rsidRPr="00383556">
        <w:t xml:space="preserve"> of </w:t>
      </w:r>
      <w:r w:rsidR="00383556" w:rsidRPr="00383556">
        <w:t>FPUC</w:t>
      </w:r>
      <w:r w:rsidRPr="00383556">
        <w:t>’s current 202</w:t>
      </w:r>
      <w:r w:rsidR="00383556" w:rsidRPr="00383556">
        <w:t>3</w:t>
      </w:r>
      <w:r w:rsidRPr="00383556">
        <w:t xml:space="preserve"> Study and presents its recommendations to the Commission herein.</w:t>
      </w:r>
    </w:p>
    <w:p w14:paraId="3EAC7792" w14:textId="77777777" w:rsidR="0068481F" w:rsidRDefault="00AC084D" w:rsidP="00AC084D">
      <w:pPr>
        <w:pStyle w:val="BodyText"/>
      </w:pPr>
      <w:r w:rsidRPr="00383556">
        <w:lastRenderedPageBreak/>
        <w:t>The Commission is vested with jurisdiction over these matters through several provisions of the Florida Statutes (F.S.), including Sections 350.115, 366.05, and 366.06, F.S.</w:t>
      </w:r>
    </w:p>
    <w:p w14:paraId="797403D0" w14:textId="77777777" w:rsidR="007C0528" w:rsidRDefault="007C0528" w:rsidP="0068481F"/>
    <w:bookmarkEnd w:id="12"/>
    <w:p w14:paraId="7D9A2140"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1CFA95F4" w14:textId="77777777" w:rsidR="007C0528" w:rsidRDefault="007C0528">
      <w:pPr>
        <w:pStyle w:val="RecommendationMajorSectionHeading"/>
      </w:pPr>
      <w:bookmarkStart w:id="16" w:name="DiscussionOfIssues"/>
      <w:r>
        <w:lastRenderedPageBreak/>
        <w:t>Discussion of Issues</w:t>
      </w:r>
    </w:p>
    <w:bookmarkEnd w:id="16"/>
    <w:p w14:paraId="5457754D" w14:textId="63AD79E5" w:rsidR="00AC084D" w:rsidRDefault="00AC084D">
      <w:pPr>
        <w:pStyle w:val="IssueHeading"/>
        <w:rPr>
          <w:vanish/>
          <w:specVanish/>
        </w:rPr>
      </w:pPr>
      <w:r w:rsidRPr="004C3641">
        <w:t xml:space="preserve">Issue </w:t>
      </w:r>
      <w:fldSimple w:instr=" SEQ Issue \* MERGEFORMAT ">
        <w:r w:rsidR="00A04EEF">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04EEF">
        <w:rPr>
          <w:noProof/>
        </w:rPr>
        <w:instrText>1</w:instrText>
      </w:r>
      <w:r>
        <w:fldChar w:fldCharType="end"/>
      </w:r>
      <w:r>
        <w:tab/>
        <w:instrText xml:space="preserve">(Smith)" \l 1 </w:instrText>
      </w:r>
      <w:r>
        <w:fldChar w:fldCharType="end"/>
      </w:r>
      <w:r>
        <w:t> </w:t>
      </w:r>
    </w:p>
    <w:p w14:paraId="3A3BE5A3" w14:textId="5ED2498D" w:rsidR="00AC084D" w:rsidRDefault="00AC084D">
      <w:pPr>
        <w:pStyle w:val="BodyText"/>
      </w:pPr>
      <w:r>
        <w:t> Should currently prescribed depreciation rates for Florida Publi</w:t>
      </w:r>
      <w:r w:rsidR="001E32CA">
        <w:t>c</w:t>
      </w:r>
      <w:r w:rsidR="007B3B70">
        <w:t xml:space="preserve"> Utilities Company</w:t>
      </w:r>
      <w:r>
        <w:t xml:space="preserve"> be revised?</w:t>
      </w:r>
    </w:p>
    <w:p w14:paraId="26E56FD0" w14:textId="77777777" w:rsidR="00AC084D" w:rsidRPr="004C3641" w:rsidRDefault="00AC084D">
      <w:pPr>
        <w:pStyle w:val="IssueSubsectionHeading"/>
        <w:rPr>
          <w:vanish/>
          <w:specVanish/>
        </w:rPr>
      </w:pPr>
      <w:r w:rsidRPr="004C3641">
        <w:t>Recommendation: </w:t>
      </w:r>
    </w:p>
    <w:p w14:paraId="4AFF50FC" w14:textId="0178441E" w:rsidR="00AC084D" w:rsidRDefault="00AC084D">
      <w:pPr>
        <w:pStyle w:val="BodyText"/>
      </w:pPr>
      <w:r>
        <w:t xml:space="preserve"> Yes. The review of </w:t>
      </w:r>
      <w:r w:rsidR="00DB09EA">
        <w:t>FPUC</w:t>
      </w:r>
      <w:r w:rsidRPr="003E59B0">
        <w:t>’s</w:t>
      </w:r>
      <w:r>
        <w:t xml:space="preserve"> plant and depreciation-related information indicates a need to revise</w:t>
      </w:r>
      <w:r w:rsidRPr="003E59B0">
        <w:t xml:space="preserve"> </w:t>
      </w:r>
      <w:r>
        <w:t>the Company</w:t>
      </w:r>
      <w:r w:rsidRPr="003E59B0">
        <w:t>’s</w:t>
      </w:r>
      <w:r>
        <w:t xml:space="preserve"> currently prescribed depreciation rates. (Smith)</w:t>
      </w:r>
    </w:p>
    <w:p w14:paraId="3FD2A5E5" w14:textId="77777777" w:rsidR="00AC084D" w:rsidRPr="004C3641" w:rsidRDefault="00AC084D">
      <w:pPr>
        <w:pStyle w:val="IssueSubsectionHeading"/>
        <w:rPr>
          <w:vanish/>
          <w:specVanish/>
        </w:rPr>
      </w:pPr>
      <w:r w:rsidRPr="004C3641">
        <w:t>Staff Analysis: </w:t>
      </w:r>
    </w:p>
    <w:p w14:paraId="0F330D93" w14:textId="0254A889" w:rsidR="00AC084D" w:rsidRDefault="00AC084D" w:rsidP="00AC084D">
      <w:pPr>
        <w:pStyle w:val="BodyText"/>
      </w:pPr>
      <w:r>
        <w:t xml:space="preserve"> FPUC’s last </w:t>
      </w:r>
      <w:r w:rsidRPr="00C61321">
        <w:t xml:space="preserve">depreciation filing was made on </w:t>
      </w:r>
      <w:r w:rsidR="00DB09EA">
        <w:t>Sept</w:t>
      </w:r>
      <w:r w:rsidRPr="00C61321">
        <w:t xml:space="preserve">ember </w:t>
      </w:r>
      <w:r w:rsidR="00DB09EA">
        <w:t>3</w:t>
      </w:r>
      <w:r w:rsidRPr="00C61321">
        <w:t>, 201</w:t>
      </w:r>
      <w:r w:rsidR="00DB09EA">
        <w:t>9</w:t>
      </w:r>
      <w:r w:rsidRPr="00C61321">
        <w:t>. By Order No. PSC-</w:t>
      </w:r>
      <w:r>
        <w:t>20</w:t>
      </w:r>
      <w:r w:rsidR="008509F8">
        <w:t>20</w:t>
      </w:r>
      <w:r w:rsidRPr="00C61321">
        <w:t>-0</w:t>
      </w:r>
      <w:r>
        <w:t>3</w:t>
      </w:r>
      <w:r w:rsidR="00C50EF8">
        <w:t>47</w:t>
      </w:r>
      <w:r w:rsidRPr="00C61321">
        <w:t>-A</w:t>
      </w:r>
      <w:r w:rsidR="00C50EF8">
        <w:t>S</w:t>
      </w:r>
      <w:r w:rsidRPr="00C61321">
        <w:t>-</w:t>
      </w:r>
      <w:r w:rsidR="00C50EF8">
        <w:t>EI</w:t>
      </w:r>
      <w:r w:rsidRPr="00C61321">
        <w:t>, the Commission approved revised depreciation rates that became effective January 1, 20</w:t>
      </w:r>
      <w:r w:rsidR="00C50EF8">
        <w:t>20</w:t>
      </w:r>
      <w:r w:rsidRPr="00C61321">
        <w:t>.</w:t>
      </w:r>
      <w:r w:rsidRPr="00C61321">
        <w:rPr>
          <w:rStyle w:val="FootnoteReference"/>
        </w:rPr>
        <w:footnoteReference w:id="2"/>
      </w:r>
      <w:r>
        <w:t xml:space="preserve">  </w:t>
      </w:r>
    </w:p>
    <w:p w14:paraId="6F89A241" w14:textId="78809A7F" w:rsidR="00AC084D" w:rsidRDefault="00AC084D" w:rsidP="00AC084D">
      <w:pPr>
        <w:pStyle w:val="BodyText"/>
      </w:pPr>
      <w:r w:rsidRPr="00C61321">
        <w:t>Rule 25-</w:t>
      </w:r>
      <w:r w:rsidR="00005273">
        <w:t>6</w:t>
      </w:r>
      <w:r w:rsidRPr="00C61321">
        <w:t>.04</w:t>
      </w:r>
      <w:r w:rsidR="00617E21">
        <w:t>36</w:t>
      </w:r>
      <w:r w:rsidRPr="00C61321">
        <w:t xml:space="preserve">, F.A.C., requires </w:t>
      </w:r>
      <w:r w:rsidR="00005273">
        <w:t xml:space="preserve">electric utility </w:t>
      </w:r>
      <w:r w:rsidRPr="00C61321">
        <w:t>companies to file a comprehensive depreciatio</w:t>
      </w:r>
      <w:r w:rsidR="007B3B70">
        <w:t>n study at least once every four</w:t>
      </w:r>
      <w:r w:rsidRPr="00C61321">
        <w:t xml:space="preserve"> years from the submission date of the previously filed study or pursuant to Commission order. A review of the Company’s plant activity and data indicates the need for revising depreciation rates. Staff’s recommended depreciation components and rates are discussed in Issue 3 and shown on Attachments A, B, and</w:t>
      </w:r>
      <w:r>
        <w:t xml:space="preserve"> C.</w:t>
      </w:r>
    </w:p>
    <w:p w14:paraId="0E2290A0" w14:textId="536E9A35" w:rsidR="00AC084D" w:rsidRDefault="00AC084D">
      <w:pPr>
        <w:pStyle w:val="IssueHeading"/>
        <w:rPr>
          <w:vanish/>
          <w:specVanish/>
        </w:rPr>
      </w:pPr>
      <w:r w:rsidRPr="004C3641">
        <w:rPr>
          <w:b w:val="0"/>
          <w:i w:val="0"/>
        </w:rPr>
        <w:br w:type="page"/>
      </w:r>
      <w:r w:rsidRPr="004C3641">
        <w:lastRenderedPageBreak/>
        <w:t xml:space="preserve">Issue </w:t>
      </w:r>
      <w:fldSimple w:instr=" SEQ Issue \* MERGEFORMAT ">
        <w:r w:rsidR="00A04EEF">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04EEF">
        <w:rPr>
          <w:noProof/>
        </w:rPr>
        <w:instrText>2</w:instrText>
      </w:r>
      <w:r>
        <w:fldChar w:fldCharType="end"/>
      </w:r>
      <w:r>
        <w:tab/>
        <w:instrText xml:space="preserve">(Smith)" \l 1 </w:instrText>
      </w:r>
      <w:r>
        <w:fldChar w:fldCharType="end"/>
      </w:r>
      <w:r>
        <w:t> </w:t>
      </w:r>
    </w:p>
    <w:p w14:paraId="5F130B16" w14:textId="77777777" w:rsidR="00AC084D" w:rsidRDefault="00AC084D">
      <w:pPr>
        <w:pStyle w:val="BodyText"/>
      </w:pPr>
      <w:r>
        <w:t> What should be the implementation date for newly proposed depreciation rates?</w:t>
      </w:r>
    </w:p>
    <w:p w14:paraId="789D3756" w14:textId="77777777" w:rsidR="00AC084D" w:rsidRPr="004C3641" w:rsidRDefault="00AC084D">
      <w:pPr>
        <w:pStyle w:val="IssueSubsectionHeading"/>
        <w:rPr>
          <w:vanish/>
          <w:specVanish/>
        </w:rPr>
      </w:pPr>
      <w:r w:rsidRPr="004C3641">
        <w:t>Recommendation: </w:t>
      </w:r>
    </w:p>
    <w:p w14:paraId="4260D11C" w14:textId="77777777" w:rsidR="00AC084D" w:rsidRDefault="00AC084D">
      <w:pPr>
        <w:pStyle w:val="BodyText"/>
      </w:pPr>
      <w:r>
        <w:t xml:space="preserve"> Staff recommends January 1, 2023, for implementing </w:t>
      </w:r>
      <w:r w:rsidRPr="004D0807">
        <w:t>newly proposed depreciation rates</w:t>
      </w:r>
      <w:r>
        <w:t xml:space="preserve"> as shown on Attachments A, B, and C to this recommendation. (Smith)</w:t>
      </w:r>
    </w:p>
    <w:p w14:paraId="1742E42F" w14:textId="77777777" w:rsidR="00AC084D" w:rsidRPr="004C3641" w:rsidRDefault="00AC084D">
      <w:pPr>
        <w:pStyle w:val="IssueSubsectionHeading"/>
        <w:rPr>
          <w:vanish/>
          <w:specVanish/>
        </w:rPr>
      </w:pPr>
      <w:r w:rsidRPr="004C3641">
        <w:t>Staff Analysis: </w:t>
      </w:r>
    </w:p>
    <w:p w14:paraId="7C389DB6" w14:textId="676C06B8" w:rsidR="00AC084D" w:rsidRDefault="000B5098">
      <w:pPr>
        <w:pStyle w:val="BodyText"/>
      </w:pPr>
      <w:r>
        <w:t> Rule 25-6</w:t>
      </w:r>
      <w:r w:rsidR="00AC084D">
        <w:t>.04</w:t>
      </w:r>
      <w:r>
        <w:t>36</w:t>
      </w:r>
      <w:r w:rsidR="00AC084D">
        <w:t xml:space="preserve">, F.A.C., requires that the data submitted in a depreciation study, including plant and reserve balances or Company estimates, “shall be brought to the effective date of the proposed rates.” The supporting data and calculations provided by </w:t>
      </w:r>
      <w:r w:rsidR="00591245">
        <w:t>FPUC</w:t>
      </w:r>
      <w:r w:rsidR="00B8244F">
        <w:t xml:space="preserve"> </w:t>
      </w:r>
      <w:r w:rsidR="00AC084D">
        <w:t>match an implementation date of January 1, 2023.</w:t>
      </w:r>
    </w:p>
    <w:p w14:paraId="230749A1" w14:textId="5D235260" w:rsidR="00AC084D" w:rsidRDefault="00AC084D">
      <w:pPr>
        <w:pStyle w:val="IssueHeading"/>
        <w:rPr>
          <w:vanish/>
          <w:specVanish/>
        </w:rPr>
      </w:pPr>
      <w:r w:rsidRPr="004C3641">
        <w:rPr>
          <w:b w:val="0"/>
          <w:i w:val="0"/>
        </w:rPr>
        <w:br w:type="page"/>
      </w:r>
      <w:r w:rsidRPr="004C3641">
        <w:lastRenderedPageBreak/>
        <w:t xml:space="preserve">Issue </w:t>
      </w:r>
      <w:fldSimple w:instr=" SEQ Issue \* MERGEFORMAT ">
        <w:r w:rsidR="00A04EEF">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A04EEF">
        <w:rPr>
          <w:noProof/>
        </w:rPr>
        <w:instrText>3</w:instrText>
      </w:r>
      <w:r>
        <w:fldChar w:fldCharType="end"/>
      </w:r>
      <w:r>
        <w:tab/>
        <w:instrText xml:space="preserve">(Smith)" \l 1 </w:instrText>
      </w:r>
      <w:r>
        <w:fldChar w:fldCharType="end"/>
      </w:r>
      <w:r>
        <w:t> </w:t>
      </w:r>
    </w:p>
    <w:p w14:paraId="69A0585D" w14:textId="77777777" w:rsidR="00AC084D" w:rsidRDefault="00AC084D">
      <w:pPr>
        <w:pStyle w:val="BodyText"/>
      </w:pPr>
      <w:r>
        <w:t> What are the appropriate depreciation parameters and resulting rates?</w:t>
      </w:r>
    </w:p>
    <w:p w14:paraId="476ACE70" w14:textId="77777777" w:rsidR="00AC084D" w:rsidRPr="00F57C47" w:rsidRDefault="00AC084D">
      <w:pPr>
        <w:pStyle w:val="IssueSubsectionHeading"/>
        <w:rPr>
          <w:vanish/>
          <w:specVanish/>
        </w:rPr>
      </w:pPr>
      <w:r w:rsidRPr="004C3641">
        <w:t>Recommendation</w:t>
      </w:r>
      <w:r w:rsidRPr="00F57C47">
        <w:t>: </w:t>
      </w:r>
    </w:p>
    <w:p w14:paraId="677E72AE" w14:textId="7FD530D4" w:rsidR="00AC084D" w:rsidRDefault="00AC084D">
      <w:pPr>
        <w:pStyle w:val="BodyText"/>
      </w:pPr>
      <w:r w:rsidRPr="00F57C47">
        <w:t xml:space="preserve"> Staff recommends the Commission approve the lives, reserve percentages, net salvage percentages, and resulting </w:t>
      </w:r>
      <w:r w:rsidRPr="007B1BBE">
        <w:t xml:space="preserve">remaining life depreciation rates for </w:t>
      </w:r>
      <w:r w:rsidR="00F57C47" w:rsidRPr="007B1BBE">
        <w:t xml:space="preserve">FPUC </w:t>
      </w:r>
      <w:r w:rsidRPr="007B1BBE">
        <w:t xml:space="preserve"> that are shown on Attachments A and C. As shown on Attachment B, the corresponding depreciation </w:t>
      </w:r>
      <w:r w:rsidR="008309A4" w:rsidRPr="007B1BBE">
        <w:t xml:space="preserve">and amortization </w:t>
      </w:r>
      <w:r w:rsidRPr="007B1BBE">
        <w:t xml:space="preserve">expense effect of staff’s rate recommendations is a </w:t>
      </w:r>
      <w:r w:rsidR="00F57C47" w:rsidRPr="007B1BBE">
        <w:t>de</w:t>
      </w:r>
      <w:r w:rsidR="008309A4" w:rsidRPr="007B1BBE">
        <w:t>crease of $868</w:t>
      </w:r>
      <w:r w:rsidRPr="007B1BBE">
        <w:t>,</w:t>
      </w:r>
      <w:r w:rsidR="008309A4" w:rsidRPr="007B1BBE">
        <w:t>148</w:t>
      </w:r>
      <w:r w:rsidRPr="007B1BBE">
        <w:t xml:space="preserve"> annually, or 1</w:t>
      </w:r>
      <w:r w:rsidR="008309A4" w:rsidRPr="007B1BBE">
        <w:t>8</w:t>
      </w:r>
      <w:r w:rsidRPr="007B1BBE">
        <w:t>.</w:t>
      </w:r>
      <w:r w:rsidR="008309A4" w:rsidRPr="007B1BBE">
        <w:t>3</w:t>
      </w:r>
      <w:r w:rsidRPr="007B1BBE">
        <w:t xml:space="preserve"> percent, based on December 31, 2022 investments.</w:t>
      </w:r>
      <w:r w:rsidRPr="00F57C47">
        <w:t xml:space="preserve"> (Smith)</w:t>
      </w:r>
    </w:p>
    <w:p w14:paraId="79026ECD" w14:textId="77777777" w:rsidR="00AC084D" w:rsidRPr="004C3641" w:rsidRDefault="00AC084D">
      <w:pPr>
        <w:pStyle w:val="IssueSubsectionHeading"/>
        <w:rPr>
          <w:vanish/>
          <w:specVanish/>
        </w:rPr>
      </w:pPr>
      <w:r w:rsidRPr="004C3641">
        <w:t>Staff Analysis: </w:t>
      </w:r>
    </w:p>
    <w:p w14:paraId="6D619665" w14:textId="64C17CB3" w:rsidR="00AC084D" w:rsidRPr="00D47F28" w:rsidRDefault="00AC084D" w:rsidP="00AC084D">
      <w:pPr>
        <w:pStyle w:val="BodyText"/>
      </w:pPr>
      <w:r>
        <w:t> </w:t>
      </w:r>
      <w:r w:rsidR="00D12C99" w:rsidRPr="000F0F0B">
        <w:t>Staff’s recommendations are the resul</w:t>
      </w:r>
      <w:r w:rsidR="00D12C99">
        <w:t>t of a comprehensive review of FPUC’s</w:t>
      </w:r>
      <w:r w:rsidR="00D12C99" w:rsidRPr="000F0F0B">
        <w:t xml:space="preserve"> plant depreciation data filed in this docket. The Com</w:t>
      </w:r>
      <w:r w:rsidR="00D12C99">
        <w:t>pany provided plant addition,</w:t>
      </w:r>
      <w:r w:rsidR="00D12C99" w:rsidRPr="000F0F0B">
        <w:t xml:space="preserve"> retirement</w:t>
      </w:r>
      <w:r w:rsidR="00D12C99">
        <w:t>, and net salvage (NS)</w:t>
      </w:r>
      <w:r w:rsidR="00D12C99" w:rsidRPr="000F0F0B">
        <w:t xml:space="preserve"> data </w:t>
      </w:r>
      <w:r w:rsidR="00D12C99" w:rsidRPr="00D47F28">
        <w:t xml:space="preserve">spanning </w:t>
      </w:r>
      <w:r w:rsidR="00D12C99">
        <w:t>2019</w:t>
      </w:r>
      <w:r w:rsidR="00D12C99" w:rsidRPr="00D47F28">
        <w:t xml:space="preserve">-2022. FPUC’s electric distribution and general plant accounts grew by approximately </w:t>
      </w:r>
      <w:r w:rsidR="00D12C99">
        <w:t>seven</w:t>
      </w:r>
      <w:r w:rsidR="00D12C99" w:rsidRPr="00D47F28">
        <w:t xml:space="preserve"> percent over the 202</w:t>
      </w:r>
      <w:r w:rsidR="00D12C99">
        <w:t>3</w:t>
      </w:r>
      <w:r w:rsidR="00D12C99" w:rsidRPr="00D47F28">
        <w:t xml:space="preserve"> Study’s timeframe</w:t>
      </w:r>
      <w:r w:rsidRPr="00D47F28">
        <w:t xml:space="preserve">. </w:t>
      </w:r>
    </w:p>
    <w:p w14:paraId="5A3DEEE9" w14:textId="51D952CD" w:rsidR="00B54C90" w:rsidRDefault="00B54C90" w:rsidP="00B54C90">
      <w:pPr>
        <w:pStyle w:val="First-LevelSubheading"/>
      </w:pPr>
      <w:r>
        <w:t>2023 Depreciation Study Approach</w:t>
      </w:r>
    </w:p>
    <w:p w14:paraId="1384A22D" w14:textId="77777777" w:rsidR="00D12C99" w:rsidRDefault="00D12C99" w:rsidP="00D12C99">
      <w:pPr>
        <w:pStyle w:val="BodyText"/>
      </w:pPr>
      <w:r>
        <w:t xml:space="preserve">FPUC explained that it used a similar approach to the 2023 Study that the Company has used for its depreciation studies for more than 20 years. FPUC calculated </w:t>
      </w:r>
      <w:r w:rsidRPr="0019616B">
        <w:t>the average ages for</w:t>
      </w:r>
      <w:r>
        <w:t xml:space="preserve"> each account using its continuing property record. To determine if a change to the average service life (ASL) for each account was warranted, FPUC utilized the aged retirement data and  average ages for each account, along with the ASLs of other Florida based electric utilities. Due to the low level of retirements, FPUC was not able to statistically generate Iowa curves for any of its accounts. However, the currently-approved curves were analyzed using retirement data and average ages of each account.</w:t>
      </w:r>
    </w:p>
    <w:p w14:paraId="3ED2FE41" w14:textId="624E551D" w:rsidR="0019616B" w:rsidRDefault="00D12C99" w:rsidP="00D12C99">
      <w:pPr>
        <w:pStyle w:val="BodyText"/>
      </w:pPr>
      <w:r>
        <w:t>Based on FPUC’s 2023 Study, for its depreciable accounts, the Company is proposing an increase to the ASLs for 18 accounts and changes to the Iowa curves for two accounts. FPUC is also proposing to establish two new amortizable accounts, as well as extending the amortization periods for two existing accounts</w:t>
      </w:r>
      <w:r w:rsidR="006C009E">
        <w:t xml:space="preserve">. </w:t>
      </w:r>
    </w:p>
    <w:p w14:paraId="3E3210A7" w14:textId="53A2BDF1" w:rsidR="00B54C90" w:rsidRDefault="00B54C90" w:rsidP="00B54C90">
      <w:pPr>
        <w:pStyle w:val="First-LevelSubheading"/>
      </w:pPr>
      <w:r>
        <w:t>Average Service Lives</w:t>
      </w:r>
    </w:p>
    <w:p w14:paraId="43FF6652" w14:textId="77777777" w:rsidR="00D12C99" w:rsidRDefault="00D12C99" w:rsidP="00D12C99">
      <w:pPr>
        <w:pStyle w:val="BodyText"/>
      </w:pPr>
      <w:r>
        <w:t xml:space="preserve">As mentioned above, FPUC is proposing extending the ASLs for 18 of its Transmission, Distribution, and General Plant accounts. No reductions to any ASLs are being put forward by the Company. FPUC states that the reason for no ASL reductions is the result of extremely low level of retirements experienced by the Company since its last depreciation study. Staff is in agreement with FPUC’s need to extend the ASLs for these 18 accounts. However staff has concerns with the magnitude of the ASL increase proposed by FPUC for three of the 18 accounts. Although the proposed ASLs for these three accounts are within the range approved for other Florida electric utilities, staff believes a more gradual increase is appropriate at this time. </w:t>
      </w:r>
    </w:p>
    <w:p w14:paraId="38053B85" w14:textId="77777777" w:rsidR="00D12C99" w:rsidRDefault="00D12C99" w:rsidP="00D12C99">
      <w:pPr>
        <w:pStyle w:val="BodyText"/>
      </w:pPr>
      <w:r>
        <w:t xml:space="preserve">For Account 352 – Structures &amp; Improvements, FPUC is proposing extending the ASL for this account from 60 years to 75 years. This represents an increase of 25 percent. Staff believes that a more modest increase is appropriate at this time. Therefore, staff is recommending an ASL of 70 years for this account. </w:t>
      </w:r>
    </w:p>
    <w:p w14:paraId="3BC92E17" w14:textId="77777777" w:rsidR="00D12C99" w:rsidRDefault="00D12C99" w:rsidP="00D12C99">
      <w:pPr>
        <w:pStyle w:val="BodyText"/>
      </w:pPr>
      <w:r>
        <w:t xml:space="preserve">With regard to Account 360.1 – Land Rights, FPUC is proposing extending the ASL for this account from 60 years to 75 years. This represents an increase of 25 percent. Staff believes that a </w:t>
      </w:r>
      <w:r>
        <w:lastRenderedPageBreak/>
        <w:t xml:space="preserve">more modest increase is appropriate at this time. Therefore, staff is recommending an ASL of 70 years for this account. </w:t>
      </w:r>
    </w:p>
    <w:p w14:paraId="3EDC8750" w14:textId="2FF9FADA" w:rsidR="006B0BD4" w:rsidRDefault="00D12C99" w:rsidP="00D12C99">
      <w:pPr>
        <w:pStyle w:val="BodyText"/>
      </w:pPr>
      <w:r>
        <w:t>For Account 373 – Street Lighting and Signal Systems, FPUC is proposing extending the ASL for this account from 22 years to 37 years. This represents an increase of 59 percent. Staff believes that a more gradual increase is appropriate at this time. Therefore, staff is recommending an ASL of 30 years for this account</w:t>
      </w:r>
      <w:r w:rsidR="006B0BD4">
        <w:t xml:space="preserve">. </w:t>
      </w:r>
    </w:p>
    <w:p w14:paraId="14527BED" w14:textId="29231133" w:rsidR="006C009E" w:rsidRDefault="00B54C90" w:rsidP="00B54C90">
      <w:pPr>
        <w:pStyle w:val="First-LevelSubheading"/>
      </w:pPr>
      <w:r>
        <w:t>Iowa Curves</w:t>
      </w:r>
    </w:p>
    <w:p w14:paraId="2E9BF95C" w14:textId="726598C5" w:rsidR="006C009E" w:rsidRDefault="00D12C99" w:rsidP="00AC084D">
      <w:pPr>
        <w:pStyle w:val="BodyText"/>
      </w:pPr>
      <w:r>
        <w:t>FPUC states that it did not have sufficient retirement activity to generate useful statistical analysis of the retirement patterns for each account. Therefore the Company reviewed each currently-approved Iowa curve for each account by using the average age of the account along with the retirement activity since the last depreciation study to see if a change in the curve was warranted. Based on FPUC’s analysis, the Company has put forward changes to the Iowa curves for two accounts. FPUC is proposing a change from the currently-approved S2 curve to an R2 curve for Account 356 – Overheard Conductors. For Account 369 – Services, FPUC is proposing a change from the currently-approved R5 curve to an R3 curve. Due to the low level of retirements experienced in these accounts, staff agrees with the Company that a change in these curves is reasonable</w:t>
      </w:r>
      <w:r w:rsidR="00401B10">
        <w:t xml:space="preserve">. </w:t>
      </w:r>
    </w:p>
    <w:p w14:paraId="3C20A872" w14:textId="4BADBAB0" w:rsidR="00401B10" w:rsidRDefault="00401B10" w:rsidP="00401B10">
      <w:pPr>
        <w:pStyle w:val="First-LevelSubheading"/>
      </w:pPr>
      <w:r>
        <w:t>Net Salvage</w:t>
      </w:r>
    </w:p>
    <w:p w14:paraId="56CB6015" w14:textId="1AECE924" w:rsidR="00401B10" w:rsidRDefault="00D12C99" w:rsidP="00AC084D">
      <w:pPr>
        <w:pStyle w:val="BodyText"/>
      </w:pPr>
      <w:r>
        <w:t>As discussed, FPUC has experienced very few retirements since its last depreciation study. As a result, the Company has very little salvage and cost of removal data to analyze as well. Consequently, FPUC did not put forward any changes to its currently-approved net salvage percentages. Given the lack of data justifying a change in FPUC’s currently-approved NS percentages, staff agrees with the Company’s proposal. Therefore, staff is recommending retaining all of FPUC’s net salvage values</w:t>
      </w:r>
      <w:r w:rsidR="00DA0694">
        <w:t>.</w:t>
      </w:r>
    </w:p>
    <w:p w14:paraId="00BA3348" w14:textId="0CD99B17" w:rsidR="006C009E" w:rsidRDefault="00B54C90" w:rsidP="00B54C90">
      <w:pPr>
        <w:pStyle w:val="First-LevelSubheading"/>
      </w:pPr>
      <w:r>
        <w:t>Extended Amortization Periods and New Accounts</w:t>
      </w:r>
    </w:p>
    <w:p w14:paraId="707EE5B5" w14:textId="77777777" w:rsidR="00D12C99" w:rsidRDefault="00D12C99" w:rsidP="00D12C99">
      <w:pPr>
        <w:pStyle w:val="BodyText"/>
      </w:pPr>
      <w:r>
        <w:t xml:space="preserve">FPUC currently has four software systems that it records in Account 391.4 – Software. These systems include Outage Management System (OMS), PowerPlan, Utilities International (UI Ph3), and Power Analytics. The current amortization period for this account is five years. FPUC is proposing moving the plant and associated reserve amounts for OMS, PowerPlan, and UI Ph3 to Account 303.1 – Miscellaneous Intangible Plant. The Company states that this transfer is appropriate due to the large amount of customization to FPUC’s operations that is incorporated into these systems. </w:t>
      </w:r>
    </w:p>
    <w:p w14:paraId="4F3F4EDC" w14:textId="4A2CD237" w:rsidR="00D12C99" w:rsidRDefault="00D12C99" w:rsidP="00D12C99">
      <w:pPr>
        <w:pStyle w:val="BodyText"/>
      </w:pPr>
      <w:r>
        <w:t xml:space="preserve">FPUC also points out that this treatment is similar to that which </w:t>
      </w:r>
      <w:r w:rsidR="006E48B0">
        <w:t xml:space="preserve">has been approved for </w:t>
      </w:r>
      <w:r>
        <w:t>other Florida utilities for their customized software. Further, FPUC believes extending the amortization period for Account 303.1 from 5 years to 15 years is appropriate. This change is due to the Company’s experience with its previous software systems which lasted from 10 years to 13 years</w:t>
      </w:r>
      <w:r w:rsidRPr="008309A4">
        <w:t>. Given the range of 15 to 20 years that ha</w:t>
      </w:r>
      <w:r>
        <w:t>s</w:t>
      </w:r>
      <w:r w:rsidRPr="008309A4">
        <w:t xml:space="preserve"> been approved for similar software for other Florida utilities</w:t>
      </w:r>
      <w:r w:rsidR="005361EB">
        <w:t>,</w:t>
      </w:r>
      <w:r w:rsidR="005361EB">
        <w:rPr>
          <w:rStyle w:val="FootnoteReference"/>
        </w:rPr>
        <w:footnoteReference w:id="3"/>
      </w:r>
      <w:r w:rsidRPr="008309A4">
        <w:t xml:space="preserve"> staff</w:t>
      </w:r>
      <w:r>
        <w:t xml:space="preserve"> recommends that the Commission approve FPUC’s request to move </w:t>
      </w:r>
      <w:r>
        <w:lastRenderedPageBreak/>
        <w:t xml:space="preserve">the plant and associated reserve amounts for OMS, PowerPlan, and UI Ph3 software systems to Account 303.1 – Miscellaneous Intangible Plant and that the amortization period for this account be extended to 15 years. </w:t>
      </w:r>
    </w:p>
    <w:p w14:paraId="0BC5A49B" w14:textId="50D2DE2D" w:rsidR="00DA0694" w:rsidRDefault="00D12C99" w:rsidP="00D12C99">
      <w:pPr>
        <w:pStyle w:val="BodyText"/>
      </w:pPr>
      <w:r>
        <w:t>FPUC’s Power Analytics software, the fourth of the four software systems, is an out-of-the-box software package which lacks customization specifically for FPUC. For that reason, FPUC proposes leaving the Power Analytics software in Account 394.1 – Software. FPUC stated that additional licensing and fees were paid for this software in 2020. FPUC believes an extension of the amortization period from the currently-approved 5-year period to 10 years is warranted. Staff agrees with FPUC and recommends the Commission approve FPUC’s request to extend the amortization period for Account 391.4 – Software be extended from 5 years to 10 years.</w:t>
      </w:r>
    </w:p>
    <w:p w14:paraId="45252A68" w14:textId="5D8D3905" w:rsidR="00407055" w:rsidRDefault="00407055" w:rsidP="00407055">
      <w:pPr>
        <w:pStyle w:val="Second-LevelSubheading"/>
      </w:pPr>
      <w:r>
        <w:t>Customer Information System</w:t>
      </w:r>
    </w:p>
    <w:p w14:paraId="2A4366C2" w14:textId="77777777" w:rsidR="00D12C99" w:rsidRDefault="00D12C99" w:rsidP="00D12C99">
      <w:pPr>
        <w:pStyle w:val="BodyText"/>
      </w:pPr>
      <w:r>
        <w:t xml:space="preserve">To consolidate the different billing systems for all of its divisions in Florida, Delaware, and Maryland, Chesapeake Utility Corporation is planning to implement a new Customer Information System (CIS) for its regulated electric and natural gas businesses in 2025. FPUC stated that $6M of the new CIS system will be allocated to its electric division. In preparation for this implementation, FPUC is requesting the Commission approve a new subaccount, 303.2 – Miscellaneous Intangible Plant – CIS, with an amortization period of 20 years. </w:t>
      </w:r>
    </w:p>
    <w:p w14:paraId="7DA95F05" w14:textId="76C9F418" w:rsidR="00D825E5" w:rsidRDefault="00D12C99" w:rsidP="00D12C99">
      <w:pPr>
        <w:pStyle w:val="BodyText"/>
      </w:pPr>
      <w:r>
        <w:t xml:space="preserve">FPUC’s current CIS system has been in service since 2000, but was fully amortized in 2005 given the 5-year amortization period for this account. Since FPUC’s current CIS system has been in service for more than 22 years, and the new CIS system will be cloud-based and continuously </w:t>
      </w:r>
      <w:r w:rsidRPr="008309A4">
        <w:t>updated, staff believes establishing a new subaccount with a 20-year amortization period is appropriate. This amortization period is also in line with other Florida based electric utility companies</w:t>
      </w:r>
      <w:r w:rsidR="004905FA" w:rsidRPr="008309A4">
        <w:t>.</w:t>
      </w:r>
      <w:r w:rsidR="00FB324A" w:rsidRPr="008309A4">
        <w:rPr>
          <w:rStyle w:val="FootnoteReference"/>
        </w:rPr>
        <w:footnoteReference w:id="4"/>
      </w:r>
      <w:r w:rsidR="004905FA">
        <w:t xml:space="preserve"> </w:t>
      </w:r>
    </w:p>
    <w:p w14:paraId="4E12CC1A" w14:textId="289BF85C" w:rsidR="009765EF" w:rsidRDefault="004905FA" w:rsidP="004905FA">
      <w:pPr>
        <w:pStyle w:val="Second-LevelSubheading"/>
      </w:pPr>
      <w:r>
        <w:t>AMI Meter Account</w:t>
      </w:r>
    </w:p>
    <w:p w14:paraId="59874EEC" w14:textId="2F4C4271" w:rsidR="004905FA" w:rsidRDefault="00D12C99" w:rsidP="00AC084D">
      <w:pPr>
        <w:pStyle w:val="BodyText"/>
      </w:pPr>
      <w:r>
        <w:t>Despite the fact that FPUC does not currently have plans to begin installing AMI meters, FPUC is proposing to establish a new subaccount for the possibility of such installations.. FPUC proposed an ASL of 20 years with a negative 10 percent NS which results in a whole life rate of 5.5 percent. These depreciation parameters are similar to those of other Florida based electric utilities. Staff believes this proposal is efficient and appropriate. Therefore, staff is recommending the Commission approve Account 370.1 – Meters – AMI, and the Company’s proposed ASL and NS</w:t>
      </w:r>
      <w:r w:rsidR="007675D6">
        <w:t xml:space="preserve">.  </w:t>
      </w:r>
      <w:r w:rsidR="004905FA">
        <w:t xml:space="preserve"> </w:t>
      </w:r>
    </w:p>
    <w:p w14:paraId="4ED6BC6A" w14:textId="48995EE3" w:rsidR="00AC084D" w:rsidRDefault="00AC084D" w:rsidP="00AC084D">
      <w:pPr>
        <w:pStyle w:val="First-LevelSubheading"/>
      </w:pPr>
      <w:r>
        <w:lastRenderedPageBreak/>
        <w:t>Reserve Transfer</w:t>
      </w:r>
    </w:p>
    <w:p w14:paraId="1F070F8B" w14:textId="08882423" w:rsidR="00AC084D" w:rsidRPr="00B45D32" w:rsidRDefault="00C0108B" w:rsidP="00AC084D">
      <w:pPr>
        <w:pStyle w:val="BodyText"/>
      </w:pPr>
      <w:r w:rsidRPr="00923C58">
        <w:t xml:space="preserve">As part of </w:t>
      </w:r>
      <w:r>
        <w:t>reviewing FPUC’s 2023</w:t>
      </w:r>
      <w:r w:rsidRPr="00923C58">
        <w:t xml:space="preserve"> depreciation study, staff verified the book reserve balance of each plant account. Staff also calculated the associated theoretical reserve balance of each plant account using the current recommended life and net salvage parameters. The difference between an account’s book and theoretical reserve amounts may be described as an imbalance, either positive or negative, or as a surplus or deficiency. When imbalances are present, corrective transfers among accounts should be considered, and if warranted, should be performed</w:t>
      </w:r>
      <w:r w:rsidR="00AC084D" w:rsidRPr="00923C58">
        <w:t>.</w:t>
      </w:r>
      <w:r w:rsidR="00AC084D" w:rsidRPr="00B45D32">
        <w:t xml:space="preserve"> </w:t>
      </w:r>
    </w:p>
    <w:p w14:paraId="6CEC0396" w14:textId="5E105A2E" w:rsidR="00AC084D" w:rsidRPr="00312FB1" w:rsidRDefault="00AC084D" w:rsidP="00AC084D">
      <w:pPr>
        <w:pStyle w:val="TableNumber"/>
        <w:keepNext/>
      </w:pPr>
      <w:r>
        <w:t xml:space="preserve">Table </w:t>
      </w:r>
      <w:fldSimple w:instr=" SEQ Issue \c ">
        <w:r w:rsidR="00A04EEF">
          <w:rPr>
            <w:noProof/>
          </w:rPr>
          <w:t>3</w:t>
        </w:r>
      </w:fldSimple>
      <w:r w:rsidR="005361EB">
        <w:t>-1</w:t>
      </w:r>
    </w:p>
    <w:p w14:paraId="35528542" w14:textId="77777777" w:rsidR="00AC084D" w:rsidRDefault="00AC084D" w:rsidP="00AC084D">
      <w:pPr>
        <w:pStyle w:val="TableTitle"/>
        <w:keepNext/>
      </w:pPr>
      <w:r>
        <w:t>Accumulated Depreciation Transfers</w:t>
      </w:r>
    </w:p>
    <w:tbl>
      <w:tblPr>
        <w:tblStyle w:val="TableGrid"/>
        <w:tblW w:w="0" w:type="auto"/>
        <w:jc w:val="center"/>
        <w:tblLook w:val="04A0" w:firstRow="1" w:lastRow="0" w:firstColumn="1" w:lastColumn="0" w:noHBand="0" w:noVBand="1"/>
      </w:tblPr>
      <w:tblGrid>
        <w:gridCol w:w="1467"/>
        <w:gridCol w:w="4050"/>
        <w:gridCol w:w="2277"/>
      </w:tblGrid>
      <w:tr w:rsidR="00AC084D" w14:paraId="579C87F7" w14:textId="77777777" w:rsidTr="00B177B0">
        <w:trPr>
          <w:jc w:val="center"/>
        </w:trPr>
        <w:tc>
          <w:tcPr>
            <w:tcW w:w="1467" w:type="dxa"/>
            <w:vAlign w:val="bottom"/>
          </w:tcPr>
          <w:p w14:paraId="39CF00E1" w14:textId="77777777" w:rsidR="00AC084D" w:rsidRDefault="00AC084D" w:rsidP="004A1F72">
            <w:pPr>
              <w:jc w:val="center"/>
            </w:pPr>
            <w:r>
              <w:t>Acct. No.</w:t>
            </w:r>
          </w:p>
        </w:tc>
        <w:tc>
          <w:tcPr>
            <w:tcW w:w="4050" w:type="dxa"/>
            <w:vAlign w:val="center"/>
          </w:tcPr>
          <w:p w14:paraId="556191A7" w14:textId="77777777" w:rsidR="00AC084D" w:rsidRDefault="00AC084D" w:rsidP="004A1F72">
            <w:pPr>
              <w:jc w:val="center"/>
            </w:pPr>
            <w:r>
              <w:t>Account Title</w:t>
            </w:r>
          </w:p>
        </w:tc>
        <w:tc>
          <w:tcPr>
            <w:tcW w:w="2277" w:type="dxa"/>
            <w:vAlign w:val="bottom"/>
          </w:tcPr>
          <w:p w14:paraId="1B1D8C50" w14:textId="77777777" w:rsidR="00AC084D" w:rsidRDefault="00AC084D" w:rsidP="004A1F72">
            <w:pPr>
              <w:jc w:val="center"/>
            </w:pPr>
            <w:r>
              <w:t>Staff Recommended Transfer Amount</w:t>
            </w:r>
          </w:p>
        </w:tc>
      </w:tr>
      <w:tr w:rsidR="00AC084D" w14:paraId="559B3FED" w14:textId="77777777" w:rsidTr="00B177B0">
        <w:trPr>
          <w:jc w:val="center"/>
        </w:trPr>
        <w:tc>
          <w:tcPr>
            <w:tcW w:w="1467" w:type="dxa"/>
            <w:vAlign w:val="bottom"/>
          </w:tcPr>
          <w:p w14:paraId="2B1903B2" w14:textId="59144E41" w:rsidR="00AC084D" w:rsidRDefault="00AC084D" w:rsidP="004A1F72">
            <w:r>
              <w:t>3</w:t>
            </w:r>
            <w:r w:rsidR="00AB7CDE">
              <w:t>9</w:t>
            </w:r>
            <w:r>
              <w:t>2</w:t>
            </w:r>
            <w:r w:rsidR="00AB7CDE">
              <w:t>.1</w:t>
            </w:r>
          </w:p>
        </w:tc>
        <w:tc>
          <w:tcPr>
            <w:tcW w:w="4050" w:type="dxa"/>
            <w:vAlign w:val="bottom"/>
          </w:tcPr>
          <w:p w14:paraId="79AF8BE4" w14:textId="2499C8D6" w:rsidR="00AC084D" w:rsidRDefault="00CF1EEA" w:rsidP="004A1F72">
            <w:r>
              <w:t xml:space="preserve">Transportation – Cars </w:t>
            </w:r>
          </w:p>
        </w:tc>
        <w:tc>
          <w:tcPr>
            <w:tcW w:w="2277" w:type="dxa"/>
            <w:vAlign w:val="bottom"/>
          </w:tcPr>
          <w:p w14:paraId="5E96ADED" w14:textId="47926743" w:rsidR="00AC084D" w:rsidRDefault="00443DC9" w:rsidP="004A1F72">
            <w:pPr>
              <w:jc w:val="right"/>
            </w:pPr>
            <w:r>
              <w:t>(</w:t>
            </w:r>
            <w:r w:rsidR="004429C7">
              <w:t>10,373</w:t>
            </w:r>
            <w:r>
              <w:t>)</w:t>
            </w:r>
          </w:p>
        </w:tc>
      </w:tr>
      <w:tr w:rsidR="00AC084D" w14:paraId="688BACEA" w14:textId="77777777" w:rsidTr="00B177B0">
        <w:trPr>
          <w:jc w:val="center"/>
        </w:trPr>
        <w:tc>
          <w:tcPr>
            <w:tcW w:w="1467" w:type="dxa"/>
            <w:vAlign w:val="bottom"/>
          </w:tcPr>
          <w:p w14:paraId="3FF05757" w14:textId="3545F15B" w:rsidR="00AC084D" w:rsidRDefault="00AC084D" w:rsidP="004A1F72">
            <w:r>
              <w:t>3</w:t>
            </w:r>
            <w:r w:rsidR="00AB7CDE">
              <w:t>92.2</w:t>
            </w:r>
          </w:p>
        </w:tc>
        <w:tc>
          <w:tcPr>
            <w:tcW w:w="4050" w:type="dxa"/>
            <w:vAlign w:val="bottom"/>
          </w:tcPr>
          <w:p w14:paraId="02538232" w14:textId="4165A4EA" w:rsidR="00AC084D" w:rsidRDefault="00273559" w:rsidP="004A1F72">
            <w:r>
              <w:t>Tr</w:t>
            </w:r>
            <w:r w:rsidR="003C4C1B">
              <w:t>ansportation</w:t>
            </w:r>
            <w:r w:rsidR="00AC084D">
              <w:t xml:space="preserve"> </w:t>
            </w:r>
            <w:r w:rsidR="00CF1EEA">
              <w:t>– Light Trucks &amp; Vans</w:t>
            </w:r>
          </w:p>
        </w:tc>
        <w:tc>
          <w:tcPr>
            <w:tcW w:w="2277" w:type="dxa"/>
            <w:vAlign w:val="bottom"/>
          </w:tcPr>
          <w:p w14:paraId="58B6669E" w14:textId="086B5276" w:rsidR="00AC084D" w:rsidRDefault="004429C7" w:rsidP="004A1F72">
            <w:pPr>
              <w:jc w:val="right"/>
            </w:pPr>
            <w:r>
              <w:t>135,</w:t>
            </w:r>
            <w:r w:rsidR="00B177B0">
              <w:t>66</w:t>
            </w:r>
            <w:r w:rsidR="000530F7">
              <w:t>0</w:t>
            </w:r>
            <w:r w:rsidR="00AC084D">
              <w:t xml:space="preserve"> </w:t>
            </w:r>
          </w:p>
        </w:tc>
      </w:tr>
      <w:tr w:rsidR="00AC084D" w14:paraId="4482B75A" w14:textId="77777777" w:rsidTr="00B177B0">
        <w:trPr>
          <w:jc w:val="center"/>
        </w:trPr>
        <w:tc>
          <w:tcPr>
            <w:tcW w:w="1467" w:type="dxa"/>
            <w:vAlign w:val="bottom"/>
          </w:tcPr>
          <w:p w14:paraId="517584F8" w14:textId="5E46981A" w:rsidR="00AC084D" w:rsidRDefault="00AC084D" w:rsidP="004A1F72">
            <w:r>
              <w:t>3</w:t>
            </w:r>
            <w:r w:rsidR="00AB7CDE">
              <w:t>92.3</w:t>
            </w:r>
          </w:p>
        </w:tc>
        <w:tc>
          <w:tcPr>
            <w:tcW w:w="4050" w:type="dxa"/>
            <w:vAlign w:val="bottom"/>
          </w:tcPr>
          <w:p w14:paraId="247AF084" w14:textId="4AEEED63" w:rsidR="00AC084D" w:rsidRDefault="00273559" w:rsidP="004A1F72">
            <w:r>
              <w:t>Transportation – Heavy Trucks</w:t>
            </w:r>
          </w:p>
        </w:tc>
        <w:tc>
          <w:tcPr>
            <w:tcW w:w="2277" w:type="dxa"/>
            <w:vAlign w:val="bottom"/>
          </w:tcPr>
          <w:p w14:paraId="1B69CA4D" w14:textId="1AEA455A" w:rsidR="00AC084D" w:rsidRDefault="00443DC9" w:rsidP="004A1F72">
            <w:pPr>
              <w:jc w:val="right"/>
            </w:pPr>
            <w:r>
              <w:t>(125,</w:t>
            </w:r>
            <w:r w:rsidR="0018778C">
              <w:t>28</w:t>
            </w:r>
            <w:r w:rsidR="00B177B0">
              <w:t>7</w:t>
            </w:r>
            <w:r w:rsidR="0018778C">
              <w:t>)</w:t>
            </w:r>
          </w:p>
        </w:tc>
      </w:tr>
    </w:tbl>
    <w:p w14:paraId="65C0C731" w14:textId="77777777" w:rsidR="00AC084D" w:rsidRDefault="00AC084D" w:rsidP="0013713F">
      <w:pPr>
        <w:pStyle w:val="TableSource"/>
        <w:ind w:firstLine="720"/>
      </w:pPr>
      <w:r>
        <w:t>Source: Staff’s Calculations</w:t>
      </w:r>
    </w:p>
    <w:p w14:paraId="5BB8D70C" w14:textId="0178F151" w:rsidR="00396D34" w:rsidRDefault="00C0108B" w:rsidP="00AC084D">
      <w:pPr>
        <w:pStyle w:val="BodyText"/>
      </w:pPr>
      <w:r w:rsidRPr="000B5098">
        <w:t>As shown in Table 3-</w:t>
      </w:r>
      <w:r w:rsidR="005361EB">
        <w:t>1</w:t>
      </w:r>
      <w:r w:rsidRPr="000B5098">
        <w:t>, staff is recommending a reserve transfer for Account 392.1 – Transportation – Cars due to this account having a reserve balance but no plant balance. This resulted from the Company identifying necessary reclassifications and transfer</w:t>
      </w:r>
      <w:r>
        <w:t>s</w:t>
      </w:r>
      <w:r w:rsidRPr="000B5098">
        <w:t xml:space="preserve"> to affiliates, and net salvage adjustments related to FPUC’s transportation accounts. FPUC also calculated a reserve surplus associated with Account 392.3 – Transportation – Heavy Trucks and a reserve deficit associated with Account 392.2 – Transportation – Light Trucks &amp; Vans. Therefore, staff recommends transferring $10,373 from Account 392.1 – Transportation – Cars and $125,287 from Account 392.3 – Transportation – Heavy Trucks to Account 392</w:t>
      </w:r>
      <w:r>
        <w:t>.1</w:t>
      </w:r>
      <w:r w:rsidRPr="000B5098">
        <w:t xml:space="preserve"> – Transportation – Light Trucks &amp; Vans in order to correct the reserve </w:t>
      </w:r>
      <w:r>
        <w:t>balance</w:t>
      </w:r>
      <w:r w:rsidRPr="000B5098">
        <w:t xml:space="preserve"> in Account 392.1 mentioned above, and to offset the Theoretical reserve deficit associated with Account 392.2 and the surplus associated with Account 392.3</w:t>
      </w:r>
      <w:r w:rsidR="00822833" w:rsidRPr="000B5098">
        <w:t>.</w:t>
      </w:r>
      <w:r w:rsidR="00822833">
        <w:t xml:space="preserve"> </w:t>
      </w:r>
    </w:p>
    <w:p w14:paraId="769DCBCF" w14:textId="77777777" w:rsidR="00B54C90" w:rsidRDefault="00B54C90" w:rsidP="00B54C90">
      <w:pPr>
        <w:pStyle w:val="Second-LevelSubheading"/>
      </w:pPr>
      <w:r>
        <w:t xml:space="preserve">Prior Period Adjustments </w:t>
      </w:r>
    </w:p>
    <w:p w14:paraId="67EE4B4E" w14:textId="77777777" w:rsidR="00C0108B" w:rsidRDefault="00C0108B" w:rsidP="00C0108B">
      <w:pPr>
        <w:pStyle w:val="BodyText"/>
      </w:pPr>
      <w:r>
        <w:t xml:space="preserve">By Order No. PSC-2020-0347-AS-EI in docket 20190155-EI, the Commission approved the establishment of a regulatory asset for the recovery of the undepreciated plant and cost of removal for assets that were retired due to damage from Hurricane Michael. Exhibit G of the 2023 Study reflects the adjustments to remove those costs from FPUC’s plant and reserve account. </w:t>
      </w:r>
    </w:p>
    <w:p w14:paraId="3BCBEF3D" w14:textId="77777777" w:rsidR="00C0108B" w:rsidRDefault="00C0108B" w:rsidP="00C0108B">
      <w:pPr>
        <w:pStyle w:val="BodyText"/>
      </w:pPr>
      <w:r>
        <w:t>In its Study, FPUC explained that while developing its 2023 Study the Company discovered:</w:t>
      </w:r>
    </w:p>
    <w:p w14:paraId="19A5D353" w14:textId="77777777" w:rsidR="00C0108B" w:rsidRDefault="00C0108B" w:rsidP="00C0108B">
      <w:pPr>
        <w:pStyle w:val="BodyText"/>
        <w:ind w:left="720" w:right="720"/>
      </w:pPr>
      <w:r>
        <w:t xml:space="preserve">…instances where prior period adjustments related to the last study were inadvertently missed and not recorded; investment and reserve entries were unintentionally recorded in the wrong account; and assets were accidentally loaded incorrectly during the implementation of the new fixed asset system PowerPlan. </w:t>
      </w:r>
    </w:p>
    <w:p w14:paraId="09A8DAAB" w14:textId="77777777" w:rsidR="00C0108B" w:rsidRDefault="00C0108B" w:rsidP="00C0108B">
      <w:pPr>
        <w:pStyle w:val="BodyText"/>
      </w:pPr>
      <w:r>
        <w:lastRenderedPageBreak/>
        <w:t xml:space="preserve">The Company stated that Exhibit G of the Study reflects the corrections with explanations of each one. FPUC stated these corrections are incorporated into the plant and reserve balances in Exhibits A-E of the 2023 Study.  </w:t>
      </w:r>
    </w:p>
    <w:p w14:paraId="20DAB4D1" w14:textId="2DD9787C" w:rsidR="00B54C90" w:rsidRDefault="00C0108B" w:rsidP="00C0108B">
      <w:pPr>
        <w:pStyle w:val="BodyText"/>
      </w:pPr>
      <w:r w:rsidRPr="00923C58">
        <w:t>Attachments A and C to this recommendation show a comparison of the currently-approved depreciation parameters and rates to those that staff is recommending become effective January 1, 2023 (Issue 2). Displayed on Attachment B is a comparison of depreciation expenses between currently-approved and staff’s proposed rates based on December 31, 2022 investments. Staff and the Company are in agreement on all proposed depreciation parameters and resulting rates</w:t>
      </w:r>
      <w:r w:rsidR="00B54C90" w:rsidRPr="00923C58">
        <w:t>.</w:t>
      </w:r>
      <w:r w:rsidR="00B54C90" w:rsidRPr="00923C58">
        <w:rPr>
          <w:rStyle w:val="FootnoteReference"/>
        </w:rPr>
        <w:footnoteReference w:id="5"/>
      </w:r>
      <w:r w:rsidR="00B54C90">
        <w:t xml:space="preserve"> </w:t>
      </w:r>
    </w:p>
    <w:p w14:paraId="252D2188" w14:textId="77777777" w:rsidR="00AC084D" w:rsidRDefault="00AC084D" w:rsidP="00AC084D">
      <w:pPr>
        <w:pStyle w:val="First-LevelSubheading"/>
      </w:pPr>
      <w:r>
        <w:t>Account-Specific Analysis</w:t>
      </w:r>
    </w:p>
    <w:p w14:paraId="4F6C1F4B" w14:textId="59C38B03" w:rsidR="00AC084D" w:rsidRDefault="00AC084D" w:rsidP="00AC084D">
      <w:pPr>
        <w:pStyle w:val="Second-LevelSubheading"/>
      </w:pPr>
    </w:p>
    <w:p w14:paraId="3DB8DDB0" w14:textId="7AC269F4" w:rsidR="0045473A" w:rsidRDefault="0045473A" w:rsidP="0045473A">
      <w:pPr>
        <w:pStyle w:val="First-LevelSubheading"/>
      </w:pPr>
      <w:r>
        <w:t>Intangible Plant</w:t>
      </w:r>
    </w:p>
    <w:p w14:paraId="0F67B360" w14:textId="77777777" w:rsidR="0045473A" w:rsidRPr="0045473A" w:rsidRDefault="0045473A" w:rsidP="0045473A">
      <w:pPr>
        <w:pStyle w:val="BodyText"/>
        <w:spacing w:after="0"/>
      </w:pPr>
    </w:p>
    <w:p w14:paraId="01F965A1" w14:textId="678C81DE" w:rsidR="00AC084D" w:rsidRDefault="00AC084D" w:rsidP="00AC084D">
      <w:pPr>
        <w:pStyle w:val="Second-LevelSubheading"/>
      </w:pPr>
      <w:r>
        <w:t>Account 3</w:t>
      </w:r>
      <w:r w:rsidR="0045473A">
        <w:t>03.1</w:t>
      </w:r>
      <w:r>
        <w:t xml:space="preserve"> – </w:t>
      </w:r>
      <w:r w:rsidR="0045473A">
        <w:t xml:space="preserve">Miscellaneous Intangible Plant – 15 Years </w:t>
      </w:r>
    </w:p>
    <w:p w14:paraId="57BC7BBF" w14:textId="14EF6CE2" w:rsidR="00AC084D" w:rsidRPr="002448E2" w:rsidRDefault="00C0108B" w:rsidP="00AC084D">
      <w:pPr>
        <w:pStyle w:val="BodyText"/>
      </w:pPr>
      <w:r w:rsidRPr="005B33A2">
        <w:t xml:space="preserve">As reflected in Exhibit A of the 2022 Study, this account has an average age of 7.3 years. The Company proposes retaining the currently-approved ASL of 40 years and (5) percent NS. Using these parameters with the S3 curve, an </w:t>
      </w:r>
      <w:r w:rsidR="005361EB" w:rsidRPr="000476A6">
        <w:t>A</w:t>
      </w:r>
      <w:r w:rsidR="005361EB">
        <w:t>verage Remaining Life (</w:t>
      </w:r>
      <w:r w:rsidRPr="005B33A2">
        <w:t>ARL</w:t>
      </w:r>
      <w:r w:rsidR="005361EB">
        <w:t>)</w:t>
      </w:r>
      <w:r w:rsidRPr="005B33A2">
        <w:t xml:space="preserve"> of 32.7 years is calculated. This ARL value is then used to produce a remaining life depreciation rate of 2.7 percent for this account</w:t>
      </w:r>
      <w:r w:rsidR="00AC084D" w:rsidRPr="005B33A2">
        <w:t xml:space="preserve">. </w:t>
      </w:r>
    </w:p>
    <w:p w14:paraId="74E4394F" w14:textId="4D4263B1" w:rsidR="00AC084D" w:rsidRDefault="0045473A" w:rsidP="00AC084D">
      <w:pPr>
        <w:pStyle w:val="Second-LevelSubheading"/>
      </w:pPr>
      <w:r>
        <w:t>Account 303</w:t>
      </w:r>
      <w:r w:rsidR="00AC084D">
        <w:t>.</w:t>
      </w:r>
      <w:r>
        <w:t>2</w:t>
      </w:r>
      <w:r w:rsidR="00AC084D">
        <w:t xml:space="preserve"> – </w:t>
      </w:r>
      <w:r w:rsidRPr="0045473A">
        <w:t>Miscellaneous Intangible Plant –</w:t>
      </w:r>
      <w:r>
        <w:t xml:space="preserve"> CIS</w:t>
      </w:r>
    </w:p>
    <w:p w14:paraId="72778442" w14:textId="38E3DB1F" w:rsidR="00AC084D" w:rsidRDefault="00C0108B" w:rsidP="00AC084D">
      <w:pPr>
        <w:pStyle w:val="BodyText"/>
      </w:pPr>
      <w:r w:rsidRPr="002448E2">
        <w:t>This account has an average age of 19.8 years. The Company proposes retaining the currently-approved 40-year ASL and NS of (30) percent. Using these parameters with the S3 curve, an ARL of 20.6 years is calculated. This ARL is then used to produce a remaining life depreciation rate of 3.2 percent for thi</w:t>
      </w:r>
      <w:r>
        <w:t>s account</w:t>
      </w:r>
      <w:r w:rsidR="00AC084D">
        <w:t>.</w:t>
      </w:r>
    </w:p>
    <w:p w14:paraId="021091ED" w14:textId="5BE36D50" w:rsidR="005361EB" w:rsidRDefault="005361EB" w:rsidP="00FE2768">
      <w:pPr>
        <w:pStyle w:val="First-LevelSubheading"/>
        <w:spacing w:after="240"/>
        <w:contextualSpacing/>
      </w:pPr>
      <w:r>
        <w:t>Transmission Plant</w:t>
      </w:r>
    </w:p>
    <w:p w14:paraId="1BEE4715" w14:textId="11F3FADA" w:rsidR="0045473A" w:rsidRDefault="0045473A" w:rsidP="0045473A">
      <w:pPr>
        <w:pStyle w:val="Second-LevelSubheading"/>
      </w:pPr>
      <w:r>
        <w:t>Account 352 – Structures &amp; Improvements</w:t>
      </w:r>
    </w:p>
    <w:p w14:paraId="1D2B9703" w14:textId="23D0FCE7" w:rsidR="0045473A" w:rsidRDefault="00C0108B" w:rsidP="00AC084D">
      <w:pPr>
        <w:pStyle w:val="BodyText"/>
      </w:pPr>
      <w:r>
        <w:t>Referring to Exhibit A of the 2023 Study, t</w:t>
      </w:r>
      <w:r w:rsidRPr="000476A6">
        <w:t xml:space="preserve">his account has an average age of 6.2 years. </w:t>
      </w:r>
      <w:r>
        <w:t xml:space="preserve">In an effort to reflect the inclusion of a more gradual approach to increasing the account’s ASL, staff proposes to increase this account’s </w:t>
      </w:r>
      <w:r w:rsidRPr="000476A6">
        <w:t>currently-approved ASL of 60 years to 7</w:t>
      </w:r>
      <w:r>
        <w:t>0</w:t>
      </w:r>
      <w:r w:rsidRPr="000476A6">
        <w:t xml:space="preserve"> years</w:t>
      </w:r>
      <w:r>
        <w:t>, rather than 75 years</w:t>
      </w:r>
      <w:r w:rsidRPr="000476A6">
        <w:t>, while retain</w:t>
      </w:r>
      <w:r>
        <w:t>in</w:t>
      </w:r>
      <w:r w:rsidRPr="000476A6">
        <w:t>g the currently-approved 0 perce</w:t>
      </w:r>
      <w:r w:rsidR="005361EB">
        <w:t xml:space="preserve">nt </w:t>
      </w:r>
      <w:r>
        <w:t>NS</w:t>
      </w:r>
      <w:r w:rsidRPr="000476A6">
        <w:t xml:space="preserve">. </w:t>
      </w:r>
      <w:r>
        <w:t>U</w:t>
      </w:r>
      <w:r w:rsidRPr="000476A6">
        <w:t xml:space="preserve">sing these parameters with the S5 curve, an </w:t>
      </w:r>
      <w:r>
        <w:t>ARL of 63.8</w:t>
      </w:r>
      <w:r w:rsidRPr="000476A6">
        <w:t xml:space="preserve"> years is calculated. This ARL value is then used to produce a remaining life depreciation rate o</w:t>
      </w:r>
      <w:r>
        <w:t>f 1.4 percent for this account</w:t>
      </w:r>
      <w:r w:rsidR="002A5DE0">
        <w:t>.</w:t>
      </w:r>
    </w:p>
    <w:p w14:paraId="68577338" w14:textId="2023B4EF" w:rsidR="0045473A" w:rsidRDefault="0045473A" w:rsidP="0045473A">
      <w:pPr>
        <w:pStyle w:val="Second-LevelSubheading"/>
      </w:pPr>
      <w:r>
        <w:t>Account 353 – Station Equipment</w:t>
      </w:r>
    </w:p>
    <w:p w14:paraId="47D7A281" w14:textId="05C766AA" w:rsidR="0045473A" w:rsidRDefault="00C0108B" w:rsidP="00AC084D">
      <w:pPr>
        <w:pStyle w:val="BodyText"/>
      </w:pPr>
      <w:r w:rsidRPr="009F1771">
        <w:t>This account has an average age of 10.2 years. The Company proposes retaining the currently-approved ASL of 53 years and 0 percent NS. Using these parameters with the S3 cu</w:t>
      </w:r>
      <w:r w:rsidR="005361EB">
        <w:t xml:space="preserve">rve, an </w:t>
      </w:r>
      <w:r w:rsidRPr="009F1771">
        <w:t xml:space="preserve">ARL of 43.0 years is calculated. </w:t>
      </w:r>
      <w:r>
        <w:t>A</w:t>
      </w:r>
      <w:r w:rsidRPr="009F1771">
        <w:t xml:space="preserve"> remaining life depreciation rate of 1.</w:t>
      </w:r>
      <w:r>
        <w:t>9</w:t>
      </w:r>
      <w:r w:rsidRPr="009F1771">
        <w:t xml:space="preserve"> percent </w:t>
      </w:r>
      <w:r>
        <w:t xml:space="preserve">results </w:t>
      </w:r>
      <w:r w:rsidRPr="009F1771">
        <w:t>f</w:t>
      </w:r>
      <w:r>
        <w:t>rom applying these parameters to</w:t>
      </w:r>
      <w:r w:rsidRPr="009F1771">
        <w:t xml:space="preserve"> this account</w:t>
      </w:r>
      <w:r w:rsidR="002A5DE0">
        <w:t>.</w:t>
      </w:r>
    </w:p>
    <w:p w14:paraId="4DBA42E0" w14:textId="77777777" w:rsidR="00FE2768" w:rsidRDefault="00FE2768" w:rsidP="00AC084D">
      <w:pPr>
        <w:pStyle w:val="BodyText"/>
      </w:pPr>
    </w:p>
    <w:p w14:paraId="57D8E56F" w14:textId="0135170E" w:rsidR="0045473A" w:rsidRDefault="0045473A" w:rsidP="0045473A">
      <w:pPr>
        <w:pStyle w:val="Second-LevelSubheading"/>
      </w:pPr>
      <w:r>
        <w:lastRenderedPageBreak/>
        <w:t>Account 35</w:t>
      </w:r>
      <w:r w:rsidR="00EE648C">
        <w:t>4 – Towers &amp; Fixtures</w:t>
      </w:r>
    </w:p>
    <w:p w14:paraId="257ADEA9" w14:textId="30447895" w:rsidR="0045473A" w:rsidRDefault="00C0108B" w:rsidP="00AC084D">
      <w:pPr>
        <w:pStyle w:val="BodyText"/>
      </w:pPr>
      <w:r w:rsidRPr="009F1771">
        <w:t>Th</w:t>
      </w:r>
      <w:r>
        <w:t>e Towers and Fixtures</w:t>
      </w:r>
      <w:r w:rsidRPr="009F1771">
        <w:t xml:space="preserve"> account has an average age of 48.5 years. The Company proposes increasing the currently-approved ASL of 60 years </w:t>
      </w:r>
      <w:r>
        <w:t>to 7</w:t>
      </w:r>
      <w:r w:rsidRPr="009F1771">
        <w:t>0 years, while retaining the currently-approved (15) percent NS. Using these parameters with the S</w:t>
      </w:r>
      <w:r>
        <w:t>6</w:t>
      </w:r>
      <w:r w:rsidR="005361EB">
        <w:t xml:space="preserve"> curve, an </w:t>
      </w:r>
      <w:r w:rsidRPr="009F1771">
        <w:t xml:space="preserve">ARL of </w:t>
      </w:r>
      <w:r>
        <w:t>2</w:t>
      </w:r>
      <w:r w:rsidRPr="009F1771">
        <w:t>2.</w:t>
      </w:r>
      <w:r>
        <w:t>0</w:t>
      </w:r>
      <w:r w:rsidRPr="009F1771">
        <w:t xml:space="preserve"> years is calculated. </w:t>
      </w:r>
      <w:r>
        <w:t>Using an</w:t>
      </w:r>
      <w:r w:rsidRPr="009F1771">
        <w:t xml:space="preserve"> ARL value</w:t>
      </w:r>
      <w:r>
        <w:t xml:space="preserve"> of 22.0 years </w:t>
      </w:r>
      <w:r w:rsidRPr="009F1771">
        <w:t>produces a remai</w:t>
      </w:r>
      <w:r>
        <w:t>ning life depreciation rate of 1</w:t>
      </w:r>
      <w:r w:rsidRPr="009F1771">
        <w:t>.</w:t>
      </w:r>
      <w:r>
        <w:t>0</w:t>
      </w:r>
      <w:r w:rsidRPr="009F1771">
        <w:t xml:space="preserve"> percent for this account</w:t>
      </w:r>
      <w:r w:rsidR="002A5DE0">
        <w:t>.</w:t>
      </w:r>
    </w:p>
    <w:p w14:paraId="208E61C5" w14:textId="61937343" w:rsidR="00B27CC3" w:rsidRDefault="00EE648C" w:rsidP="00B27CC3">
      <w:pPr>
        <w:pStyle w:val="Second-LevelSubheading"/>
      </w:pPr>
      <w:r>
        <w:t xml:space="preserve">Account 355 – Poles &amp; Fixtures </w:t>
      </w:r>
    </w:p>
    <w:p w14:paraId="479382E0" w14:textId="209074ED" w:rsidR="00B27CC3" w:rsidRDefault="00C0108B" w:rsidP="00AC084D">
      <w:pPr>
        <w:pStyle w:val="BodyText"/>
      </w:pPr>
      <w:r>
        <w:t xml:space="preserve">Account 355 – Poles and Fixtures </w:t>
      </w:r>
      <w:r w:rsidRPr="009F1771">
        <w:t>currently</w:t>
      </w:r>
      <w:r>
        <w:t xml:space="preserve"> </w:t>
      </w:r>
      <w:r w:rsidRPr="009F1771">
        <w:t xml:space="preserve">has an average age of </w:t>
      </w:r>
      <w:r>
        <w:t>17.0</w:t>
      </w:r>
      <w:r w:rsidRPr="009F1771">
        <w:t xml:space="preserve"> years. The Company proposes increasing the currently-approved ASL of </w:t>
      </w:r>
      <w:r>
        <w:t>50</w:t>
      </w:r>
      <w:r w:rsidRPr="009F1771">
        <w:t xml:space="preserve"> years to </w:t>
      </w:r>
      <w:r>
        <w:t>5</w:t>
      </w:r>
      <w:r w:rsidRPr="009F1771">
        <w:t>4 years, while retaining the currently-approved (5</w:t>
      </w:r>
      <w:r>
        <w:t>0</w:t>
      </w:r>
      <w:r w:rsidRPr="009F1771">
        <w:t xml:space="preserve">) percent NS. </w:t>
      </w:r>
      <w:r>
        <w:t>Applying these parameters with the R4</w:t>
      </w:r>
      <w:r w:rsidRPr="009F1771">
        <w:t xml:space="preserve"> curve,</w:t>
      </w:r>
      <w:r>
        <w:t xml:space="preserve"> an Average Remaining Life </w:t>
      </w:r>
      <w:r w:rsidRPr="009F1771">
        <w:t xml:space="preserve">of </w:t>
      </w:r>
      <w:r>
        <w:t>37</w:t>
      </w:r>
      <w:r w:rsidRPr="009F1771">
        <w:t>.</w:t>
      </w:r>
      <w:r>
        <w:t>0</w:t>
      </w:r>
      <w:r w:rsidRPr="009F1771">
        <w:t xml:space="preserve"> years is calculated. This ARL value is then used to produce a remai</w:t>
      </w:r>
      <w:r>
        <w:t>ning life depreciation rate of 3.0</w:t>
      </w:r>
      <w:r w:rsidRPr="009F1771">
        <w:t xml:space="preserve"> percent for this account</w:t>
      </w:r>
      <w:r w:rsidR="002A5DE0">
        <w:t>.</w:t>
      </w:r>
    </w:p>
    <w:p w14:paraId="12E51DB6" w14:textId="45E47A5A" w:rsidR="00B27CC3" w:rsidRDefault="00EE648C" w:rsidP="00B27CC3">
      <w:pPr>
        <w:pStyle w:val="Second-LevelSubheading"/>
      </w:pPr>
      <w:r>
        <w:t xml:space="preserve">Account 355.1 – Poles &amp; Fixtures – Concrete </w:t>
      </w:r>
    </w:p>
    <w:p w14:paraId="01E7A02E" w14:textId="6BFD5434" w:rsidR="00B27CC3" w:rsidRDefault="00C0108B" w:rsidP="00AC084D">
      <w:pPr>
        <w:pStyle w:val="BodyText"/>
      </w:pPr>
      <w:r w:rsidRPr="009F1771">
        <w:t xml:space="preserve">As reflected in Exhibit A of the 2022 Study, </w:t>
      </w:r>
      <w:r>
        <w:t>t</w:t>
      </w:r>
      <w:r w:rsidRPr="009F1771">
        <w:t xml:space="preserve">his account has an average age of </w:t>
      </w:r>
      <w:r>
        <w:t>8</w:t>
      </w:r>
      <w:r w:rsidRPr="009F1771">
        <w:t>.</w:t>
      </w:r>
      <w:r>
        <w:t>8</w:t>
      </w:r>
      <w:r w:rsidRPr="009F1771">
        <w:t xml:space="preserve"> years. The Company proposes increasing the currently-approved ASL of </w:t>
      </w:r>
      <w:r>
        <w:t>56</w:t>
      </w:r>
      <w:r w:rsidRPr="009F1771">
        <w:t xml:space="preserve"> years to </w:t>
      </w:r>
      <w:r>
        <w:t>65</w:t>
      </w:r>
      <w:r w:rsidRPr="009F1771">
        <w:t xml:space="preserve"> years, </w:t>
      </w:r>
      <w:r>
        <w:t>and</w:t>
      </w:r>
      <w:r w:rsidRPr="009F1771">
        <w:t xml:space="preserve"> retaining the currently-approved (</w:t>
      </w:r>
      <w:r>
        <w:t>30</w:t>
      </w:r>
      <w:r w:rsidRPr="009F1771">
        <w:t xml:space="preserve">) percent NS. Using these parameters with the </w:t>
      </w:r>
      <w:r>
        <w:t>R4</w:t>
      </w:r>
      <w:r w:rsidRPr="009F1771">
        <w:t xml:space="preserve"> curve, an ARL of </w:t>
      </w:r>
      <w:r>
        <w:t>56.0</w:t>
      </w:r>
      <w:r w:rsidRPr="009F1771">
        <w:t xml:space="preserve"> years is calculated. This ARL is then used to produce a remaining life depreciation rate of </w:t>
      </w:r>
      <w:r>
        <w:t>2</w:t>
      </w:r>
      <w:r w:rsidRPr="009F1771">
        <w:t>.</w:t>
      </w:r>
      <w:r>
        <w:t>0</w:t>
      </w:r>
      <w:r w:rsidRPr="009F1771">
        <w:t xml:space="preserve"> percent for this account</w:t>
      </w:r>
      <w:r w:rsidR="002A5DE0">
        <w:t>.</w:t>
      </w:r>
    </w:p>
    <w:p w14:paraId="1E3ADC3A" w14:textId="76D24B0D" w:rsidR="00B27CC3" w:rsidRDefault="00EE648C" w:rsidP="00B27CC3">
      <w:pPr>
        <w:pStyle w:val="Second-LevelSubheading"/>
      </w:pPr>
      <w:r>
        <w:t>Account 356 – Overhead Conductors &amp; Devices</w:t>
      </w:r>
    </w:p>
    <w:p w14:paraId="46B88F52" w14:textId="53912F26" w:rsidR="00B27CC3" w:rsidRDefault="00C0108B" w:rsidP="00AC084D">
      <w:pPr>
        <w:pStyle w:val="BodyText"/>
      </w:pPr>
      <w:r w:rsidRPr="002E45E6">
        <w:t xml:space="preserve">This account has an average age of </w:t>
      </w:r>
      <w:r>
        <w:t>12.1</w:t>
      </w:r>
      <w:r w:rsidRPr="002E45E6">
        <w:t xml:space="preserve"> years. The Company proposes </w:t>
      </w:r>
      <w:r w:rsidRPr="009F1771">
        <w:t xml:space="preserve">increasing the currently-approved ASL of </w:t>
      </w:r>
      <w:r>
        <w:t>55</w:t>
      </w:r>
      <w:r w:rsidRPr="009F1771">
        <w:t xml:space="preserve"> years to </w:t>
      </w:r>
      <w:r>
        <w:t>60</w:t>
      </w:r>
      <w:r w:rsidRPr="009F1771">
        <w:t xml:space="preserve"> years, while retaining the currently-approved (</w:t>
      </w:r>
      <w:r>
        <w:t>20</w:t>
      </w:r>
      <w:r w:rsidRPr="009F1771">
        <w:t>) percent NS</w:t>
      </w:r>
      <w:r>
        <w:t>.</w:t>
      </w:r>
      <w:r w:rsidRPr="002E45E6">
        <w:t xml:space="preserve"> </w:t>
      </w:r>
      <w:r>
        <w:t xml:space="preserve">FPUC is also proposing to change the currently-approved S2 curve to an R2. Given the low amount of retirements experienced in this account over the Study period, staff believes this change is reasonable. Therefore, with </w:t>
      </w:r>
      <w:r w:rsidRPr="002E45E6">
        <w:t>the</w:t>
      </w:r>
      <w:r>
        <w:t xml:space="preserve"> above</w:t>
      </w:r>
      <w:r w:rsidRPr="002E45E6">
        <w:t xml:space="preserve"> parameters </w:t>
      </w:r>
      <w:r>
        <w:t>and</w:t>
      </w:r>
      <w:r w:rsidRPr="002E45E6">
        <w:t xml:space="preserve"> the </w:t>
      </w:r>
      <w:r>
        <w:t>R2</w:t>
      </w:r>
      <w:r w:rsidRPr="002E45E6">
        <w:t xml:space="preserve"> curve, an ARL of </w:t>
      </w:r>
      <w:r>
        <w:t>49.0</w:t>
      </w:r>
      <w:r w:rsidRPr="002E45E6">
        <w:t xml:space="preserve"> years is calculated. </w:t>
      </w:r>
      <w:r>
        <w:t>A</w:t>
      </w:r>
      <w:r w:rsidRPr="002E45E6">
        <w:t xml:space="preserve"> remaining life depreciation rate of </w:t>
      </w:r>
      <w:r>
        <w:t>2.1</w:t>
      </w:r>
      <w:r w:rsidRPr="002E45E6">
        <w:t xml:space="preserve"> percent </w:t>
      </w:r>
      <w:r>
        <w:t xml:space="preserve">results </w:t>
      </w:r>
      <w:r w:rsidRPr="002E45E6">
        <w:t>for this account</w:t>
      </w:r>
      <w:r w:rsidR="002A5DE0">
        <w:t>.</w:t>
      </w:r>
    </w:p>
    <w:p w14:paraId="00875BB1" w14:textId="694708CD" w:rsidR="00B27CC3" w:rsidRDefault="00EE648C" w:rsidP="00B27CC3">
      <w:pPr>
        <w:pStyle w:val="Second-LevelSubheading"/>
      </w:pPr>
      <w:r>
        <w:t xml:space="preserve">Account 359 – Roads &amp; Trails </w:t>
      </w:r>
    </w:p>
    <w:p w14:paraId="79732CA0" w14:textId="5B5BC01A" w:rsidR="00B27CC3" w:rsidRDefault="00C0108B" w:rsidP="00AC084D">
      <w:pPr>
        <w:pStyle w:val="BodyText"/>
      </w:pPr>
      <w:r>
        <w:t>For the Roads &amp; Trails account, there is an average age of 37</w:t>
      </w:r>
      <w:r w:rsidRPr="0071268D">
        <w:t>.</w:t>
      </w:r>
      <w:r>
        <w:t>7</w:t>
      </w:r>
      <w:r w:rsidRPr="0071268D">
        <w:t xml:space="preserve"> years. The Company proposes </w:t>
      </w:r>
      <w:r w:rsidRPr="009F1771">
        <w:t xml:space="preserve">increasing the currently-approved ASL of </w:t>
      </w:r>
      <w:r>
        <w:t>70</w:t>
      </w:r>
      <w:r w:rsidRPr="009F1771">
        <w:t xml:space="preserve"> years to </w:t>
      </w:r>
      <w:r>
        <w:t>75</w:t>
      </w:r>
      <w:r w:rsidRPr="009F1771">
        <w:t xml:space="preserve"> years, </w:t>
      </w:r>
      <w:r>
        <w:t>and keeping</w:t>
      </w:r>
      <w:r w:rsidRPr="009F1771">
        <w:t xml:space="preserve"> the currently-approved </w:t>
      </w:r>
      <w:r>
        <w:t>0</w:t>
      </w:r>
      <w:r w:rsidRPr="009F1771">
        <w:t xml:space="preserve"> percent NS</w:t>
      </w:r>
      <w:r>
        <w:t>.</w:t>
      </w:r>
      <w:r w:rsidRPr="002E45E6">
        <w:t xml:space="preserve"> </w:t>
      </w:r>
      <w:r>
        <w:t>T</w:t>
      </w:r>
      <w:r w:rsidRPr="0071268D">
        <w:t xml:space="preserve">hese parameters </w:t>
      </w:r>
      <w:r>
        <w:t xml:space="preserve">along </w:t>
      </w:r>
      <w:r w:rsidRPr="0071268D">
        <w:t xml:space="preserve">with the </w:t>
      </w:r>
      <w:r>
        <w:t>SQ</w:t>
      </w:r>
      <w:r w:rsidRPr="0071268D">
        <w:t xml:space="preserve"> curve</w:t>
      </w:r>
      <w:r>
        <w:t xml:space="preserve"> generate</w:t>
      </w:r>
      <w:r w:rsidRPr="0071268D">
        <w:t xml:space="preserve"> an ARL of </w:t>
      </w:r>
      <w:r>
        <w:t>3</w:t>
      </w:r>
      <w:r w:rsidRPr="0071268D">
        <w:t>7</w:t>
      </w:r>
      <w:r>
        <w:t>.0</w:t>
      </w:r>
      <w:r w:rsidRPr="0071268D">
        <w:t xml:space="preserve"> years. </w:t>
      </w:r>
      <w:r>
        <w:t>An</w:t>
      </w:r>
      <w:r w:rsidRPr="0071268D">
        <w:t xml:space="preserve"> ARL </w:t>
      </w:r>
      <w:r>
        <w:t xml:space="preserve">of 37.0 years </w:t>
      </w:r>
      <w:r w:rsidRPr="0071268D">
        <w:t xml:space="preserve">is then used to produce </w:t>
      </w:r>
      <w:r>
        <w:t>the</w:t>
      </w:r>
      <w:r w:rsidRPr="0071268D">
        <w:t xml:space="preserve"> remaining life depreciation rate of </w:t>
      </w:r>
      <w:r>
        <w:t>0</w:t>
      </w:r>
      <w:r w:rsidRPr="0071268D">
        <w:t>.</w:t>
      </w:r>
      <w:r>
        <w:t>2</w:t>
      </w:r>
      <w:r w:rsidRPr="0071268D">
        <w:t xml:space="preserve"> percent for th</w:t>
      </w:r>
      <w:r>
        <w:t xml:space="preserve">e Roads &amp; Trails </w:t>
      </w:r>
      <w:r w:rsidRPr="0071268D">
        <w:t>account</w:t>
      </w:r>
      <w:r>
        <w:t>.</w:t>
      </w:r>
    </w:p>
    <w:p w14:paraId="0C5A8E1D" w14:textId="6AEDD314" w:rsidR="002A5DE0" w:rsidRDefault="00EE648C" w:rsidP="002A5DE0">
      <w:pPr>
        <w:pStyle w:val="First-LevelSubheading"/>
      </w:pPr>
      <w:r>
        <w:t>Distribution Pl</w:t>
      </w:r>
      <w:r w:rsidR="002A5DE0">
        <w:t>ant</w:t>
      </w:r>
    </w:p>
    <w:p w14:paraId="13E54FA7" w14:textId="77777777" w:rsidR="002A5DE0" w:rsidRDefault="002A5DE0" w:rsidP="002A5DE0">
      <w:pPr>
        <w:pStyle w:val="Second-LevelSubheading"/>
      </w:pPr>
    </w:p>
    <w:p w14:paraId="0899631B" w14:textId="06A570CE" w:rsidR="002A5DE0" w:rsidRDefault="002A5DE0" w:rsidP="002A5DE0">
      <w:pPr>
        <w:pStyle w:val="Second-LevelSubheading"/>
      </w:pPr>
      <w:r>
        <w:t>Account 360.1 – Land Rights</w:t>
      </w:r>
    </w:p>
    <w:p w14:paraId="3A0B6319" w14:textId="3A6D1B19" w:rsidR="002A5DE0" w:rsidRPr="002A5DE0" w:rsidRDefault="00C0108B" w:rsidP="002A5DE0">
      <w:pPr>
        <w:pStyle w:val="BodyText"/>
      </w:pPr>
      <w:r>
        <w:t>T</w:t>
      </w:r>
      <w:r w:rsidRPr="0071268D">
        <w:t xml:space="preserve">his account has </w:t>
      </w:r>
      <w:r>
        <w:t>an average age of 37</w:t>
      </w:r>
      <w:r w:rsidRPr="0071268D">
        <w:t>.</w:t>
      </w:r>
      <w:r>
        <w:t>5 years. Staff proposes</w:t>
      </w:r>
      <w:r w:rsidRPr="0071268D">
        <w:t xml:space="preserve"> </w:t>
      </w:r>
      <w:r w:rsidRPr="009F1771">
        <w:t xml:space="preserve">increasing the currently-approved ASL of </w:t>
      </w:r>
      <w:r>
        <w:t>60</w:t>
      </w:r>
      <w:r w:rsidRPr="009F1771">
        <w:t xml:space="preserve"> years to </w:t>
      </w:r>
      <w:r>
        <w:t>70</w:t>
      </w:r>
      <w:r w:rsidRPr="009F1771">
        <w:t xml:space="preserve"> years,</w:t>
      </w:r>
      <w:r>
        <w:t xml:space="preserve"> rather than 75 years,</w:t>
      </w:r>
      <w:r w:rsidRPr="009F1771">
        <w:t xml:space="preserve"> </w:t>
      </w:r>
      <w:r>
        <w:t>and</w:t>
      </w:r>
      <w:r w:rsidRPr="009F1771">
        <w:t xml:space="preserve"> retaining the currently-approved </w:t>
      </w:r>
      <w:r>
        <w:t>0</w:t>
      </w:r>
      <w:r w:rsidRPr="009F1771">
        <w:t xml:space="preserve"> percent NS</w:t>
      </w:r>
      <w:r>
        <w:t>.</w:t>
      </w:r>
      <w:r w:rsidRPr="00546024">
        <w:t xml:space="preserve"> Using these parameters with the S</w:t>
      </w:r>
      <w:r>
        <w:t>Q</w:t>
      </w:r>
      <w:r w:rsidRPr="00546024">
        <w:t xml:space="preserve"> curve, an ARL of </w:t>
      </w:r>
      <w:r>
        <w:t>32</w:t>
      </w:r>
      <w:r w:rsidRPr="00546024">
        <w:t>.</w:t>
      </w:r>
      <w:r>
        <w:t>5</w:t>
      </w:r>
      <w:r w:rsidRPr="00546024">
        <w:t xml:space="preserve"> years is calculated. This ARL is then used to produce a remaining life depreciation rate of </w:t>
      </w:r>
      <w:r>
        <w:t>1.1</w:t>
      </w:r>
      <w:r w:rsidRPr="00546024">
        <w:t xml:space="preserve"> percent for this account</w:t>
      </w:r>
      <w:r w:rsidR="002A5DE0">
        <w:t>.</w:t>
      </w:r>
    </w:p>
    <w:p w14:paraId="1D2597CA" w14:textId="3303173B" w:rsidR="00B27CC3" w:rsidRDefault="00EE648C" w:rsidP="00B27CC3">
      <w:pPr>
        <w:pStyle w:val="Second-LevelSubheading"/>
      </w:pPr>
      <w:r>
        <w:t>Account 361 – Structures &amp; Improvements</w:t>
      </w:r>
    </w:p>
    <w:p w14:paraId="1A4A373D" w14:textId="6498F2A4" w:rsidR="00B27CC3" w:rsidRDefault="00C0108B" w:rsidP="00AC084D">
      <w:pPr>
        <w:pStyle w:val="BodyText"/>
      </w:pPr>
      <w:r>
        <w:t>T</w:t>
      </w:r>
      <w:r w:rsidRPr="0071268D">
        <w:t xml:space="preserve">his account has </w:t>
      </w:r>
      <w:r>
        <w:t>an average age of 12</w:t>
      </w:r>
      <w:r w:rsidRPr="0071268D">
        <w:t>.</w:t>
      </w:r>
      <w:r>
        <w:t>7</w:t>
      </w:r>
      <w:r w:rsidRPr="0071268D">
        <w:t xml:space="preserve"> years. The Company proposes </w:t>
      </w:r>
      <w:r w:rsidRPr="009F1771">
        <w:t xml:space="preserve">increasing the currently-approved ASL of </w:t>
      </w:r>
      <w:r>
        <w:t>60</w:t>
      </w:r>
      <w:r w:rsidRPr="009F1771">
        <w:t xml:space="preserve"> years to </w:t>
      </w:r>
      <w:r>
        <w:t>70</w:t>
      </w:r>
      <w:r w:rsidRPr="009F1771">
        <w:t xml:space="preserve"> years, </w:t>
      </w:r>
      <w:r>
        <w:t>and</w:t>
      </w:r>
      <w:r w:rsidRPr="009F1771">
        <w:t xml:space="preserve"> retaining the currently-approved </w:t>
      </w:r>
      <w:r>
        <w:t>(5)</w:t>
      </w:r>
      <w:r w:rsidRPr="009F1771">
        <w:t xml:space="preserve"> percent NS</w:t>
      </w:r>
      <w:r>
        <w:t>.</w:t>
      </w:r>
      <w:r w:rsidRPr="00546024">
        <w:t xml:space="preserve"> </w:t>
      </w:r>
      <w:r w:rsidRPr="00546024">
        <w:lastRenderedPageBreak/>
        <w:t>Using these parameters with the S</w:t>
      </w:r>
      <w:r>
        <w:t>Q</w:t>
      </w:r>
      <w:r w:rsidRPr="00546024">
        <w:t xml:space="preserve"> curve, an ARL of </w:t>
      </w:r>
      <w:r>
        <w:t>57</w:t>
      </w:r>
      <w:r w:rsidRPr="00546024">
        <w:t xml:space="preserve">.0 years is calculated. This ARL is then used to produce a remaining life depreciation rate of </w:t>
      </w:r>
      <w:r>
        <w:t>1.5</w:t>
      </w:r>
      <w:r w:rsidRPr="00546024">
        <w:t xml:space="preserve"> percent for this accoun</w:t>
      </w:r>
      <w:r>
        <w:t>t</w:t>
      </w:r>
      <w:r w:rsidR="002A5DE0">
        <w:t>.</w:t>
      </w:r>
    </w:p>
    <w:p w14:paraId="5FCE1705" w14:textId="2BC1B692" w:rsidR="00B27CC3" w:rsidRDefault="00EE648C" w:rsidP="00B27CC3">
      <w:pPr>
        <w:pStyle w:val="Second-LevelSubheading"/>
      </w:pPr>
      <w:r>
        <w:t>Account 362 – Station Equipment</w:t>
      </w:r>
    </w:p>
    <w:p w14:paraId="0568F892" w14:textId="07EEEAA1" w:rsidR="00B27CC3" w:rsidRDefault="00C0108B" w:rsidP="00AC084D">
      <w:pPr>
        <w:pStyle w:val="BodyText"/>
      </w:pPr>
      <w:r>
        <w:t xml:space="preserve">Station Equipment, Account 362, </w:t>
      </w:r>
      <w:r w:rsidRPr="0071268D">
        <w:t xml:space="preserve">has </w:t>
      </w:r>
      <w:r>
        <w:t>an average age of 14.8</w:t>
      </w:r>
      <w:r w:rsidRPr="0071268D">
        <w:t xml:space="preserve"> years. The Company proposes </w:t>
      </w:r>
      <w:r w:rsidRPr="009F1771">
        <w:t>increasing the currently-</w:t>
      </w:r>
      <w:r w:rsidRPr="00E64A76">
        <w:t xml:space="preserve">approved ASL of 55 years to 60 years, while retaining the currently-approved 10 percent NS. </w:t>
      </w:r>
      <w:r>
        <w:t>T</w:t>
      </w:r>
      <w:r w:rsidRPr="00E64A76">
        <w:t>hese parameters with the S3 curve</w:t>
      </w:r>
      <w:r>
        <w:t xml:space="preserve"> generate</w:t>
      </w:r>
      <w:r w:rsidRPr="00E64A76">
        <w:t xml:space="preserve"> an ARL of 45.0 years. Th</w:t>
      </w:r>
      <w:r>
        <w:t>e</w:t>
      </w:r>
      <w:r w:rsidRPr="00E64A76">
        <w:t xml:space="preserve"> ARL</w:t>
      </w:r>
      <w:r>
        <w:t xml:space="preserve"> of 45.0 years</w:t>
      </w:r>
      <w:r w:rsidRPr="00E64A76">
        <w:t xml:space="preserve"> is then used to produce a remaining life depreciation rate of 1.7 percent for this account</w:t>
      </w:r>
      <w:r>
        <w:t>.</w:t>
      </w:r>
    </w:p>
    <w:p w14:paraId="5B5980B1" w14:textId="4B87AB20" w:rsidR="00B27CC3" w:rsidRDefault="000F7072" w:rsidP="00EE648C">
      <w:pPr>
        <w:pStyle w:val="Second-LevelSubheading"/>
      </w:pPr>
      <w:r>
        <w:t>Account 364 – Poles, Towers, &amp; Fixtures</w:t>
      </w:r>
    </w:p>
    <w:p w14:paraId="79A1D06D" w14:textId="236634C4" w:rsidR="00EE648C" w:rsidRDefault="00C0108B" w:rsidP="00AC084D">
      <w:pPr>
        <w:pStyle w:val="BodyText"/>
      </w:pPr>
      <w:r w:rsidRPr="0071268D">
        <w:t>Th</w:t>
      </w:r>
      <w:r>
        <w:t>e average age for this account is 12.6</w:t>
      </w:r>
      <w:r w:rsidRPr="0071268D">
        <w:t xml:space="preserve"> years. The Company proposes </w:t>
      </w:r>
      <w:r w:rsidRPr="009F1771">
        <w:t xml:space="preserve">increasing the currently-approved ASL of </w:t>
      </w:r>
      <w:r>
        <w:t>44</w:t>
      </w:r>
      <w:r w:rsidRPr="009F1771">
        <w:t xml:space="preserve"> years to </w:t>
      </w:r>
      <w:r>
        <w:t>50</w:t>
      </w:r>
      <w:r w:rsidRPr="009F1771">
        <w:t xml:space="preserve"> years, </w:t>
      </w:r>
      <w:r>
        <w:t>and keeping</w:t>
      </w:r>
      <w:r w:rsidRPr="009F1771">
        <w:t xml:space="preserve"> the currently-approved </w:t>
      </w:r>
      <w:r>
        <w:t>(50)</w:t>
      </w:r>
      <w:r w:rsidRPr="009F1771">
        <w:t xml:space="preserve"> percent </w:t>
      </w:r>
      <w:r w:rsidRPr="00E64A76">
        <w:t>NS.</w:t>
      </w:r>
      <w:r>
        <w:t xml:space="preserve"> </w:t>
      </w:r>
      <w:r w:rsidRPr="00E64A76">
        <w:t xml:space="preserve">Based on these parameters, with </w:t>
      </w:r>
      <w:r>
        <w:t>the</w:t>
      </w:r>
      <w:r w:rsidRPr="00E64A76">
        <w:t xml:space="preserve"> </w:t>
      </w:r>
      <w:r>
        <w:t>R4</w:t>
      </w:r>
      <w:r w:rsidRPr="00E64A76">
        <w:t xml:space="preserve"> curve, the resulting ARL for this account is 3</w:t>
      </w:r>
      <w:r>
        <w:t>7</w:t>
      </w:r>
      <w:r w:rsidRPr="00E64A76">
        <w:t>.</w:t>
      </w:r>
      <w:r>
        <w:t>0</w:t>
      </w:r>
      <w:r w:rsidRPr="00E64A76">
        <w:t xml:space="preserve"> years. This ARL is then used to produce a remaining life rate of </w:t>
      </w:r>
      <w:r>
        <w:t>2.9</w:t>
      </w:r>
      <w:r w:rsidRPr="00E64A76">
        <w:t xml:space="preserve"> percent</w:t>
      </w:r>
      <w:r w:rsidR="002A5DE0">
        <w:t>.</w:t>
      </w:r>
    </w:p>
    <w:p w14:paraId="142BB55D" w14:textId="3CBC97F7" w:rsidR="00EE648C" w:rsidRDefault="000F7072" w:rsidP="00EE648C">
      <w:pPr>
        <w:pStyle w:val="Second-LevelSubheading"/>
      </w:pPr>
      <w:r>
        <w:t>Account 365 – Overhead Conductors &amp; Devices</w:t>
      </w:r>
    </w:p>
    <w:p w14:paraId="3CDA2460" w14:textId="30C7D3A6" w:rsidR="00EE648C" w:rsidRDefault="00C0108B" w:rsidP="00AC084D">
      <w:pPr>
        <w:pStyle w:val="BodyText"/>
      </w:pPr>
      <w:r w:rsidRPr="0071268D">
        <w:t xml:space="preserve">This account has </w:t>
      </w:r>
      <w:r>
        <w:t>an average age of 17</w:t>
      </w:r>
      <w:r w:rsidRPr="0071268D">
        <w:t>.</w:t>
      </w:r>
      <w:r>
        <w:t>3</w:t>
      </w:r>
      <w:r w:rsidRPr="0071268D">
        <w:t xml:space="preserve"> years. The Company proposes </w:t>
      </w:r>
      <w:r w:rsidRPr="009F1771">
        <w:t xml:space="preserve">increasing the currently-approved ASL of </w:t>
      </w:r>
      <w:r>
        <w:t>45</w:t>
      </w:r>
      <w:r w:rsidRPr="009F1771">
        <w:t xml:space="preserve"> years to </w:t>
      </w:r>
      <w:r>
        <w:t>55</w:t>
      </w:r>
      <w:r w:rsidRPr="009F1771">
        <w:t xml:space="preserve"> years, while retaining the currently-approved </w:t>
      </w:r>
      <w:r>
        <w:t>(35)</w:t>
      </w:r>
      <w:r w:rsidRPr="009F1771">
        <w:t xml:space="preserve"> percent NS</w:t>
      </w:r>
      <w:r w:rsidRPr="006D1F64">
        <w:t xml:space="preserve">. Based on these parameters with the R5 curve, an ARL of 38.0 years is calculated. This ARL is then used to produce a remaining life depreciation rate of </w:t>
      </w:r>
      <w:r>
        <w:t>2.</w:t>
      </w:r>
      <w:r w:rsidRPr="006D1F64">
        <w:t>1 percent for this account</w:t>
      </w:r>
      <w:r w:rsidR="002A5DE0">
        <w:t>.</w:t>
      </w:r>
    </w:p>
    <w:p w14:paraId="38CA4193" w14:textId="0A741236" w:rsidR="00EE648C" w:rsidRDefault="000F7072" w:rsidP="00EE648C">
      <w:pPr>
        <w:pStyle w:val="Second-LevelSubheading"/>
      </w:pPr>
      <w:r>
        <w:t>Account 366 – Underground Conduit</w:t>
      </w:r>
    </w:p>
    <w:p w14:paraId="7267EDCD" w14:textId="75F056A6" w:rsidR="00EE648C" w:rsidRDefault="00C0108B" w:rsidP="00AC084D">
      <w:pPr>
        <w:pStyle w:val="BodyText"/>
      </w:pPr>
      <w:r>
        <w:t>The</w:t>
      </w:r>
      <w:r w:rsidRPr="0071268D">
        <w:t xml:space="preserve"> </w:t>
      </w:r>
      <w:r>
        <w:t xml:space="preserve">average age for this </w:t>
      </w:r>
      <w:r w:rsidRPr="0071268D">
        <w:t xml:space="preserve">account </w:t>
      </w:r>
      <w:r>
        <w:t>is 14.6</w:t>
      </w:r>
      <w:r w:rsidRPr="0071268D">
        <w:t xml:space="preserve"> years. The Company proposes </w:t>
      </w:r>
      <w:r w:rsidRPr="009F1771">
        <w:t>increasing the currently-</w:t>
      </w:r>
      <w:r w:rsidRPr="00BB5B13">
        <w:t>approved ASL of 64 years to 69 years, while retaining the curre</w:t>
      </w:r>
      <w:r>
        <w:t>ntly-approved (5) percent NS. Apply</w:t>
      </w:r>
      <w:r w:rsidRPr="00BB5B13">
        <w:t>ing these parameters with the R5 curve, an ARL of 54.0 years is calculated. This ARL is then used to produce a remaining life depreciation rate of 1.5 percent for this account</w:t>
      </w:r>
      <w:r w:rsidR="002A5DE0">
        <w:t>.</w:t>
      </w:r>
    </w:p>
    <w:p w14:paraId="09033C98" w14:textId="6ED50629" w:rsidR="00EE648C" w:rsidRDefault="000F7072" w:rsidP="00EE648C">
      <w:pPr>
        <w:pStyle w:val="Second-LevelSubheading"/>
      </w:pPr>
      <w:r>
        <w:t>Account 367 – Underground Conductors &amp; Devices</w:t>
      </w:r>
    </w:p>
    <w:p w14:paraId="1A664E3A" w14:textId="2AD8701F" w:rsidR="002A5DE0" w:rsidRPr="002A5DE0" w:rsidRDefault="00C0108B" w:rsidP="002A5DE0">
      <w:pPr>
        <w:pStyle w:val="BodyText"/>
      </w:pPr>
      <w:r w:rsidRPr="0071268D">
        <w:t>Th</w:t>
      </w:r>
      <w:r>
        <w:t>e Company’s “underground conductors &amp; devices”</w:t>
      </w:r>
      <w:r w:rsidRPr="0071268D">
        <w:t xml:space="preserve"> account has </w:t>
      </w:r>
      <w:r>
        <w:t>an average age of 16.8</w:t>
      </w:r>
      <w:r w:rsidRPr="0071268D">
        <w:t xml:space="preserve"> years. </w:t>
      </w:r>
      <w:r>
        <w:t>FPUC</w:t>
      </w:r>
      <w:r w:rsidRPr="0071268D">
        <w:t xml:space="preserve"> proposes </w:t>
      </w:r>
      <w:r>
        <w:t>retain</w:t>
      </w:r>
      <w:r w:rsidRPr="009F1771">
        <w:t>ing the currently-</w:t>
      </w:r>
      <w:r w:rsidRPr="00BB5B13">
        <w:t xml:space="preserve">approved ASL of </w:t>
      </w:r>
      <w:r>
        <w:t>4</w:t>
      </w:r>
      <w:r w:rsidRPr="00BB5B13">
        <w:t xml:space="preserve">7 years </w:t>
      </w:r>
      <w:r>
        <w:t>and</w:t>
      </w:r>
      <w:r w:rsidRPr="00BB5B13">
        <w:t xml:space="preserve"> </w:t>
      </w:r>
      <w:r>
        <w:t>(5)</w:t>
      </w:r>
      <w:r w:rsidRPr="00BB5B13">
        <w:t xml:space="preserve"> percent NS. Using these parameters with the R4 curve, an ARL of 3</w:t>
      </w:r>
      <w:r>
        <w:t>0</w:t>
      </w:r>
      <w:r w:rsidRPr="00BB5B13">
        <w:t>.</w:t>
      </w:r>
      <w:r>
        <w:t>0</w:t>
      </w:r>
      <w:r w:rsidRPr="00BB5B13">
        <w:t xml:space="preserve"> years is calculated. This ARL is then used to produce a remaining life depreciation rate of 2.0 percent for this accoun</w:t>
      </w:r>
      <w:r>
        <w:t>t</w:t>
      </w:r>
      <w:r w:rsidR="002A5DE0">
        <w:t>.</w:t>
      </w:r>
    </w:p>
    <w:p w14:paraId="2DE26CCE" w14:textId="32EFC59F" w:rsidR="000F7072" w:rsidRDefault="000F7072" w:rsidP="000F7072">
      <w:pPr>
        <w:pStyle w:val="Second-LevelSubheading"/>
      </w:pPr>
      <w:r>
        <w:t xml:space="preserve">Account 368 – Line Transformers </w:t>
      </w:r>
    </w:p>
    <w:p w14:paraId="196BE107" w14:textId="6D60CA35" w:rsidR="000F7072" w:rsidRDefault="00C0108B" w:rsidP="000F7072">
      <w:pPr>
        <w:pStyle w:val="BodyText"/>
      </w:pPr>
      <w:r>
        <w:t>The Line Transformers</w:t>
      </w:r>
      <w:r w:rsidRPr="0071268D">
        <w:t xml:space="preserve"> account has </w:t>
      </w:r>
      <w:r>
        <w:t>an average age of 17.5</w:t>
      </w:r>
      <w:r w:rsidRPr="0071268D">
        <w:t xml:space="preserve"> years for this account. The Company proposes </w:t>
      </w:r>
      <w:r w:rsidRPr="009F1771">
        <w:t xml:space="preserve">increasing the currently-approved ASL of </w:t>
      </w:r>
      <w:r>
        <w:t>36</w:t>
      </w:r>
      <w:r w:rsidRPr="009F1771">
        <w:t xml:space="preserve"> years to </w:t>
      </w:r>
      <w:r>
        <w:t>40</w:t>
      </w:r>
      <w:r w:rsidRPr="009F1771">
        <w:t xml:space="preserve"> years, while retaining the currently-approved </w:t>
      </w:r>
      <w:r>
        <w:t>(20)</w:t>
      </w:r>
      <w:r w:rsidRPr="009F1771">
        <w:t xml:space="preserve"> percent </w:t>
      </w:r>
      <w:r>
        <w:t>NS. Apply</w:t>
      </w:r>
      <w:r w:rsidRPr="00BB5B13">
        <w:t>ing these parameters with the S</w:t>
      </w:r>
      <w:r>
        <w:t>4</w:t>
      </w:r>
      <w:r w:rsidRPr="00BB5B13">
        <w:t xml:space="preserve"> curve, an ARL of 2</w:t>
      </w:r>
      <w:r>
        <w:t>3</w:t>
      </w:r>
      <w:r w:rsidRPr="00BB5B13">
        <w:t>.</w:t>
      </w:r>
      <w:r>
        <w:t>0</w:t>
      </w:r>
      <w:r w:rsidRPr="00BB5B13">
        <w:t xml:space="preserve"> years is calculated. This ARL is then used to produce a remaining life depreciation rate of 2.3 percent for this account</w:t>
      </w:r>
      <w:r w:rsidR="002A5DE0">
        <w:t>.</w:t>
      </w:r>
    </w:p>
    <w:p w14:paraId="5AAEAEB5" w14:textId="0B9980FA" w:rsidR="000F7072" w:rsidRDefault="000F7072" w:rsidP="000F7072">
      <w:pPr>
        <w:pStyle w:val="Second-LevelSubheading"/>
      </w:pPr>
      <w:r>
        <w:t xml:space="preserve">Account 369 – Services </w:t>
      </w:r>
    </w:p>
    <w:p w14:paraId="1A412183" w14:textId="7ACFFF9F" w:rsidR="000F7072" w:rsidRDefault="00C0108B" w:rsidP="000F7072">
      <w:pPr>
        <w:pStyle w:val="BodyText"/>
      </w:pPr>
      <w:r w:rsidRPr="0071268D">
        <w:t xml:space="preserve">This account has </w:t>
      </w:r>
      <w:r>
        <w:t>an average age of 17</w:t>
      </w:r>
      <w:r w:rsidRPr="0071268D">
        <w:t>.</w:t>
      </w:r>
      <w:r>
        <w:t>0</w:t>
      </w:r>
      <w:r w:rsidRPr="0071268D">
        <w:t xml:space="preserve"> years for this account. The Company proposes </w:t>
      </w:r>
      <w:r w:rsidRPr="009F1771">
        <w:t xml:space="preserve">increasing the currently-approved ASL of </w:t>
      </w:r>
      <w:r>
        <w:t>48</w:t>
      </w:r>
      <w:r w:rsidRPr="009F1771">
        <w:t xml:space="preserve"> years to </w:t>
      </w:r>
      <w:r>
        <w:t>55</w:t>
      </w:r>
      <w:r w:rsidRPr="009F1771">
        <w:t xml:space="preserve"> years, while retaining the currently-approved </w:t>
      </w:r>
      <w:r>
        <w:t>(40)</w:t>
      </w:r>
      <w:r w:rsidRPr="009F1771">
        <w:t xml:space="preserve"> percent NS</w:t>
      </w:r>
      <w:r w:rsidRPr="00E959D5">
        <w:t xml:space="preserve">. </w:t>
      </w:r>
      <w:r>
        <w:t>FPUC is also proposing to change the currently-approved R5 curve to an R3. Given the low amount of retirements experienced in this account o</w:t>
      </w:r>
      <w:r w:rsidR="00FE2768">
        <w:t>ver the Study period, staff believe</w:t>
      </w:r>
      <w:r>
        <w:t xml:space="preserve">s this change </w:t>
      </w:r>
      <w:r w:rsidR="00FE2768">
        <w:t xml:space="preserve">is </w:t>
      </w:r>
      <w:r>
        <w:t>reasonable. Therefore, u</w:t>
      </w:r>
      <w:r w:rsidRPr="00E959D5">
        <w:t>sing the</w:t>
      </w:r>
      <w:r>
        <w:t xml:space="preserve"> above</w:t>
      </w:r>
      <w:r w:rsidRPr="00E959D5">
        <w:t xml:space="preserve"> parameters with the </w:t>
      </w:r>
      <w:r>
        <w:t>R3</w:t>
      </w:r>
      <w:r w:rsidRPr="00E959D5">
        <w:t xml:space="preserve"> </w:t>
      </w:r>
      <w:r w:rsidRPr="00E959D5">
        <w:lastRenderedPageBreak/>
        <w:t xml:space="preserve">curve, an ARL of </w:t>
      </w:r>
      <w:r>
        <w:t>39.0</w:t>
      </w:r>
      <w:r w:rsidRPr="00E959D5">
        <w:t xml:space="preserve"> years is calculated. This ARL is then used to produce a remaining life depreciation rate of 2.1 percent for this account</w:t>
      </w:r>
      <w:r w:rsidR="002A5DE0">
        <w:t>.</w:t>
      </w:r>
    </w:p>
    <w:p w14:paraId="6E63FB64" w14:textId="22B53AE7" w:rsidR="000F7072" w:rsidRDefault="000F7072" w:rsidP="000F7072">
      <w:pPr>
        <w:pStyle w:val="Second-LevelSubheading"/>
      </w:pPr>
      <w:r>
        <w:t xml:space="preserve">Account 370 – Meters </w:t>
      </w:r>
    </w:p>
    <w:p w14:paraId="2841CC8A" w14:textId="7CAA7C37" w:rsidR="000F7072" w:rsidRDefault="00C0108B" w:rsidP="000F7072">
      <w:pPr>
        <w:pStyle w:val="BodyText"/>
      </w:pPr>
      <w:r>
        <w:t>The Meters</w:t>
      </w:r>
      <w:r w:rsidRPr="0071268D">
        <w:t xml:space="preserve"> account has </w:t>
      </w:r>
      <w:r>
        <w:t>an average age of 17</w:t>
      </w:r>
      <w:r w:rsidRPr="0071268D">
        <w:t>.</w:t>
      </w:r>
      <w:r>
        <w:t>3</w:t>
      </w:r>
      <w:r w:rsidRPr="0071268D">
        <w:t xml:space="preserve"> years for </w:t>
      </w:r>
      <w:r w:rsidRPr="005B363B">
        <w:t xml:space="preserve">this account. The Company proposes </w:t>
      </w:r>
      <w:r>
        <w:t>r</w:t>
      </w:r>
      <w:r w:rsidRPr="005B363B">
        <w:t>etaining the currently-approved AS</w:t>
      </w:r>
      <w:r>
        <w:t>L of 30 years and NS of (10). Apply</w:t>
      </w:r>
      <w:r w:rsidRPr="005B363B">
        <w:t>ing these parameters with the R5 curve, an ARL of 12.7 years is calculated. This ARL is then used to produce a remaining life depreciation rate of 3.8 percent for this account</w:t>
      </w:r>
      <w:r w:rsidR="00D61076">
        <w:t>.</w:t>
      </w:r>
    </w:p>
    <w:p w14:paraId="18A92868" w14:textId="5136D3A9" w:rsidR="000F7072" w:rsidRDefault="000F7072" w:rsidP="000F7072">
      <w:pPr>
        <w:pStyle w:val="Second-LevelSubheading"/>
      </w:pPr>
      <w:r>
        <w:t xml:space="preserve">Account 370.1 – AMI Meters </w:t>
      </w:r>
    </w:p>
    <w:p w14:paraId="3D70E4F1" w14:textId="50BC97CD" w:rsidR="000F7072" w:rsidRPr="000F7072" w:rsidRDefault="00C0108B" w:rsidP="000F7072">
      <w:pPr>
        <w:pStyle w:val="BodyText"/>
      </w:pPr>
      <w:r w:rsidRPr="00656D2D">
        <w:t>This is a newly-proposed account, and therefore has an average age of 0.0 years The Company proposes an ASL of 20 years, a (10) percent NS, and R</w:t>
      </w:r>
      <w:r>
        <w:t>5</w:t>
      </w:r>
      <w:r w:rsidRPr="00656D2D">
        <w:t xml:space="preserve"> curve. The resulting whole life rate for this account is 5.5 percent</w:t>
      </w:r>
      <w:r w:rsidR="00D61076">
        <w:t>.</w:t>
      </w:r>
    </w:p>
    <w:p w14:paraId="5561E53C" w14:textId="53267E6B" w:rsidR="00EE648C" w:rsidRDefault="000F7072" w:rsidP="000F7072">
      <w:pPr>
        <w:pStyle w:val="Second-LevelSubheading"/>
      </w:pPr>
      <w:r>
        <w:t>Account 371 – Installations on Customers Premises</w:t>
      </w:r>
    </w:p>
    <w:p w14:paraId="72109856" w14:textId="063032C9" w:rsidR="000F7072" w:rsidRDefault="00C0108B" w:rsidP="00AC084D">
      <w:pPr>
        <w:pStyle w:val="BodyText"/>
      </w:pPr>
      <w:r w:rsidRPr="0071268D">
        <w:t xml:space="preserve">This account has </w:t>
      </w:r>
      <w:r>
        <w:t>an average age of 12.4</w:t>
      </w:r>
      <w:r w:rsidRPr="0071268D">
        <w:t xml:space="preserve"> years for this account. The Company proposes </w:t>
      </w:r>
      <w:r w:rsidRPr="009F1771">
        <w:t xml:space="preserve">increasing the currently-approved ASL of </w:t>
      </w:r>
      <w:r>
        <w:t>25</w:t>
      </w:r>
      <w:r w:rsidRPr="009F1771">
        <w:t xml:space="preserve"> years to </w:t>
      </w:r>
      <w:r>
        <w:t>30</w:t>
      </w:r>
      <w:r w:rsidRPr="009F1771">
        <w:t xml:space="preserve"> years, while retaining the currently-approved </w:t>
      </w:r>
      <w:r>
        <w:t>5</w:t>
      </w:r>
      <w:r w:rsidRPr="009F1771">
        <w:t xml:space="preserve"> percent </w:t>
      </w:r>
      <w:r w:rsidRPr="004D2C38">
        <w:t xml:space="preserve">NS. Using these parameters with the S3 curve, an ARL of </w:t>
      </w:r>
      <w:r>
        <w:t>17.7</w:t>
      </w:r>
      <w:r w:rsidRPr="004D2C38">
        <w:t xml:space="preserve"> years is calculated. This ARL is then used to produce a remaining life depreciation rate of 2.9 percent for this account</w:t>
      </w:r>
      <w:r w:rsidR="00D61076">
        <w:t>.</w:t>
      </w:r>
    </w:p>
    <w:p w14:paraId="1474DD02" w14:textId="51388054" w:rsidR="000F7072" w:rsidRDefault="000F7072" w:rsidP="000F7072">
      <w:pPr>
        <w:pStyle w:val="Second-LevelSubheading"/>
      </w:pPr>
      <w:r>
        <w:t>Account 373 – Street Lighting &amp; Signal Systems</w:t>
      </w:r>
    </w:p>
    <w:p w14:paraId="516EE120" w14:textId="21CE60A5" w:rsidR="000F7072" w:rsidRDefault="00C0108B" w:rsidP="00AC084D">
      <w:pPr>
        <w:pStyle w:val="BodyText"/>
      </w:pPr>
      <w:r>
        <w:t>The Street Lighting &amp; Signals</w:t>
      </w:r>
      <w:r w:rsidRPr="0071268D">
        <w:t xml:space="preserve"> account has </w:t>
      </w:r>
      <w:r>
        <w:t>an average age of 13.5 years. Staff</w:t>
      </w:r>
      <w:r w:rsidRPr="0071268D">
        <w:t xml:space="preserve"> proposes </w:t>
      </w:r>
      <w:r w:rsidRPr="009F1771">
        <w:t>increasing the currently-</w:t>
      </w:r>
      <w:r w:rsidRPr="004D2C38">
        <w:t>approved ASL of 22 years to 3</w:t>
      </w:r>
      <w:r>
        <w:t>0</w:t>
      </w:r>
      <w:r w:rsidRPr="004D2C38">
        <w:t xml:space="preserve"> years,</w:t>
      </w:r>
      <w:r>
        <w:t xml:space="preserve"> instead of 37 years,</w:t>
      </w:r>
      <w:r w:rsidRPr="004D2C38">
        <w:t xml:space="preserve"> while retaining the currently-approved </w:t>
      </w:r>
      <w:r>
        <w:t>(1</w:t>
      </w:r>
      <w:r w:rsidRPr="004D2C38">
        <w:t>0</w:t>
      </w:r>
      <w:r>
        <w:t>)</w:t>
      </w:r>
      <w:r w:rsidRPr="004D2C38">
        <w:t xml:space="preserve"> percent NS.</w:t>
      </w:r>
      <w:r>
        <w:t xml:space="preserve"> Apply</w:t>
      </w:r>
      <w:r w:rsidRPr="004D2C38">
        <w:t xml:space="preserve">ing these parameters with the </w:t>
      </w:r>
      <w:r>
        <w:t>R3 curve, an ARL of 17.4</w:t>
      </w:r>
      <w:r w:rsidRPr="004D2C38">
        <w:t xml:space="preserve"> years is calculated. This ARL is then used to produce a remaining life depreciation rate of </w:t>
      </w:r>
      <w:r>
        <w:t>2</w:t>
      </w:r>
      <w:r w:rsidRPr="004D2C38">
        <w:t>9 percent for this account</w:t>
      </w:r>
      <w:r>
        <w:t>.</w:t>
      </w:r>
    </w:p>
    <w:p w14:paraId="47BD9717" w14:textId="7E65BC0B" w:rsidR="00B27CC3" w:rsidRDefault="000F7072" w:rsidP="000F7072">
      <w:pPr>
        <w:pStyle w:val="First-LevelSubheading"/>
      </w:pPr>
      <w:r>
        <w:t>General Plant</w:t>
      </w:r>
    </w:p>
    <w:p w14:paraId="212914F8" w14:textId="77777777" w:rsidR="00BD1C51" w:rsidRDefault="00BD1C51" w:rsidP="000F7072">
      <w:pPr>
        <w:pStyle w:val="Second-LevelSubheading"/>
      </w:pPr>
    </w:p>
    <w:p w14:paraId="2536D08A" w14:textId="0258BBCB" w:rsidR="000F7072" w:rsidRDefault="000F7072" w:rsidP="000F7072">
      <w:pPr>
        <w:pStyle w:val="Second-LevelSubheading"/>
      </w:pPr>
      <w:r>
        <w:t xml:space="preserve">Account 390 – Structures &amp; Improvements </w:t>
      </w:r>
    </w:p>
    <w:p w14:paraId="74139E2C" w14:textId="5C4C4B59" w:rsidR="000F7072" w:rsidRDefault="00C0108B" w:rsidP="00AC084D">
      <w:pPr>
        <w:pStyle w:val="BodyText"/>
      </w:pPr>
      <w:r w:rsidRPr="0071268D">
        <w:t xml:space="preserve">This account has </w:t>
      </w:r>
      <w:r>
        <w:t>an average age of 15.6</w:t>
      </w:r>
      <w:r w:rsidRPr="0071268D">
        <w:t xml:space="preserve"> years for this account. The Company proposes </w:t>
      </w:r>
      <w:r w:rsidRPr="009F1771">
        <w:t>increasing the currently-</w:t>
      </w:r>
      <w:r w:rsidRPr="00A8294F">
        <w:t>approved ASL of 50 years to 60 years, while retaining the currently-approved 0 percent NS. Using these parameters with the R4 curve, an ARL of 44.0 years is calculated. This ARL is then used to produce a remaining life depreciation rate of 1.6 percent for this account</w:t>
      </w:r>
      <w:r w:rsidR="00D61076">
        <w:t>.</w:t>
      </w:r>
    </w:p>
    <w:p w14:paraId="76D4F092" w14:textId="04A60263" w:rsidR="000F7072" w:rsidRDefault="00104E86" w:rsidP="000F7072">
      <w:pPr>
        <w:pStyle w:val="Second-LevelSubheading"/>
      </w:pPr>
      <w:r>
        <w:t xml:space="preserve">Account 391.4 – Software </w:t>
      </w:r>
    </w:p>
    <w:p w14:paraId="6F128996" w14:textId="5FCABEE6" w:rsidR="000F7072" w:rsidRDefault="00C0108B" w:rsidP="00AC084D">
      <w:pPr>
        <w:pStyle w:val="BodyText"/>
      </w:pPr>
      <w:r>
        <w:t>FPUC proposes to increase the currently-approved 5 year amortization period to 10 years for this account. Further, staff believes the Company’s proposal to transfer certain assets from this account to Account 303.1 – Miscellaneous Intangible Plant – 15 Years is appropriate</w:t>
      </w:r>
      <w:r w:rsidR="00D61076">
        <w:t>.</w:t>
      </w:r>
    </w:p>
    <w:p w14:paraId="582C6F28" w14:textId="3160D0B1" w:rsidR="000F7072" w:rsidRDefault="00104E86" w:rsidP="00104E86">
      <w:pPr>
        <w:pStyle w:val="Second-LevelSubheading"/>
      </w:pPr>
      <w:r>
        <w:t xml:space="preserve">Account 392.1 – Transportation – Cars </w:t>
      </w:r>
    </w:p>
    <w:p w14:paraId="7DA35B75" w14:textId="77777777" w:rsidR="00C0108B" w:rsidRPr="005B363B" w:rsidRDefault="00C0108B" w:rsidP="00C0108B">
      <w:pPr>
        <w:pStyle w:val="ListParagraph"/>
        <w:ind w:left="0"/>
      </w:pPr>
      <w:r w:rsidRPr="009E0108">
        <w:t>This account has an average</w:t>
      </w:r>
      <w:r>
        <w:t xml:space="preserve"> age of 0 years </w:t>
      </w:r>
      <w:r w:rsidRPr="009E0108">
        <w:t>due to there being no current investments in this account. The Company proposes retaining the currently-approved ASL of 11 years and 15 percent NS. Using these parameters with the S2 curve, an ARL of 11.0 years is calculated. This ARL is then used to produce a remaining life depreciation rate of 7.7 percent for this account.</w:t>
      </w:r>
    </w:p>
    <w:p w14:paraId="7EF88C3D" w14:textId="77777777" w:rsidR="00C0108B" w:rsidRDefault="00C0108B" w:rsidP="00C0108B">
      <w:pPr>
        <w:pStyle w:val="ListParagraph"/>
        <w:ind w:left="0"/>
      </w:pPr>
    </w:p>
    <w:p w14:paraId="1E886A9C" w14:textId="2029005D" w:rsidR="00104E86" w:rsidRDefault="00C0108B" w:rsidP="00C0108B">
      <w:pPr>
        <w:pStyle w:val="BodyText"/>
      </w:pPr>
      <w:r>
        <w:t>This account currently has no plant balance, yet there is a $10,373 balance in the reserve. As such, staff believes a reserve transfer to eliminate this reserve balance is appropriate</w:t>
      </w:r>
      <w:r w:rsidR="00D61076">
        <w:t>.</w:t>
      </w:r>
    </w:p>
    <w:p w14:paraId="40605080" w14:textId="3464A43B" w:rsidR="00104E86" w:rsidRDefault="00104E86" w:rsidP="00104E86">
      <w:pPr>
        <w:pStyle w:val="Second-LevelSubheading"/>
      </w:pPr>
      <w:r>
        <w:t>Account 392.2 – Transportation – Light Trucks &amp; Vans</w:t>
      </w:r>
    </w:p>
    <w:p w14:paraId="3A61CCD0" w14:textId="77777777" w:rsidR="00C0108B" w:rsidRPr="005B363B" w:rsidRDefault="00C0108B" w:rsidP="00C0108B">
      <w:pPr>
        <w:pStyle w:val="ListParagraph"/>
        <w:ind w:left="0"/>
      </w:pPr>
      <w:r>
        <w:t>The Transportation – Light Trucks &amp; Vans</w:t>
      </w:r>
      <w:r w:rsidRPr="0071268D">
        <w:t xml:space="preserve"> account has </w:t>
      </w:r>
      <w:r>
        <w:t>an average age of 8.4 years</w:t>
      </w:r>
      <w:r w:rsidRPr="005B363B">
        <w:t xml:space="preserve">. The Company proposes </w:t>
      </w:r>
      <w:r>
        <w:t>r</w:t>
      </w:r>
      <w:r w:rsidRPr="005B363B">
        <w:t>etaining the currently-a</w:t>
      </w:r>
      <w:r>
        <w:t>pproved ASL of 11</w:t>
      </w:r>
      <w:r w:rsidRPr="005B363B">
        <w:t xml:space="preserve"> years and </w:t>
      </w:r>
      <w:r>
        <w:t>12 percent NS. Apply</w:t>
      </w:r>
      <w:r w:rsidRPr="005B363B">
        <w:t xml:space="preserve">ing these parameters with the </w:t>
      </w:r>
      <w:r>
        <w:t>S4</w:t>
      </w:r>
      <w:r w:rsidRPr="005B363B">
        <w:t xml:space="preserve"> curve, an ARL of 2.</w:t>
      </w:r>
      <w:r>
        <w:t>9</w:t>
      </w:r>
      <w:r w:rsidRPr="005B363B">
        <w:t xml:space="preserve"> years is calculated. This ARL is then used to produce a remaining life depreciation rate of 8</w:t>
      </w:r>
      <w:r>
        <w:t>.0</w:t>
      </w:r>
      <w:r w:rsidRPr="005B363B">
        <w:t xml:space="preserve"> percent for this account.</w:t>
      </w:r>
    </w:p>
    <w:p w14:paraId="54FB0B5F" w14:textId="77777777" w:rsidR="00C0108B" w:rsidRDefault="00C0108B" w:rsidP="00C0108B">
      <w:pPr>
        <w:pStyle w:val="ListParagraph"/>
      </w:pPr>
    </w:p>
    <w:p w14:paraId="586BDBC1" w14:textId="3DF0241D" w:rsidR="00104E86" w:rsidRDefault="00C0108B" w:rsidP="00C0108B">
      <w:pPr>
        <w:pStyle w:val="BodyText"/>
      </w:pPr>
      <w:r>
        <w:t>This account has a theoretical deficit of $135,661. Staff is in agreement with FPUC that this deficit should be offset with the reserve surplus in Account 392.3 – Transportation – Heavy Trucks</w:t>
      </w:r>
      <w:r w:rsidR="00D61076">
        <w:t>.</w:t>
      </w:r>
    </w:p>
    <w:p w14:paraId="08F3172D" w14:textId="274B9497" w:rsidR="00104E86" w:rsidRDefault="00104E86" w:rsidP="00104E86">
      <w:pPr>
        <w:pStyle w:val="Second-LevelSubheading"/>
      </w:pPr>
      <w:r>
        <w:t>Account 392.3 – Transportation – Heavy Trucks</w:t>
      </w:r>
    </w:p>
    <w:p w14:paraId="39A86B45" w14:textId="77777777" w:rsidR="00C0108B" w:rsidRDefault="00C0108B" w:rsidP="00C0108B">
      <w:pPr>
        <w:pStyle w:val="BodyText"/>
      </w:pPr>
      <w:r w:rsidRPr="0071268D">
        <w:t xml:space="preserve">This account has </w:t>
      </w:r>
      <w:r>
        <w:t>an average age of 7.9</w:t>
      </w:r>
      <w:r w:rsidRPr="0071268D">
        <w:t xml:space="preserve"> years for </w:t>
      </w:r>
      <w:r w:rsidRPr="005B363B">
        <w:t xml:space="preserve">this account. The Company proposes </w:t>
      </w:r>
      <w:r>
        <w:t>increas</w:t>
      </w:r>
      <w:r w:rsidRPr="005B363B">
        <w:t xml:space="preserve">ing the currently-approved ASL of </w:t>
      </w:r>
      <w:r>
        <w:t>15 years to 2</w:t>
      </w:r>
      <w:r w:rsidRPr="005B363B">
        <w:t>0 years</w:t>
      </w:r>
      <w:r>
        <w:t>,</w:t>
      </w:r>
      <w:r w:rsidRPr="005B363B">
        <w:t xml:space="preserve"> and </w:t>
      </w:r>
      <w:r>
        <w:t xml:space="preserve">retaining the currently-approved 10 percent </w:t>
      </w:r>
      <w:r w:rsidRPr="005B363B">
        <w:t xml:space="preserve">NS. Using these parameters with the </w:t>
      </w:r>
      <w:r>
        <w:t>S3</w:t>
      </w:r>
      <w:r w:rsidRPr="005B363B">
        <w:t xml:space="preserve"> curve, an ARL of 12.</w:t>
      </w:r>
      <w:r>
        <w:t>2</w:t>
      </w:r>
      <w:r w:rsidRPr="005B363B">
        <w:t xml:space="preserve"> years is calculated. This ARL is then used to produce a remaining life depreciation rate of </w:t>
      </w:r>
      <w:r>
        <w:t>3.3</w:t>
      </w:r>
      <w:r w:rsidRPr="005B363B">
        <w:t xml:space="preserve"> percent for this account</w:t>
      </w:r>
      <w:r>
        <w:t>.</w:t>
      </w:r>
    </w:p>
    <w:p w14:paraId="60FD1C0F" w14:textId="0D27F649" w:rsidR="00D61076" w:rsidRDefault="00C0108B" w:rsidP="00C0108B">
      <w:pPr>
        <w:pStyle w:val="BodyText"/>
      </w:pPr>
      <w:r>
        <w:t>As discussed above, this account has a reserve surplus. Staff is in agreement with FPUC’s proposal to transfer a portion of this surplus to Account 392.2 – Transportation – Light Truck &amp; Van</w:t>
      </w:r>
      <w:r w:rsidR="00D61076">
        <w:t>s.</w:t>
      </w:r>
    </w:p>
    <w:p w14:paraId="75FF2B3B" w14:textId="28C9AFFF" w:rsidR="00B27CC3" w:rsidRDefault="00104E86" w:rsidP="00104E86">
      <w:pPr>
        <w:pStyle w:val="Second-LevelSubheading"/>
      </w:pPr>
      <w:r>
        <w:t>Account 392.4 – Transportation – Trailers</w:t>
      </w:r>
    </w:p>
    <w:p w14:paraId="69955466" w14:textId="3AD34B89" w:rsidR="00104E86" w:rsidRDefault="00C0108B" w:rsidP="00AC084D">
      <w:pPr>
        <w:pStyle w:val="BodyText"/>
      </w:pPr>
      <w:r>
        <w:t>The Transportation Equipment – Trailers</w:t>
      </w:r>
      <w:r w:rsidRPr="0071268D">
        <w:t xml:space="preserve"> account has </w:t>
      </w:r>
      <w:r>
        <w:t>an average age of 19</w:t>
      </w:r>
      <w:r w:rsidRPr="0071268D">
        <w:t>.</w:t>
      </w:r>
      <w:r>
        <w:t>9 years</w:t>
      </w:r>
      <w:r w:rsidRPr="005B363B">
        <w:t xml:space="preserve">. The Company proposes </w:t>
      </w:r>
      <w:r>
        <w:t>r</w:t>
      </w:r>
      <w:r w:rsidRPr="005B363B">
        <w:t xml:space="preserve">etaining the currently-approved ASL of </w:t>
      </w:r>
      <w:r>
        <w:t>25</w:t>
      </w:r>
      <w:r w:rsidRPr="005B363B">
        <w:t xml:space="preserve"> years and </w:t>
      </w:r>
      <w:r>
        <w:t>5 percent NS. Apply</w:t>
      </w:r>
      <w:r w:rsidRPr="005B363B">
        <w:t>ing these parameters with the R</w:t>
      </w:r>
      <w:r>
        <w:t>4</w:t>
      </w:r>
      <w:r w:rsidRPr="005B363B">
        <w:t xml:space="preserve"> curve, an ARL of </w:t>
      </w:r>
      <w:r>
        <w:t>6</w:t>
      </w:r>
      <w:r w:rsidRPr="005B363B">
        <w:t>.</w:t>
      </w:r>
      <w:r>
        <w:t>8</w:t>
      </w:r>
      <w:r w:rsidRPr="005B363B">
        <w:t xml:space="preserve"> years is calculated. This ARL is then used to produce a remaining life depreciation rate of 3.</w:t>
      </w:r>
      <w:r>
        <w:t>0</w:t>
      </w:r>
      <w:r w:rsidRPr="005B363B">
        <w:t xml:space="preserve"> percent for this account</w:t>
      </w:r>
      <w:r w:rsidR="00D61076">
        <w:t>.</w:t>
      </w:r>
    </w:p>
    <w:p w14:paraId="52F9CC8E" w14:textId="0C35B22F" w:rsidR="005E0C4E" w:rsidRDefault="005E0C4E" w:rsidP="005E0C4E">
      <w:pPr>
        <w:pStyle w:val="Second-LevelSubheading"/>
      </w:pPr>
      <w:r>
        <w:t>Account 396 – Power Operated Equipment</w:t>
      </w:r>
    </w:p>
    <w:p w14:paraId="381B46A3" w14:textId="77777777" w:rsidR="00E31371" w:rsidRDefault="00E31371" w:rsidP="00E31371">
      <w:pPr>
        <w:pStyle w:val="BodyText"/>
      </w:pPr>
      <w:r w:rsidRPr="0071268D">
        <w:t xml:space="preserve">This account has </w:t>
      </w:r>
      <w:r>
        <w:t>an average age of 12.6</w:t>
      </w:r>
      <w:r w:rsidRPr="0071268D">
        <w:t xml:space="preserve"> years for </w:t>
      </w:r>
      <w:r w:rsidRPr="005B363B">
        <w:t xml:space="preserve">this account. The Company proposes </w:t>
      </w:r>
      <w:r>
        <w:t>r</w:t>
      </w:r>
      <w:r w:rsidRPr="005B363B">
        <w:t xml:space="preserve">etaining the currently-approved ASL of </w:t>
      </w:r>
      <w:r>
        <w:t>25</w:t>
      </w:r>
      <w:r w:rsidRPr="005B363B">
        <w:t xml:space="preserve"> years</w:t>
      </w:r>
      <w:r>
        <w:t xml:space="preserve"> and 0 percent NS</w:t>
      </w:r>
      <w:r w:rsidRPr="005B363B">
        <w:t xml:space="preserve">. Using these parameters with the </w:t>
      </w:r>
      <w:r>
        <w:t>S6</w:t>
      </w:r>
      <w:r w:rsidRPr="005B363B">
        <w:t xml:space="preserve"> curve, an ARL of 12.</w:t>
      </w:r>
      <w:r>
        <w:t>4</w:t>
      </w:r>
      <w:r w:rsidRPr="005B363B">
        <w:t xml:space="preserve"> years is calculated. This ARL is then used to produce a remaining life depreciation rate of </w:t>
      </w:r>
      <w:r>
        <w:t>4.1</w:t>
      </w:r>
      <w:r w:rsidRPr="005B363B">
        <w:t xml:space="preserve"> percent for this account</w:t>
      </w:r>
      <w:r>
        <w:t>.</w:t>
      </w:r>
    </w:p>
    <w:p w14:paraId="422C3A5B" w14:textId="2C78402D" w:rsidR="005E0C4E" w:rsidRDefault="00E31371" w:rsidP="00E31371">
      <w:pPr>
        <w:pStyle w:val="BodyText"/>
      </w:pPr>
      <w:r>
        <w:t>There were a number of amortizable accounts with no proposed change to the current amortization period. Staff agrees with the current amortization period for these accounts and concurs that no change is necessary. Table 3-</w:t>
      </w:r>
      <w:r w:rsidR="005361EB">
        <w:t>2</w:t>
      </w:r>
      <w:r>
        <w:t xml:space="preserve"> below lists those accounts and the corresponding amortization period</w:t>
      </w:r>
      <w:r w:rsidR="00B95ABF">
        <w:t>.</w:t>
      </w:r>
    </w:p>
    <w:p w14:paraId="4BA5AD97" w14:textId="617A9A3C" w:rsidR="00E31371" w:rsidRDefault="00E31371" w:rsidP="00E31371">
      <w:pPr>
        <w:pStyle w:val="BodyText"/>
      </w:pPr>
    </w:p>
    <w:p w14:paraId="377BCCB5" w14:textId="77777777" w:rsidR="00E31371" w:rsidRDefault="00E31371" w:rsidP="00E31371">
      <w:pPr>
        <w:pStyle w:val="BodyText"/>
      </w:pPr>
    </w:p>
    <w:p w14:paraId="26209181" w14:textId="13FEBB9F" w:rsidR="004C7264" w:rsidRDefault="004C7264" w:rsidP="004C7264">
      <w:pPr>
        <w:pStyle w:val="TableNumber"/>
        <w:keepNext/>
      </w:pPr>
      <w:r>
        <w:lastRenderedPageBreak/>
        <w:t xml:space="preserve">Table </w:t>
      </w:r>
      <w:fldSimple w:instr=" SEQ Issue \c ">
        <w:r>
          <w:rPr>
            <w:noProof/>
          </w:rPr>
          <w:t>3</w:t>
        </w:r>
      </w:fldSimple>
      <w:r w:rsidR="005361EB">
        <w:t>-2</w:t>
      </w:r>
    </w:p>
    <w:p w14:paraId="6877AEAD" w14:textId="565D8755" w:rsidR="004C7264" w:rsidRDefault="004C7264" w:rsidP="004C7264">
      <w:pPr>
        <w:pStyle w:val="TableTitle"/>
        <w:keepNext/>
      </w:pPr>
      <w:r>
        <w:t>Unchanged Amortizable Accounts</w:t>
      </w:r>
    </w:p>
    <w:tbl>
      <w:tblPr>
        <w:tblStyle w:val="TableGrid"/>
        <w:tblW w:w="0" w:type="auto"/>
        <w:jc w:val="center"/>
        <w:tblLook w:val="04A0" w:firstRow="1" w:lastRow="0" w:firstColumn="1" w:lastColumn="0" w:noHBand="0" w:noVBand="1"/>
      </w:tblPr>
      <w:tblGrid>
        <w:gridCol w:w="962"/>
        <w:gridCol w:w="2899"/>
        <w:gridCol w:w="2135"/>
      </w:tblGrid>
      <w:tr w:rsidR="004C7264" w14:paraId="69BE7E23" w14:textId="77777777" w:rsidTr="004C7264">
        <w:trPr>
          <w:jc w:val="center"/>
        </w:trPr>
        <w:tc>
          <w:tcPr>
            <w:tcW w:w="0" w:type="auto"/>
          </w:tcPr>
          <w:p w14:paraId="2E3DF5F3" w14:textId="77777777" w:rsidR="004C7264" w:rsidRDefault="004C7264" w:rsidP="004C7264">
            <w:pPr>
              <w:rPr>
                <w:sz w:val="22"/>
                <w:szCs w:val="22"/>
              </w:rPr>
            </w:pPr>
            <w:r>
              <w:rPr>
                <w:sz w:val="22"/>
                <w:szCs w:val="22"/>
              </w:rPr>
              <w:t>Account</w:t>
            </w:r>
          </w:p>
          <w:p w14:paraId="6AC8CFC2" w14:textId="25211130" w:rsidR="004C7264" w:rsidRPr="004C7264" w:rsidRDefault="004C7264" w:rsidP="004C7264">
            <w:pPr>
              <w:rPr>
                <w:sz w:val="22"/>
                <w:szCs w:val="22"/>
              </w:rPr>
            </w:pPr>
            <w:r>
              <w:rPr>
                <w:sz w:val="22"/>
                <w:szCs w:val="22"/>
              </w:rPr>
              <w:t>Number</w:t>
            </w:r>
          </w:p>
        </w:tc>
        <w:tc>
          <w:tcPr>
            <w:tcW w:w="0" w:type="auto"/>
          </w:tcPr>
          <w:p w14:paraId="30519B45" w14:textId="77777777" w:rsidR="004C7264" w:rsidRDefault="004C7264" w:rsidP="004C7264">
            <w:pPr>
              <w:rPr>
                <w:sz w:val="22"/>
                <w:szCs w:val="22"/>
              </w:rPr>
            </w:pPr>
            <w:r>
              <w:rPr>
                <w:sz w:val="22"/>
                <w:szCs w:val="22"/>
              </w:rPr>
              <w:t xml:space="preserve">Account </w:t>
            </w:r>
          </w:p>
          <w:p w14:paraId="34D72A55" w14:textId="3CF7B067" w:rsidR="004C7264" w:rsidRPr="004C7264" w:rsidRDefault="004C7264" w:rsidP="004C7264">
            <w:pPr>
              <w:rPr>
                <w:sz w:val="22"/>
                <w:szCs w:val="22"/>
              </w:rPr>
            </w:pPr>
            <w:r>
              <w:rPr>
                <w:sz w:val="22"/>
                <w:szCs w:val="22"/>
              </w:rPr>
              <w:t>Name</w:t>
            </w:r>
          </w:p>
        </w:tc>
        <w:tc>
          <w:tcPr>
            <w:tcW w:w="0" w:type="auto"/>
          </w:tcPr>
          <w:p w14:paraId="0E9C31A6" w14:textId="77777777" w:rsidR="004C7264" w:rsidRDefault="004C7264" w:rsidP="004C7264">
            <w:pPr>
              <w:rPr>
                <w:sz w:val="22"/>
                <w:szCs w:val="22"/>
              </w:rPr>
            </w:pPr>
            <w:r>
              <w:rPr>
                <w:sz w:val="22"/>
                <w:szCs w:val="22"/>
              </w:rPr>
              <w:t>Current and Proposed</w:t>
            </w:r>
          </w:p>
          <w:p w14:paraId="3D7FC53D" w14:textId="17649A91" w:rsidR="004C7264" w:rsidRPr="004C7264" w:rsidRDefault="004C7264" w:rsidP="004C7264">
            <w:pPr>
              <w:rPr>
                <w:sz w:val="22"/>
                <w:szCs w:val="22"/>
              </w:rPr>
            </w:pPr>
            <w:r>
              <w:rPr>
                <w:sz w:val="22"/>
                <w:szCs w:val="22"/>
              </w:rPr>
              <w:t>Amortization Period</w:t>
            </w:r>
          </w:p>
        </w:tc>
      </w:tr>
      <w:tr w:rsidR="004C7264" w14:paraId="2D12C3AD" w14:textId="77777777" w:rsidTr="004C7264">
        <w:trPr>
          <w:jc w:val="center"/>
        </w:trPr>
        <w:tc>
          <w:tcPr>
            <w:tcW w:w="0" w:type="auto"/>
          </w:tcPr>
          <w:p w14:paraId="4BFA01C5" w14:textId="6BA654B6" w:rsidR="004C7264" w:rsidRDefault="004C7264" w:rsidP="00BD1C51">
            <w:r>
              <w:rPr>
                <w:sz w:val="22"/>
                <w:szCs w:val="22"/>
              </w:rPr>
              <w:t>391.0</w:t>
            </w:r>
          </w:p>
        </w:tc>
        <w:tc>
          <w:tcPr>
            <w:tcW w:w="0" w:type="auto"/>
          </w:tcPr>
          <w:p w14:paraId="5122C279" w14:textId="2D7C87A7" w:rsidR="004C7264" w:rsidRDefault="004C7264" w:rsidP="00BD1C51">
            <w:r>
              <w:rPr>
                <w:sz w:val="22"/>
                <w:szCs w:val="22"/>
              </w:rPr>
              <w:t>Office Furniture &amp; Equipment</w:t>
            </w:r>
          </w:p>
        </w:tc>
        <w:tc>
          <w:tcPr>
            <w:tcW w:w="0" w:type="auto"/>
          </w:tcPr>
          <w:p w14:paraId="3D8B88FA" w14:textId="3C694DB6" w:rsidR="004C7264" w:rsidRDefault="004C7264" w:rsidP="00BD1C51">
            <w:r>
              <w:rPr>
                <w:sz w:val="22"/>
                <w:szCs w:val="22"/>
              </w:rPr>
              <w:t>7 Years</w:t>
            </w:r>
          </w:p>
        </w:tc>
      </w:tr>
      <w:tr w:rsidR="004C7264" w14:paraId="04E4BAFE" w14:textId="77777777" w:rsidTr="004C7264">
        <w:trPr>
          <w:jc w:val="center"/>
        </w:trPr>
        <w:tc>
          <w:tcPr>
            <w:tcW w:w="0" w:type="auto"/>
          </w:tcPr>
          <w:p w14:paraId="43E98A0E" w14:textId="69096493" w:rsidR="004C7264" w:rsidRDefault="004C7264" w:rsidP="00BD1C51">
            <w:r>
              <w:rPr>
                <w:sz w:val="22"/>
                <w:szCs w:val="22"/>
              </w:rPr>
              <w:t>391.1</w:t>
            </w:r>
          </w:p>
        </w:tc>
        <w:tc>
          <w:tcPr>
            <w:tcW w:w="0" w:type="auto"/>
          </w:tcPr>
          <w:p w14:paraId="71621C7D" w14:textId="4EAF7EB4" w:rsidR="004C7264" w:rsidRDefault="004C7264" w:rsidP="00BD1C51">
            <w:r>
              <w:rPr>
                <w:sz w:val="22"/>
                <w:szCs w:val="22"/>
              </w:rPr>
              <w:t>Computers &amp; Peripherals</w:t>
            </w:r>
          </w:p>
        </w:tc>
        <w:tc>
          <w:tcPr>
            <w:tcW w:w="0" w:type="auto"/>
          </w:tcPr>
          <w:p w14:paraId="5BEBECB5" w14:textId="6C5F1CF8" w:rsidR="004C7264" w:rsidRDefault="004C7264" w:rsidP="00BD1C51">
            <w:r>
              <w:rPr>
                <w:sz w:val="22"/>
                <w:szCs w:val="22"/>
              </w:rPr>
              <w:t>5 Years</w:t>
            </w:r>
          </w:p>
        </w:tc>
      </w:tr>
      <w:tr w:rsidR="004C7264" w14:paraId="40594A5C" w14:textId="77777777" w:rsidTr="004C7264">
        <w:trPr>
          <w:jc w:val="center"/>
        </w:trPr>
        <w:tc>
          <w:tcPr>
            <w:tcW w:w="0" w:type="auto"/>
          </w:tcPr>
          <w:p w14:paraId="55E65094" w14:textId="63B67EC4" w:rsidR="004C7264" w:rsidRDefault="004C7264" w:rsidP="00BD1C51">
            <w:r>
              <w:rPr>
                <w:sz w:val="22"/>
                <w:szCs w:val="22"/>
              </w:rPr>
              <w:t>391.2</w:t>
            </w:r>
          </w:p>
        </w:tc>
        <w:tc>
          <w:tcPr>
            <w:tcW w:w="0" w:type="auto"/>
          </w:tcPr>
          <w:p w14:paraId="7FAE2157" w14:textId="72D28384" w:rsidR="004C7264" w:rsidRDefault="004C7264" w:rsidP="00BD1C51">
            <w:r>
              <w:rPr>
                <w:sz w:val="22"/>
                <w:szCs w:val="22"/>
              </w:rPr>
              <w:t>Computer Equipment</w:t>
            </w:r>
          </w:p>
        </w:tc>
        <w:tc>
          <w:tcPr>
            <w:tcW w:w="0" w:type="auto"/>
          </w:tcPr>
          <w:p w14:paraId="5642162B" w14:textId="30D67656" w:rsidR="004C7264" w:rsidRDefault="00BD1C51" w:rsidP="00BD1C51">
            <w:r>
              <w:rPr>
                <w:sz w:val="22"/>
                <w:szCs w:val="22"/>
              </w:rPr>
              <w:t>5</w:t>
            </w:r>
            <w:r w:rsidR="004C7264">
              <w:rPr>
                <w:sz w:val="22"/>
                <w:szCs w:val="22"/>
              </w:rPr>
              <w:t xml:space="preserve"> Years</w:t>
            </w:r>
          </w:p>
        </w:tc>
      </w:tr>
      <w:tr w:rsidR="004C7264" w14:paraId="5F11DA76" w14:textId="77777777" w:rsidTr="004C7264">
        <w:trPr>
          <w:jc w:val="center"/>
        </w:trPr>
        <w:tc>
          <w:tcPr>
            <w:tcW w:w="0" w:type="auto"/>
          </w:tcPr>
          <w:p w14:paraId="3C8683FD" w14:textId="1771EB56" w:rsidR="004C7264" w:rsidRDefault="004C7264" w:rsidP="00BD1C51">
            <w:r>
              <w:rPr>
                <w:sz w:val="22"/>
                <w:szCs w:val="22"/>
              </w:rPr>
              <w:t>391.3</w:t>
            </w:r>
          </w:p>
        </w:tc>
        <w:tc>
          <w:tcPr>
            <w:tcW w:w="0" w:type="auto"/>
          </w:tcPr>
          <w:p w14:paraId="0F824F37" w14:textId="5C9B26D9" w:rsidR="004C7264" w:rsidRDefault="004C7264" w:rsidP="00BD1C51">
            <w:r>
              <w:rPr>
                <w:sz w:val="22"/>
                <w:szCs w:val="22"/>
              </w:rPr>
              <w:t>Furniture &amp; Fixtures</w:t>
            </w:r>
          </w:p>
        </w:tc>
        <w:tc>
          <w:tcPr>
            <w:tcW w:w="0" w:type="auto"/>
          </w:tcPr>
          <w:p w14:paraId="15259D57" w14:textId="4BAA4C08" w:rsidR="004C7264" w:rsidRDefault="004C7264" w:rsidP="00BD1C51">
            <w:r>
              <w:rPr>
                <w:sz w:val="22"/>
                <w:szCs w:val="22"/>
              </w:rPr>
              <w:t>7 Years</w:t>
            </w:r>
          </w:p>
        </w:tc>
      </w:tr>
      <w:tr w:rsidR="004C7264" w14:paraId="348E4D36" w14:textId="77777777" w:rsidTr="004C7264">
        <w:trPr>
          <w:jc w:val="center"/>
        </w:trPr>
        <w:tc>
          <w:tcPr>
            <w:tcW w:w="0" w:type="auto"/>
          </w:tcPr>
          <w:p w14:paraId="4AF6C220" w14:textId="470B0A1C" w:rsidR="004C7264" w:rsidRDefault="004C7264" w:rsidP="00BD1C51">
            <w:r>
              <w:rPr>
                <w:sz w:val="22"/>
                <w:szCs w:val="22"/>
              </w:rPr>
              <w:t>393</w:t>
            </w:r>
          </w:p>
        </w:tc>
        <w:tc>
          <w:tcPr>
            <w:tcW w:w="0" w:type="auto"/>
          </w:tcPr>
          <w:p w14:paraId="7782169F" w14:textId="75347DAB" w:rsidR="004C7264" w:rsidRDefault="004C7264" w:rsidP="00BD1C51">
            <w:r>
              <w:rPr>
                <w:sz w:val="22"/>
                <w:szCs w:val="22"/>
              </w:rPr>
              <w:t>Stores Equipment</w:t>
            </w:r>
          </w:p>
        </w:tc>
        <w:tc>
          <w:tcPr>
            <w:tcW w:w="0" w:type="auto"/>
          </w:tcPr>
          <w:p w14:paraId="54AAB929" w14:textId="0636FDFC" w:rsidR="004C7264" w:rsidRDefault="004C7264" w:rsidP="00BD1C51">
            <w:r>
              <w:rPr>
                <w:sz w:val="22"/>
                <w:szCs w:val="22"/>
              </w:rPr>
              <w:t>7 Years</w:t>
            </w:r>
          </w:p>
        </w:tc>
      </w:tr>
      <w:tr w:rsidR="004C7264" w14:paraId="025B38A5" w14:textId="77777777" w:rsidTr="004C7264">
        <w:trPr>
          <w:jc w:val="center"/>
        </w:trPr>
        <w:tc>
          <w:tcPr>
            <w:tcW w:w="0" w:type="auto"/>
          </w:tcPr>
          <w:p w14:paraId="5234D8FF" w14:textId="015C0334" w:rsidR="004C7264" w:rsidRDefault="004C7264" w:rsidP="00BD1C51">
            <w:r>
              <w:rPr>
                <w:sz w:val="22"/>
                <w:szCs w:val="22"/>
              </w:rPr>
              <w:t>394</w:t>
            </w:r>
          </w:p>
        </w:tc>
        <w:tc>
          <w:tcPr>
            <w:tcW w:w="0" w:type="auto"/>
          </w:tcPr>
          <w:p w14:paraId="50759A4F" w14:textId="7E52C1BF" w:rsidR="004C7264" w:rsidRDefault="004C7264" w:rsidP="00BD1C51">
            <w:r>
              <w:rPr>
                <w:sz w:val="22"/>
                <w:szCs w:val="22"/>
              </w:rPr>
              <w:t>Tools/Shop Equipment</w:t>
            </w:r>
          </w:p>
        </w:tc>
        <w:tc>
          <w:tcPr>
            <w:tcW w:w="0" w:type="auto"/>
          </w:tcPr>
          <w:p w14:paraId="4AADA336" w14:textId="1CA03C9D" w:rsidR="004C7264" w:rsidRPr="004C7264" w:rsidRDefault="004C7264" w:rsidP="004C7264">
            <w:pPr>
              <w:rPr>
                <w:sz w:val="22"/>
                <w:szCs w:val="22"/>
              </w:rPr>
            </w:pPr>
            <w:r>
              <w:rPr>
                <w:sz w:val="22"/>
                <w:szCs w:val="22"/>
              </w:rPr>
              <w:t>7 Years</w:t>
            </w:r>
          </w:p>
        </w:tc>
      </w:tr>
      <w:tr w:rsidR="004C7264" w14:paraId="164F5FC0" w14:textId="77777777" w:rsidTr="004C7264">
        <w:trPr>
          <w:jc w:val="center"/>
        </w:trPr>
        <w:tc>
          <w:tcPr>
            <w:tcW w:w="0" w:type="auto"/>
          </w:tcPr>
          <w:p w14:paraId="0098C63F" w14:textId="5DAF8786" w:rsidR="004C7264" w:rsidRDefault="004C7264" w:rsidP="00BD1C51">
            <w:r>
              <w:rPr>
                <w:sz w:val="22"/>
                <w:szCs w:val="22"/>
              </w:rPr>
              <w:t>395</w:t>
            </w:r>
          </w:p>
        </w:tc>
        <w:tc>
          <w:tcPr>
            <w:tcW w:w="0" w:type="auto"/>
          </w:tcPr>
          <w:p w14:paraId="7FFA0A1E" w14:textId="3BEC4580" w:rsidR="004C7264" w:rsidRDefault="004C7264" w:rsidP="00BD1C51">
            <w:r>
              <w:rPr>
                <w:sz w:val="22"/>
                <w:szCs w:val="22"/>
              </w:rPr>
              <w:t>Communications Equipment</w:t>
            </w:r>
          </w:p>
        </w:tc>
        <w:tc>
          <w:tcPr>
            <w:tcW w:w="0" w:type="auto"/>
          </w:tcPr>
          <w:p w14:paraId="366330AE" w14:textId="2FB32208" w:rsidR="004C7264" w:rsidRPr="00BD1C51" w:rsidRDefault="004C7264" w:rsidP="00BD1C51">
            <w:pPr>
              <w:rPr>
                <w:sz w:val="22"/>
                <w:szCs w:val="22"/>
              </w:rPr>
            </w:pPr>
            <w:r>
              <w:rPr>
                <w:sz w:val="22"/>
                <w:szCs w:val="22"/>
              </w:rPr>
              <w:t>7 Years</w:t>
            </w:r>
          </w:p>
        </w:tc>
      </w:tr>
      <w:tr w:rsidR="004C7264" w14:paraId="1450AA78" w14:textId="77777777" w:rsidTr="004C7264">
        <w:trPr>
          <w:jc w:val="center"/>
        </w:trPr>
        <w:tc>
          <w:tcPr>
            <w:tcW w:w="0" w:type="auto"/>
          </w:tcPr>
          <w:p w14:paraId="7E1908BC" w14:textId="396131F4" w:rsidR="004C7264" w:rsidRDefault="00BD1C51" w:rsidP="00BD1C51">
            <w:r>
              <w:t>397</w:t>
            </w:r>
          </w:p>
        </w:tc>
        <w:tc>
          <w:tcPr>
            <w:tcW w:w="0" w:type="auto"/>
          </w:tcPr>
          <w:p w14:paraId="21711926" w14:textId="6DB7710F" w:rsidR="004C7264" w:rsidRDefault="00BD1C51" w:rsidP="00BD1C51">
            <w:r>
              <w:rPr>
                <w:sz w:val="22"/>
                <w:szCs w:val="22"/>
              </w:rPr>
              <w:t>Communications Equipment</w:t>
            </w:r>
          </w:p>
        </w:tc>
        <w:tc>
          <w:tcPr>
            <w:tcW w:w="0" w:type="auto"/>
          </w:tcPr>
          <w:p w14:paraId="0ADE7C3B" w14:textId="61EC37B2" w:rsidR="004C7264" w:rsidRPr="00BD1C51" w:rsidRDefault="00BD1C51" w:rsidP="00BD1C51">
            <w:pPr>
              <w:rPr>
                <w:sz w:val="22"/>
                <w:szCs w:val="22"/>
              </w:rPr>
            </w:pPr>
            <w:r>
              <w:rPr>
                <w:sz w:val="22"/>
                <w:szCs w:val="22"/>
              </w:rPr>
              <w:t>5 Years</w:t>
            </w:r>
          </w:p>
        </w:tc>
      </w:tr>
      <w:tr w:rsidR="004C7264" w14:paraId="0E7894F9" w14:textId="77777777" w:rsidTr="004C7264">
        <w:trPr>
          <w:jc w:val="center"/>
        </w:trPr>
        <w:tc>
          <w:tcPr>
            <w:tcW w:w="0" w:type="auto"/>
          </w:tcPr>
          <w:p w14:paraId="75A8788F" w14:textId="571EA951" w:rsidR="004C7264" w:rsidRDefault="00BD1C51" w:rsidP="00BD1C51">
            <w:r>
              <w:rPr>
                <w:sz w:val="22"/>
                <w:szCs w:val="22"/>
              </w:rPr>
              <w:t>398</w:t>
            </w:r>
          </w:p>
        </w:tc>
        <w:tc>
          <w:tcPr>
            <w:tcW w:w="0" w:type="auto"/>
          </w:tcPr>
          <w:p w14:paraId="5B260447" w14:textId="2BD383D0" w:rsidR="004C7264" w:rsidRDefault="00BD1C51" w:rsidP="00BD1C51">
            <w:r>
              <w:rPr>
                <w:sz w:val="22"/>
                <w:szCs w:val="22"/>
              </w:rPr>
              <w:t>Miscellaneous Equipment</w:t>
            </w:r>
          </w:p>
        </w:tc>
        <w:tc>
          <w:tcPr>
            <w:tcW w:w="0" w:type="auto"/>
          </w:tcPr>
          <w:p w14:paraId="5C7EFB39" w14:textId="244A863D" w:rsidR="004C7264" w:rsidRDefault="00BD1C51" w:rsidP="00BD1C51">
            <w:r>
              <w:rPr>
                <w:sz w:val="22"/>
                <w:szCs w:val="22"/>
              </w:rPr>
              <w:t>7 Years</w:t>
            </w:r>
          </w:p>
        </w:tc>
      </w:tr>
      <w:tr w:rsidR="004C7264" w14:paraId="49921401" w14:textId="77777777" w:rsidTr="004C7264">
        <w:trPr>
          <w:jc w:val="center"/>
        </w:trPr>
        <w:tc>
          <w:tcPr>
            <w:tcW w:w="0" w:type="auto"/>
          </w:tcPr>
          <w:p w14:paraId="42F7D113" w14:textId="69370102" w:rsidR="004C7264" w:rsidRDefault="00BD1C51" w:rsidP="00BD1C51">
            <w:r>
              <w:rPr>
                <w:sz w:val="22"/>
                <w:szCs w:val="22"/>
              </w:rPr>
              <w:t>399</w:t>
            </w:r>
          </w:p>
        </w:tc>
        <w:tc>
          <w:tcPr>
            <w:tcW w:w="0" w:type="auto"/>
          </w:tcPr>
          <w:p w14:paraId="381C9DB8" w14:textId="513EE8F8" w:rsidR="004C7264" w:rsidRDefault="00BD1C51" w:rsidP="00BD1C51">
            <w:r>
              <w:rPr>
                <w:sz w:val="22"/>
                <w:szCs w:val="22"/>
              </w:rPr>
              <w:t>Misc. Tangible Assets</w:t>
            </w:r>
          </w:p>
        </w:tc>
        <w:tc>
          <w:tcPr>
            <w:tcW w:w="0" w:type="auto"/>
          </w:tcPr>
          <w:p w14:paraId="3CDB7130" w14:textId="740D1978" w:rsidR="004C7264" w:rsidRDefault="00BD1C51" w:rsidP="00BD1C51">
            <w:r>
              <w:rPr>
                <w:sz w:val="22"/>
                <w:szCs w:val="22"/>
              </w:rPr>
              <w:t>5 Years</w:t>
            </w:r>
          </w:p>
        </w:tc>
      </w:tr>
    </w:tbl>
    <w:p w14:paraId="6B14ED99" w14:textId="4E5D9570" w:rsidR="004C7264" w:rsidRDefault="00B95ABF" w:rsidP="00B95ABF">
      <w:pPr>
        <w:pStyle w:val="TableSource"/>
        <w:ind w:left="1440"/>
      </w:pPr>
      <w:r>
        <w:t xml:space="preserve">    </w:t>
      </w:r>
      <w:r w:rsidR="004C7264">
        <w:t xml:space="preserve">Source: </w:t>
      </w:r>
      <w:r w:rsidR="00BD1C51">
        <w:t>FPUC’s 2023 Depreciation Study</w:t>
      </w:r>
    </w:p>
    <w:p w14:paraId="5B25601A" w14:textId="77777777" w:rsidR="00E31371" w:rsidRPr="00D27D8B" w:rsidRDefault="00E31371" w:rsidP="00E31371">
      <w:pPr>
        <w:pStyle w:val="BodyText"/>
        <w:rPr>
          <w:rFonts w:ascii="Arial" w:hAnsi="Arial" w:cs="Arial"/>
          <w:b/>
        </w:rPr>
      </w:pPr>
      <w:r w:rsidRPr="00D27D8B">
        <w:rPr>
          <w:rFonts w:ascii="Arial" w:hAnsi="Arial" w:cs="Arial"/>
          <w:b/>
        </w:rPr>
        <w:t>Conclusion</w:t>
      </w:r>
    </w:p>
    <w:p w14:paraId="1F2F7393" w14:textId="237AAA69" w:rsidR="004C7264" w:rsidRDefault="00E31371" w:rsidP="00E31371">
      <w:pPr>
        <w:pStyle w:val="BodyText"/>
      </w:pPr>
      <w:r>
        <w:t>In conclusion s</w:t>
      </w:r>
      <w:r w:rsidRPr="008865CC">
        <w:t>taff recommends the Commission approve the lives, reserve percentages, net salvage percentages, and resulting remaining life depreciation rates for FPUC  that are shown on Attachments A and C. As shown on Attachment B, the corresponding depreciation and amortization expense effect of staff’s rate recommendations is a decrease of $868,148 annually, or 18.3 percent, based on December 31, 2022 investments</w:t>
      </w:r>
      <w:r>
        <w:t>.</w:t>
      </w:r>
    </w:p>
    <w:p w14:paraId="6E19BBDA" w14:textId="0E69E0E0" w:rsidR="00AC084D" w:rsidRDefault="00AC084D">
      <w:pPr>
        <w:pStyle w:val="IssueHeading"/>
        <w:rPr>
          <w:vanish/>
          <w:specVanish/>
        </w:rPr>
      </w:pPr>
      <w:r w:rsidRPr="004C3641">
        <w:rPr>
          <w:b w:val="0"/>
          <w:i w:val="0"/>
        </w:rPr>
        <w:br w:type="page"/>
      </w:r>
      <w:r w:rsidRPr="004C3641">
        <w:lastRenderedPageBreak/>
        <w:t xml:space="preserve">Issue </w:t>
      </w:r>
      <w:fldSimple w:instr=" SEQ Issue \* MERGEFORMAT ">
        <w:r w:rsidR="00A04EEF">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A04EEF">
        <w:rPr>
          <w:noProof/>
        </w:rPr>
        <w:instrText>4</w:instrText>
      </w:r>
      <w:r>
        <w:fldChar w:fldCharType="end"/>
      </w:r>
      <w:r>
        <w:tab/>
        <w:instrText xml:space="preserve">(Buys)" \l 1 </w:instrText>
      </w:r>
      <w:r>
        <w:fldChar w:fldCharType="end"/>
      </w:r>
      <w:r>
        <w:t> </w:t>
      </w:r>
    </w:p>
    <w:p w14:paraId="6C489F57" w14:textId="77777777" w:rsidR="00AC084D" w:rsidRDefault="00AC084D">
      <w:pPr>
        <w:pStyle w:val="BodyText"/>
      </w:pPr>
      <w:r>
        <w:t> Should the current amortization of investment tax credits (ITCs) and flow back of excess deferred income taxes (EDITs) be revised to reflect the approved depreciation rates and amortization schedules?</w:t>
      </w:r>
    </w:p>
    <w:p w14:paraId="3915C444" w14:textId="77777777" w:rsidR="00AC084D" w:rsidRPr="004C3641" w:rsidRDefault="00AC084D">
      <w:pPr>
        <w:pStyle w:val="IssueSubsectionHeading"/>
        <w:rPr>
          <w:vanish/>
          <w:specVanish/>
        </w:rPr>
      </w:pPr>
      <w:r w:rsidRPr="004C3641">
        <w:t>Recommendation: </w:t>
      </w:r>
    </w:p>
    <w:p w14:paraId="131741B1" w14:textId="43869BE7" w:rsidR="00AC084D" w:rsidRDefault="00AC084D">
      <w:pPr>
        <w:pStyle w:val="BodyText"/>
      </w:pPr>
      <w:r>
        <w:t> </w:t>
      </w:r>
      <w:r w:rsidR="00904B42" w:rsidRPr="002F0522">
        <w:t>Yes. Th</w:t>
      </w:r>
      <w:r w:rsidR="00904B42">
        <w:t xml:space="preserve">e current amortization of ITCs and any flow back of EDITs should </w:t>
      </w:r>
      <w:r w:rsidR="00904B42" w:rsidRPr="002F0522">
        <w:t xml:space="preserve">be revised to match the actual recovery periods for the related property. The Company should file detailed calculations of the revised ITC amortization </w:t>
      </w:r>
      <w:r w:rsidR="00904B42">
        <w:t xml:space="preserve">and flow back of EDITs </w:t>
      </w:r>
      <w:r w:rsidR="00904B42" w:rsidRPr="002F0522">
        <w:t>at the same time it files its earnings surveillance report covering the period ended December 31, 202</w:t>
      </w:r>
      <w:r w:rsidR="00904B42">
        <w:t>3</w:t>
      </w:r>
      <w:r w:rsidR="00904B42" w:rsidRPr="002F0522">
        <w:t>, as specified in Rule 2</w:t>
      </w:r>
      <w:r w:rsidR="00904B42">
        <w:t>5</w:t>
      </w:r>
      <w:r w:rsidR="00C00CF6">
        <w:t>-6</w:t>
      </w:r>
      <w:r w:rsidR="00904B42" w:rsidRPr="002F0522">
        <w:t>.1352, F.A.C</w:t>
      </w:r>
      <w:r w:rsidR="00654EA7">
        <w:t>.</w:t>
      </w:r>
      <w:r>
        <w:t xml:space="preserve"> (</w:t>
      </w:r>
      <w:r w:rsidR="00D12C99">
        <w:t xml:space="preserve">D. </w:t>
      </w:r>
      <w:r>
        <w:t>Buys)</w:t>
      </w:r>
    </w:p>
    <w:p w14:paraId="7E3FE6BC" w14:textId="77777777" w:rsidR="00AC084D" w:rsidRPr="004C3641" w:rsidRDefault="00AC084D">
      <w:pPr>
        <w:pStyle w:val="IssueSubsectionHeading"/>
        <w:rPr>
          <w:vanish/>
          <w:specVanish/>
        </w:rPr>
      </w:pPr>
      <w:r w:rsidRPr="004C3641">
        <w:t>Staff Analysis: </w:t>
      </w:r>
    </w:p>
    <w:p w14:paraId="15DDF7E4" w14:textId="31E2C025" w:rsidR="00654EA7" w:rsidRPr="002F0522" w:rsidRDefault="00AC084D" w:rsidP="00654EA7">
      <w:pPr>
        <w:jc w:val="both"/>
      </w:pPr>
      <w:r>
        <w:t> </w:t>
      </w:r>
      <w:r w:rsidR="00904B42" w:rsidRPr="002F0522">
        <w:t>In Issue 3, staff has recommended approval of revised depreciation rates for the Company, which reflect changes to most accounts’ remaining lives to be effective January 1, 202</w:t>
      </w:r>
      <w:r w:rsidR="00904B42">
        <w:t>3</w:t>
      </w:r>
      <w:r w:rsidR="00904B42" w:rsidRPr="002F0522">
        <w:t xml:space="preserve">. Revising a utility’s book depreciation lives generally results in a change in its rate of ITC amortization </w:t>
      </w:r>
      <w:r w:rsidR="00904B42">
        <w:t xml:space="preserve">and flow back of EDITs </w:t>
      </w:r>
      <w:r w:rsidR="00904B42" w:rsidRPr="002F0522">
        <w:t>in order to comply with the normalization requirements of the Internal Revenue Code (IRC or Code) set forth in Federal Tax Regulations under the Code sections,</w:t>
      </w:r>
      <w:r w:rsidR="00904B42" w:rsidRPr="002F0522">
        <w:rPr>
          <w:vertAlign w:val="superscript"/>
        </w:rPr>
        <w:footnoteReference w:id="6"/>
      </w:r>
      <w:r w:rsidR="00904B42" w:rsidRPr="002F0522">
        <w:t xml:space="preserve"> Sections 168(f)(2) and (i)(9),</w:t>
      </w:r>
      <w:r w:rsidR="00904B42" w:rsidRPr="002F0522">
        <w:rPr>
          <w:vertAlign w:val="superscript"/>
        </w:rPr>
        <w:footnoteReference w:id="7"/>
      </w:r>
      <w:r w:rsidR="00904B42" w:rsidRPr="002F0522">
        <w:t xml:space="preserve"> former IRC Sections 167(l), and 46(f),</w:t>
      </w:r>
      <w:r w:rsidR="00904B42" w:rsidRPr="002F0522">
        <w:rPr>
          <w:vertAlign w:val="superscript"/>
        </w:rPr>
        <w:footnoteReference w:id="8"/>
      </w:r>
      <w:r w:rsidR="00904B42" w:rsidRPr="002F0522">
        <w:t xml:space="preserve"> and Section 203(e) of the Tax Reform Act of 1986 (the Act</w:t>
      </w:r>
      <w:r w:rsidR="00654EA7" w:rsidRPr="002F0522">
        <w:t>).</w:t>
      </w:r>
      <w:r w:rsidR="00654EA7" w:rsidRPr="002F0522">
        <w:rPr>
          <w:vertAlign w:val="superscript"/>
        </w:rPr>
        <w:footnoteReference w:id="9"/>
      </w:r>
    </w:p>
    <w:p w14:paraId="7F7BB5C6" w14:textId="77777777" w:rsidR="00654EA7" w:rsidRPr="002F0522" w:rsidRDefault="00654EA7" w:rsidP="00654EA7">
      <w:pPr>
        <w:jc w:val="both"/>
      </w:pPr>
    </w:p>
    <w:p w14:paraId="47F965DD" w14:textId="52404413" w:rsidR="00654EA7" w:rsidRPr="002F0522" w:rsidRDefault="00904B42" w:rsidP="00654EA7">
      <w:pPr>
        <w:jc w:val="both"/>
      </w:pPr>
      <w:r w:rsidRPr="002F0522">
        <w:t>Staff, the Internal Revenue Service (IRS), and independent outside auditors look at a company's books and records, and the orders and rules of the jurisdictional regulatory authorities to determine if the books and records are maintained in the appropriate manner. The books are also reviewed to determine if they are in compliance with the regulatory guidelines in regard to normalization</w:t>
      </w:r>
      <w:r w:rsidR="00654EA7" w:rsidRPr="002F0522">
        <w:t>.</w:t>
      </w:r>
    </w:p>
    <w:p w14:paraId="45C5AFB8" w14:textId="77777777" w:rsidR="00654EA7" w:rsidRPr="002F0522" w:rsidRDefault="00654EA7" w:rsidP="00654EA7">
      <w:pPr>
        <w:jc w:val="both"/>
      </w:pPr>
    </w:p>
    <w:p w14:paraId="7483A66A" w14:textId="707437CC" w:rsidR="00AC084D" w:rsidRDefault="00904B42" w:rsidP="00654EA7">
      <w:pPr>
        <w:pStyle w:val="BodyText"/>
      </w:pPr>
      <w:r w:rsidRPr="002F0522">
        <w:t>Former IRC Section 46(f)(6)</w:t>
      </w:r>
      <w:r w:rsidRPr="002F0522">
        <w:rPr>
          <w:bCs/>
        </w:rPr>
        <w:t xml:space="preserve"> of the Code</w:t>
      </w:r>
      <w:r w:rsidRPr="002F0522">
        <w:rPr>
          <w:b/>
          <w:bCs/>
        </w:rPr>
        <w:t xml:space="preserve"> </w:t>
      </w:r>
      <w:r w:rsidRPr="002F0522">
        <w:t>indicated that the amortization of ITC should be determined by the period of time actually used in computing depreciation expense for ratemaking purposes and on the regulated books of the utility.</w:t>
      </w:r>
      <w:r w:rsidRPr="002F0522">
        <w:rPr>
          <w:vertAlign w:val="superscript"/>
        </w:rPr>
        <w:footnoteReference w:id="10"/>
      </w:r>
      <w:r w:rsidRPr="002F0522">
        <w:t xml:space="preserve"> While Section 46(f)(6) was repealed, under IRC Section 50(d)(2), the terms of former IRC Section 46(f)(6) remain applicable to public utility property for which a regulated utility previously claimed ITCs. </w:t>
      </w:r>
      <w:r>
        <w:t>Because</w:t>
      </w:r>
      <w:r w:rsidRPr="002F0522">
        <w:t xml:space="preserve"> staff is recommending changes to the Company’s remaining lives, it is also important to change the amortization of ITCs</w:t>
      </w:r>
      <w:r>
        <w:t xml:space="preserve"> and EDITs</w:t>
      </w:r>
      <w:r w:rsidRPr="002F0522">
        <w:t xml:space="preserve"> to avoid violation of the provisions of IRC Section 50(d)(2)</w:t>
      </w:r>
      <w:r>
        <w:t xml:space="preserve"> for ITCs</w:t>
      </w:r>
      <w:r w:rsidRPr="002F0522">
        <w:t xml:space="preserve">, and </w:t>
      </w:r>
      <w:r>
        <w:t>IRC Section 168(i)(9), former section 167(l), and section 13001(d) of the Tax Change and Jobs Act for EDITs, and their</w:t>
      </w:r>
      <w:r w:rsidRPr="002F0522">
        <w:t xml:space="preserve"> underlying Treasury Regulations. The consequence of an ITC</w:t>
      </w:r>
      <w:r>
        <w:t xml:space="preserve"> or EDIT </w:t>
      </w:r>
      <w:r w:rsidRPr="002F0522">
        <w:t>normalization violation is a repayment of unamortized ITC balances to the IRS</w:t>
      </w:r>
      <w:r>
        <w:t xml:space="preserve"> and inability to utilize accelerated depreciation</w:t>
      </w:r>
      <w:r w:rsidRPr="002F0522">
        <w:t>. Therefore, staff recommends th</w:t>
      </w:r>
      <w:r>
        <w:t xml:space="preserve">e current amortization of ITCs and any flow back of EDITs </w:t>
      </w:r>
      <w:r w:rsidRPr="002F0522">
        <w:t xml:space="preserve">be revised to match the actual recovery periods for the related property. The Company should file detailed calculations of the revised ITC amortization </w:t>
      </w:r>
      <w:r>
        <w:t xml:space="preserve">and flow back of EDITs </w:t>
      </w:r>
      <w:r w:rsidRPr="002F0522">
        <w:t xml:space="preserve">at the same time it files its earnings </w:t>
      </w:r>
      <w:r w:rsidRPr="002F0522">
        <w:lastRenderedPageBreak/>
        <w:t>surveillance report covering the period ended December 31, 202</w:t>
      </w:r>
      <w:r>
        <w:t>3</w:t>
      </w:r>
      <w:r w:rsidRPr="002F0522">
        <w:t>, as specified in Rule 25-</w:t>
      </w:r>
      <w:r w:rsidR="00D12C99">
        <w:t>6</w:t>
      </w:r>
      <w:r w:rsidRPr="002F0522">
        <w:t>.1352, F.A.C</w:t>
      </w:r>
      <w:r w:rsidR="00654EA7">
        <w:t>.</w:t>
      </w:r>
    </w:p>
    <w:p w14:paraId="799434E7" w14:textId="1F2AC8C4" w:rsidR="00AC084D" w:rsidRDefault="00AC084D">
      <w:pPr>
        <w:pStyle w:val="IssueHeading"/>
        <w:rPr>
          <w:vanish/>
          <w:specVanish/>
        </w:rPr>
      </w:pPr>
      <w:r w:rsidRPr="004C3641">
        <w:rPr>
          <w:b w:val="0"/>
          <w:i w:val="0"/>
        </w:rPr>
        <w:br w:type="page"/>
      </w:r>
      <w:r w:rsidRPr="004C3641">
        <w:lastRenderedPageBreak/>
        <w:t xml:space="preserve">Issue </w:t>
      </w:r>
      <w:fldSimple w:instr=" SEQ Issue \* MERGEFORMAT ">
        <w:r w:rsidR="00A04EEF">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A04EEF">
        <w:rPr>
          <w:noProof/>
        </w:rPr>
        <w:instrText>5</w:instrText>
      </w:r>
      <w:r>
        <w:fldChar w:fldCharType="end"/>
      </w:r>
      <w:r>
        <w:tab/>
        <w:instrText xml:space="preserve">(Stiller)" \l 1 </w:instrText>
      </w:r>
      <w:r>
        <w:fldChar w:fldCharType="end"/>
      </w:r>
      <w:r>
        <w:t> </w:t>
      </w:r>
    </w:p>
    <w:p w14:paraId="45BE809F" w14:textId="77777777" w:rsidR="00AC084D" w:rsidRDefault="00AC084D">
      <w:pPr>
        <w:pStyle w:val="BodyText"/>
      </w:pPr>
      <w:r>
        <w:t> Should this docket be closed?</w:t>
      </w:r>
    </w:p>
    <w:p w14:paraId="38593399" w14:textId="77777777" w:rsidR="00AC084D" w:rsidRPr="004C3641" w:rsidRDefault="00AC084D">
      <w:pPr>
        <w:pStyle w:val="IssueSubsectionHeading"/>
        <w:rPr>
          <w:vanish/>
          <w:specVanish/>
        </w:rPr>
      </w:pPr>
      <w:r w:rsidRPr="004C3641">
        <w:t>Recommendation: </w:t>
      </w:r>
    </w:p>
    <w:p w14:paraId="511D3445" w14:textId="77777777" w:rsidR="00AC084D" w:rsidRDefault="00AC084D">
      <w:pPr>
        <w:pStyle w:val="BodyText"/>
      </w:pPr>
      <w:r>
        <w:t> Yes. If no protest is filed by a person whose substantial interests are affected within 21 days of the issuance of the Order, this docket should be closed upon the issuance of a Consummating Order. (Stiller)</w:t>
      </w:r>
    </w:p>
    <w:p w14:paraId="686B240A" w14:textId="77777777" w:rsidR="00AC084D" w:rsidRPr="004C3641" w:rsidRDefault="00AC084D">
      <w:pPr>
        <w:pStyle w:val="IssueSubsectionHeading"/>
        <w:rPr>
          <w:vanish/>
          <w:specVanish/>
        </w:rPr>
      </w:pPr>
      <w:r w:rsidRPr="004C3641">
        <w:t>Staff Analysis: </w:t>
      </w:r>
    </w:p>
    <w:p w14:paraId="71527FD4" w14:textId="77777777" w:rsidR="00AC084D" w:rsidRDefault="00AC084D">
      <w:pPr>
        <w:pStyle w:val="BodyText"/>
      </w:pPr>
      <w:r>
        <w:t> If no protest is filed by a person whose substantial interests are affected within 21 days of the issuance of the Order, this docket should be closed upon the issuance of a Consummating Order.</w:t>
      </w:r>
    </w:p>
    <w:p w14:paraId="04FECCF3" w14:textId="1F9AFD2A" w:rsidR="00E06484" w:rsidRDefault="00E06484" w:rsidP="00E275D8">
      <w:pPr>
        <w:pStyle w:val="BodyText"/>
      </w:pPr>
    </w:p>
    <w:p w14:paraId="7365F02C" w14:textId="77777777" w:rsidR="00B95ABF" w:rsidRDefault="00B95ABF" w:rsidP="00E275D8">
      <w:pPr>
        <w:pStyle w:val="BodyText"/>
        <w:sectPr w:rsidR="00B95ABF"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17EF040F" w14:textId="5895769F" w:rsidR="00BD1C51" w:rsidRDefault="00B95ABF" w:rsidP="00E275D8">
      <w:pPr>
        <w:pStyle w:val="BodyText"/>
      </w:pPr>
      <w:r w:rsidRPr="00B95ABF">
        <w:rPr>
          <w:noProof/>
        </w:rPr>
        <w:lastRenderedPageBreak/>
        <w:drawing>
          <wp:inline distT="0" distB="0" distL="0" distR="0" wp14:anchorId="2AD7DEF1" wp14:editId="12C81125">
            <wp:extent cx="5943600" cy="755381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553818"/>
                    </a:xfrm>
                    <a:prstGeom prst="rect">
                      <a:avLst/>
                    </a:prstGeom>
                    <a:noFill/>
                    <a:ln>
                      <a:noFill/>
                    </a:ln>
                  </pic:spPr>
                </pic:pic>
              </a:graphicData>
            </a:graphic>
          </wp:inline>
        </w:drawing>
      </w:r>
    </w:p>
    <w:p w14:paraId="3D8148C1" w14:textId="77777777" w:rsidR="00B95ABF" w:rsidRDefault="00B95ABF" w:rsidP="00E275D8">
      <w:pPr>
        <w:pStyle w:val="BodyText"/>
        <w:sectPr w:rsidR="00B95ABF" w:rsidSect="0068481F">
          <w:headerReference w:type="default" r:id="rId15"/>
          <w:pgSz w:w="12240" w:h="15840" w:code="1"/>
          <w:pgMar w:top="1584" w:right="1440" w:bottom="1440" w:left="1440" w:header="720" w:footer="720" w:gutter="0"/>
          <w:cols w:space="720"/>
          <w:formProt w:val="0"/>
          <w:docGrid w:linePitch="360"/>
        </w:sectPr>
      </w:pPr>
    </w:p>
    <w:p w14:paraId="74A5F326" w14:textId="664E390F" w:rsidR="007B1BBE" w:rsidRDefault="007B1BBE" w:rsidP="00E275D8">
      <w:pPr>
        <w:pStyle w:val="BodyText"/>
      </w:pPr>
      <w:r w:rsidRPr="007B1BBE">
        <w:rPr>
          <w:noProof/>
        </w:rPr>
        <w:lastRenderedPageBreak/>
        <w:drawing>
          <wp:inline distT="0" distB="0" distL="0" distR="0" wp14:anchorId="6A312800" wp14:editId="1006B6E7">
            <wp:extent cx="5943600" cy="80470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8047096"/>
                    </a:xfrm>
                    <a:prstGeom prst="rect">
                      <a:avLst/>
                    </a:prstGeom>
                    <a:noFill/>
                    <a:ln>
                      <a:noFill/>
                    </a:ln>
                  </pic:spPr>
                </pic:pic>
              </a:graphicData>
            </a:graphic>
          </wp:inline>
        </w:drawing>
      </w:r>
    </w:p>
    <w:p w14:paraId="37022201" w14:textId="77777777" w:rsidR="007B1BBE" w:rsidRDefault="007B1BBE" w:rsidP="00E275D8">
      <w:pPr>
        <w:pStyle w:val="BodyText"/>
        <w:sectPr w:rsidR="007B1BBE" w:rsidSect="0068481F">
          <w:headerReference w:type="default" r:id="rId17"/>
          <w:pgSz w:w="12240" w:h="15840" w:code="1"/>
          <w:pgMar w:top="1584" w:right="1440" w:bottom="1440" w:left="1440" w:header="720" w:footer="720" w:gutter="0"/>
          <w:cols w:space="720"/>
          <w:formProt w:val="0"/>
          <w:docGrid w:linePitch="360"/>
        </w:sectPr>
      </w:pPr>
    </w:p>
    <w:p w14:paraId="7D019F0A" w14:textId="64B4FFEC" w:rsidR="00B95ABF" w:rsidRDefault="00B95ABF" w:rsidP="00E275D8">
      <w:pPr>
        <w:pStyle w:val="BodyText"/>
      </w:pPr>
      <w:r w:rsidRPr="00B95ABF">
        <w:rPr>
          <w:noProof/>
        </w:rPr>
        <w:lastRenderedPageBreak/>
        <w:drawing>
          <wp:inline distT="0" distB="0" distL="0" distR="0" wp14:anchorId="0EA69B05" wp14:editId="54346DC4">
            <wp:extent cx="5943600" cy="71864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186498"/>
                    </a:xfrm>
                    <a:prstGeom prst="rect">
                      <a:avLst/>
                    </a:prstGeom>
                    <a:noFill/>
                    <a:ln>
                      <a:noFill/>
                    </a:ln>
                  </pic:spPr>
                </pic:pic>
              </a:graphicData>
            </a:graphic>
          </wp:inline>
        </w:drawing>
      </w:r>
    </w:p>
    <w:sectPr w:rsidR="00B95ABF"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05104" w14:textId="77777777" w:rsidR="007675D6" w:rsidRDefault="007675D6">
      <w:r>
        <w:separator/>
      </w:r>
    </w:p>
  </w:endnote>
  <w:endnote w:type="continuationSeparator" w:id="0">
    <w:p w14:paraId="78D61D11" w14:textId="77777777" w:rsidR="007675D6" w:rsidRDefault="0076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D4C1E" w14:textId="40ACE434" w:rsidR="007675D6" w:rsidRDefault="007675D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37B5A">
      <w:rPr>
        <w:rStyle w:val="PageNumber"/>
        <w:noProof/>
      </w:rPr>
      <w:t>20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AB6B" w14:textId="77777777" w:rsidR="007675D6" w:rsidRDefault="00767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78F4D" w14:textId="77777777" w:rsidR="007675D6" w:rsidRDefault="007675D6">
      <w:r>
        <w:separator/>
      </w:r>
    </w:p>
  </w:footnote>
  <w:footnote w:type="continuationSeparator" w:id="0">
    <w:p w14:paraId="5049CD57" w14:textId="77777777" w:rsidR="007675D6" w:rsidRDefault="007675D6">
      <w:r>
        <w:continuationSeparator/>
      </w:r>
    </w:p>
  </w:footnote>
  <w:footnote w:id="1">
    <w:p w14:paraId="74D4ECBA" w14:textId="6F6F475C" w:rsidR="007675D6" w:rsidRDefault="007675D6" w:rsidP="00AC084D">
      <w:pPr>
        <w:pStyle w:val="FootnoteText"/>
      </w:pPr>
      <w:r w:rsidRPr="00D12C99">
        <w:rPr>
          <w:rStyle w:val="FootnoteReference"/>
        </w:rPr>
        <w:footnoteRef/>
      </w:r>
      <w:r w:rsidRPr="00D12C99">
        <w:t xml:space="preserve"> FPUC’s Annual Report of Major Electric Utilities, FERC Form No. 1, at December 31, 2022, filed with the Florida Public Service Commission on April 28, 2023.</w:t>
      </w:r>
    </w:p>
  </w:footnote>
  <w:footnote w:id="2">
    <w:p w14:paraId="278A9C99" w14:textId="47B1BEC0" w:rsidR="007675D6" w:rsidRDefault="007675D6" w:rsidP="00AC084D">
      <w:pPr>
        <w:pStyle w:val="FootnoteText"/>
      </w:pPr>
      <w:r w:rsidRPr="00617E21">
        <w:rPr>
          <w:rStyle w:val="FootnoteReference"/>
        </w:rPr>
        <w:footnoteRef/>
      </w:r>
      <w:r w:rsidRPr="00617E21">
        <w:t xml:space="preserve"> Order No. PSC-2020-0347-AS-EI, issued October 8, 2020, in Docket No</w:t>
      </w:r>
      <w:r>
        <w:t>s</w:t>
      </w:r>
      <w:r w:rsidRPr="00617E21">
        <w:t xml:space="preserve">. </w:t>
      </w:r>
      <w:r>
        <w:t xml:space="preserve">20190155-EI, </w:t>
      </w:r>
      <w:r>
        <w:rPr>
          <w:i/>
        </w:rPr>
        <w:t xml:space="preserve">In re: Petition for establishment of regulatory assets for expenses not recovered during restoration for Hurricane Michael, by Florida Public Utilities </w:t>
      </w:r>
      <w:r w:rsidRPr="00FE38AB">
        <w:t>Company</w:t>
      </w:r>
      <w:r>
        <w:t xml:space="preserve">; 20190156-EI, </w:t>
      </w:r>
      <w:r>
        <w:rPr>
          <w:i/>
        </w:rPr>
        <w:t xml:space="preserve">In re: Petition for a limited proceeding to recover incremental storm restoration costs, capital costs, revenue reduction for permanently lost customers, and regulatory assets related to Hurricane Michael, by Florida Public Utilities </w:t>
      </w:r>
      <w:r w:rsidRPr="00FE38AB">
        <w:t>Company</w:t>
      </w:r>
      <w:r>
        <w:t xml:space="preserve">; and </w:t>
      </w:r>
      <w:r w:rsidRPr="00FE38AB">
        <w:t>20190174</w:t>
      </w:r>
      <w:r w:rsidRPr="00617E21">
        <w:t xml:space="preserve">-EI, </w:t>
      </w:r>
      <w:r w:rsidRPr="00617E21">
        <w:rPr>
          <w:i/>
        </w:rPr>
        <w:t>In re: Petition for approval of 2019 Depreciation Study by Florida Public Utilities Company</w:t>
      </w:r>
      <w:r w:rsidRPr="00617E21">
        <w:t>.</w:t>
      </w:r>
    </w:p>
  </w:footnote>
  <w:footnote w:id="3">
    <w:p w14:paraId="5A303646" w14:textId="3C4B333C" w:rsidR="005361EB" w:rsidRDefault="005361EB" w:rsidP="005361EB">
      <w:pPr>
        <w:pStyle w:val="FootnoteText"/>
      </w:pPr>
      <w:r>
        <w:rPr>
          <w:rStyle w:val="FootnoteReference"/>
        </w:rPr>
        <w:footnoteRef/>
      </w:r>
      <w:r>
        <w:t xml:space="preserve"> Order Nos. PSC-2021-0446-S-EI, issued December 2, 2021, and PSC-2021-0446A-S-EI, issued December 9, 2021, in Docket No. 20210015-EI, </w:t>
      </w:r>
      <w:r>
        <w:rPr>
          <w:i/>
        </w:rPr>
        <w:t xml:space="preserve">In re: Petition for rate increase by Florida Power &amp; Light; </w:t>
      </w:r>
      <w:r>
        <w:t xml:space="preserve">Order No. PSC-2021-0202A-AS-EI, issued June 28, 2021, in Docket No. 20210016-EI, </w:t>
      </w:r>
      <w:r>
        <w:rPr>
          <w:i/>
        </w:rPr>
        <w:t xml:space="preserve">In re: Petition for limited proceeding to approve 2021 settlement agreement, including general base rate increases, by Duke Energy Florida, LLC.; </w:t>
      </w:r>
      <w:r w:rsidRPr="0043353D">
        <w:t>Order No. PSC-2021-0423-S-EI, in Docket N</w:t>
      </w:r>
      <w:r>
        <w:t xml:space="preserve">o. 20210034-EI, issued November 10, 2021, </w:t>
      </w:r>
      <w:r>
        <w:rPr>
          <w:i/>
        </w:rPr>
        <w:t>In re: Petition for rate increase by Tampa Electric Company.</w:t>
      </w:r>
      <w:r>
        <w:t xml:space="preserve"> </w:t>
      </w:r>
    </w:p>
  </w:footnote>
  <w:footnote w:id="4">
    <w:p w14:paraId="5D17C46F" w14:textId="0D8B37C7" w:rsidR="00FB324A" w:rsidRDefault="00FB324A">
      <w:pPr>
        <w:pStyle w:val="FootnoteText"/>
      </w:pPr>
      <w:r>
        <w:rPr>
          <w:rStyle w:val="FootnoteReference"/>
        </w:rPr>
        <w:footnoteRef/>
      </w:r>
      <w:r>
        <w:t xml:space="preserve"> Order No</w:t>
      </w:r>
      <w:r w:rsidR="002E7F46">
        <w:t>s</w:t>
      </w:r>
      <w:r>
        <w:t>. PSC-20</w:t>
      </w:r>
      <w:r w:rsidR="002E7F46">
        <w:t>21</w:t>
      </w:r>
      <w:r>
        <w:t>-0</w:t>
      </w:r>
      <w:r w:rsidR="002E7F46">
        <w:t>446</w:t>
      </w:r>
      <w:r>
        <w:t>-</w:t>
      </w:r>
      <w:r w:rsidR="002E7F46">
        <w:t>S</w:t>
      </w:r>
      <w:r>
        <w:t>-</w:t>
      </w:r>
      <w:r w:rsidR="002E7F46">
        <w:t>EI</w:t>
      </w:r>
      <w:r>
        <w:t xml:space="preserve">, issued </w:t>
      </w:r>
      <w:r w:rsidR="002E7F46">
        <w:t xml:space="preserve">December </w:t>
      </w:r>
      <w:r>
        <w:t>2, 20</w:t>
      </w:r>
      <w:r w:rsidR="002E7F46">
        <w:t>2</w:t>
      </w:r>
      <w:r>
        <w:t xml:space="preserve">1, </w:t>
      </w:r>
      <w:r w:rsidR="002E7F46">
        <w:t xml:space="preserve">and PSC-2021-0446A-S-EI, issued December 9, 2021, in Docket No. 20210015-EI, </w:t>
      </w:r>
      <w:r w:rsidR="00F622AA">
        <w:rPr>
          <w:i/>
        </w:rPr>
        <w:t xml:space="preserve">In re: </w:t>
      </w:r>
      <w:r w:rsidR="009B3B9D">
        <w:rPr>
          <w:i/>
        </w:rPr>
        <w:t xml:space="preserve">Petition for rate increase by Florida Power &amp; Light; </w:t>
      </w:r>
      <w:r w:rsidR="0043353D">
        <w:t xml:space="preserve">Order No. </w:t>
      </w:r>
      <w:r w:rsidR="002E7F46">
        <w:t>PSC-</w:t>
      </w:r>
      <w:r w:rsidR="00F622AA">
        <w:t xml:space="preserve">2021-0202A-AS-EI, issued June 28, 2021, in Docket No. </w:t>
      </w:r>
      <w:r w:rsidR="0043353D">
        <w:t xml:space="preserve">20210016-EI, </w:t>
      </w:r>
      <w:r w:rsidR="0043353D">
        <w:rPr>
          <w:i/>
        </w:rPr>
        <w:t xml:space="preserve">In re: </w:t>
      </w:r>
      <w:r w:rsidR="009B3B9D">
        <w:rPr>
          <w:i/>
        </w:rPr>
        <w:t xml:space="preserve">Petition for limited proceeding to approve 2021 settlement agreement, including general base rate increases, by Duke Energy Florida, LLC.; </w:t>
      </w:r>
      <w:r w:rsidR="0043353D" w:rsidRPr="0043353D">
        <w:t>Order No. PSC-2021-0423-S-EI, in Docket N</w:t>
      </w:r>
      <w:r w:rsidR="0043353D">
        <w:t>o. 2021</w:t>
      </w:r>
      <w:r w:rsidR="009B3B9D">
        <w:t>00</w:t>
      </w:r>
      <w:r w:rsidR="0043353D">
        <w:t>3</w:t>
      </w:r>
      <w:r w:rsidR="009B3B9D">
        <w:t>4-</w:t>
      </w:r>
      <w:r w:rsidR="0043353D">
        <w:t>EI, issued November 10, 2021</w:t>
      </w:r>
      <w:r w:rsidR="009B3B9D">
        <w:t xml:space="preserve">, </w:t>
      </w:r>
      <w:r w:rsidR="009B3B9D">
        <w:rPr>
          <w:i/>
        </w:rPr>
        <w:t>In re: Petition for rate increase by Tampa Electric Company</w:t>
      </w:r>
      <w:r w:rsidR="005361EB">
        <w:t>,</w:t>
      </w:r>
      <w:r w:rsidR="005361EB">
        <w:rPr>
          <w:i/>
        </w:rPr>
        <w:t xml:space="preserve"> </w:t>
      </w:r>
      <w:r w:rsidR="005361EB" w:rsidRPr="00617E21">
        <w:t>Order No. PSC-2020-0</w:t>
      </w:r>
      <w:r w:rsidR="005361EB">
        <w:t>210</w:t>
      </w:r>
      <w:r w:rsidR="005361EB" w:rsidRPr="00617E21">
        <w:t>-</w:t>
      </w:r>
      <w:r w:rsidR="005361EB">
        <w:t>PA</w:t>
      </w:r>
      <w:r w:rsidR="005361EB" w:rsidRPr="00617E21">
        <w:t xml:space="preserve">A-EI, issued </w:t>
      </w:r>
      <w:r w:rsidR="005361EB">
        <w:t>June 25</w:t>
      </w:r>
      <w:r w:rsidR="005361EB" w:rsidRPr="00617E21">
        <w:t xml:space="preserve">, 2020, in Docket No. </w:t>
      </w:r>
      <w:r w:rsidR="005361EB">
        <w:t xml:space="preserve">20200059-EI, </w:t>
      </w:r>
      <w:r w:rsidR="005361EB">
        <w:rPr>
          <w:i/>
        </w:rPr>
        <w:t>In re: Petition for approval of amortization rate for customer account management system, by Gulf Power Company</w:t>
      </w:r>
      <w:r w:rsidR="009B3B9D">
        <w:rPr>
          <w:i/>
        </w:rPr>
        <w:t>.</w:t>
      </w:r>
      <w:r w:rsidR="0043353D">
        <w:t xml:space="preserve"> </w:t>
      </w:r>
    </w:p>
  </w:footnote>
  <w:footnote w:id="5">
    <w:p w14:paraId="01577C70" w14:textId="77777777" w:rsidR="007675D6" w:rsidRDefault="007675D6" w:rsidP="00B54C90">
      <w:pPr>
        <w:pStyle w:val="FootnoteText"/>
      </w:pPr>
      <w:r w:rsidRPr="00100DF4">
        <w:rPr>
          <w:rStyle w:val="FootnoteReference"/>
        </w:rPr>
        <w:footnoteRef/>
      </w:r>
      <w:r>
        <w:t xml:space="preserve"> DN 05880</w:t>
      </w:r>
      <w:r w:rsidRPr="00100DF4">
        <w:t>-2023</w:t>
      </w:r>
      <w:r>
        <w:t xml:space="preserve"> </w:t>
      </w:r>
    </w:p>
  </w:footnote>
  <w:footnote w:id="6">
    <w:p w14:paraId="62F20D3A" w14:textId="77777777" w:rsidR="00904B42" w:rsidRDefault="00904B42" w:rsidP="00904B42">
      <w:pPr>
        <w:pStyle w:val="FootnoteText"/>
      </w:pPr>
      <w:r>
        <w:rPr>
          <w:rStyle w:val="FootnoteReference"/>
        </w:rPr>
        <w:footnoteRef/>
      </w:r>
      <w:r>
        <w:t xml:space="preserve"> Treas. Reg. §1.168; Treas. Reg. §1.167; Treas. Reg. §1.46.</w:t>
      </w:r>
    </w:p>
  </w:footnote>
  <w:footnote w:id="7">
    <w:p w14:paraId="7AF25657" w14:textId="77777777" w:rsidR="00904B42" w:rsidRDefault="00904B42" w:rsidP="00904B42">
      <w:pPr>
        <w:pStyle w:val="FootnoteText"/>
      </w:pPr>
      <w:r>
        <w:rPr>
          <w:rStyle w:val="FootnoteReference"/>
        </w:rPr>
        <w:footnoteRef/>
      </w:r>
      <w:r>
        <w:t xml:space="preserve"> 26 US Code §§168(f)(2) and (i)(9).</w:t>
      </w:r>
    </w:p>
  </w:footnote>
  <w:footnote w:id="8">
    <w:p w14:paraId="3DE73381" w14:textId="77777777" w:rsidR="00904B42" w:rsidRDefault="00904B42" w:rsidP="00904B42">
      <w:pPr>
        <w:pStyle w:val="FootnoteText"/>
      </w:pPr>
      <w:r w:rsidRPr="00B4658D">
        <w:rPr>
          <w:rStyle w:val="FootnoteReference"/>
        </w:rPr>
        <w:footnoteRef/>
      </w:r>
      <w:r w:rsidRPr="00B4658D">
        <w:t xml:space="preserve"> Under IRC Section 50(d)(2), the terms of former 26 US Codes §167(l) and §46(f), which were repealed by the Revenue Reconciliation Act of 1990 (Pub. L. No. 101-508, §11812(a)(1-2)(1990)), remain applicable to public utility property for which a regulated utility previously claimed ITCs, which is the case here. (I.R.S. Priv. Ltr. Rul. 200933023, 1n.1 (May 7, 2009)).</w:t>
      </w:r>
    </w:p>
  </w:footnote>
  <w:footnote w:id="9">
    <w:p w14:paraId="14740766" w14:textId="77777777" w:rsidR="007675D6" w:rsidRDefault="007675D6" w:rsidP="00654EA7">
      <w:pPr>
        <w:pStyle w:val="FootnoteText"/>
      </w:pPr>
      <w:r>
        <w:rPr>
          <w:rStyle w:val="FootnoteReference"/>
        </w:rPr>
        <w:footnoteRef/>
      </w:r>
      <w:r>
        <w:t xml:space="preserve"> Tax Reform Act of 1986, Pub. L. No. 99-514 (100 Stat. 2085, 2146)(1986).</w:t>
      </w:r>
    </w:p>
  </w:footnote>
  <w:footnote w:id="10">
    <w:p w14:paraId="43AD6F63" w14:textId="77777777" w:rsidR="00904B42" w:rsidRDefault="00904B42" w:rsidP="00904B42">
      <w:pPr>
        <w:pStyle w:val="FootnoteText"/>
      </w:pPr>
      <w:r>
        <w:rPr>
          <w:rStyle w:val="FootnoteReference"/>
        </w:rPr>
        <w:footnoteRef/>
      </w:r>
      <w:r>
        <w:t xml:space="preserve"> Former 26 USC §46(f)(6) (establishing proper determination of ratable portion).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CECE6" w14:textId="77777777" w:rsidR="007675D6" w:rsidRDefault="007675D6"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20230079-EI</w:t>
    </w:r>
    <w:bookmarkEnd w:id="15"/>
  </w:p>
  <w:p w14:paraId="3EC8D8CB" w14:textId="19C93CA0" w:rsidR="007675D6" w:rsidRDefault="007675D6">
    <w:pPr>
      <w:pStyle w:val="Header"/>
    </w:pPr>
    <w:r>
      <w:t xml:space="preserve">Date: </w:t>
    </w:r>
    <w:fldSimple w:instr=" REF FilingDate ">
      <w:r w:rsidRPr="001345B7">
        <w:t>November 21,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8884" w14:textId="2346D90D" w:rsidR="007675D6" w:rsidRDefault="007675D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20230079-EI</w:t>
    </w:r>
    <w:r>
      <w:fldChar w:fldCharType="end"/>
    </w:r>
    <w:r>
      <w:tab/>
      <w:t xml:space="preserve">Issue </w:t>
    </w:r>
    <w:fldSimple w:instr=" Seq Issue \c \* Arabic ">
      <w:r w:rsidR="00737B5A">
        <w:rPr>
          <w:noProof/>
        </w:rPr>
        <w:t>5</w:t>
      </w:r>
    </w:fldSimple>
  </w:p>
  <w:p w14:paraId="587FE4C7" w14:textId="41CBC840" w:rsidR="007675D6" w:rsidRDefault="007675D6">
    <w:pPr>
      <w:pStyle w:val="Header"/>
    </w:pPr>
    <w:r>
      <w:t xml:space="preserve">Date: </w:t>
    </w:r>
    <w:fldSimple w:instr=" REF FilingDate ">
      <w:r w:rsidRPr="001345B7">
        <w:t>November 21,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BD1BC" w14:textId="77777777" w:rsidR="007675D6" w:rsidRDefault="007675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C996" w14:textId="5588665D" w:rsidR="00B95ABF" w:rsidRDefault="00B95A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20230079-EI</w:t>
    </w:r>
    <w:r>
      <w:fldChar w:fldCharType="end"/>
    </w:r>
    <w:r>
      <w:tab/>
      <w:t>Attachment A</w:t>
    </w:r>
  </w:p>
  <w:p w14:paraId="2A3F3D4F" w14:textId="77777777" w:rsidR="00B95ABF" w:rsidRDefault="00B95ABF">
    <w:pPr>
      <w:pStyle w:val="Header"/>
    </w:pPr>
    <w:r>
      <w:t xml:space="preserve">Date: </w:t>
    </w:r>
    <w:fldSimple w:instr=" REF FilingDate ">
      <w:r w:rsidRPr="001345B7">
        <w:t>November 21, 2023</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1F6C9" w14:textId="4BA58D74" w:rsidR="00B95ABF" w:rsidRDefault="00B95A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20230079-EI</w:t>
    </w:r>
    <w:r>
      <w:fldChar w:fldCharType="end"/>
    </w:r>
    <w:r>
      <w:tab/>
      <w:t>Attachment B</w:t>
    </w:r>
  </w:p>
  <w:p w14:paraId="03355045" w14:textId="77777777" w:rsidR="00B95ABF" w:rsidRDefault="00B95ABF">
    <w:pPr>
      <w:pStyle w:val="Header"/>
    </w:pPr>
    <w:r>
      <w:t xml:space="preserve">Date: </w:t>
    </w:r>
    <w:fldSimple w:instr=" REF FilingDate ">
      <w:r w:rsidRPr="001345B7">
        <w:t>November 21, 2023</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5FA6" w14:textId="77777777" w:rsidR="00B95ABF" w:rsidRDefault="00B95AB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20230079-EI</w:t>
    </w:r>
    <w:r>
      <w:fldChar w:fldCharType="end"/>
    </w:r>
    <w:r>
      <w:tab/>
      <w:t>Attachment C</w:t>
    </w:r>
  </w:p>
  <w:p w14:paraId="40E64B28" w14:textId="77777777" w:rsidR="00B95ABF" w:rsidRDefault="00B95ABF">
    <w:pPr>
      <w:pStyle w:val="Header"/>
    </w:pPr>
    <w:r>
      <w:t xml:space="preserve">Date: </w:t>
    </w:r>
    <w:fldSimple w:instr=" REF FilingDate ">
      <w:r w:rsidRPr="001345B7">
        <w:t>November 21, 2023</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017B6"/>
    <w:rsid w:val="0000343B"/>
    <w:rsid w:val="000043D5"/>
    <w:rsid w:val="00004434"/>
    <w:rsid w:val="00005273"/>
    <w:rsid w:val="00006170"/>
    <w:rsid w:val="00010E37"/>
    <w:rsid w:val="000172DA"/>
    <w:rsid w:val="00022337"/>
    <w:rsid w:val="00023A0E"/>
    <w:rsid w:val="000247C5"/>
    <w:rsid w:val="000277C2"/>
    <w:rsid w:val="00035481"/>
    <w:rsid w:val="00035B48"/>
    <w:rsid w:val="00036CE2"/>
    <w:rsid w:val="000378F0"/>
    <w:rsid w:val="000437FE"/>
    <w:rsid w:val="000513BE"/>
    <w:rsid w:val="00051573"/>
    <w:rsid w:val="000530F7"/>
    <w:rsid w:val="0005451B"/>
    <w:rsid w:val="00056D80"/>
    <w:rsid w:val="00065A06"/>
    <w:rsid w:val="000666F3"/>
    <w:rsid w:val="00070DCB"/>
    <w:rsid w:val="00072CCA"/>
    <w:rsid w:val="00073120"/>
    <w:rsid w:val="000764D0"/>
    <w:rsid w:val="000828D3"/>
    <w:rsid w:val="000A085A"/>
    <w:rsid w:val="000A189E"/>
    <w:rsid w:val="000A2B57"/>
    <w:rsid w:val="000A418B"/>
    <w:rsid w:val="000A64AF"/>
    <w:rsid w:val="000B0ACE"/>
    <w:rsid w:val="000B5098"/>
    <w:rsid w:val="000B71AF"/>
    <w:rsid w:val="000C4431"/>
    <w:rsid w:val="000C6607"/>
    <w:rsid w:val="000D1C06"/>
    <w:rsid w:val="000D2A35"/>
    <w:rsid w:val="000D3043"/>
    <w:rsid w:val="000D4319"/>
    <w:rsid w:val="000E24FA"/>
    <w:rsid w:val="000E338A"/>
    <w:rsid w:val="000E4392"/>
    <w:rsid w:val="000F0F0B"/>
    <w:rsid w:val="000F374A"/>
    <w:rsid w:val="000F439D"/>
    <w:rsid w:val="000F4DAF"/>
    <w:rsid w:val="000F7072"/>
    <w:rsid w:val="00100195"/>
    <w:rsid w:val="00100DF4"/>
    <w:rsid w:val="00104E86"/>
    <w:rsid w:val="00105BA1"/>
    <w:rsid w:val="001076AF"/>
    <w:rsid w:val="001109F6"/>
    <w:rsid w:val="00110C8F"/>
    <w:rsid w:val="00116C6B"/>
    <w:rsid w:val="00117C8C"/>
    <w:rsid w:val="001239F0"/>
    <w:rsid w:val="00124C38"/>
    <w:rsid w:val="00124E2E"/>
    <w:rsid w:val="00125ED4"/>
    <w:rsid w:val="001303BF"/>
    <w:rsid w:val="001305E9"/>
    <w:rsid w:val="001307AF"/>
    <w:rsid w:val="0013347E"/>
    <w:rsid w:val="001345B7"/>
    <w:rsid w:val="00134F71"/>
    <w:rsid w:val="00135687"/>
    <w:rsid w:val="00136BD1"/>
    <w:rsid w:val="0013713F"/>
    <w:rsid w:val="00146B5D"/>
    <w:rsid w:val="00150ECE"/>
    <w:rsid w:val="0015506E"/>
    <w:rsid w:val="00163031"/>
    <w:rsid w:val="001654C4"/>
    <w:rsid w:val="00171A90"/>
    <w:rsid w:val="00180254"/>
    <w:rsid w:val="0018778C"/>
    <w:rsid w:val="00191E1F"/>
    <w:rsid w:val="00191EE8"/>
    <w:rsid w:val="00192943"/>
    <w:rsid w:val="00193BAF"/>
    <w:rsid w:val="00194791"/>
    <w:rsid w:val="0019616B"/>
    <w:rsid w:val="0019716F"/>
    <w:rsid w:val="001A7406"/>
    <w:rsid w:val="001A7AE4"/>
    <w:rsid w:val="001B1EDC"/>
    <w:rsid w:val="001B4053"/>
    <w:rsid w:val="001B4FEE"/>
    <w:rsid w:val="001B51C5"/>
    <w:rsid w:val="001B672A"/>
    <w:rsid w:val="001B6F3F"/>
    <w:rsid w:val="001C52B5"/>
    <w:rsid w:val="001C6FE1"/>
    <w:rsid w:val="001C729F"/>
    <w:rsid w:val="001D0D3E"/>
    <w:rsid w:val="001D2817"/>
    <w:rsid w:val="001D2899"/>
    <w:rsid w:val="001E14A3"/>
    <w:rsid w:val="001E32CA"/>
    <w:rsid w:val="001E7FF4"/>
    <w:rsid w:val="001F2245"/>
    <w:rsid w:val="001F2C63"/>
    <w:rsid w:val="001F45DA"/>
    <w:rsid w:val="001F48C7"/>
    <w:rsid w:val="001F6DA1"/>
    <w:rsid w:val="00200178"/>
    <w:rsid w:val="00204200"/>
    <w:rsid w:val="002044E6"/>
    <w:rsid w:val="00205C82"/>
    <w:rsid w:val="00205DC2"/>
    <w:rsid w:val="00212B17"/>
    <w:rsid w:val="002163B6"/>
    <w:rsid w:val="00217215"/>
    <w:rsid w:val="00220732"/>
    <w:rsid w:val="00220C89"/>
    <w:rsid w:val="0022121F"/>
    <w:rsid w:val="00221D32"/>
    <w:rsid w:val="00222AC1"/>
    <w:rsid w:val="00225C3F"/>
    <w:rsid w:val="0023360B"/>
    <w:rsid w:val="00234E17"/>
    <w:rsid w:val="00263D44"/>
    <w:rsid w:val="00265ECB"/>
    <w:rsid w:val="002702AD"/>
    <w:rsid w:val="0027284C"/>
    <w:rsid w:val="00273559"/>
    <w:rsid w:val="00281EB4"/>
    <w:rsid w:val="00292D82"/>
    <w:rsid w:val="00293EE7"/>
    <w:rsid w:val="002963CB"/>
    <w:rsid w:val="002A5DE0"/>
    <w:rsid w:val="002B2DAC"/>
    <w:rsid w:val="002B4A01"/>
    <w:rsid w:val="002C291B"/>
    <w:rsid w:val="002C746A"/>
    <w:rsid w:val="002C7E4E"/>
    <w:rsid w:val="002D226D"/>
    <w:rsid w:val="002D74E3"/>
    <w:rsid w:val="002E7F46"/>
    <w:rsid w:val="002F6030"/>
    <w:rsid w:val="003001AC"/>
    <w:rsid w:val="003037E1"/>
    <w:rsid w:val="00307E51"/>
    <w:rsid w:val="003103EC"/>
    <w:rsid w:val="00312132"/>
    <w:rsid w:val="003130BA"/>
    <w:rsid w:val="003144EF"/>
    <w:rsid w:val="0031480E"/>
    <w:rsid w:val="0031492B"/>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3556"/>
    <w:rsid w:val="00385B04"/>
    <w:rsid w:val="003864CF"/>
    <w:rsid w:val="003910B2"/>
    <w:rsid w:val="003914E3"/>
    <w:rsid w:val="003948AE"/>
    <w:rsid w:val="00396D34"/>
    <w:rsid w:val="003A08C0"/>
    <w:rsid w:val="003A0D6D"/>
    <w:rsid w:val="003A22A6"/>
    <w:rsid w:val="003A32EB"/>
    <w:rsid w:val="003A5494"/>
    <w:rsid w:val="003B2510"/>
    <w:rsid w:val="003B4355"/>
    <w:rsid w:val="003C2CC4"/>
    <w:rsid w:val="003C3710"/>
    <w:rsid w:val="003C42A3"/>
    <w:rsid w:val="003C48F7"/>
    <w:rsid w:val="003C4C1B"/>
    <w:rsid w:val="003E0463"/>
    <w:rsid w:val="003E0EFC"/>
    <w:rsid w:val="003E4A2B"/>
    <w:rsid w:val="003E6FE9"/>
    <w:rsid w:val="003E76C2"/>
    <w:rsid w:val="003E7AAC"/>
    <w:rsid w:val="003F1367"/>
    <w:rsid w:val="003F1679"/>
    <w:rsid w:val="003F21EB"/>
    <w:rsid w:val="003F4A35"/>
    <w:rsid w:val="003F5F03"/>
    <w:rsid w:val="003F7FDD"/>
    <w:rsid w:val="00401B10"/>
    <w:rsid w:val="00402101"/>
    <w:rsid w:val="00402481"/>
    <w:rsid w:val="004042B4"/>
    <w:rsid w:val="00407055"/>
    <w:rsid w:val="00410DC4"/>
    <w:rsid w:val="00412DAE"/>
    <w:rsid w:val="0041302D"/>
    <w:rsid w:val="00423346"/>
    <w:rsid w:val="004242E6"/>
    <w:rsid w:val="00427B35"/>
    <w:rsid w:val="00431598"/>
    <w:rsid w:val="004319AD"/>
    <w:rsid w:val="0043353D"/>
    <w:rsid w:val="004426B8"/>
    <w:rsid w:val="004429C7"/>
    <w:rsid w:val="00443DC9"/>
    <w:rsid w:val="00444432"/>
    <w:rsid w:val="00447D5C"/>
    <w:rsid w:val="00450202"/>
    <w:rsid w:val="004502B2"/>
    <w:rsid w:val="0045328A"/>
    <w:rsid w:val="0045473A"/>
    <w:rsid w:val="00455499"/>
    <w:rsid w:val="0046082B"/>
    <w:rsid w:val="004649A7"/>
    <w:rsid w:val="00471860"/>
    <w:rsid w:val="00477026"/>
    <w:rsid w:val="00477730"/>
    <w:rsid w:val="00487ED9"/>
    <w:rsid w:val="004905FA"/>
    <w:rsid w:val="004A1F72"/>
    <w:rsid w:val="004A7156"/>
    <w:rsid w:val="004A744D"/>
    <w:rsid w:val="004B60BD"/>
    <w:rsid w:val="004C3150"/>
    <w:rsid w:val="004C3641"/>
    <w:rsid w:val="004C3873"/>
    <w:rsid w:val="004C4390"/>
    <w:rsid w:val="004C4AF7"/>
    <w:rsid w:val="004C7264"/>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26114"/>
    <w:rsid w:val="00532DFB"/>
    <w:rsid w:val="00535E8C"/>
    <w:rsid w:val="005361EB"/>
    <w:rsid w:val="00543CB3"/>
    <w:rsid w:val="005442E4"/>
    <w:rsid w:val="005469D3"/>
    <w:rsid w:val="00547652"/>
    <w:rsid w:val="0055529B"/>
    <w:rsid w:val="00560FF0"/>
    <w:rsid w:val="005614BD"/>
    <w:rsid w:val="0057154F"/>
    <w:rsid w:val="00580F69"/>
    <w:rsid w:val="00581CA3"/>
    <w:rsid w:val="00585031"/>
    <w:rsid w:val="00586E8B"/>
    <w:rsid w:val="0058752B"/>
    <w:rsid w:val="00587A44"/>
    <w:rsid w:val="00591245"/>
    <w:rsid w:val="00597730"/>
    <w:rsid w:val="005977EC"/>
    <w:rsid w:val="00597DE7"/>
    <w:rsid w:val="005A4AA2"/>
    <w:rsid w:val="005B34B6"/>
    <w:rsid w:val="005B5365"/>
    <w:rsid w:val="005B606A"/>
    <w:rsid w:val="005B6C8F"/>
    <w:rsid w:val="005B6EC3"/>
    <w:rsid w:val="005C17D7"/>
    <w:rsid w:val="005C33CE"/>
    <w:rsid w:val="005D0F74"/>
    <w:rsid w:val="005D2E7D"/>
    <w:rsid w:val="005D4A8F"/>
    <w:rsid w:val="005D561B"/>
    <w:rsid w:val="005D578F"/>
    <w:rsid w:val="005D5ECF"/>
    <w:rsid w:val="005E0C4E"/>
    <w:rsid w:val="005F468D"/>
    <w:rsid w:val="005F69A3"/>
    <w:rsid w:val="00604CC7"/>
    <w:rsid w:val="006122F7"/>
    <w:rsid w:val="00613441"/>
    <w:rsid w:val="00615423"/>
    <w:rsid w:val="006165B2"/>
    <w:rsid w:val="00617276"/>
    <w:rsid w:val="00617E21"/>
    <w:rsid w:val="0062527B"/>
    <w:rsid w:val="00625D97"/>
    <w:rsid w:val="00625F1C"/>
    <w:rsid w:val="006263C1"/>
    <w:rsid w:val="0062658E"/>
    <w:rsid w:val="006279E1"/>
    <w:rsid w:val="00630CEB"/>
    <w:rsid w:val="00632264"/>
    <w:rsid w:val="006355F2"/>
    <w:rsid w:val="00636F1B"/>
    <w:rsid w:val="006470BC"/>
    <w:rsid w:val="00654EA7"/>
    <w:rsid w:val="006554D3"/>
    <w:rsid w:val="006603F4"/>
    <w:rsid w:val="00661708"/>
    <w:rsid w:val="00666522"/>
    <w:rsid w:val="00667036"/>
    <w:rsid w:val="00667B89"/>
    <w:rsid w:val="0067012C"/>
    <w:rsid w:val="00673BDB"/>
    <w:rsid w:val="00674341"/>
    <w:rsid w:val="006771B8"/>
    <w:rsid w:val="00680BDD"/>
    <w:rsid w:val="00682631"/>
    <w:rsid w:val="00683A89"/>
    <w:rsid w:val="006843B6"/>
    <w:rsid w:val="0068481F"/>
    <w:rsid w:val="00693EA1"/>
    <w:rsid w:val="0069636F"/>
    <w:rsid w:val="00696F5D"/>
    <w:rsid w:val="00697249"/>
    <w:rsid w:val="006A06F3"/>
    <w:rsid w:val="006A1A67"/>
    <w:rsid w:val="006A44FA"/>
    <w:rsid w:val="006A64C6"/>
    <w:rsid w:val="006A7927"/>
    <w:rsid w:val="006B09C4"/>
    <w:rsid w:val="006B0BD4"/>
    <w:rsid w:val="006B0C60"/>
    <w:rsid w:val="006B3947"/>
    <w:rsid w:val="006B4293"/>
    <w:rsid w:val="006B624F"/>
    <w:rsid w:val="006C009E"/>
    <w:rsid w:val="006C0C95"/>
    <w:rsid w:val="006C31E3"/>
    <w:rsid w:val="006D18D3"/>
    <w:rsid w:val="006D1EE9"/>
    <w:rsid w:val="006D3BD1"/>
    <w:rsid w:val="006D40CD"/>
    <w:rsid w:val="006D682C"/>
    <w:rsid w:val="006E010E"/>
    <w:rsid w:val="006E036A"/>
    <w:rsid w:val="006E08CB"/>
    <w:rsid w:val="006E48B0"/>
    <w:rsid w:val="006E598D"/>
    <w:rsid w:val="006F4BF0"/>
    <w:rsid w:val="00703C7E"/>
    <w:rsid w:val="0070437D"/>
    <w:rsid w:val="00704CF1"/>
    <w:rsid w:val="00705B04"/>
    <w:rsid w:val="0071040E"/>
    <w:rsid w:val="00717EE9"/>
    <w:rsid w:val="00724992"/>
    <w:rsid w:val="00724F64"/>
    <w:rsid w:val="00727F90"/>
    <w:rsid w:val="00734820"/>
    <w:rsid w:val="007349DC"/>
    <w:rsid w:val="00737B5A"/>
    <w:rsid w:val="0074365E"/>
    <w:rsid w:val="00744B55"/>
    <w:rsid w:val="007515FD"/>
    <w:rsid w:val="00760D80"/>
    <w:rsid w:val="00760ECD"/>
    <w:rsid w:val="00761CB4"/>
    <w:rsid w:val="00767295"/>
    <w:rsid w:val="007675D6"/>
    <w:rsid w:val="00780C09"/>
    <w:rsid w:val="00780DDF"/>
    <w:rsid w:val="007834E9"/>
    <w:rsid w:val="0078546F"/>
    <w:rsid w:val="00787DBC"/>
    <w:rsid w:val="0079019A"/>
    <w:rsid w:val="00792935"/>
    <w:rsid w:val="007A04A1"/>
    <w:rsid w:val="007A1840"/>
    <w:rsid w:val="007B01CA"/>
    <w:rsid w:val="007B1BBE"/>
    <w:rsid w:val="007B2736"/>
    <w:rsid w:val="007B3B7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2833"/>
    <w:rsid w:val="00823663"/>
    <w:rsid w:val="00823664"/>
    <w:rsid w:val="008305B7"/>
    <w:rsid w:val="008309A4"/>
    <w:rsid w:val="008324CB"/>
    <w:rsid w:val="00832DDC"/>
    <w:rsid w:val="008426B0"/>
    <w:rsid w:val="008431BB"/>
    <w:rsid w:val="00845E34"/>
    <w:rsid w:val="008509F8"/>
    <w:rsid w:val="00850BAC"/>
    <w:rsid w:val="00854A3E"/>
    <w:rsid w:val="00855D08"/>
    <w:rsid w:val="008618A4"/>
    <w:rsid w:val="008717D9"/>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0A48"/>
    <w:rsid w:val="008C14FA"/>
    <w:rsid w:val="008C7B0B"/>
    <w:rsid w:val="008D34C7"/>
    <w:rsid w:val="008D4057"/>
    <w:rsid w:val="008E1F19"/>
    <w:rsid w:val="008F2262"/>
    <w:rsid w:val="008F4D2B"/>
    <w:rsid w:val="008F5B91"/>
    <w:rsid w:val="008F7736"/>
    <w:rsid w:val="0090019E"/>
    <w:rsid w:val="00900435"/>
    <w:rsid w:val="00901086"/>
    <w:rsid w:val="00901C8A"/>
    <w:rsid w:val="00902F66"/>
    <w:rsid w:val="00904B42"/>
    <w:rsid w:val="00904F3B"/>
    <w:rsid w:val="00905886"/>
    <w:rsid w:val="0090653E"/>
    <w:rsid w:val="009070D6"/>
    <w:rsid w:val="009076C6"/>
    <w:rsid w:val="0091019E"/>
    <w:rsid w:val="009106F1"/>
    <w:rsid w:val="00912404"/>
    <w:rsid w:val="009145D6"/>
    <w:rsid w:val="00915541"/>
    <w:rsid w:val="00915919"/>
    <w:rsid w:val="00920E64"/>
    <w:rsid w:val="00922002"/>
    <w:rsid w:val="009225CB"/>
    <w:rsid w:val="00923053"/>
    <w:rsid w:val="00923C58"/>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765EF"/>
    <w:rsid w:val="009863B0"/>
    <w:rsid w:val="00987DE1"/>
    <w:rsid w:val="00990571"/>
    <w:rsid w:val="00991905"/>
    <w:rsid w:val="009926B2"/>
    <w:rsid w:val="0099673A"/>
    <w:rsid w:val="009A0FD5"/>
    <w:rsid w:val="009A3291"/>
    <w:rsid w:val="009A3330"/>
    <w:rsid w:val="009A548F"/>
    <w:rsid w:val="009A7C96"/>
    <w:rsid w:val="009B3B9D"/>
    <w:rsid w:val="009B5965"/>
    <w:rsid w:val="009B61BF"/>
    <w:rsid w:val="009C0B95"/>
    <w:rsid w:val="009C3253"/>
    <w:rsid w:val="009C3DB9"/>
    <w:rsid w:val="009C5968"/>
    <w:rsid w:val="009D0436"/>
    <w:rsid w:val="009D46E5"/>
    <w:rsid w:val="009D568A"/>
    <w:rsid w:val="009F04EC"/>
    <w:rsid w:val="009F2A7C"/>
    <w:rsid w:val="009F3B36"/>
    <w:rsid w:val="00A019B9"/>
    <w:rsid w:val="00A03157"/>
    <w:rsid w:val="00A04EEF"/>
    <w:rsid w:val="00A11756"/>
    <w:rsid w:val="00A12497"/>
    <w:rsid w:val="00A12508"/>
    <w:rsid w:val="00A1282B"/>
    <w:rsid w:val="00A13A27"/>
    <w:rsid w:val="00A15B7C"/>
    <w:rsid w:val="00A17032"/>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3E2D"/>
    <w:rsid w:val="00A86ACA"/>
    <w:rsid w:val="00A90C9D"/>
    <w:rsid w:val="00A92439"/>
    <w:rsid w:val="00A92FB1"/>
    <w:rsid w:val="00A93C7A"/>
    <w:rsid w:val="00A95980"/>
    <w:rsid w:val="00A95A0C"/>
    <w:rsid w:val="00AA2765"/>
    <w:rsid w:val="00AA77B5"/>
    <w:rsid w:val="00AB6C5D"/>
    <w:rsid w:val="00AB7CDE"/>
    <w:rsid w:val="00AC084D"/>
    <w:rsid w:val="00AC2B25"/>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0B45"/>
    <w:rsid w:val="00B017B6"/>
    <w:rsid w:val="00B02EF0"/>
    <w:rsid w:val="00B03379"/>
    <w:rsid w:val="00B03FA5"/>
    <w:rsid w:val="00B04110"/>
    <w:rsid w:val="00B05B51"/>
    <w:rsid w:val="00B14E5A"/>
    <w:rsid w:val="00B15370"/>
    <w:rsid w:val="00B16DA4"/>
    <w:rsid w:val="00B172E6"/>
    <w:rsid w:val="00B177B0"/>
    <w:rsid w:val="00B17BEB"/>
    <w:rsid w:val="00B21A3C"/>
    <w:rsid w:val="00B223C0"/>
    <w:rsid w:val="00B234ED"/>
    <w:rsid w:val="00B249B2"/>
    <w:rsid w:val="00B25CA3"/>
    <w:rsid w:val="00B2765A"/>
    <w:rsid w:val="00B27CC3"/>
    <w:rsid w:val="00B3109A"/>
    <w:rsid w:val="00B32D37"/>
    <w:rsid w:val="00B41AA8"/>
    <w:rsid w:val="00B42B45"/>
    <w:rsid w:val="00B43A0B"/>
    <w:rsid w:val="00B516ED"/>
    <w:rsid w:val="00B52195"/>
    <w:rsid w:val="00B54C90"/>
    <w:rsid w:val="00B565DA"/>
    <w:rsid w:val="00B57A6A"/>
    <w:rsid w:val="00B62D0D"/>
    <w:rsid w:val="00B64384"/>
    <w:rsid w:val="00B760F1"/>
    <w:rsid w:val="00B7669E"/>
    <w:rsid w:val="00B76EBB"/>
    <w:rsid w:val="00B77DA1"/>
    <w:rsid w:val="00B818BE"/>
    <w:rsid w:val="00B822A0"/>
    <w:rsid w:val="00B8244F"/>
    <w:rsid w:val="00B82F85"/>
    <w:rsid w:val="00B858AE"/>
    <w:rsid w:val="00B85964"/>
    <w:rsid w:val="00B950A2"/>
    <w:rsid w:val="00B95ABF"/>
    <w:rsid w:val="00B96250"/>
    <w:rsid w:val="00BA0D55"/>
    <w:rsid w:val="00BA37B3"/>
    <w:rsid w:val="00BA4CC6"/>
    <w:rsid w:val="00BA7F46"/>
    <w:rsid w:val="00BB0F1D"/>
    <w:rsid w:val="00BB3493"/>
    <w:rsid w:val="00BB6E4C"/>
    <w:rsid w:val="00BB7468"/>
    <w:rsid w:val="00BC0514"/>
    <w:rsid w:val="00BC188A"/>
    <w:rsid w:val="00BC33DA"/>
    <w:rsid w:val="00BC402E"/>
    <w:rsid w:val="00BC6D6D"/>
    <w:rsid w:val="00BC70C6"/>
    <w:rsid w:val="00BD0F48"/>
    <w:rsid w:val="00BD14E5"/>
    <w:rsid w:val="00BD1C51"/>
    <w:rsid w:val="00BE0E50"/>
    <w:rsid w:val="00BE6DDB"/>
    <w:rsid w:val="00BF03E0"/>
    <w:rsid w:val="00BF5010"/>
    <w:rsid w:val="00C00CF6"/>
    <w:rsid w:val="00C0108B"/>
    <w:rsid w:val="00C03009"/>
    <w:rsid w:val="00C03D5F"/>
    <w:rsid w:val="00C042EE"/>
    <w:rsid w:val="00C0772D"/>
    <w:rsid w:val="00C13791"/>
    <w:rsid w:val="00C14236"/>
    <w:rsid w:val="00C14A5A"/>
    <w:rsid w:val="00C210BD"/>
    <w:rsid w:val="00C2575A"/>
    <w:rsid w:val="00C31BB3"/>
    <w:rsid w:val="00C36977"/>
    <w:rsid w:val="00C46628"/>
    <w:rsid w:val="00C467DA"/>
    <w:rsid w:val="00C477D9"/>
    <w:rsid w:val="00C50EF8"/>
    <w:rsid w:val="00C57869"/>
    <w:rsid w:val="00C60BA3"/>
    <w:rsid w:val="00C60FCA"/>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2B9D"/>
    <w:rsid w:val="00CB33E9"/>
    <w:rsid w:val="00CC10A9"/>
    <w:rsid w:val="00CD0655"/>
    <w:rsid w:val="00CD5523"/>
    <w:rsid w:val="00CE2BF8"/>
    <w:rsid w:val="00CE484E"/>
    <w:rsid w:val="00CE4D20"/>
    <w:rsid w:val="00CE656F"/>
    <w:rsid w:val="00CF0DA8"/>
    <w:rsid w:val="00CF1EEA"/>
    <w:rsid w:val="00CF2E25"/>
    <w:rsid w:val="00CF4453"/>
    <w:rsid w:val="00CF5589"/>
    <w:rsid w:val="00CF5D94"/>
    <w:rsid w:val="00CF7E0F"/>
    <w:rsid w:val="00D00893"/>
    <w:rsid w:val="00D02DF6"/>
    <w:rsid w:val="00D034D7"/>
    <w:rsid w:val="00D04BE4"/>
    <w:rsid w:val="00D06FC7"/>
    <w:rsid w:val="00D12565"/>
    <w:rsid w:val="00D12C99"/>
    <w:rsid w:val="00D140C1"/>
    <w:rsid w:val="00D14127"/>
    <w:rsid w:val="00D14403"/>
    <w:rsid w:val="00D23A95"/>
    <w:rsid w:val="00D35134"/>
    <w:rsid w:val="00D479AE"/>
    <w:rsid w:val="00D47F28"/>
    <w:rsid w:val="00D50FCD"/>
    <w:rsid w:val="00D533E3"/>
    <w:rsid w:val="00D602E5"/>
    <w:rsid w:val="00D60B16"/>
    <w:rsid w:val="00D60F02"/>
    <w:rsid w:val="00D61076"/>
    <w:rsid w:val="00D66E49"/>
    <w:rsid w:val="00D70D71"/>
    <w:rsid w:val="00D72F74"/>
    <w:rsid w:val="00D81563"/>
    <w:rsid w:val="00D825E5"/>
    <w:rsid w:val="00D837C1"/>
    <w:rsid w:val="00D85907"/>
    <w:rsid w:val="00D860AC"/>
    <w:rsid w:val="00D8709E"/>
    <w:rsid w:val="00D9073E"/>
    <w:rsid w:val="00D9221D"/>
    <w:rsid w:val="00D9253C"/>
    <w:rsid w:val="00D958DF"/>
    <w:rsid w:val="00D96DA1"/>
    <w:rsid w:val="00DA0694"/>
    <w:rsid w:val="00DA51E7"/>
    <w:rsid w:val="00DB0260"/>
    <w:rsid w:val="00DB09EA"/>
    <w:rsid w:val="00DB1C78"/>
    <w:rsid w:val="00DB7D96"/>
    <w:rsid w:val="00DC1BFD"/>
    <w:rsid w:val="00DC23FE"/>
    <w:rsid w:val="00DC59E6"/>
    <w:rsid w:val="00DD150B"/>
    <w:rsid w:val="00DD3356"/>
    <w:rsid w:val="00DD5025"/>
    <w:rsid w:val="00DD5464"/>
    <w:rsid w:val="00DD6F85"/>
    <w:rsid w:val="00DE1630"/>
    <w:rsid w:val="00DE254E"/>
    <w:rsid w:val="00DE32C0"/>
    <w:rsid w:val="00DE4EE0"/>
    <w:rsid w:val="00DE76A7"/>
    <w:rsid w:val="00DF1510"/>
    <w:rsid w:val="00DF1701"/>
    <w:rsid w:val="00DF7357"/>
    <w:rsid w:val="00E02F1F"/>
    <w:rsid w:val="00E05454"/>
    <w:rsid w:val="00E06484"/>
    <w:rsid w:val="00E06B24"/>
    <w:rsid w:val="00E20A7D"/>
    <w:rsid w:val="00E20BBE"/>
    <w:rsid w:val="00E22619"/>
    <w:rsid w:val="00E23FE4"/>
    <w:rsid w:val="00E275D8"/>
    <w:rsid w:val="00E30F6A"/>
    <w:rsid w:val="00E3117C"/>
    <w:rsid w:val="00E31288"/>
    <w:rsid w:val="00E31371"/>
    <w:rsid w:val="00E34307"/>
    <w:rsid w:val="00E34511"/>
    <w:rsid w:val="00E3635B"/>
    <w:rsid w:val="00E375C3"/>
    <w:rsid w:val="00E375CA"/>
    <w:rsid w:val="00E5364F"/>
    <w:rsid w:val="00E53CDE"/>
    <w:rsid w:val="00E567E8"/>
    <w:rsid w:val="00E570F7"/>
    <w:rsid w:val="00E63766"/>
    <w:rsid w:val="00E64679"/>
    <w:rsid w:val="00E65EBC"/>
    <w:rsid w:val="00E6602E"/>
    <w:rsid w:val="00E677FE"/>
    <w:rsid w:val="00E73432"/>
    <w:rsid w:val="00E76AFA"/>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E648C"/>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57C47"/>
    <w:rsid w:val="00F6156E"/>
    <w:rsid w:val="00F622AA"/>
    <w:rsid w:val="00F6504A"/>
    <w:rsid w:val="00F65519"/>
    <w:rsid w:val="00F66D9F"/>
    <w:rsid w:val="00F713C0"/>
    <w:rsid w:val="00F75DDC"/>
    <w:rsid w:val="00F7792F"/>
    <w:rsid w:val="00F826F4"/>
    <w:rsid w:val="00F842AA"/>
    <w:rsid w:val="00F8476F"/>
    <w:rsid w:val="00F853E1"/>
    <w:rsid w:val="00F85604"/>
    <w:rsid w:val="00F8663C"/>
    <w:rsid w:val="00F93809"/>
    <w:rsid w:val="00F94B7A"/>
    <w:rsid w:val="00FA17AC"/>
    <w:rsid w:val="00FA32DE"/>
    <w:rsid w:val="00FA3382"/>
    <w:rsid w:val="00FA59CD"/>
    <w:rsid w:val="00FA76DC"/>
    <w:rsid w:val="00FB0CDC"/>
    <w:rsid w:val="00FB1740"/>
    <w:rsid w:val="00FB324A"/>
    <w:rsid w:val="00FB4235"/>
    <w:rsid w:val="00FC02C5"/>
    <w:rsid w:val="00FC4446"/>
    <w:rsid w:val="00FC5469"/>
    <w:rsid w:val="00FC6D7D"/>
    <w:rsid w:val="00FD16B0"/>
    <w:rsid w:val="00FD4FED"/>
    <w:rsid w:val="00FE00C8"/>
    <w:rsid w:val="00FE0577"/>
    <w:rsid w:val="00FE2768"/>
    <w:rsid w:val="00FE2FF8"/>
    <w:rsid w:val="00FE38AB"/>
    <w:rsid w:val="00FE59EC"/>
    <w:rsid w:val="00FE5B67"/>
    <w:rsid w:val="00FE60D6"/>
    <w:rsid w:val="00FF4046"/>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9A224"/>
  <w15:docId w15:val="{9607AB8A-9361-4516-96CA-0FDA5CD0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AC084D"/>
    <w:rPr>
      <w:vertAlign w:val="superscript"/>
    </w:rPr>
  </w:style>
  <w:style w:type="character" w:customStyle="1" w:styleId="FootnoteTextChar">
    <w:name w:val="Footnote Text Char"/>
    <w:link w:val="FootnoteText"/>
    <w:uiPriority w:val="99"/>
    <w:rsid w:val="00AC084D"/>
  </w:style>
  <w:style w:type="paragraph" w:customStyle="1" w:styleId="InsideAddress">
    <w:name w:val="Inside Address"/>
    <w:basedOn w:val="Normal"/>
    <w:rsid w:val="00D61076"/>
    <w:pPr>
      <w:spacing w:line="220" w:lineRule="atLeast"/>
      <w:jc w:val="both"/>
    </w:pPr>
    <w:rPr>
      <w:szCs w:val="20"/>
    </w:rPr>
  </w:style>
  <w:style w:type="paragraph" w:styleId="ListParagraph">
    <w:name w:val="List Paragraph"/>
    <w:basedOn w:val="Normal"/>
    <w:uiPriority w:val="34"/>
    <w:qFormat/>
    <w:rsid w:val="00D61076"/>
    <w:pPr>
      <w:ind w:left="720"/>
      <w:contextualSpacing/>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8975">
      <w:bodyDiv w:val="1"/>
      <w:marLeft w:val="0"/>
      <w:marRight w:val="0"/>
      <w:marTop w:val="0"/>
      <w:marBottom w:val="0"/>
      <w:divBdr>
        <w:top w:val="none" w:sz="0" w:space="0" w:color="auto"/>
        <w:left w:val="none" w:sz="0" w:space="0" w:color="auto"/>
        <w:bottom w:val="none" w:sz="0" w:space="0" w:color="auto"/>
        <w:right w:val="none" w:sz="0" w:space="0" w:color="auto"/>
      </w:divBdr>
    </w:div>
    <w:div w:id="180977559">
      <w:bodyDiv w:val="1"/>
      <w:marLeft w:val="0"/>
      <w:marRight w:val="0"/>
      <w:marTop w:val="0"/>
      <w:marBottom w:val="0"/>
      <w:divBdr>
        <w:top w:val="none" w:sz="0" w:space="0" w:color="auto"/>
        <w:left w:val="none" w:sz="0" w:space="0" w:color="auto"/>
        <w:bottom w:val="none" w:sz="0" w:space="0" w:color="auto"/>
        <w:right w:val="none" w:sz="0" w:space="0" w:color="auto"/>
      </w:divBdr>
    </w:div>
    <w:div w:id="275408229">
      <w:bodyDiv w:val="1"/>
      <w:marLeft w:val="0"/>
      <w:marRight w:val="0"/>
      <w:marTop w:val="0"/>
      <w:marBottom w:val="0"/>
      <w:divBdr>
        <w:top w:val="none" w:sz="0" w:space="0" w:color="auto"/>
        <w:left w:val="none" w:sz="0" w:space="0" w:color="auto"/>
        <w:bottom w:val="none" w:sz="0" w:space="0" w:color="auto"/>
        <w:right w:val="none" w:sz="0" w:space="0" w:color="auto"/>
      </w:divBdr>
    </w:div>
    <w:div w:id="319776410">
      <w:bodyDiv w:val="1"/>
      <w:marLeft w:val="0"/>
      <w:marRight w:val="0"/>
      <w:marTop w:val="0"/>
      <w:marBottom w:val="0"/>
      <w:divBdr>
        <w:top w:val="none" w:sz="0" w:space="0" w:color="auto"/>
        <w:left w:val="none" w:sz="0" w:space="0" w:color="auto"/>
        <w:bottom w:val="none" w:sz="0" w:space="0" w:color="auto"/>
        <w:right w:val="none" w:sz="0" w:space="0" w:color="auto"/>
      </w:divBdr>
    </w:div>
    <w:div w:id="349264469">
      <w:bodyDiv w:val="1"/>
      <w:marLeft w:val="0"/>
      <w:marRight w:val="0"/>
      <w:marTop w:val="0"/>
      <w:marBottom w:val="0"/>
      <w:divBdr>
        <w:top w:val="none" w:sz="0" w:space="0" w:color="auto"/>
        <w:left w:val="none" w:sz="0" w:space="0" w:color="auto"/>
        <w:bottom w:val="none" w:sz="0" w:space="0" w:color="auto"/>
        <w:right w:val="none" w:sz="0" w:space="0" w:color="auto"/>
      </w:divBdr>
    </w:div>
    <w:div w:id="366491805">
      <w:bodyDiv w:val="1"/>
      <w:marLeft w:val="0"/>
      <w:marRight w:val="0"/>
      <w:marTop w:val="0"/>
      <w:marBottom w:val="0"/>
      <w:divBdr>
        <w:top w:val="none" w:sz="0" w:space="0" w:color="auto"/>
        <w:left w:val="none" w:sz="0" w:space="0" w:color="auto"/>
        <w:bottom w:val="none" w:sz="0" w:space="0" w:color="auto"/>
        <w:right w:val="none" w:sz="0" w:space="0" w:color="auto"/>
      </w:divBdr>
    </w:div>
    <w:div w:id="394352454">
      <w:bodyDiv w:val="1"/>
      <w:marLeft w:val="0"/>
      <w:marRight w:val="0"/>
      <w:marTop w:val="0"/>
      <w:marBottom w:val="0"/>
      <w:divBdr>
        <w:top w:val="none" w:sz="0" w:space="0" w:color="auto"/>
        <w:left w:val="none" w:sz="0" w:space="0" w:color="auto"/>
        <w:bottom w:val="none" w:sz="0" w:space="0" w:color="auto"/>
        <w:right w:val="none" w:sz="0" w:space="0" w:color="auto"/>
      </w:divBdr>
    </w:div>
    <w:div w:id="398790356">
      <w:bodyDiv w:val="1"/>
      <w:marLeft w:val="0"/>
      <w:marRight w:val="0"/>
      <w:marTop w:val="0"/>
      <w:marBottom w:val="0"/>
      <w:divBdr>
        <w:top w:val="none" w:sz="0" w:space="0" w:color="auto"/>
        <w:left w:val="none" w:sz="0" w:space="0" w:color="auto"/>
        <w:bottom w:val="none" w:sz="0" w:space="0" w:color="auto"/>
        <w:right w:val="none" w:sz="0" w:space="0" w:color="auto"/>
      </w:divBdr>
    </w:div>
    <w:div w:id="400174137">
      <w:bodyDiv w:val="1"/>
      <w:marLeft w:val="0"/>
      <w:marRight w:val="0"/>
      <w:marTop w:val="0"/>
      <w:marBottom w:val="0"/>
      <w:divBdr>
        <w:top w:val="none" w:sz="0" w:space="0" w:color="auto"/>
        <w:left w:val="none" w:sz="0" w:space="0" w:color="auto"/>
        <w:bottom w:val="none" w:sz="0" w:space="0" w:color="auto"/>
        <w:right w:val="none" w:sz="0" w:space="0" w:color="auto"/>
      </w:divBdr>
    </w:div>
    <w:div w:id="412628281">
      <w:bodyDiv w:val="1"/>
      <w:marLeft w:val="0"/>
      <w:marRight w:val="0"/>
      <w:marTop w:val="0"/>
      <w:marBottom w:val="0"/>
      <w:divBdr>
        <w:top w:val="none" w:sz="0" w:space="0" w:color="auto"/>
        <w:left w:val="none" w:sz="0" w:space="0" w:color="auto"/>
        <w:bottom w:val="none" w:sz="0" w:space="0" w:color="auto"/>
        <w:right w:val="none" w:sz="0" w:space="0" w:color="auto"/>
      </w:divBdr>
    </w:div>
    <w:div w:id="421612275">
      <w:bodyDiv w:val="1"/>
      <w:marLeft w:val="0"/>
      <w:marRight w:val="0"/>
      <w:marTop w:val="0"/>
      <w:marBottom w:val="0"/>
      <w:divBdr>
        <w:top w:val="none" w:sz="0" w:space="0" w:color="auto"/>
        <w:left w:val="none" w:sz="0" w:space="0" w:color="auto"/>
        <w:bottom w:val="none" w:sz="0" w:space="0" w:color="auto"/>
        <w:right w:val="none" w:sz="0" w:space="0" w:color="auto"/>
      </w:divBdr>
    </w:div>
    <w:div w:id="488596593">
      <w:bodyDiv w:val="1"/>
      <w:marLeft w:val="0"/>
      <w:marRight w:val="0"/>
      <w:marTop w:val="0"/>
      <w:marBottom w:val="0"/>
      <w:divBdr>
        <w:top w:val="none" w:sz="0" w:space="0" w:color="auto"/>
        <w:left w:val="none" w:sz="0" w:space="0" w:color="auto"/>
        <w:bottom w:val="none" w:sz="0" w:space="0" w:color="auto"/>
        <w:right w:val="none" w:sz="0" w:space="0" w:color="auto"/>
      </w:divBdr>
    </w:div>
    <w:div w:id="509879318">
      <w:bodyDiv w:val="1"/>
      <w:marLeft w:val="0"/>
      <w:marRight w:val="0"/>
      <w:marTop w:val="0"/>
      <w:marBottom w:val="0"/>
      <w:divBdr>
        <w:top w:val="none" w:sz="0" w:space="0" w:color="auto"/>
        <w:left w:val="none" w:sz="0" w:space="0" w:color="auto"/>
        <w:bottom w:val="none" w:sz="0" w:space="0" w:color="auto"/>
        <w:right w:val="none" w:sz="0" w:space="0" w:color="auto"/>
      </w:divBdr>
    </w:div>
    <w:div w:id="526216526">
      <w:bodyDiv w:val="1"/>
      <w:marLeft w:val="0"/>
      <w:marRight w:val="0"/>
      <w:marTop w:val="0"/>
      <w:marBottom w:val="0"/>
      <w:divBdr>
        <w:top w:val="none" w:sz="0" w:space="0" w:color="auto"/>
        <w:left w:val="none" w:sz="0" w:space="0" w:color="auto"/>
        <w:bottom w:val="none" w:sz="0" w:space="0" w:color="auto"/>
        <w:right w:val="none" w:sz="0" w:space="0" w:color="auto"/>
      </w:divBdr>
    </w:div>
    <w:div w:id="526716288">
      <w:bodyDiv w:val="1"/>
      <w:marLeft w:val="0"/>
      <w:marRight w:val="0"/>
      <w:marTop w:val="0"/>
      <w:marBottom w:val="0"/>
      <w:divBdr>
        <w:top w:val="none" w:sz="0" w:space="0" w:color="auto"/>
        <w:left w:val="none" w:sz="0" w:space="0" w:color="auto"/>
        <w:bottom w:val="none" w:sz="0" w:space="0" w:color="auto"/>
        <w:right w:val="none" w:sz="0" w:space="0" w:color="auto"/>
      </w:divBdr>
    </w:div>
    <w:div w:id="534585767">
      <w:bodyDiv w:val="1"/>
      <w:marLeft w:val="0"/>
      <w:marRight w:val="0"/>
      <w:marTop w:val="0"/>
      <w:marBottom w:val="0"/>
      <w:divBdr>
        <w:top w:val="none" w:sz="0" w:space="0" w:color="auto"/>
        <w:left w:val="none" w:sz="0" w:space="0" w:color="auto"/>
        <w:bottom w:val="none" w:sz="0" w:space="0" w:color="auto"/>
        <w:right w:val="none" w:sz="0" w:space="0" w:color="auto"/>
      </w:divBdr>
    </w:div>
    <w:div w:id="567225948">
      <w:bodyDiv w:val="1"/>
      <w:marLeft w:val="0"/>
      <w:marRight w:val="0"/>
      <w:marTop w:val="0"/>
      <w:marBottom w:val="0"/>
      <w:divBdr>
        <w:top w:val="none" w:sz="0" w:space="0" w:color="auto"/>
        <w:left w:val="none" w:sz="0" w:space="0" w:color="auto"/>
        <w:bottom w:val="none" w:sz="0" w:space="0" w:color="auto"/>
        <w:right w:val="none" w:sz="0" w:space="0" w:color="auto"/>
      </w:divBdr>
    </w:div>
    <w:div w:id="573247663">
      <w:bodyDiv w:val="1"/>
      <w:marLeft w:val="0"/>
      <w:marRight w:val="0"/>
      <w:marTop w:val="0"/>
      <w:marBottom w:val="0"/>
      <w:divBdr>
        <w:top w:val="none" w:sz="0" w:space="0" w:color="auto"/>
        <w:left w:val="none" w:sz="0" w:space="0" w:color="auto"/>
        <w:bottom w:val="none" w:sz="0" w:space="0" w:color="auto"/>
        <w:right w:val="none" w:sz="0" w:space="0" w:color="auto"/>
      </w:divBdr>
    </w:div>
    <w:div w:id="734397540">
      <w:bodyDiv w:val="1"/>
      <w:marLeft w:val="0"/>
      <w:marRight w:val="0"/>
      <w:marTop w:val="0"/>
      <w:marBottom w:val="0"/>
      <w:divBdr>
        <w:top w:val="none" w:sz="0" w:space="0" w:color="auto"/>
        <w:left w:val="none" w:sz="0" w:space="0" w:color="auto"/>
        <w:bottom w:val="none" w:sz="0" w:space="0" w:color="auto"/>
        <w:right w:val="none" w:sz="0" w:space="0" w:color="auto"/>
      </w:divBdr>
    </w:div>
    <w:div w:id="750467573">
      <w:bodyDiv w:val="1"/>
      <w:marLeft w:val="0"/>
      <w:marRight w:val="0"/>
      <w:marTop w:val="0"/>
      <w:marBottom w:val="0"/>
      <w:divBdr>
        <w:top w:val="none" w:sz="0" w:space="0" w:color="auto"/>
        <w:left w:val="none" w:sz="0" w:space="0" w:color="auto"/>
        <w:bottom w:val="none" w:sz="0" w:space="0" w:color="auto"/>
        <w:right w:val="none" w:sz="0" w:space="0" w:color="auto"/>
      </w:divBdr>
    </w:div>
    <w:div w:id="837384906">
      <w:bodyDiv w:val="1"/>
      <w:marLeft w:val="0"/>
      <w:marRight w:val="0"/>
      <w:marTop w:val="0"/>
      <w:marBottom w:val="0"/>
      <w:divBdr>
        <w:top w:val="none" w:sz="0" w:space="0" w:color="auto"/>
        <w:left w:val="none" w:sz="0" w:space="0" w:color="auto"/>
        <w:bottom w:val="none" w:sz="0" w:space="0" w:color="auto"/>
        <w:right w:val="none" w:sz="0" w:space="0" w:color="auto"/>
      </w:divBdr>
    </w:div>
    <w:div w:id="890653601">
      <w:bodyDiv w:val="1"/>
      <w:marLeft w:val="0"/>
      <w:marRight w:val="0"/>
      <w:marTop w:val="0"/>
      <w:marBottom w:val="0"/>
      <w:divBdr>
        <w:top w:val="none" w:sz="0" w:space="0" w:color="auto"/>
        <w:left w:val="none" w:sz="0" w:space="0" w:color="auto"/>
        <w:bottom w:val="none" w:sz="0" w:space="0" w:color="auto"/>
        <w:right w:val="none" w:sz="0" w:space="0" w:color="auto"/>
      </w:divBdr>
    </w:div>
    <w:div w:id="896092357">
      <w:bodyDiv w:val="1"/>
      <w:marLeft w:val="0"/>
      <w:marRight w:val="0"/>
      <w:marTop w:val="0"/>
      <w:marBottom w:val="0"/>
      <w:divBdr>
        <w:top w:val="none" w:sz="0" w:space="0" w:color="auto"/>
        <w:left w:val="none" w:sz="0" w:space="0" w:color="auto"/>
        <w:bottom w:val="none" w:sz="0" w:space="0" w:color="auto"/>
        <w:right w:val="none" w:sz="0" w:space="0" w:color="auto"/>
      </w:divBdr>
    </w:div>
    <w:div w:id="949165686">
      <w:bodyDiv w:val="1"/>
      <w:marLeft w:val="0"/>
      <w:marRight w:val="0"/>
      <w:marTop w:val="0"/>
      <w:marBottom w:val="0"/>
      <w:divBdr>
        <w:top w:val="none" w:sz="0" w:space="0" w:color="auto"/>
        <w:left w:val="none" w:sz="0" w:space="0" w:color="auto"/>
        <w:bottom w:val="none" w:sz="0" w:space="0" w:color="auto"/>
        <w:right w:val="none" w:sz="0" w:space="0" w:color="auto"/>
      </w:divBdr>
    </w:div>
    <w:div w:id="962883543">
      <w:bodyDiv w:val="1"/>
      <w:marLeft w:val="0"/>
      <w:marRight w:val="0"/>
      <w:marTop w:val="0"/>
      <w:marBottom w:val="0"/>
      <w:divBdr>
        <w:top w:val="none" w:sz="0" w:space="0" w:color="auto"/>
        <w:left w:val="none" w:sz="0" w:space="0" w:color="auto"/>
        <w:bottom w:val="none" w:sz="0" w:space="0" w:color="auto"/>
        <w:right w:val="none" w:sz="0" w:space="0" w:color="auto"/>
      </w:divBdr>
    </w:div>
    <w:div w:id="1018461797">
      <w:bodyDiv w:val="1"/>
      <w:marLeft w:val="0"/>
      <w:marRight w:val="0"/>
      <w:marTop w:val="0"/>
      <w:marBottom w:val="0"/>
      <w:divBdr>
        <w:top w:val="none" w:sz="0" w:space="0" w:color="auto"/>
        <w:left w:val="none" w:sz="0" w:space="0" w:color="auto"/>
        <w:bottom w:val="none" w:sz="0" w:space="0" w:color="auto"/>
        <w:right w:val="none" w:sz="0" w:space="0" w:color="auto"/>
      </w:divBdr>
    </w:div>
    <w:div w:id="1086683061">
      <w:bodyDiv w:val="1"/>
      <w:marLeft w:val="0"/>
      <w:marRight w:val="0"/>
      <w:marTop w:val="0"/>
      <w:marBottom w:val="0"/>
      <w:divBdr>
        <w:top w:val="none" w:sz="0" w:space="0" w:color="auto"/>
        <w:left w:val="none" w:sz="0" w:space="0" w:color="auto"/>
        <w:bottom w:val="none" w:sz="0" w:space="0" w:color="auto"/>
        <w:right w:val="none" w:sz="0" w:space="0" w:color="auto"/>
      </w:divBdr>
    </w:div>
    <w:div w:id="1240866530">
      <w:bodyDiv w:val="1"/>
      <w:marLeft w:val="0"/>
      <w:marRight w:val="0"/>
      <w:marTop w:val="0"/>
      <w:marBottom w:val="0"/>
      <w:divBdr>
        <w:top w:val="none" w:sz="0" w:space="0" w:color="auto"/>
        <w:left w:val="none" w:sz="0" w:space="0" w:color="auto"/>
        <w:bottom w:val="none" w:sz="0" w:space="0" w:color="auto"/>
        <w:right w:val="none" w:sz="0" w:space="0" w:color="auto"/>
      </w:divBdr>
    </w:div>
    <w:div w:id="1265262063">
      <w:bodyDiv w:val="1"/>
      <w:marLeft w:val="0"/>
      <w:marRight w:val="0"/>
      <w:marTop w:val="0"/>
      <w:marBottom w:val="0"/>
      <w:divBdr>
        <w:top w:val="none" w:sz="0" w:space="0" w:color="auto"/>
        <w:left w:val="none" w:sz="0" w:space="0" w:color="auto"/>
        <w:bottom w:val="none" w:sz="0" w:space="0" w:color="auto"/>
        <w:right w:val="none" w:sz="0" w:space="0" w:color="auto"/>
      </w:divBdr>
    </w:div>
    <w:div w:id="1301420533">
      <w:bodyDiv w:val="1"/>
      <w:marLeft w:val="0"/>
      <w:marRight w:val="0"/>
      <w:marTop w:val="0"/>
      <w:marBottom w:val="0"/>
      <w:divBdr>
        <w:top w:val="none" w:sz="0" w:space="0" w:color="auto"/>
        <w:left w:val="none" w:sz="0" w:space="0" w:color="auto"/>
        <w:bottom w:val="none" w:sz="0" w:space="0" w:color="auto"/>
        <w:right w:val="none" w:sz="0" w:space="0" w:color="auto"/>
      </w:divBdr>
    </w:div>
    <w:div w:id="1327396262">
      <w:bodyDiv w:val="1"/>
      <w:marLeft w:val="0"/>
      <w:marRight w:val="0"/>
      <w:marTop w:val="0"/>
      <w:marBottom w:val="0"/>
      <w:divBdr>
        <w:top w:val="none" w:sz="0" w:space="0" w:color="auto"/>
        <w:left w:val="none" w:sz="0" w:space="0" w:color="auto"/>
        <w:bottom w:val="none" w:sz="0" w:space="0" w:color="auto"/>
        <w:right w:val="none" w:sz="0" w:space="0" w:color="auto"/>
      </w:divBdr>
    </w:div>
    <w:div w:id="1330257321">
      <w:bodyDiv w:val="1"/>
      <w:marLeft w:val="0"/>
      <w:marRight w:val="0"/>
      <w:marTop w:val="0"/>
      <w:marBottom w:val="0"/>
      <w:divBdr>
        <w:top w:val="none" w:sz="0" w:space="0" w:color="auto"/>
        <w:left w:val="none" w:sz="0" w:space="0" w:color="auto"/>
        <w:bottom w:val="none" w:sz="0" w:space="0" w:color="auto"/>
        <w:right w:val="none" w:sz="0" w:space="0" w:color="auto"/>
      </w:divBdr>
    </w:div>
    <w:div w:id="1340502857">
      <w:bodyDiv w:val="1"/>
      <w:marLeft w:val="0"/>
      <w:marRight w:val="0"/>
      <w:marTop w:val="0"/>
      <w:marBottom w:val="0"/>
      <w:divBdr>
        <w:top w:val="none" w:sz="0" w:space="0" w:color="auto"/>
        <w:left w:val="none" w:sz="0" w:space="0" w:color="auto"/>
        <w:bottom w:val="none" w:sz="0" w:space="0" w:color="auto"/>
        <w:right w:val="none" w:sz="0" w:space="0" w:color="auto"/>
      </w:divBdr>
    </w:div>
    <w:div w:id="1402825470">
      <w:bodyDiv w:val="1"/>
      <w:marLeft w:val="0"/>
      <w:marRight w:val="0"/>
      <w:marTop w:val="0"/>
      <w:marBottom w:val="0"/>
      <w:divBdr>
        <w:top w:val="none" w:sz="0" w:space="0" w:color="auto"/>
        <w:left w:val="none" w:sz="0" w:space="0" w:color="auto"/>
        <w:bottom w:val="none" w:sz="0" w:space="0" w:color="auto"/>
        <w:right w:val="none" w:sz="0" w:space="0" w:color="auto"/>
      </w:divBdr>
    </w:div>
    <w:div w:id="1403987778">
      <w:bodyDiv w:val="1"/>
      <w:marLeft w:val="0"/>
      <w:marRight w:val="0"/>
      <w:marTop w:val="0"/>
      <w:marBottom w:val="0"/>
      <w:divBdr>
        <w:top w:val="none" w:sz="0" w:space="0" w:color="auto"/>
        <w:left w:val="none" w:sz="0" w:space="0" w:color="auto"/>
        <w:bottom w:val="none" w:sz="0" w:space="0" w:color="auto"/>
        <w:right w:val="none" w:sz="0" w:space="0" w:color="auto"/>
      </w:divBdr>
    </w:div>
    <w:div w:id="1439984373">
      <w:bodyDiv w:val="1"/>
      <w:marLeft w:val="0"/>
      <w:marRight w:val="0"/>
      <w:marTop w:val="0"/>
      <w:marBottom w:val="0"/>
      <w:divBdr>
        <w:top w:val="none" w:sz="0" w:space="0" w:color="auto"/>
        <w:left w:val="none" w:sz="0" w:space="0" w:color="auto"/>
        <w:bottom w:val="none" w:sz="0" w:space="0" w:color="auto"/>
        <w:right w:val="none" w:sz="0" w:space="0" w:color="auto"/>
      </w:divBdr>
    </w:div>
    <w:div w:id="1458139405">
      <w:bodyDiv w:val="1"/>
      <w:marLeft w:val="0"/>
      <w:marRight w:val="0"/>
      <w:marTop w:val="0"/>
      <w:marBottom w:val="0"/>
      <w:divBdr>
        <w:top w:val="none" w:sz="0" w:space="0" w:color="auto"/>
        <w:left w:val="none" w:sz="0" w:space="0" w:color="auto"/>
        <w:bottom w:val="none" w:sz="0" w:space="0" w:color="auto"/>
        <w:right w:val="none" w:sz="0" w:space="0" w:color="auto"/>
      </w:divBdr>
    </w:div>
    <w:div w:id="1495074252">
      <w:bodyDiv w:val="1"/>
      <w:marLeft w:val="0"/>
      <w:marRight w:val="0"/>
      <w:marTop w:val="0"/>
      <w:marBottom w:val="0"/>
      <w:divBdr>
        <w:top w:val="none" w:sz="0" w:space="0" w:color="auto"/>
        <w:left w:val="none" w:sz="0" w:space="0" w:color="auto"/>
        <w:bottom w:val="none" w:sz="0" w:space="0" w:color="auto"/>
        <w:right w:val="none" w:sz="0" w:space="0" w:color="auto"/>
      </w:divBdr>
    </w:div>
    <w:div w:id="1554996868">
      <w:bodyDiv w:val="1"/>
      <w:marLeft w:val="0"/>
      <w:marRight w:val="0"/>
      <w:marTop w:val="0"/>
      <w:marBottom w:val="0"/>
      <w:divBdr>
        <w:top w:val="none" w:sz="0" w:space="0" w:color="auto"/>
        <w:left w:val="none" w:sz="0" w:space="0" w:color="auto"/>
        <w:bottom w:val="none" w:sz="0" w:space="0" w:color="auto"/>
        <w:right w:val="none" w:sz="0" w:space="0" w:color="auto"/>
      </w:divBdr>
    </w:div>
    <w:div w:id="1593390830">
      <w:bodyDiv w:val="1"/>
      <w:marLeft w:val="0"/>
      <w:marRight w:val="0"/>
      <w:marTop w:val="0"/>
      <w:marBottom w:val="0"/>
      <w:divBdr>
        <w:top w:val="none" w:sz="0" w:space="0" w:color="auto"/>
        <w:left w:val="none" w:sz="0" w:space="0" w:color="auto"/>
        <w:bottom w:val="none" w:sz="0" w:space="0" w:color="auto"/>
        <w:right w:val="none" w:sz="0" w:space="0" w:color="auto"/>
      </w:divBdr>
    </w:div>
    <w:div w:id="1634943363">
      <w:bodyDiv w:val="1"/>
      <w:marLeft w:val="0"/>
      <w:marRight w:val="0"/>
      <w:marTop w:val="0"/>
      <w:marBottom w:val="0"/>
      <w:divBdr>
        <w:top w:val="none" w:sz="0" w:space="0" w:color="auto"/>
        <w:left w:val="none" w:sz="0" w:space="0" w:color="auto"/>
        <w:bottom w:val="none" w:sz="0" w:space="0" w:color="auto"/>
        <w:right w:val="none" w:sz="0" w:space="0" w:color="auto"/>
      </w:divBdr>
    </w:div>
    <w:div w:id="1654291323">
      <w:bodyDiv w:val="1"/>
      <w:marLeft w:val="0"/>
      <w:marRight w:val="0"/>
      <w:marTop w:val="0"/>
      <w:marBottom w:val="0"/>
      <w:divBdr>
        <w:top w:val="none" w:sz="0" w:space="0" w:color="auto"/>
        <w:left w:val="none" w:sz="0" w:space="0" w:color="auto"/>
        <w:bottom w:val="none" w:sz="0" w:space="0" w:color="auto"/>
        <w:right w:val="none" w:sz="0" w:space="0" w:color="auto"/>
      </w:divBdr>
    </w:div>
    <w:div w:id="1655834536">
      <w:bodyDiv w:val="1"/>
      <w:marLeft w:val="0"/>
      <w:marRight w:val="0"/>
      <w:marTop w:val="0"/>
      <w:marBottom w:val="0"/>
      <w:divBdr>
        <w:top w:val="none" w:sz="0" w:space="0" w:color="auto"/>
        <w:left w:val="none" w:sz="0" w:space="0" w:color="auto"/>
        <w:bottom w:val="none" w:sz="0" w:space="0" w:color="auto"/>
        <w:right w:val="none" w:sz="0" w:space="0" w:color="auto"/>
      </w:divBdr>
    </w:div>
    <w:div w:id="1692413972">
      <w:bodyDiv w:val="1"/>
      <w:marLeft w:val="0"/>
      <w:marRight w:val="0"/>
      <w:marTop w:val="0"/>
      <w:marBottom w:val="0"/>
      <w:divBdr>
        <w:top w:val="none" w:sz="0" w:space="0" w:color="auto"/>
        <w:left w:val="none" w:sz="0" w:space="0" w:color="auto"/>
        <w:bottom w:val="none" w:sz="0" w:space="0" w:color="auto"/>
        <w:right w:val="none" w:sz="0" w:space="0" w:color="auto"/>
      </w:divBdr>
    </w:div>
    <w:div w:id="1713380662">
      <w:bodyDiv w:val="1"/>
      <w:marLeft w:val="0"/>
      <w:marRight w:val="0"/>
      <w:marTop w:val="0"/>
      <w:marBottom w:val="0"/>
      <w:divBdr>
        <w:top w:val="none" w:sz="0" w:space="0" w:color="auto"/>
        <w:left w:val="none" w:sz="0" w:space="0" w:color="auto"/>
        <w:bottom w:val="none" w:sz="0" w:space="0" w:color="auto"/>
        <w:right w:val="none" w:sz="0" w:space="0" w:color="auto"/>
      </w:divBdr>
    </w:div>
    <w:div w:id="1750036225">
      <w:bodyDiv w:val="1"/>
      <w:marLeft w:val="0"/>
      <w:marRight w:val="0"/>
      <w:marTop w:val="0"/>
      <w:marBottom w:val="0"/>
      <w:divBdr>
        <w:top w:val="none" w:sz="0" w:space="0" w:color="auto"/>
        <w:left w:val="none" w:sz="0" w:space="0" w:color="auto"/>
        <w:bottom w:val="none" w:sz="0" w:space="0" w:color="auto"/>
        <w:right w:val="none" w:sz="0" w:space="0" w:color="auto"/>
      </w:divBdr>
    </w:div>
    <w:div w:id="1812861899">
      <w:bodyDiv w:val="1"/>
      <w:marLeft w:val="0"/>
      <w:marRight w:val="0"/>
      <w:marTop w:val="0"/>
      <w:marBottom w:val="0"/>
      <w:divBdr>
        <w:top w:val="none" w:sz="0" w:space="0" w:color="auto"/>
        <w:left w:val="none" w:sz="0" w:space="0" w:color="auto"/>
        <w:bottom w:val="none" w:sz="0" w:space="0" w:color="auto"/>
        <w:right w:val="none" w:sz="0" w:space="0" w:color="auto"/>
      </w:divBdr>
    </w:div>
    <w:div w:id="1825782316">
      <w:bodyDiv w:val="1"/>
      <w:marLeft w:val="0"/>
      <w:marRight w:val="0"/>
      <w:marTop w:val="0"/>
      <w:marBottom w:val="0"/>
      <w:divBdr>
        <w:top w:val="none" w:sz="0" w:space="0" w:color="auto"/>
        <w:left w:val="none" w:sz="0" w:space="0" w:color="auto"/>
        <w:bottom w:val="none" w:sz="0" w:space="0" w:color="auto"/>
        <w:right w:val="none" w:sz="0" w:space="0" w:color="auto"/>
      </w:divBdr>
    </w:div>
    <w:div w:id="1841433597">
      <w:bodyDiv w:val="1"/>
      <w:marLeft w:val="0"/>
      <w:marRight w:val="0"/>
      <w:marTop w:val="0"/>
      <w:marBottom w:val="0"/>
      <w:divBdr>
        <w:top w:val="none" w:sz="0" w:space="0" w:color="auto"/>
        <w:left w:val="none" w:sz="0" w:space="0" w:color="auto"/>
        <w:bottom w:val="none" w:sz="0" w:space="0" w:color="auto"/>
        <w:right w:val="none" w:sz="0" w:space="0" w:color="auto"/>
      </w:divBdr>
    </w:div>
    <w:div w:id="1852138242">
      <w:bodyDiv w:val="1"/>
      <w:marLeft w:val="0"/>
      <w:marRight w:val="0"/>
      <w:marTop w:val="0"/>
      <w:marBottom w:val="0"/>
      <w:divBdr>
        <w:top w:val="none" w:sz="0" w:space="0" w:color="auto"/>
        <w:left w:val="none" w:sz="0" w:space="0" w:color="auto"/>
        <w:bottom w:val="none" w:sz="0" w:space="0" w:color="auto"/>
        <w:right w:val="none" w:sz="0" w:space="0" w:color="auto"/>
      </w:divBdr>
    </w:div>
    <w:div w:id="1878009292">
      <w:bodyDiv w:val="1"/>
      <w:marLeft w:val="0"/>
      <w:marRight w:val="0"/>
      <w:marTop w:val="0"/>
      <w:marBottom w:val="0"/>
      <w:divBdr>
        <w:top w:val="none" w:sz="0" w:space="0" w:color="auto"/>
        <w:left w:val="none" w:sz="0" w:space="0" w:color="auto"/>
        <w:bottom w:val="none" w:sz="0" w:space="0" w:color="auto"/>
        <w:right w:val="none" w:sz="0" w:space="0" w:color="auto"/>
      </w:divBdr>
    </w:div>
    <w:div w:id="1890916214">
      <w:bodyDiv w:val="1"/>
      <w:marLeft w:val="0"/>
      <w:marRight w:val="0"/>
      <w:marTop w:val="0"/>
      <w:marBottom w:val="0"/>
      <w:divBdr>
        <w:top w:val="none" w:sz="0" w:space="0" w:color="auto"/>
        <w:left w:val="none" w:sz="0" w:space="0" w:color="auto"/>
        <w:bottom w:val="none" w:sz="0" w:space="0" w:color="auto"/>
        <w:right w:val="none" w:sz="0" w:space="0" w:color="auto"/>
      </w:divBdr>
    </w:div>
    <w:div w:id="1918703954">
      <w:bodyDiv w:val="1"/>
      <w:marLeft w:val="0"/>
      <w:marRight w:val="0"/>
      <w:marTop w:val="0"/>
      <w:marBottom w:val="0"/>
      <w:divBdr>
        <w:top w:val="none" w:sz="0" w:space="0" w:color="auto"/>
        <w:left w:val="none" w:sz="0" w:space="0" w:color="auto"/>
        <w:bottom w:val="none" w:sz="0" w:space="0" w:color="auto"/>
        <w:right w:val="none" w:sz="0" w:space="0" w:color="auto"/>
      </w:divBdr>
    </w:div>
    <w:div w:id="1926183301">
      <w:bodyDiv w:val="1"/>
      <w:marLeft w:val="0"/>
      <w:marRight w:val="0"/>
      <w:marTop w:val="0"/>
      <w:marBottom w:val="0"/>
      <w:divBdr>
        <w:top w:val="none" w:sz="0" w:space="0" w:color="auto"/>
        <w:left w:val="none" w:sz="0" w:space="0" w:color="auto"/>
        <w:bottom w:val="none" w:sz="0" w:space="0" w:color="auto"/>
        <w:right w:val="none" w:sz="0" w:space="0" w:color="auto"/>
      </w:divBdr>
    </w:div>
    <w:div w:id="1963807050">
      <w:bodyDiv w:val="1"/>
      <w:marLeft w:val="0"/>
      <w:marRight w:val="0"/>
      <w:marTop w:val="0"/>
      <w:marBottom w:val="0"/>
      <w:divBdr>
        <w:top w:val="none" w:sz="0" w:space="0" w:color="auto"/>
        <w:left w:val="none" w:sz="0" w:space="0" w:color="auto"/>
        <w:bottom w:val="none" w:sz="0" w:space="0" w:color="auto"/>
        <w:right w:val="none" w:sz="0" w:space="0" w:color="auto"/>
      </w:divBdr>
    </w:div>
    <w:div w:id="1983386674">
      <w:bodyDiv w:val="1"/>
      <w:marLeft w:val="0"/>
      <w:marRight w:val="0"/>
      <w:marTop w:val="0"/>
      <w:marBottom w:val="0"/>
      <w:divBdr>
        <w:top w:val="none" w:sz="0" w:space="0" w:color="auto"/>
        <w:left w:val="none" w:sz="0" w:space="0" w:color="auto"/>
        <w:bottom w:val="none" w:sz="0" w:space="0" w:color="auto"/>
        <w:right w:val="none" w:sz="0" w:space="0" w:color="auto"/>
      </w:divBdr>
    </w:div>
    <w:div w:id="2037189589">
      <w:bodyDiv w:val="1"/>
      <w:marLeft w:val="0"/>
      <w:marRight w:val="0"/>
      <w:marTop w:val="0"/>
      <w:marBottom w:val="0"/>
      <w:divBdr>
        <w:top w:val="none" w:sz="0" w:space="0" w:color="auto"/>
        <w:left w:val="none" w:sz="0" w:space="0" w:color="auto"/>
        <w:bottom w:val="none" w:sz="0" w:space="0" w:color="auto"/>
        <w:right w:val="none" w:sz="0" w:space="0" w:color="auto"/>
      </w:divBdr>
    </w:div>
    <w:div w:id="2037533859">
      <w:bodyDiv w:val="1"/>
      <w:marLeft w:val="0"/>
      <w:marRight w:val="0"/>
      <w:marTop w:val="0"/>
      <w:marBottom w:val="0"/>
      <w:divBdr>
        <w:top w:val="none" w:sz="0" w:space="0" w:color="auto"/>
        <w:left w:val="none" w:sz="0" w:space="0" w:color="auto"/>
        <w:bottom w:val="none" w:sz="0" w:space="0" w:color="auto"/>
        <w:right w:val="none" w:sz="0" w:space="0" w:color="auto"/>
      </w:divBdr>
    </w:div>
    <w:div w:id="207894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CA96E-0882-4763-BFF1-3BB68B1A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20</Pages>
  <Words>5107</Words>
  <Characters>28058</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Lee Smith</dc:creator>
  <cp:lastModifiedBy>Lee Smith</cp:lastModifiedBy>
  <cp:revision>2</cp:revision>
  <cp:lastPrinted>2023-11-01T13:08:00Z</cp:lastPrinted>
  <dcterms:created xsi:type="dcterms:W3CDTF">2023-11-21T14:01:00Z</dcterms:created>
  <dcterms:modified xsi:type="dcterms:W3CDTF">2023-11-21T14:01:00Z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20230079-EI</vt:lpwstr>
  </property>
  <property fmtid="{D5CDD505-2E9C-101B-9397-08002B2CF9AE}" pid="3" name="MasterDocument">
    <vt:bool>false</vt:bool>
  </property>
</Properties>
</file>