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4415" w:rsidP="00104415">
      <w:pPr>
        <w:pStyle w:val="OrderHeading"/>
      </w:pPr>
      <w:r>
        <w:t>BEFORE THE FLORIDA PUBLIC SERVICE COMMISSION</w:t>
      </w:r>
    </w:p>
    <w:p w:rsidR="00104415" w:rsidRDefault="00104415" w:rsidP="00104415">
      <w:pPr>
        <w:pStyle w:val="OrderBody"/>
      </w:pPr>
    </w:p>
    <w:p w:rsidR="00104415" w:rsidRDefault="00104415" w:rsidP="001044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4415" w:rsidRPr="00C63FCF" w:rsidTr="00C63FCF">
        <w:trPr>
          <w:trHeight w:val="828"/>
        </w:trPr>
        <w:tc>
          <w:tcPr>
            <w:tcW w:w="4788" w:type="dxa"/>
            <w:tcBorders>
              <w:bottom w:val="single" w:sz="8" w:space="0" w:color="auto"/>
              <w:right w:val="double" w:sz="6" w:space="0" w:color="auto"/>
            </w:tcBorders>
            <w:shd w:val="clear" w:color="auto" w:fill="auto"/>
          </w:tcPr>
          <w:p w:rsidR="00104415" w:rsidRDefault="00104415"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2024, by Duke Energy Florida, LLC.</w:t>
            </w:r>
          </w:p>
        </w:tc>
        <w:tc>
          <w:tcPr>
            <w:tcW w:w="4788" w:type="dxa"/>
            <w:tcBorders>
              <w:left w:val="double" w:sz="6" w:space="0" w:color="auto"/>
            </w:tcBorders>
            <w:shd w:val="clear" w:color="auto" w:fill="auto"/>
          </w:tcPr>
          <w:p w:rsidR="00104415" w:rsidRDefault="00104415" w:rsidP="00104415">
            <w:pPr>
              <w:pStyle w:val="OrderBody"/>
            </w:pPr>
            <w:r>
              <w:t xml:space="preserve">DOCKET NO. </w:t>
            </w:r>
            <w:bookmarkStart w:id="1" w:name="SSDocketNo"/>
            <w:bookmarkEnd w:id="1"/>
            <w:r>
              <w:t>20230105-EI</w:t>
            </w:r>
          </w:p>
          <w:p w:rsidR="00104415" w:rsidRDefault="00104415" w:rsidP="00C63FCF">
            <w:pPr>
              <w:pStyle w:val="OrderBody"/>
              <w:tabs>
                <w:tab w:val="center" w:pos="4320"/>
                <w:tab w:val="right" w:pos="8640"/>
              </w:tabs>
              <w:jc w:val="left"/>
            </w:pPr>
            <w:r>
              <w:t xml:space="preserve">ORDER NO. </w:t>
            </w:r>
            <w:bookmarkStart w:id="2" w:name="OrderNo0355"/>
            <w:r w:rsidR="00C745E8">
              <w:t>PSC-2023-0355-FOF-EI</w:t>
            </w:r>
            <w:bookmarkEnd w:id="2"/>
          </w:p>
          <w:p w:rsidR="00104415" w:rsidRDefault="00104415" w:rsidP="00C63FCF">
            <w:pPr>
              <w:pStyle w:val="OrderBody"/>
              <w:tabs>
                <w:tab w:val="center" w:pos="4320"/>
                <w:tab w:val="right" w:pos="8640"/>
              </w:tabs>
              <w:jc w:val="left"/>
            </w:pPr>
            <w:r>
              <w:t xml:space="preserve">ISSUED: </w:t>
            </w:r>
            <w:r w:rsidR="00C745E8">
              <w:t>November 28, 2023</w:t>
            </w:r>
          </w:p>
        </w:tc>
      </w:tr>
    </w:tbl>
    <w:p w:rsidR="00104415" w:rsidRDefault="00104415" w:rsidP="00104415"/>
    <w:p w:rsidR="00104415" w:rsidRDefault="00104415" w:rsidP="00104415"/>
    <w:p w:rsidR="00104415" w:rsidRDefault="00104415" w:rsidP="00B67A43">
      <w:pPr>
        <w:ind w:firstLine="720"/>
        <w:jc w:val="both"/>
      </w:pPr>
      <w:bookmarkStart w:id="3" w:name="Commissioners"/>
      <w:bookmarkEnd w:id="3"/>
      <w:r>
        <w:t>The following Commissioners participated in the disposition of this matter:</w:t>
      </w:r>
    </w:p>
    <w:p w:rsidR="00104415" w:rsidRDefault="00104415" w:rsidP="00B67A43"/>
    <w:p w:rsidR="00104415" w:rsidRDefault="00104415" w:rsidP="00477699">
      <w:pPr>
        <w:jc w:val="center"/>
      </w:pPr>
      <w:r>
        <w:t>ANDREW GILES FAY, Chairman</w:t>
      </w:r>
    </w:p>
    <w:p w:rsidR="00104415" w:rsidRDefault="00104415" w:rsidP="00B67A43">
      <w:pPr>
        <w:jc w:val="center"/>
      </w:pPr>
      <w:r>
        <w:t>ART GRAHAM</w:t>
      </w:r>
    </w:p>
    <w:p w:rsidR="00104415" w:rsidRDefault="00104415" w:rsidP="00B67A43">
      <w:pPr>
        <w:jc w:val="center"/>
      </w:pPr>
      <w:r>
        <w:t>GARY F. CLARK</w:t>
      </w:r>
    </w:p>
    <w:p w:rsidR="00104415" w:rsidRDefault="00104415" w:rsidP="00B67A43">
      <w:pPr>
        <w:jc w:val="center"/>
      </w:pPr>
      <w:r>
        <w:t>MIKE LA ROSA</w:t>
      </w:r>
    </w:p>
    <w:p w:rsidR="00104415" w:rsidRPr="005F2751" w:rsidRDefault="00104415" w:rsidP="00B67A43">
      <w:pPr>
        <w:jc w:val="center"/>
      </w:pPr>
      <w:r w:rsidRPr="005F2751">
        <w:rPr>
          <w:lang w:val="en"/>
        </w:rPr>
        <w:t>GABRIELLA PASSIDOMO</w:t>
      </w:r>
    </w:p>
    <w:p w:rsidR="00104415" w:rsidRDefault="00104415" w:rsidP="00B67A43"/>
    <w:p w:rsidR="00104415" w:rsidRDefault="00104415" w:rsidP="00B67A43"/>
    <w:p w:rsidR="00CB5276" w:rsidRDefault="00CB5276">
      <w:pPr>
        <w:pStyle w:val="OrderBody"/>
      </w:pPr>
    </w:p>
    <w:p w:rsidR="00A84535" w:rsidRDefault="00104415" w:rsidP="00104415">
      <w:pPr>
        <w:pStyle w:val="CenterUnderline"/>
      </w:pPr>
      <w:r>
        <w:t>FINAL ORDER</w:t>
      </w:r>
      <w:bookmarkStart w:id="4" w:name="OrderTitle"/>
      <w:r>
        <w:t xml:space="preserve"> </w:t>
      </w:r>
      <w:r w:rsidR="00A84535">
        <w:t xml:space="preserve">GRANTING DUKE ENERGY FLORIDA, LLC AUTHORITY </w:t>
      </w:r>
    </w:p>
    <w:p w:rsidR="00104415" w:rsidRDefault="00A84535" w:rsidP="00104415">
      <w:pPr>
        <w:pStyle w:val="CenterUnderline"/>
      </w:pPr>
      <w:r>
        <w:t>TO ISSUE AND SELL SECURITIES</w:t>
      </w:r>
      <w:r w:rsidR="00104415">
        <w:t xml:space="preserve"> </w:t>
      </w:r>
      <w:bookmarkEnd w:id="4"/>
    </w:p>
    <w:p w:rsidR="00104415" w:rsidRDefault="00104415" w:rsidP="00104415">
      <w:pPr>
        <w:pStyle w:val="CenterUnderline"/>
      </w:pPr>
    </w:p>
    <w:p w:rsidR="00104415" w:rsidRDefault="00104415" w:rsidP="00104415">
      <w:pPr>
        <w:pStyle w:val="OrderBody"/>
      </w:pPr>
      <w:r>
        <w:t>BY THE COMMISSION:</w:t>
      </w:r>
    </w:p>
    <w:p w:rsidR="00104415" w:rsidRDefault="00104415" w:rsidP="00104415">
      <w:pPr>
        <w:pStyle w:val="OrderBody"/>
      </w:pPr>
    </w:p>
    <w:p w:rsidR="00CB5276" w:rsidRDefault="00CB5276">
      <w:pPr>
        <w:pStyle w:val="OrderBody"/>
      </w:pPr>
      <w:bookmarkStart w:id="5" w:name="OrderText"/>
      <w:bookmarkEnd w:id="5"/>
    </w:p>
    <w:p w:rsidR="00A84535" w:rsidRDefault="00104415" w:rsidP="00A84535">
      <w:pPr>
        <w:pStyle w:val="OrderBody"/>
        <w:ind w:firstLine="720"/>
      </w:pPr>
      <w:r>
        <w:rPr>
          <w:lang w:val="en"/>
        </w:rPr>
        <w:t xml:space="preserve">Duke Energy Florida, LLC (DEF or Company) </w:t>
      </w:r>
      <w:r w:rsidR="00A84535" w:rsidRPr="009279B7">
        <w:t>file</w:t>
      </w:r>
      <w:r w:rsidR="00A84535">
        <w:t xml:space="preserve">d an application with the Florida Public Service Commission (“Commission”) on </w:t>
      </w:r>
      <w:r w:rsidR="007D00F1">
        <w:t>September 14</w:t>
      </w:r>
      <w:r w:rsidR="00A84535">
        <w:t xml:space="preserve">, 2023, pursuant to </w:t>
      </w:r>
      <w:r w:rsidR="00A84535" w:rsidRPr="009279B7">
        <w:t>Section 366.04, Florida Statu</w:t>
      </w:r>
      <w:r w:rsidR="00A84535">
        <w:t>t</w:t>
      </w:r>
      <w:r w:rsidR="00A84535" w:rsidRPr="009279B7">
        <w:t>es</w:t>
      </w:r>
      <w:r w:rsidR="00A84535">
        <w:t xml:space="preserve"> (“F.S.”),</w:t>
      </w:r>
      <w:r w:rsidR="00A84535" w:rsidRPr="009279B7">
        <w:t xml:space="preserve"> and </w:t>
      </w:r>
      <w:r w:rsidR="00A84535">
        <w:t>Chapter</w:t>
      </w:r>
      <w:r w:rsidR="00A84535" w:rsidRPr="009279B7">
        <w:t xml:space="preserve"> 25-8, Florida Administrative Code</w:t>
      </w:r>
      <w:r w:rsidR="00A84535">
        <w:t xml:space="preserve"> (“F.A.C.”)</w:t>
      </w:r>
      <w:r w:rsidR="00A84535" w:rsidRPr="009279B7">
        <w:t>, for authority to issue and</w:t>
      </w:r>
      <w:r w:rsidR="00A84535">
        <w:t>/or</w:t>
      </w:r>
      <w:r w:rsidR="00A84535" w:rsidRPr="009279B7">
        <w:t xml:space="preserve"> sell securities for </w:t>
      </w:r>
      <w:r w:rsidR="00A84535">
        <w:t xml:space="preserve">the 12-month </w:t>
      </w:r>
      <w:r w:rsidR="00A84535" w:rsidRPr="009279B7">
        <w:t xml:space="preserve">fiscal period </w:t>
      </w:r>
      <w:r w:rsidR="00A84535">
        <w:t>ending December 31, 2024.</w:t>
      </w:r>
    </w:p>
    <w:p w:rsidR="00A84535" w:rsidRDefault="00A84535" w:rsidP="00A84535">
      <w:pPr>
        <w:pStyle w:val="OrderBody"/>
      </w:pPr>
    </w:p>
    <w:p w:rsidR="00A84535" w:rsidRDefault="00A84535" w:rsidP="00A84535">
      <w:pPr>
        <w:pStyle w:val="OrderBody"/>
      </w:pPr>
      <w:r>
        <w:tab/>
        <w:t xml:space="preserve">Notice of DEF’s application was provided in the Florida Administrative Register on </w:t>
      </w:r>
      <w:r w:rsidR="007D00F1">
        <w:t>October 30</w:t>
      </w:r>
      <w:r>
        <w:t xml:space="preserve">, 2023. </w:t>
      </w:r>
      <w:r w:rsidRPr="00EB776E">
        <w:t>A final hearing took place on November 9, 2023.</w:t>
      </w:r>
    </w:p>
    <w:p w:rsidR="00A84535" w:rsidRDefault="00A84535" w:rsidP="00A84535">
      <w:pPr>
        <w:pStyle w:val="OrderBody"/>
      </w:pPr>
    </w:p>
    <w:p w:rsidR="00A84535" w:rsidRDefault="00A84535" w:rsidP="00A84535">
      <w:pPr>
        <w:pStyle w:val="OrderBody"/>
      </w:pPr>
      <w:r>
        <w:tab/>
        <w:t>We have jurisdiction over this matter pursuant to Section 366.04, F.S.</w:t>
      </w:r>
    </w:p>
    <w:p w:rsidR="00104415" w:rsidRDefault="00104415" w:rsidP="00A84535">
      <w:pPr>
        <w:autoSpaceDE w:val="0"/>
        <w:autoSpaceDN w:val="0"/>
        <w:adjustRightInd w:val="0"/>
        <w:ind w:firstLine="720"/>
        <w:jc w:val="both"/>
        <w:rPr>
          <w:lang w:val="en"/>
        </w:rPr>
      </w:pPr>
    </w:p>
    <w:p w:rsidR="00A84535" w:rsidRDefault="00A84535" w:rsidP="00A84535">
      <w:pPr>
        <w:pStyle w:val="ListParagraph"/>
        <w:numPr>
          <w:ilvl w:val="0"/>
          <w:numId w:val="1"/>
        </w:numPr>
        <w:jc w:val="both"/>
        <w:rPr>
          <w:b/>
        </w:rPr>
      </w:pPr>
      <w:r w:rsidRPr="007D47B1">
        <w:rPr>
          <w:b/>
        </w:rPr>
        <w:t>Proposed Transactions</w:t>
      </w:r>
    </w:p>
    <w:p w:rsidR="00104415" w:rsidRDefault="00104415" w:rsidP="00104415">
      <w:pPr>
        <w:rPr>
          <w:lang w:val="en"/>
        </w:rPr>
      </w:pPr>
    </w:p>
    <w:p w:rsidR="00A84535" w:rsidRDefault="00A84535" w:rsidP="00A84535">
      <w:pPr>
        <w:ind w:firstLine="720"/>
        <w:jc w:val="both"/>
      </w:pPr>
      <w:r>
        <w:rPr>
          <w:lang w:val="en"/>
        </w:rPr>
        <w:t xml:space="preserve">DEF seeks </w:t>
      </w:r>
      <w:r>
        <w:t xml:space="preserve">authority from the Florida Public Service Commission (the “Commission”) to issue, sell or otherwise incur during </w:t>
      </w:r>
      <w:r w:rsidRPr="007E5CAE">
        <w:t>20</w:t>
      </w:r>
      <w:r>
        <w:t xml:space="preserve">24 up to </w:t>
      </w:r>
      <w:r w:rsidRPr="00780100">
        <w:t>$</w:t>
      </w:r>
      <w:r w:rsidRPr="005F54DE">
        <w:t>1,500,000,000</w:t>
      </w:r>
      <w:r>
        <w:t xml:space="preserve"> of any combination of equity securities and long-term debt securities and other long-term obligations (exclusive of bank loans issued under the Company’s long-term credit facilities as mentioned below). Additionally, the Company requests authority to issue, sell or otherwise incur during </w:t>
      </w:r>
      <w:r w:rsidRPr="007E5CAE">
        <w:t>20</w:t>
      </w:r>
      <w:r>
        <w:t>24</w:t>
      </w:r>
      <w:r w:rsidRPr="007E5CAE">
        <w:t xml:space="preserve"> and 20</w:t>
      </w:r>
      <w:r>
        <w:t xml:space="preserve">25 up to </w:t>
      </w:r>
      <w:r w:rsidRPr="00780100">
        <w:t>$</w:t>
      </w:r>
      <w:r>
        <w:t>2,0</w:t>
      </w:r>
      <w:r w:rsidRPr="005F54DE">
        <w:t>00,000,000</w:t>
      </w:r>
      <w:r>
        <w:t xml:space="preserve"> outstanding at any time of short-term debt securities and other obligations, which amount shall be in addition to and in excess of the amount the Company is authorized to issue pursuant to Section 366.04, Florida Statutes, which permits the Company to issue short-term securities aggregating to not more than five percent of the par value of the Company’s other outstanding securities.</w:t>
      </w:r>
      <w:r w:rsidR="00415FD4">
        <w:t xml:space="preserve">  </w:t>
      </w:r>
      <w:r>
        <w:t xml:space="preserve">Short-term borrowings under this authority would most likely consist of </w:t>
      </w:r>
      <w:r>
        <w:lastRenderedPageBreak/>
        <w:t>borrowings under the utility money pool and/or master credit facility in which DEF is a participant along with the other utility subsidiaries of Duke Energy Corporation, or through direct, pre-payable bank loans.</w:t>
      </w:r>
      <w:r w:rsidDel="00492630">
        <w:t xml:space="preserve"> </w:t>
      </w:r>
    </w:p>
    <w:p w:rsidR="00A84535" w:rsidRDefault="00A84535" w:rsidP="00A84535">
      <w:pPr>
        <w:ind w:firstLine="720"/>
        <w:jc w:val="both"/>
      </w:pPr>
    </w:p>
    <w:p w:rsidR="00A84535" w:rsidRDefault="00A84535" w:rsidP="00A84535">
      <w:pPr>
        <w:ind w:firstLine="720"/>
        <w:jc w:val="both"/>
      </w:pPr>
      <w:r>
        <w:t xml:space="preserve">In furtherance of </w:t>
      </w:r>
      <w:r w:rsidR="00415FD4" w:rsidRPr="002C5C10">
        <w:t>its</w:t>
      </w:r>
      <w:r w:rsidR="00415FD4">
        <w:t xml:space="preserve"> </w:t>
      </w:r>
      <w:r>
        <w:t>request for authority pursuant to Section 366.04, Florida Statutes, the Company submits the following information in the manner and form described in Chapter 25-8, Florida Administrative Code, including the required Exhibits.</w:t>
      </w:r>
      <w:r w:rsidRPr="005B0B87">
        <w:t xml:space="preserve"> I</w:t>
      </w:r>
      <w:r w:rsidRPr="000D3494">
        <w:t xml:space="preserve">n Order No. PSC-13-0193-PAA-EI </w:t>
      </w:r>
      <w:r>
        <w:t xml:space="preserve">issued </w:t>
      </w:r>
      <w:r w:rsidRPr="000D3494">
        <w:t>May 6, 2013, the Commission require</w:t>
      </w:r>
      <w:r>
        <w:t>d</w:t>
      </w:r>
      <w:r w:rsidRPr="005B0B87">
        <w:t xml:space="preserve"> DEF to submit a Risk Management Plan for its interest rate derivative agreements (the “Plan”) with its annual petition to issue securities. </w:t>
      </w:r>
    </w:p>
    <w:p w:rsidR="00A84535" w:rsidRDefault="00A84535" w:rsidP="00A84535">
      <w:pPr>
        <w:ind w:firstLine="720"/>
        <w:jc w:val="both"/>
      </w:pPr>
    </w:p>
    <w:p w:rsidR="00A84535" w:rsidRDefault="00A84535" w:rsidP="00A84535">
      <w:pPr>
        <w:ind w:firstLine="720"/>
        <w:jc w:val="both"/>
      </w:pPr>
      <w:r w:rsidRPr="000A13BC">
        <w:t xml:space="preserve">The Company currently holds </w:t>
      </w:r>
      <w:r w:rsidRPr="00F37F0D">
        <w:t>$</w:t>
      </w:r>
      <w:r>
        <w:t>1</w:t>
      </w:r>
      <w:r w:rsidRPr="00E54D63">
        <w:t>09</w:t>
      </w:r>
      <w:r w:rsidRPr="006A3851">
        <w:t xml:space="preserve"> million</w:t>
      </w:r>
      <w:r w:rsidRPr="000A13BC">
        <w:t xml:space="preserve"> in pollution control or solid waste disposal bonds issued by Citrus County, Florida, which were originally offered and sold to the public. Citrus County loaned the proceeds of such sale to the Company in return for its obligation to pay interest and principal upon the bonds. The Company may choose to resell such bonds to the public in the future prior to their maturity. From time to time, the Company has redeemed certain outstanding first mortgage </w:t>
      </w:r>
      <w:r>
        <w:t xml:space="preserve">bonds and shares of its cumulative preferred stock, but such bonds and shares are canceled upon redemption or reacquisition.  </w:t>
      </w:r>
    </w:p>
    <w:p w:rsidR="00A84535" w:rsidRDefault="00A84535" w:rsidP="00A84535">
      <w:pPr>
        <w:ind w:firstLine="720"/>
        <w:jc w:val="both"/>
      </w:pPr>
    </w:p>
    <w:p w:rsidR="00A84535" w:rsidRDefault="00A84535" w:rsidP="00A84535">
      <w:pPr>
        <w:ind w:firstLine="720"/>
        <w:jc w:val="both"/>
      </w:pPr>
      <w:r>
        <w:t>From time to time, the Company issues first mortgage bonds that are secured by the lien of its Indenture, dated as of January 1, 1944 with The Bank of New York Mellon (formerly JPMorgan Chase Bank, N.A.) as successor trustee, as supplemented by supplemental indentures (the “Mortgage”). The Mortgage constitutes a first mortgage lien, subject only to permitted encumbrances and liens, on substantially all of the fixed properties owned by the Company except miscellaneous properties that are specifically excepted. After-acquired property is covered by the lien of the Mortgage, subject to existing liens at the time such property is acquired.</w:t>
      </w:r>
    </w:p>
    <w:p w:rsidR="00A84535" w:rsidRDefault="00A84535" w:rsidP="00A84535">
      <w:pPr>
        <w:ind w:firstLine="720"/>
        <w:jc w:val="both"/>
      </w:pPr>
      <w:r>
        <w:tab/>
      </w:r>
      <w:r>
        <w:tab/>
      </w:r>
    </w:p>
    <w:p w:rsidR="00A84535" w:rsidRDefault="00A84535" w:rsidP="00A84535">
      <w:pPr>
        <w:ind w:firstLine="720"/>
        <w:jc w:val="both"/>
      </w:pPr>
      <w:r>
        <w:t xml:space="preserve">All of the Company’s outstanding LLC membership interests are owned by the Company’s parent, </w:t>
      </w:r>
      <w:r w:rsidRPr="004E03E4">
        <w:t>Florida Progress</w:t>
      </w:r>
      <w:r>
        <w:t xml:space="preserve"> Corporation</w:t>
      </w:r>
      <w:r w:rsidRPr="004E03E4">
        <w:t>.</w:t>
      </w:r>
      <w:r>
        <w:t xml:space="preserve"> The Company has no other equity or debt owned by affiliated corporations. </w:t>
      </w:r>
    </w:p>
    <w:p w:rsidR="00A84535" w:rsidRDefault="00A84535" w:rsidP="00A84535">
      <w:pPr>
        <w:ind w:firstLine="720"/>
        <w:jc w:val="both"/>
      </w:pPr>
    </w:p>
    <w:p w:rsidR="00A84535" w:rsidRDefault="00A84535" w:rsidP="00332BB4">
      <w:pPr>
        <w:ind w:firstLine="720"/>
        <w:jc w:val="both"/>
      </w:pPr>
      <w:r>
        <w:t xml:space="preserve">The Company seeks authority to issue and sell and/or exchange equity securities and issue, sell, exchange and/or assume short-term or long-term debt securities and/or to assume liabilities or obligations as guarantor, endorser or surety during the period covered by the Application. The Company ultimately may issue any combination of the types of securities described below, subject to the aggregate dollar limitations requested in </w:t>
      </w:r>
      <w:r w:rsidR="00415FD4" w:rsidRPr="002C5C10">
        <w:t>its</w:t>
      </w:r>
      <w:r>
        <w:t xml:space="preserve"> Application.</w:t>
      </w:r>
      <w:r w:rsidRPr="00A84535">
        <w:t xml:space="preserve"> </w:t>
      </w:r>
      <w:r>
        <w:t xml:space="preserve">The kind and the nature of the securities that the Company seeks authority to issue and sell during </w:t>
      </w:r>
      <w:r w:rsidRPr="007E5CAE">
        <w:t>20</w:t>
      </w:r>
      <w:r>
        <w:t>24</w:t>
      </w:r>
      <w:r w:rsidRPr="007E5CAE">
        <w:t xml:space="preserve"> (and 20</w:t>
      </w:r>
      <w:r>
        <w:t>25 with respect to short-term debt securities and obligations) are equity securities and short-term and long-term debt securities and other obligations, including, but not limited to, borrowings from banks that are participants in credit facilities the Company may establish from time to time, uncommitted bank facilities, and affiliate loans which are available through the utility money pool.  The Company also seeks authority to enter into interest rate derivative contracts intended to reduce financial risk, and/or costs associated with its existing and future debt obligations.</w:t>
      </w:r>
    </w:p>
    <w:p w:rsidR="00332BB4" w:rsidRDefault="00332BB4" w:rsidP="00332BB4">
      <w:pPr>
        <w:ind w:firstLine="720"/>
        <w:jc w:val="both"/>
      </w:pPr>
    </w:p>
    <w:p w:rsidR="00332BB4" w:rsidRDefault="00332BB4" w:rsidP="00332BB4">
      <w:pPr>
        <w:ind w:firstLine="720"/>
        <w:jc w:val="both"/>
      </w:pPr>
      <w:r>
        <w:lastRenderedPageBreak/>
        <w:t>The equity securities that the Company may issue include newly issued classes of LLC membership interests or warrants, options or rights to acquire such securities, or other equity securities, with such terms and conditions, and relative rights and preferences as are deemed appropriate by the Company and permitted by its LLC agreement, as they may be amended from time to time.</w:t>
      </w:r>
    </w:p>
    <w:p w:rsidR="00332BB4" w:rsidRDefault="00332BB4" w:rsidP="00332BB4">
      <w:pPr>
        <w:ind w:firstLine="720"/>
        <w:jc w:val="both"/>
      </w:pPr>
    </w:p>
    <w:p w:rsidR="00332BB4" w:rsidRDefault="00332BB4" w:rsidP="00332BB4">
      <w:pPr>
        <w:ind w:firstLine="720"/>
        <w:jc w:val="both"/>
      </w:pPr>
      <w:r>
        <w:t>Short-term debt securities and obligations may include loans from affiliates (via the money pool or other means) and bank loans, credit agreements, or other forms of securities and debt obligations, with maturities of less than one year.</w:t>
      </w:r>
    </w:p>
    <w:p w:rsidR="00332BB4" w:rsidRDefault="00332BB4" w:rsidP="00332BB4">
      <w:pPr>
        <w:ind w:firstLine="720"/>
        <w:jc w:val="both"/>
      </w:pPr>
    </w:p>
    <w:p w:rsidR="00332BB4" w:rsidRDefault="00332BB4" w:rsidP="00332BB4">
      <w:pPr>
        <w:jc w:val="both"/>
      </w:pPr>
      <w:r>
        <w:tab/>
        <w:t xml:space="preserve">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the Company may enter into options, rights, interest rate swaps, or other derivative instruments. The Company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w:t>
      </w:r>
      <w:r w:rsidRPr="00095A0B">
        <w:t>one to forty years</w:t>
      </w:r>
      <w:r>
        <w:t>, or bond anticipation notes.  Such obligations may or may not bear interest exempt from federal tax.</w:t>
      </w:r>
    </w:p>
    <w:p w:rsidR="00ED5876" w:rsidRDefault="00ED5876" w:rsidP="00332BB4">
      <w:pPr>
        <w:jc w:val="both"/>
      </w:pPr>
    </w:p>
    <w:p w:rsidR="00332BB4" w:rsidRDefault="00332BB4" w:rsidP="00332BB4">
      <w:pPr>
        <w:jc w:val="both"/>
      </w:pPr>
      <w:r>
        <w:tab/>
        <w:t xml:space="preserve">The Company also may enter into </w:t>
      </w:r>
      <w:r w:rsidRPr="001A3926">
        <w:t>various agreements that provide financial or performance assurances to third parties. These agreements include guarantees, standby letters of credit</w:t>
      </w:r>
      <w:r>
        <w:t>,</w:t>
      </w:r>
      <w:r w:rsidRPr="001A3926">
        <w:t xml:space="preserve"> and surety bonds. Specific purposes of the agreements include supporting payments of trade payables, </w:t>
      </w:r>
      <w:r>
        <w:t xml:space="preserve">securing obligations under private activity bonds, </w:t>
      </w:r>
      <w:r w:rsidRPr="001A3926">
        <w:t>securing performance under contracts and lease obligations, providing workers’ compensation coverage, obtaining licenses, permits</w:t>
      </w:r>
      <w:r>
        <w:t>,</w:t>
      </w:r>
      <w:r w:rsidRPr="001A3926">
        <w:t xml:space="preserve"> and rights of way</w:t>
      </w:r>
      <w:r>
        <w:t>,</w:t>
      </w:r>
      <w:r w:rsidRPr="001A3926">
        <w:t xml:space="preserve"> and supporting other payments that are subject to contingencies.</w:t>
      </w:r>
    </w:p>
    <w:p w:rsidR="00332BB4" w:rsidRDefault="00332BB4" w:rsidP="00332BB4">
      <w:pPr>
        <w:jc w:val="both"/>
      </w:pPr>
    </w:p>
    <w:p w:rsidR="00332BB4" w:rsidRDefault="00332BB4" w:rsidP="00332BB4">
      <w:pPr>
        <w:jc w:val="both"/>
      </w:pPr>
      <w:r>
        <w:tab/>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or sales through agents, and may be issued in both domestic and foreign markets. Credit agreements may be with banks or other lenders. </w:t>
      </w:r>
    </w:p>
    <w:p w:rsidR="00332BB4" w:rsidRDefault="00332BB4" w:rsidP="00332BB4">
      <w:pPr>
        <w:jc w:val="both"/>
      </w:pPr>
    </w:p>
    <w:p w:rsidR="00332BB4" w:rsidRDefault="00332BB4" w:rsidP="00332BB4">
      <w:pPr>
        <w:ind w:firstLine="720"/>
        <w:jc w:val="both"/>
      </w:pPr>
      <w:r>
        <w:t xml:space="preserve">Contemplated to be included as long-term or short-term debt securities, as appropriate, are borrowings from banks and other lenders under the Company’s credit facilities, as those </w:t>
      </w:r>
      <w:r w:rsidRPr="00831EF6">
        <w:t xml:space="preserve">may be entered into and amended from time to time. As of </w:t>
      </w:r>
      <w:r w:rsidRPr="00796FA3">
        <w:t>August 1, 202</w:t>
      </w:r>
      <w:r>
        <w:t>3</w:t>
      </w:r>
      <w:r w:rsidRPr="00796FA3">
        <w:t xml:space="preserve"> the Company has </w:t>
      </w:r>
      <w:r w:rsidR="00415FD4" w:rsidRPr="002C5C10">
        <w:t>a</w:t>
      </w:r>
      <w:r w:rsidRPr="00796FA3">
        <w:t xml:space="preserve"> $</w:t>
      </w:r>
      <w:r w:rsidRPr="00781A19">
        <w:t>1.</w:t>
      </w:r>
      <w:r>
        <w:t>35</w:t>
      </w:r>
      <w:r w:rsidRPr="00951CCF">
        <w:t xml:space="preserve"> </w:t>
      </w:r>
      <w:r>
        <w:t>b</w:t>
      </w:r>
      <w:r w:rsidRPr="00951CCF">
        <w:t>illion borrowing sublimit under Duke Energy’s approximately $</w:t>
      </w:r>
      <w:r>
        <w:t>9</w:t>
      </w:r>
      <w:r w:rsidRPr="00951CCF">
        <w:t>.0 billion master credit facility with a group of banks. Duke Energy Florida’s maximum borrowing</w:t>
      </w:r>
      <w:r>
        <w:t xml:space="preserve"> sublimit under the master credit facility is </w:t>
      </w:r>
      <w:r w:rsidRPr="00951CCF">
        <w:t>$</w:t>
      </w:r>
      <w:r w:rsidRPr="00831EF6">
        <w:t>1</w:t>
      </w:r>
      <w:r w:rsidRPr="00796FA3">
        <w:t>.</w:t>
      </w:r>
      <w:r w:rsidRPr="00781A19">
        <w:t>35</w:t>
      </w:r>
      <w:r w:rsidRPr="00951CCF">
        <w:t xml:space="preserve"> billion</w:t>
      </w:r>
      <w:r>
        <w:t xml:space="preserve">, which provides liquidity and financial flexibility for DEF. </w:t>
      </w:r>
      <w:r>
        <w:lastRenderedPageBreak/>
        <w:t xml:space="preserve">Borrowings under the facility are available for general corporate purposes. </w:t>
      </w:r>
      <w:r w:rsidRPr="00951CCF">
        <w:t xml:space="preserve">The current five-year facility will expire on </w:t>
      </w:r>
      <w:r w:rsidRPr="00831EF6">
        <w:t>March 1</w:t>
      </w:r>
      <w:r>
        <w:t>7</w:t>
      </w:r>
      <w:r w:rsidRPr="00831EF6">
        <w:t xml:space="preserve">, </w:t>
      </w:r>
      <w:r w:rsidRPr="00796FA3">
        <w:t>202</w:t>
      </w:r>
      <w:r>
        <w:t>8</w:t>
      </w:r>
      <w:r w:rsidRPr="00796FA3">
        <w:t>.</w:t>
      </w:r>
    </w:p>
    <w:p w:rsidR="00ED5876" w:rsidRDefault="00ED5876" w:rsidP="00332BB4">
      <w:pPr>
        <w:ind w:firstLine="720"/>
        <w:jc w:val="both"/>
      </w:pPr>
    </w:p>
    <w:p w:rsidR="00332BB4" w:rsidRDefault="00332BB4" w:rsidP="00332BB4">
      <w:pPr>
        <w:ind w:firstLine="720"/>
        <w:jc w:val="both"/>
      </w:pPr>
      <w:r>
        <w:t xml:space="preserve">The maximum principal amount of short-term securities and obligations proposed to be issued, sold, or otherwise incurred during 2024 and 2025 is </w:t>
      </w:r>
      <w:r w:rsidRPr="00B579B9">
        <w:t>$</w:t>
      </w:r>
      <w:r>
        <w:t>2.0</w:t>
      </w:r>
      <w:r w:rsidRPr="00F37F0D">
        <w:t xml:space="preserve"> billion</w:t>
      </w:r>
      <w:r w:rsidRPr="00B579B9">
        <w:t xml:space="preserve"> outstanding at any time, including bank loans or money pool borrowings, which amoun</w:t>
      </w:r>
      <w:r>
        <w:t xml:space="preserve">t shall be in addition to and in excess of the amount the Company is authorized to issue pursuant to Section 366.04, Florida Statutes, which permits the Company to issue short-term securities aggregating not more than </w:t>
      </w:r>
      <w:r w:rsidRPr="005F54DE">
        <w:t>five percent</w:t>
      </w:r>
      <w:r>
        <w:t xml:space="preserve"> of the par value of the Company’s other outstanding securities.  The maximum principal amount of equity securities, long-term debt securities and other long-term obligations (exclusive of bank loans issued under the Company’s long-term credit facilities as mentioned above) proposed to be issued, sold, or otherwise incurred during 2024 </w:t>
      </w:r>
      <w:r w:rsidRPr="00B579B9">
        <w:t>is $</w:t>
      </w:r>
      <w:r w:rsidRPr="00F37F0D">
        <w:t>1.5 billion</w:t>
      </w:r>
      <w:r w:rsidRPr="007D1C35">
        <w:t>.</w:t>
      </w:r>
    </w:p>
    <w:p w:rsidR="00332BB4" w:rsidRDefault="00332BB4" w:rsidP="00332BB4">
      <w:pPr>
        <w:ind w:firstLine="720"/>
        <w:jc w:val="both"/>
      </w:pPr>
    </w:p>
    <w:p w:rsidR="00332BB4" w:rsidRDefault="00332BB4" w:rsidP="00332BB4">
      <w:pPr>
        <w:ind w:firstLine="720"/>
        <w:jc w:val="both"/>
      </w:pPr>
      <w:r>
        <w:t xml:space="preserve">In connection with </w:t>
      </w:r>
      <w:r w:rsidR="00CB71E0" w:rsidRPr="002C5C10">
        <w:t>its</w:t>
      </w:r>
      <w:r>
        <w:t xml:space="preserve"> Application, the Company confirms that the capital raised pursuant to </w:t>
      </w:r>
      <w:r w:rsidR="00CB71E0" w:rsidRPr="002C5C10">
        <w:t>its</w:t>
      </w:r>
      <w:r w:rsidR="00CB71E0">
        <w:t xml:space="preserve"> </w:t>
      </w:r>
      <w:r>
        <w:t>Application will be used in connection with the regulated activities of the Company and not the unregulated activities of its unregulated affiliates.</w:t>
      </w:r>
    </w:p>
    <w:p w:rsidR="00332BB4" w:rsidRDefault="00332BB4" w:rsidP="00332BB4">
      <w:pPr>
        <w:ind w:firstLine="720"/>
        <w:jc w:val="both"/>
      </w:pPr>
    </w:p>
    <w:p w:rsidR="00332BB4" w:rsidRDefault="00332BB4" w:rsidP="00332BB4">
      <w:pPr>
        <w:jc w:val="both"/>
      </w:pPr>
      <w:r>
        <w:tab/>
        <w:t xml:space="preserve">The Company will file a consummation report with the Commission in compliance with Rule 25-8.009, Florida Administrative Code, within 90 days after the close of the 2024 calendar year to report any securities issued during that year and to </w:t>
      </w:r>
      <w:r w:rsidRPr="00D071EF">
        <w:t xml:space="preserve">report the interest rate hedging </w:t>
      </w:r>
      <w:r>
        <w:t>activities</w:t>
      </w:r>
      <w:r w:rsidRPr="00D071EF">
        <w:t xml:space="preserve"> for the previous year</w:t>
      </w:r>
      <w:r>
        <w:t xml:space="preserve"> per Florida Public Service Commission Order No. </w:t>
      </w:r>
      <w:r w:rsidRPr="005B0B87">
        <w:t>PSC-13-0193-PAA-EI</w:t>
      </w:r>
      <w:r w:rsidRPr="00B15AD7">
        <w:t>.</w:t>
      </w:r>
      <w:r>
        <w:t xml:space="preserve"> </w:t>
      </w:r>
    </w:p>
    <w:p w:rsidR="00332BB4" w:rsidRDefault="00332BB4" w:rsidP="00332BB4">
      <w:pPr>
        <w:jc w:val="both"/>
      </w:pPr>
    </w:p>
    <w:p w:rsidR="00332BB4" w:rsidRDefault="00332BB4" w:rsidP="00332BB4">
      <w:pPr>
        <w:ind w:firstLine="720"/>
        <w:jc w:val="both"/>
      </w:pPr>
      <w:r>
        <w:t>The Company’s current estimate of the potential range of interest rates for securities proposed to be issued by the Company is as follows:</w:t>
      </w:r>
    </w:p>
    <w:p w:rsidR="00332BB4" w:rsidRPr="007D1C35" w:rsidRDefault="00332BB4" w:rsidP="00332BB4">
      <w:pPr>
        <w:ind w:firstLine="720"/>
        <w:jc w:val="both"/>
      </w:pPr>
    </w:p>
    <w:tbl>
      <w:tblPr>
        <w:tblStyle w:val="TableGrid"/>
        <w:tblW w:w="0" w:type="auto"/>
        <w:tblLook w:val="04A0" w:firstRow="1" w:lastRow="0" w:firstColumn="1" w:lastColumn="0" w:noHBand="0" w:noVBand="1"/>
      </w:tblPr>
      <w:tblGrid>
        <w:gridCol w:w="6498"/>
        <w:gridCol w:w="3078"/>
      </w:tblGrid>
      <w:tr w:rsidR="00332BB4" w:rsidTr="00CA1AEF">
        <w:tc>
          <w:tcPr>
            <w:tcW w:w="6498" w:type="dxa"/>
          </w:tcPr>
          <w:p w:rsidR="00332BB4" w:rsidRDefault="00332BB4" w:rsidP="00CA1AEF">
            <w:pPr>
              <w:pStyle w:val="OrderBody"/>
            </w:pPr>
            <w:r>
              <w:t>1.      10-year to 30 year A- rated senior unsecured debt:</w:t>
            </w:r>
          </w:p>
        </w:tc>
        <w:tc>
          <w:tcPr>
            <w:tcW w:w="3078" w:type="dxa"/>
          </w:tcPr>
          <w:p w:rsidR="00332BB4" w:rsidRDefault="00332BB4" w:rsidP="00332BB4">
            <w:pPr>
              <w:pStyle w:val="OrderBody"/>
              <w:jc w:val="center"/>
            </w:pPr>
            <w:r>
              <w:t>5.50</w:t>
            </w:r>
            <w:r w:rsidRPr="004B7717">
              <w:t xml:space="preserve">% − </w:t>
            </w:r>
            <w:r>
              <w:t>7.00</w:t>
            </w:r>
            <w:r w:rsidRPr="004B7717">
              <w:t>%</w:t>
            </w:r>
          </w:p>
        </w:tc>
      </w:tr>
      <w:tr w:rsidR="00332BB4" w:rsidTr="00CA1AEF">
        <w:tc>
          <w:tcPr>
            <w:tcW w:w="6498" w:type="dxa"/>
          </w:tcPr>
          <w:p w:rsidR="00332BB4" w:rsidRDefault="00332BB4" w:rsidP="00CA1AEF">
            <w:pPr>
              <w:pStyle w:val="OrderBody"/>
            </w:pPr>
            <w:r>
              <w:t>2.      10-year to 30-year A rated first mortgage bonds:</w:t>
            </w:r>
          </w:p>
        </w:tc>
        <w:tc>
          <w:tcPr>
            <w:tcW w:w="3078" w:type="dxa"/>
          </w:tcPr>
          <w:p w:rsidR="00332BB4" w:rsidRDefault="00332BB4" w:rsidP="00332BB4">
            <w:pPr>
              <w:pStyle w:val="OrderBody"/>
              <w:jc w:val="center"/>
            </w:pPr>
            <w:r>
              <w:t>5.25</w:t>
            </w:r>
            <w:r w:rsidRPr="004B7717">
              <w:t xml:space="preserve">% − </w:t>
            </w:r>
            <w:r>
              <w:t>6.75</w:t>
            </w:r>
            <w:r w:rsidRPr="004B7717">
              <w:t>%</w:t>
            </w:r>
          </w:p>
        </w:tc>
      </w:tr>
      <w:tr w:rsidR="00332BB4" w:rsidTr="00CA1AEF">
        <w:tc>
          <w:tcPr>
            <w:tcW w:w="6498" w:type="dxa"/>
          </w:tcPr>
          <w:p w:rsidR="00332BB4" w:rsidRDefault="00332BB4" w:rsidP="00CA1AEF">
            <w:pPr>
              <w:pStyle w:val="OrderBody"/>
            </w:pPr>
            <w:r>
              <w:t>3.      Borrowings through the Duke Energy utility money pool:</w:t>
            </w:r>
          </w:p>
        </w:tc>
        <w:tc>
          <w:tcPr>
            <w:tcW w:w="3078" w:type="dxa"/>
          </w:tcPr>
          <w:p w:rsidR="00332BB4" w:rsidRDefault="00332BB4" w:rsidP="00332BB4">
            <w:pPr>
              <w:pStyle w:val="OrderBody"/>
              <w:jc w:val="center"/>
            </w:pPr>
            <w:r>
              <w:t>4.75</w:t>
            </w:r>
            <w:r w:rsidRPr="004B7717">
              <w:t xml:space="preserve">% − </w:t>
            </w:r>
            <w:r>
              <w:t>6.00</w:t>
            </w:r>
            <w:r w:rsidRPr="004B7717">
              <w:t>%</w:t>
            </w:r>
          </w:p>
        </w:tc>
      </w:tr>
      <w:tr w:rsidR="00332BB4" w:rsidTr="00CA1AEF">
        <w:tc>
          <w:tcPr>
            <w:tcW w:w="6498" w:type="dxa"/>
          </w:tcPr>
          <w:p w:rsidR="00332BB4" w:rsidRDefault="00332BB4" w:rsidP="00CA1AEF">
            <w:pPr>
              <w:pStyle w:val="OrderBody"/>
            </w:pPr>
            <w:r>
              <w:t>4.      Accounts receivable securitized debt:</w:t>
            </w:r>
          </w:p>
        </w:tc>
        <w:tc>
          <w:tcPr>
            <w:tcW w:w="3078" w:type="dxa"/>
          </w:tcPr>
          <w:p w:rsidR="00332BB4" w:rsidRDefault="00332BB4" w:rsidP="00332BB4">
            <w:pPr>
              <w:pStyle w:val="OrderBody"/>
              <w:jc w:val="center"/>
            </w:pPr>
            <w:r>
              <w:t>5.00</w:t>
            </w:r>
            <w:r w:rsidRPr="004B7717">
              <w:t xml:space="preserve">% − </w:t>
            </w:r>
            <w:r>
              <w:t>6.50</w:t>
            </w:r>
            <w:r w:rsidRPr="004B7717">
              <w:t>%</w:t>
            </w:r>
          </w:p>
        </w:tc>
      </w:tr>
    </w:tbl>
    <w:p w:rsidR="00332BB4" w:rsidRDefault="00332BB4" w:rsidP="00332BB4">
      <w:pPr>
        <w:ind w:firstLine="720"/>
        <w:jc w:val="both"/>
      </w:pPr>
    </w:p>
    <w:p w:rsidR="00332BB4" w:rsidRDefault="00332BB4" w:rsidP="00332BB4">
      <w:pPr>
        <w:ind w:firstLine="720"/>
        <w:jc w:val="both"/>
      </w:pPr>
      <w:r w:rsidRPr="001A2546">
        <w:t>The actual rates to be paid by the Company on securities issued will be determined by the market conditions at the time of issuance.</w:t>
      </w:r>
    </w:p>
    <w:p w:rsidR="00332BB4" w:rsidRDefault="00332BB4" w:rsidP="00332BB4">
      <w:pPr>
        <w:ind w:firstLine="720"/>
        <w:jc w:val="both"/>
      </w:pPr>
    </w:p>
    <w:p w:rsidR="00332BB4" w:rsidRDefault="00332BB4" w:rsidP="00332BB4">
      <w:pPr>
        <w:pStyle w:val="OrderBody"/>
        <w:numPr>
          <w:ilvl w:val="0"/>
          <w:numId w:val="1"/>
        </w:numPr>
        <w:rPr>
          <w:b/>
        </w:rPr>
      </w:pPr>
      <w:r w:rsidRPr="00604989">
        <w:rPr>
          <w:b/>
        </w:rPr>
        <w:t>Purpose of Issuance</w:t>
      </w:r>
    </w:p>
    <w:p w:rsidR="00A84535" w:rsidRDefault="00A84535" w:rsidP="00A84535">
      <w:pPr>
        <w:ind w:firstLine="720"/>
        <w:jc w:val="both"/>
        <w:rPr>
          <w:lang w:val="en"/>
        </w:rPr>
      </w:pPr>
    </w:p>
    <w:p w:rsidR="00332BB4" w:rsidRDefault="00332BB4" w:rsidP="00332BB4">
      <w:pPr>
        <w:ind w:firstLine="720"/>
        <w:jc w:val="both"/>
      </w:pPr>
      <w:r w:rsidRPr="001A2546">
        <w:t>The net proceeds to be received from the sale of the additional securities will be added to the Company’s general funds and may be used to provide additional electric facilities during 20</w:t>
      </w:r>
      <w:r>
        <w:t>24</w:t>
      </w:r>
      <w:r w:rsidRPr="001A2546">
        <w:t xml:space="preserve"> pursuant to the Company’s construction program, to repay maturing long-term debt or short-term debt, to refund, retire or redeem existing obligations, or for other corporate</w:t>
      </w:r>
      <w:r>
        <w:t xml:space="preserve"> purposes.</w:t>
      </w:r>
    </w:p>
    <w:p w:rsidR="00332BB4" w:rsidRDefault="00332BB4" w:rsidP="00332BB4">
      <w:pPr>
        <w:ind w:firstLine="720"/>
        <w:jc w:val="both"/>
      </w:pPr>
    </w:p>
    <w:p w:rsidR="00332BB4" w:rsidRDefault="00332BB4" w:rsidP="00332BB4">
      <w:pPr>
        <w:ind w:firstLine="720"/>
        <w:jc w:val="both"/>
      </w:pPr>
      <w:r>
        <w:t>The Company’s construction program is developed from its long-range plan to determine needed capital investments. While the final 2024 c</w:t>
      </w:r>
      <w:r w:rsidRPr="001A2546">
        <w:t xml:space="preserve">onstruction </w:t>
      </w:r>
      <w:r>
        <w:t>b</w:t>
      </w:r>
      <w:r w:rsidRPr="001A2546">
        <w:t>udget is not yet available</w:t>
      </w:r>
      <w:r w:rsidRPr="003814D8">
        <w:t>, the</w:t>
      </w:r>
      <w:r>
        <w:t xml:space="preserve"> Company’s most recently approved construction expenditures forecast for 2024, excluding Allowance for Funds Used During Construction (“AFUDC”), is </w:t>
      </w:r>
      <w:r w:rsidRPr="000A13BC">
        <w:t xml:space="preserve">approximately </w:t>
      </w:r>
      <w:r w:rsidRPr="00D77B41">
        <w:t>$</w:t>
      </w:r>
      <w:r w:rsidRPr="005C2E85">
        <w:t>2.</w:t>
      </w:r>
      <w:r>
        <w:t xml:space="preserve">6 </w:t>
      </w:r>
      <w:r w:rsidRPr="00E5227B">
        <w:t>billion</w:t>
      </w:r>
      <w:r>
        <w:t xml:space="preserve">. </w:t>
      </w:r>
      <w:r>
        <w:lastRenderedPageBreak/>
        <w:t>These construction estimates are subject to periodic review and revision to adjust for changes in such factors as economic conditions, environmental requirements, regulatory matters, and customer usage patterns.</w:t>
      </w:r>
    </w:p>
    <w:p w:rsidR="00332BB4" w:rsidRDefault="00332BB4" w:rsidP="00332BB4">
      <w:pPr>
        <w:pStyle w:val="OrderBody"/>
        <w:numPr>
          <w:ilvl w:val="0"/>
          <w:numId w:val="1"/>
        </w:numPr>
        <w:rPr>
          <w:b/>
        </w:rPr>
      </w:pPr>
      <w:r w:rsidRPr="00604989">
        <w:rPr>
          <w:b/>
        </w:rPr>
        <w:t>Conclusion</w:t>
      </w:r>
    </w:p>
    <w:p w:rsidR="00332BB4" w:rsidRDefault="00332BB4" w:rsidP="00A84535">
      <w:pPr>
        <w:ind w:firstLine="720"/>
        <w:jc w:val="both"/>
        <w:rPr>
          <w:lang w:val="en"/>
        </w:rPr>
      </w:pPr>
    </w:p>
    <w:p w:rsidR="00332BB4" w:rsidRDefault="00332BB4" w:rsidP="00A84535">
      <w:pPr>
        <w:ind w:firstLine="720"/>
        <w:jc w:val="both"/>
      </w:pPr>
      <w:r w:rsidRPr="00604989">
        <w:t>Based on the reasons shown</w:t>
      </w:r>
      <w:r>
        <w:t xml:space="preserve"> above, </w:t>
      </w:r>
      <w:r w:rsidRPr="00604989">
        <w:t>the Company submits that the proposed financings are consistent with proper performance by the Company of its service as a public utility, will enable and permit the Company to perform that service, are compatible with the public interest and are reasonably necessary and appropriate for such purposes.</w:t>
      </w:r>
    </w:p>
    <w:p w:rsidR="00332BB4" w:rsidRDefault="00332BB4" w:rsidP="00A84535">
      <w:pPr>
        <w:ind w:firstLine="720"/>
        <w:jc w:val="both"/>
      </w:pPr>
    </w:p>
    <w:p w:rsidR="00332BB4" w:rsidRDefault="00332BB4" w:rsidP="00A84535">
      <w:pPr>
        <w:ind w:firstLine="720"/>
        <w:jc w:val="both"/>
        <w:rPr>
          <w:lang w:val="en"/>
        </w:rPr>
      </w:pPr>
      <w:r w:rsidRPr="00604989">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104415" w:rsidRDefault="00104415" w:rsidP="00104415">
      <w:pPr>
        <w:rPr>
          <w:lang w:val="en"/>
        </w:rPr>
      </w:pPr>
    </w:p>
    <w:p w:rsidR="00104415" w:rsidRDefault="00104415" w:rsidP="00104415">
      <w:pPr>
        <w:pStyle w:val="OrderBody"/>
      </w:pPr>
      <w:r>
        <w:tab/>
        <w:t>Based on the foregoing, it is</w:t>
      </w:r>
    </w:p>
    <w:p w:rsidR="00104415" w:rsidRDefault="00104415" w:rsidP="00104415">
      <w:pPr>
        <w:pStyle w:val="OrderBody"/>
      </w:pPr>
    </w:p>
    <w:p w:rsidR="00332BB4" w:rsidRPr="00985A03" w:rsidRDefault="00104415" w:rsidP="00332BB4">
      <w:pPr>
        <w:pStyle w:val="OrderBody"/>
        <w:spacing w:after="240"/>
      </w:pPr>
      <w:r>
        <w:tab/>
      </w:r>
      <w:r w:rsidR="00332BB4">
        <w:t>ORDERED by the Florida Public Service Commission that t</w:t>
      </w:r>
      <w:r w:rsidR="00332BB4" w:rsidRPr="00985A03">
        <w:t>he request of Duke Energy Florida, LLC to issue and sell securities during the twelve mo</w:t>
      </w:r>
      <w:r w:rsidR="00332BB4">
        <w:t>nths ending December 31, 2024</w:t>
      </w:r>
      <w:r w:rsidR="00332BB4" w:rsidRPr="00985A03">
        <w:t xml:space="preserve">, is </w:t>
      </w:r>
      <w:r w:rsidR="00332BB4">
        <w:t xml:space="preserve">hereby </w:t>
      </w:r>
      <w:r w:rsidR="00332BB4" w:rsidRPr="00985A03">
        <w:t>granted.</w:t>
      </w:r>
      <w:r w:rsidR="00332BB4">
        <w:t xml:space="preserve"> It is further</w:t>
      </w:r>
    </w:p>
    <w:p w:rsidR="00332BB4" w:rsidRDefault="00332BB4" w:rsidP="00332BB4">
      <w:pPr>
        <w:pStyle w:val="OrderBody"/>
        <w:spacing w:after="240"/>
      </w:pPr>
      <w:r>
        <w:tab/>
        <w:t xml:space="preserve">ORDERED </w:t>
      </w:r>
      <w:r w:rsidRPr="00985A03">
        <w:t>Duke Energy Florida, LLC is authorized to issue, sell, or otherwise incur during 202</w:t>
      </w:r>
      <w:r>
        <w:t>4</w:t>
      </w:r>
      <w:r w:rsidRPr="00985A03">
        <w:t xml:space="preserve"> up to $1.5 billion of any combination of equity securities and long-term debt securities and other long-term obligations </w:t>
      </w:r>
      <w:r>
        <w:t>is hereby granted. It is further</w:t>
      </w:r>
    </w:p>
    <w:p w:rsidR="00332BB4" w:rsidRDefault="00332BB4" w:rsidP="00332BB4">
      <w:pPr>
        <w:pStyle w:val="OrderBody"/>
        <w:spacing w:after="240"/>
      </w:pPr>
      <w:r>
        <w:tab/>
        <w:t xml:space="preserve">ORDERED </w:t>
      </w:r>
      <w:r w:rsidRPr="00985A03">
        <w:t>Duke Energy Florida, LLC is authorized to issue, sell, or otherwise incur during</w:t>
      </w:r>
      <w:r>
        <w:t xml:space="preserve"> 2024 and 2025 up to $2.0 billion outstanding at any time of short-term debt securities and other obligations is hereby granted. It is further</w:t>
      </w:r>
    </w:p>
    <w:p w:rsidR="00332BB4" w:rsidRDefault="00332BB4" w:rsidP="00332BB4">
      <w:pPr>
        <w:pStyle w:val="OrderBody"/>
        <w:spacing w:after="240"/>
      </w:pPr>
      <w:r>
        <w:tab/>
        <w:t xml:space="preserve">ORDERED Duke Energy Florida, LLC will file a consummation report with us in compliance with Rule 25-8.009, Florida Administrative Code, and Florida Public Service Commission Order </w:t>
      </w:r>
      <w:r w:rsidRPr="001A1550">
        <w:t xml:space="preserve">No. </w:t>
      </w:r>
      <w:r w:rsidRPr="005B0B87">
        <w:t>PSC-13-0193-PAA-EI</w:t>
      </w:r>
      <w:r w:rsidRPr="001A1550">
        <w:t xml:space="preserve"> within</w:t>
      </w:r>
      <w:r>
        <w:t xml:space="preserve"> 90 days after the close of the 2024 calendar year. It is further</w:t>
      </w:r>
    </w:p>
    <w:p w:rsidR="00332BB4" w:rsidRDefault="00332BB4" w:rsidP="00332BB4">
      <w:pPr>
        <w:pStyle w:val="OrderBody"/>
        <w:keepNext/>
        <w:keepLines/>
      </w:pPr>
      <w:r>
        <w:tab/>
        <w:t>ORDERED that this docket shall remain open until May 2, 2025, to monitor the issuance and/or sale of securities until Duke Energy Florida, LLC submits and Commission staff has reviewed the Consummation Report, at which time it shall be closed administratively.</w:t>
      </w:r>
    </w:p>
    <w:p w:rsidR="00104415" w:rsidRDefault="00104415" w:rsidP="00104415">
      <w:pPr>
        <w:pStyle w:val="OrderBody"/>
      </w:pPr>
    </w:p>
    <w:p w:rsidR="00104415" w:rsidRDefault="00104415" w:rsidP="00104415">
      <w:pPr>
        <w:pStyle w:val="OrderBody"/>
      </w:pPr>
    </w:p>
    <w:p w:rsidR="00104415" w:rsidRDefault="00104415" w:rsidP="00104415">
      <w:pPr>
        <w:pStyle w:val="OrderBody"/>
        <w:keepNext/>
        <w:keepLines/>
      </w:pPr>
      <w:r>
        <w:lastRenderedPageBreak/>
        <w:tab/>
        <w:t xml:space="preserve">By ORDER of the Florida Public Service Commission this </w:t>
      </w:r>
      <w:bookmarkStart w:id="6" w:name="replaceDate"/>
      <w:bookmarkEnd w:id="6"/>
      <w:r w:rsidR="00C745E8">
        <w:rPr>
          <w:u w:val="single"/>
        </w:rPr>
        <w:t>28th</w:t>
      </w:r>
      <w:r w:rsidR="00C745E8">
        <w:t xml:space="preserve"> day of </w:t>
      </w:r>
      <w:r w:rsidR="00C745E8">
        <w:rPr>
          <w:u w:val="single"/>
        </w:rPr>
        <w:t>November</w:t>
      </w:r>
      <w:r w:rsidR="00C745E8">
        <w:t xml:space="preserve">, </w:t>
      </w:r>
      <w:r w:rsidR="00C745E8">
        <w:rPr>
          <w:u w:val="single"/>
        </w:rPr>
        <w:t>2023</w:t>
      </w:r>
      <w:r w:rsidR="00C745E8">
        <w:t>.</w:t>
      </w:r>
    </w:p>
    <w:p w:rsidR="00C745E8" w:rsidRPr="00C745E8" w:rsidRDefault="00C745E8" w:rsidP="00104415">
      <w:pPr>
        <w:pStyle w:val="OrderBody"/>
        <w:keepNext/>
        <w:keepLines/>
      </w:pPr>
    </w:p>
    <w:p w:rsidR="00104415" w:rsidRDefault="00104415" w:rsidP="00104415">
      <w:pPr>
        <w:pStyle w:val="OrderBody"/>
        <w:keepNext/>
        <w:keepLines/>
      </w:pPr>
    </w:p>
    <w:p w:rsidR="00104415" w:rsidRDefault="00104415" w:rsidP="0010441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4415" w:rsidTr="00104415">
        <w:tc>
          <w:tcPr>
            <w:tcW w:w="720" w:type="dxa"/>
            <w:shd w:val="clear" w:color="auto" w:fill="auto"/>
          </w:tcPr>
          <w:p w:rsidR="00104415" w:rsidRDefault="00104415" w:rsidP="00104415">
            <w:pPr>
              <w:pStyle w:val="OrderBody"/>
              <w:keepNext/>
              <w:keepLines/>
            </w:pPr>
            <w:bookmarkStart w:id="7" w:name="bkmrkSignature" w:colFirst="0" w:colLast="0"/>
          </w:p>
        </w:tc>
        <w:tc>
          <w:tcPr>
            <w:tcW w:w="4320" w:type="dxa"/>
            <w:tcBorders>
              <w:bottom w:val="single" w:sz="4" w:space="0" w:color="auto"/>
            </w:tcBorders>
            <w:shd w:val="clear" w:color="auto" w:fill="auto"/>
          </w:tcPr>
          <w:p w:rsidR="00104415" w:rsidRDefault="00D3609E" w:rsidP="00104415">
            <w:pPr>
              <w:pStyle w:val="OrderBody"/>
              <w:keepNext/>
              <w:keepLines/>
            </w:pPr>
            <w:r>
              <w:t>/s/ Adam J. Teitzman</w:t>
            </w:r>
            <w:bookmarkStart w:id="8" w:name="_GoBack"/>
            <w:bookmarkEnd w:id="8"/>
          </w:p>
        </w:tc>
      </w:tr>
      <w:bookmarkEnd w:id="7"/>
      <w:tr w:rsidR="00104415" w:rsidTr="00104415">
        <w:tc>
          <w:tcPr>
            <w:tcW w:w="720" w:type="dxa"/>
            <w:shd w:val="clear" w:color="auto" w:fill="auto"/>
          </w:tcPr>
          <w:p w:rsidR="00104415" w:rsidRDefault="00104415" w:rsidP="00104415">
            <w:pPr>
              <w:pStyle w:val="OrderBody"/>
              <w:keepNext/>
              <w:keepLines/>
            </w:pPr>
          </w:p>
        </w:tc>
        <w:tc>
          <w:tcPr>
            <w:tcW w:w="4320" w:type="dxa"/>
            <w:tcBorders>
              <w:top w:val="single" w:sz="4" w:space="0" w:color="auto"/>
            </w:tcBorders>
            <w:shd w:val="clear" w:color="auto" w:fill="auto"/>
          </w:tcPr>
          <w:p w:rsidR="00104415" w:rsidRDefault="00104415" w:rsidP="00104415">
            <w:pPr>
              <w:pStyle w:val="OrderBody"/>
              <w:keepNext/>
              <w:keepLines/>
            </w:pPr>
            <w:r>
              <w:t>ADAM J. TEITZMAN</w:t>
            </w:r>
          </w:p>
          <w:p w:rsidR="00104415" w:rsidRDefault="00104415" w:rsidP="00104415">
            <w:pPr>
              <w:pStyle w:val="OrderBody"/>
              <w:keepNext/>
              <w:keepLines/>
            </w:pPr>
            <w:r>
              <w:t>Commission Clerk</w:t>
            </w:r>
          </w:p>
        </w:tc>
      </w:tr>
    </w:tbl>
    <w:p w:rsidR="00104415" w:rsidRDefault="00104415" w:rsidP="00104415">
      <w:pPr>
        <w:pStyle w:val="OrderSigInfo"/>
        <w:keepNext/>
        <w:keepLines/>
      </w:pPr>
      <w:r>
        <w:t>Florida Public Service Commission</w:t>
      </w:r>
    </w:p>
    <w:p w:rsidR="00104415" w:rsidRDefault="00104415" w:rsidP="00104415">
      <w:pPr>
        <w:pStyle w:val="OrderSigInfo"/>
        <w:keepNext/>
        <w:keepLines/>
      </w:pPr>
      <w:r>
        <w:t>2540 Shumard Oak Boulevard</w:t>
      </w:r>
    </w:p>
    <w:p w:rsidR="00104415" w:rsidRDefault="00104415" w:rsidP="00104415">
      <w:pPr>
        <w:pStyle w:val="OrderSigInfo"/>
        <w:keepNext/>
        <w:keepLines/>
      </w:pPr>
      <w:r>
        <w:t>Tallahassee, Florida 32399</w:t>
      </w:r>
    </w:p>
    <w:p w:rsidR="00104415" w:rsidRDefault="00104415" w:rsidP="00104415">
      <w:pPr>
        <w:pStyle w:val="OrderSigInfo"/>
        <w:keepNext/>
        <w:keepLines/>
      </w:pPr>
      <w:r>
        <w:t>(850) 413</w:t>
      </w:r>
      <w:r>
        <w:noBreakHyphen/>
        <w:t>6770</w:t>
      </w:r>
    </w:p>
    <w:p w:rsidR="00104415" w:rsidRDefault="00104415" w:rsidP="00104415">
      <w:pPr>
        <w:pStyle w:val="OrderSigInfo"/>
        <w:keepNext/>
        <w:keepLines/>
      </w:pPr>
      <w:r>
        <w:t>www.floridapsc.com</w:t>
      </w:r>
    </w:p>
    <w:p w:rsidR="00104415" w:rsidRDefault="00104415" w:rsidP="00104415">
      <w:pPr>
        <w:pStyle w:val="OrderSigInfo"/>
        <w:keepNext/>
        <w:keepLines/>
      </w:pPr>
    </w:p>
    <w:p w:rsidR="00104415" w:rsidRDefault="00104415" w:rsidP="00104415">
      <w:pPr>
        <w:pStyle w:val="OrderSigInfo"/>
        <w:keepNext/>
        <w:keepLines/>
      </w:pPr>
      <w:r>
        <w:t>Copies furnished:  A copy of this document is provided to the parties of record at the time of issuance and, if applicable, interested persons.</w:t>
      </w:r>
    </w:p>
    <w:p w:rsidR="00104415" w:rsidRDefault="00104415" w:rsidP="00104415">
      <w:pPr>
        <w:pStyle w:val="OrderBody"/>
        <w:keepNext/>
        <w:keepLines/>
      </w:pPr>
    </w:p>
    <w:p w:rsidR="00104415" w:rsidRDefault="00104415" w:rsidP="00104415">
      <w:pPr>
        <w:pStyle w:val="OrderBody"/>
        <w:keepNext/>
        <w:keepLines/>
      </w:pPr>
    </w:p>
    <w:p w:rsidR="00104415" w:rsidRDefault="00104415" w:rsidP="00104415">
      <w:pPr>
        <w:pStyle w:val="OrderBody"/>
        <w:keepNext/>
        <w:keepLines/>
      </w:pPr>
      <w:r>
        <w:t>TPS</w:t>
      </w:r>
    </w:p>
    <w:p w:rsidR="00104415" w:rsidRDefault="00104415" w:rsidP="00104415">
      <w:pPr>
        <w:pStyle w:val="OrderBody"/>
      </w:pPr>
    </w:p>
    <w:p w:rsidR="00104415" w:rsidRDefault="00104415" w:rsidP="00104415">
      <w:pPr>
        <w:pStyle w:val="OrderBody"/>
      </w:pPr>
    </w:p>
    <w:p w:rsidR="00104415" w:rsidRDefault="00104415" w:rsidP="00104415">
      <w:pPr>
        <w:pStyle w:val="OrderBody"/>
      </w:pPr>
    </w:p>
    <w:p w:rsidR="00104415" w:rsidRDefault="00104415" w:rsidP="00104415">
      <w:pPr>
        <w:pStyle w:val="OrderBody"/>
      </w:pPr>
    </w:p>
    <w:p w:rsidR="00104415" w:rsidRDefault="00104415" w:rsidP="00104415">
      <w:pPr>
        <w:pStyle w:val="CenterUnderline"/>
      </w:pPr>
      <w:r>
        <w:t>NOTICE OF FURTHER PROCEEDINGS OR JUDICIAL REVIEW</w:t>
      </w:r>
    </w:p>
    <w:p w:rsidR="00104415" w:rsidRDefault="00104415" w:rsidP="00104415">
      <w:pPr>
        <w:pStyle w:val="CenterUnderline"/>
      </w:pPr>
    </w:p>
    <w:p w:rsidR="00104415" w:rsidRDefault="00104415" w:rsidP="00104415">
      <w:pPr>
        <w:pStyle w:val="OrderBody"/>
      </w:pPr>
    </w:p>
    <w:p w:rsidR="00104415" w:rsidRDefault="00104415" w:rsidP="001044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4415" w:rsidRDefault="00104415" w:rsidP="00104415">
      <w:pPr>
        <w:pStyle w:val="OrderBody"/>
      </w:pPr>
    </w:p>
    <w:p w:rsidR="00104415" w:rsidRPr="00104415" w:rsidRDefault="00104415" w:rsidP="0010441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104415" w:rsidRPr="001044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415" w:rsidRDefault="00104415">
      <w:r>
        <w:separator/>
      </w:r>
    </w:p>
  </w:endnote>
  <w:endnote w:type="continuationSeparator" w:id="0">
    <w:p w:rsidR="00104415" w:rsidRDefault="0010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415" w:rsidRDefault="00104415">
      <w:r>
        <w:separator/>
      </w:r>
    </w:p>
  </w:footnote>
  <w:footnote w:type="continuationSeparator" w:id="0">
    <w:p w:rsidR="00104415" w:rsidRDefault="0010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5 ">
      <w:r w:rsidR="00C745E8">
        <w:t>PSC-2023-0355-FOF-EI</w:t>
      </w:r>
    </w:fldSimple>
  </w:p>
  <w:p w:rsidR="00FA6EFD" w:rsidRDefault="00104415">
    <w:pPr>
      <w:pStyle w:val="OrderHeader"/>
    </w:pPr>
    <w:bookmarkStart w:id="9" w:name="HeaderDocketNo"/>
    <w:bookmarkEnd w:id="9"/>
    <w:r>
      <w:t>DOCKET NO. 20230105-EI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609E">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6CAC"/>
    <w:multiLevelType w:val="hybridMultilevel"/>
    <w:tmpl w:val="F1DC4C94"/>
    <w:lvl w:ilvl="0" w:tplc="20BA0A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5-EI"/>
  </w:docVars>
  <w:rsids>
    <w:rsidRoot w:val="00104415"/>
    <w:rsid w:val="000022B8"/>
    <w:rsid w:val="00003883"/>
    <w:rsid w:val="00011251"/>
    <w:rsid w:val="00025C2A"/>
    <w:rsid w:val="00025C9D"/>
    <w:rsid w:val="00030CDC"/>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415"/>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C10"/>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2BB4"/>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FD4"/>
    <w:rsid w:val="004247F5"/>
    <w:rsid w:val="0042527B"/>
    <w:rsid w:val="00427EAC"/>
    <w:rsid w:val="004431B4"/>
    <w:rsid w:val="0045517B"/>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6FDC"/>
    <w:rsid w:val="00521C7E"/>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0F1"/>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2DE"/>
    <w:rsid w:val="00976AFF"/>
    <w:rsid w:val="00986AED"/>
    <w:rsid w:val="009924CF"/>
    <w:rsid w:val="00994100"/>
    <w:rsid w:val="009A04B7"/>
    <w:rsid w:val="009A6B17"/>
    <w:rsid w:val="009B052E"/>
    <w:rsid w:val="009D4C29"/>
    <w:rsid w:val="009D6AAC"/>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4535"/>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3F2"/>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643"/>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45E8"/>
    <w:rsid w:val="00C830BC"/>
    <w:rsid w:val="00C8524D"/>
    <w:rsid w:val="00C90904"/>
    <w:rsid w:val="00C91123"/>
    <w:rsid w:val="00CA71FF"/>
    <w:rsid w:val="00CB2393"/>
    <w:rsid w:val="00CB5276"/>
    <w:rsid w:val="00CB5BFC"/>
    <w:rsid w:val="00CB68D7"/>
    <w:rsid w:val="00CB71E0"/>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609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7C24"/>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587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84535"/>
    <w:pPr>
      <w:ind w:left="720"/>
      <w:contextualSpacing/>
    </w:pPr>
  </w:style>
  <w:style w:type="paragraph" w:styleId="BalloonText">
    <w:name w:val="Balloon Text"/>
    <w:basedOn w:val="Normal"/>
    <w:link w:val="BalloonTextChar"/>
    <w:semiHidden/>
    <w:unhideWhenUsed/>
    <w:rsid w:val="00C745E8"/>
    <w:rPr>
      <w:rFonts w:ascii="Segoe UI" w:hAnsi="Segoe UI" w:cs="Segoe UI"/>
      <w:sz w:val="18"/>
      <w:szCs w:val="18"/>
    </w:rPr>
  </w:style>
  <w:style w:type="character" w:customStyle="1" w:styleId="BalloonTextChar">
    <w:name w:val="Balloon Text Char"/>
    <w:basedOn w:val="DefaultParagraphFont"/>
    <w:link w:val="BalloonText"/>
    <w:semiHidden/>
    <w:rsid w:val="00C74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2023-11-28T13:15:00Z</dcterms:created>
  <dcterms:modified xsi:type="dcterms:W3CDTF">2023-11-28T13:54:00Z</dcterms:modified>
</cp:coreProperties>
</file>