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14:paraId="0DAE1AEE" w14:textId="77777777">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14:paraId="7E3EAD20" w14:textId="77777777" w:rsidR="007C0528" w:rsidRDefault="007C0528" w:rsidP="00532DFB">
            <w:pPr>
              <w:pStyle w:val="MastHeadState"/>
            </w:pPr>
            <w:bookmarkStart w:id="0" w:name="_GoBack"/>
            <w:bookmarkEnd w:id="0"/>
            <w:r>
              <w:t>State of Florida</w:t>
            </w:r>
          </w:p>
          <w:p w14:paraId="4584A1E8" w14:textId="77777777" w:rsidR="007C0528" w:rsidRDefault="00072CCA">
            <w:pPr>
              <w:jc w:val="center"/>
            </w:pPr>
            <w:r>
              <w:rPr>
                <w:noProof/>
              </w:rPr>
              <w:drawing>
                <wp:inline distT="0" distB="0" distL="0" distR="0" wp14:anchorId="7062148F" wp14:editId="7DBBB871">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14:paraId="0C440FBC" w14:textId="77777777" w:rsidR="007C0528" w:rsidRDefault="007C0528"/>
        </w:tc>
        <w:tc>
          <w:tcPr>
            <w:tcW w:w="7273" w:type="dxa"/>
            <w:gridSpan w:val="2"/>
            <w:tcBorders>
              <w:top w:val="nil"/>
              <w:left w:val="nil"/>
              <w:bottom w:val="single" w:sz="24" w:space="0" w:color="auto"/>
              <w:right w:val="nil"/>
            </w:tcBorders>
            <w:shd w:val="clear" w:color="auto" w:fill="auto"/>
            <w:vAlign w:val="bottom"/>
          </w:tcPr>
          <w:p w14:paraId="2A1C5998" w14:textId="77777777" w:rsidR="007C0528" w:rsidRDefault="007C0528">
            <w:pPr>
              <w:pStyle w:val="MastHeadPSC"/>
            </w:pPr>
            <w:r>
              <w:t>Public Service Commission</w:t>
            </w:r>
          </w:p>
          <w:p w14:paraId="1CA5DBD6" w14:textId="77777777" w:rsidR="007C0528" w:rsidRDefault="007C0528">
            <w:pPr>
              <w:pStyle w:val="MastHeadAddress"/>
            </w:pPr>
            <w:r>
              <w:t>Capital Circle Office Center ● 2540 Shumard Oak Boulevard</w:t>
            </w:r>
            <w:r>
              <w:br/>
              <w:t>Tallahassee, Florida 32399-0850</w:t>
            </w:r>
          </w:p>
          <w:p w14:paraId="21EF5C63" w14:textId="77777777" w:rsidR="007C0528" w:rsidRDefault="007C0528">
            <w:pPr>
              <w:pStyle w:val="MastHeadMemorandum"/>
            </w:pPr>
            <w:r>
              <w:t>-M-E-M-O-R-A-N-D-U-M-</w:t>
            </w:r>
          </w:p>
          <w:p w14:paraId="76B80BEB" w14:textId="77777777" w:rsidR="007C0528" w:rsidRDefault="007C0528">
            <w:pPr>
              <w:pStyle w:val="MemoHeading"/>
            </w:pPr>
          </w:p>
        </w:tc>
      </w:tr>
      <w:tr w:rsidR="007C0528" w14:paraId="2FED5D95" w14:textId="77777777">
        <w:tc>
          <w:tcPr>
            <w:tcW w:w="1254" w:type="dxa"/>
            <w:tcBorders>
              <w:top w:val="single" w:sz="24" w:space="0" w:color="auto"/>
              <w:left w:val="nil"/>
              <w:bottom w:val="nil"/>
              <w:right w:val="nil"/>
            </w:tcBorders>
            <w:shd w:val="clear" w:color="auto" w:fill="auto"/>
            <w:tcMar>
              <w:top w:w="288" w:type="dxa"/>
              <w:bottom w:w="0" w:type="dxa"/>
              <w:right w:w="0" w:type="dxa"/>
            </w:tcMar>
          </w:tcPr>
          <w:p w14:paraId="6B4BC6F1" w14:textId="77777777"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14:paraId="551C0B61" w14:textId="77777777" w:rsidR="007C0528" w:rsidRDefault="00FB54FD">
            <w:pPr>
              <w:pStyle w:val="MemoHeading"/>
            </w:pPr>
            <w:bookmarkStart w:id="1" w:name="FilingDate"/>
            <w:r>
              <w:t>November 28, 2023</w:t>
            </w:r>
            <w:bookmarkEnd w:id="1"/>
          </w:p>
        </w:tc>
      </w:tr>
      <w:tr w:rsidR="007C0528" w14:paraId="3B08F9D3" w14:textId="77777777">
        <w:tc>
          <w:tcPr>
            <w:tcW w:w="1254" w:type="dxa"/>
            <w:tcBorders>
              <w:top w:val="nil"/>
              <w:left w:val="nil"/>
              <w:bottom w:val="nil"/>
              <w:right w:val="nil"/>
            </w:tcBorders>
            <w:shd w:val="clear" w:color="auto" w:fill="auto"/>
            <w:tcMar>
              <w:top w:w="288" w:type="dxa"/>
              <w:bottom w:w="0" w:type="dxa"/>
              <w:right w:w="0" w:type="dxa"/>
            </w:tcMar>
          </w:tcPr>
          <w:p w14:paraId="402BF2B3" w14:textId="77777777"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14:paraId="710A8122" w14:textId="77777777" w:rsidR="007C0528" w:rsidRDefault="007C0528" w:rsidP="0093658B">
            <w:pPr>
              <w:pStyle w:val="MemoHeading"/>
            </w:pPr>
            <w:r>
              <w:t>Office of Commission Clerk (</w:t>
            </w:r>
            <w:r w:rsidR="004E69B5">
              <w:t>Teitzman</w:t>
            </w:r>
            <w:r>
              <w:t>)</w:t>
            </w:r>
          </w:p>
        </w:tc>
      </w:tr>
      <w:tr w:rsidR="007C0528" w14:paraId="2C447722" w14:textId="77777777">
        <w:tc>
          <w:tcPr>
            <w:tcW w:w="1254" w:type="dxa"/>
            <w:tcBorders>
              <w:top w:val="nil"/>
              <w:left w:val="nil"/>
              <w:bottom w:val="nil"/>
              <w:right w:val="nil"/>
            </w:tcBorders>
            <w:shd w:val="clear" w:color="auto" w:fill="auto"/>
            <w:tcMar>
              <w:top w:w="288" w:type="dxa"/>
              <w:right w:w="0" w:type="dxa"/>
            </w:tcMar>
          </w:tcPr>
          <w:p w14:paraId="6264F2E2" w14:textId="77777777"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14:paraId="55C6C322" w14:textId="69A4049A" w:rsidR="00FB54FD" w:rsidRDefault="00FB54FD">
            <w:pPr>
              <w:pStyle w:val="MemoHeading"/>
            </w:pPr>
            <w:bookmarkStart w:id="2" w:name="From"/>
            <w:r>
              <w:t>Divisio</w:t>
            </w:r>
            <w:r w:rsidR="00426D9C">
              <w:t>n of Economics (Hampson, Kelley</w:t>
            </w:r>
            <w:r>
              <w:t>)</w:t>
            </w:r>
          </w:p>
          <w:p w14:paraId="4538D2EE" w14:textId="51B29D1A" w:rsidR="00FB54FD" w:rsidRDefault="00FB54FD">
            <w:pPr>
              <w:pStyle w:val="MemoHeading"/>
            </w:pPr>
            <w:r>
              <w:t>Division of Accounting and Finance (Norris)</w:t>
            </w:r>
          </w:p>
          <w:p w14:paraId="3000DDA9" w14:textId="77777777" w:rsidR="007C0528" w:rsidRDefault="00FB54FD">
            <w:pPr>
              <w:pStyle w:val="MemoHeading"/>
            </w:pPr>
            <w:r>
              <w:t>Office of the General Counsel (Thompson, Dose, Sandy, Watrous)</w:t>
            </w:r>
            <w:bookmarkEnd w:id="2"/>
          </w:p>
        </w:tc>
      </w:tr>
      <w:tr w:rsidR="007C0528" w14:paraId="1AEA2D35" w14:textId="77777777">
        <w:tc>
          <w:tcPr>
            <w:tcW w:w="1254" w:type="dxa"/>
            <w:tcBorders>
              <w:top w:val="nil"/>
              <w:left w:val="nil"/>
              <w:bottom w:val="nil"/>
              <w:right w:val="nil"/>
            </w:tcBorders>
            <w:shd w:val="clear" w:color="auto" w:fill="auto"/>
            <w:tcMar>
              <w:top w:w="288" w:type="dxa"/>
              <w:right w:w="0" w:type="dxa"/>
            </w:tcMar>
          </w:tcPr>
          <w:p w14:paraId="599B2BEA" w14:textId="77777777"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14:paraId="30F0A4AC" w14:textId="77777777" w:rsidR="007C0528" w:rsidRDefault="00FB54FD">
            <w:pPr>
              <w:pStyle w:val="MemoHeadingRe"/>
            </w:pPr>
            <w:bookmarkStart w:id="3" w:name="Re"/>
            <w:r>
              <w:t>Docket No. 20230023-GU – Petition for rate increase by Peoples Gas System, Inc.</w:t>
            </w:r>
            <w:bookmarkEnd w:id="3"/>
          </w:p>
        </w:tc>
      </w:tr>
      <w:tr w:rsidR="007C0528" w14:paraId="20B855F6" w14:textId="77777777">
        <w:tc>
          <w:tcPr>
            <w:tcW w:w="1254" w:type="dxa"/>
            <w:tcBorders>
              <w:top w:val="nil"/>
              <w:left w:val="nil"/>
              <w:bottom w:val="nil"/>
              <w:right w:val="nil"/>
            </w:tcBorders>
            <w:shd w:val="clear" w:color="auto" w:fill="auto"/>
            <w:tcMar>
              <w:top w:w="288" w:type="dxa"/>
              <w:bottom w:w="0" w:type="dxa"/>
              <w:right w:w="0" w:type="dxa"/>
            </w:tcMar>
          </w:tcPr>
          <w:p w14:paraId="24D5121D" w14:textId="77777777"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14:paraId="1D249D6E" w14:textId="42A8E817" w:rsidR="007C0528" w:rsidRDefault="00FB54FD" w:rsidP="002F0718">
            <w:pPr>
              <w:pStyle w:val="MemoHeading"/>
            </w:pPr>
            <w:bookmarkStart w:id="4" w:name="AgendaDate"/>
            <w:r>
              <w:t>12/05/23</w:t>
            </w:r>
            <w:bookmarkEnd w:id="4"/>
            <w:r w:rsidR="007C0528">
              <w:t xml:space="preserve"> – </w:t>
            </w:r>
            <w:bookmarkStart w:id="5" w:name="PermittedStatus"/>
            <w:r w:rsidR="002F0718">
              <w:t>Special</w:t>
            </w:r>
            <w:r>
              <w:t xml:space="preserve"> Agenda – Post-Hearing Decision – Participation is Limited to Commissioners and Staff</w:t>
            </w:r>
            <w:bookmarkEnd w:id="5"/>
          </w:p>
        </w:tc>
      </w:tr>
      <w:tr w:rsidR="007C0528" w14:paraId="3DA145AE" w14:textId="77777777">
        <w:tc>
          <w:tcPr>
            <w:tcW w:w="3690" w:type="dxa"/>
            <w:gridSpan w:val="3"/>
            <w:tcBorders>
              <w:top w:val="nil"/>
              <w:left w:val="nil"/>
              <w:bottom w:val="nil"/>
              <w:right w:val="nil"/>
            </w:tcBorders>
            <w:shd w:val="clear" w:color="auto" w:fill="auto"/>
            <w:tcMar>
              <w:top w:w="288" w:type="dxa"/>
              <w:bottom w:w="0" w:type="dxa"/>
              <w:right w:w="0" w:type="dxa"/>
            </w:tcMar>
          </w:tcPr>
          <w:p w14:paraId="5AC67F67" w14:textId="77777777"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14:paraId="0C1285BC" w14:textId="77777777" w:rsidR="007C0528" w:rsidRDefault="00FB54FD">
            <w:pPr>
              <w:pStyle w:val="MemoHeading"/>
            </w:pPr>
            <w:bookmarkStart w:id="6" w:name="CommissionersAssigned"/>
            <w:r>
              <w:t>All Commissioners</w:t>
            </w:r>
            <w:bookmarkEnd w:id="6"/>
          </w:p>
        </w:tc>
      </w:tr>
      <w:tr w:rsidR="007C0528" w14:paraId="0BCB480B" w14:textId="77777777">
        <w:tc>
          <w:tcPr>
            <w:tcW w:w="3690" w:type="dxa"/>
            <w:gridSpan w:val="3"/>
            <w:tcBorders>
              <w:top w:val="nil"/>
              <w:left w:val="nil"/>
              <w:bottom w:val="nil"/>
              <w:right w:val="nil"/>
            </w:tcBorders>
            <w:shd w:val="clear" w:color="auto" w:fill="auto"/>
            <w:tcMar>
              <w:top w:w="288" w:type="dxa"/>
              <w:bottom w:w="0" w:type="dxa"/>
              <w:right w:w="0" w:type="dxa"/>
            </w:tcMar>
          </w:tcPr>
          <w:p w14:paraId="6EFAE984" w14:textId="77777777"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14:paraId="2ADD6DD5" w14:textId="77777777" w:rsidR="007C0528" w:rsidRDefault="00FB54FD">
            <w:pPr>
              <w:pStyle w:val="MemoHeading"/>
            </w:pPr>
            <w:bookmarkStart w:id="7" w:name="PrehearingOfficer"/>
            <w:r>
              <w:t>Passidomo</w:t>
            </w:r>
            <w:bookmarkEnd w:id="7"/>
          </w:p>
        </w:tc>
      </w:tr>
      <w:tr w:rsidR="007C0528" w14:paraId="6AAD16AC" w14:textId="77777777" w:rsidTr="0093658B">
        <w:tc>
          <w:tcPr>
            <w:tcW w:w="3690" w:type="dxa"/>
            <w:gridSpan w:val="3"/>
            <w:tcBorders>
              <w:top w:val="nil"/>
              <w:left w:val="nil"/>
              <w:bottom w:val="nil"/>
              <w:right w:val="nil"/>
            </w:tcBorders>
            <w:shd w:val="clear" w:color="auto" w:fill="auto"/>
            <w:tcMar>
              <w:top w:w="288" w:type="dxa"/>
              <w:bottom w:w="0" w:type="dxa"/>
              <w:right w:w="0" w:type="dxa"/>
            </w:tcMar>
          </w:tcPr>
          <w:p w14:paraId="1097824D" w14:textId="77777777"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14:paraId="1F6E6F35" w14:textId="3BF75B05" w:rsidR="007C0528" w:rsidRDefault="00FB54FD">
            <w:pPr>
              <w:pStyle w:val="MemoHeading"/>
            </w:pPr>
            <w:bookmarkStart w:id="9" w:name="CriticalDates"/>
            <w:r>
              <w:t>04/</w:t>
            </w:r>
            <w:r w:rsidR="007B45C6">
              <w:t>04/24 (12-Month Effective Date</w:t>
            </w:r>
            <w:r>
              <w:t>)</w:t>
            </w:r>
            <w:bookmarkEnd w:id="9"/>
          </w:p>
        </w:tc>
      </w:tr>
      <w:tr w:rsidR="007C0528" w14:paraId="52568DFF" w14:textId="77777777"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14:paraId="0D4BBD33" w14:textId="77777777"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14:paraId="2DA5F28B" w14:textId="77777777" w:rsidR="007C0528" w:rsidRDefault="00FB54FD">
            <w:pPr>
              <w:pStyle w:val="MemoHeading"/>
            </w:pPr>
            <w:bookmarkStart w:id="10" w:name="SpecialInstructions"/>
            <w:r>
              <w:t>None</w:t>
            </w:r>
            <w:bookmarkEnd w:id="10"/>
          </w:p>
        </w:tc>
      </w:tr>
    </w:tbl>
    <w:p w14:paraId="5D923EC2" w14:textId="77777777" w:rsidR="007C0528" w:rsidRDefault="007C0528">
      <w:pPr>
        <w:pStyle w:val="BodyText"/>
      </w:pPr>
    </w:p>
    <w:p w14:paraId="4E7E917C" w14:textId="77777777"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14:paraId="68A0294C" w14:textId="32D5A235" w:rsidR="0068481F" w:rsidRDefault="00511E4A">
      <w:pPr>
        <w:pStyle w:val="BodyText"/>
      </w:pPr>
      <w:r>
        <w:t>On Ap</w:t>
      </w:r>
      <w:r w:rsidR="00546906">
        <w:t>ril 4, 2023, Peoples Gas System, Inc.</w:t>
      </w:r>
      <w:r>
        <w:t xml:space="preserve"> (PGS or Company) filed a petition seeking the Commission’s approval of a rate increase and associated depreciation rates. PGS is a natural gas distribution company providing sales and transportation of natural gas, and is a public utility subject to this Commission’s regulatory jurisdiction under Chapter 366, Florida Statutes (F.S.). PGS is a wholly owned subsidiary of TECO G</w:t>
      </w:r>
      <w:r w:rsidR="00546906">
        <w:t>as Operations, Inc. and</w:t>
      </w:r>
      <w:r>
        <w:t xml:space="preserve"> provides service to approximatel</w:t>
      </w:r>
      <w:r w:rsidR="00546906">
        <w:t>y 470,000 customers in 39 of</w:t>
      </w:r>
      <w:r>
        <w:t xml:space="preserve"> Florida’s 67 counties.</w:t>
      </w:r>
    </w:p>
    <w:p w14:paraId="4A46659B" w14:textId="6094B1CE" w:rsidR="00511E4A" w:rsidRDefault="00511E4A">
      <w:pPr>
        <w:pStyle w:val="BodyText"/>
      </w:pPr>
      <w:r>
        <w:t>An administrative hearing was held September 12-15, 2023. At the hearing, the Commission approved Type 1 stipulations for the following issues: 16, 17, 18, 20, 25, 30, 39, 44, 46, and 56.</w:t>
      </w:r>
      <w:r>
        <w:rPr>
          <w:rStyle w:val="FootnoteReference"/>
        </w:rPr>
        <w:footnoteReference w:id="1"/>
      </w:r>
      <w:r>
        <w:t xml:space="preserve"> The Commission also approved Type 2 stipulations for the following issues: 2, 3, 5, 8, 11, 12, </w:t>
      </w:r>
      <w:r>
        <w:lastRenderedPageBreak/>
        <w:t xml:space="preserve">14, 24, 26, 37, 40, 45, 48, </w:t>
      </w:r>
      <w:r w:rsidR="00FF1A0D">
        <w:t xml:space="preserve">58, 59, 62, 64, 65, 66, 67, </w:t>
      </w:r>
      <w:r>
        <w:t>and 6</w:t>
      </w:r>
      <w:r w:rsidR="00FF1A0D">
        <w:t>8</w:t>
      </w:r>
      <w:r>
        <w:t>.</w:t>
      </w:r>
      <w:r>
        <w:rPr>
          <w:rStyle w:val="FootnoteReference"/>
        </w:rPr>
        <w:footnoteReference w:id="2"/>
      </w:r>
      <w:r>
        <w:t xml:space="preserve"> At the November 9, 2023 Special Agenda Conference, the Commission approved an incremental increase in operating revenues of $1</w:t>
      </w:r>
      <w:r w:rsidR="00944FED">
        <w:t>06,682,569</w:t>
      </w:r>
      <w:r>
        <w:t>.</w:t>
      </w:r>
      <w:r>
        <w:rPr>
          <w:rStyle w:val="FootnoteReference"/>
        </w:rPr>
        <w:footnoteReference w:id="3"/>
      </w:r>
      <w:r>
        <w:t xml:space="preserve"> The total Company target revenues, including other operating revenues, is </w:t>
      </w:r>
      <w:r w:rsidRPr="00957805">
        <w:t>$</w:t>
      </w:r>
      <w:r w:rsidR="00957805" w:rsidRPr="00957805">
        <w:t>458,180,488</w:t>
      </w:r>
      <w:r w:rsidRPr="00957805">
        <w:t>.</w:t>
      </w:r>
      <w:r w:rsidRPr="00957805">
        <w:rPr>
          <w:rStyle w:val="FootnoteReference"/>
        </w:rPr>
        <w:footnoteReference w:id="4"/>
      </w:r>
      <w:r>
        <w:t xml:space="preserve"> The staff-calculated final revenue requirement calculation that reflect the Commission-approved increase to operating revenues </w:t>
      </w:r>
      <w:r w:rsidR="00867B73">
        <w:t>is</w:t>
      </w:r>
      <w:r>
        <w:t xml:space="preserve"> contained in Attachment A to the recommendation.</w:t>
      </w:r>
    </w:p>
    <w:p w14:paraId="5C2993FB" w14:textId="5966B840" w:rsidR="00426D9C" w:rsidRPr="00BB45C5" w:rsidRDefault="00426D9C" w:rsidP="00426D9C">
      <w:pPr>
        <w:jc w:val="both"/>
      </w:pPr>
      <w:r w:rsidRPr="00867B73">
        <w:t xml:space="preserve">At the </w:t>
      </w:r>
      <w:r w:rsidR="00CA0CE9">
        <w:t>hearing</w:t>
      </w:r>
      <w:r w:rsidRPr="00867B73">
        <w:t>, the Commission approved</w:t>
      </w:r>
      <w:r w:rsidR="00B00C25" w:rsidRPr="00867B73">
        <w:t xml:space="preserve"> the stipulations regarding</w:t>
      </w:r>
      <w:r w:rsidRPr="00867B73">
        <w:t xml:space="preserve"> the Company’s cost of service study in Issue 58 and the revenue increase allocation to the rate classes in Issue 59. This recommendation addresses the issues that were not addressed at the November 9, 2023 Sp</w:t>
      </w:r>
      <w:r w:rsidRPr="00BB45C5">
        <w:t>ecial Agenda Conference: Issue 60 (customer charges), I</w:t>
      </w:r>
      <w:r>
        <w:t xml:space="preserve">ssue 61 (distribution charges), </w:t>
      </w:r>
      <w:r w:rsidR="002F0718">
        <w:t>Issue 69</w:t>
      </w:r>
      <w:r w:rsidR="002F0718" w:rsidRPr="00BB45C5">
        <w:t xml:space="preserve"> (approval of tariffs)</w:t>
      </w:r>
      <w:r w:rsidR="002F0718">
        <w:t>, Issue 70 (effective date), and Issue 75</w:t>
      </w:r>
      <w:r>
        <w:t xml:space="preserve"> (close docket)</w:t>
      </w:r>
      <w:r w:rsidRPr="00BB45C5">
        <w:t xml:space="preserve">. </w:t>
      </w:r>
    </w:p>
    <w:p w14:paraId="421EED4F" w14:textId="77777777" w:rsidR="00426D9C" w:rsidRPr="00BB45C5" w:rsidRDefault="00426D9C" w:rsidP="00426D9C">
      <w:pPr>
        <w:jc w:val="both"/>
      </w:pPr>
    </w:p>
    <w:p w14:paraId="3782C378" w14:textId="58D63356" w:rsidR="00426D9C" w:rsidRPr="00BB45C5" w:rsidRDefault="00426D9C" w:rsidP="00426D9C">
      <w:pPr>
        <w:jc w:val="both"/>
      </w:pPr>
      <w:r w:rsidRPr="00BB45C5">
        <w:t xml:space="preserve">On </w:t>
      </w:r>
      <w:r w:rsidR="002F0718">
        <w:t>November 14</w:t>
      </w:r>
      <w:r w:rsidRPr="00BB45C5">
        <w:t>, 2023, the Company filed a revised cost of service study and associated tariffs reflecting the final Commission-approved revenue requirement.</w:t>
      </w:r>
      <w:r w:rsidRPr="00BB45C5">
        <w:rPr>
          <w:rStyle w:val="FootnoteReference"/>
        </w:rPr>
        <w:footnoteReference w:id="5"/>
      </w:r>
      <w:r w:rsidRPr="00BB45C5">
        <w:t xml:space="preserve"> The proposed cu</w:t>
      </w:r>
      <w:r w:rsidR="002F0718">
        <w:t>stomer and per therm distribution</w:t>
      </w:r>
      <w:r w:rsidRPr="00BB45C5">
        <w:t xml:space="preserve"> charges are calculated in the revised cost of service study and shown in the attached tariffs. The tariffs are included in Attachment B to the recommendation. The Commission has jurisdiction over this matter pursuant to Chapter 366, F.S., including Sections 366.06 and 366.071, F.S.</w:t>
      </w:r>
    </w:p>
    <w:p w14:paraId="56F0DEF8" w14:textId="77777777" w:rsidR="00426D9C" w:rsidRDefault="00426D9C">
      <w:pPr>
        <w:pStyle w:val="BodyText"/>
      </w:pPr>
    </w:p>
    <w:p w14:paraId="635D2DFC" w14:textId="77777777" w:rsidR="007C0528" w:rsidRDefault="007C0528" w:rsidP="0068481F"/>
    <w:bookmarkEnd w:id="12"/>
    <w:p w14:paraId="08BA1389" w14:textId="77777777" w:rsidR="00EA2273" w:rsidRDefault="00EA2273">
      <w:pPr>
        <w:pStyle w:val="RecommendationMajorSectionHeading"/>
        <w:sectPr w:rsidR="00EA2273">
          <w:headerReference w:type="default" r:id="rId9"/>
          <w:footerReference w:type="default" r:id="rId10"/>
          <w:type w:val="continuous"/>
          <w:pgSz w:w="12240" w:h="15840" w:code="1"/>
          <w:pgMar w:top="1584" w:right="1440" w:bottom="1440" w:left="1440" w:header="720" w:footer="720" w:gutter="0"/>
          <w:cols w:space="720"/>
          <w:formProt w:val="0"/>
          <w:titlePg/>
          <w:docGrid w:linePitch="360"/>
        </w:sectPr>
      </w:pPr>
    </w:p>
    <w:p w14:paraId="658C3354" w14:textId="77777777" w:rsidR="007C0528" w:rsidRDefault="007C0528">
      <w:pPr>
        <w:pStyle w:val="RecommendationMajorSectionHeading"/>
      </w:pPr>
      <w:bookmarkStart w:id="16" w:name="DiscussionOfIssues"/>
      <w:r>
        <w:lastRenderedPageBreak/>
        <w:t>Discussion of Issues</w:t>
      </w:r>
    </w:p>
    <w:bookmarkEnd w:id="16"/>
    <w:p w14:paraId="04DB426A" w14:textId="1A195194" w:rsidR="00B575A4" w:rsidRDefault="00B575A4">
      <w:pPr>
        <w:pStyle w:val="IssueHeading"/>
        <w:rPr>
          <w:vanish/>
          <w:specVanish/>
        </w:rPr>
      </w:pPr>
      <w:r w:rsidRPr="004C3641">
        <w:t xml:space="preserve">Issue </w:t>
      </w:r>
      <w:r>
        <w:fldChar w:fldCharType="begin"/>
      </w:r>
      <w:r>
        <w:instrText>seq issue \r 60</w:instrText>
      </w:r>
      <w:r>
        <w:fldChar w:fldCharType="separate"/>
      </w:r>
      <w:r w:rsidR="00727612">
        <w:rPr>
          <w:noProof/>
        </w:rPr>
        <w:t>60</w:t>
      </w:r>
      <w:r>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727612">
        <w:rPr>
          <w:noProof/>
        </w:rPr>
        <w:instrText>60</w:instrText>
      </w:r>
      <w:r>
        <w:fldChar w:fldCharType="end"/>
      </w:r>
      <w:r>
        <w:tab/>
        <w:instrText xml:space="preserve">(P. Kelley, Hampson)" \l 1 </w:instrText>
      </w:r>
      <w:r>
        <w:fldChar w:fldCharType="end"/>
      </w:r>
      <w:r>
        <w:t> </w:t>
      </w:r>
    </w:p>
    <w:p w14:paraId="6A8F8D0F" w14:textId="77777777" w:rsidR="00B575A4" w:rsidRDefault="00B575A4">
      <w:pPr>
        <w:pStyle w:val="BodyText"/>
      </w:pPr>
      <w:r>
        <w:t> What customer charges should be approved?</w:t>
      </w:r>
    </w:p>
    <w:p w14:paraId="20236D44" w14:textId="77777777" w:rsidR="00B575A4" w:rsidRPr="004C3641" w:rsidRDefault="00B575A4">
      <w:pPr>
        <w:pStyle w:val="IssueSubsectionHeading"/>
        <w:rPr>
          <w:vanish/>
          <w:specVanish/>
        </w:rPr>
      </w:pPr>
      <w:r w:rsidRPr="004C3641">
        <w:t>Recommendation: </w:t>
      </w:r>
    </w:p>
    <w:p w14:paraId="0A238400" w14:textId="22781022" w:rsidR="00B575A4" w:rsidRDefault="00B575A4">
      <w:pPr>
        <w:pStyle w:val="BodyText"/>
      </w:pPr>
      <w:r>
        <w:t> </w:t>
      </w:r>
      <w:r w:rsidR="00584B92">
        <w:t>The proposed customer charges as provided in the tariffs in Attachment B to the recommendation should be approved.</w:t>
      </w:r>
      <w:r>
        <w:t xml:space="preserve"> (P. Kelley, Hampson</w:t>
      </w:r>
      <w:r w:rsidR="00B00C25">
        <w:t>, Norris</w:t>
      </w:r>
      <w:r>
        <w:t>)</w:t>
      </w:r>
    </w:p>
    <w:p w14:paraId="0F8BB39E" w14:textId="77777777" w:rsidR="00513D50" w:rsidRPr="00BB45C5" w:rsidRDefault="00513D50" w:rsidP="00513D50">
      <w:pPr>
        <w:pStyle w:val="IssueSubsectionHeading"/>
        <w:keepNext/>
        <w:rPr>
          <w:iCs w:val="0"/>
        </w:rPr>
      </w:pPr>
      <w:r w:rsidRPr="00BB45C5">
        <w:rPr>
          <w:iCs w:val="0"/>
        </w:rPr>
        <w:t>Position of the Parties</w:t>
      </w:r>
    </w:p>
    <w:p w14:paraId="7D76700A" w14:textId="77777777" w:rsidR="00513D50" w:rsidRPr="00BB45C5" w:rsidRDefault="00513D50" w:rsidP="00513D50">
      <w:pPr>
        <w:pStyle w:val="PartyName"/>
        <w:rPr>
          <w:vanish/>
          <w:specVanish/>
        </w:rPr>
      </w:pPr>
      <w:r>
        <w:t>PGS</w:t>
      </w:r>
      <w:r w:rsidRPr="00BB45C5">
        <w:t>: </w:t>
      </w:r>
    </w:p>
    <w:p w14:paraId="43B51FF3" w14:textId="77777777" w:rsidR="00513D50" w:rsidRPr="00BB45C5" w:rsidRDefault="00513D50" w:rsidP="00150E7B">
      <w:pPr>
        <w:pStyle w:val="BodyText"/>
      </w:pPr>
      <w:r w:rsidRPr="00BB45C5">
        <w:t> </w:t>
      </w:r>
      <w:r w:rsidR="00150E7B">
        <w:t>This is a fallout issue based on the revenue requirement approved by the Commission and its decisions on issues that impact the inputs to the company’s stipulated cost of service methodology.</w:t>
      </w:r>
    </w:p>
    <w:p w14:paraId="169791E9" w14:textId="77777777" w:rsidR="00513D50" w:rsidRPr="00BB45C5" w:rsidRDefault="00513D50" w:rsidP="00513D50">
      <w:pPr>
        <w:pStyle w:val="PartyName"/>
        <w:rPr>
          <w:vanish/>
          <w:specVanish/>
        </w:rPr>
      </w:pPr>
      <w:r w:rsidRPr="00BB45C5">
        <w:t>OPC: </w:t>
      </w:r>
    </w:p>
    <w:p w14:paraId="4FC548F2" w14:textId="2987E39E" w:rsidR="00513D50" w:rsidRPr="00BB45C5" w:rsidRDefault="00513D50" w:rsidP="00513D50">
      <w:pPr>
        <w:pStyle w:val="BodyText"/>
      </w:pPr>
      <w:r w:rsidRPr="00BB45C5">
        <w:t> </w:t>
      </w:r>
      <w:r w:rsidR="00584B92">
        <w:t>OPC did not address this issue in its post-hearing brief.</w:t>
      </w:r>
    </w:p>
    <w:p w14:paraId="069FD554" w14:textId="77777777" w:rsidR="00513D50" w:rsidRPr="00BB45C5" w:rsidRDefault="00513D50" w:rsidP="00513D50">
      <w:pPr>
        <w:pStyle w:val="PartyName"/>
        <w:rPr>
          <w:vanish/>
          <w:specVanish/>
        </w:rPr>
      </w:pPr>
      <w:r w:rsidRPr="00BB45C5">
        <w:t>FIPUG: </w:t>
      </w:r>
    </w:p>
    <w:p w14:paraId="3CC7B64E" w14:textId="57BB8BCF" w:rsidR="00513D50" w:rsidRDefault="00584B92">
      <w:pPr>
        <w:pStyle w:val="BodyText"/>
      </w:pPr>
      <w:r>
        <w:t> FIPUG did not address this issue in its post-hearing brief.</w:t>
      </w:r>
    </w:p>
    <w:p w14:paraId="54A9B06B" w14:textId="77777777" w:rsidR="00B575A4" w:rsidRPr="004C3641" w:rsidRDefault="00B575A4">
      <w:pPr>
        <w:pStyle w:val="IssueSubsectionHeading"/>
        <w:rPr>
          <w:vanish/>
          <w:specVanish/>
        </w:rPr>
      </w:pPr>
      <w:r w:rsidRPr="004C3641">
        <w:t>Staff Analysis: </w:t>
      </w:r>
    </w:p>
    <w:p w14:paraId="0CE1C9CC" w14:textId="77777777" w:rsidR="00B575A4" w:rsidRDefault="00B575A4">
      <w:pPr>
        <w:pStyle w:val="BodyText"/>
      </w:pPr>
      <w:r>
        <w:t> </w:t>
      </w:r>
    </w:p>
    <w:p w14:paraId="4D07512E" w14:textId="77777777" w:rsidR="00513D50" w:rsidRPr="00BB45C5" w:rsidRDefault="00513D50" w:rsidP="00513D50">
      <w:pPr>
        <w:pStyle w:val="First-LevelSubheading"/>
        <w:jc w:val="center"/>
      </w:pPr>
      <w:r w:rsidRPr="00BB45C5">
        <w:t>PARTIES’ ARGUMENTS</w:t>
      </w:r>
    </w:p>
    <w:p w14:paraId="2CC222C9" w14:textId="77777777" w:rsidR="00513D50" w:rsidRPr="00BB45C5" w:rsidRDefault="00513D50" w:rsidP="00513D50">
      <w:pPr>
        <w:pStyle w:val="First-LevelSubheading"/>
      </w:pPr>
    </w:p>
    <w:p w14:paraId="2EBD4107" w14:textId="77777777" w:rsidR="00513D50" w:rsidRPr="00BB45C5" w:rsidRDefault="00150E7B" w:rsidP="00513D50">
      <w:pPr>
        <w:pStyle w:val="First-LevelSubheading"/>
      </w:pPr>
      <w:r>
        <w:t>PGS</w:t>
      </w:r>
    </w:p>
    <w:p w14:paraId="2D747260" w14:textId="77777777" w:rsidR="00513D50" w:rsidRPr="00BB45C5" w:rsidRDefault="005C1501" w:rsidP="00513D50">
      <w:pPr>
        <w:pStyle w:val="BodyText"/>
      </w:pPr>
      <w:r>
        <w:t>PGS</w:t>
      </w:r>
      <w:r w:rsidR="00513D50" w:rsidRPr="00BB45C5">
        <w:t xml:space="preserve"> d</w:t>
      </w:r>
      <w:r w:rsidR="00E83057">
        <w:t>id not provide an argument. (PGS BR 41</w:t>
      </w:r>
      <w:r w:rsidR="00513D50" w:rsidRPr="00BB45C5">
        <w:t>)</w:t>
      </w:r>
    </w:p>
    <w:p w14:paraId="675495A1" w14:textId="77777777" w:rsidR="00513D50" w:rsidRPr="00BB45C5" w:rsidRDefault="00513D50" w:rsidP="00513D50">
      <w:pPr>
        <w:pStyle w:val="First-LevelSubheading"/>
      </w:pPr>
      <w:r w:rsidRPr="00BB45C5">
        <w:t>OPC</w:t>
      </w:r>
    </w:p>
    <w:p w14:paraId="32FD29A4" w14:textId="0B10A6BC" w:rsidR="00513D50" w:rsidRPr="00BB45C5" w:rsidRDefault="00584B92" w:rsidP="00513D50">
      <w:pPr>
        <w:pStyle w:val="BodyText"/>
      </w:pPr>
      <w:r>
        <w:t>OPC did not address this issue in its post-hearing brief.</w:t>
      </w:r>
    </w:p>
    <w:p w14:paraId="7EA43AF7" w14:textId="77777777" w:rsidR="00513D50" w:rsidRPr="00BB45C5" w:rsidRDefault="00513D50" w:rsidP="00513D50">
      <w:pPr>
        <w:pStyle w:val="First-LevelSubheading"/>
      </w:pPr>
      <w:r w:rsidRPr="00BB45C5">
        <w:t>FIPUG</w:t>
      </w:r>
    </w:p>
    <w:p w14:paraId="7D7719C0" w14:textId="3AD5B4BF" w:rsidR="00513D50" w:rsidRPr="00BB45C5" w:rsidRDefault="00584B92" w:rsidP="00513D50">
      <w:pPr>
        <w:pStyle w:val="BodyText"/>
      </w:pPr>
      <w:r>
        <w:t>FIPUG did not address this issue in its post-hearing brief.</w:t>
      </w:r>
    </w:p>
    <w:p w14:paraId="5D23DD0D" w14:textId="77777777" w:rsidR="000C2002" w:rsidRPr="00BB45C5" w:rsidRDefault="000C2002" w:rsidP="000C2002">
      <w:pPr>
        <w:pStyle w:val="First-LevelSubheading"/>
        <w:jc w:val="center"/>
      </w:pPr>
      <w:r w:rsidRPr="00BB45C5">
        <w:t>ANALYSIS</w:t>
      </w:r>
    </w:p>
    <w:p w14:paraId="43E410C4" w14:textId="77777777" w:rsidR="000C2002" w:rsidRPr="00BB45C5" w:rsidRDefault="000C2002" w:rsidP="000C2002">
      <w:pPr>
        <w:pStyle w:val="BodyText"/>
        <w:spacing w:after="0"/>
      </w:pPr>
    </w:p>
    <w:p w14:paraId="1F640F43" w14:textId="77777777" w:rsidR="00513D50" w:rsidRDefault="000C2002" w:rsidP="000C2002">
      <w:pPr>
        <w:pStyle w:val="BodyText"/>
      </w:pPr>
      <w:r w:rsidRPr="00BB45C5">
        <w:t xml:space="preserve">The customer charges, in combination with the per therm distribution charges shown in Issue </w:t>
      </w:r>
      <w:r>
        <w:t xml:space="preserve">61, </w:t>
      </w:r>
      <w:r w:rsidRPr="00BB45C5">
        <w:t>are designed to allow the Company to recover the total Commission-approved revenue requirement. Further, the Commission approved the Company’s proposed cost of service methodology in Issue 58 and the allocation of the revenue increase to rate cla</w:t>
      </w:r>
      <w:r w:rsidR="00150E7B">
        <w:t>sses in Issue 59 at the November 9</w:t>
      </w:r>
      <w:r w:rsidRPr="00BB45C5">
        <w:t>, 2023 Special Agenda Conference.</w:t>
      </w:r>
      <w:r>
        <w:t xml:space="preserve"> </w:t>
      </w:r>
      <w:r w:rsidRPr="00BB45C5">
        <w:t xml:space="preserve">The proposed customer charges </w:t>
      </w:r>
      <w:r>
        <w:t>reflect the approved revenue requirements and cost of service methodology; therefore, the proposed charges</w:t>
      </w:r>
      <w:r w:rsidRPr="00BB45C5">
        <w:t xml:space="preserve"> provided in the tariffs in Attachment B to the recommendation should be approved.</w:t>
      </w:r>
    </w:p>
    <w:p w14:paraId="5CAA51EF" w14:textId="3E3F61D1" w:rsidR="00B575A4" w:rsidRDefault="00B575A4">
      <w:pPr>
        <w:pStyle w:val="IssueHeading"/>
        <w:rPr>
          <w:vanish/>
          <w:specVanish/>
        </w:rPr>
      </w:pPr>
      <w:r w:rsidRPr="004C3641">
        <w:rPr>
          <w:b w:val="0"/>
          <w:i w:val="0"/>
        </w:rPr>
        <w:br w:type="page"/>
      </w:r>
      <w:r w:rsidRPr="004C3641">
        <w:lastRenderedPageBreak/>
        <w:t xml:space="preserve">Issue </w:t>
      </w:r>
      <w:r w:rsidR="00F77016">
        <w:fldChar w:fldCharType="begin"/>
      </w:r>
      <w:r w:rsidR="00F77016">
        <w:instrText xml:space="preserve"> SEQ Issue \* MERGEFORMAT </w:instrText>
      </w:r>
      <w:r w:rsidR="00F77016">
        <w:fldChar w:fldCharType="separate"/>
      </w:r>
      <w:r w:rsidR="00727612">
        <w:rPr>
          <w:noProof/>
        </w:rPr>
        <w:t>61</w:t>
      </w:r>
      <w:r w:rsidR="00F77016">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727612">
        <w:rPr>
          <w:noProof/>
        </w:rPr>
        <w:instrText>61</w:instrText>
      </w:r>
      <w:r>
        <w:fldChar w:fldCharType="end"/>
      </w:r>
      <w:r>
        <w:tab/>
        <w:instrText xml:space="preserve">(P. Kelley, Hampson)" \l 1 </w:instrText>
      </w:r>
      <w:r>
        <w:fldChar w:fldCharType="end"/>
      </w:r>
      <w:r>
        <w:t> </w:t>
      </w:r>
    </w:p>
    <w:p w14:paraId="0D161A70" w14:textId="77777777" w:rsidR="00B575A4" w:rsidRDefault="00B575A4">
      <w:pPr>
        <w:pStyle w:val="BodyText"/>
      </w:pPr>
      <w:r>
        <w:t> What per therm distribution charges should be approved?</w:t>
      </w:r>
    </w:p>
    <w:p w14:paraId="240101A6" w14:textId="77777777" w:rsidR="00B575A4" w:rsidRPr="004C3641" w:rsidRDefault="00B575A4">
      <w:pPr>
        <w:pStyle w:val="IssueSubsectionHeading"/>
        <w:rPr>
          <w:vanish/>
          <w:specVanish/>
        </w:rPr>
      </w:pPr>
      <w:r w:rsidRPr="004C3641">
        <w:t>Recommendation: </w:t>
      </w:r>
    </w:p>
    <w:p w14:paraId="55A8F14E" w14:textId="7BB61FC0" w:rsidR="00B575A4" w:rsidRDefault="00B575A4">
      <w:pPr>
        <w:pStyle w:val="BodyText"/>
      </w:pPr>
      <w:r>
        <w:t> </w:t>
      </w:r>
      <w:r w:rsidR="00584B92">
        <w:t>The proposed per therm distribution charges as provided in the tariffs in Attachment B to the recommendation should be approved.</w:t>
      </w:r>
      <w:r>
        <w:t xml:space="preserve"> (P. Kelley, Hampson</w:t>
      </w:r>
      <w:r w:rsidR="00B00C25">
        <w:t>, Norris</w:t>
      </w:r>
      <w:r>
        <w:t>)</w:t>
      </w:r>
    </w:p>
    <w:p w14:paraId="4D3E196C" w14:textId="77777777" w:rsidR="00E83057" w:rsidRPr="00BB45C5" w:rsidRDefault="00E83057" w:rsidP="00E83057">
      <w:pPr>
        <w:pStyle w:val="IssueSubsectionHeading"/>
        <w:keepNext/>
        <w:rPr>
          <w:iCs w:val="0"/>
        </w:rPr>
      </w:pPr>
      <w:r w:rsidRPr="00BB45C5">
        <w:rPr>
          <w:iCs w:val="0"/>
        </w:rPr>
        <w:t>Position of the Parties</w:t>
      </w:r>
    </w:p>
    <w:p w14:paraId="62622723" w14:textId="77777777" w:rsidR="00E83057" w:rsidRPr="00BB45C5" w:rsidRDefault="00E83057" w:rsidP="00E83057">
      <w:pPr>
        <w:pStyle w:val="PartyName"/>
        <w:rPr>
          <w:vanish/>
          <w:specVanish/>
        </w:rPr>
      </w:pPr>
      <w:r>
        <w:t>PGS</w:t>
      </w:r>
      <w:r w:rsidRPr="00BB45C5">
        <w:t>: </w:t>
      </w:r>
    </w:p>
    <w:p w14:paraId="6A8460EC" w14:textId="77777777" w:rsidR="00E83057" w:rsidRPr="00BB45C5" w:rsidRDefault="00E83057" w:rsidP="00E83057">
      <w:pPr>
        <w:pStyle w:val="BodyText"/>
      </w:pPr>
      <w:r w:rsidRPr="00BB45C5">
        <w:t> </w:t>
      </w:r>
      <w:r>
        <w:t>This is a fallout issue based on the revenue requirement approved by the Commission and its decisions on issues that impact the inputs to the company’s stipulated cost of service methodology.</w:t>
      </w:r>
    </w:p>
    <w:p w14:paraId="73873D8F" w14:textId="77777777" w:rsidR="00E83057" w:rsidRPr="00BB45C5" w:rsidRDefault="00E83057" w:rsidP="00E83057">
      <w:pPr>
        <w:pStyle w:val="PartyName"/>
        <w:rPr>
          <w:vanish/>
          <w:specVanish/>
        </w:rPr>
      </w:pPr>
      <w:r w:rsidRPr="00BB45C5">
        <w:t>OPC: </w:t>
      </w:r>
    </w:p>
    <w:p w14:paraId="26519282" w14:textId="486EE66F" w:rsidR="00E83057" w:rsidRPr="00BB45C5" w:rsidRDefault="00E83057" w:rsidP="00584B92">
      <w:pPr>
        <w:pStyle w:val="BodyText"/>
      </w:pPr>
      <w:r w:rsidRPr="00BB45C5">
        <w:t> </w:t>
      </w:r>
      <w:r w:rsidR="00584B92">
        <w:t>OPC did not address this issue in its post-hearing brief.</w:t>
      </w:r>
    </w:p>
    <w:p w14:paraId="5ECBA4AE" w14:textId="77777777" w:rsidR="00E83057" w:rsidRPr="00BB45C5" w:rsidRDefault="00E83057" w:rsidP="00E83057">
      <w:pPr>
        <w:pStyle w:val="PartyName"/>
        <w:rPr>
          <w:vanish/>
          <w:specVanish/>
        </w:rPr>
      </w:pPr>
      <w:r w:rsidRPr="00BB45C5">
        <w:t>FIPUG: </w:t>
      </w:r>
    </w:p>
    <w:p w14:paraId="45798DF0" w14:textId="41DA6A47" w:rsidR="00E83057" w:rsidRDefault="00E83057" w:rsidP="00E83057">
      <w:pPr>
        <w:pStyle w:val="BodyText"/>
      </w:pPr>
      <w:r w:rsidRPr="00BB45C5">
        <w:t> </w:t>
      </w:r>
      <w:r w:rsidR="00584B92">
        <w:t>FIPUG did not address this issue in its post-hearing brief.</w:t>
      </w:r>
    </w:p>
    <w:p w14:paraId="63470B26" w14:textId="77777777" w:rsidR="00B575A4" w:rsidRPr="004C3641" w:rsidRDefault="00B575A4">
      <w:pPr>
        <w:pStyle w:val="IssueSubsectionHeading"/>
        <w:rPr>
          <w:vanish/>
          <w:specVanish/>
        </w:rPr>
      </w:pPr>
      <w:r w:rsidRPr="004C3641">
        <w:t>Staff Analysis: </w:t>
      </w:r>
    </w:p>
    <w:p w14:paraId="37839E47" w14:textId="77777777" w:rsidR="00B575A4" w:rsidRDefault="00B575A4">
      <w:pPr>
        <w:pStyle w:val="BodyText"/>
      </w:pPr>
      <w:r>
        <w:t> </w:t>
      </w:r>
    </w:p>
    <w:p w14:paraId="4F5BCBBB" w14:textId="77777777" w:rsidR="00E83057" w:rsidRPr="00BB45C5" w:rsidRDefault="00E83057" w:rsidP="00E83057">
      <w:pPr>
        <w:pStyle w:val="First-LevelSubheading"/>
        <w:jc w:val="center"/>
      </w:pPr>
      <w:r w:rsidRPr="00BB45C5">
        <w:t>PARTIES’ ARGUMENTS</w:t>
      </w:r>
    </w:p>
    <w:p w14:paraId="0FA398C8" w14:textId="77777777" w:rsidR="00E83057" w:rsidRPr="00BB45C5" w:rsidRDefault="00E83057" w:rsidP="00E83057">
      <w:pPr>
        <w:pStyle w:val="First-LevelSubheading"/>
      </w:pPr>
    </w:p>
    <w:p w14:paraId="1228EDF3" w14:textId="77777777" w:rsidR="00E83057" w:rsidRPr="00BB45C5" w:rsidRDefault="00E83057" w:rsidP="00E83057">
      <w:pPr>
        <w:pStyle w:val="First-LevelSubheading"/>
      </w:pPr>
      <w:r>
        <w:t>PGS</w:t>
      </w:r>
    </w:p>
    <w:p w14:paraId="473D4D15" w14:textId="3B5734BC" w:rsidR="00E83057" w:rsidRPr="00BB45C5" w:rsidRDefault="00E83057" w:rsidP="00E83057">
      <w:pPr>
        <w:pStyle w:val="BodyText"/>
      </w:pPr>
      <w:r>
        <w:t>PGS</w:t>
      </w:r>
      <w:r w:rsidRPr="00BB45C5">
        <w:t xml:space="preserve"> d</w:t>
      </w:r>
      <w:r>
        <w:t xml:space="preserve">id not provide an argument. (PGS BR </w:t>
      </w:r>
      <w:r w:rsidR="00942143">
        <w:t>42</w:t>
      </w:r>
      <w:r w:rsidRPr="00BB45C5">
        <w:t>)</w:t>
      </w:r>
    </w:p>
    <w:p w14:paraId="15C2F540" w14:textId="77777777" w:rsidR="00E83057" w:rsidRPr="00BB45C5" w:rsidRDefault="00E83057" w:rsidP="00E83057">
      <w:pPr>
        <w:pStyle w:val="First-LevelSubheading"/>
      </w:pPr>
      <w:r w:rsidRPr="00BB45C5">
        <w:t>OPC</w:t>
      </w:r>
    </w:p>
    <w:p w14:paraId="73474AD3" w14:textId="1B4209A0" w:rsidR="00E83057" w:rsidRPr="00BB45C5" w:rsidRDefault="00584B92" w:rsidP="00584B92">
      <w:pPr>
        <w:pStyle w:val="BodyText"/>
      </w:pPr>
      <w:r>
        <w:t>OPC did not address this issue in its post-hearing brief.</w:t>
      </w:r>
    </w:p>
    <w:p w14:paraId="447B038B" w14:textId="77777777" w:rsidR="00E83057" w:rsidRPr="00BB45C5" w:rsidRDefault="00E83057" w:rsidP="00E83057">
      <w:pPr>
        <w:pStyle w:val="First-LevelSubheading"/>
      </w:pPr>
      <w:r w:rsidRPr="00BB45C5">
        <w:t>FIPUG</w:t>
      </w:r>
    </w:p>
    <w:p w14:paraId="3E43B30E" w14:textId="66A26376" w:rsidR="00E83057" w:rsidRPr="00BB45C5" w:rsidRDefault="00584B92" w:rsidP="00E83057">
      <w:pPr>
        <w:pStyle w:val="BodyText"/>
      </w:pPr>
      <w:r>
        <w:t>FIPUG did not address this issue in its post-hearing brief.</w:t>
      </w:r>
    </w:p>
    <w:p w14:paraId="4638E578" w14:textId="77777777" w:rsidR="00E83057" w:rsidRPr="00BB45C5" w:rsidRDefault="00E83057" w:rsidP="00E83057">
      <w:pPr>
        <w:pStyle w:val="First-LevelSubheading"/>
        <w:jc w:val="center"/>
      </w:pPr>
      <w:r w:rsidRPr="00BB45C5">
        <w:t>ANALYSIS</w:t>
      </w:r>
    </w:p>
    <w:p w14:paraId="0FC80E14" w14:textId="77777777" w:rsidR="00E83057" w:rsidRPr="00BB45C5" w:rsidRDefault="00E83057" w:rsidP="00E83057">
      <w:pPr>
        <w:pStyle w:val="BodyText"/>
        <w:spacing w:after="0"/>
      </w:pPr>
    </w:p>
    <w:p w14:paraId="08D0D4CF" w14:textId="5E66B03A" w:rsidR="00E83057" w:rsidRDefault="00D45BAC" w:rsidP="00E83057">
      <w:pPr>
        <w:pStyle w:val="BodyText"/>
      </w:pPr>
      <w:r w:rsidRPr="00BB45C5">
        <w:t>Staff has reviewed the Company’s revised cost of service filing and it reflects the Commission-approved total Company revenue requirement.</w:t>
      </w:r>
      <w:r w:rsidR="00E83057" w:rsidRPr="00BB45C5">
        <w:t xml:space="preserve"> Further, the Commission approved the Company’s proposed cost of service methodology in Issue 58 and the allocation of the revenue increase to rate cla</w:t>
      </w:r>
      <w:r w:rsidR="00E83057">
        <w:t>sses in Issue 59 at the November 9</w:t>
      </w:r>
      <w:r w:rsidR="00E83057" w:rsidRPr="00BB45C5">
        <w:t>, 2023 Special Agenda Conference.</w:t>
      </w:r>
      <w:r w:rsidR="00E83057">
        <w:t xml:space="preserve"> </w:t>
      </w:r>
      <w:r w:rsidR="00E83057" w:rsidRPr="00BB45C5">
        <w:t xml:space="preserve">The proposed customer charges </w:t>
      </w:r>
      <w:r w:rsidR="00E83057">
        <w:t xml:space="preserve">reflect the approved revenue requirements and cost of service methodology; therefore, the proposed </w:t>
      </w:r>
      <w:r>
        <w:t xml:space="preserve">per therm </w:t>
      </w:r>
      <w:r w:rsidR="00E83057">
        <w:t>charges</w:t>
      </w:r>
      <w:r w:rsidR="00E83057" w:rsidRPr="00BB45C5">
        <w:t xml:space="preserve"> provided in the tariffs in Attachment B to the recommendation should be approved.</w:t>
      </w:r>
    </w:p>
    <w:p w14:paraId="4E80BDE0" w14:textId="77777777" w:rsidR="00E83057" w:rsidRDefault="00E83057">
      <w:pPr>
        <w:pStyle w:val="BodyText"/>
      </w:pPr>
    </w:p>
    <w:p w14:paraId="3C010873" w14:textId="061AB6CE" w:rsidR="00513D50" w:rsidRDefault="00513D50">
      <w:pPr>
        <w:pStyle w:val="IssueHeading"/>
        <w:rPr>
          <w:vanish/>
          <w:specVanish/>
        </w:rPr>
      </w:pPr>
      <w:r w:rsidRPr="004C3641">
        <w:rPr>
          <w:b w:val="0"/>
          <w:i w:val="0"/>
        </w:rPr>
        <w:br w:type="page"/>
      </w:r>
      <w:r w:rsidRPr="004C3641">
        <w:lastRenderedPageBreak/>
        <w:t xml:space="preserve">Issue </w:t>
      </w:r>
      <w:r>
        <w:fldChar w:fldCharType="begin"/>
      </w:r>
      <w:r w:rsidR="00E83057">
        <w:instrText>seq issue \r 69</w:instrText>
      </w:r>
      <w:r>
        <w:fldChar w:fldCharType="separate"/>
      </w:r>
      <w:r w:rsidR="00727612">
        <w:rPr>
          <w:noProof/>
        </w:rPr>
        <w:t>69</w:t>
      </w:r>
      <w:r>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727612">
        <w:rPr>
          <w:noProof/>
        </w:rPr>
        <w:instrText>69</w:instrText>
      </w:r>
      <w:r>
        <w:fldChar w:fldCharType="end"/>
      </w:r>
      <w:r>
        <w:tab/>
        <w:instrText xml:space="preserve">(P. Kelley, Hampson)" \l 1 </w:instrText>
      </w:r>
      <w:r>
        <w:fldChar w:fldCharType="end"/>
      </w:r>
      <w:r>
        <w:t> </w:t>
      </w:r>
    </w:p>
    <w:p w14:paraId="0EAE07F6" w14:textId="77777777" w:rsidR="00513D50" w:rsidRDefault="00513D50">
      <w:pPr>
        <w:pStyle w:val="BodyText"/>
      </w:pPr>
      <w:r>
        <w:t> </w:t>
      </w:r>
      <w:r w:rsidR="00E83057">
        <w:t>Should the Commission approve PGS’s proposed tariffs reflecting the Commission-approved target revenues?</w:t>
      </w:r>
    </w:p>
    <w:p w14:paraId="45741639" w14:textId="77777777" w:rsidR="00513D50" w:rsidRPr="004C3641" w:rsidRDefault="00513D50">
      <w:pPr>
        <w:pStyle w:val="IssueSubsectionHeading"/>
        <w:rPr>
          <w:vanish/>
          <w:specVanish/>
        </w:rPr>
      </w:pPr>
      <w:r w:rsidRPr="004C3641">
        <w:t>Recommendation: </w:t>
      </w:r>
    </w:p>
    <w:p w14:paraId="118568D8" w14:textId="30DD52FE" w:rsidR="00513D50" w:rsidRDefault="00513D50">
      <w:pPr>
        <w:pStyle w:val="BodyText"/>
      </w:pPr>
      <w:r>
        <w:t> </w:t>
      </w:r>
      <w:r w:rsidR="00112A1A">
        <w:t>Yes, the Commission should approve PGS’s proposed tariffs reflecting the Commission-approved target revenues, as provided in Attachment B to the recommendation.</w:t>
      </w:r>
      <w:r>
        <w:t xml:space="preserve"> (P. Kelley, Hampson</w:t>
      </w:r>
      <w:r w:rsidR="00B00C25">
        <w:t>, Norris</w:t>
      </w:r>
      <w:r>
        <w:t>)</w:t>
      </w:r>
    </w:p>
    <w:p w14:paraId="4613DBAB" w14:textId="77777777" w:rsidR="00E83057" w:rsidRPr="00BB45C5" w:rsidRDefault="00E83057" w:rsidP="00E83057">
      <w:pPr>
        <w:pStyle w:val="IssueSubsectionHeading"/>
        <w:keepNext/>
        <w:rPr>
          <w:iCs w:val="0"/>
        </w:rPr>
      </w:pPr>
      <w:r w:rsidRPr="00BB45C5">
        <w:rPr>
          <w:iCs w:val="0"/>
        </w:rPr>
        <w:t>Position of the Parties</w:t>
      </w:r>
    </w:p>
    <w:p w14:paraId="02DF079E" w14:textId="77777777" w:rsidR="00E83057" w:rsidRPr="00BB45C5" w:rsidRDefault="00E83057" w:rsidP="00E83057">
      <w:pPr>
        <w:pStyle w:val="PartyName"/>
        <w:rPr>
          <w:vanish/>
          <w:specVanish/>
        </w:rPr>
      </w:pPr>
      <w:r>
        <w:t>PGS</w:t>
      </w:r>
      <w:r w:rsidRPr="00BB45C5">
        <w:t>: </w:t>
      </w:r>
    </w:p>
    <w:p w14:paraId="4133D95E" w14:textId="5738D4FC" w:rsidR="00E83057" w:rsidRPr="00BB45C5" w:rsidRDefault="00E83057" w:rsidP="00E83057">
      <w:pPr>
        <w:pStyle w:val="BodyText"/>
      </w:pPr>
      <w:r w:rsidRPr="00BB45C5">
        <w:t> </w:t>
      </w:r>
      <w:r w:rsidR="00942143">
        <w:t>Yes. Once the Commission approves the company’s customer and per therm charges, the company should submit updated tariff sheets reflecting the new rates and charges, including those approved by stipulation, and the Staff of the Commission should be given administrative authority to approve the update tariff pages.</w:t>
      </w:r>
    </w:p>
    <w:p w14:paraId="7D26C1FD" w14:textId="77777777" w:rsidR="00E83057" w:rsidRPr="00BB45C5" w:rsidRDefault="00E83057" w:rsidP="00E83057">
      <w:pPr>
        <w:pStyle w:val="PartyName"/>
        <w:rPr>
          <w:vanish/>
          <w:specVanish/>
        </w:rPr>
      </w:pPr>
      <w:r w:rsidRPr="00BB45C5">
        <w:t>OPC: </w:t>
      </w:r>
    </w:p>
    <w:p w14:paraId="52ED0BC2" w14:textId="10622136" w:rsidR="00E83057" w:rsidRPr="00BB45C5" w:rsidRDefault="00E83057" w:rsidP="00584B92">
      <w:pPr>
        <w:pStyle w:val="BodyText"/>
      </w:pPr>
      <w:r w:rsidRPr="00BB45C5">
        <w:t> </w:t>
      </w:r>
      <w:r w:rsidR="00584B92">
        <w:t>OPC did not address this issue in its post-hearing brief.</w:t>
      </w:r>
    </w:p>
    <w:p w14:paraId="1605DDA2" w14:textId="77777777" w:rsidR="00E83057" w:rsidRPr="00BB45C5" w:rsidRDefault="00E83057" w:rsidP="00E83057">
      <w:pPr>
        <w:pStyle w:val="PartyName"/>
        <w:rPr>
          <w:vanish/>
          <w:specVanish/>
        </w:rPr>
      </w:pPr>
      <w:r w:rsidRPr="00BB45C5">
        <w:t>FIPUG: </w:t>
      </w:r>
    </w:p>
    <w:p w14:paraId="7A144173" w14:textId="4981E949" w:rsidR="00E83057" w:rsidRDefault="00E83057" w:rsidP="00584B92">
      <w:pPr>
        <w:pStyle w:val="BodyText"/>
      </w:pPr>
      <w:r w:rsidRPr="00BB45C5">
        <w:t> </w:t>
      </w:r>
      <w:r w:rsidR="00584B92">
        <w:t>FIPUG did not address this issue in its post-hearing brief.</w:t>
      </w:r>
    </w:p>
    <w:p w14:paraId="761FE26B" w14:textId="77777777" w:rsidR="00513D50" w:rsidRPr="004C3641" w:rsidRDefault="00513D50">
      <w:pPr>
        <w:pStyle w:val="IssueSubsectionHeading"/>
        <w:rPr>
          <w:vanish/>
          <w:specVanish/>
        </w:rPr>
      </w:pPr>
      <w:r w:rsidRPr="004C3641">
        <w:t>Staff Analysis: </w:t>
      </w:r>
    </w:p>
    <w:p w14:paraId="403E16A3" w14:textId="77777777" w:rsidR="00513D50" w:rsidRDefault="00513D50">
      <w:pPr>
        <w:pStyle w:val="BodyText"/>
      </w:pPr>
      <w:r>
        <w:t> </w:t>
      </w:r>
    </w:p>
    <w:p w14:paraId="28F7371E" w14:textId="77777777" w:rsidR="00E83057" w:rsidRPr="00BB45C5" w:rsidRDefault="00E83057" w:rsidP="00E83057">
      <w:pPr>
        <w:pStyle w:val="First-LevelSubheading"/>
        <w:jc w:val="center"/>
      </w:pPr>
      <w:r w:rsidRPr="00BB45C5">
        <w:t>PARTIES’ ARGUMENTS</w:t>
      </w:r>
    </w:p>
    <w:p w14:paraId="2F0A53D0" w14:textId="77777777" w:rsidR="00E83057" w:rsidRPr="00BB45C5" w:rsidRDefault="00E83057" w:rsidP="00E83057">
      <w:pPr>
        <w:pStyle w:val="First-LevelSubheading"/>
      </w:pPr>
    </w:p>
    <w:p w14:paraId="3A3E2B34" w14:textId="77777777" w:rsidR="00E83057" w:rsidRPr="00BB45C5" w:rsidRDefault="00E83057" w:rsidP="00E83057">
      <w:pPr>
        <w:pStyle w:val="First-LevelSubheading"/>
      </w:pPr>
      <w:r>
        <w:t>PGS</w:t>
      </w:r>
    </w:p>
    <w:p w14:paraId="7E0C3F28" w14:textId="79FED73A" w:rsidR="00E83057" w:rsidRPr="00BB45C5" w:rsidRDefault="00E83057" w:rsidP="00E83057">
      <w:pPr>
        <w:pStyle w:val="BodyText"/>
      </w:pPr>
      <w:r>
        <w:t>PGS</w:t>
      </w:r>
      <w:r w:rsidRPr="00BB45C5">
        <w:t xml:space="preserve"> d</w:t>
      </w:r>
      <w:r>
        <w:t>id not</w:t>
      </w:r>
      <w:r w:rsidR="00942143">
        <w:t xml:space="preserve"> provide an argument. (PGS BR 42</w:t>
      </w:r>
      <w:r w:rsidRPr="00BB45C5">
        <w:t>)</w:t>
      </w:r>
    </w:p>
    <w:p w14:paraId="36DFD67F" w14:textId="77777777" w:rsidR="00E83057" w:rsidRPr="00BB45C5" w:rsidRDefault="00E83057" w:rsidP="00E83057">
      <w:pPr>
        <w:pStyle w:val="First-LevelSubheading"/>
      </w:pPr>
      <w:r w:rsidRPr="00BB45C5">
        <w:t>OPC</w:t>
      </w:r>
    </w:p>
    <w:p w14:paraId="44348E71" w14:textId="15ADBD2A" w:rsidR="00E83057" w:rsidRPr="00BB45C5" w:rsidRDefault="00584B92" w:rsidP="00584B92">
      <w:pPr>
        <w:pStyle w:val="BodyText"/>
      </w:pPr>
      <w:r>
        <w:t>OPC did not address this issue in its post-hearing brief.</w:t>
      </w:r>
    </w:p>
    <w:p w14:paraId="577C5C09" w14:textId="77777777" w:rsidR="00E83057" w:rsidRPr="00BB45C5" w:rsidRDefault="00E83057" w:rsidP="00E83057">
      <w:pPr>
        <w:pStyle w:val="First-LevelSubheading"/>
      </w:pPr>
      <w:r w:rsidRPr="00BB45C5">
        <w:t>FIPUG</w:t>
      </w:r>
    </w:p>
    <w:p w14:paraId="58E3A374" w14:textId="6D45EAE0" w:rsidR="00E83057" w:rsidRPr="00BB45C5" w:rsidRDefault="00584B92" w:rsidP="00E83057">
      <w:pPr>
        <w:pStyle w:val="BodyText"/>
      </w:pPr>
      <w:r>
        <w:t>FIPUG did not address this issue in its post-hearing brief.</w:t>
      </w:r>
    </w:p>
    <w:p w14:paraId="30027F58" w14:textId="77777777" w:rsidR="00E83057" w:rsidRPr="00BB45C5" w:rsidRDefault="00E83057" w:rsidP="00E83057">
      <w:pPr>
        <w:pStyle w:val="First-LevelSubheading"/>
        <w:jc w:val="center"/>
      </w:pPr>
      <w:r w:rsidRPr="00BB45C5">
        <w:t>ANALYSIS</w:t>
      </w:r>
    </w:p>
    <w:p w14:paraId="6ADC2384" w14:textId="77777777" w:rsidR="00E83057" w:rsidRPr="00BB45C5" w:rsidRDefault="00E83057" w:rsidP="00E83057">
      <w:pPr>
        <w:pStyle w:val="BodyText"/>
        <w:spacing w:after="0"/>
      </w:pPr>
    </w:p>
    <w:p w14:paraId="591E441C" w14:textId="41A3F388" w:rsidR="00513D50" w:rsidRDefault="009E7AE6">
      <w:pPr>
        <w:pStyle w:val="BodyText"/>
      </w:pPr>
      <w:r>
        <w:t>S</w:t>
      </w:r>
      <w:r w:rsidR="00D45BAC" w:rsidRPr="00BB45C5">
        <w:t>taff has reviewed the revised cost of service study and associated tariffs, which were revised to reflect the final Commission-approved revenue requirement.</w:t>
      </w:r>
      <w:r w:rsidR="00D45BAC" w:rsidRPr="00BB45C5">
        <w:rPr>
          <w:rStyle w:val="FootnoteReference"/>
        </w:rPr>
        <w:footnoteReference w:id="6"/>
      </w:r>
      <w:r w:rsidR="00D45BAC" w:rsidRPr="00BB45C5">
        <w:t xml:space="preserve"> Reviewing the documentation provided by </w:t>
      </w:r>
      <w:r w:rsidR="00D45BAC">
        <w:t>PGS</w:t>
      </w:r>
      <w:r w:rsidR="00D45BAC" w:rsidRPr="00BB45C5">
        <w:t>, staff believes that the revised cost of service study and associated</w:t>
      </w:r>
      <w:r w:rsidR="00D45BAC">
        <w:t xml:space="preserve"> tariffs are in accordance with the </w:t>
      </w:r>
      <w:r w:rsidR="00D45BAC" w:rsidRPr="00BB45C5">
        <w:t xml:space="preserve">Commission vote from the </w:t>
      </w:r>
      <w:r w:rsidR="00D45BAC" w:rsidRPr="00D45BAC">
        <w:t>November 9, 2023</w:t>
      </w:r>
      <w:r w:rsidR="00D45BAC" w:rsidRPr="00BB45C5">
        <w:t xml:space="preserve"> Special Agenda Conference. The Commission should approve the proposed tariffs as provided in Attachment B to the recommendation.</w:t>
      </w:r>
    </w:p>
    <w:p w14:paraId="7927BA3D" w14:textId="49BFDDCA" w:rsidR="00B16E61" w:rsidRDefault="00B16E61">
      <w:pPr>
        <w:pStyle w:val="IssueHeading"/>
        <w:rPr>
          <w:vanish/>
          <w:specVanish/>
        </w:rPr>
      </w:pPr>
      <w:r w:rsidRPr="004C3641">
        <w:rPr>
          <w:b w:val="0"/>
          <w:i w:val="0"/>
        </w:rPr>
        <w:br w:type="page"/>
      </w:r>
      <w:r w:rsidRPr="004C3641">
        <w:lastRenderedPageBreak/>
        <w:t xml:space="preserve">Issue </w:t>
      </w:r>
      <w:r>
        <w:fldChar w:fldCharType="begin"/>
      </w:r>
      <w:r w:rsidR="00E83057">
        <w:instrText>seq issue \r 70</w:instrText>
      </w:r>
      <w:r>
        <w:fldChar w:fldCharType="separate"/>
      </w:r>
      <w:r w:rsidR="00727612">
        <w:rPr>
          <w:noProof/>
        </w:rPr>
        <w:t>70</w:t>
      </w:r>
      <w:r>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727612">
        <w:rPr>
          <w:noProof/>
        </w:rPr>
        <w:instrText>70</w:instrText>
      </w:r>
      <w:r>
        <w:fldChar w:fldCharType="end"/>
      </w:r>
      <w:r>
        <w:tab/>
        <w:instrText xml:space="preserve">(P. Kelley, Hampson)" \l 1 </w:instrText>
      </w:r>
      <w:r>
        <w:fldChar w:fldCharType="end"/>
      </w:r>
      <w:r>
        <w:t> </w:t>
      </w:r>
    </w:p>
    <w:p w14:paraId="0420AEB9" w14:textId="77777777" w:rsidR="00B16E61" w:rsidRDefault="00B16E61">
      <w:pPr>
        <w:pStyle w:val="BodyText"/>
      </w:pPr>
      <w:r>
        <w:t> </w:t>
      </w:r>
      <w:r w:rsidR="00E83057">
        <w:t>What is the effective date for PGS's revised rates and charges?</w:t>
      </w:r>
    </w:p>
    <w:p w14:paraId="74DBACB8" w14:textId="77777777" w:rsidR="00B16E61" w:rsidRPr="004C3641" w:rsidRDefault="00B16E61">
      <w:pPr>
        <w:pStyle w:val="IssueSubsectionHeading"/>
        <w:rPr>
          <w:vanish/>
          <w:specVanish/>
        </w:rPr>
      </w:pPr>
      <w:r w:rsidRPr="004C3641">
        <w:t>Recommendation: </w:t>
      </w:r>
    </w:p>
    <w:p w14:paraId="2A7E13EB" w14:textId="27066F3E" w:rsidR="00B16E61" w:rsidRDefault="00B16E61">
      <w:pPr>
        <w:pStyle w:val="BodyText"/>
      </w:pPr>
      <w:r>
        <w:t> </w:t>
      </w:r>
      <w:r w:rsidR="00584B92">
        <w:t>The rates and charges approved by the Commission should become effective the first billing cycle in January 20</w:t>
      </w:r>
      <w:r w:rsidR="00867B73">
        <w:t>24.</w:t>
      </w:r>
      <w:r>
        <w:t xml:space="preserve"> (P. Kelley, Hampson</w:t>
      </w:r>
      <w:r w:rsidR="00B00C25">
        <w:t>, Norris</w:t>
      </w:r>
      <w:r>
        <w:t>)</w:t>
      </w:r>
    </w:p>
    <w:p w14:paraId="05018CEF" w14:textId="77777777" w:rsidR="00D45BAC" w:rsidRPr="00BB45C5" w:rsidRDefault="00D45BAC" w:rsidP="00D45BAC">
      <w:pPr>
        <w:pStyle w:val="IssueSubsectionHeading"/>
        <w:keepNext/>
        <w:rPr>
          <w:iCs w:val="0"/>
        </w:rPr>
      </w:pPr>
      <w:r w:rsidRPr="00BB45C5">
        <w:rPr>
          <w:iCs w:val="0"/>
        </w:rPr>
        <w:t>Position of the Parties</w:t>
      </w:r>
    </w:p>
    <w:p w14:paraId="27885AC2" w14:textId="56690F3A" w:rsidR="00D45BAC" w:rsidRPr="00BB45C5" w:rsidRDefault="00942143" w:rsidP="00D45BAC">
      <w:pPr>
        <w:pStyle w:val="PartyName"/>
        <w:rPr>
          <w:vanish/>
          <w:specVanish/>
        </w:rPr>
      </w:pPr>
      <w:r>
        <w:t>PGS</w:t>
      </w:r>
      <w:r w:rsidR="00D45BAC" w:rsidRPr="00BB45C5">
        <w:t>: </w:t>
      </w:r>
    </w:p>
    <w:p w14:paraId="350E8537" w14:textId="7738BD04" w:rsidR="00D45BAC" w:rsidRPr="00BB45C5" w:rsidRDefault="00D45BAC" w:rsidP="00D45BAC">
      <w:pPr>
        <w:pStyle w:val="BodyText"/>
      </w:pPr>
      <w:r w:rsidRPr="00BB45C5">
        <w:t> </w:t>
      </w:r>
      <w:r w:rsidR="00942143">
        <w:t>The revised base rates and charges approved in this case should be effective with the first billing cycle in January 2024</w:t>
      </w:r>
    </w:p>
    <w:p w14:paraId="0919666D" w14:textId="77777777" w:rsidR="00D45BAC" w:rsidRPr="00BB45C5" w:rsidRDefault="00D45BAC" w:rsidP="00D45BAC">
      <w:pPr>
        <w:pStyle w:val="PartyName"/>
        <w:rPr>
          <w:vanish/>
          <w:specVanish/>
        </w:rPr>
      </w:pPr>
      <w:r w:rsidRPr="00BB45C5">
        <w:t>OPC: </w:t>
      </w:r>
    </w:p>
    <w:p w14:paraId="2E7B161A" w14:textId="19541F8C" w:rsidR="00D45BAC" w:rsidRPr="00BB45C5" w:rsidRDefault="00D45BAC" w:rsidP="00584B92">
      <w:pPr>
        <w:pStyle w:val="BodyText"/>
      </w:pPr>
      <w:r w:rsidRPr="00BB45C5">
        <w:t> </w:t>
      </w:r>
      <w:r w:rsidR="00584B92">
        <w:t>OPC did not address this issue in its post-hearing brief.</w:t>
      </w:r>
    </w:p>
    <w:p w14:paraId="26647456" w14:textId="77777777" w:rsidR="00D45BAC" w:rsidRPr="00BB45C5" w:rsidRDefault="00D45BAC" w:rsidP="00D45BAC">
      <w:pPr>
        <w:pStyle w:val="PartyName"/>
        <w:rPr>
          <w:vanish/>
          <w:specVanish/>
        </w:rPr>
      </w:pPr>
      <w:r w:rsidRPr="00BB45C5">
        <w:t>FIPUG: </w:t>
      </w:r>
    </w:p>
    <w:p w14:paraId="027EF87B" w14:textId="2B9DD788" w:rsidR="00D45BAC" w:rsidRDefault="00D45BAC" w:rsidP="00584B92">
      <w:pPr>
        <w:pStyle w:val="BodyText"/>
      </w:pPr>
      <w:r w:rsidRPr="00BB45C5">
        <w:t> </w:t>
      </w:r>
      <w:r w:rsidR="00584B92">
        <w:t>FIPUG did not address this issue in its post-hearing brief.</w:t>
      </w:r>
    </w:p>
    <w:p w14:paraId="41CEE8A0" w14:textId="77777777" w:rsidR="00B16E61" w:rsidRPr="004C3641" w:rsidRDefault="00B16E61">
      <w:pPr>
        <w:pStyle w:val="IssueSubsectionHeading"/>
        <w:rPr>
          <w:vanish/>
          <w:specVanish/>
        </w:rPr>
      </w:pPr>
      <w:r w:rsidRPr="004C3641">
        <w:t>Staff Analysis: </w:t>
      </w:r>
    </w:p>
    <w:p w14:paraId="39BF1C31" w14:textId="26EC0296" w:rsidR="00B16E61" w:rsidRDefault="00B16E61">
      <w:pPr>
        <w:pStyle w:val="BodyText"/>
      </w:pPr>
      <w:r>
        <w:t> </w:t>
      </w:r>
    </w:p>
    <w:p w14:paraId="51AE4CC3" w14:textId="77777777" w:rsidR="00D45BAC" w:rsidRPr="00BB45C5" w:rsidRDefault="00D45BAC" w:rsidP="00D45BAC">
      <w:pPr>
        <w:pStyle w:val="First-LevelSubheading"/>
        <w:jc w:val="center"/>
      </w:pPr>
      <w:r w:rsidRPr="00BB45C5">
        <w:t>PARTIES’ ARGUMENTS</w:t>
      </w:r>
    </w:p>
    <w:p w14:paraId="26C3C17D" w14:textId="77777777" w:rsidR="00D45BAC" w:rsidRPr="00BB45C5" w:rsidRDefault="00D45BAC" w:rsidP="00D45BAC">
      <w:pPr>
        <w:pStyle w:val="First-LevelSubheading"/>
      </w:pPr>
    </w:p>
    <w:p w14:paraId="3EE29A6C" w14:textId="52776BFC" w:rsidR="00D45BAC" w:rsidRPr="00BB45C5" w:rsidRDefault="00942143" w:rsidP="00D45BAC">
      <w:pPr>
        <w:pStyle w:val="First-LevelSubheading"/>
      </w:pPr>
      <w:r>
        <w:t>PGS</w:t>
      </w:r>
    </w:p>
    <w:p w14:paraId="164AFC0D" w14:textId="5E1FE84D" w:rsidR="00D45BAC" w:rsidRPr="00BB45C5" w:rsidRDefault="00942143" w:rsidP="00D45BAC">
      <w:pPr>
        <w:pStyle w:val="BodyText"/>
      </w:pPr>
      <w:r>
        <w:t>The appropriate effective date for Peoples’ revised rates and charges should be the first billing cycle in January 2024. (PGS</w:t>
      </w:r>
      <w:r w:rsidR="00D45BAC" w:rsidRPr="00BB45C5">
        <w:t xml:space="preserve"> BR </w:t>
      </w:r>
      <w:r>
        <w:t>42</w:t>
      </w:r>
      <w:r w:rsidR="00D45BAC" w:rsidRPr="00BB45C5">
        <w:t>)</w:t>
      </w:r>
    </w:p>
    <w:p w14:paraId="55B437E4" w14:textId="77777777" w:rsidR="00D45BAC" w:rsidRPr="00BB45C5" w:rsidRDefault="00D45BAC" w:rsidP="00D45BAC">
      <w:pPr>
        <w:pStyle w:val="First-LevelSubheading"/>
      </w:pPr>
      <w:r w:rsidRPr="00BB45C5">
        <w:t>OPC</w:t>
      </w:r>
    </w:p>
    <w:p w14:paraId="7DD1165E" w14:textId="19D10836" w:rsidR="00D45BAC" w:rsidRPr="00BB45C5" w:rsidRDefault="00584B92" w:rsidP="00584B92">
      <w:pPr>
        <w:pStyle w:val="BodyText"/>
      </w:pPr>
      <w:r>
        <w:t>OPC did not address this issue in its post-hearing brief.</w:t>
      </w:r>
    </w:p>
    <w:p w14:paraId="38469F40" w14:textId="77777777" w:rsidR="00D45BAC" w:rsidRPr="00BB45C5" w:rsidRDefault="00D45BAC" w:rsidP="00D45BAC">
      <w:pPr>
        <w:pStyle w:val="First-LevelSubheading"/>
      </w:pPr>
      <w:r w:rsidRPr="00BB45C5">
        <w:t>FIPUG</w:t>
      </w:r>
    </w:p>
    <w:p w14:paraId="08582901" w14:textId="026C6CD7" w:rsidR="00D45BAC" w:rsidRDefault="00584B92" w:rsidP="00584B92">
      <w:pPr>
        <w:pStyle w:val="BodyText"/>
      </w:pPr>
      <w:r>
        <w:t>FIPUG did not address this issue in its post-hearing brief.</w:t>
      </w:r>
    </w:p>
    <w:p w14:paraId="7ABE10FE" w14:textId="77777777" w:rsidR="00D45BAC" w:rsidRDefault="00D45BAC" w:rsidP="00D45BAC">
      <w:pPr>
        <w:pStyle w:val="First-LevelSubheading"/>
        <w:jc w:val="center"/>
      </w:pPr>
      <w:r>
        <w:t>ANALYSIS</w:t>
      </w:r>
    </w:p>
    <w:p w14:paraId="40932810" w14:textId="5603EDBE" w:rsidR="00727612" w:rsidRPr="00727612" w:rsidRDefault="009E7AE6" w:rsidP="00957805">
      <w:pPr>
        <w:pStyle w:val="BodyText"/>
      </w:pPr>
      <w:r>
        <w:t>PGS</w:t>
      </w:r>
      <w:r w:rsidR="00727612" w:rsidRPr="00727612">
        <w:t xml:space="preserve"> provided a notification of the proposed rate increase to its customers during the month of June 2023, and also posted notice of the rate increase on its website. The notification included a comparison between current and proposed rates, and that the rates ultimately approved by the Commission will not exceed those identified in the notice. </w:t>
      </w:r>
      <w:r>
        <w:t>PGS</w:t>
      </w:r>
      <w:r w:rsidR="00957805" w:rsidRPr="00727612">
        <w:t xml:space="preserve"> will</w:t>
      </w:r>
      <w:r w:rsidR="00727612" w:rsidRPr="00727612">
        <w:t xml:space="preserve"> also</w:t>
      </w:r>
      <w:r w:rsidR="00957805" w:rsidRPr="00727612">
        <w:t xml:space="preserve"> provide a direct notice to customers during </w:t>
      </w:r>
      <w:r w:rsidR="00727612" w:rsidRPr="00727612">
        <w:t>January 2024</w:t>
      </w:r>
      <w:r w:rsidR="00957805" w:rsidRPr="00727612">
        <w:t xml:space="preserve">, which will identify the final, Commission-approved rates and charges. </w:t>
      </w:r>
    </w:p>
    <w:p w14:paraId="472C0617" w14:textId="75E3D5EF" w:rsidR="00D45BAC" w:rsidRPr="00727612" w:rsidRDefault="00957805" w:rsidP="00957805">
      <w:pPr>
        <w:pStyle w:val="BodyText"/>
      </w:pPr>
      <w:r w:rsidRPr="00727612">
        <w:t>Staff has reviewed the direct notice and believes the notice reflects the rates and charges approved by the Commission.</w:t>
      </w:r>
      <w:r w:rsidR="00867B73" w:rsidRPr="00727612">
        <w:t xml:space="preserve"> </w:t>
      </w:r>
      <w:r w:rsidRPr="00727612">
        <w:t>Staff recommends that the rates and charges approved by the Commission should become effective the first</w:t>
      </w:r>
      <w:r w:rsidR="00867B73" w:rsidRPr="00727612">
        <w:t xml:space="preserve"> billing cycle in January 2024.</w:t>
      </w:r>
    </w:p>
    <w:p w14:paraId="73A94403" w14:textId="300BB7AA" w:rsidR="00513D50" w:rsidRPr="00727612" w:rsidRDefault="00513D50">
      <w:pPr>
        <w:pStyle w:val="IssueHeading"/>
        <w:rPr>
          <w:vanish/>
          <w:specVanish/>
        </w:rPr>
      </w:pPr>
      <w:r w:rsidRPr="00727612">
        <w:rPr>
          <w:b w:val="0"/>
          <w:i w:val="0"/>
        </w:rPr>
        <w:br w:type="page"/>
      </w:r>
      <w:r w:rsidRPr="00727612">
        <w:lastRenderedPageBreak/>
        <w:t xml:space="preserve">Issue </w:t>
      </w:r>
      <w:r w:rsidRPr="00727612">
        <w:fldChar w:fldCharType="begin"/>
      </w:r>
      <w:r w:rsidR="00E83057" w:rsidRPr="00727612">
        <w:instrText>seq issue \r 75</w:instrText>
      </w:r>
      <w:r w:rsidRPr="00727612">
        <w:fldChar w:fldCharType="separate"/>
      </w:r>
      <w:r w:rsidR="00727612" w:rsidRPr="00727612">
        <w:rPr>
          <w:noProof/>
        </w:rPr>
        <w:t>75</w:t>
      </w:r>
      <w:r w:rsidRPr="00727612">
        <w:rPr>
          <w:noProof/>
        </w:rPr>
        <w:fldChar w:fldCharType="end"/>
      </w:r>
      <w:r w:rsidRPr="00727612">
        <w:t>:</w:t>
      </w:r>
      <w:r w:rsidRPr="00727612">
        <w:fldChar w:fldCharType="begin"/>
      </w:r>
      <w:r w:rsidRPr="00727612">
        <w:instrText xml:space="preserve"> TC "</w:instrText>
      </w:r>
      <w:r w:rsidRPr="00727612">
        <w:fldChar w:fldCharType="begin"/>
      </w:r>
      <w:r w:rsidRPr="00727612">
        <w:instrText xml:space="preserve"> SEQ issue \c </w:instrText>
      </w:r>
      <w:r w:rsidRPr="00727612">
        <w:fldChar w:fldCharType="separate"/>
      </w:r>
      <w:r w:rsidR="00727612" w:rsidRPr="00727612">
        <w:rPr>
          <w:noProof/>
        </w:rPr>
        <w:instrText>75</w:instrText>
      </w:r>
      <w:r w:rsidRPr="00727612">
        <w:fldChar w:fldCharType="end"/>
      </w:r>
      <w:r w:rsidRPr="00727612">
        <w:tab/>
        <w:instrText xml:space="preserve">(Thompson, Sandy)" \l 1 </w:instrText>
      </w:r>
      <w:r w:rsidRPr="00727612">
        <w:fldChar w:fldCharType="end"/>
      </w:r>
      <w:r w:rsidRPr="00727612">
        <w:t> </w:t>
      </w:r>
    </w:p>
    <w:p w14:paraId="3FA31A7B" w14:textId="77777777" w:rsidR="00513D50" w:rsidRPr="00727612" w:rsidRDefault="00513D50">
      <w:pPr>
        <w:pStyle w:val="BodyText"/>
      </w:pPr>
      <w:r w:rsidRPr="00727612">
        <w:t> </w:t>
      </w:r>
      <w:r w:rsidR="00E83057" w:rsidRPr="00727612">
        <w:t>Should this docket be closed?</w:t>
      </w:r>
    </w:p>
    <w:p w14:paraId="6F3BB008" w14:textId="77777777" w:rsidR="00513D50" w:rsidRPr="00727612" w:rsidRDefault="00513D50">
      <w:pPr>
        <w:pStyle w:val="IssueSubsectionHeading"/>
        <w:rPr>
          <w:vanish/>
          <w:specVanish/>
        </w:rPr>
      </w:pPr>
      <w:r w:rsidRPr="00727612">
        <w:t>Recommendation: </w:t>
      </w:r>
    </w:p>
    <w:p w14:paraId="5FDD0A75" w14:textId="059AA014" w:rsidR="00513D50" w:rsidRPr="00727612" w:rsidRDefault="00513D50">
      <w:pPr>
        <w:pStyle w:val="BodyText"/>
      </w:pPr>
      <w:r w:rsidRPr="00727612">
        <w:t> </w:t>
      </w:r>
      <w:r w:rsidR="0090548F" w:rsidRPr="00727612">
        <w:t>After the final order is issued, this docket should be closed.</w:t>
      </w:r>
      <w:r w:rsidRPr="00727612">
        <w:t xml:space="preserve"> (Thompson, Sandy)</w:t>
      </w:r>
    </w:p>
    <w:p w14:paraId="77BD57D3" w14:textId="77777777" w:rsidR="00985796" w:rsidRDefault="00985796" w:rsidP="00E275D8">
      <w:pPr>
        <w:pStyle w:val="BodyText"/>
        <w:sectPr w:rsidR="00985796" w:rsidSect="0068481F">
          <w:headerReference w:type="default" r:id="rId11"/>
          <w:headerReference w:type="first" r:id="rId12"/>
          <w:footerReference w:type="first" r:id="rId13"/>
          <w:pgSz w:w="12240" w:h="15840" w:code="1"/>
          <w:pgMar w:top="1584" w:right="1440" w:bottom="1440" w:left="1440" w:header="720" w:footer="720" w:gutter="0"/>
          <w:cols w:space="720"/>
          <w:formProt w:val="0"/>
          <w:docGrid w:linePitch="360"/>
        </w:sectPr>
      </w:pPr>
    </w:p>
    <w:p w14:paraId="5735CBB6" w14:textId="77777777" w:rsidR="00985796" w:rsidRDefault="00985796" w:rsidP="00E275D8">
      <w:pPr>
        <w:pStyle w:val="BodyText"/>
        <w:sectPr w:rsidR="00985796" w:rsidSect="0068481F">
          <w:headerReference w:type="default" r:id="rId14"/>
          <w:pgSz w:w="12240" w:h="15840" w:code="1"/>
          <w:pgMar w:top="1584" w:right="1440" w:bottom="1440" w:left="1440" w:header="720" w:footer="720" w:gutter="0"/>
          <w:cols w:space="720"/>
          <w:formProt w:val="0"/>
          <w:docGrid w:linePitch="360"/>
        </w:sectPr>
      </w:pPr>
      <w:r>
        <w:rPr>
          <w:noProof/>
        </w:rPr>
        <w:lastRenderedPageBreak/>
        <w:drawing>
          <wp:inline distT="0" distB="0" distL="0" distR="0" wp14:anchorId="28579ED1" wp14:editId="7682C625">
            <wp:extent cx="5552440" cy="5009515"/>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52440" cy="5009515"/>
                    </a:xfrm>
                    <a:prstGeom prst="rect">
                      <a:avLst/>
                    </a:prstGeom>
                    <a:noFill/>
                  </pic:spPr>
                </pic:pic>
              </a:graphicData>
            </a:graphic>
          </wp:inline>
        </w:drawing>
      </w:r>
    </w:p>
    <w:p w14:paraId="587A8C38" w14:textId="3A8105C3" w:rsidR="00E06484" w:rsidRDefault="00985796" w:rsidP="00E275D8">
      <w:pPr>
        <w:pStyle w:val="BodyText"/>
      </w:pPr>
      <w:r>
        <w:rPr>
          <w:noProof/>
        </w:rPr>
        <w:lastRenderedPageBreak/>
        <w:drawing>
          <wp:inline distT="0" distB="0" distL="0" distR="0" wp14:anchorId="4052D6F6" wp14:editId="53644D4F">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6067-2023 Legis Tariffs, based on Commission Approval_Page_001.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B29A124" wp14:editId="159C72C6">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6067-2023 Legis Tariffs, based on Commission Approval_Page_00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BE4CCD0" wp14:editId="4CFE8565">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6067-2023 Legis Tariffs, based on Commission Approval_Page_003.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04E4C3C" wp14:editId="35E007DE">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6067-2023 Legis Tariffs, based on Commission Approval_Page_004.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0FAFBD8" wp14:editId="3DE0B808">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6067-2023 Legis Tariffs, based on Commission Approval_Page_00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1985AAB" wp14:editId="49ECC9B7">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6067-2023 Legis Tariffs, based on Commission Approval_Page_006.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2C87296" wp14:editId="449E63C6">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6067-2023 Legis Tariffs, based on Commission Approval_Page_007.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87B0A67" wp14:editId="7435359A">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6067-2023 Legis Tariffs, based on Commission Approval_Page_008.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19B88FB" wp14:editId="5EB216BA">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6067-2023 Legis Tariffs, based on Commission Approval_Page_009.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F57CFB5" wp14:editId="4751708F">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6067-2023 Legis Tariffs, based on Commission Approval_Page_010.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79041CD" wp14:editId="3D4B00BA">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6067-2023 Legis Tariffs, based on Commission Approval_Page_011.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85E3F59" wp14:editId="00EADDB8">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6067-2023 Legis Tariffs, based on Commission Approval_Page_012.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94FA15E" wp14:editId="7597C3F9">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6067-2023 Legis Tariffs, based on Commission Approval_Page_013.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66396B2" wp14:editId="4D9AD087">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6067-2023 Legis Tariffs, based on Commission Approval_Page_014.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0FE5E0F" wp14:editId="49006702">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6067-2023 Legis Tariffs, based on Commission Approval_Page_015.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42A5679" wp14:editId="57092EF2">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6067-2023 Legis Tariffs, based on Commission Approval_Page_016.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B4DF992" wp14:editId="35100992">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6067-2023 Legis Tariffs, based on Commission Approval_Page_017.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789BE45" wp14:editId="556D8EDE">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6067-2023 Legis Tariffs, based on Commission Approval_Page_018.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87C0ECD" wp14:editId="3A5A0F25">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6067-2023 Legis Tariffs, based on Commission Approval_Page_019.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37E386C" wp14:editId="26F81D16">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6067-2023 Legis Tariffs, based on Commission Approval_Page_020.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916429A" wp14:editId="3A78C453">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6067-2023 Legis Tariffs, based on Commission Approval_Page_021.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271F93A" wp14:editId="0142B083">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6067-2023 Legis Tariffs, based on Commission Approval_Page_022.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8CAC464" wp14:editId="4976A8D8">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6067-2023 Legis Tariffs, based on Commission Approval_Page_023.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80F93E3" wp14:editId="505B7021">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6067-2023 Legis Tariffs, based on Commission Approval_Page_024.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0CF9F61" wp14:editId="40BE68FA">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6067-2023 Legis Tariffs, based on Commission Approval_Page_025.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2D0E9F6" wp14:editId="7563D3C1">
            <wp:extent cx="5943600" cy="76917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6067-2023 Legis Tariffs, based on Commission Approval_Page_026.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0A0CD12" wp14:editId="79394D92">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6067-2023 Legis Tariffs, based on Commission Approval_Page_027.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96C037B" wp14:editId="142C209E">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6067-2023 Legis Tariffs, based on Commission Approval_Page_028.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FA477AD" wp14:editId="2BFDD41A">
            <wp:extent cx="5943600" cy="76917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6067-2023 Legis Tariffs, based on Commission Approval_Page_029.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7E54979" wp14:editId="0850D974">
            <wp:extent cx="5943600" cy="7691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6067-2023 Legis Tariffs, based on Commission Approval_Page_030.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1251480" wp14:editId="0C0A73A0">
            <wp:extent cx="5943600" cy="76917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6067-2023 Legis Tariffs, based on Commission Approval_Page_031.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716DF4E" wp14:editId="6031D5C6">
            <wp:extent cx="5943600" cy="76917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6067-2023 Legis Tariffs, based on Commission Approval_Page_032.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3F7D144" wp14:editId="063A5F8D">
            <wp:extent cx="5943600" cy="76917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6067-2023 Legis Tariffs, based on Commission Approval_Page_033.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545F756" wp14:editId="5A682E1C">
            <wp:extent cx="5943600" cy="76917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6067-2023 Legis Tariffs, based on Commission Approval_Page_034.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0E74FBB" wp14:editId="31F665AC">
            <wp:extent cx="5943600" cy="76917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6067-2023 Legis Tariffs, based on Commission Approval_Page_035.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D1B2DA5" wp14:editId="32C224FF">
            <wp:extent cx="5943600" cy="769175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6067-2023 Legis Tariffs, based on Commission Approval_Page_036.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6E534D2" wp14:editId="1B0B79A2">
            <wp:extent cx="5943600" cy="76917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6067-2023 Legis Tariffs, based on Commission Approval_Page_037.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C31FF0F" wp14:editId="73C10FBB">
            <wp:extent cx="5943600" cy="7691755"/>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6067-2023 Legis Tariffs, based on Commission Approval_Page_038.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D50747F" wp14:editId="2AE9CC72">
            <wp:extent cx="5943600" cy="76917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6067-2023 Legis Tariffs, based on Commission Approval_Page_039.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3276672" wp14:editId="67727039">
            <wp:extent cx="5943600" cy="76917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6067-2023 Legis Tariffs, based on Commission Approval_Page_040.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F9321F3" wp14:editId="67BB88D3">
            <wp:extent cx="5943600" cy="769175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6067-2023 Legis Tariffs, based on Commission Approval_Page_041.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6470CAC" wp14:editId="778B3095">
            <wp:extent cx="5943600" cy="769175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06067-2023 Legis Tariffs, based on Commission Approval_Page_042.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8A2DDF3" wp14:editId="20F8070B">
            <wp:extent cx="5943600" cy="769175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6067-2023 Legis Tariffs, based on Commission Approval_Page_043.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F9CA992" wp14:editId="4C8A4410">
            <wp:extent cx="5943600" cy="7691755"/>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06067-2023 Legis Tariffs, based on Commission Approval_Page_044.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3978F35" wp14:editId="1E5F61BA">
            <wp:extent cx="5943600" cy="7691755"/>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06067-2023 Legis Tariffs, based on Commission Approval_Page_045.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95F6475" wp14:editId="235D142B">
            <wp:extent cx="5943600" cy="7691755"/>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6067-2023 Legis Tariffs, based on Commission Approval_Page_046.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98401C7" wp14:editId="33415464">
            <wp:extent cx="5943600" cy="7691755"/>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6067-2023 Legis Tariffs, based on Commission Approval_Page_047.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A7A50D5" wp14:editId="3715A567">
            <wp:extent cx="5943600" cy="7691755"/>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6067-2023 Legis Tariffs, based on Commission Approval_Page_048.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CF9C066" wp14:editId="7CBDCAC0">
            <wp:extent cx="5943600" cy="7691755"/>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06067-2023 Legis Tariffs, based on Commission Approval_Page_049.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8329DDA" wp14:editId="6F436A18">
            <wp:extent cx="5943600" cy="7691755"/>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06067-2023 Legis Tariffs, based on Commission Approval_Page_050.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46028A6" wp14:editId="1E11803F">
            <wp:extent cx="5943600" cy="7691755"/>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6067-2023 Legis Tariffs, based on Commission Approval_Page_051.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BF6131B" wp14:editId="42DAF409">
            <wp:extent cx="5943600" cy="7691755"/>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06067-2023 Legis Tariffs, based on Commission Approval_Page_052.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18C7779" wp14:editId="39BC8BA6">
            <wp:extent cx="5943600" cy="7691755"/>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06067-2023 Legis Tariffs, based on Commission Approval_Page_053.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099A4BC" wp14:editId="4BE04B13">
            <wp:extent cx="5943600" cy="7691755"/>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06067-2023 Legis Tariffs, based on Commission Approval_Page_054.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1BC1ABD" wp14:editId="6227CA30">
            <wp:extent cx="5943600" cy="7691755"/>
            <wp:effectExtent l="0" t="0" r="0"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06067-2023 Legis Tariffs, based on Commission Approval_Page_055.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CF1E976" wp14:editId="14667730">
            <wp:extent cx="5943600" cy="7691755"/>
            <wp:effectExtent l="0" t="0" r="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6067-2023 Legis Tariffs, based on Commission Approval_Page_056.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5A5887C" wp14:editId="5C503A7C">
            <wp:extent cx="5943600" cy="7691755"/>
            <wp:effectExtent l="0" t="0" r="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06067-2023 Legis Tariffs, based on Commission Approval_Page_057.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528DE12" wp14:editId="1C5E4EE6">
            <wp:extent cx="5943600" cy="7691755"/>
            <wp:effectExtent l="0" t="0" r="0"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6067-2023 Legis Tariffs, based on Commission Approval_Page_058.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A0CA8FD" wp14:editId="130BA364">
            <wp:extent cx="5943600" cy="7691755"/>
            <wp:effectExtent l="0" t="0" r="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6067-2023 Legis Tariffs, based on Commission Approval_Page_059.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7763C0C" wp14:editId="3B829DEB">
            <wp:extent cx="5943600" cy="7691755"/>
            <wp:effectExtent l="0" t="0" r="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6067-2023 Legis Tariffs, based on Commission Approval_Page_060.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8913173" wp14:editId="680EA0B8">
            <wp:extent cx="5943600" cy="7691755"/>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06067-2023 Legis Tariffs, based on Commission Approval_Page_061.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28B0120" wp14:editId="5B59C623">
            <wp:extent cx="5943600" cy="7691755"/>
            <wp:effectExtent l="0" t="0" r="0"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06067-2023 Legis Tariffs, based on Commission Approval_Page_062.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416FCAA" wp14:editId="5DBDE6ED">
            <wp:extent cx="5943600" cy="7691755"/>
            <wp:effectExtent l="0" t="0" r="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06067-2023 Legis Tariffs, based on Commission Approval_Page_063.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7C4D3C6" wp14:editId="113B9F12">
            <wp:extent cx="5943600" cy="7691755"/>
            <wp:effectExtent l="0" t="0" r="0"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06067-2023 Legis Tariffs, based on Commission Approval_Page_064.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8EDEFA9" wp14:editId="642AA513">
            <wp:extent cx="5943600" cy="7691755"/>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6067-2023 Legis Tariffs, based on Commission Approval_Page_065.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E73CBA3" wp14:editId="02D467D6">
            <wp:extent cx="5943600" cy="7691755"/>
            <wp:effectExtent l="0" t="0" r="0" b="44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6067-2023 Legis Tariffs, based on Commission Approval_Page_066.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B9F80BF" wp14:editId="7E8C86DD">
            <wp:extent cx="5943600" cy="7691755"/>
            <wp:effectExtent l="0" t="0" r="0" b="444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6067-2023 Legis Tariffs, based on Commission Approval_Page_067.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B3576A3" wp14:editId="67DCD1A3">
            <wp:extent cx="5943600" cy="7691755"/>
            <wp:effectExtent l="0" t="0" r="0"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6067-2023 Legis Tariffs, based on Commission Approval_Page_068.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89393BB" wp14:editId="03BF3885">
            <wp:extent cx="5943600" cy="7691755"/>
            <wp:effectExtent l="0" t="0" r="0" b="444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06067-2023 Legis Tariffs, based on Commission Approval_Page_069.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64F4F36" wp14:editId="309812C0">
            <wp:extent cx="5943600" cy="7691755"/>
            <wp:effectExtent l="0" t="0" r="0"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06067-2023 Legis Tariffs, based on Commission Approval_Page_070.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160120D" wp14:editId="00A661E1">
            <wp:extent cx="5943600" cy="7691755"/>
            <wp:effectExtent l="0" t="0" r="0"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06067-2023 Legis Tariffs, based on Commission Approval_Page_071.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0CBCE04" wp14:editId="13ABF355">
            <wp:extent cx="5943600" cy="7691755"/>
            <wp:effectExtent l="0" t="0" r="0" b="444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06067-2023 Legis Tariffs, based on Commission Approval_Page_072.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867002D" wp14:editId="6CF7AD6E">
            <wp:extent cx="5943600" cy="7691755"/>
            <wp:effectExtent l="0" t="0" r="0" b="444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06067-2023 Legis Tariffs, based on Commission Approval_Page_073.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D957D56" wp14:editId="4D47CD48">
            <wp:extent cx="5943600" cy="7691755"/>
            <wp:effectExtent l="0" t="0" r="0" b="444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06067-2023 Legis Tariffs, based on Commission Approval_Page_074.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4E62B54" wp14:editId="1AF00F11">
            <wp:extent cx="5943600" cy="7691755"/>
            <wp:effectExtent l="0" t="0" r="0" b="444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06067-2023 Legis Tariffs, based on Commission Approval_Page_075.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6E553AD" wp14:editId="45E33EFA">
            <wp:extent cx="5943600" cy="7691755"/>
            <wp:effectExtent l="0" t="0" r="0" b="444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06067-2023 Legis Tariffs, based on Commission Approval_Page_076.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138C5C6" wp14:editId="5B9E5622">
            <wp:extent cx="5943600" cy="7691755"/>
            <wp:effectExtent l="0" t="0" r="0" b="444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06067-2023 Legis Tariffs, based on Commission Approval_Page_077.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AEFBAF8" wp14:editId="1ABEC92E">
            <wp:extent cx="5943600" cy="7691755"/>
            <wp:effectExtent l="0" t="0" r="0" b="444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06067-2023 Legis Tariffs, based on Commission Approval_Page_078.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5D222D3" wp14:editId="2D8DEE1B">
            <wp:extent cx="5943600" cy="7691755"/>
            <wp:effectExtent l="0" t="0" r="0" b="444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06067-2023 Legis Tariffs, based on Commission Approval_Page_079.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4E5C1A0" wp14:editId="11CE7C95">
            <wp:extent cx="5943600" cy="7691755"/>
            <wp:effectExtent l="0" t="0" r="0"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06067-2023 Legis Tariffs, based on Commission Approval_Page_080.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C575914" wp14:editId="1C815CBD">
            <wp:extent cx="5943600" cy="7691755"/>
            <wp:effectExtent l="0" t="0" r="0" b="444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06067-2023 Legis Tariffs, based on Commission Approval_Page_081.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C045A65" wp14:editId="194B9882">
            <wp:extent cx="5943600" cy="7691755"/>
            <wp:effectExtent l="0" t="0" r="0" b="444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06067-2023 Legis Tariffs, based on Commission Approval_Page_082.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449BA37" wp14:editId="4F58E368">
            <wp:extent cx="5943600" cy="7691755"/>
            <wp:effectExtent l="0" t="0" r="0" b="444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06067-2023 Legis Tariffs, based on Commission Approval_Page_083.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E250EF3" wp14:editId="79ACCCE4">
            <wp:extent cx="5943600" cy="7691755"/>
            <wp:effectExtent l="0" t="0" r="0"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06067-2023 Legis Tariffs, based on Commission Approval_Page_084.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0E0222B" wp14:editId="4AB85134">
            <wp:extent cx="5943600" cy="7691755"/>
            <wp:effectExtent l="0" t="0" r="0" b="444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06067-2023 Legis Tariffs, based on Commission Approval_Page_085.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44230A2" wp14:editId="322B6616">
            <wp:extent cx="5943600" cy="7691755"/>
            <wp:effectExtent l="0" t="0" r="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06067-2023 Legis Tariffs, based on Commission Approval_Page_086.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E6897FF" wp14:editId="5BD29C1B">
            <wp:extent cx="5943600" cy="7691755"/>
            <wp:effectExtent l="0" t="0" r="0" b="444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06067-2023 Legis Tariffs, based on Commission Approval_Page_087.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D80968C" wp14:editId="6BA1610B">
            <wp:extent cx="5943600" cy="7691755"/>
            <wp:effectExtent l="0" t="0" r="0" b="444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06067-2023 Legis Tariffs, based on Commission Approval_Page_088.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0550818" wp14:editId="1FADC0AD">
            <wp:extent cx="5943600" cy="7691755"/>
            <wp:effectExtent l="0" t="0" r="0" b="444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06067-2023 Legis Tariffs, based on Commission Approval_Page_089.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D039E9D" wp14:editId="1BADEF13">
            <wp:extent cx="5943600" cy="7691755"/>
            <wp:effectExtent l="0" t="0" r="0" b="444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06067-2023 Legis Tariffs, based on Commission Approval_Page_090.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13CCE82" wp14:editId="36EB62A0">
            <wp:extent cx="5943600" cy="7691755"/>
            <wp:effectExtent l="0" t="0" r="0" b="444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06067-2023 Legis Tariffs, based on Commission Approval_Page_091.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0489975" wp14:editId="6F2BDB26">
            <wp:extent cx="5943600" cy="7691755"/>
            <wp:effectExtent l="0" t="0" r="0" b="444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06067-2023 Legis Tariffs, based on Commission Approval_Page_092.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27AA08B" wp14:editId="4187F358">
            <wp:extent cx="5943600" cy="7691755"/>
            <wp:effectExtent l="0" t="0" r="0" b="444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06067-2023 Legis Tariffs, based on Commission Approval_Page_093.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B101888" wp14:editId="6DAC2E65">
            <wp:extent cx="5943600" cy="7691755"/>
            <wp:effectExtent l="0" t="0" r="0" b="444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06067-2023 Legis Tariffs, based on Commission Approval_Page_094.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8000B06" wp14:editId="2E1DD4FE">
            <wp:extent cx="5943600" cy="7691755"/>
            <wp:effectExtent l="0" t="0" r="0" b="444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06067-2023 Legis Tariffs, based on Commission Approval_Page_095.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0D4FAA3" wp14:editId="6DCC3ECA">
            <wp:extent cx="5943600" cy="7691755"/>
            <wp:effectExtent l="0" t="0" r="0" b="444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06067-2023 Legis Tariffs, based on Commission Approval_Page_096.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7BD1622" wp14:editId="2619B861">
            <wp:extent cx="5943600" cy="7691755"/>
            <wp:effectExtent l="0" t="0" r="0" b="444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06067-2023 Legis Tariffs, based on Commission Approval_Page_097.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38BAAD3" wp14:editId="2F2694D5">
            <wp:extent cx="5943600" cy="7691755"/>
            <wp:effectExtent l="0" t="0" r="0" b="444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06067-2023 Legis Tariffs, based on Commission Approval_Page_098.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02E9C63" wp14:editId="0BB4E010">
            <wp:extent cx="5943600" cy="7691755"/>
            <wp:effectExtent l="0" t="0" r="0" b="444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06067-2023 Legis Tariffs, based on Commission Approval_Page_099.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C5C4880" wp14:editId="08B651A9">
            <wp:extent cx="5943600" cy="7691755"/>
            <wp:effectExtent l="0" t="0" r="0" b="444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06067-2023 Legis Tariffs, based on Commission Approval_Page_100.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E2C46AA" wp14:editId="7D703CB2">
            <wp:extent cx="5943600" cy="7691755"/>
            <wp:effectExtent l="0" t="0" r="0" b="444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06067-2023 Legis Tariffs, based on Commission Approval_Page_101.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C162872" wp14:editId="7A9EA1FA">
            <wp:extent cx="5943600" cy="7691755"/>
            <wp:effectExtent l="0" t="0" r="0" b="444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06067-2023 Legis Tariffs, based on Commission Approval_Page_102.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2B5BE44" wp14:editId="7BA48570">
            <wp:extent cx="5943600" cy="7691755"/>
            <wp:effectExtent l="0" t="0" r="0" b="444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06067-2023 Legis Tariffs, based on Commission Approval_Page_103.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A9CF2DD" wp14:editId="272AA4D9">
            <wp:extent cx="5943600" cy="7691755"/>
            <wp:effectExtent l="0" t="0" r="0" b="444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06067-2023 Legis Tariffs, based on Commission Approval_Page_104.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B890E6C" wp14:editId="4C8694C7">
            <wp:extent cx="5943600" cy="7691755"/>
            <wp:effectExtent l="0" t="0" r="0" b="444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06067-2023 Legis Tariffs, based on Commission Approval_Page_105.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A7DD065" wp14:editId="2EA93BC3">
            <wp:extent cx="5943600" cy="7691755"/>
            <wp:effectExtent l="0" t="0" r="0" b="444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06067-2023 Legis Tariffs, based on Commission Approval_Page_106.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0E913F6" wp14:editId="4FAF4BB6">
            <wp:extent cx="5943600" cy="7691755"/>
            <wp:effectExtent l="0" t="0" r="0" b="444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06067-2023 Legis Tariffs, based on Commission Approval_Page_107.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DD47E05" wp14:editId="5E3FE496">
            <wp:extent cx="5943600" cy="7691755"/>
            <wp:effectExtent l="0" t="0" r="0" b="444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06067-2023 Legis Tariffs, based on Commission Approval_Page_108.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0EA316B" wp14:editId="0065EE35">
            <wp:extent cx="5943600" cy="7691755"/>
            <wp:effectExtent l="0" t="0" r="0" b="444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06067-2023 Legis Tariffs, based on Commission Approval_Page_109.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3E09FC0" wp14:editId="21B62C87">
            <wp:extent cx="5943600" cy="7691755"/>
            <wp:effectExtent l="0" t="0" r="0" b="444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06067-2023 Legis Tariffs, based on Commission Approval_Page_110.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0819FD9" wp14:editId="260C29AD">
            <wp:extent cx="5943600" cy="7691755"/>
            <wp:effectExtent l="0" t="0" r="0" b="444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06067-2023 Legis Tariffs, based on Commission Approval_Page_111.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70FFA74" wp14:editId="29419E52">
            <wp:extent cx="5943600" cy="7691755"/>
            <wp:effectExtent l="0" t="0" r="0" b="444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06067-2023 Legis Tariffs, based on Commission Approval_Page_112.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8CA9653" wp14:editId="630BE08B">
            <wp:extent cx="5943600" cy="769175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06067-2023 Legis Tariffs, based on Commission Approval_Page_113.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A925A88" wp14:editId="20F372DD">
            <wp:extent cx="5943600" cy="7691755"/>
            <wp:effectExtent l="0" t="0" r="0" b="444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06067-2023 Legis Tariffs, based on Commission Approval_Page_114.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54CF80C" wp14:editId="702EF8FE">
            <wp:extent cx="5943600" cy="7691755"/>
            <wp:effectExtent l="0" t="0" r="0" b="444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06067-2023 Legis Tariffs, based on Commission Approval_Page_115.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F4231D0" wp14:editId="587AFF4B">
            <wp:extent cx="5943600" cy="7691755"/>
            <wp:effectExtent l="0" t="0" r="0" b="444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06067-2023 Legis Tariffs, based on Commission Approval_Page_116.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1C9C0CE" wp14:editId="10A1F20D">
            <wp:extent cx="5943600" cy="7691755"/>
            <wp:effectExtent l="0" t="0" r="0" b="444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06067-2023 Legis Tariffs, based on Commission Approval_Page_117.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5311733" wp14:editId="4B17D7F7">
            <wp:extent cx="5943600" cy="7691755"/>
            <wp:effectExtent l="0" t="0" r="0" b="444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06067-2023 Legis Tariffs, based on Commission Approval_Page_118.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5BB5D77" wp14:editId="5B76BB20">
            <wp:extent cx="5943600" cy="7691755"/>
            <wp:effectExtent l="0" t="0" r="0" b="444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06067-2023 Legis Tariffs, based on Commission Approval_Page_119.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A018C85" wp14:editId="0DDFD8CD">
            <wp:extent cx="5943600" cy="7691755"/>
            <wp:effectExtent l="0" t="0" r="0" b="444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06067-2023 Legis Tariffs, based on Commission Approval_Page_120.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26CD13E" wp14:editId="3ACCB60E">
            <wp:extent cx="5943600" cy="7691755"/>
            <wp:effectExtent l="0" t="0" r="0" b="444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06067-2023 Legis Tariffs, based on Commission Approval_Page_121.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B65CD27" wp14:editId="3C25027B">
            <wp:extent cx="5943600" cy="7691755"/>
            <wp:effectExtent l="0" t="0" r="0" b="444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06067-2023 Legis Tariffs, based on Commission Approval_Page_122.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2C6DC6A" wp14:editId="22C52B38">
            <wp:extent cx="5943600" cy="7691755"/>
            <wp:effectExtent l="0" t="0" r="0" b="444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06067-2023 Legis Tariffs, based on Commission Approval_Page_123.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E06484" w:rsidSect="0068481F">
      <w:headerReference w:type="default" r:id="rId139"/>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3339A89" w14:textId="77777777" w:rsidR="00FB54FD" w:rsidRDefault="00FB54FD">
      <w:r>
        <w:separator/>
      </w:r>
    </w:p>
  </w:endnote>
  <w:endnote w:type="continuationSeparator" w:id="0">
    <w:p w14:paraId="51B7419A" w14:textId="77777777" w:rsidR="00FB54FD" w:rsidRDefault="00FB54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B293D4" w14:textId="1BBCF1D6"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475932">
      <w:rPr>
        <w:rStyle w:val="PageNumber"/>
        <w:noProof/>
      </w:rPr>
      <w:t>21</w:t>
    </w:r>
    <w:r>
      <w:rPr>
        <w:rStyle w:val="PageNumber"/>
      </w:rPr>
      <w:fldChar w:fldCharType="end"/>
    </w:r>
    <w:r>
      <w:rPr>
        <w:rStyle w:val="PageNumber"/>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B3213" w14:textId="77777777" w:rsidR="00BC402E" w:rsidRDefault="00BC40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31392DB" w14:textId="77777777" w:rsidR="00FB54FD" w:rsidRDefault="00FB54FD">
      <w:r>
        <w:separator/>
      </w:r>
    </w:p>
  </w:footnote>
  <w:footnote w:type="continuationSeparator" w:id="0">
    <w:p w14:paraId="08911188" w14:textId="77777777" w:rsidR="00FB54FD" w:rsidRDefault="00FB54FD">
      <w:r>
        <w:continuationSeparator/>
      </w:r>
    </w:p>
  </w:footnote>
  <w:footnote w:id="1">
    <w:p w14:paraId="04A2F85F" w14:textId="21D0F79B" w:rsidR="00511E4A" w:rsidRDefault="00511E4A" w:rsidP="00511E4A">
      <w:pPr>
        <w:pStyle w:val="FootnoteText"/>
      </w:pPr>
      <w:r>
        <w:rPr>
          <w:rStyle w:val="FootnoteReference"/>
        </w:rPr>
        <w:footnoteRef/>
      </w:r>
      <w:r w:rsidR="0068289D">
        <w:t xml:space="preserve"> </w:t>
      </w:r>
      <w:r>
        <w:t>A Type 1 stipulation occurs on an Issue where the utility and intervenors agree on the resolution of the issue.</w:t>
      </w:r>
    </w:p>
  </w:footnote>
  <w:footnote w:id="2">
    <w:p w14:paraId="7B1EF9F9" w14:textId="5A027A1B" w:rsidR="00511E4A" w:rsidRDefault="00511E4A" w:rsidP="00511E4A">
      <w:pPr>
        <w:pStyle w:val="FootnoteText"/>
      </w:pPr>
      <w:r>
        <w:rPr>
          <w:rStyle w:val="FootnoteReference"/>
        </w:rPr>
        <w:footnoteRef/>
      </w:r>
      <w:r w:rsidR="00957805">
        <w:t xml:space="preserve"> </w:t>
      </w:r>
      <w:r>
        <w:t>A Type 2 stipulation occurs when the utility and staff, or the utility and at least one party adversarial to the utility, agree on the resolution of the issue and the remaining parties (including staff if they do not join in the agreement) do not object to the Commission relying on the agreed language to resolve that issue in a final order.</w:t>
      </w:r>
    </w:p>
  </w:footnote>
  <w:footnote w:id="3">
    <w:p w14:paraId="6E7177F2" w14:textId="390DA769" w:rsidR="00511E4A" w:rsidRDefault="00511E4A" w:rsidP="00511E4A">
      <w:pPr>
        <w:pStyle w:val="FootnoteText"/>
      </w:pPr>
      <w:r>
        <w:rPr>
          <w:rStyle w:val="FootnoteReference"/>
        </w:rPr>
        <w:footnoteRef/>
      </w:r>
      <w:r>
        <w:t xml:space="preserve"> </w:t>
      </w:r>
      <w:r w:rsidRPr="00246AD0">
        <w:t xml:space="preserve">The </w:t>
      </w:r>
      <w:r>
        <w:t xml:space="preserve">incremental operating </w:t>
      </w:r>
      <w:r w:rsidRPr="00246AD0">
        <w:t xml:space="preserve">revenue increase shown does not include the revenues associated with the transfer of </w:t>
      </w:r>
      <w:r w:rsidR="00426D9C">
        <w:t xml:space="preserve">Cast Iron/Bare Steel Rider </w:t>
      </w:r>
      <w:r w:rsidRPr="00246AD0">
        <w:t>investments, as approved</w:t>
      </w:r>
      <w:r w:rsidR="00426D9C">
        <w:t xml:space="preserve"> in Issue </w:t>
      </w:r>
      <w:r w:rsidR="00426D9C" w:rsidRPr="00957805">
        <w:t>1</w:t>
      </w:r>
      <w:r w:rsidR="00957805" w:rsidRPr="00957805">
        <w:t>4</w:t>
      </w:r>
      <w:r w:rsidRPr="00246AD0">
        <w:t xml:space="preserve"> by the Commission.</w:t>
      </w:r>
      <w:r w:rsidRPr="008F641B">
        <w:t xml:space="preserve"> As </w:t>
      </w:r>
      <w:r>
        <w:t>provided</w:t>
      </w:r>
      <w:r w:rsidRPr="008F641B">
        <w:t xml:space="preserve"> on Attachment A, the total increase to base rates is $</w:t>
      </w:r>
      <w:r w:rsidR="00426D9C">
        <w:t>117,839,527</w:t>
      </w:r>
      <w:r>
        <w:t xml:space="preserve"> </w:t>
      </w:r>
      <w:r w:rsidRPr="008F641B">
        <w:t xml:space="preserve">when </w:t>
      </w:r>
      <w:r w:rsidR="00426D9C">
        <w:t>the Cast Iron/Bare Steel Rider</w:t>
      </w:r>
      <w:r w:rsidRPr="008F641B">
        <w:t xml:space="preserve"> rev</w:t>
      </w:r>
      <w:r w:rsidR="00426D9C">
        <w:t>enue of $11,156,958 is</w:t>
      </w:r>
      <w:r>
        <w:t xml:space="preserve"> included.</w:t>
      </w:r>
    </w:p>
  </w:footnote>
  <w:footnote w:id="4">
    <w:p w14:paraId="121377C7" w14:textId="56346FE0" w:rsidR="00511E4A" w:rsidRDefault="00511E4A" w:rsidP="00511E4A">
      <w:pPr>
        <w:pStyle w:val="FootnoteText"/>
      </w:pPr>
      <w:r>
        <w:rPr>
          <w:rStyle w:val="FootnoteReference"/>
        </w:rPr>
        <w:footnoteRef/>
      </w:r>
      <w:r>
        <w:t xml:space="preserve"> </w:t>
      </w:r>
      <w:r w:rsidR="00957805" w:rsidRPr="00957805">
        <w:t>See Schedule H-1, page 11</w:t>
      </w:r>
      <w:r w:rsidRPr="00957805">
        <w:t xml:space="preserve"> of </w:t>
      </w:r>
      <w:r w:rsidR="00957805" w:rsidRPr="00957805">
        <w:t>13</w:t>
      </w:r>
      <w:r w:rsidRPr="00957805">
        <w:t>, line 1, of the revised cost of service</w:t>
      </w:r>
      <w:r w:rsidR="00957805" w:rsidRPr="00957805">
        <w:t xml:space="preserve"> study (Document No. 06067</w:t>
      </w:r>
      <w:r w:rsidRPr="00957805">
        <w:t>-2023).</w:t>
      </w:r>
    </w:p>
  </w:footnote>
  <w:footnote w:id="5">
    <w:p w14:paraId="2E91AF48" w14:textId="33231656" w:rsidR="00426D9C" w:rsidRDefault="00426D9C" w:rsidP="00426D9C">
      <w:pPr>
        <w:pStyle w:val="FootnoteText"/>
      </w:pPr>
      <w:r>
        <w:rPr>
          <w:rStyle w:val="FootnoteReference"/>
        </w:rPr>
        <w:footnoteRef/>
      </w:r>
      <w:r w:rsidR="002F0718">
        <w:t xml:space="preserve"> Document No. 06067</w:t>
      </w:r>
      <w:r>
        <w:t>-2023.</w:t>
      </w:r>
    </w:p>
  </w:footnote>
  <w:footnote w:id="6">
    <w:p w14:paraId="28095025" w14:textId="3B917F49" w:rsidR="00D45BAC" w:rsidRDefault="00D45BAC" w:rsidP="00D45BAC">
      <w:pPr>
        <w:pStyle w:val="FootnoteText"/>
      </w:pPr>
      <w:r>
        <w:rPr>
          <w:rStyle w:val="FootnoteReference"/>
        </w:rPr>
        <w:footnoteRef/>
      </w:r>
      <w:r>
        <w:t xml:space="preserve"> Document No. </w:t>
      </w:r>
      <w:r w:rsidR="00112A1A">
        <w:t>06</w:t>
      </w:r>
      <w:r w:rsidR="00511E4A">
        <w:t>0</w:t>
      </w:r>
      <w:r w:rsidR="00112A1A">
        <w:t>67-2023.</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5170F8" w14:textId="77777777" w:rsidR="00BC402E" w:rsidRDefault="00FB54FD" w:rsidP="00220732">
    <w:pPr>
      <w:pStyle w:val="Header"/>
      <w:tabs>
        <w:tab w:val="clear" w:pos="4320"/>
        <w:tab w:val="clear" w:pos="8640"/>
        <w:tab w:val="right" w:pos="9360"/>
      </w:tabs>
    </w:pPr>
    <w:bookmarkStart w:id="14" w:name="DocketLabel"/>
    <w:r>
      <w:t>Docket No.</w:t>
    </w:r>
    <w:bookmarkEnd w:id="14"/>
    <w:r w:rsidR="00BC402E">
      <w:t xml:space="preserve"> </w:t>
    </w:r>
    <w:bookmarkStart w:id="15" w:name="DocketList"/>
    <w:r>
      <w:t>20230023-GU</w:t>
    </w:r>
    <w:bookmarkEnd w:id="15"/>
  </w:p>
  <w:p w14:paraId="2D67DEF1" w14:textId="57A63976" w:rsidR="00BC402E" w:rsidRDefault="00BC402E">
    <w:pPr>
      <w:pStyle w:val="Header"/>
    </w:pPr>
    <w:r>
      <w:t xml:space="preserve">Date: </w:t>
    </w:r>
    <w:r w:rsidR="00F77016">
      <w:fldChar w:fldCharType="begin"/>
    </w:r>
    <w:r w:rsidR="00F77016">
      <w:instrText xml:space="preserve"> REF FilingDate </w:instrText>
    </w:r>
    <w:r w:rsidR="00F77016">
      <w:fldChar w:fldCharType="separate"/>
    </w:r>
    <w:r w:rsidR="00727612">
      <w:t>November 28, 2023</w:t>
    </w:r>
    <w:r w:rsidR="00F77016">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DD52DE" w14:textId="640126B0"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727612">
      <w:t>Docket No.</w:t>
    </w:r>
    <w:r>
      <w:fldChar w:fldCharType="end"/>
    </w:r>
    <w:r>
      <w:t xml:space="preserve"> </w:t>
    </w:r>
    <w:r>
      <w:fldChar w:fldCharType="begin"/>
    </w:r>
    <w:r>
      <w:instrText xml:space="preserve"> REF DocketList</w:instrText>
    </w:r>
    <w:r>
      <w:fldChar w:fldCharType="separate"/>
    </w:r>
    <w:r w:rsidR="00727612">
      <w:t>20230023-GU</w:t>
    </w:r>
    <w:r>
      <w:fldChar w:fldCharType="end"/>
    </w:r>
    <w:r>
      <w:tab/>
      <w:t xml:space="preserve">Issue </w:t>
    </w:r>
    <w:fldSimple w:instr=" Seq Issue \c \* Arabic ">
      <w:r w:rsidR="00475932">
        <w:rPr>
          <w:noProof/>
        </w:rPr>
        <w:t>75</w:t>
      </w:r>
    </w:fldSimple>
  </w:p>
  <w:p w14:paraId="7CC0CF02" w14:textId="39589387" w:rsidR="00BC402E" w:rsidRDefault="00BC402E">
    <w:pPr>
      <w:pStyle w:val="Header"/>
    </w:pPr>
    <w:r>
      <w:t xml:space="preserve">Date: </w:t>
    </w:r>
    <w:r w:rsidR="00F77016">
      <w:fldChar w:fldCharType="begin"/>
    </w:r>
    <w:r w:rsidR="00F77016">
      <w:instrText xml:space="preserve"> REF FilingDate </w:instrText>
    </w:r>
    <w:r w:rsidR="00F77016">
      <w:fldChar w:fldCharType="separate"/>
    </w:r>
    <w:r w:rsidR="00727612">
      <w:t>November 28, 2023</w:t>
    </w:r>
    <w:r w:rsidR="00F77016">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ADBD58" w14:textId="77777777" w:rsidR="00BC402E" w:rsidRDefault="00BC402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FC7A0" w14:textId="78005A8C" w:rsidR="00985796" w:rsidRDefault="00985796" w:rsidP="00220732">
    <w:pPr>
      <w:pStyle w:val="Header"/>
      <w:tabs>
        <w:tab w:val="clear" w:pos="4320"/>
        <w:tab w:val="clear" w:pos="8640"/>
        <w:tab w:val="right" w:pos="9360"/>
      </w:tabs>
    </w:pPr>
    <w:r>
      <w:fldChar w:fldCharType="begin"/>
    </w:r>
    <w:r>
      <w:instrText xml:space="preserve"> REF DocketLabel</w:instrText>
    </w:r>
    <w:r>
      <w:fldChar w:fldCharType="separate"/>
    </w:r>
    <w:r w:rsidR="00727612">
      <w:t>Docket No.</w:t>
    </w:r>
    <w:r>
      <w:fldChar w:fldCharType="end"/>
    </w:r>
    <w:r>
      <w:t xml:space="preserve"> </w:t>
    </w:r>
    <w:r>
      <w:fldChar w:fldCharType="begin"/>
    </w:r>
    <w:r>
      <w:instrText xml:space="preserve"> REF DocketList</w:instrText>
    </w:r>
    <w:r>
      <w:fldChar w:fldCharType="separate"/>
    </w:r>
    <w:r w:rsidR="00727612">
      <w:t>20230023-GU</w:t>
    </w:r>
    <w:r>
      <w:fldChar w:fldCharType="end"/>
    </w:r>
    <w:r>
      <w:tab/>
      <w:t>Attachment A</w:t>
    </w:r>
  </w:p>
  <w:p w14:paraId="574A2029" w14:textId="1A8DDB02" w:rsidR="00985796" w:rsidRDefault="00985796" w:rsidP="00985796">
    <w:pPr>
      <w:pStyle w:val="Header"/>
      <w:tabs>
        <w:tab w:val="clear" w:pos="4320"/>
        <w:tab w:val="clear" w:pos="8640"/>
        <w:tab w:val="right" w:pos="9360"/>
      </w:tabs>
    </w:pPr>
    <w:r>
      <w:t xml:space="preserve">Date: </w:t>
    </w:r>
    <w:fldSimple w:instr=" REF FilingDate ">
      <w:r w:rsidR="00727612">
        <w:t>November 28, 2023</w:t>
      </w:r>
    </w:fldSimple>
    <w:r>
      <w:tab/>
      <w:t>Page 1 of 1</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5B855E" w14:textId="68A12E25" w:rsidR="00985796" w:rsidRDefault="00985796" w:rsidP="00220732">
    <w:pPr>
      <w:pStyle w:val="Header"/>
      <w:tabs>
        <w:tab w:val="clear" w:pos="4320"/>
        <w:tab w:val="clear" w:pos="8640"/>
        <w:tab w:val="right" w:pos="9360"/>
      </w:tabs>
    </w:pPr>
    <w:r>
      <w:fldChar w:fldCharType="begin"/>
    </w:r>
    <w:r>
      <w:instrText xml:space="preserve"> REF DocketLabel</w:instrText>
    </w:r>
    <w:r>
      <w:fldChar w:fldCharType="separate"/>
    </w:r>
    <w:r w:rsidR="00727612">
      <w:t>Docket No.</w:t>
    </w:r>
    <w:r>
      <w:fldChar w:fldCharType="end"/>
    </w:r>
    <w:r>
      <w:t xml:space="preserve"> </w:t>
    </w:r>
    <w:r>
      <w:fldChar w:fldCharType="begin"/>
    </w:r>
    <w:r>
      <w:instrText xml:space="preserve"> REF DocketList</w:instrText>
    </w:r>
    <w:r>
      <w:fldChar w:fldCharType="separate"/>
    </w:r>
    <w:r w:rsidR="00727612">
      <w:t>20230023-GU</w:t>
    </w:r>
    <w:r>
      <w:fldChar w:fldCharType="end"/>
    </w:r>
    <w:r>
      <w:tab/>
      <w:t>Attachment B</w:t>
    </w:r>
  </w:p>
  <w:p w14:paraId="3818335A" w14:textId="354A969A" w:rsidR="00985796" w:rsidRDefault="00985796" w:rsidP="00985796">
    <w:pPr>
      <w:pStyle w:val="Header"/>
      <w:tabs>
        <w:tab w:val="clear" w:pos="4320"/>
        <w:tab w:val="clear" w:pos="8640"/>
        <w:tab w:val="right" w:pos="9360"/>
      </w:tabs>
    </w:pPr>
    <w:r>
      <w:t xml:space="preserve">Date: </w:t>
    </w:r>
    <w:fldSimple w:instr=" REF FilingDate ">
      <w:r w:rsidR="00727612">
        <w:t>November 28, 2023</w:t>
      </w:r>
    </w:fldSimple>
    <w:r>
      <w:tab/>
      <w:t xml:space="preserve">Page </w:t>
    </w:r>
    <w:r>
      <w:fldChar w:fldCharType="begin"/>
    </w:r>
    <w:r>
      <w:instrText xml:space="preserve">= </w:instrText>
    </w:r>
    <w:r>
      <w:fldChar w:fldCharType="begin"/>
    </w:r>
    <w:r>
      <w:instrText xml:space="preserve">Page </w:instrText>
    </w:r>
    <w:r>
      <w:fldChar w:fldCharType="separate"/>
    </w:r>
    <w:r w:rsidR="00475932">
      <w:rPr>
        <w:noProof/>
      </w:rPr>
      <w:instrText>21</w:instrText>
    </w:r>
    <w:r>
      <w:fldChar w:fldCharType="end"/>
    </w:r>
    <w:r>
      <w:instrText xml:space="preserve">- 8 </w:instrText>
    </w:r>
    <w:r>
      <w:fldChar w:fldCharType="separate"/>
    </w:r>
    <w:r w:rsidR="00475932">
      <w:rPr>
        <w:noProof/>
      </w:rPr>
      <w:t>13</w:t>
    </w:r>
    <w:r>
      <w:fldChar w:fldCharType="end"/>
    </w:r>
    <w:r>
      <w:t xml:space="preserve"> of 123</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1"/>
  <w:activeWritingStyle w:appName="MSWord" w:lang="es-MX" w:vendorID="64" w:dllVersion="131078" w:nlCheck="1"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20481"/>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FB54FD"/>
    <w:rsid w:val="000043D5"/>
    <w:rsid w:val="00006170"/>
    <w:rsid w:val="00010E37"/>
    <w:rsid w:val="000172DA"/>
    <w:rsid w:val="00022337"/>
    <w:rsid w:val="00023A0E"/>
    <w:rsid w:val="000247C5"/>
    <w:rsid w:val="000277C2"/>
    <w:rsid w:val="00035B48"/>
    <w:rsid w:val="00036CE2"/>
    <w:rsid w:val="000437FE"/>
    <w:rsid w:val="000513BE"/>
    <w:rsid w:val="00051573"/>
    <w:rsid w:val="0005451B"/>
    <w:rsid w:val="00055EA3"/>
    <w:rsid w:val="00065A06"/>
    <w:rsid w:val="000666F3"/>
    <w:rsid w:val="00070DCB"/>
    <w:rsid w:val="00072CCA"/>
    <w:rsid w:val="00073120"/>
    <w:rsid w:val="000764D0"/>
    <w:rsid w:val="000828D3"/>
    <w:rsid w:val="000A2B57"/>
    <w:rsid w:val="000A418B"/>
    <w:rsid w:val="000B0ACE"/>
    <w:rsid w:val="000C2002"/>
    <w:rsid w:val="000C4431"/>
    <w:rsid w:val="000C6607"/>
    <w:rsid w:val="000D1C06"/>
    <w:rsid w:val="000D3043"/>
    <w:rsid w:val="000D4319"/>
    <w:rsid w:val="000E24FA"/>
    <w:rsid w:val="000E338A"/>
    <w:rsid w:val="000E4392"/>
    <w:rsid w:val="000F374A"/>
    <w:rsid w:val="000F4DAF"/>
    <w:rsid w:val="00105BA1"/>
    <w:rsid w:val="001076AF"/>
    <w:rsid w:val="001109F6"/>
    <w:rsid w:val="00112A1A"/>
    <w:rsid w:val="00116C6B"/>
    <w:rsid w:val="00117C8C"/>
    <w:rsid w:val="001239F0"/>
    <w:rsid w:val="00124C38"/>
    <w:rsid w:val="00124E2E"/>
    <w:rsid w:val="00125ED4"/>
    <w:rsid w:val="001303BF"/>
    <w:rsid w:val="001305E9"/>
    <w:rsid w:val="001307AF"/>
    <w:rsid w:val="0013347E"/>
    <w:rsid w:val="00135687"/>
    <w:rsid w:val="00136BD1"/>
    <w:rsid w:val="00146B5D"/>
    <w:rsid w:val="00150E7B"/>
    <w:rsid w:val="00150ECE"/>
    <w:rsid w:val="0015506E"/>
    <w:rsid w:val="00163031"/>
    <w:rsid w:val="001654C4"/>
    <w:rsid w:val="00171A90"/>
    <w:rsid w:val="00180254"/>
    <w:rsid w:val="00191E1F"/>
    <w:rsid w:val="00191EE8"/>
    <w:rsid w:val="00192943"/>
    <w:rsid w:val="00193BAF"/>
    <w:rsid w:val="00194791"/>
    <w:rsid w:val="001A7406"/>
    <w:rsid w:val="001A7AE4"/>
    <w:rsid w:val="001B1EDC"/>
    <w:rsid w:val="001B4053"/>
    <w:rsid w:val="001B4FEE"/>
    <w:rsid w:val="001B51C5"/>
    <w:rsid w:val="001B672A"/>
    <w:rsid w:val="001B6F3F"/>
    <w:rsid w:val="001C52B5"/>
    <w:rsid w:val="001D0D3E"/>
    <w:rsid w:val="001D2817"/>
    <w:rsid w:val="001D2899"/>
    <w:rsid w:val="001E14A3"/>
    <w:rsid w:val="001E390F"/>
    <w:rsid w:val="001E7FF4"/>
    <w:rsid w:val="001F2245"/>
    <w:rsid w:val="001F2C63"/>
    <w:rsid w:val="001F48C7"/>
    <w:rsid w:val="001F6DA1"/>
    <w:rsid w:val="00200178"/>
    <w:rsid w:val="00204200"/>
    <w:rsid w:val="002044E6"/>
    <w:rsid w:val="00205C82"/>
    <w:rsid w:val="00205DC2"/>
    <w:rsid w:val="00212B17"/>
    <w:rsid w:val="002163B6"/>
    <w:rsid w:val="00217215"/>
    <w:rsid w:val="00220732"/>
    <w:rsid w:val="0022121F"/>
    <w:rsid w:val="00221D32"/>
    <w:rsid w:val="00222AC1"/>
    <w:rsid w:val="00225C3F"/>
    <w:rsid w:val="002470C9"/>
    <w:rsid w:val="00263D44"/>
    <w:rsid w:val="002702AD"/>
    <w:rsid w:val="00281EB4"/>
    <w:rsid w:val="00292D82"/>
    <w:rsid w:val="00293EE7"/>
    <w:rsid w:val="002963CB"/>
    <w:rsid w:val="002B2DAC"/>
    <w:rsid w:val="002B4A01"/>
    <w:rsid w:val="002C291B"/>
    <w:rsid w:val="002C746A"/>
    <w:rsid w:val="002C7E4E"/>
    <w:rsid w:val="002D226D"/>
    <w:rsid w:val="002D74E3"/>
    <w:rsid w:val="002F0718"/>
    <w:rsid w:val="002F6030"/>
    <w:rsid w:val="002F702A"/>
    <w:rsid w:val="003001AC"/>
    <w:rsid w:val="003037E1"/>
    <w:rsid w:val="00307E51"/>
    <w:rsid w:val="003103EC"/>
    <w:rsid w:val="00312132"/>
    <w:rsid w:val="003130BA"/>
    <w:rsid w:val="003144EF"/>
    <w:rsid w:val="0031480E"/>
    <w:rsid w:val="00316877"/>
    <w:rsid w:val="00322F74"/>
    <w:rsid w:val="00325E15"/>
    <w:rsid w:val="00340073"/>
    <w:rsid w:val="003411D8"/>
    <w:rsid w:val="003445B0"/>
    <w:rsid w:val="00353B66"/>
    <w:rsid w:val="00355934"/>
    <w:rsid w:val="00357928"/>
    <w:rsid w:val="003632FD"/>
    <w:rsid w:val="00370F78"/>
    <w:rsid w:val="00372805"/>
    <w:rsid w:val="00373180"/>
    <w:rsid w:val="00375AB9"/>
    <w:rsid w:val="0037691E"/>
    <w:rsid w:val="003821A0"/>
    <w:rsid w:val="00385B04"/>
    <w:rsid w:val="003864CF"/>
    <w:rsid w:val="003948AE"/>
    <w:rsid w:val="003A08C0"/>
    <w:rsid w:val="003A22A6"/>
    <w:rsid w:val="003A32EB"/>
    <w:rsid w:val="003A5494"/>
    <w:rsid w:val="003B2510"/>
    <w:rsid w:val="003B4355"/>
    <w:rsid w:val="003C2CC4"/>
    <w:rsid w:val="003C3710"/>
    <w:rsid w:val="003C42A3"/>
    <w:rsid w:val="003C48F7"/>
    <w:rsid w:val="003E0463"/>
    <w:rsid w:val="003E0EFC"/>
    <w:rsid w:val="003E4A2B"/>
    <w:rsid w:val="003E6FE9"/>
    <w:rsid w:val="003E76C2"/>
    <w:rsid w:val="003F1367"/>
    <w:rsid w:val="003F1679"/>
    <w:rsid w:val="003F21EB"/>
    <w:rsid w:val="003F4A35"/>
    <w:rsid w:val="003F5F03"/>
    <w:rsid w:val="003F7FDD"/>
    <w:rsid w:val="00402101"/>
    <w:rsid w:val="00402481"/>
    <w:rsid w:val="004042B4"/>
    <w:rsid w:val="00410DC4"/>
    <w:rsid w:val="00412DAE"/>
    <w:rsid w:val="0041302D"/>
    <w:rsid w:val="004242E6"/>
    <w:rsid w:val="00426D9C"/>
    <w:rsid w:val="00427B35"/>
    <w:rsid w:val="00431598"/>
    <w:rsid w:val="004319AD"/>
    <w:rsid w:val="004426B8"/>
    <w:rsid w:val="00444432"/>
    <w:rsid w:val="00447D5C"/>
    <w:rsid w:val="00450202"/>
    <w:rsid w:val="004502B2"/>
    <w:rsid w:val="00455499"/>
    <w:rsid w:val="004649A7"/>
    <w:rsid w:val="00471860"/>
    <w:rsid w:val="00475932"/>
    <w:rsid w:val="00477026"/>
    <w:rsid w:val="00477730"/>
    <w:rsid w:val="004A744D"/>
    <w:rsid w:val="004B60BD"/>
    <w:rsid w:val="004C3150"/>
    <w:rsid w:val="004C3641"/>
    <w:rsid w:val="004C3873"/>
    <w:rsid w:val="004C4390"/>
    <w:rsid w:val="004C4AF7"/>
    <w:rsid w:val="004C7501"/>
    <w:rsid w:val="004D020C"/>
    <w:rsid w:val="004D2881"/>
    <w:rsid w:val="004D2D7D"/>
    <w:rsid w:val="004D385F"/>
    <w:rsid w:val="004D5B39"/>
    <w:rsid w:val="004D7976"/>
    <w:rsid w:val="004E0CEA"/>
    <w:rsid w:val="004E330D"/>
    <w:rsid w:val="004E4985"/>
    <w:rsid w:val="004E5147"/>
    <w:rsid w:val="004E69B5"/>
    <w:rsid w:val="004F50D1"/>
    <w:rsid w:val="004F5C43"/>
    <w:rsid w:val="005050A2"/>
    <w:rsid w:val="00506030"/>
    <w:rsid w:val="0050652D"/>
    <w:rsid w:val="00506C03"/>
    <w:rsid w:val="00511A11"/>
    <w:rsid w:val="00511E4A"/>
    <w:rsid w:val="00513D50"/>
    <w:rsid w:val="00516496"/>
    <w:rsid w:val="00522E7D"/>
    <w:rsid w:val="00523B11"/>
    <w:rsid w:val="0052455B"/>
    <w:rsid w:val="0052572A"/>
    <w:rsid w:val="00532DFB"/>
    <w:rsid w:val="00543CB3"/>
    <w:rsid w:val="005442E4"/>
    <w:rsid w:val="00546906"/>
    <w:rsid w:val="00547652"/>
    <w:rsid w:val="0055529B"/>
    <w:rsid w:val="00560FF0"/>
    <w:rsid w:val="005614BD"/>
    <w:rsid w:val="0057154F"/>
    <w:rsid w:val="00580F69"/>
    <w:rsid w:val="00581CA3"/>
    <w:rsid w:val="00584B92"/>
    <w:rsid w:val="00585031"/>
    <w:rsid w:val="00586E8B"/>
    <w:rsid w:val="00587090"/>
    <w:rsid w:val="00587A44"/>
    <w:rsid w:val="00597730"/>
    <w:rsid w:val="005977EC"/>
    <w:rsid w:val="00597DE7"/>
    <w:rsid w:val="005A1CD3"/>
    <w:rsid w:val="005A4AA2"/>
    <w:rsid w:val="005B34B6"/>
    <w:rsid w:val="005B606A"/>
    <w:rsid w:val="005B6C8F"/>
    <w:rsid w:val="005B6EC3"/>
    <w:rsid w:val="005C1501"/>
    <w:rsid w:val="005C17D7"/>
    <w:rsid w:val="005C33CE"/>
    <w:rsid w:val="005D0F74"/>
    <w:rsid w:val="005D2E7D"/>
    <w:rsid w:val="005D4A8F"/>
    <w:rsid w:val="005D561B"/>
    <w:rsid w:val="005D578F"/>
    <w:rsid w:val="005D5ECF"/>
    <w:rsid w:val="005F468D"/>
    <w:rsid w:val="005F69A3"/>
    <w:rsid w:val="00604CC7"/>
    <w:rsid w:val="00613441"/>
    <w:rsid w:val="00615423"/>
    <w:rsid w:val="006165B2"/>
    <w:rsid w:val="00617276"/>
    <w:rsid w:val="0062527B"/>
    <w:rsid w:val="00625D97"/>
    <w:rsid w:val="00625F1C"/>
    <w:rsid w:val="0062658E"/>
    <w:rsid w:val="006279E1"/>
    <w:rsid w:val="00630CEB"/>
    <w:rsid w:val="00632264"/>
    <w:rsid w:val="006355F2"/>
    <w:rsid w:val="006470BC"/>
    <w:rsid w:val="006554D3"/>
    <w:rsid w:val="006603F4"/>
    <w:rsid w:val="00661708"/>
    <w:rsid w:val="00666522"/>
    <w:rsid w:val="00667036"/>
    <w:rsid w:val="00667B89"/>
    <w:rsid w:val="00673BDB"/>
    <w:rsid w:val="00674341"/>
    <w:rsid w:val="006771B8"/>
    <w:rsid w:val="00682631"/>
    <w:rsid w:val="0068289D"/>
    <w:rsid w:val="00683A89"/>
    <w:rsid w:val="006843B6"/>
    <w:rsid w:val="0068481F"/>
    <w:rsid w:val="00693EA1"/>
    <w:rsid w:val="0069636F"/>
    <w:rsid w:val="00696F5D"/>
    <w:rsid w:val="00697249"/>
    <w:rsid w:val="006A06F3"/>
    <w:rsid w:val="006A1A67"/>
    <w:rsid w:val="006B09C4"/>
    <w:rsid w:val="006B3947"/>
    <w:rsid w:val="006B4293"/>
    <w:rsid w:val="006B624F"/>
    <w:rsid w:val="006C0C95"/>
    <w:rsid w:val="006C31E3"/>
    <w:rsid w:val="006D18D3"/>
    <w:rsid w:val="006D1EE9"/>
    <w:rsid w:val="006D3BD1"/>
    <w:rsid w:val="006E010E"/>
    <w:rsid w:val="006E08CB"/>
    <w:rsid w:val="006E598D"/>
    <w:rsid w:val="0070437D"/>
    <w:rsid w:val="00704CF1"/>
    <w:rsid w:val="00705B04"/>
    <w:rsid w:val="0071040E"/>
    <w:rsid w:val="00717EE9"/>
    <w:rsid w:val="00724992"/>
    <w:rsid w:val="00724F64"/>
    <w:rsid w:val="00727612"/>
    <w:rsid w:val="00727F90"/>
    <w:rsid w:val="00734820"/>
    <w:rsid w:val="007349DC"/>
    <w:rsid w:val="0074365E"/>
    <w:rsid w:val="00744B55"/>
    <w:rsid w:val="007515FD"/>
    <w:rsid w:val="00760D80"/>
    <w:rsid w:val="00761CB4"/>
    <w:rsid w:val="00780C09"/>
    <w:rsid w:val="00780DDF"/>
    <w:rsid w:val="007834E9"/>
    <w:rsid w:val="00787DBC"/>
    <w:rsid w:val="0079019A"/>
    <w:rsid w:val="00792935"/>
    <w:rsid w:val="007A04A1"/>
    <w:rsid w:val="007A1840"/>
    <w:rsid w:val="007B45C6"/>
    <w:rsid w:val="007B730C"/>
    <w:rsid w:val="007C0528"/>
    <w:rsid w:val="007C08EA"/>
    <w:rsid w:val="007C3D38"/>
    <w:rsid w:val="007D0F35"/>
    <w:rsid w:val="007D1783"/>
    <w:rsid w:val="007D4546"/>
    <w:rsid w:val="007D4FEB"/>
    <w:rsid w:val="007D6146"/>
    <w:rsid w:val="007E0CE7"/>
    <w:rsid w:val="007F1193"/>
    <w:rsid w:val="007F417F"/>
    <w:rsid w:val="007F7644"/>
    <w:rsid w:val="008042BD"/>
    <w:rsid w:val="00804E17"/>
    <w:rsid w:val="008050B3"/>
    <w:rsid w:val="00816624"/>
    <w:rsid w:val="00822427"/>
    <w:rsid w:val="00822562"/>
    <w:rsid w:val="00823663"/>
    <w:rsid w:val="00823664"/>
    <w:rsid w:val="008305B7"/>
    <w:rsid w:val="00832DDC"/>
    <w:rsid w:val="008426B0"/>
    <w:rsid w:val="008431BB"/>
    <w:rsid w:val="00845E34"/>
    <w:rsid w:val="00850BAC"/>
    <w:rsid w:val="00854A3E"/>
    <w:rsid w:val="00855D08"/>
    <w:rsid w:val="008618A4"/>
    <w:rsid w:val="00867B73"/>
    <w:rsid w:val="008731AB"/>
    <w:rsid w:val="00874344"/>
    <w:rsid w:val="0087505D"/>
    <w:rsid w:val="00877703"/>
    <w:rsid w:val="00882155"/>
    <w:rsid w:val="0088233B"/>
    <w:rsid w:val="0088599E"/>
    <w:rsid w:val="00886C37"/>
    <w:rsid w:val="008915FC"/>
    <w:rsid w:val="00892D99"/>
    <w:rsid w:val="00893315"/>
    <w:rsid w:val="00894C09"/>
    <w:rsid w:val="008B5C68"/>
    <w:rsid w:val="008B62AE"/>
    <w:rsid w:val="008C04B5"/>
    <w:rsid w:val="008C14FA"/>
    <w:rsid w:val="008C7B0B"/>
    <w:rsid w:val="008D4057"/>
    <w:rsid w:val="008E1F19"/>
    <w:rsid w:val="008F2262"/>
    <w:rsid w:val="008F4D2B"/>
    <w:rsid w:val="008F5B91"/>
    <w:rsid w:val="008F7736"/>
    <w:rsid w:val="0090019E"/>
    <w:rsid w:val="00900435"/>
    <w:rsid w:val="00901086"/>
    <w:rsid w:val="00901C8A"/>
    <w:rsid w:val="00902F66"/>
    <w:rsid w:val="00904F3B"/>
    <w:rsid w:val="0090548F"/>
    <w:rsid w:val="00905886"/>
    <w:rsid w:val="009070D6"/>
    <w:rsid w:val="009076C6"/>
    <w:rsid w:val="0091019E"/>
    <w:rsid w:val="009106F1"/>
    <w:rsid w:val="00912404"/>
    <w:rsid w:val="009145D6"/>
    <w:rsid w:val="00915541"/>
    <w:rsid w:val="00920E64"/>
    <w:rsid w:val="00922002"/>
    <w:rsid w:val="009225CB"/>
    <w:rsid w:val="00924020"/>
    <w:rsid w:val="00924BF4"/>
    <w:rsid w:val="009271A7"/>
    <w:rsid w:val="0092762F"/>
    <w:rsid w:val="0093658B"/>
    <w:rsid w:val="00942143"/>
    <w:rsid w:val="009429FF"/>
    <w:rsid w:val="009444D1"/>
    <w:rsid w:val="00944FED"/>
    <w:rsid w:val="00945BD6"/>
    <w:rsid w:val="009479FB"/>
    <w:rsid w:val="00951C45"/>
    <w:rsid w:val="00951DD8"/>
    <w:rsid w:val="00957805"/>
    <w:rsid w:val="009656F2"/>
    <w:rsid w:val="00966A08"/>
    <w:rsid w:val="009701B7"/>
    <w:rsid w:val="00971207"/>
    <w:rsid w:val="00975CB4"/>
    <w:rsid w:val="00985796"/>
    <w:rsid w:val="009863B0"/>
    <w:rsid w:val="00987DE1"/>
    <w:rsid w:val="00990571"/>
    <w:rsid w:val="00991905"/>
    <w:rsid w:val="009926B2"/>
    <w:rsid w:val="0099673A"/>
    <w:rsid w:val="009A3291"/>
    <w:rsid w:val="009A3330"/>
    <w:rsid w:val="009A548F"/>
    <w:rsid w:val="009A7C96"/>
    <w:rsid w:val="009B61BF"/>
    <w:rsid w:val="009C3253"/>
    <w:rsid w:val="009C3DB9"/>
    <w:rsid w:val="009C5968"/>
    <w:rsid w:val="009C5BB9"/>
    <w:rsid w:val="009D0436"/>
    <w:rsid w:val="009D46E5"/>
    <w:rsid w:val="009D568A"/>
    <w:rsid w:val="009E7AE6"/>
    <w:rsid w:val="009F04EC"/>
    <w:rsid w:val="009F2A7C"/>
    <w:rsid w:val="009F3B36"/>
    <w:rsid w:val="00A019B9"/>
    <w:rsid w:val="00A03157"/>
    <w:rsid w:val="00A11756"/>
    <w:rsid w:val="00A12497"/>
    <w:rsid w:val="00A12508"/>
    <w:rsid w:val="00A1282B"/>
    <w:rsid w:val="00A13A27"/>
    <w:rsid w:val="00A15B7C"/>
    <w:rsid w:val="00A175B6"/>
    <w:rsid w:val="00A21835"/>
    <w:rsid w:val="00A2374B"/>
    <w:rsid w:val="00A23AAB"/>
    <w:rsid w:val="00A27D6E"/>
    <w:rsid w:val="00A328EC"/>
    <w:rsid w:val="00A33A51"/>
    <w:rsid w:val="00A41CA6"/>
    <w:rsid w:val="00A431ED"/>
    <w:rsid w:val="00A47927"/>
    <w:rsid w:val="00A47FFC"/>
    <w:rsid w:val="00A5442F"/>
    <w:rsid w:val="00A54FF9"/>
    <w:rsid w:val="00A56765"/>
    <w:rsid w:val="00A675AC"/>
    <w:rsid w:val="00A7097D"/>
    <w:rsid w:val="00A7581F"/>
    <w:rsid w:val="00A81274"/>
    <w:rsid w:val="00A86ACA"/>
    <w:rsid w:val="00A92439"/>
    <w:rsid w:val="00A92FB1"/>
    <w:rsid w:val="00A95980"/>
    <w:rsid w:val="00A95A0C"/>
    <w:rsid w:val="00AA2765"/>
    <w:rsid w:val="00AA77B5"/>
    <w:rsid w:val="00AB6C5D"/>
    <w:rsid w:val="00AC3401"/>
    <w:rsid w:val="00AC51A7"/>
    <w:rsid w:val="00AC603B"/>
    <w:rsid w:val="00AD0E89"/>
    <w:rsid w:val="00AD444B"/>
    <w:rsid w:val="00AD5614"/>
    <w:rsid w:val="00AD6C78"/>
    <w:rsid w:val="00AE03F0"/>
    <w:rsid w:val="00AE2EAB"/>
    <w:rsid w:val="00AE44A6"/>
    <w:rsid w:val="00AF13D0"/>
    <w:rsid w:val="00AF5E0E"/>
    <w:rsid w:val="00AF5F89"/>
    <w:rsid w:val="00AF6FB4"/>
    <w:rsid w:val="00AF73CB"/>
    <w:rsid w:val="00B002D6"/>
    <w:rsid w:val="00B00C25"/>
    <w:rsid w:val="00B02EF0"/>
    <w:rsid w:val="00B03379"/>
    <w:rsid w:val="00B03FA5"/>
    <w:rsid w:val="00B04110"/>
    <w:rsid w:val="00B05B51"/>
    <w:rsid w:val="00B14E5A"/>
    <w:rsid w:val="00B15370"/>
    <w:rsid w:val="00B16DA4"/>
    <w:rsid w:val="00B16E61"/>
    <w:rsid w:val="00B17BEB"/>
    <w:rsid w:val="00B21A3C"/>
    <w:rsid w:val="00B223C0"/>
    <w:rsid w:val="00B234ED"/>
    <w:rsid w:val="00B249B2"/>
    <w:rsid w:val="00B25CA3"/>
    <w:rsid w:val="00B2765A"/>
    <w:rsid w:val="00B3109A"/>
    <w:rsid w:val="00B32D37"/>
    <w:rsid w:val="00B41AA8"/>
    <w:rsid w:val="00B42B45"/>
    <w:rsid w:val="00B516ED"/>
    <w:rsid w:val="00B565DA"/>
    <w:rsid w:val="00B575A4"/>
    <w:rsid w:val="00B57A6A"/>
    <w:rsid w:val="00B62D0D"/>
    <w:rsid w:val="00B760F1"/>
    <w:rsid w:val="00B7669E"/>
    <w:rsid w:val="00B76EBB"/>
    <w:rsid w:val="00B77DA1"/>
    <w:rsid w:val="00B822A0"/>
    <w:rsid w:val="00B82F85"/>
    <w:rsid w:val="00B858AE"/>
    <w:rsid w:val="00B85964"/>
    <w:rsid w:val="00B96250"/>
    <w:rsid w:val="00BA0D55"/>
    <w:rsid w:val="00BA37B3"/>
    <w:rsid w:val="00BA4CC6"/>
    <w:rsid w:val="00BA7F46"/>
    <w:rsid w:val="00BB0F1D"/>
    <w:rsid w:val="00BB3493"/>
    <w:rsid w:val="00BB6E4C"/>
    <w:rsid w:val="00BB7468"/>
    <w:rsid w:val="00BC0514"/>
    <w:rsid w:val="00BC188A"/>
    <w:rsid w:val="00BC402E"/>
    <w:rsid w:val="00BC70C6"/>
    <w:rsid w:val="00BD0F48"/>
    <w:rsid w:val="00BD14E5"/>
    <w:rsid w:val="00BE0E50"/>
    <w:rsid w:val="00BE6DDB"/>
    <w:rsid w:val="00BF03E0"/>
    <w:rsid w:val="00BF5010"/>
    <w:rsid w:val="00C03009"/>
    <w:rsid w:val="00C03D5F"/>
    <w:rsid w:val="00C13791"/>
    <w:rsid w:val="00C210BD"/>
    <w:rsid w:val="00C2575A"/>
    <w:rsid w:val="00C31BB3"/>
    <w:rsid w:val="00C36977"/>
    <w:rsid w:val="00C46628"/>
    <w:rsid w:val="00C467DA"/>
    <w:rsid w:val="00C477D9"/>
    <w:rsid w:val="00C57869"/>
    <w:rsid w:val="00C60BA3"/>
    <w:rsid w:val="00C623F7"/>
    <w:rsid w:val="00C62A81"/>
    <w:rsid w:val="00C67CD7"/>
    <w:rsid w:val="00C71E00"/>
    <w:rsid w:val="00C75BC5"/>
    <w:rsid w:val="00C81670"/>
    <w:rsid w:val="00C81773"/>
    <w:rsid w:val="00C82861"/>
    <w:rsid w:val="00C86896"/>
    <w:rsid w:val="00C907A8"/>
    <w:rsid w:val="00C91670"/>
    <w:rsid w:val="00C93211"/>
    <w:rsid w:val="00C93DB8"/>
    <w:rsid w:val="00C942EC"/>
    <w:rsid w:val="00C96047"/>
    <w:rsid w:val="00C979D0"/>
    <w:rsid w:val="00CA0818"/>
    <w:rsid w:val="00CA0CE9"/>
    <w:rsid w:val="00CA15C8"/>
    <w:rsid w:val="00CA2C8F"/>
    <w:rsid w:val="00CA30DA"/>
    <w:rsid w:val="00CA3A24"/>
    <w:rsid w:val="00CB1777"/>
    <w:rsid w:val="00CB33E9"/>
    <w:rsid w:val="00CC10A9"/>
    <w:rsid w:val="00CD0655"/>
    <w:rsid w:val="00CE2BF8"/>
    <w:rsid w:val="00CE484E"/>
    <w:rsid w:val="00CE4D20"/>
    <w:rsid w:val="00CE656F"/>
    <w:rsid w:val="00CF0DA8"/>
    <w:rsid w:val="00CF2E25"/>
    <w:rsid w:val="00CF4453"/>
    <w:rsid w:val="00CF5589"/>
    <w:rsid w:val="00CF5D94"/>
    <w:rsid w:val="00CF7E0F"/>
    <w:rsid w:val="00D00893"/>
    <w:rsid w:val="00D034D7"/>
    <w:rsid w:val="00D04BE4"/>
    <w:rsid w:val="00D06FC7"/>
    <w:rsid w:val="00D12565"/>
    <w:rsid w:val="00D140C1"/>
    <w:rsid w:val="00D14127"/>
    <w:rsid w:val="00D45BAC"/>
    <w:rsid w:val="00D479AE"/>
    <w:rsid w:val="00D50FCD"/>
    <w:rsid w:val="00D533E3"/>
    <w:rsid w:val="00D60B16"/>
    <w:rsid w:val="00D60F02"/>
    <w:rsid w:val="00D66E49"/>
    <w:rsid w:val="00D70D71"/>
    <w:rsid w:val="00D72F74"/>
    <w:rsid w:val="00D81563"/>
    <w:rsid w:val="00D837C1"/>
    <w:rsid w:val="00D85907"/>
    <w:rsid w:val="00D860AC"/>
    <w:rsid w:val="00D9073E"/>
    <w:rsid w:val="00D9221D"/>
    <w:rsid w:val="00D9253C"/>
    <w:rsid w:val="00D958DF"/>
    <w:rsid w:val="00D96DA1"/>
    <w:rsid w:val="00DA51E7"/>
    <w:rsid w:val="00DB0260"/>
    <w:rsid w:val="00DB1C78"/>
    <w:rsid w:val="00DB7D96"/>
    <w:rsid w:val="00DC23FE"/>
    <w:rsid w:val="00DC59E6"/>
    <w:rsid w:val="00DD150B"/>
    <w:rsid w:val="00DD3356"/>
    <w:rsid w:val="00DD5025"/>
    <w:rsid w:val="00DD5464"/>
    <w:rsid w:val="00DD6F85"/>
    <w:rsid w:val="00DE254E"/>
    <w:rsid w:val="00DE32C0"/>
    <w:rsid w:val="00DE76A7"/>
    <w:rsid w:val="00DF1510"/>
    <w:rsid w:val="00E02F1F"/>
    <w:rsid w:val="00E05454"/>
    <w:rsid w:val="00E06484"/>
    <w:rsid w:val="00E06B24"/>
    <w:rsid w:val="00E20A7D"/>
    <w:rsid w:val="00E232D8"/>
    <w:rsid w:val="00E23FE4"/>
    <w:rsid w:val="00E275D8"/>
    <w:rsid w:val="00E30F6A"/>
    <w:rsid w:val="00E3117C"/>
    <w:rsid w:val="00E31288"/>
    <w:rsid w:val="00E34307"/>
    <w:rsid w:val="00E34511"/>
    <w:rsid w:val="00E3635B"/>
    <w:rsid w:val="00E375C3"/>
    <w:rsid w:val="00E375CA"/>
    <w:rsid w:val="00E5364F"/>
    <w:rsid w:val="00E53CDE"/>
    <w:rsid w:val="00E567E8"/>
    <w:rsid w:val="00E63766"/>
    <w:rsid w:val="00E64679"/>
    <w:rsid w:val="00E65EBC"/>
    <w:rsid w:val="00E6602E"/>
    <w:rsid w:val="00E677FE"/>
    <w:rsid w:val="00E73432"/>
    <w:rsid w:val="00E77B0C"/>
    <w:rsid w:val="00E77FB8"/>
    <w:rsid w:val="00E83057"/>
    <w:rsid w:val="00E838B0"/>
    <w:rsid w:val="00E86A7C"/>
    <w:rsid w:val="00E878E1"/>
    <w:rsid w:val="00E87F2C"/>
    <w:rsid w:val="00E95278"/>
    <w:rsid w:val="00E96A42"/>
    <w:rsid w:val="00EA2273"/>
    <w:rsid w:val="00EA7C3C"/>
    <w:rsid w:val="00EB2DB3"/>
    <w:rsid w:val="00EC3FBB"/>
    <w:rsid w:val="00EC6B7A"/>
    <w:rsid w:val="00ED3A87"/>
    <w:rsid w:val="00ED5B67"/>
    <w:rsid w:val="00EE1A5C"/>
    <w:rsid w:val="00EE5F5A"/>
    <w:rsid w:val="00EF264C"/>
    <w:rsid w:val="00EF3FEE"/>
    <w:rsid w:val="00EF6B41"/>
    <w:rsid w:val="00F04B59"/>
    <w:rsid w:val="00F07B69"/>
    <w:rsid w:val="00F11741"/>
    <w:rsid w:val="00F117B0"/>
    <w:rsid w:val="00F12B1C"/>
    <w:rsid w:val="00F13CF8"/>
    <w:rsid w:val="00F15855"/>
    <w:rsid w:val="00F200B2"/>
    <w:rsid w:val="00F227DC"/>
    <w:rsid w:val="00F263B9"/>
    <w:rsid w:val="00F30701"/>
    <w:rsid w:val="00F32978"/>
    <w:rsid w:val="00F45CB2"/>
    <w:rsid w:val="00F511F3"/>
    <w:rsid w:val="00F544C0"/>
    <w:rsid w:val="00F55332"/>
    <w:rsid w:val="00F6156E"/>
    <w:rsid w:val="00F6504A"/>
    <w:rsid w:val="00F65519"/>
    <w:rsid w:val="00F66D9F"/>
    <w:rsid w:val="00F713C0"/>
    <w:rsid w:val="00F75DDC"/>
    <w:rsid w:val="00F7792F"/>
    <w:rsid w:val="00F842AA"/>
    <w:rsid w:val="00F8476F"/>
    <w:rsid w:val="00F853E1"/>
    <w:rsid w:val="00F85604"/>
    <w:rsid w:val="00F93809"/>
    <w:rsid w:val="00F94B7A"/>
    <w:rsid w:val="00FA17AC"/>
    <w:rsid w:val="00FA32DE"/>
    <w:rsid w:val="00FA3382"/>
    <w:rsid w:val="00FA59CD"/>
    <w:rsid w:val="00FB0CDC"/>
    <w:rsid w:val="00FB1740"/>
    <w:rsid w:val="00FB4235"/>
    <w:rsid w:val="00FB54FD"/>
    <w:rsid w:val="00FC4446"/>
    <w:rsid w:val="00FC5469"/>
    <w:rsid w:val="00FC6D7D"/>
    <w:rsid w:val="00FD16B0"/>
    <w:rsid w:val="00FD4FED"/>
    <w:rsid w:val="00FE00C8"/>
    <w:rsid w:val="00FE0577"/>
    <w:rsid w:val="00FE2FF8"/>
    <w:rsid w:val="00FE59EC"/>
    <w:rsid w:val="00FE5B67"/>
    <w:rsid w:val="00FE60D6"/>
    <w:rsid w:val="00FF1A0D"/>
    <w:rsid w:val="00FF40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1"/>
    <o:shapelayout v:ext="edit">
      <o:idmap v:ext="edit" data="1"/>
    </o:shapelayout>
  </w:shapeDefaults>
  <w:decimalSymbol w:val="."/>
  <w:listSeparator w:val=","/>
  <w14:docId w14:val="4AD5AED4"/>
  <w15:docId w15:val="{6F094CB9-AC75-4367-92CD-A634BD6B9F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CommentReference">
    <w:name w:val="annotation reference"/>
    <w:basedOn w:val="DefaultParagraphFont"/>
    <w:semiHidden/>
    <w:unhideWhenUsed/>
    <w:rsid w:val="00E83057"/>
    <w:rPr>
      <w:sz w:val="16"/>
      <w:szCs w:val="16"/>
    </w:rPr>
  </w:style>
  <w:style w:type="character" w:styleId="FootnoteReference">
    <w:name w:val="footnote reference"/>
    <w:aliases w:val="Style 77,Style 11,Style 28,Style 8,Style 21,Style 4,o,fr,Style 17,Style 13,o1,fr1,o2,fr2,o3,fr3,Style 18,(NECG) Footnote Reference,Style 20,Style 7,Style 19,Style 24,Style 5,Style 15,Footnote Reference (EIS),Styl,.,SR FR,Sty,fnr,f,FR"/>
    <w:basedOn w:val="DefaultParagraphFont"/>
    <w:unhideWhenUsed/>
    <w:rsid w:val="00D45BAC"/>
    <w:rPr>
      <w:vertAlign w:val="superscript"/>
    </w:rPr>
  </w:style>
  <w:style w:type="character" w:customStyle="1" w:styleId="FootnoteTextChar">
    <w:name w:val="Footnote Text Char"/>
    <w:basedOn w:val="DefaultParagraphFont"/>
    <w:link w:val="FootnoteText"/>
    <w:rsid w:val="00511E4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104.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38" Type="http://schemas.openxmlformats.org/officeDocument/2006/relationships/image" Target="media/image125.png"/><Relationship Id="rId16" Type="http://schemas.openxmlformats.org/officeDocument/2006/relationships/image" Target="media/image3.png"/><Relationship Id="rId107" Type="http://schemas.openxmlformats.org/officeDocument/2006/relationships/image" Target="media/image94.png"/><Relationship Id="rId11" Type="http://schemas.openxmlformats.org/officeDocument/2006/relationships/header" Target="header2.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28" Type="http://schemas.openxmlformats.org/officeDocument/2006/relationships/image" Target="media/image115.png"/><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png"/><Relationship Id="rId139" Type="http://schemas.openxmlformats.org/officeDocument/2006/relationships/header" Target="header5.xm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image" Target="media/image90.png"/><Relationship Id="rId108" Type="http://schemas.openxmlformats.org/officeDocument/2006/relationships/image" Target="media/image95.png"/><Relationship Id="rId116" Type="http://schemas.openxmlformats.org/officeDocument/2006/relationships/image" Target="media/image103.png"/><Relationship Id="rId124" Type="http://schemas.openxmlformats.org/officeDocument/2006/relationships/image" Target="media/image111.png"/><Relationship Id="rId129" Type="http://schemas.openxmlformats.org/officeDocument/2006/relationships/image" Target="media/image116.png"/><Relationship Id="rId137" Type="http://schemas.openxmlformats.org/officeDocument/2006/relationships/image" Target="media/image124.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png"/><Relationship Id="rId111" Type="http://schemas.openxmlformats.org/officeDocument/2006/relationships/image" Target="media/image98.png"/><Relationship Id="rId132" Type="http://schemas.openxmlformats.org/officeDocument/2006/relationships/image" Target="media/image119.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93.png"/><Relationship Id="rId114" Type="http://schemas.openxmlformats.org/officeDocument/2006/relationships/image" Target="media/image101.png"/><Relationship Id="rId119" Type="http://schemas.openxmlformats.org/officeDocument/2006/relationships/image" Target="media/image106.png"/><Relationship Id="rId127" Type="http://schemas.openxmlformats.org/officeDocument/2006/relationships/image" Target="media/image114.png"/><Relationship Id="rId10" Type="http://schemas.openxmlformats.org/officeDocument/2006/relationships/footer" Target="footer1.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30" Type="http://schemas.openxmlformats.org/officeDocument/2006/relationships/image" Target="media/image117.png"/><Relationship Id="rId135" Type="http://schemas.openxmlformats.org/officeDocument/2006/relationships/image" Target="media/image122.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2.xm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6.png"/><Relationship Id="rId14" Type="http://schemas.openxmlformats.org/officeDocument/2006/relationships/header" Target="header4.xm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73C253-E579-4EF7-AD80-4A8E987CBC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Template>
  <TotalTime>0</TotalTime>
  <Pages>131</Pages>
  <Words>1367</Words>
  <Characters>8242</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9590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Corey Hampson</dc:creator>
  <cp:lastModifiedBy>Elisabeth Draper</cp:lastModifiedBy>
  <cp:revision>2</cp:revision>
  <cp:lastPrinted>2023-11-17T19:20:00Z</cp:lastPrinted>
  <dcterms:created xsi:type="dcterms:W3CDTF">2023-11-28T16:41:00Z</dcterms:created>
  <dcterms:modified xsi:type="dcterms:W3CDTF">2023-11-28T16:41:00Z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20230023-GU</vt:lpwstr>
  </property>
  <property fmtid="{D5CDD505-2E9C-101B-9397-08002B2CF9AE}" pid="3" name="MasterDocument">
    <vt:bool>false</vt:bool>
  </property>
</Properties>
</file>