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436086D8"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489CC922" w14:textId="77777777" w:rsidR="007C0528" w:rsidRDefault="007C0528" w:rsidP="00532DFB">
            <w:pPr>
              <w:pStyle w:val="MastHeadState"/>
            </w:pPr>
            <w:bookmarkStart w:id="0" w:name="_GoBack"/>
            <w:bookmarkEnd w:id="0"/>
            <w:r>
              <w:t>State of Florida</w:t>
            </w:r>
          </w:p>
          <w:p w14:paraId="41DCFC70" w14:textId="77777777" w:rsidR="007C0528" w:rsidRDefault="00072CCA">
            <w:pPr>
              <w:jc w:val="center"/>
            </w:pPr>
            <w:r>
              <w:rPr>
                <w:noProof/>
              </w:rPr>
              <w:drawing>
                <wp:inline distT="0" distB="0" distL="0" distR="0" wp14:anchorId="39806C1B" wp14:editId="0EC00D0C">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5CD1B6B"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38A1C3B2" w14:textId="77777777" w:rsidR="007C0528" w:rsidRDefault="007C0528">
            <w:pPr>
              <w:pStyle w:val="MastHeadPSC"/>
            </w:pPr>
            <w:r>
              <w:t>Public Service Commission</w:t>
            </w:r>
          </w:p>
          <w:p w14:paraId="30DD45C1" w14:textId="77777777" w:rsidR="007C0528" w:rsidRDefault="007C0528">
            <w:pPr>
              <w:pStyle w:val="MastHeadAddress"/>
            </w:pPr>
            <w:r>
              <w:t>Capital Circle Office Center ● 2540 Shumard Oak Boulevard</w:t>
            </w:r>
            <w:r>
              <w:br/>
              <w:t>Tallahassee, Florida 32399-0850</w:t>
            </w:r>
          </w:p>
          <w:p w14:paraId="33C9B888" w14:textId="77777777" w:rsidR="007C0528" w:rsidRDefault="007C0528">
            <w:pPr>
              <w:pStyle w:val="MastHeadMemorandum"/>
            </w:pPr>
            <w:r>
              <w:t>-M-E-M-O-R-A-N-D-U-M-</w:t>
            </w:r>
          </w:p>
          <w:p w14:paraId="5CB914D1" w14:textId="77777777" w:rsidR="007C0528" w:rsidRDefault="007C0528">
            <w:pPr>
              <w:pStyle w:val="MemoHeading"/>
            </w:pPr>
          </w:p>
        </w:tc>
      </w:tr>
      <w:tr w:rsidR="007C0528" w14:paraId="44BD08E1"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6921DC0A"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53036816" w14:textId="77777777" w:rsidR="007C0528" w:rsidRDefault="00744415">
            <w:pPr>
              <w:pStyle w:val="MemoHeading"/>
            </w:pPr>
            <w:bookmarkStart w:id="1" w:name="FilingDate"/>
            <w:r>
              <w:t>January 25, 2024</w:t>
            </w:r>
            <w:bookmarkEnd w:id="1"/>
          </w:p>
        </w:tc>
      </w:tr>
      <w:tr w:rsidR="007C0528" w14:paraId="70D861F5" w14:textId="77777777">
        <w:tc>
          <w:tcPr>
            <w:tcW w:w="1254" w:type="dxa"/>
            <w:tcBorders>
              <w:top w:val="nil"/>
              <w:left w:val="nil"/>
              <w:bottom w:val="nil"/>
              <w:right w:val="nil"/>
            </w:tcBorders>
            <w:shd w:val="clear" w:color="auto" w:fill="auto"/>
            <w:tcMar>
              <w:top w:w="288" w:type="dxa"/>
              <w:bottom w:w="0" w:type="dxa"/>
              <w:right w:w="0" w:type="dxa"/>
            </w:tcMar>
          </w:tcPr>
          <w:p w14:paraId="230A875E"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5F7DCA4" w14:textId="77777777" w:rsidR="007C0528" w:rsidRDefault="007C0528" w:rsidP="0093658B">
            <w:pPr>
              <w:pStyle w:val="MemoHeading"/>
            </w:pPr>
            <w:r>
              <w:t>Office of Commission Clerk (</w:t>
            </w:r>
            <w:r w:rsidR="004E69B5">
              <w:t>Teitzman</w:t>
            </w:r>
            <w:r>
              <w:t>)</w:t>
            </w:r>
          </w:p>
        </w:tc>
      </w:tr>
      <w:tr w:rsidR="007C0528" w14:paraId="2B6F441F" w14:textId="77777777">
        <w:tc>
          <w:tcPr>
            <w:tcW w:w="1254" w:type="dxa"/>
            <w:tcBorders>
              <w:top w:val="nil"/>
              <w:left w:val="nil"/>
              <w:bottom w:val="nil"/>
              <w:right w:val="nil"/>
            </w:tcBorders>
            <w:shd w:val="clear" w:color="auto" w:fill="auto"/>
            <w:tcMar>
              <w:top w:w="288" w:type="dxa"/>
              <w:right w:w="0" w:type="dxa"/>
            </w:tcMar>
          </w:tcPr>
          <w:p w14:paraId="3832E0CD"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12E6E86D" w14:textId="77777777" w:rsidR="00744415" w:rsidRDefault="00744415">
            <w:pPr>
              <w:pStyle w:val="MemoHeading"/>
            </w:pPr>
            <w:bookmarkStart w:id="2" w:name="From"/>
            <w:r>
              <w:t>Division of Economics (Kaymak, Barrett, Guffey)</w:t>
            </w:r>
          </w:p>
          <w:p w14:paraId="3F6F49CE" w14:textId="77777777" w:rsidR="007C0528" w:rsidRDefault="00744415">
            <w:pPr>
              <w:pStyle w:val="MemoHeading"/>
            </w:pPr>
            <w:r>
              <w:t>Office</w:t>
            </w:r>
            <w:r w:rsidR="000D13F4">
              <w:t xml:space="preserve"> of the General Counsel (Dose</w:t>
            </w:r>
            <w:r>
              <w:t>)</w:t>
            </w:r>
            <w:bookmarkEnd w:id="2"/>
          </w:p>
        </w:tc>
      </w:tr>
      <w:tr w:rsidR="007C0528" w14:paraId="24C2896B" w14:textId="77777777">
        <w:tc>
          <w:tcPr>
            <w:tcW w:w="1254" w:type="dxa"/>
            <w:tcBorders>
              <w:top w:val="nil"/>
              <w:left w:val="nil"/>
              <w:bottom w:val="nil"/>
              <w:right w:val="nil"/>
            </w:tcBorders>
            <w:shd w:val="clear" w:color="auto" w:fill="auto"/>
            <w:tcMar>
              <w:top w:w="288" w:type="dxa"/>
              <w:right w:w="0" w:type="dxa"/>
            </w:tcMar>
          </w:tcPr>
          <w:p w14:paraId="66951C65"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16F454F" w14:textId="77777777" w:rsidR="007C0528" w:rsidRDefault="00744415">
            <w:pPr>
              <w:pStyle w:val="MemoHeadingRe"/>
            </w:pPr>
            <w:bookmarkStart w:id="3" w:name="Re"/>
            <w:r>
              <w:t>Docket No. 20230125-GU – Joint petition for approval of amendment to territorial agreement in Pasco County, by Florida Public Utilities Company and Peoples Gas System, Inc.</w:t>
            </w:r>
            <w:bookmarkEnd w:id="3"/>
          </w:p>
        </w:tc>
      </w:tr>
      <w:tr w:rsidR="007C0528" w14:paraId="0D5F678A" w14:textId="77777777">
        <w:tc>
          <w:tcPr>
            <w:tcW w:w="1254" w:type="dxa"/>
            <w:tcBorders>
              <w:top w:val="nil"/>
              <w:left w:val="nil"/>
              <w:bottom w:val="nil"/>
              <w:right w:val="nil"/>
            </w:tcBorders>
            <w:shd w:val="clear" w:color="auto" w:fill="auto"/>
            <w:tcMar>
              <w:top w:w="288" w:type="dxa"/>
              <w:bottom w:w="0" w:type="dxa"/>
              <w:right w:w="0" w:type="dxa"/>
            </w:tcMar>
          </w:tcPr>
          <w:p w14:paraId="561E9DAB"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F939F9E" w14:textId="77777777" w:rsidR="007C0528" w:rsidRDefault="00744415">
            <w:pPr>
              <w:pStyle w:val="MemoHeading"/>
            </w:pPr>
            <w:bookmarkStart w:id="4" w:name="AgendaDate"/>
            <w:r>
              <w:t>02/06/24</w:t>
            </w:r>
            <w:bookmarkEnd w:id="4"/>
            <w:r w:rsidR="007C0528">
              <w:t xml:space="preserve"> – </w:t>
            </w:r>
            <w:bookmarkStart w:id="5" w:name="PermittedStatus"/>
            <w:r>
              <w:t>Regular Agenda – Proposed Agency Action – Interested Persons May Participate</w:t>
            </w:r>
            <w:bookmarkEnd w:id="5"/>
          </w:p>
        </w:tc>
      </w:tr>
      <w:tr w:rsidR="007C0528" w14:paraId="7D6BA9DA" w14:textId="77777777">
        <w:tc>
          <w:tcPr>
            <w:tcW w:w="3690" w:type="dxa"/>
            <w:gridSpan w:val="3"/>
            <w:tcBorders>
              <w:top w:val="nil"/>
              <w:left w:val="nil"/>
              <w:bottom w:val="nil"/>
              <w:right w:val="nil"/>
            </w:tcBorders>
            <w:shd w:val="clear" w:color="auto" w:fill="auto"/>
            <w:tcMar>
              <w:top w:w="288" w:type="dxa"/>
              <w:bottom w:w="0" w:type="dxa"/>
              <w:right w:w="0" w:type="dxa"/>
            </w:tcMar>
          </w:tcPr>
          <w:p w14:paraId="2013C56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31895AC3" w14:textId="77777777" w:rsidR="007C0528" w:rsidRDefault="00744415">
            <w:pPr>
              <w:pStyle w:val="MemoHeading"/>
            </w:pPr>
            <w:bookmarkStart w:id="6" w:name="CommissionersAssigned"/>
            <w:r>
              <w:t>All Commissioners</w:t>
            </w:r>
            <w:bookmarkEnd w:id="6"/>
          </w:p>
        </w:tc>
      </w:tr>
      <w:tr w:rsidR="007C0528" w14:paraId="21A1DA69" w14:textId="77777777">
        <w:tc>
          <w:tcPr>
            <w:tcW w:w="3690" w:type="dxa"/>
            <w:gridSpan w:val="3"/>
            <w:tcBorders>
              <w:top w:val="nil"/>
              <w:left w:val="nil"/>
              <w:bottom w:val="nil"/>
              <w:right w:val="nil"/>
            </w:tcBorders>
            <w:shd w:val="clear" w:color="auto" w:fill="auto"/>
            <w:tcMar>
              <w:top w:w="288" w:type="dxa"/>
              <w:bottom w:w="0" w:type="dxa"/>
              <w:right w:w="0" w:type="dxa"/>
            </w:tcMar>
          </w:tcPr>
          <w:p w14:paraId="2660072F"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D005AA2" w14:textId="77777777" w:rsidR="007C0528" w:rsidRDefault="00744415">
            <w:pPr>
              <w:pStyle w:val="MemoHeading"/>
            </w:pPr>
            <w:bookmarkStart w:id="7" w:name="PrehearingOfficer"/>
            <w:r>
              <w:t>La Rosa</w:t>
            </w:r>
            <w:bookmarkEnd w:id="7"/>
          </w:p>
        </w:tc>
      </w:tr>
      <w:tr w:rsidR="007C0528" w14:paraId="3287E5F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944B4A7"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BD34196" w14:textId="77777777" w:rsidR="007C0528" w:rsidRDefault="00744415">
            <w:pPr>
              <w:pStyle w:val="MemoHeading"/>
            </w:pPr>
            <w:bookmarkStart w:id="9" w:name="CriticalDates"/>
            <w:r>
              <w:t>None</w:t>
            </w:r>
            <w:bookmarkEnd w:id="9"/>
          </w:p>
        </w:tc>
      </w:tr>
      <w:tr w:rsidR="007C0528" w14:paraId="771EBB70"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228D2F3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D58EA3C" w14:textId="77777777" w:rsidR="007C0528" w:rsidRDefault="00744415">
            <w:pPr>
              <w:pStyle w:val="MemoHeading"/>
            </w:pPr>
            <w:bookmarkStart w:id="10" w:name="SpecialInstructions"/>
            <w:r>
              <w:t>None</w:t>
            </w:r>
            <w:bookmarkEnd w:id="10"/>
          </w:p>
        </w:tc>
      </w:tr>
    </w:tbl>
    <w:p w14:paraId="7109A801" w14:textId="77777777" w:rsidR="007C0528" w:rsidRDefault="007C0528">
      <w:pPr>
        <w:pStyle w:val="BodyText"/>
      </w:pPr>
    </w:p>
    <w:p w14:paraId="1A7F12FF"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170AD1D5" w14:textId="64B0985A" w:rsidR="000162B9" w:rsidRDefault="002F3C0C" w:rsidP="00D806A7">
      <w:pPr>
        <w:autoSpaceDE w:val="0"/>
        <w:autoSpaceDN w:val="0"/>
        <w:adjustRightInd w:val="0"/>
        <w:jc w:val="both"/>
      </w:pPr>
      <w:r>
        <w:t>On November 3, 2023, Flo</w:t>
      </w:r>
      <w:r w:rsidR="00A66C9E">
        <w:t>rida Public Utilities Company (FPUC</w:t>
      </w:r>
      <w:r>
        <w:t>) and</w:t>
      </w:r>
      <w:r w:rsidR="00A66C9E">
        <w:t xml:space="preserve"> Peoples Gas System, Inc. (Peoples</w:t>
      </w:r>
      <w:r>
        <w:t>), collectively the joint petitioners, filed a petition seeking Comm</w:t>
      </w:r>
      <w:r w:rsidR="00B31B54">
        <w:t xml:space="preserve">ission approval of </w:t>
      </w:r>
      <w:r w:rsidR="00407C95">
        <w:t xml:space="preserve">a </w:t>
      </w:r>
      <w:r w:rsidR="00A20687">
        <w:t>first</w:t>
      </w:r>
      <w:r w:rsidR="00B31B54">
        <w:t xml:space="preserve"> amendment </w:t>
      </w:r>
      <w:r w:rsidR="00A66C9E">
        <w:t>(Amendment No. 1</w:t>
      </w:r>
      <w:r>
        <w:t xml:space="preserve">) to </w:t>
      </w:r>
      <w:r w:rsidR="00B31B54">
        <w:t>the</w:t>
      </w:r>
      <w:r w:rsidRPr="004F4BEF">
        <w:t xml:space="preserve"> </w:t>
      </w:r>
      <w:r w:rsidR="002E60A6">
        <w:t>Amended and Restated Territorial Agreement – Pasco County (</w:t>
      </w:r>
      <w:r w:rsidR="00A20687">
        <w:t>Pasco</w:t>
      </w:r>
      <w:r w:rsidRPr="004F4BEF">
        <w:t xml:space="preserve"> </w:t>
      </w:r>
      <w:r w:rsidR="00A20687">
        <w:t>A</w:t>
      </w:r>
      <w:r w:rsidRPr="004F4BEF">
        <w:t>greement</w:t>
      </w:r>
      <w:r w:rsidR="002E60A6">
        <w:t>)</w:t>
      </w:r>
      <w:r w:rsidR="00330EF6" w:rsidRPr="0011562B">
        <w:t>.</w:t>
      </w:r>
      <w:r w:rsidR="00F45749">
        <w:t xml:space="preserve"> </w:t>
      </w:r>
      <w:r w:rsidR="0094481D" w:rsidRPr="00887181">
        <w:t>In</w:t>
      </w:r>
      <w:r w:rsidR="002E60A6">
        <w:t xml:space="preserve"> November</w:t>
      </w:r>
      <w:r w:rsidR="0094481D" w:rsidRPr="00887181">
        <w:t xml:space="preserve"> 2007</w:t>
      </w:r>
      <w:r w:rsidR="00B94D8C" w:rsidRPr="00887181">
        <w:t xml:space="preserve">, the Commission approved </w:t>
      </w:r>
      <w:r w:rsidR="0094481D" w:rsidRPr="00887181">
        <w:t xml:space="preserve">the </w:t>
      </w:r>
      <w:r w:rsidR="002E60A6">
        <w:t>Pasco A</w:t>
      </w:r>
      <w:r w:rsidR="00B94D8C" w:rsidRPr="00887181">
        <w:t xml:space="preserve">greement, along with a Master Territorial Agreement </w:t>
      </w:r>
      <w:r w:rsidR="0094481D" w:rsidRPr="00887181">
        <w:t xml:space="preserve">(Master Agreement) and </w:t>
      </w:r>
      <w:r w:rsidR="00134460" w:rsidRPr="00887181">
        <w:t xml:space="preserve">a gas </w:t>
      </w:r>
      <w:r w:rsidR="0094481D" w:rsidRPr="00887181">
        <w:t xml:space="preserve">transportation </w:t>
      </w:r>
      <w:r w:rsidR="00134460" w:rsidRPr="00887181">
        <w:t>agr</w:t>
      </w:r>
      <w:r w:rsidR="0094481D" w:rsidRPr="00887181">
        <w:t xml:space="preserve">eement </w:t>
      </w:r>
      <w:r w:rsidR="00B94D8C" w:rsidRPr="00887181">
        <w:t>between the Florida Division of Chesapeake Utilities Corporation</w:t>
      </w:r>
      <w:r w:rsidR="00D92D21" w:rsidRPr="00D92D21">
        <w:rPr>
          <w:rStyle w:val="FootnoteReference"/>
          <w:sz w:val="24"/>
        </w:rPr>
        <w:footnoteReference w:id="1"/>
      </w:r>
      <w:r w:rsidR="00B94D8C" w:rsidRPr="00887181">
        <w:t xml:space="preserve"> and </w:t>
      </w:r>
      <w:r w:rsidR="00B94D8C" w:rsidRPr="00887181">
        <w:lastRenderedPageBreak/>
        <w:t>Peoples.</w:t>
      </w:r>
      <w:r w:rsidR="0011562B" w:rsidRPr="00887181">
        <w:rPr>
          <w:rStyle w:val="FootnoteReference"/>
          <w:sz w:val="24"/>
        </w:rPr>
        <w:footnoteReference w:id="2"/>
      </w:r>
      <w:r w:rsidRPr="0011562B">
        <w:t xml:space="preserve"> </w:t>
      </w:r>
      <w:r w:rsidR="002E60A6">
        <w:t>This Master Agreement contains terms and conditions that govern all territor</w:t>
      </w:r>
      <w:r w:rsidR="007E0C26">
        <w:t>ial</w:t>
      </w:r>
      <w:r w:rsidR="002E60A6">
        <w:t xml:space="preserve"> agreements entered into by People</w:t>
      </w:r>
      <w:r w:rsidR="007C26FE">
        <w:t>s</w:t>
      </w:r>
      <w:r w:rsidR="002E60A6">
        <w:t xml:space="preserve"> and Chesapeake.</w:t>
      </w:r>
      <w:r w:rsidR="002E60A6" w:rsidRPr="00D806A7">
        <w:rPr>
          <w:rStyle w:val="FootnoteReference"/>
          <w:sz w:val="24"/>
        </w:rPr>
        <w:footnoteReference w:id="3"/>
      </w:r>
      <w:r w:rsidR="002E60A6" w:rsidRPr="00D806A7">
        <w:rPr>
          <w:sz w:val="32"/>
        </w:rPr>
        <w:t xml:space="preserve"> </w:t>
      </w:r>
      <w:r w:rsidR="00627B27">
        <w:t xml:space="preserve">The joint petitioners, through Amendment No. 1, seek </w:t>
      </w:r>
      <w:r w:rsidR="007E0C26">
        <w:t xml:space="preserve">the </w:t>
      </w:r>
      <w:r w:rsidR="001D0982">
        <w:t>Commission</w:t>
      </w:r>
      <w:r w:rsidR="007E0C26">
        <w:t>’s</w:t>
      </w:r>
      <w:r w:rsidR="001D0982">
        <w:t xml:space="preserve"> </w:t>
      </w:r>
      <w:r w:rsidR="00627B27">
        <w:t>approval to adjust the</w:t>
      </w:r>
      <w:r w:rsidR="007E0C26">
        <w:t xml:space="preserve"> utilities’</w:t>
      </w:r>
      <w:r w:rsidR="00627B27">
        <w:t xml:space="preserve"> </w:t>
      </w:r>
      <w:r w:rsidR="003B43FD">
        <w:t xml:space="preserve">shared </w:t>
      </w:r>
      <w:r w:rsidR="00627B27">
        <w:t>service boundary.</w:t>
      </w:r>
      <w:bookmarkEnd w:id="12"/>
    </w:p>
    <w:p w14:paraId="77A64D85" w14:textId="77777777" w:rsidR="00D806A7" w:rsidRPr="00D806A7" w:rsidRDefault="00D806A7" w:rsidP="00D806A7">
      <w:pPr>
        <w:autoSpaceDE w:val="0"/>
        <w:autoSpaceDN w:val="0"/>
        <w:adjustRightInd w:val="0"/>
        <w:jc w:val="both"/>
        <w:rPr>
          <w:strike/>
          <w:color w:val="3A3A3A"/>
          <w:sz w:val="23"/>
          <w:szCs w:val="23"/>
        </w:rPr>
      </w:pPr>
    </w:p>
    <w:p w14:paraId="15208BB5" w14:textId="77777777" w:rsidR="00904DE5" w:rsidRDefault="000C1B0A" w:rsidP="00904DE5">
      <w:pPr>
        <w:pStyle w:val="BodyText"/>
      </w:pPr>
      <w:r>
        <w:t>S</w:t>
      </w:r>
      <w:r w:rsidR="00DC13F7">
        <w:t>taff issued a data request to the joint petitioners on November 17, 2023, for which responses were received on December 13, 2023.</w:t>
      </w:r>
    </w:p>
    <w:p w14:paraId="1C9C627E" w14:textId="033E76D6" w:rsidR="00F83903" w:rsidRDefault="00904DE5" w:rsidP="00904DE5">
      <w:pPr>
        <w:pStyle w:val="BodyText"/>
      </w:pPr>
      <w:r>
        <w:t xml:space="preserve">On January 10, 2024, the parties </w:t>
      </w:r>
      <w:r w:rsidR="000215E7">
        <w:t>filed a corrected version of</w:t>
      </w:r>
      <w:r>
        <w:t xml:space="preserve"> Amendment No. 1</w:t>
      </w:r>
      <w:r w:rsidR="00E9077A">
        <w:t>.</w:t>
      </w:r>
      <w:r w:rsidR="002D1649">
        <w:t xml:space="preserve"> </w:t>
      </w:r>
      <w:r>
        <w:t xml:space="preserve">The corrected </w:t>
      </w:r>
      <w:r w:rsidR="00E9077A">
        <w:t>version</w:t>
      </w:r>
      <w:r w:rsidR="00654AA6">
        <w:t xml:space="preserve">, initialed by counsel, contains </w:t>
      </w:r>
      <w:r>
        <w:t xml:space="preserve">the date that the </w:t>
      </w:r>
      <w:r w:rsidR="00E83D14">
        <w:t>a</w:t>
      </w:r>
      <w:r w:rsidR="002E60A6">
        <w:t xml:space="preserve">mendment </w:t>
      </w:r>
      <w:r>
        <w:t>was en</w:t>
      </w:r>
      <w:r w:rsidRPr="00F0024F">
        <w:t xml:space="preserve">tered into by the parties </w:t>
      </w:r>
      <w:r w:rsidR="00E9077A" w:rsidRPr="00F0024F">
        <w:t xml:space="preserve">(October 31, 2023), </w:t>
      </w:r>
      <w:r w:rsidR="00654AA6" w:rsidRPr="00F0024F">
        <w:t>which was inadvertently omitted in the original version submitted with the petition</w:t>
      </w:r>
      <w:r w:rsidR="00F83903" w:rsidRPr="00F0024F">
        <w:t>.</w:t>
      </w:r>
      <w:r w:rsidR="00F00D07" w:rsidRPr="00F0024F">
        <w:rPr>
          <w:rStyle w:val="FootnoteReference"/>
          <w:sz w:val="24"/>
        </w:rPr>
        <w:footnoteReference w:id="4"/>
      </w:r>
      <w:r w:rsidR="002D1649" w:rsidRPr="00F0024F">
        <w:t xml:space="preserve"> No other changes </w:t>
      </w:r>
      <w:r w:rsidR="000942EB" w:rsidRPr="00F0024F">
        <w:t>were made to the corrected version of</w:t>
      </w:r>
      <w:r w:rsidR="002D1649" w:rsidRPr="00F0024F">
        <w:t xml:space="preserve"> Amendment No. 1.</w:t>
      </w:r>
      <w:r w:rsidR="00F83903">
        <w:t xml:space="preserve"> </w:t>
      </w:r>
      <w:r w:rsidR="002E60A6">
        <w:t>Amendment No. 1 is show</w:t>
      </w:r>
      <w:r w:rsidR="007C26FE">
        <w:t>n</w:t>
      </w:r>
      <w:r w:rsidR="002E60A6">
        <w:t xml:space="preserve"> as Attachment A </w:t>
      </w:r>
      <w:r w:rsidR="00627B27">
        <w:t>to this</w:t>
      </w:r>
      <w:r w:rsidR="002E60A6">
        <w:t xml:space="preserve"> recommendation.</w:t>
      </w:r>
    </w:p>
    <w:p w14:paraId="367B370B" w14:textId="77777777" w:rsidR="00EA2273" w:rsidRDefault="006F4B3A" w:rsidP="006F4B3A">
      <w:pPr>
        <w:pStyle w:val="BodyTex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The Commission has jurisdiction over this matter pursuant to Section 366.04, Florida Statutes (F.S.).</w:t>
      </w:r>
    </w:p>
    <w:p w14:paraId="2FFB6E79" w14:textId="77777777" w:rsidR="007C0528" w:rsidRDefault="007C0528">
      <w:pPr>
        <w:pStyle w:val="RecommendationMajorSectionHeading"/>
      </w:pPr>
      <w:bookmarkStart w:id="16" w:name="DiscussionOfIssues"/>
      <w:r>
        <w:lastRenderedPageBreak/>
        <w:t>Discussion of Issues</w:t>
      </w:r>
    </w:p>
    <w:bookmarkEnd w:id="16"/>
    <w:p w14:paraId="5BC9EAC0" w14:textId="12C6793B" w:rsidR="00744415" w:rsidRDefault="00744415">
      <w:pPr>
        <w:pStyle w:val="IssueHeading"/>
        <w:rPr>
          <w:vanish/>
          <w:specVanish/>
        </w:rPr>
      </w:pPr>
      <w:r w:rsidRPr="004C3641">
        <w:t xml:space="preserve">Issue </w:t>
      </w:r>
      <w:r w:rsidR="0037138F">
        <w:fldChar w:fldCharType="begin"/>
      </w:r>
      <w:r w:rsidR="0037138F">
        <w:instrText xml:space="preserve"> SEQ Issue \* MERGEFORMAT </w:instrText>
      </w:r>
      <w:r w:rsidR="0037138F">
        <w:fldChar w:fldCharType="separate"/>
      </w:r>
      <w:r w:rsidR="005E3C81">
        <w:rPr>
          <w:noProof/>
        </w:rPr>
        <w:t>1</w:t>
      </w:r>
      <w:r w:rsidR="0037138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E3C81">
        <w:rPr>
          <w:noProof/>
        </w:rPr>
        <w:instrText>1</w:instrText>
      </w:r>
      <w:r>
        <w:fldChar w:fldCharType="end"/>
      </w:r>
      <w:r>
        <w:tab/>
        <w:instrText xml:space="preserve">" \l 1 </w:instrText>
      </w:r>
      <w:r>
        <w:fldChar w:fldCharType="end"/>
      </w:r>
      <w:r>
        <w:t> </w:t>
      </w:r>
    </w:p>
    <w:p w14:paraId="6C3FBCEF" w14:textId="5257F1AC" w:rsidR="00744415" w:rsidRDefault="00744415">
      <w:pPr>
        <w:pStyle w:val="BodyText"/>
      </w:pPr>
      <w:r>
        <w:t> Should the Commission approve the proposed Amendment</w:t>
      </w:r>
      <w:r w:rsidR="00A66C9E">
        <w:t xml:space="preserve"> No. 1</w:t>
      </w:r>
      <w:r>
        <w:t xml:space="preserve"> to </w:t>
      </w:r>
      <w:r w:rsidR="00627B27">
        <w:t xml:space="preserve">the </w:t>
      </w:r>
      <w:r w:rsidR="002E60A6">
        <w:t xml:space="preserve">Pasco </w:t>
      </w:r>
      <w:r>
        <w:t xml:space="preserve"> Agreement between FPUC and Peoples</w:t>
      </w:r>
      <w:r w:rsidR="00A66C9E">
        <w:t xml:space="preserve"> in Pasco County</w:t>
      </w:r>
      <w:r>
        <w:t>?</w:t>
      </w:r>
    </w:p>
    <w:p w14:paraId="64402052" w14:textId="77777777" w:rsidR="00744415" w:rsidRPr="004C3641" w:rsidRDefault="00744415" w:rsidP="00110AF3">
      <w:pPr>
        <w:pStyle w:val="IssueSubsectionHeading"/>
        <w:rPr>
          <w:vanish/>
          <w:specVanish/>
        </w:rPr>
      </w:pPr>
      <w:r w:rsidRPr="004C3641">
        <w:t>Recommendation: </w:t>
      </w:r>
    </w:p>
    <w:p w14:paraId="0B24E19A" w14:textId="77777777" w:rsidR="00744415" w:rsidRDefault="00744415" w:rsidP="00110AF3">
      <w:pPr>
        <w:pStyle w:val="BodyText"/>
      </w:pPr>
      <w:r>
        <w:t> </w:t>
      </w:r>
      <w:r w:rsidR="00110AF3">
        <w:rPr>
          <w:rFonts w:ascii="TimesNewRomanPSMT" w:hAnsi="TimesNewRomanPSMT" w:cs="TimesNewRomanPSMT"/>
        </w:rPr>
        <w:t>Yes, the Commission should approve</w:t>
      </w:r>
      <w:r w:rsidR="00110AF3">
        <w:t xml:space="preserve"> the proposed Amendment</w:t>
      </w:r>
      <w:r w:rsidR="00A66C9E">
        <w:t xml:space="preserve"> No. 1</w:t>
      </w:r>
      <w:r w:rsidR="0055439A">
        <w:t>,</w:t>
      </w:r>
      <w:r w:rsidR="00C31440">
        <w:t xml:space="preserve"> which transfers a portion of FPUC’s service territory to Peoples.</w:t>
      </w:r>
      <w:r w:rsidR="00110AF3" w:rsidRPr="00110AF3">
        <w:t xml:space="preserve"> </w:t>
      </w:r>
      <w:r w:rsidR="00110AF3" w:rsidRPr="003F5AF7">
        <w:t xml:space="preserve">The proposed Amendment </w:t>
      </w:r>
      <w:r w:rsidR="00A66C9E" w:rsidRPr="003F5AF7">
        <w:t xml:space="preserve">No. 1 </w:t>
      </w:r>
      <w:r w:rsidR="00110AF3" w:rsidRPr="003F5AF7">
        <w:t>w</w:t>
      </w:r>
      <w:r w:rsidR="000215E7">
        <w:t>ould</w:t>
      </w:r>
      <w:r w:rsidR="00110AF3" w:rsidRPr="003F5AF7">
        <w:t xml:space="preserve"> </w:t>
      </w:r>
      <w:r w:rsidR="006D0716" w:rsidRPr="003F5AF7">
        <w:t xml:space="preserve">facilitate </w:t>
      </w:r>
      <w:r w:rsidR="002E347F" w:rsidRPr="003F5AF7">
        <w:t>the provision of</w:t>
      </w:r>
      <w:r w:rsidR="00110AF3" w:rsidRPr="003F5AF7">
        <w:t xml:space="preserve"> economical and reliable natural gas service </w:t>
      </w:r>
      <w:r w:rsidR="006D0716" w:rsidRPr="003F5AF7">
        <w:t xml:space="preserve">by Peoples </w:t>
      </w:r>
      <w:r w:rsidR="00110AF3" w:rsidRPr="003F5AF7">
        <w:t xml:space="preserve">to </w:t>
      </w:r>
      <w:r w:rsidR="000215E7">
        <w:t xml:space="preserve">prospective </w:t>
      </w:r>
      <w:r w:rsidR="00110AF3" w:rsidRPr="003F5AF7">
        <w:t xml:space="preserve">residential and business customers in </w:t>
      </w:r>
      <w:r w:rsidR="006D0716" w:rsidRPr="003F5AF7">
        <w:t xml:space="preserve">the </w:t>
      </w:r>
      <w:r w:rsidR="00654AA6">
        <w:t xml:space="preserve">proposed transfer </w:t>
      </w:r>
      <w:r w:rsidR="006D0716" w:rsidRPr="003F5AF7">
        <w:t xml:space="preserve">area </w:t>
      </w:r>
      <w:r w:rsidR="00D6483F" w:rsidRPr="003F5AF7">
        <w:t xml:space="preserve">identified </w:t>
      </w:r>
      <w:r w:rsidR="002E347F" w:rsidRPr="003F5AF7">
        <w:t xml:space="preserve">as Service Area B </w:t>
      </w:r>
      <w:r w:rsidR="00B90F93" w:rsidRPr="003F5AF7">
        <w:t>in Amendment No. 1 – Exhibit A</w:t>
      </w:r>
      <w:r w:rsidR="005D0FB6" w:rsidRPr="003F5AF7">
        <w:t>,</w:t>
      </w:r>
      <w:r w:rsidR="00110AF3" w:rsidRPr="003F5AF7">
        <w:t xml:space="preserve"> </w:t>
      </w:r>
      <w:r w:rsidR="002E347F" w:rsidRPr="003F5AF7">
        <w:t xml:space="preserve">thereby </w:t>
      </w:r>
      <w:r w:rsidR="00110AF3" w:rsidRPr="003F5AF7">
        <w:rPr>
          <w:rFonts w:ascii="TimesNewRomanPSMT" w:hAnsi="TimesNewRomanPSMT" w:cs="TimesNewRomanPSMT"/>
        </w:rPr>
        <w:t>avoid</w:t>
      </w:r>
      <w:r w:rsidR="002E347F" w:rsidRPr="003F5AF7">
        <w:rPr>
          <w:rFonts w:ascii="TimesNewRomanPSMT" w:hAnsi="TimesNewRomanPSMT" w:cs="TimesNewRomanPSMT"/>
        </w:rPr>
        <w:t>ing</w:t>
      </w:r>
      <w:r w:rsidR="00110AF3" w:rsidRPr="003F5AF7">
        <w:rPr>
          <w:rFonts w:ascii="TimesNewRomanPSMT" w:hAnsi="TimesNewRomanPSMT" w:cs="TimesNewRomanPSMT"/>
        </w:rPr>
        <w:t xml:space="preserve"> duplication of facilities and services.</w:t>
      </w:r>
      <w:r w:rsidR="005D0FB6" w:rsidRPr="003F5AF7">
        <w:rPr>
          <w:rFonts w:ascii="TimesNewRomanPSMT" w:hAnsi="TimesNewRomanPSMT" w:cs="TimesNewRomanPSMT"/>
        </w:rPr>
        <w:t xml:space="preserve"> (Kaymak, </w:t>
      </w:r>
      <w:r w:rsidR="00E11363" w:rsidRPr="003F5AF7">
        <w:rPr>
          <w:rFonts w:ascii="TimesNewRomanPSMT" w:hAnsi="TimesNewRomanPSMT" w:cs="TimesNewRomanPSMT"/>
        </w:rPr>
        <w:t xml:space="preserve">Barrett, </w:t>
      </w:r>
      <w:r w:rsidR="005D0FB6" w:rsidRPr="003F5AF7">
        <w:rPr>
          <w:rFonts w:ascii="TimesNewRomanPSMT" w:hAnsi="TimesNewRomanPSMT" w:cs="TimesNewRomanPSMT"/>
        </w:rPr>
        <w:t>Guffey)</w:t>
      </w:r>
      <w:r w:rsidR="00110AF3">
        <w:rPr>
          <w:rFonts w:ascii="TimesNewRomanPSMT" w:hAnsi="TimesNewRomanPSMT" w:cs="TimesNewRomanPSMT"/>
        </w:rPr>
        <w:t xml:space="preserve"> </w:t>
      </w:r>
    </w:p>
    <w:p w14:paraId="20EF956F" w14:textId="7C1CB2B6" w:rsidR="00110AF3" w:rsidRPr="00D806A7" w:rsidRDefault="00744415" w:rsidP="00D44E44">
      <w:pPr>
        <w:pStyle w:val="BodyText"/>
        <w:rPr>
          <w:strike/>
        </w:rPr>
      </w:pPr>
      <w:r w:rsidRPr="00333B79">
        <w:rPr>
          <w:rFonts w:ascii="Arial" w:hAnsi="Arial" w:cs="Arial"/>
          <w:b/>
          <w:i/>
        </w:rPr>
        <w:t>Staff Analysis:</w:t>
      </w:r>
      <w:r w:rsidRPr="007E3AE4">
        <w:t> </w:t>
      </w:r>
      <w:r w:rsidR="00110AF3" w:rsidRPr="00110AF3">
        <w:t>Pursuant to Section 366.04(3)(a), F.S.,</w:t>
      </w:r>
      <w:r w:rsidR="00E4211E">
        <w:t xml:space="preserve"> and Rule 25-7.0471, Florida Administrative Code (F.A.C.)</w:t>
      </w:r>
      <w:r w:rsidR="00F43ECB">
        <w:t xml:space="preserve">, </w:t>
      </w:r>
      <w:r w:rsidR="00110AF3" w:rsidRPr="00110AF3">
        <w:t>the Commission has the jurisdiction to approve territorial agreements between natural gas utilities.</w:t>
      </w:r>
      <w:r w:rsidR="00E4211E">
        <w:t xml:space="preserve"> Unless the Commission determines that the proposed Amendment No. 1 will cause a detriment to the public interest, the proposed </w:t>
      </w:r>
      <w:r w:rsidR="0089619F">
        <w:t>amendment</w:t>
      </w:r>
      <w:r w:rsidR="00E4211E">
        <w:t xml:space="preserve"> should be approved.</w:t>
      </w:r>
      <w:r w:rsidR="00D44E44" w:rsidRPr="00E4211E">
        <w:rPr>
          <w:rStyle w:val="FootnoteReference"/>
          <w:sz w:val="24"/>
        </w:rPr>
        <w:footnoteReference w:id="5"/>
      </w:r>
    </w:p>
    <w:p w14:paraId="2244778D" w14:textId="77777777" w:rsidR="00170BEE" w:rsidRPr="000F2BC4" w:rsidRDefault="000F2BC4" w:rsidP="000F2BC4">
      <w:pPr>
        <w:pStyle w:val="First-LevelSubheading"/>
      </w:pPr>
      <w:r>
        <w:t xml:space="preserve">Proposed Amendment to Territorial Agreement </w:t>
      </w:r>
    </w:p>
    <w:p w14:paraId="37AB26DA" w14:textId="0FBE91E0" w:rsidR="000B0DD2" w:rsidRDefault="000B26F0" w:rsidP="00330EF6">
      <w:pPr>
        <w:pStyle w:val="BodyText"/>
        <w:spacing w:after="0"/>
      </w:pPr>
      <w:r w:rsidRPr="00887181">
        <w:t>FPUC</w:t>
      </w:r>
      <w:r w:rsidR="00C31440" w:rsidRPr="00887181">
        <w:t xml:space="preserve"> and Peoples began territorial agreement </w:t>
      </w:r>
      <w:r w:rsidR="002E347F" w:rsidRPr="00887181">
        <w:t xml:space="preserve">discussions </w:t>
      </w:r>
      <w:r w:rsidR="00CB1F0C" w:rsidRPr="00887181">
        <w:t>after</w:t>
      </w:r>
      <w:r w:rsidR="00C31440" w:rsidRPr="00887181">
        <w:t xml:space="preserve"> </w:t>
      </w:r>
      <w:r w:rsidR="00887181" w:rsidRPr="00887181">
        <w:t xml:space="preserve">a </w:t>
      </w:r>
      <w:r w:rsidR="00D65F9B" w:rsidRPr="00887181">
        <w:t>developer announced</w:t>
      </w:r>
      <w:r w:rsidR="00CB1F0C" w:rsidRPr="00887181">
        <w:t xml:space="preserve"> </w:t>
      </w:r>
      <w:r w:rsidR="00C31440" w:rsidRPr="00887181">
        <w:t>plans for a commercial complex</w:t>
      </w:r>
      <w:r w:rsidR="00CB1F0C" w:rsidRPr="00887181">
        <w:t xml:space="preserve"> in Service Area B</w:t>
      </w:r>
      <w:r w:rsidR="00C31440" w:rsidRPr="00887181">
        <w:t>.</w:t>
      </w:r>
      <w:r w:rsidR="00C31440">
        <w:t xml:space="preserve"> </w:t>
      </w:r>
      <w:r w:rsidR="000D4870">
        <w:t>Th</w:t>
      </w:r>
      <w:r w:rsidR="009505B0">
        <w:t>e</w:t>
      </w:r>
      <w:r w:rsidR="000D4870">
        <w:t xml:space="preserve"> previously undeveloped parcel </w:t>
      </w:r>
      <w:r w:rsidR="009505B0">
        <w:t xml:space="preserve">of land in FPUC’s service territory </w:t>
      </w:r>
      <w:r w:rsidR="00CB1F0C" w:rsidRPr="00887181">
        <w:t>is</w:t>
      </w:r>
      <w:r w:rsidR="009505B0" w:rsidRPr="00887181">
        <w:t xml:space="preserve"> </w:t>
      </w:r>
      <w:r w:rsidR="00BE5C7B" w:rsidRPr="00887181">
        <w:t>located geographically</w:t>
      </w:r>
      <w:r w:rsidR="00BE5C7B">
        <w:t xml:space="preserve"> </w:t>
      </w:r>
      <w:r w:rsidR="009505B0">
        <w:t>a considerable distance</w:t>
      </w:r>
      <w:r w:rsidR="00CB1F0C">
        <w:t xml:space="preserve"> </w:t>
      </w:r>
      <w:r w:rsidR="009505B0">
        <w:t>from the company’s existing natural gas facilities, but very close to existing facilities operated by Peoples. The</w:t>
      </w:r>
      <w:r w:rsidR="0055439A">
        <w:t xml:space="preserve"> p</w:t>
      </w:r>
      <w:r w:rsidR="009505B0">
        <w:t>roposed Amendm</w:t>
      </w:r>
      <w:r w:rsidR="0055439A">
        <w:t>ent No. 1 will facilitate serving the</w:t>
      </w:r>
      <w:r w:rsidR="000D4870">
        <w:t xml:space="preserve"> new commercial development within the geographic area described in </w:t>
      </w:r>
      <w:r w:rsidR="00B661AF">
        <w:t>Amendment No. 1 – Exhibit A as S</w:t>
      </w:r>
      <w:r w:rsidR="000D4870">
        <w:t>ervice Area B (Attachment A).</w:t>
      </w:r>
      <w:r>
        <w:t xml:space="preserve"> </w:t>
      </w:r>
      <w:r w:rsidR="00AD3BCA">
        <w:t>Service Area B is about 12,212 acres in size, and t</w:t>
      </w:r>
      <w:r w:rsidR="00A02881">
        <w:t>he new commercial developme</w:t>
      </w:r>
      <w:r w:rsidR="00330EF6">
        <w:t xml:space="preserve">nt is projected to </w:t>
      </w:r>
      <w:r w:rsidR="00C46283">
        <w:t xml:space="preserve">include a grocery store and other retail outparcels </w:t>
      </w:r>
      <w:r w:rsidR="00BE6B00">
        <w:t>totaling</w:t>
      </w:r>
      <w:r w:rsidR="00C46283">
        <w:t xml:space="preserve"> about 60,000 square feet. </w:t>
      </w:r>
      <w:r w:rsidR="00C43DDB">
        <w:t>The j</w:t>
      </w:r>
      <w:r w:rsidR="009F0B26">
        <w:t>oint petitioners assert that i</w:t>
      </w:r>
      <w:r w:rsidR="00C46283">
        <w:t xml:space="preserve">n </w:t>
      </w:r>
      <w:r w:rsidR="00CC69C8">
        <w:t>the nex</w:t>
      </w:r>
      <w:r w:rsidR="00C46283">
        <w:t>t</w:t>
      </w:r>
      <w:r w:rsidR="00CC69C8">
        <w:t xml:space="preserve"> 5 to 10 years, </w:t>
      </w:r>
      <w:r w:rsidR="00AD3BCA">
        <w:t xml:space="preserve">further development </w:t>
      </w:r>
      <w:r w:rsidR="005F0A7F">
        <w:t>within</w:t>
      </w:r>
      <w:r w:rsidR="000B0DD2">
        <w:t xml:space="preserve"> the </w:t>
      </w:r>
      <w:r w:rsidR="005F0A7F" w:rsidRPr="005F0A7F">
        <w:t>Service Area B</w:t>
      </w:r>
      <w:r w:rsidR="000B0DD2">
        <w:t xml:space="preserve"> </w:t>
      </w:r>
      <w:r w:rsidR="00CC69C8">
        <w:t>could</w:t>
      </w:r>
      <w:r w:rsidR="00A02881">
        <w:t xml:space="preserve"> </w:t>
      </w:r>
      <w:r w:rsidR="000B0DD2">
        <w:t xml:space="preserve">result in </w:t>
      </w:r>
      <w:r w:rsidR="00CC69C8">
        <w:t xml:space="preserve">up to </w:t>
      </w:r>
      <w:r w:rsidR="0048294D">
        <w:t>1,000 new residential and commercial c</w:t>
      </w:r>
      <w:r w:rsidR="00A97D12">
        <w:t>ustomers</w:t>
      </w:r>
      <w:r w:rsidR="00CC69C8">
        <w:t>.</w:t>
      </w:r>
      <w:r w:rsidR="009F0B26" w:rsidRPr="008E4EBA">
        <w:rPr>
          <w:rStyle w:val="FootnoteReference"/>
          <w:sz w:val="20"/>
          <w:szCs w:val="20"/>
        </w:rPr>
        <w:footnoteReference w:id="6"/>
      </w:r>
      <w:r w:rsidR="00A02881">
        <w:t xml:space="preserve"> </w:t>
      </w:r>
    </w:p>
    <w:p w14:paraId="3BFE4FBD" w14:textId="77777777" w:rsidR="000B0DD2" w:rsidRDefault="000B0DD2" w:rsidP="00330EF6">
      <w:pPr>
        <w:pStyle w:val="BodyText"/>
        <w:spacing w:after="0"/>
      </w:pPr>
    </w:p>
    <w:p w14:paraId="2645D7A2" w14:textId="77777777" w:rsidR="006C1D05" w:rsidRDefault="0055439A" w:rsidP="00330EF6">
      <w:pPr>
        <w:pStyle w:val="BodyText"/>
        <w:spacing w:after="0"/>
      </w:pPr>
      <w:r>
        <w:t xml:space="preserve">FPUC determined </w:t>
      </w:r>
      <w:r w:rsidR="000B26F0">
        <w:t>that it</w:t>
      </w:r>
      <w:r w:rsidR="00A02881">
        <w:t xml:space="preserve">s nearest facilities to Service Area B </w:t>
      </w:r>
      <w:r w:rsidR="00887181">
        <w:t>are</w:t>
      </w:r>
      <w:r w:rsidR="009357E2">
        <w:t xml:space="preserve"> </w:t>
      </w:r>
      <w:r w:rsidR="00A02881">
        <w:t xml:space="preserve">approximately </w:t>
      </w:r>
      <w:r w:rsidR="00330EF6">
        <w:t>24</w:t>
      </w:r>
      <w:r w:rsidR="00A02881">
        <w:t xml:space="preserve"> miles</w:t>
      </w:r>
      <w:r w:rsidR="000B26F0">
        <w:t xml:space="preserve"> </w:t>
      </w:r>
      <w:r w:rsidR="00A02881">
        <w:t>away</w:t>
      </w:r>
      <w:r w:rsidR="00A97D12">
        <w:t xml:space="preserve"> in Plant City</w:t>
      </w:r>
      <w:r w:rsidR="00CC69C8">
        <w:t>.</w:t>
      </w:r>
      <w:r w:rsidR="006A650E" w:rsidRPr="0011562B">
        <w:rPr>
          <w:rStyle w:val="FootnoteReference"/>
          <w:sz w:val="24"/>
        </w:rPr>
        <w:footnoteReference w:id="7"/>
      </w:r>
      <w:r w:rsidR="00A02881">
        <w:t xml:space="preserve"> </w:t>
      </w:r>
      <w:r w:rsidR="00CC69C8">
        <w:t xml:space="preserve">The utility asserted that </w:t>
      </w:r>
      <w:r w:rsidR="00A02881">
        <w:t>construct</w:t>
      </w:r>
      <w:r w:rsidR="000B26F0">
        <w:t>i</w:t>
      </w:r>
      <w:r w:rsidR="00A02881">
        <w:t>on of new facilities</w:t>
      </w:r>
      <w:r w:rsidR="00CC69C8">
        <w:t xml:space="preserve"> from its existing facilities in Plant City</w:t>
      </w:r>
      <w:r w:rsidR="00A02881">
        <w:t xml:space="preserve"> to </w:t>
      </w:r>
      <w:r w:rsidR="00B5736F">
        <w:t>Service</w:t>
      </w:r>
      <w:r w:rsidR="006C1D05">
        <w:t xml:space="preserve"> Area B would cost </w:t>
      </w:r>
      <w:r w:rsidR="00330EF6">
        <w:t>several million dollars</w:t>
      </w:r>
      <w:r w:rsidR="006C1D05">
        <w:t xml:space="preserve">. </w:t>
      </w:r>
      <w:r w:rsidR="00CC69C8">
        <w:t xml:space="preserve">Although a specific estimate was not developed, </w:t>
      </w:r>
      <w:r w:rsidR="006C1D05">
        <w:t>FPUC determined it wa</w:t>
      </w:r>
      <w:r w:rsidR="000B26F0">
        <w:t>s u</w:t>
      </w:r>
      <w:r w:rsidR="004D2AD1">
        <w:t xml:space="preserve">nable to extend service to </w:t>
      </w:r>
      <w:r w:rsidR="000B26F0">
        <w:t>the development economically</w:t>
      </w:r>
      <w:r w:rsidR="006C1D05">
        <w:t xml:space="preserve">, and thus pursued the territorial modifications </w:t>
      </w:r>
      <w:r w:rsidR="00B5736F">
        <w:t xml:space="preserve">set forth </w:t>
      </w:r>
      <w:r w:rsidR="006C1D05">
        <w:t>in this p</w:t>
      </w:r>
      <w:r w:rsidR="00A97D12">
        <w:t>etition</w:t>
      </w:r>
      <w:r w:rsidR="000B26F0">
        <w:t xml:space="preserve">. </w:t>
      </w:r>
    </w:p>
    <w:p w14:paraId="606E30C0" w14:textId="77777777" w:rsidR="006C1D05" w:rsidRDefault="006C1D05" w:rsidP="00330EF6">
      <w:pPr>
        <w:pStyle w:val="BodyText"/>
        <w:spacing w:after="0"/>
      </w:pPr>
    </w:p>
    <w:p w14:paraId="7E5119DA" w14:textId="77777777" w:rsidR="00D76B52" w:rsidRDefault="00CC69C8" w:rsidP="00330EF6">
      <w:pPr>
        <w:pStyle w:val="BodyText"/>
        <w:spacing w:after="0"/>
      </w:pPr>
      <w:r>
        <w:t>Peoples, on the other hand, has</w:t>
      </w:r>
      <w:r w:rsidR="00D76B52">
        <w:t xml:space="preserve"> natural gas facilities about 32</w:t>
      </w:r>
      <w:r>
        <w:t>0 feet away from Service Area B</w:t>
      </w:r>
      <w:r w:rsidR="00D76B52">
        <w:t xml:space="preserve"> on County Road 577 (Curley Road). </w:t>
      </w:r>
      <w:r w:rsidR="00A97D12">
        <w:t xml:space="preserve">To provide natural gas services to Service Area B, Peoples </w:t>
      </w:r>
      <w:r w:rsidR="00BE5C7B" w:rsidRPr="00887181">
        <w:t>would</w:t>
      </w:r>
      <w:r w:rsidR="00BE5C7B">
        <w:t xml:space="preserve"> </w:t>
      </w:r>
      <w:r w:rsidR="00A97D12">
        <w:t xml:space="preserve">need to </w:t>
      </w:r>
      <w:r w:rsidR="00D6053F">
        <w:t>construct</w:t>
      </w:r>
      <w:r w:rsidR="00A97D12">
        <w:t xml:space="preserve"> </w:t>
      </w:r>
      <w:r w:rsidR="00330EF6">
        <w:t>170 linear feet</w:t>
      </w:r>
      <w:r w:rsidR="00B5736F">
        <w:t xml:space="preserve"> </w:t>
      </w:r>
      <w:r w:rsidR="00330EF6">
        <w:t>of main</w:t>
      </w:r>
      <w:r w:rsidR="00D6053F">
        <w:t xml:space="preserve"> lines,</w:t>
      </w:r>
      <w:r w:rsidR="00330EF6">
        <w:t xml:space="preserve"> 150 linear feet of service line</w:t>
      </w:r>
      <w:r w:rsidR="00D6053F">
        <w:t>s</w:t>
      </w:r>
      <w:r w:rsidR="00F765D9">
        <w:t>,</w:t>
      </w:r>
      <w:r w:rsidR="00D6053F">
        <w:t xml:space="preserve"> and </w:t>
      </w:r>
      <w:r w:rsidR="00D76B52">
        <w:t>a</w:t>
      </w:r>
      <w:r w:rsidR="00D6053F">
        <w:t xml:space="preserve"> distinct regulator station</w:t>
      </w:r>
      <w:r w:rsidR="00F765D9">
        <w:t xml:space="preserve">, </w:t>
      </w:r>
      <w:r w:rsidR="00BE5C7B" w:rsidRPr="00887181">
        <w:t xml:space="preserve">which </w:t>
      </w:r>
      <w:r w:rsidR="00CB4940" w:rsidRPr="00887181">
        <w:t>Peoples estimate would</w:t>
      </w:r>
      <w:r w:rsidR="00CB4940">
        <w:t xml:space="preserve"> </w:t>
      </w:r>
      <w:r w:rsidR="00D6053F">
        <w:t xml:space="preserve">cost </w:t>
      </w:r>
      <w:r w:rsidR="00330EF6">
        <w:t>$105,000</w:t>
      </w:r>
      <w:r w:rsidR="00D76B52">
        <w:t>.</w:t>
      </w:r>
      <w:r w:rsidR="006A650E" w:rsidRPr="0011562B">
        <w:rPr>
          <w:rStyle w:val="FootnoteReference"/>
          <w:sz w:val="24"/>
        </w:rPr>
        <w:footnoteReference w:id="8"/>
      </w:r>
      <w:r w:rsidR="00B5736F">
        <w:t xml:space="preserve"> </w:t>
      </w:r>
      <w:r w:rsidR="00CB4940" w:rsidRPr="00887181">
        <w:t xml:space="preserve">Based on the </w:t>
      </w:r>
      <w:r w:rsidR="00CB4940" w:rsidRPr="00887181">
        <w:lastRenderedPageBreak/>
        <w:t>comparative difference in the amount of required infrastructure,</w:t>
      </w:r>
      <w:r w:rsidR="00CB4940">
        <w:t xml:space="preserve"> </w:t>
      </w:r>
      <w:r w:rsidR="00B5736F">
        <w:t xml:space="preserve">Peoples </w:t>
      </w:r>
      <w:r w:rsidR="00F765D9">
        <w:t xml:space="preserve">can </w:t>
      </w:r>
      <w:r w:rsidR="00B5736F">
        <w:t xml:space="preserve">more economically </w:t>
      </w:r>
      <w:r w:rsidR="000B26F0">
        <w:t xml:space="preserve">serve the commercial development </w:t>
      </w:r>
      <w:r w:rsidR="00B5736F">
        <w:t>than FPUC</w:t>
      </w:r>
      <w:r w:rsidR="00F765D9">
        <w:t xml:space="preserve"> and is willing to do so</w:t>
      </w:r>
      <w:r w:rsidR="00B5736F">
        <w:t>.</w:t>
      </w:r>
      <w:r w:rsidR="000B26F0">
        <w:t xml:space="preserve"> </w:t>
      </w:r>
    </w:p>
    <w:p w14:paraId="0859B3D0" w14:textId="77777777" w:rsidR="00E4211E" w:rsidRDefault="00E4211E" w:rsidP="00330EF6">
      <w:pPr>
        <w:pStyle w:val="BodyText"/>
        <w:spacing w:after="0"/>
      </w:pPr>
    </w:p>
    <w:p w14:paraId="7453F086" w14:textId="247EB17F" w:rsidR="008F7241" w:rsidRDefault="000B26F0" w:rsidP="00330EF6">
      <w:pPr>
        <w:pStyle w:val="BodyText"/>
        <w:spacing w:after="0"/>
      </w:pPr>
      <w:r>
        <w:t xml:space="preserve">Pursuant to Paragraphs 3.D. and 3.E. of the Master Agreement, the </w:t>
      </w:r>
      <w:r w:rsidR="000B0DD2">
        <w:t>joint p</w:t>
      </w:r>
      <w:r>
        <w:t>etitioners have entered into Amendment No</w:t>
      </w:r>
      <w:r w:rsidRPr="00887181">
        <w:t>. 1 which</w:t>
      </w:r>
      <w:r w:rsidR="008B5D32" w:rsidRPr="00887181">
        <w:t>,</w:t>
      </w:r>
      <w:r w:rsidRPr="00887181">
        <w:t xml:space="preserve"> </w:t>
      </w:r>
      <w:r w:rsidR="008B5D32" w:rsidRPr="00887181">
        <w:t xml:space="preserve">if approved, would </w:t>
      </w:r>
      <w:r w:rsidRPr="00887181">
        <w:t xml:space="preserve">transfer </w:t>
      </w:r>
      <w:r w:rsidR="00A97D12" w:rsidRPr="00887181">
        <w:t>Service Area B</w:t>
      </w:r>
      <w:r w:rsidRPr="00887181">
        <w:t xml:space="preserve"> from FPUC to Peoples.</w:t>
      </w:r>
      <w:r w:rsidR="009505B0" w:rsidRPr="00887181">
        <w:rPr>
          <w:rStyle w:val="FootnoteReference"/>
          <w:sz w:val="20"/>
          <w:szCs w:val="20"/>
        </w:rPr>
        <w:footnoteReference w:id="9"/>
      </w:r>
      <w:r w:rsidRPr="00887181">
        <w:t xml:space="preserve"> </w:t>
      </w:r>
      <w:r w:rsidR="00A97D12" w:rsidRPr="00887181">
        <w:t xml:space="preserve">Pursuant </w:t>
      </w:r>
      <w:r w:rsidR="00B41629" w:rsidRPr="00887181">
        <w:t xml:space="preserve">to Paragraph 5 of Amendment No. 1, the </w:t>
      </w:r>
      <w:r w:rsidR="003B5FAE" w:rsidRPr="00887181">
        <w:t xml:space="preserve">terms and conditions of the </w:t>
      </w:r>
      <w:r w:rsidR="00E4211E">
        <w:t xml:space="preserve">Pasco </w:t>
      </w:r>
      <w:r w:rsidR="00F66931" w:rsidRPr="00887181">
        <w:t xml:space="preserve"> </w:t>
      </w:r>
      <w:r w:rsidR="00E4211E">
        <w:t>A</w:t>
      </w:r>
      <w:r w:rsidR="00BE6B00" w:rsidRPr="00887181">
        <w:t>greement</w:t>
      </w:r>
      <w:r w:rsidR="00F66931" w:rsidRPr="00887181">
        <w:t xml:space="preserve"> </w:t>
      </w:r>
      <w:r w:rsidR="00B41629" w:rsidRPr="00887181">
        <w:t>w</w:t>
      </w:r>
      <w:r w:rsidR="008B5D32" w:rsidRPr="00887181">
        <w:t>ould</w:t>
      </w:r>
      <w:r w:rsidR="00B41629" w:rsidRPr="00887181">
        <w:t xml:space="preserve"> remain unchanged </w:t>
      </w:r>
      <w:r w:rsidR="003B5FAE" w:rsidRPr="00887181">
        <w:t>going forward</w:t>
      </w:r>
      <w:r w:rsidR="00B41629" w:rsidRPr="00887181">
        <w:t xml:space="preserve">. </w:t>
      </w:r>
      <w:r w:rsidR="008F7241" w:rsidRPr="00887181">
        <w:t xml:space="preserve">Prior to the second anniversary of the Commission’s approval of </w:t>
      </w:r>
      <w:r w:rsidR="008B5D32" w:rsidRPr="00887181">
        <w:t>Amendment No. 1</w:t>
      </w:r>
      <w:r w:rsidR="008F7241">
        <w:t>, and no more frequently than every five years thereafter, Peoples and FPUC will confer regarding the status of</w:t>
      </w:r>
      <w:r w:rsidR="00E83D14">
        <w:t xml:space="preserve"> the amendment</w:t>
      </w:r>
      <w:r w:rsidR="008F7241">
        <w:t>.</w:t>
      </w:r>
    </w:p>
    <w:p w14:paraId="533F4D33" w14:textId="77777777" w:rsidR="00B5736F" w:rsidRDefault="00B5736F" w:rsidP="00330EF6">
      <w:pPr>
        <w:pStyle w:val="BodyText"/>
        <w:spacing w:after="0"/>
      </w:pPr>
    </w:p>
    <w:p w14:paraId="3E817592" w14:textId="4CB03D7F" w:rsidR="00B5736F" w:rsidRDefault="008F7241" w:rsidP="008F7241">
      <w:pPr>
        <w:autoSpaceDE w:val="0"/>
        <w:autoSpaceDN w:val="0"/>
        <w:adjustRightInd w:val="0"/>
        <w:jc w:val="both"/>
      </w:pPr>
      <w:r>
        <w:t xml:space="preserve">The joint petitioners state </w:t>
      </w:r>
      <w:r w:rsidR="00286AA8">
        <w:t xml:space="preserve">that </w:t>
      </w:r>
      <w:r>
        <w:t xml:space="preserve">the approval and implementation of Amendment No. 1 will not cause a decrease in the </w:t>
      </w:r>
      <w:r w:rsidR="005F4DDC">
        <w:t>availability</w:t>
      </w:r>
      <w:r>
        <w:t xml:space="preserve"> or </w:t>
      </w:r>
      <w:r w:rsidR="005F4DDC">
        <w:t>reliability</w:t>
      </w:r>
      <w:r>
        <w:t xml:space="preserve"> of natural gas service provided by either entity, or to the existing or future ratepayers of either entity, consistent with the </w:t>
      </w:r>
      <w:r w:rsidR="005F4DDC">
        <w:t>standards</w:t>
      </w:r>
      <w:r>
        <w:t xml:space="preserve"> set forth in Section 366.04, </w:t>
      </w:r>
      <w:r w:rsidR="007166FA">
        <w:t>F.S.</w:t>
      </w:r>
      <w:r>
        <w:t>, and Rule 25-7.0</w:t>
      </w:r>
      <w:r w:rsidR="000B26F0">
        <w:t>4</w:t>
      </w:r>
      <w:r>
        <w:t>71</w:t>
      </w:r>
      <w:r w:rsidR="008137F9">
        <w:t>(2)(c)</w:t>
      </w:r>
      <w:r w:rsidR="00F0668F">
        <w:t xml:space="preserve">, </w:t>
      </w:r>
      <w:r w:rsidR="007166FA">
        <w:t>F.A.C.</w:t>
      </w:r>
      <w:r w:rsidR="00F0668F">
        <w:t>.</w:t>
      </w:r>
      <w:r w:rsidR="00F0668F" w:rsidRPr="00784DF0">
        <w:rPr>
          <w:rStyle w:val="FootnoteReference"/>
          <w:sz w:val="20"/>
          <w:szCs w:val="20"/>
        </w:rPr>
        <w:footnoteReference w:id="10"/>
      </w:r>
      <w:r w:rsidR="004A0B79">
        <w:t xml:space="preserve"> </w:t>
      </w:r>
      <w:r>
        <w:t>As stated in paragraph 6</w:t>
      </w:r>
      <w:r w:rsidR="0036300D">
        <w:t xml:space="preserve"> of the petition</w:t>
      </w:r>
      <w:r>
        <w:t xml:space="preserve">, approval of </w:t>
      </w:r>
      <w:r w:rsidRPr="00170BEE">
        <w:t>Amendment No. 1 will enable as many residential and business customers in Pasco County as possible to receive economical and reliable natural gas service and will not necessitate the transfer of any existing customers or facili</w:t>
      </w:r>
      <w:r w:rsidR="003A3876">
        <w:t>ties between the joint p</w:t>
      </w:r>
      <w:r>
        <w:t xml:space="preserve">etitioners. </w:t>
      </w:r>
      <w:r w:rsidR="00F00D07">
        <w:t xml:space="preserve">Moreover, as </w:t>
      </w:r>
      <w:r w:rsidR="001A17BA">
        <w:t>stated</w:t>
      </w:r>
      <w:r w:rsidR="00F00D07">
        <w:t xml:space="preserve"> in paragraph 6, a</w:t>
      </w:r>
      <w:r w:rsidRPr="00170BEE">
        <w:t>bsent the subject amendment, certain customers in Pasco County would be unable to obtain natural gas service; thus, the approval of Amendment No. 1 would be in the public interest.</w:t>
      </w:r>
    </w:p>
    <w:p w14:paraId="078825EE" w14:textId="77777777" w:rsidR="00170BEE" w:rsidRPr="004467B1" w:rsidRDefault="00170BEE" w:rsidP="008F7241">
      <w:pPr>
        <w:autoSpaceDE w:val="0"/>
        <w:autoSpaceDN w:val="0"/>
        <w:adjustRightInd w:val="0"/>
        <w:jc w:val="both"/>
        <w:rPr>
          <w:rFonts w:ascii="Arial" w:hAnsi="Arial" w:cs="Arial"/>
        </w:rPr>
      </w:pPr>
    </w:p>
    <w:p w14:paraId="0D23BE4E" w14:textId="77777777" w:rsidR="004467B1" w:rsidRDefault="004467B1" w:rsidP="004467B1">
      <w:pPr>
        <w:pStyle w:val="First-LevelSubheading"/>
      </w:pPr>
      <w:r>
        <w:t>Rule Considerations</w:t>
      </w:r>
    </w:p>
    <w:p w14:paraId="2F487B92" w14:textId="77777777" w:rsidR="006471FC" w:rsidRDefault="00170BEE" w:rsidP="008137F9">
      <w:pPr>
        <w:autoSpaceDE w:val="0"/>
        <w:autoSpaceDN w:val="0"/>
        <w:adjustRightInd w:val="0"/>
        <w:jc w:val="both"/>
      </w:pPr>
      <w:r>
        <w:t>Rule 25-7.0471(2)</w:t>
      </w:r>
      <w:r w:rsidR="006471FC">
        <w:t>, F.A.C., addresses the standards the Commission should consider for approving territorial agreements</w:t>
      </w:r>
      <w:r w:rsidR="00DC4038">
        <w:t xml:space="preserve"> for natural gas utilities</w:t>
      </w:r>
      <w:r w:rsidR="006471FC">
        <w:t xml:space="preserve">. The Rule states: </w:t>
      </w:r>
    </w:p>
    <w:p w14:paraId="0AB96396" w14:textId="77777777" w:rsidR="006471FC" w:rsidRDefault="006471FC" w:rsidP="008137F9">
      <w:pPr>
        <w:autoSpaceDE w:val="0"/>
        <w:autoSpaceDN w:val="0"/>
        <w:adjustRightInd w:val="0"/>
        <w:jc w:val="both"/>
      </w:pPr>
    </w:p>
    <w:p w14:paraId="052E3947" w14:textId="77777777" w:rsidR="006471FC" w:rsidRPr="00330EF6" w:rsidRDefault="006471FC" w:rsidP="00330EF6">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(2) Standards for Approval. In approving territorial agreements, the Commission shall consider:</w:t>
      </w:r>
    </w:p>
    <w:p w14:paraId="59580CB8" w14:textId="77777777" w:rsidR="006471FC" w:rsidRPr="00330EF6" w:rsidRDefault="006471FC" w:rsidP="00330EF6">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(a) The reasonableness of the purchase price of any facilities being transferred;</w:t>
      </w:r>
    </w:p>
    <w:p w14:paraId="21ECC3F7" w14:textId="77777777" w:rsidR="006471FC" w:rsidRPr="00330EF6" w:rsidRDefault="006471FC" w:rsidP="00330EF6">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(b) The reasonable likelihood that the agreement, in and of itself, will not cause a decrease in the reliability of natural gas service to the existing or future ratepayers of any utility party to the agreement, and</w:t>
      </w:r>
    </w:p>
    <w:p w14:paraId="13269B66" w14:textId="77777777" w:rsidR="006471FC" w:rsidRPr="00330EF6" w:rsidRDefault="006471FC" w:rsidP="00330EF6">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(c) The reasonable likelihood that the agreement will eliminate existing or potential uneconomic duplication of facilities.</w:t>
      </w:r>
    </w:p>
    <w:p w14:paraId="4B24422A" w14:textId="77777777" w:rsidR="006471FC" w:rsidRPr="00330EF6" w:rsidRDefault="006471FC" w:rsidP="0036300D">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(d) Other relevant factors that may arise from the circumstances of a particular case.</w:t>
      </w:r>
    </w:p>
    <w:p w14:paraId="490B223E" w14:textId="77777777" w:rsidR="006471FC" w:rsidRDefault="006471FC" w:rsidP="008137F9">
      <w:pPr>
        <w:autoSpaceDE w:val="0"/>
        <w:autoSpaceDN w:val="0"/>
        <w:adjustRightInd w:val="0"/>
        <w:jc w:val="both"/>
      </w:pPr>
    </w:p>
    <w:p w14:paraId="4B2D8E52" w14:textId="20340E6D" w:rsidR="007F6988" w:rsidRDefault="00F83903" w:rsidP="008137F9">
      <w:pPr>
        <w:autoSpaceDE w:val="0"/>
        <w:autoSpaceDN w:val="0"/>
        <w:adjustRightInd w:val="0"/>
        <w:jc w:val="both"/>
      </w:pPr>
      <w:r>
        <w:t>In its review, staff considered</w:t>
      </w:r>
      <w:r w:rsidR="00F55449">
        <w:t xml:space="preserve"> each component of Rule 25-7.0471(2), F.A.C. </w:t>
      </w:r>
      <w:r w:rsidR="003B43FD">
        <w:t>Regarding paragraph (2)(a), s</w:t>
      </w:r>
      <w:r w:rsidR="00DC4038">
        <w:t xml:space="preserve">taff notes </w:t>
      </w:r>
      <w:r w:rsidR="003B43FD">
        <w:t xml:space="preserve">that </w:t>
      </w:r>
      <w:r w:rsidR="00F44710">
        <w:t xml:space="preserve">FPUC agreed to transfer the </w:t>
      </w:r>
      <w:r w:rsidR="00BE6B00">
        <w:t>pertinent</w:t>
      </w:r>
      <w:r w:rsidR="00F44710">
        <w:t xml:space="preserve"> area </w:t>
      </w:r>
      <w:r w:rsidR="0036300D">
        <w:t>to Peoples without compensation</w:t>
      </w:r>
      <w:r w:rsidR="00DC4038">
        <w:t xml:space="preserve">, which staff believes </w:t>
      </w:r>
      <w:r w:rsidR="003B43FD">
        <w:t>is reasonable because no facilities are being transferred.</w:t>
      </w:r>
      <w:r w:rsidR="00D44E44" w:rsidRPr="00A3007D">
        <w:rPr>
          <w:rStyle w:val="FootnoteReference"/>
          <w:sz w:val="24"/>
        </w:rPr>
        <w:footnoteReference w:id="11"/>
      </w:r>
      <w:r w:rsidR="00F44710" w:rsidRPr="00A3007D">
        <w:t xml:space="preserve"> </w:t>
      </w:r>
      <w:r w:rsidR="00DA4671">
        <w:t xml:space="preserve">Regarding </w:t>
      </w:r>
      <w:r w:rsidR="00641492">
        <w:t xml:space="preserve">paragraph </w:t>
      </w:r>
      <w:r w:rsidR="00DA4671">
        <w:t>(2)(b)</w:t>
      </w:r>
      <w:r w:rsidR="00641492">
        <w:t>,</w:t>
      </w:r>
      <w:r w:rsidR="00AE4B15">
        <w:t xml:space="preserve"> the joint petitioners’ </w:t>
      </w:r>
      <w:r w:rsidR="009A4309">
        <w:t xml:space="preserve">have </w:t>
      </w:r>
      <w:r w:rsidR="00F55449">
        <w:t>confirm</w:t>
      </w:r>
      <w:r w:rsidR="009A4309">
        <w:t>ed</w:t>
      </w:r>
      <w:r w:rsidR="00F55449">
        <w:t xml:space="preserve"> that </w:t>
      </w:r>
      <w:r w:rsidR="00087A12">
        <w:t>the availability and reliability of service to existing or future customers w</w:t>
      </w:r>
      <w:r w:rsidR="00166769">
        <w:t>ill</w:t>
      </w:r>
      <w:r w:rsidR="00087A12">
        <w:t xml:space="preserve"> not be decreased for either petitioner. </w:t>
      </w:r>
      <w:r w:rsidR="009A4309">
        <w:t>The j</w:t>
      </w:r>
      <w:r w:rsidR="00E46A89">
        <w:t xml:space="preserve">oint petitioners verified that </w:t>
      </w:r>
      <w:r w:rsidR="0036300D">
        <w:t xml:space="preserve">there are no natural gas facilities </w:t>
      </w:r>
      <w:r w:rsidR="00E46A89">
        <w:t>in Service Area B, and that construction would be necessary to service that geographic area.</w:t>
      </w:r>
      <w:r w:rsidR="00F7665E" w:rsidRPr="00865FFF">
        <w:rPr>
          <w:rStyle w:val="FootnoteReference"/>
          <w:sz w:val="24"/>
        </w:rPr>
        <w:footnoteReference w:id="12"/>
      </w:r>
      <w:r w:rsidR="00E46A89">
        <w:t xml:space="preserve"> </w:t>
      </w:r>
      <w:r w:rsidR="00641492">
        <w:t xml:space="preserve">Paragraph </w:t>
      </w:r>
      <w:r w:rsidR="00DA4671">
        <w:t>(2)(c) has been appropriately considered because</w:t>
      </w:r>
      <w:r w:rsidR="00D43999" w:rsidRPr="00F0024F">
        <w:t>,</w:t>
      </w:r>
      <w:r w:rsidR="008D6187" w:rsidRPr="00F0024F">
        <w:t xml:space="preserve"> </w:t>
      </w:r>
      <w:r w:rsidR="00166769" w:rsidRPr="00F0024F">
        <w:rPr>
          <w:noProof/>
          <w:color w:val="000000"/>
        </w:rPr>
        <w:t xml:space="preserve">under the </w:t>
      </w:r>
      <w:r w:rsidR="00D43999" w:rsidRPr="00F0024F">
        <w:rPr>
          <w:noProof/>
          <w:color w:val="000000"/>
        </w:rPr>
        <w:t>proposed</w:t>
      </w:r>
      <w:r w:rsidR="00E4211E">
        <w:rPr>
          <w:noProof/>
          <w:color w:val="000000"/>
        </w:rPr>
        <w:t xml:space="preserve"> territorial</w:t>
      </w:r>
      <w:r w:rsidR="00D43999" w:rsidRPr="00F0024F">
        <w:rPr>
          <w:noProof/>
          <w:color w:val="000000"/>
        </w:rPr>
        <w:t xml:space="preserve"> agreement, staff believes </w:t>
      </w:r>
      <w:r w:rsidR="002E57DF" w:rsidRPr="00F0024F">
        <w:rPr>
          <w:noProof/>
          <w:color w:val="000000"/>
        </w:rPr>
        <w:t>uneconomic duplication of facilities</w:t>
      </w:r>
      <w:r w:rsidR="005F0A7F" w:rsidRPr="00F0024F">
        <w:t xml:space="preserve"> </w:t>
      </w:r>
      <w:r w:rsidR="00D43999" w:rsidRPr="00F0024F">
        <w:t xml:space="preserve">would not occur because </w:t>
      </w:r>
      <w:r w:rsidR="005F0A7F" w:rsidRPr="00F0024F">
        <w:t>P</w:t>
      </w:r>
      <w:r w:rsidR="003952B3" w:rsidRPr="00F0024F">
        <w:t>eoples facilities are better positioned to serve the area economically and efficiently.</w:t>
      </w:r>
      <w:r w:rsidR="005F0A7F" w:rsidRPr="00F0024F">
        <w:rPr>
          <w:rStyle w:val="FootnoteReference"/>
          <w:sz w:val="24"/>
        </w:rPr>
        <w:footnoteReference w:id="13"/>
      </w:r>
      <w:r w:rsidR="005F0A7F" w:rsidRPr="00F0024F">
        <w:t xml:space="preserve"> </w:t>
      </w:r>
      <w:r w:rsidR="002445AD">
        <w:t xml:space="preserve">Staff believe </w:t>
      </w:r>
      <w:r w:rsidR="00641492">
        <w:t>paragraph</w:t>
      </w:r>
      <w:r w:rsidR="002445AD">
        <w:t>(2)(d)</w:t>
      </w:r>
      <w:r w:rsidR="00641492">
        <w:t xml:space="preserve"> </w:t>
      </w:r>
      <w:r w:rsidR="00E46A89" w:rsidRPr="00F0024F">
        <w:t>gives the Commission the flexibility to</w:t>
      </w:r>
      <w:r w:rsidR="00D43999" w:rsidRPr="00F0024F">
        <w:t xml:space="preserve"> address any other relevant</w:t>
      </w:r>
      <w:r w:rsidR="00E46A89" w:rsidRPr="00F0024F">
        <w:t xml:space="preserve"> concerns</w:t>
      </w:r>
      <w:r w:rsidR="00D43999" w:rsidRPr="00F0024F">
        <w:t xml:space="preserve"> that are case-specific</w:t>
      </w:r>
      <w:r w:rsidR="007F6988" w:rsidRPr="00F0024F">
        <w:t>.</w:t>
      </w:r>
      <w:r w:rsidR="009A4309" w:rsidRPr="00F0024F" w:rsidDel="009A4309">
        <w:t xml:space="preserve"> </w:t>
      </w:r>
      <w:r w:rsidR="009A4309" w:rsidRPr="00F0024F">
        <w:t>T</w:t>
      </w:r>
      <w:r w:rsidR="00D43999" w:rsidRPr="00F0024F">
        <w:t>he joint petitioners assert</w:t>
      </w:r>
      <w:r w:rsidR="00286AA8">
        <w:t xml:space="preserve"> that</w:t>
      </w:r>
      <w:r w:rsidR="00D43999" w:rsidRPr="00F0024F">
        <w:t xml:space="preserve"> </w:t>
      </w:r>
      <w:r w:rsidR="007F6988" w:rsidRPr="00F0024F">
        <w:t>there are non</w:t>
      </w:r>
      <w:r w:rsidR="007F6988">
        <w:t>e.</w:t>
      </w:r>
      <w:r w:rsidR="00087A12" w:rsidRPr="00865FFF">
        <w:rPr>
          <w:rStyle w:val="FootnoteReference"/>
          <w:sz w:val="24"/>
        </w:rPr>
        <w:footnoteReference w:id="14"/>
      </w:r>
      <w:r w:rsidR="007F6988">
        <w:t xml:space="preserve"> </w:t>
      </w:r>
    </w:p>
    <w:p w14:paraId="2DB9CBE9" w14:textId="77777777" w:rsidR="007F6988" w:rsidRDefault="007F6988" w:rsidP="008137F9">
      <w:pPr>
        <w:autoSpaceDE w:val="0"/>
        <w:autoSpaceDN w:val="0"/>
        <w:adjustRightInd w:val="0"/>
        <w:jc w:val="both"/>
      </w:pPr>
    </w:p>
    <w:p w14:paraId="32E987CA" w14:textId="7B6E8AB3" w:rsidR="00664222" w:rsidRDefault="00664222" w:rsidP="00664222">
      <w:pPr>
        <w:autoSpaceDE w:val="0"/>
        <w:autoSpaceDN w:val="0"/>
        <w:adjustRightInd w:val="0"/>
        <w:jc w:val="both"/>
      </w:pPr>
      <w:r>
        <w:t>Under Rule 25-7.0471(1)(e), F.A.C., a</w:t>
      </w:r>
      <w:r w:rsidRPr="00887181">
        <w:t xml:space="preserve"> proposed </w:t>
      </w:r>
      <w:r>
        <w:t xml:space="preserve">territorial </w:t>
      </w:r>
      <w:r w:rsidRPr="00887181">
        <w:t>agreement must provide information regarding the degree of acceptance by affected customers</w:t>
      </w:r>
      <w:r>
        <w:t>. Staff notes, however, that</w:t>
      </w:r>
      <w:r w:rsidRPr="00887181">
        <w:t xml:space="preserve"> in the instant case, </w:t>
      </w:r>
      <w:r>
        <w:t>there are no current customers and</w:t>
      </w:r>
      <w:r w:rsidRPr="00887181">
        <w:t xml:space="preserve"> </w:t>
      </w:r>
      <w:r>
        <w:t>under this proposed territorial agreement,</w:t>
      </w:r>
      <w:r w:rsidRPr="00887181">
        <w:rPr>
          <w:rFonts w:ascii="TimesNewRomanPSMT" w:hAnsi="TimesNewRomanPSMT" w:cs="TimesNewRomanPSMT"/>
        </w:rPr>
        <w:t xml:space="preserve"> no facility transfers </w:t>
      </w:r>
      <w:r>
        <w:rPr>
          <w:rFonts w:ascii="TimesNewRomanPSMT" w:hAnsi="TimesNewRomanPSMT" w:cs="TimesNewRomanPSMT"/>
        </w:rPr>
        <w:t xml:space="preserve">are </w:t>
      </w:r>
      <w:r w:rsidRPr="00887181">
        <w:rPr>
          <w:rFonts w:ascii="TimesNewRomanPSMT" w:hAnsi="TimesNewRomanPSMT" w:cs="TimesNewRomanPSMT"/>
        </w:rPr>
        <w:t>contemplated.</w:t>
      </w:r>
      <w:r>
        <w:t xml:space="preserve"> In addition, representatives from FPUC and Peoples have notified staff that the developer is aware of, and has no objection to</w:t>
      </w:r>
      <w:r w:rsidR="000906BF">
        <w:t>,</w:t>
      </w:r>
      <w:r>
        <w:t xml:space="preserve"> the proposed territorial agreement.</w:t>
      </w:r>
    </w:p>
    <w:p w14:paraId="19EF169C" w14:textId="77777777" w:rsidR="00330EF6" w:rsidRDefault="00330EF6" w:rsidP="00330EF6">
      <w:pPr>
        <w:pStyle w:val="IssueSubsectionHeading"/>
        <w:spacing w:after="0"/>
        <w:jc w:val="left"/>
        <w:rPr>
          <w:i w:val="0"/>
        </w:rPr>
      </w:pPr>
    </w:p>
    <w:p w14:paraId="04431539" w14:textId="77777777" w:rsidR="004467B1" w:rsidRDefault="004467B1" w:rsidP="004467B1">
      <w:pPr>
        <w:pStyle w:val="First-LevelSubheading"/>
      </w:pPr>
      <w:r>
        <w:t>Conclusion</w:t>
      </w:r>
    </w:p>
    <w:p w14:paraId="1C91E82D" w14:textId="77777777" w:rsidR="00B12EE2" w:rsidRPr="00887181" w:rsidRDefault="00561387" w:rsidP="00561387">
      <w:pPr>
        <w:pStyle w:val="BodyText"/>
        <w:spacing w:after="0"/>
      </w:pPr>
      <w:r>
        <w:rPr>
          <w:rFonts w:ascii="TimesNewRomanPSMT" w:hAnsi="TimesNewRomanPSMT" w:cs="TimesNewRomanPSMT"/>
        </w:rPr>
        <w:t>S</w:t>
      </w:r>
      <w:r w:rsidR="00B12EE2">
        <w:rPr>
          <w:rFonts w:ascii="TimesNewRomanPSMT" w:hAnsi="TimesNewRomanPSMT" w:cs="TimesNewRomanPSMT"/>
        </w:rPr>
        <w:t>taff recommends that the Commission approve</w:t>
      </w:r>
      <w:r w:rsidR="00B12EE2">
        <w:t xml:space="preserve"> </w:t>
      </w:r>
      <w:r w:rsidR="00F0024F">
        <w:t>the proposed Amendment No. 1, which transfers a portion of FPUC’s service territory to Peoples.</w:t>
      </w:r>
      <w:r w:rsidR="00F0024F" w:rsidRPr="00110AF3">
        <w:t xml:space="preserve"> </w:t>
      </w:r>
      <w:r w:rsidR="00F0024F" w:rsidRPr="003F5AF7">
        <w:t xml:space="preserve">The proposed Amendment No. 1 </w:t>
      </w:r>
      <w:r w:rsidR="00F0024F">
        <w:t>would</w:t>
      </w:r>
      <w:r w:rsidR="00F0024F" w:rsidRPr="003F5AF7">
        <w:t xml:space="preserve"> facilitate the provision of economical and reliable natural gas service by Peoples to residential and business customers in the </w:t>
      </w:r>
      <w:r w:rsidR="00F0024F">
        <w:t xml:space="preserve">proposed transfer </w:t>
      </w:r>
      <w:r w:rsidR="00F0024F" w:rsidRPr="003F5AF7">
        <w:t xml:space="preserve">area identified as Service Area B in Amendment No. 1 – Exhibit A, thereby </w:t>
      </w:r>
      <w:r w:rsidR="00F0024F" w:rsidRPr="003F5AF7">
        <w:rPr>
          <w:rFonts w:ascii="TimesNewRomanPSMT" w:hAnsi="TimesNewRomanPSMT" w:cs="TimesNewRomanPSMT"/>
        </w:rPr>
        <w:t>avoiding duplication of facilities and services.</w:t>
      </w:r>
    </w:p>
    <w:p w14:paraId="2484D03B" w14:textId="2DED3E5C" w:rsidR="00744415" w:rsidRDefault="00744415">
      <w:pPr>
        <w:pStyle w:val="IssueHeading"/>
        <w:rPr>
          <w:vanish/>
          <w:specVanish/>
        </w:rPr>
      </w:pPr>
      <w:r w:rsidRPr="004C3641">
        <w:rPr>
          <w:b w:val="0"/>
          <w:i w:val="0"/>
        </w:rPr>
        <w:br w:type="page"/>
      </w:r>
      <w:r w:rsidRPr="004C3641">
        <w:t xml:space="preserve">Issue </w:t>
      </w:r>
      <w:r w:rsidR="0037138F">
        <w:fldChar w:fldCharType="begin"/>
      </w:r>
      <w:r w:rsidR="0037138F">
        <w:instrText xml:space="preserve"> SEQ Issue \* MERGEFORMAT </w:instrText>
      </w:r>
      <w:r w:rsidR="0037138F">
        <w:fldChar w:fldCharType="separate"/>
      </w:r>
      <w:r w:rsidR="005E3C81">
        <w:rPr>
          <w:noProof/>
        </w:rPr>
        <w:t>2</w:t>
      </w:r>
      <w:r w:rsidR="0037138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E3C81">
        <w:rPr>
          <w:noProof/>
        </w:rPr>
        <w:instrText>2</w:instrText>
      </w:r>
      <w:r>
        <w:fldChar w:fldCharType="end"/>
      </w:r>
      <w:r>
        <w:tab/>
        <w:instrText xml:space="preserve">(Watrous)" \l 1 </w:instrText>
      </w:r>
      <w:r>
        <w:fldChar w:fldCharType="end"/>
      </w:r>
      <w:r>
        <w:t> </w:t>
      </w:r>
    </w:p>
    <w:p w14:paraId="16351EA9" w14:textId="77777777" w:rsidR="00744415" w:rsidRDefault="00744415">
      <w:pPr>
        <w:pStyle w:val="BodyText"/>
      </w:pPr>
      <w:r>
        <w:t> Should this docket be closed?</w:t>
      </w:r>
    </w:p>
    <w:p w14:paraId="0EE5E7DA" w14:textId="77777777" w:rsidR="00744415" w:rsidRPr="004C3641" w:rsidRDefault="00744415" w:rsidP="006854C7">
      <w:pPr>
        <w:pStyle w:val="IssueSubsectionHeading"/>
        <w:rPr>
          <w:vanish/>
          <w:specVanish/>
        </w:rPr>
      </w:pPr>
      <w:r w:rsidRPr="004C3641">
        <w:t>Recommendation: </w:t>
      </w:r>
    </w:p>
    <w:p w14:paraId="24FC615A" w14:textId="77777777" w:rsidR="00744415" w:rsidRDefault="006854C7" w:rsidP="004B28F8">
      <w:pPr>
        <w:autoSpaceDE w:val="0"/>
        <w:autoSpaceDN w:val="0"/>
        <w:adjustRightInd w:val="0"/>
        <w:jc w:val="both"/>
      </w:pPr>
      <w:r>
        <w:t xml:space="preserve"> </w:t>
      </w:r>
      <w:r w:rsidR="00744415">
        <w:t>If no protest is filed by a person whose substantial interests are affected</w:t>
      </w:r>
      <w:r w:rsidR="00ED273A">
        <w:t xml:space="preserve"> </w:t>
      </w:r>
      <w:r w:rsidR="00744415">
        <w:t>within 21 days of the issuance of the Order, this docket should be clos</w:t>
      </w:r>
      <w:r w:rsidR="004B28F8">
        <w:t xml:space="preserve">ed upon the issuance of a </w:t>
      </w:r>
      <w:r w:rsidR="00ED273A">
        <w:t xml:space="preserve"> </w:t>
      </w:r>
      <w:r w:rsidR="00784DF0">
        <w:t>Consummating Order. (Dose</w:t>
      </w:r>
      <w:r w:rsidR="00744415">
        <w:t>)</w:t>
      </w:r>
    </w:p>
    <w:p w14:paraId="012F744B" w14:textId="77777777" w:rsidR="004B28F8" w:rsidRDefault="004B28F8" w:rsidP="004B28F8">
      <w:pPr>
        <w:autoSpaceDE w:val="0"/>
        <w:autoSpaceDN w:val="0"/>
        <w:adjustRightInd w:val="0"/>
        <w:jc w:val="both"/>
      </w:pPr>
    </w:p>
    <w:p w14:paraId="148D1660" w14:textId="77777777" w:rsidR="00744415" w:rsidRPr="004C3641" w:rsidRDefault="00744415">
      <w:pPr>
        <w:pStyle w:val="IssueSubsectionHeading"/>
        <w:rPr>
          <w:vanish/>
          <w:specVanish/>
        </w:rPr>
      </w:pPr>
      <w:r w:rsidRPr="004C3641">
        <w:t>Staff Analysis: </w:t>
      </w:r>
    </w:p>
    <w:p w14:paraId="03A00C0A" w14:textId="77777777" w:rsidR="00AA23E4" w:rsidRDefault="006854C7" w:rsidP="004B28F8">
      <w:pPr>
        <w:autoSpaceDE w:val="0"/>
        <w:autoSpaceDN w:val="0"/>
        <w:adjustRightInd w:val="0"/>
        <w:jc w:val="both"/>
        <w:sectPr w:rsidR="00AA23E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xml:space="preserve"> </w:t>
      </w:r>
      <w:r w:rsidR="004B28F8">
        <w:t>If no protest is filed by a person whose substantial interests are affected within</w:t>
      </w:r>
      <w:r w:rsidR="00ED273A">
        <w:t xml:space="preserve"> </w:t>
      </w:r>
      <w:r w:rsidR="004B28F8">
        <w:t>21 days of the issuance of the Order, this docket should be closed upon the issuance of a Consummating Order.</w:t>
      </w:r>
    </w:p>
    <w:p w14:paraId="2DFA8C3A" w14:textId="77777777" w:rsidR="00744415" w:rsidRDefault="002C2534" w:rsidP="004B28F8">
      <w:pPr>
        <w:autoSpaceDE w:val="0"/>
        <w:autoSpaceDN w:val="0"/>
        <w:adjustRightInd w:val="0"/>
        <w:jc w:val="both"/>
      </w:pPr>
      <w:r>
        <w:rPr>
          <w:noProof/>
        </w:rPr>
        <w:pict w14:anchorId="78C13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93.25pt">
            <v:imagedata r:id="rId14" o:title="attachment new"/>
          </v:shape>
        </w:pict>
      </w:r>
    </w:p>
    <w:p w14:paraId="7FE24BD2" w14:textId="77777777" w:rsidR="00744415" w:rsidRDefault="00744415" w:rsidP="00E275D8">
      <w:pPr>
        <w:pStyle w:val="BodyText"/>
      </w:pPr>
    </w:p>
    <w:p w14:paraId="2783A912" w14:textId="77777777" w:rsidR="00285C08" w:rsidRDefault="00285C08" w:rsidP="00E275D8">
      <w:pPr>
        <w:pStyle w:val="BodyText"/>
      </w:pPr>
    </w:p>
    <w:p w14:paraId="00F9D775" w14:textId="77777777" w:rsidR="00285C08" w:rsidRDefault="00285C08" w:rsidP="00E275D8">
      <w:pPr>
        <w:pStyle w:val="BodyText"/>
      </w:pPr>
    </w:p>
    <w:p w14:paraId="0BCB54A9" w14:textId="77777777" w:rsidR="00285C08" w:rsidRDefault="00AA23E4" w:rsidP="00E275D8">
      <w:pPr>
        <w:pStyle w:val="BodyText"/>
      </w:pPr>
      <w:r>
        <w:rPr>
          <w:noProof/>
        </w:rPr>
        <w:drawing>
          <wp:inline distT="0" distB="0" distL="0" distR="0" wp14:anchorId="26BCC647" wp14:editId="330F6C3C">
            <wp:extent cx="4920615" cy="6879590"/>
            <wp:effectExtent l="0" t="0" r="0" b="0"/>
            <wp:docPr id="3" name="Picture 3" descr="attachment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ttachment 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0615" cy="6879590"/>
                    </a:xfrm>
                    <a:prstGeom prst="rect">
                      <a:avLst/>
                    </a:prstGeom>
                    <a:noFill/>
                    <a:ln>
                      <a:noFill/>
                    </a:ln>
                  </pic:spPr>
                </pic:pic>
              </a:graphicData>
            </a:graphic>
          </wp:inline>
        </w:drawing>
      </w:r>
    </w:p>
    <w:p w14:paraId="127B90DE" w14:textId="77777777" w:rsidR="00285C08" w:rsidRDefault="00285C08" w:rsidP="00E275D8">
      <w:pPr>
        <w:pStyle w:val="BodyText"/>
      </w:pPr>
    </w:p>
    <w:p w14:paraId="29715FD7" w14:textId="77777777" w:rsidR="00285C08" w:rsidRDefault="00285C08" w:rsidP="00E275D8">
      <w:pPr>
        <w:pStyle w:val="BodyText"/>
      </w:pPr>
    </w:p>
    <w:p w14:paraId="7D768C5D" w14:textId="77777777" w:rsidR="00285C08" w:rsidRDefault="00285C08" w:rsidP="00E275D8">
      <w:pPr>
        <w:pStyle w:val="BodyText"/>
      </w:pPr>
    </w:p>
    <w:p w14:paraId="47F3B865" w14:textId="77777777" w:rsidR="00285C08" w:rsidRDefault="002C2534" w:rsidP="00E275D8">
      <w:pPr>
        <w:pStyle w:val="BodyText"/>
      </w:pPr>
      <w:r>
        <w:pict w14:anchorId="71B7F67C">
          <v:shape id="_x0000_i1026" type="#_x0000_t75" style="width:490.5pt;height:555pt">
            <v:imagedata r:id="rId16" o:title="attachment a 3"/>
          </v:shape>
        </w:pict>
      </w:r>
    </w:p>
    <w:p w14:paraId="6BF5CC70" w14:textId="77777777" w:rsidR="00285C08" w:rsidRDefault="00285C08" w:rsidP="00E275D8">
      <w:pPr>
        <w:pStyle w:val="BodyText"/>
      </w:pPr>
    </w:p>
    <w:p w14:paraId="4FB0C50B" w14:textId="77777777" w:rsidR="00285C08" w:rsidRDefault="00285C08" w:rsidP="00E275D8">
      <w:pPr>
        <w:pStyle w:val="BodyText"/>
      </w:pPr>
    </w:p>
    <w:p w14:paraId="4B84279D" w14:textId="77777777" w:rsidR="00285C08" w:rsidRDefault="00285C08" w:rsidP="00E275D8">
      <w:pPr>
        <w:pStyle w:val="BodyText"/>
      </w:pPr>
    </w:p>
    <w:p w14:paraId="27F08C1A" w14:textId="77777777" w:rsidR="00285C08" w:rsidRDefault="002C2534" w:rsidP="00E275D8">
      <w:pPr>
        <w:pStyle w:val="BodyText"/>
      </w:pPr>
      <w:r>
        <w:pict w14:anchorId="3977F832">
          <v:shape id="_x0000_i1027" type="#_x0000_t75" style="width:459pt;height:561pt">
            <v:imagedata r:id="rId17" o:title="attachment a 4"/>
          </v:shape>
        </w:pict>
      </w:r>
    </w:p>
    <w:p w14:paraId="523B81A8" w14:textId="77777777" w:rsidR="00285C08" w:rsidRDefault="00285C08" w:rsidP="00E275D8">
      <w:pPr>
        <w:pStyle w:val="BodyText"/>
      </w:pPr>
    </w:p>
    <w:p w14:paraId="4FE9FD6C" w14:textId="77777777" w:rsidR="00285C08" w:rsidRDefault="00285C08" w:rsidP="00E275D8">
      <w:pPr>
        <w:pStyle w:val="BodyText"/>
      </w:pPr>
    </w:p>
    <w:p w14:paraId="5EABE795" w14:textId="77777777" w:rsidR="00285C08" w:rsidRDefault="00285C08" w:rsidP="00E275D8">
      <w:pPr>
        <w:pStyle w:val="BodyText"/>
      </w:pPr>
    </w:p>
    <w:p w14:paraId="03E026AF" w14:textId="77777777" w:rsidR="00285C08" w:rsidRDefault="002C2534" w:rsidP="00E275D8">
      <w:pPr>
        <w:pStyle w:val="BodyText"/>
      </w:pPr>
      <w:r>
        <w:pict w14:anchorId="4A796776">
          <v:shape id="_x0000_i1028" type="#_x0000_t75" style="width:436.5pt;height:564pt">
            <v:imagedata r:id="rId18" o:title="attachment a 5"/>
          </v:shape>
        </w:pict>
      </w:r>
    </w:p>
    <w:p w14:paraId="2094F196" w14:textId="1B0302A4" w:rsidR="00285C08" w:rsidRDefault="00285C08" w:rsidP="00E275D8">
      <w:pPr>
        <w:pStyle w:val="BodyText"/>
      </w:pPr>
    </w:p>
    <w:p w14:paraId="0D04CD8E" w14:textId="77777777" w:rsidR="00285C08" w:rsidRDefault="002C2534" w:rsidP="00E275D8">
      <w:pPr>
        <w:pStyle w:val="BodyText"/>
      </w:pPr>
      <w:r>
        <w:pict w14:anchorId="2E82F6C8">
          <v:shape id="_x0000_i1029" type="#_x0000_t75" style="width:466.5pt;height:315.75pt">
            <v:imagedata r:id="rId19" o:title="map"/>
          </v:shape>
        </w:pict>
      </w:r>
    </w:p>
    <w:p w14:paraId="0C4E6DB2" w14:textId="77777777" w:rsidR="00F44710" w:rsidRDefault="00F44710" w:rsidP="00E275D8">
      <w:pPr>
        <w:pStyle w:val="BodyText"/>
      </w:pPr>
    </w:p>
    <w:p w14:paraId="37D3067A" w14:textId="77777777" w:rsidR="00F44710" w:rsidRDefault="00F44710" w:rsidP="00E275D8">
      <w:pPr>
        <w:pStyle w:val="BodyText"/>
      </w:pPr>
    </w:p>
    <w:p w14:paraId="35AC54BB" w14:textId="77777777" w:rsidR="00F44710" w:rsidRDefault="00F44710" w:rsidP="00E275D8">
      <w:pPr>
        <w:pStyle w:val="BodyText"/>
      </w:pPr>
    </w:p>
    <w:p w14:paraId="2F3B5EAE" w14:textId="77777777" w:rsidR="00F44710" w:rsidRDefault="00F44710" w:rsidP="00E275D8">
      <w:pPr>
        <w:pStyle w:val="BodyText"/>
      </w:pPr>
    </w:p>
    <w:p w14:paraId="13ABFD66" w14:textId="77777777" w:rsidR="00F44710" w:rsidRDefault="00F44710" w:rsidP="00E275D8">
      <w:pPr>
        <w:pStyle w:val="BodyText"/>
      </w:pPr>
    </w:p>
    <w:p w14:paraId="4824F0C5" w14:textId="77777777" w:rsidR="00F44710" w:rsidRDefault="00F44710" w:rsidP="00E275D8">
      <w:pPr>
        <w:pStyle w:val="BodyText"/>
      </w:pPr>
    </w:p>
    <w:p w14:paraId="4C3590AE" w14:textId="77777777" w:rsidR="00F44710" w:rsidRDefault="00F44710" w:rsidP="00E275D8">
      <w:pPr>
        <w:pStyle w:val="BodyText"/>
      </w:pPr>
    </w:p>
    <w:p w14:paraId="3DFC3841" w14:textId="77777777" w:rsidR="00F44710" w:rsidRDefault="00F44710" w:rsidP="00E275D8">
      <w:pPr>
        <w:pStyle w:val="BodyText"/>
      </w:pPr>
    </w:p>
    <w:p w14:paraId="1006F5AD" w14:textId="77777777" w:rsidR="00F44710" w:rsidRDefault="00F44710" w:rsidP="00E275D8">
      <w:pPr>
        <w:pStyle w:val="BodyText"/>
      </w:pPr>
    </w:p>
    <w:p w14:paraId="760B9C13" w14:textId="77777777" w:rsidR="00F44710" w:rsidRDefault="00F44710" w:rsidP="00E275D8">
      <w:pPr>
        <w:pStyle w:val="BodyText"/>
      </w:pPr>
    </w:p>
    <w:p w14:paraId="366F87E1" w14:textId="77777777" w:rsidR="00F44710" w:rsidRDefault="00F44710" w:rsidP="00E275D8">
      <w:pPr>
        <w:pStyle w:val="BodyText"/>
      </w:pPr>
    </w:p>
    <w:p w14:paraId="6FBC89B1" w14:textId="559729C7" w:rsidR="00F44710" w:rsidRDefault="0094245F" w:rsidP="00E275D8">
      <w:pPr>
        <w:pStyle w:val="BodyText"/>
      </w:pPr>
      <w:r>
        <w:rPr>
          <w:noProof/>
        </w:rPr>
        <w:drawing>
          <wp:inline distT="0" distB="0" distL="0" distR="0" wp14:anchorId="717CFB06" wp14:editId="1D58FD5F">
            <wp:extent cx="5937885" cy="7693660"/>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7693660"/>
                    </a:xfrm>
                    <a:prstGeom prst="rect">
                      <a:avLst/>
                    </a:prstGeom>
                    <a:noFill/>
                  </pic:spPr>
                </pic:pic>
              </a:graphicData>
            </a:graphic>
          </wp:inline>
        </w:drawing>
      </w:r>
    </w:p>
    <w:p w14:paraId="1FCC54AE" w14:textId="07B4EBA9" w:rsidR="00F44710" w:rsidRDefault="00F44710" w:rsidP="002131F1">
      <w:pPr>
        <w:pStyle w:val="BodyText"/>
        <w:tabs>
          <w:tab w:val="left" w:pos="5749"/>
        </w:tabs>
      </w:pPr>
    </w:p>
    <w:p w14:paraId="7CD96489" w14:textId="6BEF6D53" w:rsidR="00F44710" w:rsidRDefault="002C2534" w:rsidP="00E275D8">
      <w:pPr>
        <w:pStyle w:val="BodyText"/>
      </w:pPr>
      <w:r>
        <w:pict w14:anchorId="62ADF1D9">
          <v:shape id="_x0000_i1030" type="#_x0000_t75" style="width:467.25pt;height:358.5pt">
            <v:imagedata r:id="rId21" o:title="Capture 1"/>
          </v:shape>
        </w:pict>
      </w:r>
    </w:p>
    <w:p w14:paraId="3AF2C6FE" w14:textId="5D3AA6AE" w:rsidR="0094245F" w:rsidRDefault="0094245F" w:rsidP="00E275D8">
      <w:pPr>
        <w:pStyle w:val="BodyText"/>
      </w:pPr>
    </w:p>
    <w:p w14:paraId="2E1956B3" w14:textId="5A966476" w:rsidR="0094245F" w:rsidRDefault="0094245F" w:rsidP="00E275D8">
      <w:pPr>
        <w:pStyle w:val="BodyText"/>
      </w:pPr>
    </w:p>
    <w:p w14:paraId="5698F296" w14:textId="448AE59C" w:rsidR="0094245F" w:rsidRDefault="0094245F" w:rsidP="00E275D8">
      <w:pPr>
        <w:pStyle w:val="BodyText"/>
      </w:pPr>
    </w:p>
    <w:p w14:paraId="1F97758E" w14:textId="7F5699E1" w:rsidR="0094245F" w:rsidRDefault="0094245F" w:rsidP="00E275D8">
      <w:pPr>
        <w:pStyle w:val="BodyText"/>
      </w:pPr>
    </w:p>
    <w:p w14:paraId="385A4E84" w14:textId="0CAB46E2" w:rsidR="0094245F" w:rsidRDefault="0094245F" w:rsidP="00E275D8">
      <w:pPr>
        <w:pStyle w:val="BodyText"/>
      </w:pPr>
    </w:p>
    <w:p w14:paraId="21CB14DC" w14:textId="3B0CFF71" w:rsidR="0094245F" w:rsidRDefault="0094245F" w:rsidP="00E275D8">
      <w:pPr>
        <w:pStyle w:val="BodyText"/>
      </w:pPr>
    </w:p>
    <w:p w14:paraId="7CB07567" w14:textId="7B2EEF17" w:rsidR="0094245F" w:rsidRDefault="0094245F" w:rsidP="00E275D8">
      <w:pPr>
        <w:pStyle w:val="BodyText"/>
      </w:pPr>
    </w:p>
    <w:p w14:paraId="529749FA" w14:textId="4EB14B03" w:rsidR="0094245F" w:rsidRDefault="0094245F" w:rsidP="00E275D8">
      <w:pPr>
        <w:pStyle w:val="BodyText"/>
      </w:pPr>
    </w:p>
    <w:p w14:paraId="02978CD5" w14:textId="33A00CD1" w:rsidR="0094245F" w:rsidRDefault="0094245F" w:rsidP="00E275D8">
      <w:pPr>
        <w:pStyle w:val="BodyText"/>
      </w:pPr>
    </w:p>
    <w:p w14:paraId="6E94BC60" w14:textId="27FD4E4D" w:rsidR="0094245F" w:rsidRPr="0094245F" w:rsidRDefault="0094245F" w:rsidP="0094245F"/>
    <w:p w14:paraId="0EC8D56B" w14:textId="03EC3551" w:rsidR="00F44710" w:rsidRDefault="0094245F" w:rsidP="00E275D8">
      <w:pPr>
        <w:pStyle w:val="BodyText"/>
      </w:pPr>
      <w:r>
        <w:rPr>
          <w:noProof/>
        </w:rPr>
        <w:drawing>
          <wp:inline distT="0" distB="0" distL="0" distR="0" wp14:anchorId="4D5F330B" wp14:editId="278DBD39">
            <wp:extent cx="4838257" cy="6358697"/>
            <wp:effectExtent l="1905"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881863" cy="6416006"/>
                    </a:xfrm>
                    <a:prstGeom prst="rect">
                      <a:avLst/>
                    </a:prstGeom>
                    <a:noFill/>
                  </pic:spPr>
                </pic:pic>
              </a:graphicData>
            </a:graphic>
          </wp:inline>
        </w:drawing>
      </w:r>
    </w:p>
    <w:p w14:paraId="49B026DD" w14:textId="4A10D1C1" w:rsidR="00F44710" w:rsidRDefault="0094245F" w:rsidP="00E275D8">
      <w:pPr>
        <w:pStyle w:val="BodyText"/>
      </w:pPr>
      <w:r>
        <w:rPr>
          <w:noProof/>
        </w:rPr>
        <w:drawing>
          <wp:anchor distT="0" distB="0" distL="114300" distR="114300" simplePos="0" relativeHeight="251676160" behindDoc="0" locked="0" layoutInCell="1" allowOverlap="1" wp14:anchorId="576D36FD" wp14:editId="38ED0B75">
            <wp:simplePos x="0" y="0"/>
            <wp:positionH relativeFrom="column">
              <wp:posOffset>0</wp:posOffset>
            </wp:positionH>
            <wp:positionV relativeFrom="paragraph">
              <wp:posOffset>544129</wp:posOffset>
            </wp:positionV>
            <wp:extent cx="5943600" cy="46710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71060"/>
                    </a:xfrm>
                    <a:prstGeom prst="rect">
                      <a:avLst/>
                    </a:prstGeom>
                    <a:noFill/>
                  </pic:spPr>
                </pic:pic>
              </a:graphicData>
            </a:graphic>
          </wp:anchor>
        </w:drawing>
      </w:r>
      <w:r>
        <w:rPr>
          <w:noProof/>
        </w:rPr>
        <w:drawing>
          <wp:anchor distT="0" distB="0" distL="114300" distR="114300" simplePos="0" relativeHeight="251644416" behindDoc="0" locked="0" layoutInCell="1" allowOverlap="1" wp14:anchorId="4ABC7D60" wp14:editId="1D6CC5E8">
            <wp:simplePos x="0" y="0"/>
            <wp:positionH relativeFrom="column">
              <wp:posOffset>92010</wp:posOffset>
            </wp:positionH>
            <wp:positionV relativeFrom="paragraph">
              <wp:posOffset>596421</wp:posOffset>
            </wp:positionV>
            <wp:extent cx="4036060" cy="3267710"/>
            <wp:effectExtent l="0" t="0" r="254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060" cy="3267710"/>
                    </a:xfrm>
                    <a:prstGeom prst="rect">
                      <a:avLst/>
                    </a:prstGeom>
                    <a:noFill/>
                  </pic:spPr>
                </pic:pic>
              </a:graphicData>
            </a:graphic>
          </wp:anchor>
        </w:drawing>
      </w:r>
    </w:p>
    <w:p w14:paraId="05CFC095" w14:textId="7A813666" w:rsidR="00F44710" w:rsidRDefault="00F44710" w:rsidP="00E275D8">
      <w:pPr>
        <w:pStyle w:val="BodyText"/>
      </w:pPr>
    </w:p>
    <w:p w14:paraId="0E1BD4DF" w14:textId="77777777" w:rsidR="00F44710" w:rsidRDefault="00F44710" w:rsidP="00E275D8">
      <w:pPr>
        <w:pStyle w:val="BodyText"/>
      </w:pPr>
    </w:p>
    <w:p w14:paraId="5CC22017" w14:textId="77777777" w:rsidR="00F44710" w:rsidRDefault="00F44710" w:rsidP="00E275D8">
      <w:pPr>
        <w:pStyle w:val="BodyText"/>
      </w:pPr>
    </w:p>
    <w:p w14:paraId="1E55EB39" w14:textId="77777777" w:rsidR="00F44710" w:rsidRDefault="00F44710" w:rsidP="00E275D8">
      <w:pPr>
        <w:pStyle w:val="BodyText"/>
      </w:pPr>
    </w:p>
    <w:p w14:paraId="612DAD84" w14:textId="77777777" w:rsidR="00F44710" w:rsidRDefault="00F44710" w:rsidP="00E275D8">
      <w:pPr>
        <w:pStyle w:val="BodyText"/>
      </w:pPr>
    </w:p>
    <w:p w14:paraId="3671741E" w14:textId="41928C9D" w:rsidR="00F57A8E" w:rsidRDefault="00F57A8E" w:rsidP="00E275D8">
      <w:pPr>
        <w:pStyle w:val="BodyText"/>
      </w:pPr>
    </w:p>
    <w:sectPr w:rsidR="00F57A8E"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2F7F0" w14:textId="77777777" w:rsidR="00D46A2E" w:rsidRDefault="00D46A2E">
      <w:r>
        <w:separator/>
      </w:r>
    </w:p>
  </w:endnote>
  <w:endnote w:type="continuationSeparator" w:id="0">
    <w:p w14:paraId="3418060B" w14:textId="77777777" w:rsidR="00D46A2E" w:rsidRDefault="00D4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E63C" w14:textId="28B8C980"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C2534">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75A4"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C0294" w14:textId="77777777" w:rsidR="00D46A2E" w:rsidRDefault="00D46A2E">
      <w:r>
        <w:separator/>
      </w:r>
    </w:p>
  </w:footnote>
  <w:footnote w:type="continuationSeparator" w:id="0">
    <w:p w14:paraId="07B53FBF" w14:textId="77777777" w:rsidR="00D46A2E" w:rsidRDefault="00D46A2E">
      <w:r>
        <w:continuationSeparator/>
      </w:r>
    </w:p>
  </w:footnote>
  <w:footnote w:id="1">
    <w:p w14:paraId="3EDF1A31" w14:textId="77777777" w:rsidR="00D92D21" w:rsidRDefault="00D92D21">
      <w:pPr>
        <w:pStyle w:val="FootnoteText"/>
      </w:pPr>
      <w:r>
        <w:rPr>
          <w:rStyle w:val="FootnoteReference"/>
        </w:rPr>
        <w:footnoteRef/>
      </w:r>
      <w:r>
        <w:t xml:space="preserve"> By Order No. PSC-2023-0103-FOF-GU, issued March 15, 2023, in Docket No. 20220067-GU, the Florida Division of Chesapeake Utilities Corporation, as well as FPUC’s Indiantown Division and Fort Meade Division, were consolidated with Florida Public Utilities Corporation, under the name of Florida Public Utilities C</w:t>
      </w:r>
      <w:r w:rsidR="000215E7">
        <w:t>ompany.</w:t>
      </w:r>
      <w:r>
        <w:t xml:space="preserve"> FPUC has assumed the rights and responsibilities under all pertinent agreements entered into by its predecessor, the Florida Division of Chesapeake Utilities Corporation, also known as CFG.</w:t>
      </w:r>
    </w:p>
  </w:footnote>
  <w:footnote w:id="2">
    <w:p w14:paraId="0FFC8EF6" w14:textId="77777777" w:rsidR="0011562B" w:rsidRDefault="0011562B">
      <w:pPr>
        <w:pStyle w:val="FootnoteText"/>
      </w:pPr>
      <w:r w:rsidRPr="006210DB">
        <w:rPr>
          <w:rStyle w:val="FootnoteReference"/>
          <w:sz w:val="20"/>
        </w:rPr>
        <w:footnoteRef/>
      </w:r>
      <w:r>
        <w:t xml:space="preserve"> </w:t>
      </w:r>
      <w:r w:rsidRPr="0011562B">
        <w:t>Order No. PSC-2007-0944-PAA-GU, issued November 28, 2007, in Docket No. 20070399-GU</w:t>
      </w:r>
      <w:r w:rsidRPr="00887181">
        <w:t xml:space="preserve">, </w:t>
      </w:r>
      <w:r w:rsidR="00B94D8C" w:rsidRPr="00887181">
        <w:rPr>
          <w:i/>
        </w:rPr>
        <w:t>In re: Joint Petition for approval of territorial agreement in Pasco County, m</w:t>
      </w:r>
      <w:r w:rsidR="0094481D" w:rsidRPr="00887181">
        <w:rPr>
          <w:i/>
        </w:rPr>
        <w:t>aster territorial agre</w:t>
      </w:r>
      <w:r w:rsidR="00B94D8C" w:rsidRPr="00887181">
        <w:rPr>
          <w:i/>
        </w:rPr>
        <w:t xml:space="preserve">ement, and gas transportation agreement, by Peoples Gas System and the </w:t>
      </w:r>
      <w:r w:rsidRPr="00887181">
        <w:rPr>
          <w:i/>
        </w:rPr>
        <w:t>Florida Division of Chesapeake Utilities Corporation</w:t>
      </w:r>
      <w:r w:rsidR="00B94D8C" w:rsidRPr="00887181">
        <w:rPr>
          <w:i/>
        </w:rPr>
        <w:t>.</w:t>
      </w:r>
    </w:p>
  </w:footnote>
  <w:footnote w:id="3">
    <w:p w14:paraId="67053FF1" w14:textId="74998D93" w:rsidR="002E60A6" w:rsidRPr="00D10291" w:rsidRDefault="002E60A6">
      <w:pPr>
        <w:pStyle w:val="FootnoteText"/>
        <w:rPr>
          <w:i/>
        </w:rPr>
      </w:pPr>
      <w:r>
        <w:rPr>
          <w:rStyle w:val="FootnoteReference"/>
        </w:rPr>
        <w:footnoteRef/>
      </w:r>
      <w:r>
        <w:t xml:space="preserve"> </w:t>
      </w:r>
      <w:r w:rsidR="00DB2FFF" w:rsidRPr="00D10291">
        <w:rPr>
          <w:i/>
        </w:rPr>
        <w:t>Id.</w:t>
      </w:r>
    </w:p>
  </w:footnote>
  <w:footnote w:id="4">
    <w:p w14:paraId="4F72F2D1" w14:textId="77777777" w:rsidR="00F00D07" w:rsidRDefault="00F00D07">
      <w:pPr>
        <w:pStyle w:val="FootnoteText"/>
      </w:pPr>
      <w:r w:rsidRPr="00865FFF">
        <w:rPr>
          <w:rStyle w:val="FootnoteReference"/>
          <w:sz w:val="20"/>
        </w:rPr>
        <w:footnoteRef/>
      </w:r>
      <w:r w:rsidR="00E4525F">
        <w:t xml:space="preserve"> </w:t>
      </w:r>
      <w:r w:rsidR="00E4525F" w:rsidRPr="00D10291">
        <w:rPr>
          <w:i/>
        </w:rPr>
        <w:t>See</w:t>
      </w:r>
      <w:r w:rsidR="00E4525F">
        <w:t xml:space="preserve"> Document No. 00141-2024.</w:t>
      </w:r>
    </w:p>
  </w:footnote>
  <w:footnote w:id="5">
    <w:p w14:paraId="07DA15D8" w14:textId="77777777" w:rsidR="00D44E44" w:rsidRPr="00D44E44" w:rsidRDefault="00D44E44">
      <w:pPr>
        <w:pStyle w:val="FootnoteText"/>
      </w:pPr>
      <w:r w:rsidRPr="00D44E44">
        <w:rPr>
          <w:rStyle w:val="FootnoteReference"/>
          <w:sz w:val="20"/>
        </w:rPr>
        <w:footnoteRef/>
      </w:r>
      <w:r w:rsidRPr="00D44E44">
        <w:t xml:space="preserve"> </w:t>
      </w:r>
      <w:r w:rsidRPr="00D10291">
        <w:rPr>
          <w:i/>
        </w:rPr>
        <w:t>Utilities Commission of the City of New Smyrna Beach v. Florida Public Service Commission</w:t>
      </w:r>
      <w:r w:rsidRPr="00D44E44">
        <w:t>, 469 So. 2d 731 (Fla.1985).</w:t>
      </w:r>
    </w:p>
  </w:footnote>
  <w:footnote w:id="6">
    <w:p w14:paraId="5484B1BF" w14:textId="77777777" w:rsidR="009F0B26" w:rsidRPr="00F0024F" w:rsidRDefault="009F0B26">
      <w:pPr>
        <w:pStyle w:val="FootnoteText"/>
      </w:pPr>
      <w:r w:rsidRPr="008E4EBA">
        <w:rPr>
          <w:rStyle w:val="FootnoteReference"/>
          <w:sz w:val="20"/>
        </w:rPr>
        <w:footnoteRef/>
      </w:r>
      <w:r w:rsidR="00F0024F">
        <w:t xml:space="preserve"> </w:t>
      </w:r>
      <w:r w:rsidR="009D54B5" w:rsidRPr="00F0024F">
        <w:t>Document No. 06579-2023</w:t>
      </w:r>
      <w:r w:rsidR="00654AA6" w:rsidRPr="00F0024F">
        <w:t>, Staff’s First Data Request, No. 5</w:t>
      </w:r>
      <w:r w:rsidR="009D54B5" w:rsidRPr="00F0024F">
        <w:t>.</w:t>
      </w:r>
    </w:p>
  </w:footnote>
  <w:footnote w:id="7">
    <w:p w14:paraId="01A3C1A9" w14:textId="77777777" w:rsidR="006A650E" w:rsidRPr="0011562B" w:rsidRDefault="006A650E">
      <w:pPr>
        <w:pStyle w:val="FootnoteText"/>
      </w:pPr>
      <w:r w:rsidRPr="00F0024F">
        <w:rPr>
          <w:rStyle w:val="FootnoteReference"/>
          <w:sz w:val="20"/>
        </w:rPr>
        <w:footnoteRef/>
      </w:r>
      <w:r w:rsidRPr="00F0024F">
        <w:t xml:space="preserve"> </w:t>
      </w:r>
      <w:r w:rsidR="00F0024F" w:rsidRPr="00F0024F">
        <w:t>Document No. 06579-2023, S</w:t>
      </w:r>
      <w:r w:rsidR="00F0024F">
        <w:t>taff’s First Data Request, No. 1</w:t>
      </w:r>
      <w:r w:rsidR="00F0024F" w:rsidRPr="00F0024F">
        <w:t>.</w:t>
      </w:r>
    </w:p>
  </w:footnote>
  <w:footnote w:id="8">
    <w:p w14:paraId="024918A3" w14:textId="77777777" w:rsidR="006A650E" w:rsidRPr="00D10291" w:rsidRDefault="006A650E">
      <w:pPr>
        <w:pStyle w:val="FootnoteText"/>
        <w:rPr>
          <w:i/>
        </w:rPr>
      </w:pPr>
      <w:r w:rsidRPr="0011562B">
        <w:rPr>
          <w:rStyle w:val="FootnoteReference"/>
          <w:sz w:val="20"/>
        </w:rPr>
        <w:footnoteRef/>
      </w:r>
      <w:r w:rsidRPr="00D10291">
        <w:rPr>
          <w:i/>
        </w:rPr>
        <w:t xml:space="preserve"> </w:t>
      </w:r>
      <w:r w:rsidR="00E4525F" w:rsidRPr="00D10291">
        <w:rPr>
          <w:i/>
        </w:rPr>
        <w:t>Id.</w:t>
      </w:r>
    </w:p>
  </w:footnote>
  <w:footnote w:id="9">
    <w:p w14:paraId="4942C715" w14:textId="41D927BB" w:rsidR="009505B0" w:rsidRPr="00F0024F" w:rsidRDefault="009505B0">
      <w:pPr>
        <w:pStyle w:val="FootnoteText"/>
      </w:pPr>
      <w:r w:rsidRPr="00F0024F">
        <w:rPr>
          <w:rStyle w:val="FootnoteReference"/>
          <w:sz w:val="20"/>
        </w:rPr>
        <w:footnoteRef/>
      </w:r>
      <w:r w:rsidRPr="00F0024F">
        <w:t xml:space="preserve"> </w:t>
      </w:r>
      <w:r w:rsidRPr="00D10291">
        <w:rPr>
          <w:i/>
        </w:rPr>
        <w:t>See</w:t>
      </w:r>
      <w:r w:rsidRPr="00F0024F">
        <w:t xml:space="preserve"> </w:t>
      </w:r>
      <w:r w:rsidR="00C43020" w:rsidRPr="00F0024F">
        <w:t xml:space="preserve">Footnote </w:t>
      </w:r>
      <w:r w:rsidR="00DC4038">
        <w:t>2</w:t>
      </w:r>
      <w:r w:rsidR="00C43020" w:rsidRPr="00F0024F">
        <w:t xml:space="preserve">, citing the Master Agreement approved by </w:t>
      </w:r>
      <w:r w:rsidR="00121980" w:rsidRPr="00F0024F">
        <w:t>Order No. PSC-2007-0944-PAA-GU</w:t>
      </w:r>
      <w:r w:rsidR="00C43020" w:rsidRPr="00F0024F">
        <w:t>.</w:t>
      </w:r>
    </w:p>
  </w:footnote>
  <w:footnote w:id="10">
    <w:p w14:paraId="21DC59DE" w14:textId="77777777" w:rsidR="00F0668F" w:rsidRPr="00F0024F" w:rsidRDefault="00F0668F">
      <w:pPr>
        <w:pStyle w:val="FootnoteText"/>
      </w:pPr>
      <w:r w:rsidRPr="00F0024F">
        <w:rPr>
          <w:rStyle w:val="FootnoteReference"/>
          <w:sz w:val="20"/>
        </w:rPr>
        <w:footnoteRef/>
      </w:r>
      <w:r w:rsidRPr="00F0024F">
        <w:t xml:space="preserve"> </w:t>
      </w:r>
      <w:r w:rsidR="00F0024F" w:rsidRPr="00F0024F">
        <w:t>Document No. 06579-2023, Staff’s First Data Request, No. 4.</w:t>
      </w:r>
    </w:p>
  </w:footnote>
  <w:footnote w:id="11">
    <w:p w14:paraId="1D704DBA" w14:textId="77777777" w:rsidR="00D44E44" w:rsidRPr="00F0024F" w:rsidRDefault="00D44E44">
      <w:pPr>
        <w:pStyle w:val="FootnoteText"/>
      </w:pPr>
      <w:r w:rsidRPr="00F0024F">
        <w:rPr>
          <w:rStyle w:val="FootnoteReference"/>
          <w:sz w:val="20"/>
        </w:rPr>
        <w:footnoteRef/>
      </w:r>
      <w:r w:rsidRPr="00F0024F">
        <w:t xml:space="preserve"> </w:t>
      </w:r>
      <w:r w:rsidR="00F0024F" w:rsidRPr="00F0024F">
        <w:t xml:space="preserve">Document No. 06579-2023, Staff’s First Data Request, No. 3. </w:t>
      </w:r>
    </w:p>
  </w:footnote>
  <w:footnote w:id="12">
    <w:p w14:paraId="78629542" w14:textId="75FF5576" w:rsidR="00F7665E" w:rsidRDefault="00F7665E">
      <w:pPr>
        <w:pStyle w:val="FootnoteText"/>
      </w:pPr>
      <w:r w:rsidRPr="00F0024F">
        <w:rPr>
          <w:rStyle w:val="FootnoteReference"/>
          <w:sz w:val="20"/>
        </w:rPr>
        <w:footnoteRef/>
      </w:r>
      <w:r w:rsidR="00286AA8">
        <w:t xml:space="preserve"> </w:t>
      </w:r>
      <w:r w:rsidR="00F0024F" w:rsidRPr="00F0024F">
        <w:t>Document No. 06579-2023, S</w:t>
      </w:r>
      <w:r w:rsidR="00F0024F">
        <w:t>taff’s First Data Request, No. 4</w:t>
      </w:r>
      <w:r w:rsidR="00F0024F" w:rsidRPr="00F0024F">
        <w:t>.</w:t>
      </w:r>
      <w:r w:rsidR="00F0024F">
        <w:t xml:space="preserve"> </w:t>
      </w:r>
    </w:p>
  </w:footnote>
  <w:footnote w:id="13">
    <w:p w14:paraId="79050A1F" w14:textId="77777777" w:rsidR="005F0A7F" w:rsidRDefault="005F0A7F">
      <w:pPr>
        <w:pStyle w:val="FootnoteText"/>
      </w:pPr>
      <w:r w:rsidRPr="00865FFF">
        <w:rPr>
          <w:rStyle w:val="FootnoteReference"/>
          <w:sz w:val="20"/>
        </w:rPr>
        <w:footnoteRef/>
      </w:r>
      <w:r>
        <w:t xml:space="preserve"> </w:t>
      </w:r>
      <w:r w:rsidR="00F7665E" w:rsidRPr="00D10291">
        <w:rPr>
          <w:i/>
        </w:rPr>
        <w:t>Id.</w:t>
      </w:r>
    </w:p>
  </w:footnote>
  <w:footnote w:id="14">
    <w:p w14:paraId="51623EEC" w14:textId="77777777" w:rsidR="00087A12" w:rsidRDefault="00087A12">
      <w:pPr>
        <w:pStyle w:val="FootnoteText"/>
      </w:pPr>
      <w:r w:rsidRPr="00865FFF">
        <w:rPr>
          <w:rStyle w:val="FootnoteReference"/>
          <w:sz w:val="20"/>
        </w:rPr>
        <w:footnoteRef/>
      </w:r>
      <w:r>
        <w:t xml:space="preserve"> </w:t>
      </w:r>
      <w:r w:rsidR="00F7665E" w:rsidRPr="00D10291">
        <w:rPr>
          <w:i/>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56B8C" w14:textId="77777777" w:rsidR="00BC402E" w:rsidRDefault="0074441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20230125-GU</w:t>
    </w:r>
    <w:bookmarkEnd w:id="15"/>
  </w:p>
  <w:p w14:paraId="2C3BA2B1" w14:textId="4526C10A" w:rsidR="00BC402E" w:rsidRDefault="00BC402E">
    <w:pPr>
      <w:pStyle w:val="Header"/>
    </w:pPr>
    <w:r>
      <w:t xml:space="preserve">Date: </w:t>
    </w:r>
    <w:fldSimple w:instr=" REF FilingDate ">
      <w:r w:rsidR="005E3C81">
        <w:t>January 25,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01025" w14:textId="3877585D"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E3C81">
      <w:t>Docket No.</w:t>
    </w:r>
    <w:r>
      <w:fldChar w:fldCharType="end"/>
    </w:r>
    <w:r>
      <w:t xml:space="preserve"> </w:t>
    </w:r>
    <w:r>
      <w:fldChar w:fldCharType="begin"/>
    </w:r>
    <w:r>
      <w:instrText xml:space="preserve"> REF DocketList</w:instrText>
    </w:r>
    <w:r>
      <w:fldChar w:fldCharType="separate"/>
    </w:r>
    <w:r w:rsidR="005E3C81">
      <w:t>20230125-GU</w:t>
    </w:r>
    <w:r>
      <w:fldChar w:fldCharType="end"/>
    </w:r>
    <w:r>
      <w:tab/>
      <w:t xml:space="preserve">Issue </w:t>
    </w:r>
    <w:r w:rsidR="0037138F">
      <w:fldChar w:fldCharType="begin"/>
    </w:r>
    <w:r w:rsidR="0037138F">
      <w:instrText xml:space="preserve"> Seq Issue \c \* Arabic </w:instrText>
    </w:r>
    <w:r w:rsidR="0037138F">
      <w:fldChar w:fldCharType="separate"/>
    </w:r>
    <w:r w:rsidR="002C2534">
      <w:rPr>
        <w:noProof/>
      </w:rPr>
      <w:t>2</w:t>
    </w:r>
    <w:r w:rsidR="0037138F">
      <w:rPr>
        <w:noProof/>
      </w:rPr>
      <w:fldChar w:fldCharType="end"/>
    </w:r>
  </w:p>
  <w:p w14:paraId="0C9851E8" w14:textId="193F92A2" w:rsidR="00BC402E" w:rsidRDefault="00BC402E">
    <w:pPr>
      <w:pStyle w:val="Header"/>
    </w:pPr>
    <w:r>
      <w:t xml:space="preserve">Date: </w:t>
    </w:r>
    <w:fldSimple w:instr=" REF FilingDate ">
      <w:r w:rsidR="005E3C81">
        <w:t>January 25,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96C82"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BA30" w14:textId="47AA431D" w:rsidR="00AA23E4" w:rsidRDefault="00AA23E4" w:rsidP="00220732">
    <w:pPr>
      <w:pStyle w:val="Header"/>
      <w:tabs>
        <w:tab w:val="clear" w:pos="4320"/>
        <w:tab w:val="clear" w:pos="8640"/>
        <w:tab w:val="right" w:pos="9360"/>
      </w:tabs>
    </w:pPr>
    <w:r>
      <w:fldChar w:fldCharType="begin"/>
    </w:r>
    <w:r>
      <w:instrText xml:space="preserve"> REF DocketLabel</w:instrText>
    </w:r>
    <w:r>
      <w:fldChar w:fldCharType="separate"/>
    </w:r>
    <w:r w:rsidR="005E3C81">
      <w:t>Docket No.</w:t>
    </w:r>
    <w:r>
      <w:fldChar w:fldCharType="end"/>
    </w:r>
    <w:r>
      <w:t xml:space="preserve"> </w:t>
    </w:r>
    <w:r>
      <w:fldChar w:fldCharType="begin"/>
    </w:r>
    <w:r>
      <w:instrText xml:space="preserve"> REF DocketList</w:instrText>
    </w:r>
    <w:r>
      <w:fldChar w:fldCharType="separate"/>
    </w:r>
    <w:r w:rsidR="005E3C81">
      <w:t>20230125-GU</w:t>
    </w:r>
    <w:r>
      <w:fldChar w:fldCharType="end"/>
    </w:r>
    <w:r>
      <w:tab/>
      <w:t>Attachment A</w:t>
    </w:r>
  </w:p>
  <w:p w14:paraId="03568D19" w14:textId="395571FB" w:rsidR="00AA23E4" w:rsidRDefault="00AA23E4">
    <w:pPr>
      <w:pStyle w:val="Header"/>
    </w:pPr>
    <w:r>
      <w:t xml:space="preserve">Date: </w:t>
    </w:r>
    <w:r w:rsidR="0037138F">
      <w:fldChar w:fldCharType="begin"/>
    </w:r>
    <w:r w:rsidR="0037138F">
      <w:instrText xml:space="preserve"> REF FilingDate </w:instrText>
    </w:r>
    <w:r w:rsidR="0037138F">
      <w:fldChar w:fldCharType="separate"/>
    </w:r>
    <w:r w:rsidR="005E3C81">
      <w:t>January 25, 2024</w:t>
    </w:r>
    <w:r w:rsidR="0037138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44415"/>
    <w:rsid w:val="000043D5"/>
    <w:rsid w:val="00006170"/>
    <w:rsid w:val="0000679E"/>
    <w:rsid w:val="00010E37"/>
    <w:rsid w:val="000162B9"/>
    <w:rsid w:val="000172DA"/>
    <w:rsid w:val="000215E7"/>
    <w:rsid w:val="00022337"/>
    <w:rsid w:val="00023A0E"/>
    <w:rsid w:val="000247C5"/>
    <w:rsid w:val="000277C2"/>
    <w:rsid w:val="0003013A"/>
    <w:rsid w:val="00035B48"/>
    <w:rsid w:val="00036CE2"/>
    <w:rsid w:val="000437FE"/>
    <w:rsid w:val="000513BE"/>
    <w:rsid w:val="00051573"/>
    <w:rsid w:val="0005451B"/>
    <w:rsid w:val="00065A06"/>
    <w:rsid w:val="000666F3"/>
    <w:rsid w:val="00070DCB"/>
    <w:rsid w:val="00072CCA"/>
    <w:rsid w:val="00073120"/>
    <w:rsid w:val="000764D0"/>
    <w:rsid w:val="000828D3"/>
    <w:rsid w:val="00087A12"/>
    <w:rsid w:val="000906BF"/>
    <w:rsid w:val="000942EB"/>
    <w:rsid w:val="000A2B57"/>
    <w:rsid w:val="000A418B"/>
    <w:rsid w:val="000A4E7A"/>
    <w:rsid w:val="000B0ACE"/>
    <w:rsid w:val="000B0DD2"/>
    <w:rsid w:val="000B26F0"/>
    <w:rsid w:val="000C1B0A"/>
    <w:rsid w:val="000C4431"/>
    <w:rsid w:val="000C6607"/>
    <w:rsid w:val="000D13F4"/>
    <w:rsid w:val="000D1C06"/>
    <w:rsid w:val="000D3043"/>
    <w:rsid w:val="000D4319"/>
    <w:rsid w:val="000D4870"/>
    <w:rsid w:val="000E24FA"/>
    <w:rsid w:val="000E338A"/>
    <w:rsid w:val="000E4392"/>
    <w:rsid w:val="000F2BC4"/>
    <w:rsid w:val="000F374A"/>
    <w:rsid w:val="000F4DAF"/>
    <w:rsid w:val="00105BA1"/>
    <w:rsid w:val="001076AF"/>
    <w:rsid w:val="001109F6"/>
    <w:rsid w:val="00110AF3"/>
    <w:rsid w:val="001130F0"/>
    <w:rsid w:val="0011562B"/>
    <w:rsid w:val="00116C6B"/>
    <w:rsid w:val="00117C8C"/>
    <w:rsid w:val="00121980"/>
    <w:rsid w:val="001239F0"/>
    <w:rsid w:val="00124992"/>
    <w:rsid w:val="00124C38"/>
    <w:rsid w:val="00124E2E"/>
    <w:rsid w:val="00125ED4"/>
    <w:rsid w:val="00126965"/>
    <w:rsid w:val="001303BF"/>
    <w:rsid w:val="001305E9"/>
    <w:rsid w:val="001307AF"/>
    <w:rsid w:val="0013347E"/>
    <w:rsid w:val="00134460"/>
    <w:rsid w:val="00135687"/>
    <w:rsid w:val="001367BF"/>
    <w:rsid w:val="00136BD1"/>
    <w:rsid w:val="00146B5D"/>
    <w:rsid w:val="00150ECE"/>
    <w:rsid w:val="0015506E"/>
    <w:rsid w:val="00162D1F"/>
    <w:rsid w:val="00163031"/>
    <w:rsid w:val="0016478B"/>
    <w:rsid w:val="001654C4"/>
    <w:rsid w:val="00166769"/>
    <w:rsid w:val="00167724"/>
    <w:rsid w:val="00170BEE"/>
    <w:rsid w:val="00170D4F"/>
    <w:rsid w:val="00171A90"/>
    <w:rsid w:val="00180254"/>
    <w:rsid w:val="00191E1F"/>
    <w:rsid w:val="00191EE8"/>
    <w:rsid w:val="00192943"/>
    <w:rsid w:val="00193BAF"/>
    <w:rsid w:val="00194791"/>
    <w:rsid w:val="00195B0D"/>
    <w:rsid w:val="001A1301"/>
    <w:rsid w:val="001A17BA"/>
    <w:rsid w:val="001A7406"/>
    <w:rsid w:val="001A7AE4"/>
    <w:rsid w:val="001B1EDC"/>
    <w:rsid w:val="001B4053"/>
    <w:rsid w:val="001B4FEE"/>
    <w:rsid w:val="001B51C5"/>
    <w:rsid w:val="001B672A"/>
    <w:rsid w:val="001B6F3F"/>
    <w:rsid w:val="001C5001"/>
    <w:rsid w:val="001C52B5"/>
    <w:rsid w:val="001D0982"/>
    <w:rsid w:val="001D0D3E"/>
    <w:rsid w:val="001D1587"/>
    <w:rsid w:val="001D2817"/>
    <w:rsid w:val="001D2899"/>
    <w:rsid w:val="001D56EF"/>
    <w:rsid w:val="001E14A3"/>
    <w:rsid w:val="001E390F"/>
    <w:rsid w:val="001E7FF4"/>
    <w:rsid w:val="001F2245"/>
    <w:rsid w:val="001F2C63"/>
    <w:rsid w:val="001F48C7"/>
    <w:rsid w:val="001F4F21"/>
    <w:rsid w:val="001F6DA1"/>
    <w:rsid w:val="00200178"/>
    <w:rsid w:val="00204200"/>
    <w:rsid w:val="002044E6"/>
    <w:rsid w:val="00205C82"/>
    <w:rsid w:val="00205DC2"/>
    <w:rsid w:val="00212B17"/>
    <w:rsid w:val="002131F1"/>
    <w:rsid w:val="002163B6"/>
    <w:rsid w:val="00217215"/>
    <w:rsid w:val="00220732"/>
    <w:rsid w:val="0022121F"/>
    <w:rsid w:val="00221D32"/>
    <w:rsid w:val="00222AC1"/>
    <w:rsid w:val="00225C3F"/>
    <w:rsid w:val="00237639"/>
    <w:rsid w:val="002445AD"/>
    <w:rsid w:val="00263D44"/>
    <w:rsid w:val="002702AD"/>
    <w:rsid w:val="00271B02"/>
    <w:rsid w:val="00281EB4"/>
    <w:rsid w:val="00284492"/>
    <w:rsid w:val="00285C08"/>
    <w:rsid w:val="00286AA8"/>
    <w:rsid w:val="00292D82"/>
    <w:rsid w:val="00293EE7"/>
    <w:rsid w:val="002963CB"/>
    <w:rsid w:val="002A078D"/>
    <w:rsid w:val="002B2DAC"/>
    <w:rsid w:val="002B4A01"/>
    <w:rsid w:val="002C2534"/>
    <w:rsid w:val="002C291B"/>
    <w:rsid w:val="002C746A"/>
    <w:rsid w:val="002C7E4E"/>
    <w:rsid w:val="002D1649"/>
    <w:rsid w:val="002D226D"/>
    <w:rsid w:val="002D74E3"/>
    <w:rsid w:val="002E347F"/>
    <w:rsid w:val="002E57DF"/>
    <w:rsid w:val="002E60A6"/>
    <w:rsid w:val="002F3C0C"/>
    <w:rsid w:val="002F6030"/>
    <w:rsid w:val="003001AC"/>
    <w:rsid w:val="003037E1"/>
    <w:rsid w:val="00307E51"/>
    <w:rsid w:val="003103EC"/>
    <w:rsid w:val="00310F95"/>
    <w:rsid w:val="00312132"/>
    <w:rsid w:val="003130BA"/>
    <w:rsid w:val="003144EF"/>
    <w:rsid w:val="0031480E"/>
    <w:rsid w:val="00316877"/>
    <w:rsid w:val="00322F74"/>
    <w:rsid w:val="00325877"/>
    <w:rsid w:val="00325E15"/>
    <w:rsid w:val="00330EF6"/>
    <w:rsid w:val="00333B79"/>
    <w:rsid w:val="00340073"/>
    <w:rsid w:val="003411D8"/>
    <w:rsid w:val="003445B0"/>
    <w:rsid w:val="00353B66"/>
    <w:rsid w:val="00355934"/>
    <w:rsid w:val="00357928"/>
    <w:rsid w:val="0036300D"/>
    <w:rsid w:val="003632FD"/>
    <w:rsid w:val="00370F78"/>
    <w:rsid w:val="00372805"/>
    <w:rsid w:val="00372FB9"/>
    <w:rsid w:val="00373180"/>
    <w:rsid w:val="00375AB9"/>
    <w:rsid w:val="0037691E"/>
    <w:rsid w:val="003821A0"/>
    <w:rsid w:val="00384F36"/>
    <w:rsid w:val="00385B04"/>
    <w:rsid w:val="003864CF"/>
    <w:rsid w:val="00387470"/>
    <w:rsid w:val="00393755"/>
    <w:rsid w:val="003948AE"/>
    <w:rsid w:val="003952B3"/>
    <w:rsid w:val="003A08C0"/>
    <w:rsid w:val="003A22A6"/>
    <w:rsid w:val="003A32EB"/>
    <w:rsid w:val="003A3876"/>
    <w:rsid w:val="003A5494"/>
    <w:rsid w:val="003B2510"/>
    <w:rsid w:val="003B4355"/>
    <w:rsid w:val="003B43FD"/>
    <w:rsid w:val="003B5FAE"/>
    <w:rsid w:val="003C1FD2"/>
    <w:rsid w:val="003C2CC4"/>
    <w:rsid w:val="003C3710"/>
    <w:rsid w:val="003C42A3"/>
    <w:rsid w:val="003C48F7"/>
    <w:rsid w:val="003C5655"/>
    <w:rsid w:val="003E0463"/>
    <w:rsid w:val="003E0EFC"/>
    <w:rsid w:val="003E4A2B"/>
    <w:rsid w:val="003E6FE9"/>
    <w:rsid w:val="003E76C2"/>
    <w:rsid w:val="003F1367"/>
    <w:rsid w:val="003F1679"/>
    <w:rsid w:val="003F21EB"/>
    <w:rsid w:val="003F4A35"/>
    <w:rsid w:val="003F5AF7"/>
    <w:rsid w:val="003F5F03"/>
    <w:rsid w:val="003F791E"/>
    <w:rsid w:val="003F7FDD"/>
    <w:rsid w:val="00402101"/>
    <w:rsid w:val="00402481"/>
    <w:rsid w:val="004042B4"/>
    <w:rsid w:val="004057B9"/>
    <w:rsid w:val="00407C95"/>
    <w:rsid w:val="00410DC4"/>
    <w:rsid w:val="00412DAE"/>
    <w:rsid w:val="0041302D"/>
    <w:rsid w:val="004242E6"/>
    <w:rsid w:val="00427B35"/>
    <w:rsid w:val="00431598"/>
    <w:rsid w:val="004319AD"/>
    <w:rsid w:val="004426B8"/>
    <w:rsid w:val="00444432"/>
    <w:rsid w:val="004467B1"/>
    <w:rsid w:val="00447D5C"/>
    <w:rsid w:val="00450202"/>
    <w:rsid w:val="004502B2"/>
    <w:rsid w:val="00455499"/>
    <w:rsid w:val="004649A7"/>
    <w:rsid w:val="00471860"/>
    <w:rsid w:val="00477026"/>
    <w:rsid w:val="00477730"/>
    <w:rsid w:val="0048294D"/>
    <w:rsid w:val="004A0B79"/>
    <w:rsid w:val="004A394A"/>
    <w:rsid w:val="004A744D"/>
    <w:rsid w:val="004B28F8"/>
    <w:rsid w:val="004B60BD"/>
    <w:rsid w:val="004C17D1"/>
    <w:rsid w:val="004C3150"/>
    <w:rsid w:val="004C3641"/>
    <w:rsid w:val="004C3873"/>
    <w:rsid w:val="004C4390"/>
    <w:rsid w:val="004C4AF7"/>
    <w:rsid w:val="004C7501"/>
    <w:rsid w:val="004D020C"/>
    <w:rsid w:val="004D02B5"/>
    <w:rsid w:val="004D18E2"/>
    <w:rsid w:val="004D2881"/>
    <w:rsid w:val="004D2AD1"/>
    <w:rsid w:val="004D2D7D"/>
    <w:rsid w:val="004D385F"/>
    <w:rsid w:val="004D590A"/>
    <w:rsid w:val="004D5B39"/>
    <w:rsid w:val="004D7976"/>
    <w:rsid w:val="004E0CEA"/>
    <w:rsid w:val="004E330D"/>
    <w:rsid w:val="004E4985"/>
    <w:rsid w:val="004E5147"/>
    <w:rsid w:val="004E69B5"/>
    <w:rsid w:val="004F50D1"/>
    <w:rsid w:val="004F5C43"/>
    <w:rsid w:val="005050A2"/>
    <w:rsid w:val="00506030"/>
    <w:rsid w:val="0050652D"/>
    <w:rsid w:val="00506C03"/>
    <w:rsid w:val="00510F16"/>
    <w:rsid w:val="00511A11"/>
    <w:rsid w:val="00513F4E"/>
    <w:rsid w:val="00516496"/>
    <w:rsid w:val="00522E7D"/>
    <w:rsid w:val="0052329B"/>
    <w:rsid w:val="00523B11"/>
    <w:rsid w:val="0052455B"/>
    <w:rsid w:val="0052572A"/>
    <w:rsid w:val="00532DFB"/>
    <w:rsid w:val="00543CB3"/>
    <w:rsid w:val="005442E4"/>
    <w:rsid w:val="00546C5E"/>
    <w:rsid w:val="00547198"/>
    <w:rsid w:val="00547652"/>
    <w:rsid w:val="0055439A"/>
    <w:rsid w:val="0055529B"/>
    <w:rsid w:val="00560FF0"/>
    <w:rsid w:val="00561387"/>
    <w:rsid w:val="005614BD"/>
    <w:rsid w:val="005631F2"/>
    <w:rsid w:val="00566A0F"/>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0242"/>
    <w:rsid w:val="005C17D7"/>
    <w:rsid w:val="005C33CE"/>
    <w:rsid w:val="005D0F74"/>
    <w:rsid w:val="005D0FB6"/>
    <w:rsid w:val="005D2E7D"/>
    <w:rsid w:val="005D4A8F"/>
    <w:rsid w:val="005D561B"/>
    <w:rsid w:val="005D578F"/>
    <w:rsid w:val="005D5ECF"/>
    <w:rsid w:val="005E39A5"/>
    <w:rsid w:val="005E3C81"/>
    <w:rsid w:val="005F0A7F"/>
    <w:rsid w:val="005F468D"/>
    <w:rsid w:val="005F4DDC"/>
    <w:rsid w:val="005F69A3"/>
    <w:rsid w:val="00602017"/>
    <w:rsid w:val="00604CC7"/>
    <w:rsid w:val="00613441"/>
    <w:rsid w:val="006146DB"/>
    <w:rsid w:val="00615423"/>
    <w:rsid w:val="006165B2"/>
    <w:rsid w:val="00617276"/>
    <w:rsid w:val="00620CCB"/>
    <w:rsid w:val="006210DB"/>
    <w:rsid w:val="0062527B"/>
    <w:rsid w:val="00625D97"/>
    <w:rsid w:val="00625F1C"/>
    <w:rsid w:val="0062658E"/>
    <w:rsid w:val="006279E1"/>
    <w:rsid w:val="00627B27"/>
    <w:rsid w:val="00630CEB"/>
    <w:rsid w:val="00632264"/>
    <w:rsid w:val="006355F2"/>
    <w:rsid w:val="00641492"/>
    <w:rsid w:val="006470BC"/>
    <w:rsid w:val="006471FC"/>
    <w:rsid w:val="00654AA6"/>
    <w:rsid w:val="006554D3"/>
    <w:rsid w:val="0065698F"/>
    <w:rsid w:val="006603F4"/>
    <w:rsid w:val="00660D38"/>
    <w:rsid w:val="00661708"/>
    <w:rsid w:val="00664222"/>
    <w:rsid w:val="00666522"/>
    <w:rsid w:val="00667036"/>
    <w:rsid w:val="00667B89"/>
    <w:rsid w:val="00673BDB"/>
    <w:rsid w:val="00674341"/>
    <w:rsid w:val="006771B8"/>
    <w:rsid w:val="00682631"/>
    <w:rsid w:val="00683A89"/>
    <w:rsid w:val="006843B6"/>
    <w:rsid w:val="0068481F"/>
    <w:rsid w:val="006854C7"/>
    <w:rsid w:val="00693EA1"/>
    <w:rsid w:val="0069636F"/>
    <w:rsid w:val="00696F5D"/>
    <w:rsid w:val="00697249"/>
    <w:rsid w:val="006A06F3"/>
    <w:rsid w:val="006A1A67"/>
    <w:rsid w:val="006A650E"/>
    <w:rsid w:val="006B09C4"/>
    <w:rsid w:val="006B16C7"/>
    <w:rsid w:val="006B3947"/>
    <w:rsid w:val="006B4293"/>
    <w:rsid w:val="006B624F"/>
    <w:rsid w:val="006C0C95"/>
    <w:rsid w:val="006C1D05"/>
    <w:rsid w:val="006C31E3"/>
    <w:rsid w:val="006D0716"/>
    <w:rsid w:val="006D18D3"/>
    <w:rsid w:val="006D1EE9"/>
    <w:rsid w:val="006D3BD1"/>
    <w:rsid w:val="006D6DBF"/>
    <w:rsid w:val="006E010E"/>
    <w:rsid w:val="006E08CB"/>
    <w:rsid w:val="006E598D"/>
    <w:rsid w:val="006F4B3A"/>
    <w:rsid w:val="0070437D"/>
    <w:rsid w:val="00704CF1"/>
    <w:rsid w:val="00705B04"/>
    <w:rsid w:val="0071040E"/>
    <w:rsid w:val="007166FA"/>
    <w:rsid w:val="00717EE9"/>
    <w:rsid w:val="00724992"/>
    <w:rsid w:val="00724F64"/>
    <w:rsid w:val="00727F90"/>
    <w:rsid w:val="00734820"/>
    <w:rsid w:val="007349DC"/>
    <w:rsid w:val="007434F3"/>
    <w:rsid w:val="0074365E"/>
    <w:rsid w:val="00744415"/>
    <w:rsid w:val="00744B55"/>
    <w:rsid w:val="007515FD"/>
    <w:rsid w:val="00760D80"/>
    <w:rsid w:val="00761CB4"/>
    <w:rsid w:val="0076488A"/>
    <w:rsid w:val="00780C09"/>
    <w:rsid w:val="00780DDF"/>
    <w:rsid w:val="007834E9"/>
    <w:rsid w:val="00784DF0"/>
    <w:rsid w:val="00787DBC"/>
    <w:rsid w:val="007900C7"/>
    <w:rsid w:val="0079019A"/>
    <w:rsid w:val="00792935"/>
    <w:rsid w:val="007A04A1"/>
    <w:rsid w:val="007A0B06"/>
    <w:rsid w:val="007A1840"/>
    <w:rsid w:val="007B730C"/>
    <w:rsid w:val="007C0528"/>
    <w:rsid w:val="007C08EA"/>
    <w:rsid w:val="007C26FE"/>
    <w:rsid w:val="007C3D38"/>
    <w:rsid w:val="007D0F35"/>
    <w:rsid w:val="007D1783"/>
    <w:rsid w:val="007D4546"/>
    <w:rsid w:val="007D4FEB"/>
    <w:rsid w:val="007D6146"/>
    <w:rsid w:val="007E0C26"/>
    <w:rsid w:val="007E0CE7"/>
    <w:rsid w:val="007E2B54"/>
    <w:rsid w:val="007E3AE4"/>
    <w:rsid w:val="007F1193"/>
    <w:rsid w:val="007F417F"/>
    <w:rsid w:val="007F6988"/>
    <w:rsid w:val="007F7644"/>
    <w:rsid w:val="008042BD"/>
    <w:rsid w:val="00804E17"/>
    <w:rsid w:val="008050B3"/>
    <w:rsid w:val="00806E31"/>
    <w:rsid w:val="008137F9"/>
    <w:rsid w:val="00816624"/>
    <w:rsid w:val="00822427"/>
    <w:rsid w:val="00822562"/>
    <w:rsid w:val="00823663"/>
    <w:rsid w:val="00823664"/>
    <w:rsid w:val="008305B7"/>
    <w:rsid w:val="0083270E"/>
    <w:rsid w:val="00832DDC"/>
    <w:rsid w:val="008426B0"/>
    <w:rsid w:val="008431BB"/>
    <w:rsid w:val="00845E34"/>
    <w:rsid w:val="00850BAC"/>
    <w:rsid w:val="00854A3E"/>
    <w:rsid w:val="00855D08"/>
    <w:rsid w:val="008618A4"/>
    <w:rsid w:val="00865FFF"/>
    <w:rsid w:val="00866FBC"/>
    <w:rsid w:val="008731AB"/>
    <w:rsid w:val="00874344"/>
    <w:rsid w:val="0087505D"/>
    <w:rsid w:val="00877703"/>
    <w:rsid w:val="00882155"/>
    <w:rsid w:val="0088233B"/>
    <w:rsid w:val="0088599E"/>
    <w:rsid w:val="00886C37"/>
    <w:rsid w:val="00887181"/>
    <w:rsid w:val="008915FC"/>
    <w:rsid w:val="00892D99"/>
    <w:rsid w:val="00893315"/>
    <w:rsid w:val="00894267"/>
    <w:rsid w:val="00894C09"/>
    <w:rsid w:val="0089619F"/>
    <w:rsid w:val="008B3D4F"/>
    <w:rsid w:val="008B5C68"/>
    <w:rsid w:val="008B5D32"/>
    <w:rsid w:val="008B62AE"/>
    <w:rsid w:val="008C04B5"/>
    <w:rsid w:val="008C14FA"/>
    <w:rsid w:val="008C7B0B"/>
    <w:rsid w:val="008D4057"/>
    <w:rsid w:val="008D6187"/>
    <w:rsid w:val="008D7450"/>
    <w:rsid w:val="008E1F19"/>
    <w:rsid w:val="008E4EBA"/>
    <w:rsid w:val="008F2190"/>
    <w:rsid w:val="008F2262"/>
    <w:rsid w:val="008F4D2B"/>
    <w:rsid w:val="008F5B91"/>
    <w:rsid w:val="008F7241"/>
    <w:rsid w:val="008F7736"/>
    <w:rsid w:val="0090019E"/>
    <w:rsid w:val="00900435"/>
    <w:rsid w:val="00901086"/>
    <w:rsid w:val="00901C8A"/>
    <w:rsid w:val="00902F66"/>
    <w:rsid w:val="00904DE5"/>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57E2"/>
    <w:rsid w:val="00935C07"/>
    <w:rsid w:val="0093658B"/>
    <w:rsid w:val="0094245F"/>
    <w:rsid w:val="009429FF"/>
    <w:rsid w:val="009444D1"/>
    <w:rsid w:val="0094481D"/>
    <w:rsid w:val="00945BD6"/>
    <w:rsid w:val="009479FB"/>
    <w:rsid w:val="009505B0"/>
    <w:rsid w:val="00951C45"/>
    <w:rsid w:val="00951DD8"/>
    <w:rsid w:val="009656F2"/>
    <w:rsid w:val="00966A08"/>
    <w:rsid w:val="009701B7"/>
    <w:rsid w:val="00971207"/>
    <w:rsid w:val="00975CB4"/>
    <w:rsid w:val="00983A0D"/>
    <w:rsid w:val="009863B0"/>
    <w:rsid w:val="00987D11"/>
    <w:rsid w:val="00987DE1"/>
    <w:rsid w:val="00990571"/>
    <w:rsid w:val="00991905"/>
    <w:rsid w:val="009926B2"/>
    <w:rsid w:val="0099673A"/>
    <w:rsid w:val="009A3291"/>
    <w:rsid w:val="009A3330"/>
    <w:rsid w:val="009A4309"/>
    <w:rsid w:val="009A548F"/>
    <w:rsid w:val="009A7C96"/>
    <w:rsid w:val="009B026B"/>
    <w:rsid w:val="009B61BF"/>
    <w:rsid w:val="009C1801"/>
    <w:rsid w:val="009C3253"/>
    <w:rsid w:val="009C3DB9"/>
    <w:rsid w:val="009C5968"/>
    <w:rsid w:val="009C5B91"/>
    <w:rsid w:val="009D0436"/>
    <w:rsid w:val="009D46E5"/>
    <w:rsid w:val="009D54B5"/>
    <w:rsid w:val="009D568A"/>
    <w:rsid w:val="009D62B0"/>
    <w:rsid w:val="009E7BB1"/>
    <w:rsid w:val="009F04EC"/>
    <w:rsid w:val="009F0B26"/>
    <w:rsid w:val="009F2A7C"/>
    <w:rsid w:val="009F3B36"/>
    <w:rsid w:val="009F46B7"/>
    <w:rsid w:val="00A019B9"/>
    <w:rsid w:val="00A02881"/>
    <w:rsid w:val="00A03157"/>
    <w:rsid w:val="00A11756"/>
    <w:rsid w:val="00A12497"/>
    <w:rsid w:val="00A12508"/>
    <w:rsid w:val="00A1282B"/>
    <w:rsid w:val="00A13A27"/>
    <w:rsid w:val="00A15B7C"/>
    <w:rsid w:val="00A16F71"/>
    <w:rsid w:val="00A175B6"/>
    <w:rsid w:val="00A20687"/>
    <w:rsid w:val="00A21835"/>
    <w:rsid w:val="00A2374B"/>
    <w:rsid w:val="00A23AAB"/>
    <w:rsid w:val="00A23C95"/>
    <w:rsid w:val="00A27D6E"/>
    <w:rsid w:val="00A3007D"/>
    <w:rsid w:val="00A328EC"/>
    <w:rsid w:val="00A33A51"/>
    <w:rsid w:val="00A41CA6"/>
    <w:rsid w:val="00A431ED"/>
    <w:rsid w:val="00A4528A"/>
    <w:rsid w:val="00A47927"/>
    <w:rsid w:val="00A47FFC"/>
    <w:rsid w:val="00A5442F"/>
    <w:rsid w:val="00A54FF9"/>
    <w:rsid w:val="00A56765"/>
    <w:rsid w:val="00A63E53"/>
    <w:rsid w:val="00A66C9E"/>
    <w:rsid w:val="00A675AC"/>
    <w:rsid w:val="00A7097D"/>
    <w:rsid w:val="00A7581F"/>
    <w:rsid w:val="00A81274"/>
    <w:rsid w:val="00A81F77"/>
    <w:rsid w:val="00A86ACA"/>
    <w:rsid w:val="00A92439"/>
    <w:rsid w:val="00A92FB1"/>
    <w:rsid w:val="00A95980"/>
    <w:rsid w:val="00A95A0C"/>
    <w:rsid w:val="00A97D12"/>
    <w:rsid w:val="00AA23E4"/>
    <w:rsid w:val="00AA2765"/>
    <w:rsid w:val="00AA77B5"/>
    <w:rsid w:val="00AB6C5D"/>
    <w:rsid w:val="00AC3401"/>
    <w:rsid w:val="00AC51A7"/>
    <w:rsid w:val="00AC603B"/>
    <w:rsid w:val="00AD0E89"/>
    <w:rsid w:val="00AD3BCA"/>
    <w:rsid w:val="00AD444B"/>
    <w:rsid w:val="00AD5614"/>
    <w:rsid w:val="00AD6C78"/>
    <w:rsid w:val="00AE03F0"/>
    <w:rsid w:val="00AE2EAB"/>
    <w:rsid w:val="00AE4B15"/>
    <w:rsid w:val="00AF13D0"/>
    <w:rsid w:val="00AF5E0E"/>
    <w:rsid w:val="00AF5F89"/>
    <w:rsid w:val="00AF6FB4"/>
    <w:rsid w:val="00AF73CB"/>
    <w:rsid w:val="00B002D6"/>
    <w:rsid w:val="00B02EF0"/>
    <w:rsid w:val="00B03379"/>
    <w:rsid w:val="00B03FA5"/>
    <w:rsid w:val="00B04110"/>
    <w:rsid w:val="00B05B51"/>
    <w:rsid w:val="00B106E6"/>
    <w:rsid w:val="00B12EE2"/>
    <w:rsid w:val="00B14E5A"/>
    <w:rsid w:val="00B15370"/>
    <w:rsid w:val="00B16DA4"/>
    <w:rsid w:val="00B17BEB"/>
    <w:rsid w:val="00B21A3C"/>
    <w:rsid w:val="00B223C0"/>
    <w:rsid w:val="00B234ED"/>
    <w:rsid w:val="00B249B2"/>
    <w:rsid w:val="00B25CA3"/>
    <w:rsid w:val="00B2765A"/>
    <w:rsid w:val="00B3109A"/>
    <w:rsid w:val="00B31B54"/>
    <w:rsid w:val="00B32D37"/>
    <w:rsid w:val="00B41629"/>
    <w:rsid w:val="00B41AA8"/>
    <w:rsid w:val="00B41F81"/>
    <w:rsid w:val="00B42B45"/>
    <w:rsid w:val="00B4408B"/>
    <w:rsid w:val="00B516ED"/>
    <w:rsid w:val="00B565DA"/>
    <w:rsid w:val="00B5736F"/>
    <w:rsid w:val="00B57A6A"/>
    <w:rsid w:val="00B62D0D"/>
    <w:rsid w:val="00B661AF"/>
    <w:rsid w:val="00B760F1"/>
    <w:rsid w:val="00B7669E"/>
    <w:rsid w:val="00B76EBB"/>
    <w:rsid w:val="00B77DA1"/>
    <w:rsid w:val="00B822A0"/>
    <w:rsid w:val="00B82F85"/>
    <w:rsid w:val="00B858AE"/>
    <w:rsid w:val="00B85964"/>
    <w:rsid w:val="00B90F93"/>
    <w:rsid w:val="00B91DFC"/>
    <w:rsid w:val="00B94D8C"/>
    <w:rsid w:val="00B96250"/>
    <w:rsid w:val="00BA0D55"/>
    <w:rsid w:val="00BA36DC"/>
    <w:rsid w:val="00BA37B3"/>
    <w:rsid w:val="00BA4CC6"/>
    <w:rsid w:val="00BA7F46"/>
    <w:rsid w:val="00BB0F1D"/>
    <w:rsid w:val="00BB3493"/>
    <w:rsid w:val="00BB55B3"/>
    <w:rsid w:val="00BB6E4C"/>
    <w:rsid w:val="00BB7468"/>
    <w:rsid w:val="00BC0514"/>
    <w:rsid w:val="00BC188A"/>
    <w:rsid w:val="00BC402E"/>
    <w:rsid w:val="00BC70C6"/>
    <w:rsid w:val="00BD0F48"/>
    <w:rsid w:val="00BD14E5"/>
    <w:rsid w:val="00BE0E50"/>
    <w:rsid w:val="00BE5C7B"/>
    <w:rsid w:val="00BE6B00"/>
    <w:rsid w:val="00BE6DDB"/>
    <w:rsid w:val="00BF03E0"/>
    <w:rsid w:val="00BF5010"/>
    <w:rsid w:val="00C03009"/>
    <w:rsid w:val="00C03D5F"/>
    <w:rsid w:val="00C13791"/>
    <w:rsid w:val="00C210BD"/>
    <w:rsid w:val="00C2575A"/>
    <w:rsid w:val="00C26364"/>
    <w:rsid w:val="00C31440"/>
    <w:rsid w:val="00C31BB3"/>
    <w:rsid w:val="00C36977"/>
    <w:rsid w:val="00C36987"/>
    <w:rsid w:val="00C43020"/>
    <w:rsid w:val="00C43DDB"/>
    <w:rsid w:val="00C46283"/>
    <w:rsid w:val="00C46628"/>
    <w:rsid w:val="00C467DA"/>
    <w:rsid w:val="00C477D9"/>
    <w:rsid w:val="00C5239A"/>
    <w:rsid w:val="00C57869"/>
    <w:rsid w:val="00C57F2D"/>
    <w:rsid w:val="00C60BA3"/>
    <w:rsid w:val="00C623DB"/>
    <w:rsid w:val="00C623F7"/>
    <w:rsid w:val="00C627A5"/>
    <w:rsid w:val="00C62A81"/>
    <w:rsid w:val="00C64754"/>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A7AA4"/>
    <w:rsid w:val="00CB1777"/>
    <w:rsid w:val="00CB1F0C"/>
    <w:rsid w:val="00CB33E9"/>
    <w:rsid w:val="00CB4940"/>
    <w:rsid w:val="00CC0CC3"/>
    <w:rsid w:val="00CC10A9"/>
    <w:rsid w:val="00CC5981"/>
    <w:rsid w:val="00CC69C8"/>
    <w:rsid w:val="00CD0655"/>
    <w:rsid w:val="00CD1FA9"/>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0291"/>
    <w:rsid w:val="00D12565"/>
    <w:rsid w:val="00D140C1"/>
    <w:rsid w:val="00D14127"/>
    <w:rsid w:val="00D33593"/>
    <w:rsid w:val="00D43999"/>
    <w:rsid w:val="00D44E44"/>
    <w:rsid w:val="00D46A2E"/>
    <w:rsid w:val="00D479AE"/>
    <w:rsid w:val="00D50FCD"/>
    <w:rsid w:val="00D533E3"/>
    <w:rsid w:val="00D6053F"/>
    <w:rsid w:val="00D60B16"/>
    <w:rsid w:val="00D60F02"/>
    <w:rsid w:val="00D6483F"/>
    <w:rsid w:val="00D65F9B"/>
    <w:rsid w:val="00D66E49"/>
    <w:rsid w:val="00D70D71"/>
    <w:rsid w:val="00D72F74"/>
    <w:rsid w:val="00D75472"/>
    <w:rsid w:val="00D76B52"/>
    <w:rsid w:val="00D806A7"/>
    <w:rsid w:val="00D81563"/>
    <w:rsid w:val="00D837C1"/>
    <w:rsid w:val="00D85907"/>
    <w:rsid w:val="00D85EF8"/>
    <w:rsid w:val="00D860AC"/>
    <w:rsid w:val="00D9073E"/>
    <w:rsid w:val="00D90A07"/>
    <w:rsid w:val="00D9221D"/>
    <w:rsid w:val="00D9253C"/>
    <w:rsid w:val="00D92D21"/>
    <w:rsid w:val="00D958DF"/>
    <w:rsid w:val="00D96DA1"/>
    <w:rsid w:val="00DA4671"/>
    <w:rsid w:val="00DA51E7"/>
    <w:rsid w:val="00DB0260"/>
    <w:rsid w:val="00DB1C78"/>
    <w:rsid w:val="00DB2FFF"/>
    <w:rsid w:val="00DB7D96"/>
    <w:rsid w:val="00DC13F7"/>
    <w:rsid w:val="00DC229C"/>
    <w:rsid w:val="00DC23FE"/>
    <w:rsid w:val="00DC4038"/>
    <w:rsid w:val="00DC59E6"/>
    <w:rsid w:val="00DD150B"/>
    <w:rsid w:val="00DD3356"/>
    <w:rsid w:val="00DD5025"/>
    <w:rsid w:val="00DD5464"/>
    <w:rsid w:val="00DD6F85"/>
    <w:rsid w:val="00DE254E"/>
    <w:rsid w:val="00DE32C0"/>
    <w:rsid w:val="00DE36C3"/>
    <w:rsid w:val="00DE76A7"/>
    <w:rsid w:val="00DF1510"/>
    <w:rsid w:val="00DF2012"/>
    <w:rsid w:val="00E02F1F"/>
    <w:rsid w:val="00E05454"/>
    <w:rsid w:val="00E06484"/>
    <w:rsid w:val="00E06B24"/>
    <w:rsid w:val="00E11363"/>
    <w:rsid w:val="00E16C18"/>
    <w:rsid w:val="00E20A7D"/>
    <w:rsid w:val="00E23FE4"/>
    <w:rsid w:val="00E2660F"/>
    <w:rsid w:val="00E275D8"/>
    <w:rsid w:val="00E30F6A"/>
    <w:rsid w:val="00E3117C"/>
    <w:rsid w:val="00E31288"/>
    <w:rsid w:val="00E31C48"/>
    <w:rsid w:val="00E34307"/>
    <w:rsid w:val="00E34511"/>
    <w:rsid w:val="00E3635B"/>
    <w:rsid w:val="00E375C3"/>
    <w:rsid w:val="00E375CA"/>
    <w:rsid w:val="00E4211E"/>
    <w:rsid w:val="00E4525F"/>
    <w:rsid w:val="00E45528"/>
    <w:rsid w:val="00E46A89"/>
    <w:rsid w:val="00E52954"/>
    <w:rsid w:val="00E5364F"/>
    <w:rsid w:val="00E53CDE"/>
    <w:rsid w:val="00E567E8"/>
    <w:rsid w:val="00E63766"/>
    <w:rsid w:val="00E64679"/>
    <w:rsid w:val="00E65EBC"/>
    <w:rsid w:val="00E6602E"/>
    <w:rsid w:val="00E6746F"/>
    <w:rsid w:val="00E677FE"/>
    <w:rsid w:val="00E7218E"/>
    <w:rsid w:val="00E73432"/>
    <w:rsid w:val="00E77B0C"/>
    <w:rsid w:val="00E77FB8"/>
    <w:rsid w:val="00E838B0"/>
    <w:rsid w:val="00E838F7"/>
    <w:rsid w:val="00E83D14"/>
    <w:rsid w:val="00E86A7C"/>
    <w:rsid w:val="00E878E1"/>
    <w:rsid w:val="00E87F2C"/>
    <w:rsid w:val="00E9077A"/>
    <w:rsid w:val="00E95278"/>
    <w:rsid w:val="00E96A42"/>
    <w:rsid w:val="00EA2273"/>
    <w:rsid w:val="00EA7C3C"/>
    <w:rsid w:val="00EB0A1C"/>
    <w:rsid w:val="00EB2DB3"/>
    <w:rsid w:val="00EB6883"/>
    <w:rsid w:val="00EC3FBB"/>
    <w:rsid w:val="00EC5EC2"/>
    <w:rsid w:val="00EC6B7A"/>
    <w:rsid w:val="00ED04DF"/>
    <w:rsid w:val="00ED273A"/>
    <w:rsid w:val="00ED3A87"/>
    <w:rsid w:val="00ED5B67"/>
    <w:rsid w:val="00EE1A5C"/>
    <w:rsid w:val="00EE2C33"/>
    <w:rsid w:val="00EE315B"/>
    <w:rsid w:val="00EE5F5A"/>
    <w:rsid w:val="00EF264C"/>
    <w:rsid w:val="00EF3FEE"/>
    <w:rsid w:val="00EF6B41"/>
    <w:rsid w:val="00F0024F"/>
    <w:rsid w:val="00F00D07"/>
    <w:rsid w:val="00F0395C"/>
    <w:rsid w:val="00F04B59"/>
    <w:rsid w:val="00F0668F"/>
    <w:rsid w:val="00F07B69"/>
    <w:rsid w:val="00F11741"/>
    <w:rsid w:val="00F117B0"/>
    <w:rsid w:val="00F12B12"/>
    <w:rsid w:val="00F12B1C"/>
    <w:rsid w:val="00F13CF8"/>
    <w:rsid w:val="00F15855"/>
    <w:rsid w:val="00F200B2"/>
    <w:rsid w:val="00F227DC"/>
    <w:rsid w:val="00F263B9"/>
    <w:rsid w:val="00F30701"/>
    <w:rsid w:val="00F32978"/>
    <w:rsid w:val="00F43ECB"/>
    <w:rsid w:val="00F44710"/>
    <w:rsid w:val="00F45749"/>
    <w:rsid w:val="00F45CB2"/>
    <w:rsid w:val="00F511F3"/>
    <w:rsid w:val="00F544C0"/>
    <w:rsid w:val="00F5495D"/>
    <w:rsid w:val="00F55332"/>
    <w:rsid w:val="00F55449"/>
    <w:rsid w:val="00F57A8E"/>
    <w:rsid w:val="00F6156E"/>
    <w:rsid w:val="00F6504A"/>
    <w:rsid w:val="00F65519"/>
    <w:rsid w:val="00F66931"/>
    <w:rsid w:val="00F66D9F"/>
    <w:rsid w:val="00F713C0"/>
    <w:rsid w:val="00F73132"/>
    <w:rsid w:val="00F74C81"/>
    <w:rsid w:val="00F75DDC"/>
    <w:rsid w:val="00F765D9"/>
    <w:rsid w:val="00F7665E"/>
    <w:rsid w:val="00F7792F"/>
    <w:rsid w:val="00F83903"/>
    <w:rsid w:val="00F842AA"/>
    <w:rsid w:val="00F8476F"/>
    <w:rsid w:val="00F84890"/>
    <w:rsid w:val="00F853E1"/>
    <w:rsid w:val="00F85604"/>
    <w:rsid w:val="00F863BA"/>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86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64D4BB4"/>
  <w15:docId w15:val="{19B6A230-64B5-4642-B1E2-71E6B5A6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rsid w:val="0011562B"/>
    <w:rPr>
      <w:smallCaps w:val="0"/>
      <w:color w:val="5A5A5A" w:themeColor="text1" w:themeTint="A5"/>
      <w:sz w:val="16"/>
      <w:vertAlign w:val="superscript"/>
    </w:rPr>
  </w:style>
  <w:style w:type="character" w:styleId="CommentReference">
    <w:name w:val="annotation reference"/>
    <w:basedOn w:val="DefaultParagraphFont"/>
    <w:semiHidden/>
    <w:unhideWhenUsed/>
    <w:rsid w:val="00B31B54"/>
    <w:rPr>
      <w:sz w:val="16"/>
      <w:szCs w:val="16"/>
    </w:rPr>
  </w:style>
  <w:style w:type="character" w:styleId="SubtleReference">
    <w:name w:val="Subtle Reference"/>
    <w:basedOn w:val="DefaultParagraphFont"/>
    <w:uiPriority w:val="31"/>
    <w:qFormat/>
    <w:rsid w:val="002A078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8E2B7-7BC0-4B4B-8A13-4B4AF641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1471</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Alara Kaymak</dc:creator>
  <cp:lastModifiedBy>Jackie Colson</cp:lastModifiedBy>
  <cp:revision>2</cp:revision>
  <cp:lastPrinted>2024-01-23T20:29:00Z</cp:lastPrinted>
  <dcterms:created xsi:type="dcterms:W3CDTF">2024-01-25T16:02:00Z</dcterms:created>
  <dcterms:modified xsi:type="dcterms:W3CDTF">2024-01-25T16:02:00Z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20230125-GU</vt:lpwstr>
  </property>
  <property fmtid="{D5CDD505-2E9C-101B-9397-08002B2CF9AE}" pid="3" name="MasterDocument">
    <vt:bool>false</vt:bool>
  </property>
</Properties>
</file>