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2E406" w14:textId="77777777" w:rsidR="00B64BD8" w:rsidRDefault="00B64BD8">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5FEBC248"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2ED17DBF" w14:textId="77777777" w:rsidR="007C0528" w:rsidRDefault="007C0528" w:rsidP="00532DFB">
            <w:pPr>
              <w:pStyle w:val="MastHeadState"/>
            </w:pPr>
            <w:r>
              <w:t>State of Florida</w:t>
            </w:r>
          </w:p>
          <w:p w14:paraId="35D1C455" w14:textId="77777777" w:rsidR="007C0528" w:rsidRDefault="00072CCA">
            <w:pPr>
              <w:jc w:val="center"/>
            </w:pPr>
            <w:r>
              <w:rPr>
                <w:noProof/>
              </w:rPr>
              <w:drawing>
                <wp:inline distT="0" distB="0" distL="0" distR="0" wp14:anchorId="03B0B148" wp14:editId="2C8DD726">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4B65B058"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172AF40B" w14:textId="77777777" w:rsidR="007C0528" w:rsidRDefault="007C0528">
            <w:pPr>
              <w:pStyle w:val="MastHeadPSC"/>
            </w:pPr>
            <w:r>
              <w:t>Public Service Commission</w:t>
            </w:r>
          </w:p>
          <w:p w14:paraId="65E0F5D4" w14:textId="77777777" w:rsidR="007C0528" w:rsidRDefault="007C0528">
            <w:pPr>
              <w:pStyle w:val="MastHeadAddress"/>
            </w:pPr>
            <w:r>
              <w:t>Capital Circle Office Center ● 2540 Shumard Oak Boulevard</w:t>
            </w:r>
            <w:r>
              <w:br/>
              <w:t>Tallahassee, Florida 32399-0850</w:t>
            </w:r>
          </w:p>
          <w:p w14:paraId="0243A9D3" w14:textId="77777777" w:rsidR="007C0528" w:rsidRDefault="007C0528">
            <w:pPr>
              <w:pStyle w:val="MastHeadMemorandum"/>
            </w:pPr>
            <w:r>
              <w:t>-M-E-M-O-R-A-N-D-U-M-</w:t>
            </w:r>
          </w:p>
          <w:p w14:paraId="78D6B507" w14:textId="77777777" w:rsidR="007C0528" w:rsidRDefault="007C0528">
            <w:pPr>
              <w:pStyle w:val="MemoHeading"/>
            </w:pPr>
          </w:p>
        </w:tc>
      </w:tr>
      <w:tr w:rsidR="007C0528" w14:paraId="2B0DEFA2"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728934EC"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14C029BD" w14:textId="0E912B71" w:rsidR="007C0528" w:rsidRDefault="000015DB">
            <w:pPr>
              <w:pStyle w:val="MemoHeading"/>
            </w:pPr>
            <w:bookmarkStart w:id="1" w:name="FilingDate"/>
            <w:r>
              <w:t>February 22</w:t>
            </w:r>
            <w:r w:rsidR="00D34E24">
              <w:t>, 2024</w:t>
            </w:r>
            <w:bookmarkEnd w:id="1"/>
          </w:p>
        </w:tc>
      </w:tr>
      <w:tr w:rsidR="007C0528" w14:paraId="44E1F773" w14:textId="77777777">
        <w:tc>
          <w:tcPr>
            <w:tcW w:w="1254" w:type="dxa"/>
            <w:tcBorders>
              <w:top w:val="nil"/>
              <w:left w:val="nil"/>
              <w:bottom w:val="nil"/>
              <w:right w:val="nil"/>
            </w:tcBorders>
            <w:shd w:val="clear" w:color="auto" w:fill="auto"/>
            <w:tcMar>
              <w:top w:w="288" w:type="dxa"/>
              <w:bottom w:w="0" w:type="dxa"/>
              <w:right w:w="0" w:type="dxa"/>
            </w:tcMar>
          </w:tcPr>
          <w:p w14:paraId="50AEE7A0"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60F8D3CB" w14:textId="77777777" w:rsidR="007C0528" w:rsidRDefault="007C0528" w:rsidP="0093658B">
            <w:pPr>
              <w:pStyle w:val="MemoHeading"/>
            </w:pPr>
            <w:r>
              <w:t>Office of Commission Clerk (</w:t>
            </w:r>
            <w:r w:rsidR="004E69B5">
              <w:t>Teitzman</w:t>
            </w:r>
            <w:r>
              <w:t>)</w:t>
            </w:r>
          </w:p>
        </w:tc>
      </w:tr>
      <w:tr w:rsidR="007C0528" w14:paraId="1ECBD95E" w14:textId="77777777">
        <w:tc>
          <w:tcPr>
            <w:tcW w:w="1254" w:type="dxa"/>
            <w:tcBorders>
              <w:top w:val="nil"/>
              <w:left w:val="nil"/>
              <w:bottom w:val="nil"/>
              <w:right w:val="nil"/>
            </w:tcBorders>
            <w:shd w:val="clear" w:color="auto" w:fill="auto"/>
            <w:tcMar>
              <w:top w:w="288" w:type="dxa"/>
              <w:right w:w="0" w:type="dxa"/>
            </w:tcMar>
          </w:tcPr>
          <w:p w14:paraId="2BDED56A"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1EAE06CC" w14:textId="31CDA902" w:rsidR="00D34E24" w:rsidRPr="00913635" w:rsidRDefault="00D34E24">
            <w:pPr>
              <w:pStyle w:val="MemoHeading"/>
              <w:rPr>
                <w:rFonts w:ascii="Freestyle Script" w:hAnsi="Freestyle Script"/>
                <w:color w:val="00B0F0"/>
                <w:sz w:val="28"/>
                <w:szCs w:val="28"/>
              </w:rPr>
            </w:pPr>
            <w:bookmarkStart w:id="2" w:name="From"/>
            <w:r>
              <w:t>Office of the General Counsel (Sapoznikoff, Dike)</w:t>
            </w:r>
            <w:r w:rsidR="00913635">
              <w:t xml:space="preserve"> </w:t>
            </w:r>
            <w:r w:rsidR="00913635">
              <w:rPr>
                <w:rFonts w:ascii="Freestyle Script" w:hAnsi="Freestyle Script"/>
                <w:color w:val="00B0F0"/>
                <w:sz w:val="28"/>
                <w:szCs w:val="28"/>
              </w:rPr>
              <w:t>SMC</w:t>
            </w:r>
          </w:p>
          <w:p w14:paraId="154777EF" w14:textId="2D92A582" w:rsidR="00D34E24" w:rsidRPr="00913635" w:rsidRDefault="00D34E24">
            <w:pPr>
              <w:pStyle w:val="MemoHeading"/>
              <w:rPr>
                <w:rFonts w:ascii="Freestyle Script" w:hAnsi="Freestyle Script"/>
                <w:color w:val="00B0F0"/>
                <w:sz w:val="28"/>
                <w:szCs w:val="28"/>
              </w:rPr>
            </w:pPr>
            <w:r>
              <w:t>Division of Accounting and Finance (Cicchetti, Higgins, Mouring)</w:t>
            </w:r>
            <w:r w:rsidR="00913635">
              <w:t xml:space="preserve"> </w:t>
            </w:r>
            <w:r w:rsidR="00913635">
              <w:rPr>
                <w:rFonts w:ascii="Freestyle Script" w:hAnsi="Freestyle Script"/>
                <w:color w:val="00B0F0"/>
                <w:sz w:val="28"/>
                <w:szCs w:val="28"/>
              </w:rPr>
              <w:t>ALM</w:t>
            </w:r>
          </w:p>
          <w:p w14:paraId="71D0CBA9" w14:textId="45D094E2" w:rsidR="00D34E24" w:rsidRPr="00913635" w:rsidRDefault="00377375">
            <w:pPr>
              <w:pStyle w:val="MemoHeading"/>
              <w:rPr>
                <w:rFonts w:ascii="Freestyle Script" w:hAnsi="Freestyle Script"/>
                <w:color w:val="00B0F0"/>
                <w:sz w:val="28"/>
                <w:szCs w:val="28"/>
              </w:rPr>
            </w:pPr>
            <w:r>
              <w:t>Division of Economics (</w:t>
            </w:r>
            <w:r w:rsidR="00D34E24">
              <w:t>Guffey, Hudson)</w:t>
            </w:r>
            <w:r w:rsidR="00913635">
              <w:t xml:space="preserve"> </w:t>
            </w:r>
            <w:r w:rsidR="00913635">
              <w:rPr>
                <w:rFonts w:ascii="Freestyle Script" w:hAnsi="Freestyle Script"/>
                <w:color w:val="00B0F0"/>
                <w:sz w:val="28"/>
                <w:szCs w:val="28"/>
              </w:rPr>
              <w:t>EJD</w:t>
            </w:r>
          </w:p>
          <w:p w14:paraId="7222094E" w14:textId="7CA49DCA" w:rsidR="007C0528" w:rsidRPr="00913635" w:rsidRDefault="00D34E24">
            <w:pPr>
              <w:pStyle w:val="MemoHeading"/>
              <w:rPr>
                <w:rFonts w:ascii="Freestyle Script" w:hAnsi="Freestyle Script"/>
                <w:color w:val="00B0F0"/>
                <w:sz w:val="28"/>
                <w:szCs w:val="28"/>
              </w:rPr>
            </w:pPr>
            <w:r>
              <w:t>Division of Engineering (Ballinger, King, Ramos, Watts)</w:t>
            </w:r>
            <w:bookmarkEnd w:id="2"/>
            <w:r w:rsidR="00913635">
              <w:t xml:space="preserve"> </w:t>
            </w:r>
            <w:r w:rsidR="00913635">
              <w:rPr>
                <w:rFonts w:ascii="Freestyle Script" w:hAnsi="Freestyle Script"/>
                <w:color w:val="00B0F0"/>
                <w:sz w:val="28"/>
                <w:szCs w:val="28"/>
              </w:rPr>
              <w:t>TB</w:t>
            </w:r>
          </w:p>
        </w:tc>
      </w:tr>
      <w:tr w:rsidR="007C0528" w14:paraId="36EB74F2" w14:textId="77777777">
        <w:tc>
          <w:tcPr>
            <w:tcW w:w="1254" w:type="dxa"/>
            <w:tcBorders>
              <w:top w:val="nil"/>
              <w:left w:val="nil"/>
              <w:bottom w:val="nil"/>
              <w:right w:val="nil"/>
            </w:tcBorders>
            <w:shd w:val="clear" w:color="auto" w:fill="auto"/>
            <w:tcMar>
              <w:top w:w="288" w:type="dxa"/>
              <w:right w:w="0" w:type="dxa"/>
            </w:tcMar>
          </w:tcPr>
          <w:p w14:paraId="0D5EB182"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04CC9136" w14:textId="406C2796" w:rsidR="007C0528" w:rsidRDefault="00D34E24" w:rsidP="000015DB">
            <w:pPr>
              <w:pStyle w:val="MemoHeadingRe"/>
            </w:pPr>
            <w:bookmarkStart w:id="3" w:name="Re"/>
            <w:r>
              <w:t xml:space="preserve">Docket No. 20230123-WS – </w:t>
            </w:r>
            <w:r w:rsidR="00DC78EF">
              <w:t xml:space="preserve">Proposed </w:t>
            </w:r>
            <w:r>
              <w:t>Rule 25-30.0372, Alternative Procedure for Establishing Rate Base Value of Acquired Utility System.</w:t>
            </w:r>
            <w:bookmarkEnd w:id="3"/>
          </w:p>
        </w:tc>
      </w:tr>
      <w:tr w:rsidR="007C0528" w14:paraId="6FDC2B8D" w14:textId="77777777">
        <w:tc>
          <w:tcPr>
            <w:tcW w:w="1254" w:type="dxa"/>
            <w:tcBorders>
              <w:top w:val="nil"/>
              <w:left w:val="nil"/>
              <w:bottom w:val="nil"/>
              <w:right w:val="nil"/>
            </w:tcBorders>
            <w:shd w:val="clear" w:color="auto" w:fill="auto"/>
            <w:tcMar>
              <w:top w:w="288" w:type="dxa"/>
              <w:bottom w:w="0" w:type="dxa"/>
              <w:right w:w="0" w:type="dxa"/>
            </w:tcMar>
          </w:tcPr>
          <w:p w14:paraId="01F247D4"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46BA304F" w14:textId="4F8BD421" w:rsidR="007C0528" w:rsidRDefault="000015DB">
            <w:pPr>
              <w:pStyle w:val="MemoHeading"/>
            </w:pPr>
            <w:r>
              <w:t>03/05</w:t>
            </w:r>
            <w:r w:rsidR="002F1BB3">
              <w:t>/</w:t>
            </w:r>
            <w:r w:rsidR="00D34E24">
              <w:t>24</w:t>
            </w:r>
            <w:r w:rsidR="007C0528">
              <w:t xml:space="preserve"> – </w:t>
            </w:r>
            <w:bookmarkStart w:id="4" w:name="PermittedStatus"/>
            <w:r w:rsidR="00D34E24">
              <w:t xml:space="preserve">Regular Agenda – </w:t>
            </w:r>
            <w:r w:rsidR="00792A67">
              <w:t xml:space="preserve">Rule Proposal – </w:t>
            </w:r>
            <w:r w:rsidR="00D34E24">
              <w:t>Interested Persons May Participate</w:t>
            </w:r>
            <w:bookmarkEnd w:id="4"/>
          </w:p>
        </w:tc>
      </w:tr>
      <w:tr w:rsidR="007C0528" w14:paraId="6BE6B89C" w14:textId="77777777">
        <w:tc>
          <w:tcPr>
            <w:tcW w:w="3690" w:type="dxa"/>
            <w:gridSpan w:val="3"/>
            <w:tcBorders>
              <w:top w:val="nil"/>
              <w:left w:val="nil"/>
              <w:bottom w:val="nil"/>
              <w:right w:val="nil"/>
            </w:tcBorders>
            <w:shd w:val="clear" w:color="auto" w:fill="auto"/>
            <w:tcMar>
              <w:top w:w="288" w:type="dxa"/>
              <w:bottom w:w="0" w:type="dxa"/>
              <w:right w:w="0" w:type="dxa"/>
            </w:tcMar>
          </w:tcPr>
          <w:p w14:paraId="6C7FC3CB"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7C874172" w14:textId="77777777" w:rsidR="007C0528" w:rsidRDefault="00D34E24">
            <w:pPr>
              <w:pStyle w:val="MemoHeading"/>
            </w:pPr>
            <w:bookmarkStart w:id="5" w:name="CommissionersAssigned"/>
            <w:r>
              <w:t>All Commissioners</w:t>
            </w:r>
            <w:bookmarkEnd w:id="5"/>
          </w:p>
        </w:tc>
      </w:tr>
      <w:tr w:rsidR="007C0528" w14:paraId="439682AB" w14:textId="77777777">
        <w:tc>
          <w:tcPr>
            <w:tcW w:w="3690" w:type="dxa"/>
            <w:gridSpan w:val="3"/>
            <w:tcBorders>
              <w:top w:val="nil"/>
              <w:left w:val="nil"/>
              <w:bottom w:val="nil"/>
              <w:right w:val="nil"/>
            </w:tcBorders>
            <w:shd w:val="clear" w:color="auto" w:fill="auto"/>
            <w:tcMar>
              <w:top w:w="288" w:type="dxa"/>
              <w:bottom w:w="0" w:type="dxa"/>
              <w:right w:w="0" w:type="dxa"/>
            </w:tcMar>
          </w:tcPr>
          <w:p w14:paraId="0D451ECD"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2FBB6821" w14:textId="77777777" w:rsidR="007C0528" w:rsidRDefault="00D34E24">
            <w:pPr>
              <w:pStyle w:val="MemoHeading"/>
            </w:pPr>
            <w:bookmarkStart w:id="6" w:name="PrehearingOfficer"/>
            <w:r>
              <w:t>Passidomo</w:t>
            </w:r>
            <w:bookmarkEnd w:id="6"/>
          </w:p>
        </w:tc>
      </w:tr>
      <w:tr w:rsidR="007C0528" w14:paraId="20140050"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001FBB4F" w14:textId="77777777" w:rsidR="007C0528" w:rsidRDefault="00D34E24" w:rsidP="00506C03">
            <w:pPr>
              <w:pStyle w:val="MemoHeadingLabel"/>
            </w:pPr>
            <w:bookmarkStart w:id="7" w:name="CriticalDatesLabel"/>
            <w:r>
              <w:t>RULE STATUS:</w:t>
            </w:r>
            <w:bookmarkEnd w:id="7"/>
          </w:p>
        </w:tc>
        <w:tc>
          <w:tcPr>
            <w:tcW w:w="5785" w:type="dxa"/>
            <w:tcBorders>
              <w:top w:val="nil"/>
              <w:left w:val="nil"/>
              <w:bottom w:val="nil"/>
              <w:right w:val="nil"/>
            </w:tcBorders>
            <w:shd w:val="clear" w:color="auto" w:fill="auto"/>
          </w:tcPr>
          <w:p w14:paraId="5C61695D" w14:textId="211447E3" w:rsidR="007C0528" w:rsidRDefault="007E2D7F">
            <w:pPr>
              <w:pStyle w:val="MemoHeading"/>
            </w:pPr>
            <w:bookmarkStart w:id="8" w:name="CriticalDates"/>
            <w:bookmarkEnd w:id="8"/>
            <w:r>
              <w:t>May Not Be Deferred. Rule must be proposed by April 1, 2024</w:t>
            </w:r>
            <w:r w:rsidR="00F93E75">
              <w:t>, pursuant to Section 120.74(5), F.S</w:t>
            </w:r>
            <w:r>
              <w:t>.</w:t>
            </w:r>
          </w:p>
        </w:tc>
      </w:tr>
      <w:tr w:rsidR="007C0528" w14:paraId="76073F95"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3A5CB1AA"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11188DDE" w14:textId="77777777" w:rsidR="007C0528" w:rsidRDefault="00D34E24">
            <w:pPr>
              <w:pStyle w:val="MemoHeading"/>
            </w:pPr>
            <w:bookmarkStart w:id="9" w:name="SpecialInstructions"/>
            <w:r>
              <w:t>None</w:t>
            </w:r>
            <w:bookmarkEnd w:id="9"/>
          </w:p>
        </w:tc>
      </w:tr>
    </w:tbl>
    <w:p w14:paraId="0F1F3157" w14:textId="77777777" w:rsidR="007C0528" w:rsidRDefault="007C0528" w:rsidP="006C37C9">
      <w:pPr>
        <w:pStyle w:val="BodyText"/>
        <w:spacing w:after="0"/>
      </w:pPr>
    </w:p>
    <w:p w14:paraId="3AB493F9" w14:textId="77777777"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14:paraId="3C9D883B" w14:textId="2DDD08A9" w:rsidR="003A62F2" w:rsidRDefault="00F93E75" w:rsidP="003A62F2">
      <w:pPr>
        <w:jc w:val="both"/>
        <w:rPr>
          <w:rFonts w:eastAsiaTheme="minorHAnsi" w:cstheme="minorBidi"/>
          <w:szCs w:val="22"/>
        </w:rPr>
      </w:pPr>
      <w:r>
        <w:t>In</w:t>
      </w:r>
      <w:r w:rsidR="003A62F2">
        <w:t xml:space="preserve"> </w:t>
      </w:r>
      <w:r>
        <w:rPr>
          <w:rFonts w:eastAsiaTheme="minorHAnsi" w:cstheme="minorBidi"/>
          <w:szCs w:val="22"/>
        </w:rPr>
        <w:t xml:space="preserve">2023, the </w:t>
      </w:r>
      <w:r w:rsidR="003A62F2" w:rsidRPr="003A62F2">
        <w:rPr>
          <w:rFonts w:eastAsiaTheme="minorHAnsi" w:cstheme="minorBidi"/>
          <w:szCs w:val="22"/>
        </w:rPr>
        <w:t>Florida Legislature passed SB 194 to enact Section 367.0811, Florida Statutes (F.S.), entitled “Rates; alternative procedure for establish</w:t>
      </w:r>
      <w:r w:rsidR="00D1190E">
        <w:rPr>
          <w:rFonts w:eastAsiaTheme="minorHAnsi" w:cstheme="minorBidi"/>
          <w:szCs w:val="22"/>
        </w:rPr>
        <w:t>ing</w:t>
      </w:r>
      <w:r w:rsidR="003A62F2" w:rsidRPr="003A62F2">
        <w:rPr>
          <w:rFonts w:eastAsiaTheme="minorHAnsi" w:cstheme="minorBidi"/>
          <w:szCs w:val="22"/>
        </w:rPr>
        <w:t xml:space="preserve"> rate base value of acquired utility system.” Section 367.0811, F.S., creates an alternative </w:t>
      </w:r>
      <w:r w:rsidR="003638BE">
        <w:rPr>
          <w:rFonts w:eastAsiaTheme="minorHAnsi" w:cstheme="minorBidi"/>
          <w:szCs w:val="22"/>
        </w:rPr>
        <w:t>process</w:t>
      </w:r>
      <w:r w:rsidR="003A62F2" w:rsidRPr="003A62F2">
        <w:rPr>
          <w:rFonts w:eastAsiaTheme="minorHAnsi" w:cstheme="minorBidi"/>
          <w:szCs w:val="22"/>
        </w:rPr>
        <w:t xml:space="preserve"> </w:t>
      </w:r>
      <w:r w:rsidR="003638BE" w:rsidRPr="003A62F2">
        <w:rPr>
          <w:rFonts w:eastAsiaTheme="minorHAnsi" w:cstheme="minorBidi"/>
          <w:szCs w:val="22"/>
        </w:rPr>
        <w:t>t</w:t>
      </w:r>
      <w:r w:rsidR="003638BE">
        <w:rPr>
          <w:rFonts w:eastAsiaTheme="minorHAnsi" w:cstheme="minorBidi"/>
          <w:szCs w:val="22"/>
        </w:rPr>
        <w:t>o t</w:t>
      </w:r>
      <w:r w:rsidR="003638BE" w:rsidRPr="003A62F2">
        <w:rPr>
          <w:rFonts w:eastAsiaTheme="minorHAnsi" w:cstheme="minorBidi"/>
          <w:szCs w:val="22"/>
        </w:rPr>
        <w:t>he cost method cont</w:t>
      </w:r>
      <w:r w:rsidR="003638BE">
        <w:rPr>
          <w:rFonts w:eastAsiaTheme="minorHAnsi" w:cstheme="minorBidi"/>
          <w:szCs w:val="22"/>
        </w:rPr>
        <w:t xml:space="preserve">ained in Section 367.081, F.S., for certain, qualifying water and/or wastewater utilities </w:t>
      </w:r>
      <w:r w:rsidR="003A62F2" w:rsidRPr="003A62F2">
        <w:rPr>
          <w:rFonts w:eastAsiaTheme="minorHAnsi" w:cstheme="minorBidi"/>
          <w:szCs w:val="22"/>
        </w:rPr>
        <w:t xml:space="preserve">to establish a rate base value </w:t>
      </w:r>
      <w:r w:rsidR="003638BE">
        <w:rPr>
          <w:rFonts w:eastAsiaTheme="minorHAnsi" w:cstheme="minorBidi"/>
          <w:szCs w:val="22"/>
        </w:rPr>
        <w:t xml:space="preserve">when acquiring </w:t>
      </w:r>
      <w:r w:rsidR="003A62F2" w:rsidRPr="003A62F2">
        <w:rPr>
          <w:rFonts w:eastAsiaTheme="minorHAnsi" w:cstheme="minorBidi"/>
          <w:szCs w:val="22"/>
        </w:rPr>
        <w:t>a water and/or wastewater utility system</w:t>
      </w:r>
      <w:r w:rsidR="00015051">
        <w:rPr>
          <w:rFonts w:eastAsiaTheme="minorHAnsi" w:cstheme="minorBidi"/>
          <w:szCs w:val="22"/>
        </w:rPr>
        <w:t>.</w:t>
      </w:r>
    </w:p>
    <w:p w14:paraId="698DA868" w14:textId="7868597C" w:rsidR="00792A67" w:rsidRDefault="00792A67" w:rsidP="003A62F2">
      <w:pPr>
        <w:jc w:val="both"/>
        <w:rPr>
          <w:rFonts w:eastAsiaTheme="minorHAnsi" w:cstheme="minorBidi"/>
          <w:szCs w:val="22"/>
        </w:rPr>
      </w:pPr>
    </w:p>
    <w:p w14:paraId="1B373433" w14:textId="67262E3F" w:rsidR="003D1EE8" w:rsidRDefault="00DF0873" w:rsidP="003D1EE8">
      <w:pPr>
        <w:pStyle w:val="First-LevelSubheading"/>
      </w:pPr>
      <w:r>
        <w:t>The S</w:t>
      </w:r>
      <w:r w:rsidR="003D1EE8">
        <w:t>tatute</w:t>
      </w:r>
      <w:r>
        <w:t xml:space="preserve"> Being I</w:t>
      </w:r>
      <w:r w:rsidR="00792A67">
        <w:t>mplemented: Section 367.0811, F.S.</w:t>
      </w:r>
    </w:p>
    <w:p w14:paraId="048B1C93" w14:textId="79C19E6B" w:rsidR="00F513C0" w:rsidRDefault="00F513C0" w:rsidP="00F075B6">
      <w:pPr>
        <w:spacing w:after="200"/>
        <w:jc w:val="both"/>
      </w:pPr>
      <w:r>
        <w:t>For ease of reference, a</w:t>
      </w:r>
      <w:r w:rsidRPr="00792A67">
        <w:t xml:space="preserve"> copy of Section 367.0811, F.S., is appended to this recommendation as Attachment C.</w:t>
      </w:r>
    </w:p>
    <w:p w14:paraId="2FDA51A9" w14:textId="73D319A1" w:rsidR="003D1EE8" w:rsidRPr="003A62F2" w:rsidRDefault="003D1EE8" w:rsidP="003D1EE8">
      <w:pPr>
        <w:spacing w:after="200"/>
        <w:rPr>
          <w:rFonts w:eastAsiaTheme="minorHAnsi" w:cstheme="minorBidi"/>
          <w:szCs w:val="22"/>
        </w:rPr>
      </w:pPr>
      <w:r w:rsidRPr="003A62F2">
        <w:rPr>
          <w:rFonts w:eastAsiaTheme="minorHAnsi" w:cstheme="minorBidi"/>
          <w:szCs w:val="22"/>
        </w:rPr>
        <w:lastRenderedPageBreak/>
        <w:t>Section 367.0811(1), F.S., states:</w:t>
      </w:r>
    </w:p>
    <w:p w14:paraId="657B7EA8" w14:textId="77777777" w:rsidR="003D1EE8" w:rsidRPr="003A62F2" w:rsidRDefault="003D1EE8" w:rsidP="003D1EE8">
      <w:pPr>
        <w:spacing w:after="200"/>
        <w:ind w:left="720" w:right="720"/>
        <w:jc w:val="both"/>
        <w:rPr>
          <w:rFonts w:eastAsiaTheme="minorHAnsi" w:cstheme="minorBidi"/>
          <w:szCs w:val="22"/>
        </w:rPr>
      </w:pPr>
      <w:r w:rsidRPr="003A62F2">
        <w:rPr>
          <w:rFonts w:eastAsiaTheme="minorHAnsi" w:cstheme="minorBidi"/>
          <w:szCs w:val="22"/>
        </w:rPr>
        <w:t>It is in the public interest to promote consolidation efforts with water and wastewater utility systems in order to encourage economies of scale, better access to lower material and supply costs, better access to capital, improvement in utility infrastructure, and improvement in the quality of service overall.</w:t>
      </w:r>
    </w:p>
    <w:p w14:paraId="15FDD896" w14:textId="63E48AD5" w:rsidR="00015051" w:rsidRDefault="003D1EE8" w:rsidP="003D1EE8">
      <w:pPr>
        <w:spacing w:after="200"/>
        <w:jc w:val="both"/>
        <w:rPr>
          <w:rFonts w:eastAsiaTheme="minorHAnsi" w:cstheme="minorBidi"/>
          <w:szCs w:val="22"/>
        </w:rPr>
      </w:pPr>
      <w:r w:rsidRPr="003A62F2">
        <w:rPr>
          <w:rFonts w:eastAsiaTheme="minorHAnsi" w:cstheme="minorBidi"/>
          <w:szCs w:val="22"/>
        </w:rPr>
        <w:t>Section 367.0811(3)(</w:t>
      </w:r>
      <w:r w:rsidR="00015051">
        <w:rPr>
          <w:rFonts w:eastAsiaTheme="minorHAnsi" w:cstheme="minorBidi"/>
          <w:szCs w:val="22"/>
        </w:rPr>
        <w:t>b</w:t>
      </w:r>
      <w:r w:rsidR="003638BE">
        <w:rPr>
          <w:rFonts w:eastAsiaTheme="minorHAnsi" w:cstheme="minorBidi"/>
          <w:szCs w:val="22"/>
        </w:rPr>
        <w:t>)</w:t>
      </w:r>
      <w:r w:rsidRPr="003A62F2">
        <w:rPr>
          <w:rFonts w:eastAsiaTheme="minorHAnsi" w:cstheme="minorBidi"/>
          <w:szCs w:val="22"/>
        </w:rPr>
        <w:t>, F.S., allow</w:t>
      </w:r>
      <w:r w:rsidR="00015051">
        <w:rPr>
          <w:rFonts w:eastAsiaTheme="minorHAnsi" w:cstheme="minorBidi"/>
          <w:szCs w:val="22"/>
        </w:rPr>
        <w:t>s</w:t>
      </w:r>
      <w:r w:rsidRPr="003A62F2">
        <w:rPr>
          <w:rFonts w:eastAsiaTheme="minorHAnsi" w:cstheme="minorBidi"/>
          <w:szCs w:val="22"/>
        </w:rPr>
        <w:t xml:space="preserve"> certain water and/or wastewater utilities </w:t>
      </w:r>
      <w:r w:rsidR="00015051">
        <w:rPr>
          <w:rFonts w:eastAsiaTheme="minorHAnsi" w:cstheme="minorBidi"/>
          <w:szCs w:val="22"/>
        </w:rPr>
        <w:t xml:space="preserve">to establish a rate base </w:t>
      </w:r>
      <w:r w:rsidRPr="003A62F2">
        <w:rPr>
          <w:rFonts w:eastAsiaTheme="minorHAnsi" w:cstheme="minorBidi"/>
          <w:szCs w:val="22"/>
        </w:rPr>
        <w:t xml:space="preserve">value </w:t>
      </w:r>
      <w:r w:rsidR="00015051">
        <w:rPr>
          <w:rFonts w:eastAsiaTheme="minorHAnsi" w:cstheme="minorBidi"/>
          <w:szCs w:val="22"/>
        </w:rPr>
        <w:t xml:space="preserve">using </w:t>
      </w:r>
      <w:r w:rsidRPr="003A62F2">
        <w:rPr>
          <w:rFonts w:eastAsiaTheme="minorHAnsi" w:cstheme="minorBidi"/>
          <w:szCs w:val="22"/>
        </w:rPr>
        <w:t xml:space="preserve">the lesser of the purchase price negotiated between the parties to the acquisition transaction or the average of the three appraisals conducted by “licensed appraisers.” </w:t>
      </w:r>
      <w:r w:rsidR="00015051">
        <w:rPr>
          <w:rFonts w:eastAsiaTheme="minorHAnsi" w:cstheme="minorBidi"/>
          <w:szCs w:val="22"/>
        </w:rPr>
        <w:t>To qualify for this new procedure, the transaction must be at arm’s length</w:t>
      </w:r>
      <w:r w:rsidR="00CE51F6">
        <w:rPr>
          <w:rFonts w:eastAsiaTheme="minorHAnsi" w:cstheme="minorBidi"/>
          <w:szCs w:val="22"/>
        </w:rPr>
        <w:t xml:space="preserve"> and</w:t>
      </w:r>
      <w:r w:rsidR="00015051">
        <w:rPr>
          <w:rFonts w:eastAsiaTheme="minorHAnsi" w:cstheme="minorBidi"/>
          <w:szCs w:val="22"/>
        </w:rPr>
        <w:t xml:space="preserve"> the acquiring utility must either provide water or wastewater service, or both</w:t>
      </w:r>
      <w:r w:rsidR="00CE51F6">
        <w:rPr>
          <w:rFonts w:eastAsiaTheme="minorHAnsi" w:cstheme="minorBidi"/>
          <w:szCs w:val="22"/>
        </w:rPr>
        <w:t>, to more than 10,000 customers</w:t>
      </w:r>
      <w:r w:rsidR="00015051">
        <w:rPr>
          <w:rFonts w:eastAsiaTheme="minorHAnsi" w:cstheme="minorBidi"/>
          <w:szCs w:val="22"/>
        </w:rPr>
        <w:t xml:space="preserve"> or be permitted to produce at least 3 million gallons per day of drinking water.</w:t>
      </w:r>
      <w:r w:rsidR="00015051" w:rsidRPr="00015051">
        <w:rPr>
          <w:rFonts w:eastAsiaTheme="minorHAnsi" w:cstheme="minorBidi"/>
          <w:szCs w:val="22"/>
        </w:rPr>
        <w:t xml:space="preserve"> </w:t>
      </w:r>
      <w:r w:rsidR="00015051">
        <w:rPr>
          <w:rFonts w:eastAsiaTheme="minorHAnsi" w:cstheme="minorBidi"/>
          <w:szCs w:val="22"/>
        </w:rPr>
        <w:t>Section 367.0811(8</w:t>
      </w:r>
      <w:r w:rsidR="00015051" w:rsidRPr="003A62F2">
        <w:rPr>
          <w:rFonts w:eastAsiaTheme="minorHAnsi" w:cstheme="minorBidi"/>
          <w:szCs w:val="22"/>
        </w:rPr>
        <w:t>), F.S.</w:t>
      </w:r>
    </w:p>
    <w:p w14:paraId="4DB6F10F" w14:textId="53A25759" w:rsidR="003D1EE8" w:rsidRPr="003A62F2" w:rsidRDefault="003D1EE8" w:rsidP="003D1EE8">
      <w:pPr>
        <w:spacing w:after="200"/>
        <w:jc w:val="both"/>
        <w:rPr>
          <w:rFonts w:eastAsiaTheme="minorHAnsi" w:cstheme="minorBidi"/>
          <w:szCs w:val="22"/>
        </w:rPr>
      </w:pPr>
      <w:r w:rsidRPr="003A62F2">
        <w:rPr>
          <w:rFonts w:eastAsiaTheme="minorHAnsi" w:cstheme="minorBidi"/>
          <w:szCs w:val="22"/>
        </w:rPr>
        <w:t>The rate base value established under this new process will be used for ratemaking purposes in the acquiring utility’s next general rate case. Section 367.0811(3)(b), F.S. However, Section 367.0811(7), F.S., allows the Commission “to classify the acquired utility system as a separate entity for ratemaking purposes if it is deemed to be in the public interest.”</w:t>
      </w:r>
    </w:p>
    <w:p w14:paraId="7E4ABA37" w14:textId="77777777" w:rsidR="003D1EE8" w:rsidRPr="003A62F2" w:rsidRDefault="003D1EE8" w:rsidP="003D1EE8">
      <w:pPr>
        <w:spacing w:after="200"/>
        <w:jc w:val="both"/>
        <w:rPr>
          <w:rFonts w:eastAsiaTheme="minorHAnsi" w:cstheme="minorBidi"/>
          <w:szCs w:val="22"/>
        </w:rPr>
      </w:pPr>
      <w:r w:rsidRPr="003A62F2">
        <w:rPr>
          <w:rFonts w:eastAsiaTheme="minorHAnsi" w:cstheme="minorBidi"/>
          <w:szCs w:val="22"/>
        </w:rPr>
        <w:t>Section 367.0811(4)(a), F.S., requires the utility system being acquired to be appraised in conformance with the Uniform Standards of Professional Appraisal Practice by “three licensed appraisers chosen from a list established by the commission.” It further requires the acquiring utility pay for the three appraisals. The statute is silent as to how the “licensed appraisers” are to be chosen from the Commission’s list. Section 367.0811(3)(b), F.S., allows reasonable transaction and closing costs incurred by the acquiring utility and reasonable fees paid to the “licensed appraisers” to be included in the rate base value.</w:t>
      </w:r>
    </w:p>
    <w:p w14:paraId="13D6D428" w14:textId="77777777" w:rsidR="003D1EE8" w:rsidRPr="003A62F2" w:rsidRDefault="003D1EE8" w:rsidP="003D1EE8">
      <w:pPr>
        <w:spacing w:after="200"/>
        <w:jc w:val="both"/>
        <w:rPr>
          <w:rFonts w:eastAsiaTheme="minorHAnsi" w:cstheme="minorBidi"/>
          <w:szCs w:val="22"/>
        </w:rPr>
      </w:pPr>
      <w:r w:rsidRPr="003A62F2">
        <w:rPr>
          <w:rFonts w:eastAsiaTheme="minorHAnsi" w:cstheme="minorBidi"/>
          <w:szCs w:val="22"/>
        </w:rPr>
        <w:t>Section 367.0811(4)(b), F.S., requires the acquiring utility and the utility system being acquired to jointly retain a licensed engineer to assess “the tangible assets of the utility system being acquired.” The engineering assessment must be used by the three “licensed appraisers” in determining the value of the utility system being acquired.</w:t>
      </w:r>
    </w:p>
    <w:p w14:paraId="3395C5E5" w14:textId="48377441" w:rsidR="003D1EE8" w:rsidRPr="003A62F2" w:rsidRDefault="003D1EE8" w:rsidP="003D1EE8">
      <w:pPr>
        <w:spacing w:after="200"/>
        <w:jc w:val="both"/>
        <w:rPr>
          <w:rFonts w:eastAsiaTheme="minorHAnsi" w:cstheme="minorBidi"/>
          <w:szCs w:val="22"/>
        </w:rPr>
      </w:pPr>
      <w:r w:rsidRPr="003A62F2">
        <w:rPr>
          <w:rFonts w:eastAsiaTheme="minorHAnsi" w:cstheme="minorBidi"/>
          <w:szCs w:val="22"/>
        </w:rPr>
        <w:t>Section 367.0811(5), F.S., specifies what information must be contained in the petition. Section 367.0811(5)(d), F.S., requires the petition to include a 3-year plan to address each deficiency identified in the engineering assessment, but does not state what must be included in the 3-year plan. Section 367.0811(5)(e), F.S., requires the petition to contain “the 5-year projected rate impact on the customers of the utility system being acquired” and specifies some, but not all, of what the 5-year projected rate impact should include. Section 367.0811(5)(h), F.S., requires the petition to contain a rate stabilization plan if the acquisition would result in a “significant individual increase in rates during the first five years.</w:t>
      </w:r>
      <w:r w:rsidR="00A007A4">
        <w:rPr>
          <w:rFonts w:eastAsiaTheme="minorHAnsi" w:cstheme="minorBidi"/>
          <w:szCs w:val="22"/>
        </w:rPr>
        <w:t>”</w:t>
      </w:r>
      <w:r w:rsidRPr="003A62F2">
        <w:rPr>
          <w:rFonts w:eastAsiaTheme="minorHAnsi" w:cstheme="minorBidi"/>
          <w:szCs w:val="22"/>
        </w:rPr>
        <w:t xml:space="preserve"> However, the statute does not set forth what would constitute “a significant individual increase in rates” or what must be contained in the rate stabilization plan.</w:t>
      </w:r>
    </w:p>
    <w:p w14:paraId="13D5A0FC" w14:textId="6B31EB41" w:rsidR="003D1EE8" w:rsidRDefault="003D1EE8" w:rsidP="003D1EE8">
      <w:pPr>
        <w:spacing w:after="200"/>
        <w:jc w:val="both"/>
        <w:rPr>
          <w:rFonts w:eastAsiaTheme="minorHAnsi" w:cstheme="minorBidi"/>
          <w:szCs w:val="22"/>
        </w:rPr>
      </w:pPr>
      <w:r w:rsidRPr="003A62F2">
        <w:rPr>
          <w:rFonts w:eastAsiaTheme="minorHAnsi" w:cstheme="minorBidi"/>
          <w:szCs w:val="22"/>
        </w:rPr>
        <w:t xml:space="preserve">Section 367.0811(6), F.S., requires that no later than eight months after receiving a complete petition the Commission must </w:t>
      </w:r>
      <w:r w:rsidR="00F93E75">
        <w:rPr>
          <w:rFonts w:eastAsiaTheme="minorHAnsi" w:cstheme="minorBidi"/>
          <w:szCs w:val="22"/>
        </w:rPr>
        <w:t>“grant the petition, in whole or in part, or with modifications, or may deny the petition.” Sections 367.0811(6)(a)</w:t>
      </w:r>
      <w:r w:rsidR="002F1BB3">
        <w:rPr>
          <w:rFonts w:eastAsiaTheme="minorHAnsi" w:cstheme="minorBidi"/>
          <w:szCs w:val="22"/>
        </w:rPr>
        <w:t>-</w:t>
      </w:r>
      <w:r w:rsidR="00F93E75">
        <w:rPr>
          <w:rFonts w:eastAsiaTheme="minorHAnsi" w:cstheme="minorBidi"/>
          <w:szCs w:val="22"/>
        </w:rPr>
        <w:t>(b), F.S.</w:t>
      </w:r>
      <w:r w:rsidRPr="003A62F2">
        <w:rPr>
          <w:rFonts w:eastAsiaTheme="minorHAnsi" w:cstheme="minorBidi"/>
          <w:szCs w:val="22"/>
        </w:rPr>
        <w:t xml:space="preserve"> However, the statute is silent as to how to determine whether a petition is complete or when the petition must be filed.</w:t>
      </w:r>
    </w:p>
    <w:p w14:paraId="3EB07EA0" w14:textId="77777777" w:rsidR="00154881" w:rsidRPr="003A62F2" w:rsidRDefault="00154881" w:rsidP="00154881">
      <w:pPr>
        <w:spacing w:after="200"/>
        <w:jc w:val="both"/>
        <w:rPr>
          <w:rFonts w:eastAsiaTheme="minorHAnsi" w:cstheme="minorBidi"/>
          <w:szCs w:val="22"/>
        </w:rPr>
      </w:pPr>
      <w:r w:rsidRPr="003A62F2">
        <w:rPr>
          <w:rFonts w:eastAsiaTheme="minorHAnsi" w:cstheme="minorBidi"/>
          <w:szCs w:val="22"/>
        </w:rPr>
        <w:lastRenderedPageBreak/>
        <w:t>Section 367.0811(9), F.S., indicates what, at a minimum, the Commission must consider in determining whether a rate base value petition serves the public interest and pursues the statutory goals. Part of the consideration must include improvements to the quality of service and compliance with regulatory requirements.</w:t>
      </w:r>
    </w:p>
    <w:p w14:paraId="375AF9D1" w14:textId="77777777" w:rsidR="00792A67" w:rsidRDefault="003A62F2" w:rsidP="003A62F2">
      <w:pPr>
        <w:spacing w:after="200"/>
        <w:jc w:val="both"/>
        <w:rPr>
          <w:rFonts w:eastAsiaTheme="minorHAnsi" w:cstheme="minorBidi"/>
          <w:szCs w:val="22"/>
        </w:rPr>
      </w:pPr>
      <w:r w:rsidRPr="003A62F2">
        <w:rPr>
          <w:rFonts w:eastAsiaTheme="minorHAnsi" w:cstheme="minorBidi"/>
          <w:szCs w:val="22"/>
        </w:rPr>
        <w:t xml:space="preserve">Section 367.0811(11), F.S., requires the Commission to adopt </w:t>
      </w:r>
      <w:r w:rsidR="00792A67">
        <w:rPr>
          <w:rFonts w:eastAsiaTheme="minorHAnsi" w:cstheme="minorBidi"/>
          <w:szCs w:val="22"/>
        </w:rPr>
        <w:t>rules to implement the statute.</w:t>
      </w:r>
    </w:p>
    <w:p w14:paraId="72E917E9" w14:textId="639F0B6D" w:rsidR="00792A67" w:rsidRDefault="00792A67" w:rsidP="00792A67">
      <w:pPr>
        <w:pStyle w:val="First-LevelSubheading"/>
        <w:rPr>
          <w:rFonts w:eastAsiaTheme="minorHAnsi"/>
        </w:rPr>
      </w:pPr>
      <w:r>
        <w:rPr>
          <w:rFonts w:eastAsiaTheme="minorHAnsi"/>
        </w:rPr>
        <w:t>Procedural Matters</w:t>
      </w:r>
    </w:p>
    <w:p w14:paraId="028011EF" w14:textId="40F72B58" w:rsidR="003A62F2" w:rsidRPr="003A62F2" w:rsidRDefault="003A62F2" w:rsidP="003A62F2">
      <w:pPr>
        <w:spacing w:after="200"/>
        <w:jc w:val="both"/>
        <w:rPr>
          <w:rFonts w:eastAsiaTheme="minorHAnsi" w:cstheme="minorBidi"/>
          <w:szCs w:val="22"/>
        </w:rPr>
      </w:pPr>
      <w:r w:rsidRPr="003A62F2">
        <w:rPr>
          <w:rFonts w:eastAsiaTheme="minorHAnsi" w:cstheme="minorBidi"/>
          <w:szCs w:val="22"/>
        </w:rPr>
        <w:t>In furtherance of the Legislature’s directive,</w:t>
      </w:r>
      <w:r w:rsidR="00F93E75">
        <w:rPr>
          <w:rFonts w:eastAsiaTheme="minorHAnsi" w:cstheme="minorBidi"/>
          <w:szCs w:val="22"/>
        </w:rPr>
        <w:t xml:space="preserve"> staff initiated rulemaking to adopt</w:t>
      </w:r>
      <w:r w:rsidR="0045763C">
        <w:rPr>
          <w:rFonts w:eastAsiaTheme="minorHAnsi" w:cstheme="minorBidi"/>
          <w:szCs w:val="22"/>
        </w:rPr>
        <w:t xml:space="preserve"> a new rule </w:t>
      </w:r>
      <w:r w:rsidR="00F93E75">
        <w:rPr>
          <w:rFonts w:eastAsiaTheme="minorHAnsi" w:cstheme="minorBidi"/>
          <w:szCs w:val="22"/>
        </w:rPr>
        <w:t>to implement Section 367.0811, F.S. T</w:t>
      </w:r>
      <w:r w:rsidRPr="003A62F2">
        <w:rPr>
          <w:rFonts w:eastAsiaTheme="minorHAnsi" w:cstheme="minorBidi"/>
          <w:szCs w:val="22"/>
        </w:rPr>
        <w:t>he Commission’s Notice of Development of Rulemaking was published in Volume 49, Number 211, of the Florida Administrative Register on October 30, 2023. That notice included one rule: Rule 25-30.0372, Florida Administrative Code (F.A.C.),</w:t>
      </w:r>
      <w:r w:rsidR="0045763C">
        <w:rPr>
          <w:rFonts w:eastAsiaTheme="minorHAnsi" w:cstheme="minorBidi"/>
          <w:szCs w:val="22"/>
        </w:rPr>
        <w:t xml:space="preserve"> titled “</w:t>
      </w:r>
      <w:r w:rsidRPr="003A62F2">
        <w:rPr>
          <w:rFonts w:eastAsiaTheme="minorHAnsi" w:cstheme="minorBidi"/>
          <w:szCs w:val="22"/>
        </w:rPr>
        <w:t>Alternative Procedure for Establishing Rate Base Value of Acqu</w:t>
      </w:r>
      <w:r w:rsidR="00E1471D">
        <w:rPr>
          <w:rFonts w:eastAsiaTheme="minorHAnsi" w:cstheme="minorBidi"/>
          <w:szCs w:val="22"/>
        </w:rPr>
        <w:t>ired Utility System</w:t>
      </w:r>
      <w:r w:rsidRPr="003A62F2">
        <w:rPr>
          <w:rFonts w:eastAsiaTheme="minorHAnsi" w:cstheme="minorBidi"/>
          <w:szCs w:val="22"/>
        </w:rPr>
        <w:t>.</w:t>
      </w:r>
      <w:r w:rsidR="0045763C">
        <w:rPr>
          <w:rFonts w:eastAsiaTheme="minorHAnsi" w:cstheme="minorBidi"/>
          <w:szCs w:val="22"/>
        </w:rPr>
        <w:t>”</w:t>
      </w:r>
    </w:p>
    <w:p w14:paraId="063CB0C8" w14:textId="58318BAC" w:rsidR="003A62F2" w:rsidRDefault="003A62F2" w:rsidP="003A62F2">
      <w:pPr>
        <w:spacing w:after="200"/>
        <w:jc w:val="both"/>
        <w:rPr>
          <w:rFonts w:eastAsiaTheme="minorHAnsi" w:cstheme="minorBidi"/>
          <w:szCs w:val="22"/>
        </w:rPr>
      </w:pPr>
      <w:r w:rsidRPr="003A62F2">
        <w:rPr>
          <w:rFonts w:eastAsiaTheme="minorHAnsi" w:cstheme="minorBidi"/>
          <w:szCs w:val="22"/>
        </w:rPr>
        <w:t>Staff held a rule development workshop on November 14, 2023, to obta</w:t>
      </w:r>
      <w:r w:rsidR="00937CFD">
        <w:rPr>
          <w:rFonts w:eastAsiaTheme="minorHAnsi" w:cstheme="minorBidi"/>
          <w:szCs w:val="22"/>
        </w:rPr>
        <w:t xml:space="preserve">in stakeholder comments on the </w:t>
      </w:r>
      <w:r w:rsidR="006C37C9">
        <w:rPr>
          <w:rFonts w:eastAsiaTheme="minorHAnsi" w:cstheme="minorBidi"/>
          <w:szCs w:val="22"/>
        </w:rPr>
        <w:t xml:space="preserve">draft </w:t>
      </w:r>
      <w:r w:rsidR="00937CFD">
        <w:rPr>
          <w:rFonts w:eastAsiaTheme="minorHAnsi" w:cstheme="minorBidi"/>
          <w:szCs w:val="22"/>
        </w:rPr>
        <w:t>r</w:t>
      </w:r>
      <w:r w:rsidRPr="003A62F2">
        <w:rPr>
          <w:rFonts w:eastAsiaTheme="minorHAnsi" w:cstheme="minorBidi"/>
          <w:szCs w:val="22"/>
        </w:rPr>
        <w:t>ule. Prior to the workshop, Sunshine Water Services</w:t>
      </w:r>
      <w:r w:rsidR="00D1190E">
        <w:rPr>
          <w:rFonts w:eastAsiaTheme="minorHAnsi" w:cstheme="minorBidi"/>
          <w:szCs w:val="22"/>
        </w:rPr>
        <w:t xml:space="preserve"> (Sunshine)</w:t>
      </w:r>
      <w:r w:rsidRPr="003A62F2">
        <w:rPr>
          <w:rFonts w:eastAsiaTheme="minorHAnsi" w:cstheme="minorBidi"/>
          <w:szCs w:val="22"/>
        </w:rPr>
        <w:t xml:space="preserve"> submitted pre-workshop comments. Representatives of the Office of Public Counsel </w:t>
      </w:r>
      <w:r w:rsidR="00D1190E">
        <w:rPr>
          <w:rFonts w:eastAsiaTheme="minorHAnsi" w:cstheme="minorBidi"/>
          <w:szCs w:val="22"/>
        </w:rPr>
        <w:t xml:space="preserve">(OPC), </w:t>
      </w:r>
      <w:r w:rsidR="00F93E75">
        <w:rPr>
          <w:rFonts w:eastAsiaTheme="minorHAnsi" w:cstheme="minorBidi"/>
          <w:szCs w:val="22"/>
        </w:rPr>
        <w:t>Sunshine</w:t>
      </w:r>
      <w:r w:rsidRPr="003A62F2">
        <w:rPr>
          <w:rFonts w:eastAsiaTheme="minorHAnsi" w:cstheme="minorBidi"/>
          <w:szCs w:val="22"/>
        </w:rPr>
        <w:t>, American Water, U.S. Water Se</w:t>
      </w:r>
      <w:r w:rsidR="00F93E75">
        <w:rPr>
          <w:rFonts w:eastAsiaTheme="minorHAnsi" w:cstheme="minorBidi"/>
          <w:szCs w:val="22"/>
        </w:rPr>
        <w:t>rvices Corporation (U.S. Water</w:t>
      </w:r>
      <w:r w:rsidRPr="003A62F2">
        <w:rPr>
          <w:rFonts w:eastAsiaTheme="minorHAnsi" w:cstheme="minorBidi"/>
          <w:szCs w:val="22"/>
        </w:rPr>
        <w:t xml:space="preserve">), Southwest Florida </w:t>
      </w:r>
      <w:r w:rsidR="00F93E75">
        <w:rPr>
          <w:rFonts w:eastAsiaTheme="minorHAnsi" w:cstheme="minorBidi"/>
          <w:szCs w:val="22"/>
        </w:rPr>
        <w:t>Company and Florida Utilities (SWFCFU</w:t>
      </w:r>
      <w:r w:rsidRPr="003A62F2">
        <w:rPr>
          <w:rFonts w:eastAsiaTheme="minorHAnsi" w:cstheme="minorBidi"/>
          <w:szCs w:val="22"/>
        </w:rPr>
        <w:t>),</w:t>
      </w:r>
      <w:r w:rsidR="00F93E75">
        <w:rPr>
          <w:rFonts w:eastAsiaTheme="minorHAnsi" w:cstheme="minorBidi"/>
          <w:szCs w:val="22"/>
        </w:rPr>
        <w:t xml:space="preserve"> Central States Water Systems (Central), and CSWR-Florida (CSWR</w:t>
      </w:r>
      <w:r w:rsidRPr="003A62F2">
        <w:rPr>
          <w:rFonts w:eastAsiaTheme="minorHAnsi" w:cstheme="minorBidi"/>
          <w:szCs w:val="22"/>
        </w:rPr>
        <w:t>) attended the workshop. U.S. Water, OPC, CSWR, and Sunshine submitted post-workshop comments.</w:t>
      </w:r>
    </w:p>
    <w:p w14:paraId="6156898D" w14:textId="206CD490" w:rsidR="003A62F2" w:rsidRPr="003A62F2" w:rsidRDefault="003A62F2" w:rsidP="003A62F2">
      <w:pPr>
        <w:spacing w:after="200"/>
        <w:jc w:val="both"/>
        <w:rPr>
          <w:rFonts w:eastAsiaTheme="minorHAnsi" w:cstheme="minorBidi"/>
          <w:szCs w:val="22"/>
        </w:rPr>
      </w:pPr>
      <w:r w:rsidRPr="003A62F2">
        <w:rPr>
          <w:rFonts w:eastAsiaTheme="minorHAnsi" w:cstheme="minorBidi"/>
          <w:szCs w:val="22"/>
        </w:rPr>
        <w:t>This recommendation addresses whether the Commission should propose new Rule 25-30.0372, F.A.C. The Commission has jurisdiction pursuant to Sections 120.54</w:t>
      </w:r>
      <w:r w:rsidR="002F1BB3">
        <w:rPr>
          <w:rFonts w:eastAsiaTheme="minorHAnsi" w:cstheme="minorBidi"/>
          <w:szCs w:val="22"/>
        </w:rPr>
        <w:t>,</w:t>
      </w:r>
      <w:r w:rsidRPr="003A62F2">
        <w:rPr>
          <w:rFonts w:eastAsiaTheme="minorHAnsi" w:cstheme="minorBidi"/>
          <w:szCs w:val="22"/>
        </w:rPr>
        <w:t xml:space="preserve"> 350.127(2), and 367.121(1), F.S.</w:t>
      </w:r>
    </w:p>
    <w:p w14:paraId="4FE7CD17" w14:textId="77777777" w:rsidR="0068481F" w:rsidRDefault="0068481F">
      <w:pPr>
        <w:pStyle w:val="BodyText"/>
      </w:pPr>
    </w:p>
    <w:p w14:paraId="0AB3C4F9" w14:textId="77777777" w:rsidR="00D34E24" w:rsidRDefault="00D34E24" w:rsidP="0068481F">
      <w:pPr>
        <w:sectPr w:rsidR="00D34E24">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14:paraId="450B0D76" w14:textId="77777777" w:rsidR="007C0528" w:rsidRDefault="007C0528">
      <w:pPr>
        <w:pStyle w:val="RecommendationMajorSectionHeading"/>
      </w:pPr>
      <w:bookmarkStart w:id="15" w:name="DiscussionOfIssues"/>
      <w:bookmarkEnd w:id="11"/>
      <w:r>
        <w:lastRenderedPageBreak/>
        <w:t>Discussion of Issues</w:t>
      </w:r>
    </w:p>
    <w:bookmarkEnd w:id="15"/>
    <w:p w14:paraId="541034F8" w14:textId="7C496C6D" w:rsidR="00F026C5" w:rsidRDefault="00F026C5">
      <w:pPr>
        <w:pStyle w:val="IssueHeading"/>
        <w:rPr>
          <w:vanish/>
          <w:specVanish/>
        </w:rPr>
      </w:pPr>
      <w:r w:rsidRPr="004C3641">
        <w:t xml:space="preserve">Issue </w:t>
      </w:r>
      <w:r w:rsidR="00E42163">
        <w:fldChar w:fldCharType="begin"/>
      </w:r>
      <w:r w:rsidR="00E42163">
        <w:instrText xml:space="preserve"> SEQ Issue \* MERGEFORMAT </w:instrText>
      </w:r>
      <w:r w:rsidR="00E42163">
        <w:fldChar w:fldCharType="separate"/>
      </w:r>
      <w:r w:rsidR="00913635">
        <w:rPr>
          <w:noProof/>
        </w:rPr>
        <w:t>1</w:t>
      </w:r>
      <w:r w:rsidR="00E4216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913635">
        <w:rPr>
          <w:noProof/>
        </w:rPr>
        <w:instrText>1</w:instrText>
      </w:r>
      <w:r>
        <w:fldChar w:fldCharType="end"/>
      </w:r>
      <w:r>
        <w:tab/>
        <w:instrText xml:space="preserve">" \l 1 </w:instrText>
      </w:r>
      <w:r>
        <w:fldChar w:fldCharType="end"/>
      </w:r>
      <w:r>
        <w:t> </w:t>
      </w:r>
    </w:p>
    <w:p w14:paraId="0CCCE46A" w14:textId="4E39F723" w:rsidR="00F026C5" w:rsidRDefault="00F026C5">
      <w:pPr>
        <w:pStyle w:val="BodyText"/>
      </w:pPr>
      <w:r>
        <w:t> Sho</w:t>
      </w:r>
      <w:r w:rsidR="00792A67">
        <w:t>uld the Commission propose the a</w:t>
      </w:r>
      <w:r>
        <w:t xml:space="preserve">doption of </w:t>
      </w:r>
      <w:r w:rsidR="003A62F2">
        <w:t>Rule 25-30.0372, F.A.C., Alternative Procedure for Establishing Rate Base Value of Acquired Utility System?</w:t>
      </w:r>
    </w:p>
    <w:p w14:paraId="2B637393" w14:textId="77777777" w:rsidR="00F026C5" w:rsidRPr="004C3641" w:rsidRDefault="00F026C5">
      <w:pPr>
        <w:pStyle w:val="IssueSubsectionHeading"/>
        <w:rPr>
          <w:vanish/>
          <w:specVanish/>
        </w:rPr>
      </w:pPr>
      <w:r w:rsidRPr="004C3641">
        <w:t>Recommendation: </w:t>
      </w:r>
    </w:p>
    <w:p w14:paraId="2155A9AB" w14:textId="3A2F5251" w:rsidR="00F026C5" w:rsidRDefault="00F026C5">
      <w:pPr>
        <w:pStyle w:val="BodyText"/>
      </w:pPr>
      <w:r>
        <w:t> </w:t>
      </w:r>
      <w:r w:rsidR="00706102">
        <w:t xml:space="preserve">Yes. </w:t>
      </w:r>
      <w:r w:rsidR="003A62F2">
        <w:t>The Commission should propose the adoption of Rule 25-30.0372, F.A.C., as set forth in Attachment A. The Commission shou</w:t>
      </w:r>
      <w:r w:rsidR="00161372">
        <w:t>ld also certify</w:t>
      </w:r>
      <w:r w:rsidR="00E61432">
        <w:t xml:space="preserve"> the r</w:t>
      </w:r>
      <w:r w:rsidR="00161372">
        <w:t>ule</w:t>
      </w:r>
      <w:r w:rsidR="003A62F2">
        <w:t xml:space="preserve"> as a minor violation rule. (Sapoznikoff, </w:t>
      </w:r>
      <w:r w:rsidR="003A62F2" w:rsidRPr="00DE6FF4">
        <w:t>Cicchetti</w:t>
      </w:r>
      <w:r w:rsidR="0077642B">
        <w:t>, Watts</w:t>
      </w:r>
      <w:r w:rsidR="008B0B29">
        <w:t xml:space="preserve">, </w:t>
      </w:r>
      <w:r w:rsidR="003A62F2">
        <w:t>Guffey</w:t>
      </w:r>
      <w:r w:rsidR="00F34BA8">
        <w:t>)</w:t>
      </w:r>
    </w:p>
    <w:p w14:paraId="6E5AC1BC" w14:textId="77777777" w:rsidR="00F026C5" w:rsidRPr="004C3641" w:rsidRDefault="00F026C5">
      <w:pPr>
        <w:pStyle w:val="IssueSubsectionHeading"/>
        <w:rPr>
          <w:vanish/>
          <w:specVanish/>
        </w:rPr>
      </w:pPr>
      <w:r w:rsidRPr="004C3641">
        <w:t>Staff Analysis: </w:t>
      </w:r>
    </w:p>
    <w:p w14:paraId="2AC7477A" w14:textId="32FC5DAB" w:rsidR="00F026C5" w:rsidRDefault="00F026C5">
      <w:pPr>
        <w:pStyle w:val="BodyText"/>
      </w:pPr>
      <w:r>
        <w:t> </w:t>
      </w:r>
      <w:r w:rsidR="003A62F2">
        <w:t>The purpose of this rulemaking is to</w:t>
      </w:r>
      <w:r w:rsidR="00E1471D">
        <w:t xml:space="preserve"> </w:t>
      </w:r>
      <w:r w:rsidR="003D1EE8">
        <w:t>adopt</w:t>
      </w:r>
      <w:r w:rsidR="00E1471D">
        <w:t xml:space="preserve"> Rule 25-30-0372, F.A.C., </w:t>
      </w:r>
      <w:r w:rsidR="003A62F2">
        <w:t xml:space="preserve">to </w:t>
      </w:r>
      <w:r w:rsidR="003D1EE8">
        <w:t>implement</w:t>
      </w:r>
      <w:r w:rsidR="003A62F2">
        <w:t xml:space="preserve"> the requirements of Section 367.0811, F.S. Staff recommends that the Commission propose adoption of Rule 25-30.0372, F.A.C., as set forth in Attachment A.</w:t>
      </w:r>
      <w:r w:rsidR="003D1EE8">
        <w:t xml:space="preserve"> Below is a detailed explanation of each section of the rule that staff recommends and stakeholder comments on the rule provisions.</w:t>
      </w:r>
    </w:p>
    <w:p w14:paraId="22C58299" w14:textId="51D95445" w:rsidR="002F2480" w:rsidRDefault="000202F9" w:rsidP="00F049DD">
      <w:pPr>
        <w:pStyle w:val="First-LevelSubheading"/>
      </w:pPr>
      <w:r>
        <w:t xml:space="preserve">Subsection </w:t>
      </w:r>
      <w:r w:rsidR="00261187">
        <w:t>(1)</w:t>
      </w:r>
      <w:r w:rsidR="00BB09BE">
        <w:t xml:space="preserve"> - </w:t>
      </w:r>
      <w:r w:rsidR="003D1EE8">
        <w:t>Definitions</w:t>
      </w:r>
    </w:p>
    <w:p w14:paraId="1AA4E67D" w14:textId="40B24D8B" w:rsidR="007A3490" w:rsidRPr="007A3490" w:rsidRDefault="007A3490" w:rsidP="007A3490">
      <w:pPr>
        <w:pStyle w:val="BodyText"/>
      </w:pPr>
      <w:r>
        <w:t>Staff drafted this section to define certain terms used in the rule, either because the term had no clear meaning or to simplify and streamline discussion of other components of the rule by using a specific definition.</w:t>
      </w:r>
    </w:p>
    <w:p w14:paraId="781C115A" w14:textId="602BEF97" w:rsidR="009C48FB" w:rsidRDefault="000202F9" w:rsidP="009C48FB">
      <w:pPr>
        <w:pStyle w:val="Second-LevelSubheading"/>
        <w:rPr>
          <w:rFonts w:eastAsiaTheme="minorHAnsi"/>
        </w:rPr>
      </w:pPr>
      <w:r>
        <w:rPr>
          <w:rFonts w:eastAsiaTheme="minorHAnsi"/>
        </w:rPr>
        <w:t xml:space="preserve">Paragraph </w:t>
      </w:r>
      <w:r w:rsidR="009C48FB" w:rsidRPr="009C48FB">
        <w:rPr>
          <w:rFonts w:eastAsiaTheme="minorHAnsi"/>
        </w:rPr>
        <w:t>(1)(a)</w:t>
      </w:r>
      <w:r w:rsidR="00792A67">
        <w:rPr>
          <w:rFonts w:eastAsiaTheme="minorHAnsi"/>
          <w:i w:val="0"/>
        </w:rPr>
        <w:t xml:space="preserve"> - D</w:t>
      </w:r>
      <w:r w:rsidR="00CE28B6">
        <w:rPr>
          <w:rFonts w:eastAsiaTheme="minorHAnsi"/>
          <w:i w:val="0"/>
        </w:rPr>
        <w:t>ef</w:t>
      </w:r>
      <w:r w:rsidR="001F3A03">
        <w:rPr>
          <w:rFonts w:eastAsiaTheme="minorHAnsi"/>
          <w:i w:val="0"/>
        </w:rPr>
        <w:t>inition of “L</w:t>
      </w:r>
      <w:r w:rsidR="00792A67">
        <w:rPr>
          <w:rFonts w:eastAsiaTheme="minorHAnsi"/>
          <w:i w:val="0"/>
        </w:rPr>
        <w:t xml:space="preserve">icensed </w:t>
      </w:r>
      <w:r w:rsidR="001F3A03">
        <w:rPr>
          <w:rFonts w:eastAsiaTheme="minorHAnsi"/>
          <w:i w:val="0"/>
        </w:rPr>
        <w:t>A</w:t>
      </w:r>
      <w:r w:rsidR="00792A67">
        <w:rPr>
          <w:rFonts w:eastAsiaTheme="minorHAnsi"/>
          <w:i w:val="0"/>
        </w:rPr>
        <w:t>ppraiser”</w:t>
      </w:r>
    </w:p>
    <w:p w14:paraId="60DBF31D" w14:textId="0219AE18" w:rsidR="00436269" w:rsidRDefault="00261187" w:rsidP="00EE7513">
      <w:pPr>
        <w:spacing w:after="200"/>
        <w:jc w:val="both"/>
        <w:rPr>
          <w:rFonts w:eastAsiaTheme="minorHAnsi" w:cstheme="minorBidi"/>
          <w:szCs w:val="22"/>
        </w:rPr>
      </w:pPr>
      <w:r w:rsidRPr="003A62F2">
        <w:rPr>
          <w:rFonts w:eastAsiaTheme="minorHAnsi" w:cstheme="minorBidi"/>
          <w:szCs w:val="22"/>
        </w:rPr>
        <w:t>Section 367.0811(4)(a), F.S.,</w:t>
      </w:r>
      <w:r>
        <w:rPr>
          <w:rFonts w:eastAsiaTheme="minorHAnsi" w:cstheme="minorBidi"/>
          <w:szCs w:val="22"/>
        </w:rPr>
        <w:t xml:space="preserve"> </w:t>
      </w:r>
      <w:r w:rsidR="003A62F2" w:rsidRPr="003A62F2">
        <w:rPr>
          <w:rFonts w:eastAsiaTheme="minorHAnsi" w:cstheme="minorBidi"/>
          <w:szCs w:val="22"/>
        </w:rPr>
        <w:t>requir</w:t>
      </w:r>
      <w:r>
        <w:rPr>
          <w:rFonts w:eastAsiaTheme="minorHAnsi" w:cstheme="minorBidi"/>
          <w:szCs w:val="22"/>
        </w:rPr>
        <w:t>es</w:t>
      </w:r>
      <w:r w:rsidR="003A62F2" w:rsidRPr="003A62F2">
        <w:rPr>
          <w:rFonts w:eastAsiaTheme="minorHAnsi" w:cstheme="minorBidi"/>
          <w:szCs w:val="22"/>
        </w:rPr>
        <w:t xml:space="preserve"> three appraisals </w:t>
      </w:r>
      <w:r>
        <w:rPr>
          <w:rFonts w:eastAsiaTheme="minorHAnsi" w:cstheme="minorBidi"/>
          <w:szCs w:val="22"/>
        </w:rPr>
        <w:t xml:space="preserve">to be </w:t>
      </w:r>
      <w:r w:rsidR="003A62F2" w:rsidRPr="003A62F2">
        <w:rPr>
          <w:rFonts w:eastAsiaTheme="minorHAnsi" w:cstheme="minorBidi"/>
          <w:szCs w:val="22"/>
        </w:rPr>
        <w:t xml:space="preserve">performed by “licensed appraisers chosen </w:t>
      </w:r>
      <w:r w:rsidR="00792A67">
        <w:rPr>
          <w:rFonts w:eastAsiaTheme="minorHAnsi" w:cstheme="minorBidi"/>
          <w:szCs w:val="22"/>
        </w:rPr>
        <w:t>from a list established by the [C]</w:t>
      </w:r>
      <w:r w:rsidR="003A62F2" w:rsidRPr="003A62F2">
        <w:rPr>
          <w:rFonts w:eastAsiaTheme="minorHAnsi" w:cstheme="minorBidi"/>
          <w:szCs w:val="22"/>
        </w:rPr>
        <w:t>ommission</w:t>
      </w:r>
      <w:r>
        <w:rPr>
          <w:rFonts w:eastAsiaTheme="minorHAnsi" w:cstheme="minorBidi"/>
          <w:szCs w:val="22"/>
        </w:rPr>
        <w:t>.</w:t>
      </w:r>
      <w:r w:rsidR="003A62F2" w:rsidRPr="003A62F2">
        <w:rPr>
          <w:rFonts w:eastAsiaTheme="minorHAnsi" w:cstheme="minorBidi"/>
          <w:szCs w:val="22"/>
        </w:rPr>
        <w:t xml:space="preserve">” </w:t>
      </w:r>
      <w:r>
        <w:rPr>
          <w:rFonts w:eastAsiaTheme="minorHAnsi" w:cstheme="minorBidi"/>
          <w:szCs w:val="22"/>
        </w:rPr>
        <w:t xml:space="preserve">However, it </w:t>
      </w:r>
      <w:r w:rsidR="003A62F2" w:rsidRPr="003A62F2">
        <w:rPr>
          <w:rFonts w:eastAsiaTheme="minorHAnsi" w:cstheme="minorBidi"/>
          <w:szCs w:val="22"/>
        </w:rPr>
        <w:t>does not define “licensed appraiser</w:t>
      </w:r>
      <w:r w:rsidR="007A3490">
        <w:rPr>
          <w:rFonts w:eastAsiaTheme="minorHAnsi" w:cstheme="minorBidi"/>
          <w:szCs w:val="22"/>
        </w:rPr>
        <w:t>.</w:t>
      </w:r>
      <w:r w:rsidR="003A62F2" w:rsidRPr="003A62F2">
        <w:rPr>
          <w:rFonts w:eastAsiaTheme="minorHAnsi" w:cstheme="minorBidi"/>
          <w:szCs w:val="22"/>
        </w:rPr>
        <w:t xml:space="preserve">” Florida’s Department of Business and Professional Regulation has not issued a license for the category of “licensed appraiser” since July 1, 2003. </w:t>
      </w:r>
      <w:r w:rsidR="003A62F2" w:rsidRPr="003A62F2">
        <w:rPr>
          <w:rFonts w:eastAsiaTheme="minorHAnsi" w:cstheme="minorBidi"/>
          <w:i/>
          <w:szCs w:val="22"/>
        </w:rPr>
        <w:t>See</w:t>
      </w:r>
      <w:r w:rsidR="003A62F2" w:rsidRPr="003A62F2">
        <w:rPr>
          <w:rFonts w:eastAsiaTheme="minorHAnsi" w:cstheme="minorBidi"/>
          <w:szCs w:val="22"/>
        </w:rPr>
        <w:t xml:space="preserve"> Section 475.611(1)(t), F.S.</w:t>
      </w:r>
      <w:r w:rsidR="00E1471D">
        <w:rPr>
          <w:rStyle w:val="FootnoteReference"/>
          <w:rFonts w:eastAsiaTheme="minorHAnsi" w:cstheme="minorBidi"/>
          <w:szCs w:val="22"/>
        </w:rPr>
        <w:footnoteReference w:id="1"/>
      </w:r>
      <w:r>
        <w:rPr>
          <w:rFonts w:eastAsiaTheme="minorHAnsi" w:cstheme="minorBidi"/>
          <w:szCs w:val="22"/>
        </w:rPr>
        <w:t xml:space="preserve"> </w:t>
      </w:r>
      <w:r w:rsidR="003A62F2" w:rsidRPr="003A62F2">
        <w:rPr>
          <w:rFonts w:eastAsiaTheme="minorHAnsi" w:cstheme="minorBidi"/>
          <w:szCs w:val="22"/>
        </w:rPr>
        <w:t xml:space="preserve">Accordingly, </w:t>
      </w:r>
      <w:r w:rsidR="00792A67">
        <w:rPr>
          <w:rFonts w:eastAsiaTheme="minorHAnsi" w:cstheme="minorBidi"/>
          <w:szCs w:val="22"/>
        </w:rPr>
        <w:t xml:space="preserve">staff believes that </w:t>
      </w:r>
      <w:r w:rsidR="00E1471D">
        <w:rPr>
          <w:rFonts w:eastAsiaTheme="minorHAnsi" w:cstheme="minorBidi"/>
          <w:szCs w:val="22"/>
        </w:rPr>
        <w:t>the r</w:t>
      </w:r>
      <w:r w:rsidR="007A3490">
        <w:rPr>
          <w:rFonts w:eastAsiaTheme="minorHAnsi" w:cstheme="minorBidi"/>
          <w:szCs w:val="22"/>
        </w:rPr>
        <w:t>ule need</w:t>
      </w:r>
      <w:r w:rsidR="0024069D">
        <w:rPr>
          <w:rFonts w:eastAsiaTheme="minorHAnsi" w:cstheme="minorBidi"/>
          <w:szCs w:val="22"/>
        </w:rPr>
        <w:t>s</w:t>
      </w:r>
      <w:r w:rsidR="007A3490">
        <w:rPr>
          <w:rFonts w:eastAsiaTheme="minorHAnsi" w:cstheme="minorBidi"/>
          <w:szCs w:val="22"/>
        </w:rPr>
        <w:t xml:space="preserve"> to define that term.</w:t>
      </w:r>
    </w:p>
    <w:p w14:paraId="61D15D34" w14:textId="46AF5009" w:rsidR="00BD3262" w:rsidRDefault="0024069D" w:rsidP="00EE7513">
      <w:pPr>
        <w:spacing w:after="200"/>
        <w:jc w:val="both"/>
        <w:rPr>
          <w:rFonts w:eastAsiaTheme="minorHAnsi" w:cstheme="minorBidi"/>
          <w:szCs w:val="22"/>
        </w:rPr>
      </w:pPr>
      <w:r w:rsidRPr="0024069D">
        <w:rPr>
          <w:rFonts w:eastAsiaTheme="minorHAnsi" w:cstheme="minorBidi"/>
          <w:szCs w:val="22"/>
        </w:rPr>
        <w:t xml:space="preserve">The definition </w:t>
      </w:r>
      <w:r>
        <w:rPr>
          <w:rFonts w:eastAsiaTheme="minorHAnsi" w:cstheme="minorBidi"/>
          <w:szCs w:val="22"/>
        </w:rPr>
        <w:t xml:space="preserve">of “licensed appraiser” </w:t>
      </w:r>
      <w:r w:rsidR="000A1F7B">
        <w:rPr>
          <w:rFonts w:eastAsiaTheme="minorHAnsi" w:cstheme="minorBidi"/>
          <w:szCs w:val="22"/>
        </w:rPr>
        <w:t xml:space="preserve">that staff is recommending </w:t>
      </w:r>
      <w:r w:rsidR="001F3A03">
        <w:rPr>
          <w:rFonts w:eastAsiaTheme="minorHAnsi" w:cstheme="minorBidi"/>
          <w:szCs w:val="22"/>
        </w:rPr>
        <w:t xml:space="preserve">includes individuals who hold the following certifications or designations: </w:t>
      </w:r>
      <w:r w:rsidR="001F3A03" w:rsidRPr="001F3A03">
        <w:rPr>
          <w:rFonts w:eastAsiaTheme="minorHAnsi" w:cstheme="minorBidi"/>
          <w:szCs w:val="22"/>
        </w:rPr>
        <w:t>Accredited Senior Appraiser by the Ameri</w:t>
      </w:r>
      <w:r w:rsidR="00D1190E">
        <w:rPr>
          <w:rFonts w:eastAsiaTheme="minorHAnsi" w:cstheme="minorBidi"/>
          <w:szCs w:val="22"/>
        </w:rPr>
        <w:t>can Society of Appraisers (ASA</w:t>
      </w:r>
      <w:r w:rsidR="001F3A03" w:rsidRPr="001F3A03">
        <w:rPr>
          <w:rFonts w:eastAsiaTheme="minorHAnsi" w:cstheme="minorBidi"/>
          <w:szCs w:val="22"/>
        </w:rPr>
        <w:t>), designation as a Certified Valuation Analyst by the National Association of Cer</w:t>
      </w:r>
      <w:r w:rsidR="00D1190E">
        <w:rPr>
          <w:rFonts w:eastAsiaTheme="minorHAnsi" w:cstheme="minorBidi"/>
          <w:szCs w:val="22"/>
        </w:rPr>
        <w:t>tified Valuators and Analysts (NACVA</w:t>
      </w:r>
      <w:r w:rsidR="001F3A03" w:rsidRPr="001F3A03">
        <w:rPr>
          <w:rFonts w:eastAsiaTheme="minorHAnsi" w:cstheme="minorBidi"/>
          <w:szCs w:val="22"/>
        </w:rPr>
        <w:t>), designation as a Certified Business Appraiser by the Institu</w:t>
      </w:r>
      <w:r w:rsidR="00D1190E">
        <w:rPr>
          <w:rFonts w:eastAsiaTheme="minorHAnsi" w:cstheme="minorBidi"/>
          <w:szCs w:val="22"/>
        </w:rPr>
        <w:t>te of Business Appraisers (IBA</w:t>
      </w:r>
      <w:r w:rsidR="001F3A03" w:rsidRPr="001F3A03">
        <w:rPr>
          <w:rFonts w:eastAsiaTheme="minorHAnsi" w:cstheme="minorBidi"/>
          <w:szCs w:val="22"/>
        </w:rPr>
        <w:t>), or designation as Accredited in Business Valuation by the American Institute of</w:t>
      </w:r>
      <w:r w:rsidR="00D1190E">
        <w:rPr>
          <w:rFonts w:eastAsiaTheme="minorHAnsi" w:cstheme="minorBidi"/>
          <w:szCs w:val="22"/>
        </w:rPr>
        <w:t xml:space="preserve"> Certified Public Accountants (AICPA</w:t>
      </w:r>
      <w:r w:rsidR="001F3A03" w:rsidRPr="001F3A03">
        <w:rPr>
          <w:rFonts w:eastAsiaTheme="minorHAnsi" w:cstheme="minorBidi"/>
          <w:szCs w:val="22"/>
        </w:rPr>
        <w:t>)</w:t>
      </w:r>
      <w:r w:rsidR="001F3A03">
        <w:rPr>
          <w:rFonts w:eastAsiaTheme="minorHAnsi" w:cstheme="minorBidi"/>
          <w:szCs w:val="22"/>
        </w:rPr>
        <w:t xml:space="preserve">. Staff’s recommended definition </w:t>
      </w:r>
      <w:r>
        <w:rPr>
          <w:rFonts w:eastAsiaTheme="minorHAnsi" w:cstheme="minorBidi"/>
          <w:szCs w:val="22"/>
        </w:rPr>
        <w:t xml:space="preserve">is designed to identify </w:t>
      </w:r>
      <w:r w:rsidR="001F3A03">
        <w:rPr>
          <w:rFonts w:eastAsiaTheme="minorHAnsi" w:cstheme="minorBidi"/>
          <w:szCs w:val="22"/>
        </w:rPr>
        <w:t>those individuals who</w:t>
      </w:r>
      <w:r w:rsidRPr="0024069D">
        <w:rPr>
          <w:rFonts w:eastAsiaTheme="minorHAnsi" w:cstheme="minorBidi"/>
          <w:szCs w:val="22"/>
        </w:rPr>
        <w:t xml:space="preserve"> would have the skills necessary to perform the valuation of the utility being acquired.</w:t>
      </w:r>
      <w:r>
        <w:rPr>
          <w:rFonts w:eastAsiaTheme="minorHAnsi" w:cstheme="minorBidi"/>
          <w:szCs w:val="22"/>
        </w:rPr>
        <w:t xml:space="preserve"> Staff reviewed the </w:t>
      </w:r>
      <w:r w:rsidR="003A62F2" w:rsidRPr="003A62F2">
        <w:rPr>
          <w:rFonts w:eastAsiaTheme="minorHAnsi" w:cstheme="minorBidi"/>
          <w:szCs w:val="22"/>
        </w:rPr>
        <w:t xml:space="preserve">standards adopted in other jurisdictions that allow for a similar valuation of </w:t>
      </w:r>
      <w:r>
        <w:rPr>
          <w:rFonts w:eastAsiaTheme="minorHAnsi" w:cstheme="minorBidi"/>
          <w:szCs w:val="22"/>
        </w:rPr>
        <w:t xml:space="preserve">acquired </w:t>
      </w:r>
      <w:r w:rsidR="003A62F2" w:rsidRPr="003A62F2">
        <w:rPr>
          <w:rFonts w:eastAsiaTheme="minorHAnsi" w:cstheme="minorBidi"/>
          <w:szCs w:val="22"/>
        </w:rPr>
        <w:t>water and wastewater utilities</w:t>
      </w:r>
      <w:r w:rsidR="0045763C">
        <w:rPr>
          <w:rFonts w:eastAsiaTheme="minorHAnsi" w:cstheme="minorBidi"/>
          <w:szCs w:val="22"/>
        </w:rPr>
        <w:t xml:space="preserve">. Staff also looked at </w:t>
      </w:r>
      <w:r>
        <w:rPr>
          <w:rFonts w:eastAsiaTheme="minorHAnsi" w:cstheme="minorBidi"/>
          <w:szCs w:val="22"/>
        </w:rPr>
        <w:t xml:space="preserve">the credentials held by valuation experts who have testified before the Commission in other matters and the credentials </w:t>
      </w:r>
      <w:r w:rsidR="00BD3262">
        <w:rPr>
          <w:rFonts w:eastAsiaTheme="minorHAnsi" w:cstheme="minorBidi"/>
          <w:szCs w:val="22"/>
        </w:rPr>
        <w:t>required to b</w:t>
      </w:r>
      <w:r>
        <w:rPr>
          <w:rFonts w:eastAsiaTheme="minorHAnsi" w:cstheme="minorBidi"/>
          <w:szCs w:val="22"/>
        </w:rPr>
        <w:t xml:space="preserve">e on </w:t>
      </w:r>
      <w:r w:rsidR="00BD3262">
        <w:rPr>
          <w:rFonts w:eastAsiaTheme="minorHAnsi" w:cstheme="minorBidi"/>
          <w:szCs w:val="22"/>
        </w:rPr>
        <w:t xml:space="preserve">the Approved Appraiser List of </w:t>
      </w:r>
      <w:r>
        <w:rPr>
          <w:rFonts w:eastAsiaTheme="minorHAnsi" w:cstheme="minorBidi"/>
          <w:szCs w:val="22"/>
        </w:rPr>
        <w:t>Florida’s Department of Environmental Protection</w:t>
      </w:r>
      <w:r w:rsidR="00BD3262">
        <w:rPr>
          <w:rFonts w:eastAsiaTheme="minorHAnsi" w:cstheme="minorBidi"/>
          <w:szCs w:val="22"/>
        </w:rPr>
        <w:t>, Division of State Lands, Bureau of Appraisal. In doing so it was discovered that most of these valuation experts are not necessarily appraisers, but are also engineers and certified public accountants.</w:t>
      </w:r>
    </w:p>
    <w:p w14:paraId="710A9099" w14:textId="6B22DFC1" w:rsidR="003A62F2" w:rsidRDefault="003A62F2" w:rsidP="00EE7513">
      <w:pPr>
        <w:spacing w:after="200"/>
        <w:jc w:val="both"/>
        <w:rPr>
          <w:rFonts w:eastAsiaTheme="minorHAnsi" w:cstheme="minorBidi"/>
          <w:szCs w:val="22"/>
        </w:rPr>
      </w:pPr>
      <w:r w:rsidRPr="003A62F2">
        <w:rPr>
          <w:rFonts w:eastAsiaTheme="minorHAnsi" w:cstheme="minorBidi"/>
          <w:szCs w:val="22"/>
        </w:rPr>
        <w:t xml:space="preserve">Sunshine’s pre-workshop comments express that the criteria to be on the Commission’s list of “licensed appraisers” </w:t>
      </w:r>
      <w:r w:rsidR="00F34BA8">
        <w:rPr>
          <w:rFonts w:eastAsiaTheme="minorHAnsi" w:cstheme="minorBidi"/>
          <w:szCs w:val="22"/>
        </w:rPr>
        <w:t>are</w:t>
      </w:r>
      <w:r w:rsidR="00F34BA8" w:rsidRPr="003A62F2">
        <w:rPr>
          <w:rFonts w:eastAsiaTheme="minorHAnsi" w:cstheme="minorBidi"/>
          <w:szCs w:val="22"/>
        </w:rPr>
        <w:t xml:space="preserve"> </w:t>
      </w:r>
      <w:r w:rsidRPr="003A62F2">
        <w:rPr>
          <w:rFonts w:eastAsiaTheme="minorHAnsi" w:cstheme="minorBidi"/>
          <w:szCs w:val="22"/>
        </w:rPr>
        <w:t xml:space="preserve">too narrow; however, its post-workshop comments </w:t>
      </w:r>
      <w:r w:rsidR="00F34BA8">
        <w:rPr>
          <w:rFonts w:eastAsiaTheme="minorHAnsi" w:cstheme="minorBidi"/>
          <w:szCs w:val="22"/>
        </w:rPr>
        <w:t>are</w:t>
      </w:r>
      <w:r w:rsidR="00F34BA8" w:rsidRPr="003A62F2">
        <w:rPr>
          <w:rFonts w:eastAsiaTheme="minorHAnsi" w:cstheme="minorBidi"/>
          <w:szCs w:val="22"/>
        </w:rPr>
        <w:t xml:space="preserve"> </w:t>
      </w:r>
      <w:r w:rsidRPr="003A62F2">
        <w:rPr>
          <w:rFonts w:eastAsiaTheme="minorHAnsi" w:cstheme="minorBidi"/>
          <w:szCs w:val="22"/>
        </w:rPr>
        <w:t xml:space="preserve">silent in that </w:t>
      </w:r>
      <w:r w:rsidR="00E1471D">
        <w:rPr>
          <w:rFonts w:eastAsiaTheme="minorHAnsi" w:cstheme="minorBidi"/>
          <w:szCs w:val="22"/>
        </w:rPr>
        <w:lastRenderedPageBreak/>
        <w:t>regard. OPC suggest</w:t>
      </w:r>
      <w:r w:rsidR="00F34BA8">
        <w:rPr>
          <w:rFonts w:eastAsiaTheme="minorHAnsi" w:cstheme="minorBidi"/>
          <w:szCs w:val="22"/>
        </w:rPr>
        <w:t>s</w:t>
      </w:r>
      <w:r w:rsidR="00E1471D">
        <w:rPr>
          <w:rFonts w:eastAsiaTheme="minorHAnsi" w:cstheme="minorBidi"/>
          <w:szCs w:val="22"/>
        </w:rPr>
        <w:t xml:space="preserve"> that the r</w:t>
      </w:r>
      <w:r w:rsidRPr="003A62F2">
        <w:rPr>
          <w:rFonts w:eastAsiaTheme="minorHAnsi" w:cstheme="minorBidi"/>
          <w:szCs w:val="22"/>
        </w:rPr>
        <w:t>ule be revised to add additional membership designations as qualifications to be on the approved list of “licensed appraisers</w:t>
      </w:r>
      <w:r w:rsidR="001F3A03">
        <w:rPr>
          <w:rFonts w:eastAsiaTheme="minorHAnsi" w:cstheme="minorBidi"/>
          <w:szCs w:val="22"/>
        </w:rPr>
        <w:t>.</w:t>
      </w:r>
      <w:r w:rsidRPr="003A62F2">
        <w:rPr>
          <w:rFonts w:eastAsiaTheme="minorHAnsi" w:cstheme="minorBidi"/>
          <w:szCs w:val="22"/>
        </w:rPr>
        <w:t>”</w:t>
      </w:r>
      <w:r w:rsidR="00E1471D">
        <w:rPr>
          <w:rFonts w:eastAsiaTheme="minorHAnsi" w:cstheme="minorBidi"/>
          <w:szCs w:val="22"/>
        </w:rPr>
        <w:t xml:space="preserve"> The r</w:t>
      </w:r>
      <w:r w:rsidRPr="003A62F2">
        <w:rPr>
          <w:rFonts w:eastAsiaTheme="minorHAnsi" w:cstheme="minorBidi"/>
          <w:szCs w:val="22"/>
        </w:rPr>
        <w:t>ule reflects the expanded membership designations. All of the organizations have stringent educational and continuing education requirements, ethical standards, and qualification criteria related to the valuation of utility systems.</w:t>
      </w:r>
    </w:p>
    <w:p w14:paraId="42958ACB" w14:textId="7FF95900" w:rsidR="009C48FB" w:rsidRPr="00EB7A39" w:rsidRDefault="000202F9" w:rsidP="009C48FB">
      <w:pPr>
        <w:pStyle w:val="Second-LevelSubheading"/>
        <w:rPr>
          <w:rFonts w:eastAsiaTheme="minorHAnsi"/>
          <w:i w:val="0"/>
        </w:rPr>
      </w:pPr>
      <w:r>
        <w:rPr>
          <w:rFonts w:eastAsiaTheme="minorHAnsi"/>
        </w:rPr>
        <w:t>Paragraph</w:t>
      </w:r>
      <w:r w:rsidRPr="00EB7A39">
        <w:rPr>
          <w:rFonts w:eastAsiaTheme="minorHAnsi"/>
        </w:rPr>
        <w:t xml:space="preserve"> </w:t>
      </w:r>
      <w:r w:rsidR="009C48FB" w:rsidRPr="00EB7A39">
        <w:rPr>
          <w:rFonts w:eastAsiaTheme="minorHAnsi"/>
        </w:rPr>
        <w:t>(1)(b)</w:t>
      </w:r>
      <w:r w:rsidR="00CE28B6" w:rsidRPr="00EB7A39">
        <w:rPr>
          <w:rFonts w:eastAsiaTheme="minorHAnsi"/>
        </w:rPr>
        <w:t xml:space="preserve"> </w:t>
      </w:r>
      <w:r w:rsidR="001F3A03">
        <w:rPr>
          <w:rFonts w:eastAsiaTheme="minorHAnsi"/>
          <w:i w:val="0"/>
        </w:rPr>
        <w:t>- Definition of “Price Index”</w:t>
      </w:r>
    </w:p>
    <w:p w14:paraId="000090C0" w14:textId="77C5B19C" w:rsidR="003E0420" w:rsidRDefault="00436269" w:rsidP="003E0420">
      <w:pPr>
        <w:pStyle w:val="BodyText"/>
        <w:rPr>
          <w:rFonts w:eastAsiaTheme="minorHAnsi"/>
        </w:rPr>
      </w:pPr>
      <w:r w:rsidRPr="00CE28B6">
        <w:rPr>
          <w:rFonts w:eastAsiaTheme="minorHAnsi"/>
        </w:rPr>
        <w:t>Paragraph</w:t>
      </w:r>
      <w:r w:rsidR="00BD5582" w:rsidRPr="00CE28B6">
        <w:rPr>
          <w:rFonts w:eastAsiaTheme="minorHAnsi"/>
        </w:rPr>
        <w:t xml:space="preserve"> (1)(b)</w:t>
      </w:r>
      <w:r w:rsidR="00BD5582">
        <w:rPr>
          <w:rFonts w:eastAsiaTheme="minorHAnsi"/>
        </w:rPr>
        <w:t xml:space="preserve"> defines “price index.” This</w:t>
      </w:r>
      <w:r>
        <w:rPr>
          <w:rFonts w:eastAsiaTheme="minorHAnsi"/>
        </w:rPr>
        <w:t xml:space="preserve"> term is used in </w:t>
      </w:r>
      <w:r w:rsidR="00BD5582">
        <w:rPr>
          <w:rFonts w:eastAsiaTheme="minorHAnsi"/>
        </w:rPr>
        <w:t xml:space="preserve">paragraph (3)(f) of the </w:t>
      </w:r>
      <w:r w:rsidR="007A50F5">
        <w:rPr>
          <w:rFonts w:eastAsiaTheme="minorHAnsi"/>
        </w:rPr>
        <w:t xml:space="preserve">draft </w:t>
      </w:r>
      <w:r w:rsidR="00BD5582">
        <w:rPr>
          <w:rFonts w:eastAsiaTheme="minorHAnsi"/>
        </w:rPr>
        <w:t>rule in discussing when a rate stabilization plan is required. Section 367.0811(5)(h), F.S.</w:t>
      </w:r>
      <w:r w:rsidR="0057150B">
        <w:rPr>
          <w:rFonts w:eastAsiaTheme="minorHAnsi"/>
        </w:rPr>
        <w:t>,</w:t>
      </w:r>
      <w:r w:rsidR="00BD5582">
        <w:rPr>
          <w:rFonts w:eastAsiaTheme="minorHAnsi"/>
        </w:rPr>
        <w:t xml:space="preserve"> requires the petition include a rate stabilization plan</w:t>
      </w:r>
      <w:r>
        <w:rPr>
          <w:rFonts w:eastAsiaTheme="minorHAnsi"/>
        </w:rPr>
        <w:t xml:space="preserve"> when the alternative rate base value results in a </w:t>
      </w:r>
      <w:r w:rsidR="00CE51F6">
        <w:rPr>
          <w:rFonts w:eastAsiaTheme="minorHAnsi"/>
        </w:rPr>
        <w:t>“</w:t>
      </w:r>
      <w:r>
        <w:rPr>
          <w:rFonts w:eastAsiaTheme="minorHAnsi"/>
        </w:rPr>
        <w:t>significant individual increase in rates</w:t>
      </w:r>
      <w:r w:rsidR="00067618">
        <w:rPr>
          <w:rFonts w:eastAsiaTheme="minorHAnsi"/>
        </w:rPr>
        <w:t>.</w:t>
      </w:r>
      <w:r w:rsidR="00CE51F6">
        <w:rPr>
          <w:rFonts w:eastAsiaTheme="minorHAnsi"/>
        </w:rPr>
        <w:t>”</w:t>
      </w:r>
      <w:r w:rsidR="001F3A03">
        <w:rPr>
          <w:rFonts w:eastAsiaTheme="minorHAnsi"/>
        </w:rPr>
        <w:t xml:space="preserve"> Staff included this definition as an expedient way to refer to </w:t>
      </w:r>
      <w:r w:rsidR="00153D67" w:rsidRPr="00153D67">
        <w:rPr>
          <w:rFonts w:eastAsiaTheme="minorHAnsi"/>
        </w:rPr>
        <w:t>the</w:t>
      </w:r>
      <w:r w:rsidR="003E0420">
        <w:rPr>
          <w:rFonts w:eastAsiaTheme="minorHAnsi"/>
        </w:rPr>
        <w:t xml:space="preserve"> most recent annual </w:t>
      </w:r>
      <w:r w:rsidR="003E0420" w:rsidRPr="003E0420">
        <w:rPr>
          <w:rFonts w:eastAsiaTheme="minorHAnsi"/>
        </w:rPr>
        <w:t>order entered pursuan</w:t>
      </w:r>
      <w:r w:rsidR="003E0420">
        <w:rPr>
          <w:rFonts w:eastAsiaTheme="minorHAnsi"/>
        </w:rPr>
        <w:t xml:space="preserve">t to Section 367.081(4)(a), F.S., titled “In re: Annual reestablishment of </w:t>
      </w:r>
      <w:r w:rsidR="00153D67" w:rsidRPr="00153D67">
        <w:rPr>
          <w:rFonts w:eastAsiaTheme="minorHAnsi"/>
        </w:rPr>
        <w:t>price increase or decrease index of major categories of operating costs incurred by water and wastewater utilities established by the Commission by order entered pursuant to Section 367.081(4)(a), F.S.</w:t>
      </w:r>
      <w:r w:rsidR="003E0420">
        <w:rPr>
          <w:rFonts w:eastAsiaTheme="minorHAnsi"/>
        </w:rPr>
        <w:t xml:space="preserve">” The term “price index” is used in paragraph (3)(f) of the </w:t>
      </w:r>
      <w:r w:rsidR="006C37C9">
        <w:rPr>
          <w:rFonts w:eastAsiaTheme="minorHAnsi"/>
        </w:rPr>
        <w:t xml:space="preserve">draft </w:t>
      </w:r>
      <w:r w:rsidR="003E0420">
        <w:rPr>
          <w:rFonts w:eastAsiaTheme="minorHAnsi"/>
        </w:rPr>
        <w:t>rule in addressing whether there is a “significant individual increase in rates” that requires the petition to include a rate stabilization plan.</w:t>
      </w:r>
    </w:p>
    <w:p w14:paraId="04906C7A" w14:textId="14196A95" w:rsidR="00F049DD" w:rsidRDefault="00CE28B6" w:rsidP="00EE7513">
      <w:pPr>
        <w:pStyle w:val="BodyText"/>
        <w:rPr>
          <w:rFonts w:eastAsiaTheme="minorHAnsi"/>
        </w:rPr>
      </w:pPr>
      <w:r>
        <w:rPr>
          <w:rFonts w:eastAsiaTheme="minorHAnsi"/>
        </w:rPr>
        <w:t xml:space="preserve">While use </w:t>
      </w:r>
      <w:r w:rsidR="007A50F5">
        <w:rPr>
          <w:rFonts w:eastAsiaTheme="minorHAnsi"/>
        </w:rPr>
        <w:t xml:space="preserve">of the price index </w:t>
      </w:r>
      <w:r w:rsidR="003E0420">
        <w:rPr>
          <w:rFonts w:eastAsiaTheme="minorHAnsi"/>
        </w:rPr>
        <w:t xml:space="preserve">in the draft rule </w:t>
      </w:r>
      <w:r>
        <w:rPr>
          <w:rFonts w:eastAsiaTheme="minorHAnsi"/>
        </w:rPr>
        <w:t xml:space="preserve">to measure whether </w:t>
      </w:r>
      <w:r w:rsidR="003E0420">
        <w:rPr>
          <w:rFonts w:eastAsiaTheme="minorHAnsi"/>
        </w:rPr>
        <w:t>there is a “significant individual increase in rates” i</w:t>
      </w:r>
      <w:r>
        <w:rPr>
          <w:rFonts w:eastAsiaTheme="minorHAnsi"/>
        </w:rPr>
        <w:t xml:space="preserve">s disputed, no stakeholder </w:t>
      </w:r>
      <w:r w:rsidR="00EB7A39">
        <w:rPr>
          <w:rFonts w:eastAsiaTheme="minorHAnsi"/>
        </w:rPr>
        <w:t>provided comment</w:t>
      </w:r>
      <w:r>
        <w:rPr>
          <w:rFonts w:eastAsiaTheme="minorHAnsi"/>
        </w:rPr>
        <w:t xml:space="preserve"> on t</w:t>
      </w:r>
      <w:r w:rsidR="00D41C34">
        <w:rPr>
          <w:rFonts w:eastAsiaTheme="minorHAnsi"/>
        </w:rPr>
        <w:t>he definition of “price index.”</w:t>
      </w:r>
    </w:p>
    <w:p w14:paraId="42BDB955" w14:textId="062D1861" w:rsidR="00B55788" w:rsidRDefault="000202F9" w:rsidP="007A50F5">
      <w:pPr>
        <w:pStyle w:val="First-LevelSubheading"/>
        <w:rPr>
          <w:rFonts w:eastAsiaTheme="minorHAnsi"/>
        </w:rPr>
      </w:pPr>
      <w:r>
        <w:rPr>
          <w:rFonts w:eastAsiaTheme="minorHAnsi"/>
        </w:rPr>
        <w:t xml:space="preserve">Subsection </w:t>
      </w:r>
      <w:r w:rsidR="00436269">
        <w:rPr>
          <w:rFonts w:eastAsiaTheme="minorHAnsi"/>
        </w:rPr>
        <w:t>(2</w:t>
      </w:r>
      <w:r w:rsidR="00B55788">
        <w:rPr>
          <w:rFonts w:eastAsiaTheme="minorHAnsi"/>
        </w:rPr>
        <w:t>)</w:t>
      </w:r>
      <w:r w:rsidR="00BB09BE">
        <w:rPr>
          <w:rFonts w:eastAsiaTheme="minorHAnsi"/>
        </w:rPr>
        <w:t xml:space="preserve"> -</w:t>
      </w:r>
      <w:r w:rsidR="003D1EE8">
        <w:rPr>
          <w:rFonts w:eastAsiaTheme="minorHAnsi"/>
        </w:rPr>
        <w:t xml:space="preserve"> Appraisals</w:t>
      </w:r>
    </w:p>
    <w:p w14:paraId="4552AF27" w14:textId="6FB3BE6E" w:rsidR="007A50F5" w:rsidRPr="007A50F5" w:rsidRDefault="007A50F5" w:rsidP="007A50F5">
      <w:pPr>
        <w:spacing w:after="200"/>
        <w:jc w:val="both"/>
        <w:rPr>
          <w:rFonts w:eastAsiaTheme="minorHAnsi"/>
        </w:rPr>
      </w:pPr>
      <w:r>
        <w:rPr>
          <w:rFonts w:eastAsiaTheme="minorHAnsi" w:cstheme="minorBidi"/>
          <w:szCs w:val="22"/>
        </w:rPr>
        <w:t xml:space="preserve">As previously mentioned, </w:t>
      </w:r>
      <w:r w:rsidRPr="003A62F2">
        <w:rPr>
          <w:rFonts w:eastAsiaTheme="minorHAnsi" w:cstheme="minorBidi"/>
          <w:szCs w:val="22"/>
        </w:rPr>
        <w:t xml:space="preserve">Section 367.0811(4)(a), F.S., requires the utility system being acquired to be appraised by “three licensed appraisers chosen </w:t>
      </w:r>
      <w:r w:rsidR="00D1190E">
        <w:rPr>
          <w:rFonts w:eastAsiaTheme="minorHAnsi" w:cstheme="minorBidi"/>
          <w:szCs w:val="22"/>
        </w:rPr>
        <w:t>from a list established by the [C]</w:t>
      </w:r>
      <w:r w:rsidRPr="003A62F2">
        <w:rPr>
          <w:rFonts w:eastAsiaTheme="minorHAnsi" w:cstheme="minorBidi"/>
          <w:szCs w:val="22"/>
        </w:rPr>
        <w:t>ommission</w:t>
      </w:r>
      <w:r w:rsidR="006C37C9">
        <w:rPr>
          <w:rFonts w:eastAsiaTheme="minorHAnsi" w:cstheme="minorBidi"/>
          <w:szCs w:val="22"/>
        </w:rPr>
        <w:t>,</w:t>
      </w:r>
      <w:r w:rsidRPr="003A62F2">
        <w:rPr>
          <w:rFonts w:eastAsiaTheme="minorHAnsi" w:cstheme="minorBidi"/>
          <w:szCs w:val="22"/>
        </w:rPr>
        <w:t>”</w:t>
      </w:r>
      <w:r>
        <w:rPr>
          <w:rFonts w:eastAsiaTheme="minorHAnsi" w:cstheme="minorBidi"/>
          <w:szCs w:val="22"/>
        </w:rPr>
        <w:t xml:space="preserve"> However, t</w:t>
      </w:r>
      <w:r w:rsidRPr="003A62F2">
        <w:rPr>
          <w:rFonts w:eastAsiaTheme="minorHAnsi" w:cstheme="minorBidi"/>
          <w:szCs w:val="22"/>
        </w:rPr>
        <w:t xml:space="preserve">he statute is silent as to </w:t>
      </w:r>
      <w:r>
        <w:rPr>
          <w:rFonts w:eastAsiaTheme="minorHAnsi" w:cstheme="minorBidi"/>
          <w:szCs w:val="22"/>
        </w:rPr>
        <w:t xml:space="preserve">how the utility being acquired is to be appraised, how the “licensed appraisers” </w:t>
      </w:r>
      <w:r w:rsidRPr="003A62F2">
        <w:rPr>
          <w:rFonts w:eastAsiaTheme="minorHAnsi" w:cstheme="minorBidi"/>
          <w:szCs w:val="22"/>
        </w:rPr>
        <w:t>are to be chosen from the Commission’s list</w:t>
      </w:r>
      <w:r>
        <w:rPr>
          <w:rFonts w:eastAsiaTheme="minorHAnsi" w:cstheme="minorBidi"/>
          <w:szCs w:val="22"/>
        </w:rPr>
        <w:t>, how “licensed appraisers” can be added to or removed from the list, and how the list can be accessed.</w:t>
      </w:r>
    </w:p>
    <w:p w14:paraId="029CFF78" w14:textId="7AA08A44" w:rsidR="009C48FB" w:rsidRPr="00CE28B6" w:rsidRDefault="000202F9" w:rsidP="00557847">
      <w:pPr>
        <w:pStyle w:val="Second-LevelSubheading"/>
        <w:ind w:left="810"/>
        <w:rPr>
          <w:rFonts w:eastAsiaTheme="minorHAnsi"/>
          <w:i w:val="0"/>
        </w:rPr>
      </w:pPr>
      <w:r>
        <w:rPr>
          <w:rFonts w:eastAsiaTheme="minorHAnsi"/>
        </w:rPr>
        <w:t xml:space="preserve">Paragraph </w:t>
      </w:r>
      <w:r w:rsidR="009C48FB">
        <w:rPr>
          <w:rFonts w:eastAsiaTheme="minorHAnsi"/>
        </w:rPr>
        <w:t>(2)(a)</w:t>
      </w:r>
      <w:r w:rsidR="003E0420">
        <w:rPr>
          <w:rFonts w:eastAsiaTheme="minorHAnsi"/>
          <w:i w:val="0"/>
        </w:rPr>
        <w:t xml:space="preserve"> - T</w:t>
      </w:r>
      <w:r w:rsidR="00CE28B6">
        <w:rPr>
          <w:rFonts w:eastAsiaTheme="minorHAnsi"/>
          <w:i w:val="0"/>
        </w:rPr>
        <w:t xml:space="preserve">ype of </w:t>
      </w:r>
      <w:r w:rsidR="00557847">
        <w:rPr>
          <w:rFonts w:eastAsiaTheme="minorHAnsi"/>
          <w:i w:val="0"/>
        </w:rPr>
        <w:t>A</w:t>
      </w:r>
      <w:r w:rsidR="003E0420">
        <w:rPr>
          <w:rFonts w:eastAsiaTheme="minorHAnsi"/>
          <w:i w:val="0"/>
        </w:rPr>
        <w:t>ppraisal</w:t>
      </w:r>
    </w:p>
    <w:p w14:paraId="4045D7E0" w14:textId="4DD6C96E" w:rsidR="002E26A2" w:rsidRDefault="002E26A2" w:rsidP="00530575">
      <w:pPr>
        <w:spacing w:after="200"/>
        <w:jc w:val="both"/>
        <w:rPr>
          <w:rFonts w:eastAsiaTheme="minorHAnsi" w:cstheme="minorBidi"/>
          <w:szCs w:val="22"/>
        </w:rPr>
      </w:pPr>
      <w:r>
        <w:rPr>
          <w:rFonts w:eastAsiaTheme="minorHAnsi" w:cstheme="minorBidi"/>
          <w:szCs w:val="22"/>
        </w:rPr>
        <w:t>Paragraph (2)(a) requires that each appraisal value the utility system being acquired according to its intended use.</w:t>
      </w:r>
      <w:r w:rsidR="0057150B">
        <w:rPr>
          <w:rFonts w:eastAsiaTheme="minorHAnsi" w:cstheme="minorBidi"/>
          <w:szCs w:val="22"/>
        </w:rPr>
        <w:t xml:space="preserve"> This provision ensures that appraisals are not based on valuation of the land for non-utility purposes.</w:t>
      </w:r>
      <w:r w:rsidR="00281067">
        <w:rPr>
          <w:rFonts w:eastAsiaTheme="minorHAnsi" w:cstheme="minorBidi"/>
          <w:szCs w:val="22"/>
        </w:rPr>
        <w:t xml:space="preserve"> </w:t>
      </w:r>
      <w:r>
        <w:rPr>
          <w:rFonts w:eastAsiaTheme="minorHAnsi" w:cstheme="minorBidi"/>
          <w:szCs w:val="22"/>
        </w:rPr>
        <w:t xml:space="preserve">No stakeholder </w:t>
      </w:r>
      <w:r w:rsidR="00EB7A39">
        <w:rPr>
          <w:rFonts w:eastAsiaTheme="minorHAnsi" w:cstheme="minorBidi"/>
          <w:szCs w:val="22"/>
        </w:rPr>
        <w:t>provided comment on</w:t>
      </w:r>
      <w:r>
        <w:rPr>
          <w:rFonts w:eastAsiaTheme="minorHAnsi" w:cstheme="minorBidi"/>
          <w:szCs w:val="22"/>
        </w:rPr>
        <w:t xml:space="preserve"> this </w:t>
      </w:r>
      <w:r w:rsidR="004C222E">
        <w:rPr>
          <w:rFonts w:eastAsiaTheme="minorHAnsi" w:cstheme="minorBidi"/>
          <w:szCs w:val="22"/>
        </w:rPr>
        <w:t>provision of the draft rule</w:t>
      </w:r>
      <w:r>
        <w:rPr>
          <w:rFonts w:eastAsiaTheme="minorHAnsi" w:cstheme="minorBidi"/>
          <w:szCs w:val="22"/>
        </w:rPr>
        <w:t>.</w:t>
      </w:r>
    </w:p>
    <w:p w14:paraId="1B000CFC" w14:textId="2BF65A4D" w:rsidR="009C48FB" w:rsidRPr="00CE28B6" w:rsidRDefault="000202F9" w:rsidP="00F049DD">
      <w:pPr>
        <w:pStyle w:val="Second-LevelSubheading"/>
        <w:ind w:left="810"/>
        <w:rPr>
          <w:rFonts w:eastAsiaTheme="minorHAnsi"/>
          <w:i w:val="0"/>
        </w:rPr>
      </w:pPr>
      <w:r>
        <w:rPr>
          <w:rFonts w:eastAsiaTheme="minorHAnsi"/>
        </w:rPr>
        <w:t xml:space="preserve">Paragraph </w:t>
      </w:r>
      <w:r w:rsidR="009C48FB">
        <w:rPr>
          <w:rFonts w:eastAsiaTheme="minorHAnsi"/>
        </w:rPr>
        <w:t>(2)(b)</w:t>
      </w:r>
      <w:r w:rsidR="00CE28B6">
        <w:rPr>
          <w:rFonts w:eastAsiaTheme="minorHAnsi"/>
          <w:i w:val="0"/>
        </w:rPr>
        <w:t xml:space="preserve"> </w:t>
      </w:r>
      <w:r w:rsidR="003E0420">
        <w:rPr>
          <w:rFonts w:eastAsiaTheme="minorHAnsi"/>
          <w:i w:val="0"/>
        </w:rPr>
        <w:t>- H</w:t>
      </w:r>
      <w:r w:rsidR="00CE28B6">
        <w:rPr>
          <w:rFonts w:eastAsiaTheme="minorHAnsi"/>
          <w:i w:val="0"/>
        </w:rPr>
        <w:t>ow “</w:t>
      </w:r>
      <w:r w:rsidR="00557847">
        <w:rPr>
          <w:rFonts w:eastAsiaTheme="minorHAnsi"/>
          <w:i w:val="0"/>
        </w:rPr>
        <w:t>Licensed Appraisers” Are Chosen</w:t>
      </w:r>
    </w:p>
    <w:p w14:paraId="54A7A5ED" w14:textId="2BF437D2" w:rsidR="008C46C9" w:rsidRDefault="00436269" w:rsidP="00530575">
      <w:pPr>
        <w:spacing w:after="200"/>
        <w:jc w:val="both"/>
        <w:rPr>
          <w:rFonts w:eastAsiaTheme="minorHAnsi" w:cstheme="minorBidi"/>
          <w:szCs w:val="22"/>
        </w:rPr>
      </w:pPr>
      <w:r>
        <w:rPr>
          <w:rFonts w:eastAsiaTheme="minorHAnsi" w:cstheme="minorBidi"/>
          <w:szCs w:val="22"/>
        </w:rPr>
        <w:t xml:space="preserve">Just as </w:t>
      </w:r>
      <w:r w:rsidRPr="003A62F2">
        <w:rPr>
          <w:rFonts w:eastAsiaTheme="minorHAnsi" w:cstheme="minorBidi"/>
          <w:szCs w:val="22"/>
        </w:rPr>
        <w:t>Section 367.0811(4)(a), F.S.,</w:t>
      </w:r>
      <w:r>
        <w:rPr>
          <w:rFonts w:eastAsiaTheme="minorHAnsi" w:cstheme="minorBidi"/>
          <w:szCs w:val="22"/>
        </w:rPr>
        <w:t xml:space="preserve"> does </w:t>
      </w:r>
      <w:r w:rsidRPr="003A62F2">
        <w:rPr>
          <w:rFonts w:eastAsiaTheme="minorHAnsi" w:cstheme="minorBidi"/>
          <w:szCs w:val="22"/>
        </w:rPr>
        <w:t>not define “licensed appraiser</w:t>
      </w:r>
      <w:r>
        <w:rPr>
          <w:rFonts w:eastAsiaTheme="minorHAnsi" w:cstheme="minorBidi"/>
          <w:szCs w:val="22"/>
        </w:rPr>
        <w:t>,</w:t>
      </w:r>
      <w:r w:rsidRPr="003A62F2">
        <w:rPr>
          <w:rFonts w:eastAsiaTheme="minorHAnsi" w:cstheme="minorBidi"/>
          <w:szCs w:val="22"/>
        </w:rPr>
        <w:t xml:space="preserve">” </w:t>
      </w:r>
      <w:r>
        <w:rPr>
          <w:rFonts w:eastAsiaTheme="minorHAnsi" w:cstheme="minorBidi"/>
          <w:szCs w:val="22"/>
        </w:rPr>
        <w:t xml:space="preserve">it also does not </w:t>
      </w:r>
      <w:r w:rsidRPr="003A62F2">
        <w:rPr>
          <w:rFonts w:eastAsiaTheme="minorHAnsi" w:cstheme="minorBidi"/>
          <w:szCs w:val="22"/>
        </w:rPr>
        <w:t xml:space="preserve">state how the “licensed appraisers” should be chosen. </w:t>
      </w:r>
      <w:r w:rsidR="002E26A2">
        <w:rPr>
          <w:rFonts w:eastAsiaTheme="minorHAnsi" w:cstheme="minorBidi"/>
          <w:szCs w:val="22"/>
        </w:rPr>
        <w:t>Paragraph (2)(b</w:t>
      </w:r>
      <w:r>
        <w:rPr>
          <w:rFonts w:eastAsiaTheme="minorHAnsi" w:cstheme="minorBidi"/>
          <w:szCs w:val="22"/>
        </w:rPr>
        <w:t xml:space="preserve">) of the </w:t>
      </w:r>
      <w:r w:rsidR="00557847">
        <w:rPr>
          <w:rFonts w:eastAsiaTheme="minorHAnsi" w:cstheme="minorBidi"/>
          <w:szCs w:val="22"/>
        </w:rPr>
        <w:t xml:space="preserve">draft </w:t>
      </w:r>
      <w:r>
        <w:rPr>
          <w:rFonts w:eastAsiaTheme="minorHAnsi" w:cstheme="minorBidi"/>
          <w:szCs w:val="22"/>
        </w:rPr>
        <w:t>r</w:t>
      </w:r>
      <w:r w:rsidRPr="003A62F2">
        <w:rPr>
          <w:rFonts w:eastAsiaTheme="minorHAnsi" w:cstheme="minorBidi"/>
          <w:szCs w:val="22"/>
        </w:rPr>
        <w:t xml:space="preserve">ule states </w:t>
      </w:r>
      <w:r w:rsidR="00557847">
        <w:rPr>
          <w:rFonts w:eastAsiaTheme="minorHAnsi" w:cstheme="minorBidi"/>
          <w:szCs w:val="22"/>
        </w:rPr>
        <w:t xml:space="preserve">that </w:t>
      </w:r>
      <w:r>
        <w:rPr>
          <w:rFonts w:eastAsiaTheme="minorHAnsi" w:cstheme="minorBidi"/>
          <w:szCs w:val="22"/>
        </w:rPr>
        <w:t xml:space="preserve">the acquiring utility and the utility being acquired </w:t>
      </w:r>
      <w:r w:rsidR="00557847">
        <w:rPr>
          <w:rFonts w:eastAsiaTheme="minorHAnsi" w:cstheme="minorBidi"/>
          <w:szCs w:val="22"/>
        </w:rPr>
        <w:t xml:space="preserve">will </w:t>
      </w:r>
      <w:r>
        <w:rPr>
          <w:rFonts w:eastAsiaTheme="minorHAnsi" w:cstheme="minorBidi"/>
          <w:szCs w:val="22"/>
        </w:rPr>
        <w:t xml:space="preserve">each </w:t>
      </w:r>
      <w:r w:rsidR="00557847">
        <w:rPr>
          <w:rFonts w:eastAsiaTheme="minorHAnsi" w:cstheme="minorBidi"/>
          <w:szCs w:val="22"/>
        </w:rPr>
        <w:t>select a</w:t>
      </w:r>
      <w:r>
        <w:rPr>
          <w:rFonts w:eastAsiaTheme="minorHAnsi" w:cstheme="minorBidi"/>
          <w:szCs w:val="22"/>
        </w:rPr>
        <w:t xml:space="preserve"> </w:t>
      </w:r>
      <w:r w:rsidR="0057150B">
        <w:rPr>
          <w:rFonts w:eastAsiaTheme="minorHAnsi" w:cstheme="minorBidi"/>
          <w:szCs w:val="22"/>
        </w:rPr>
        <w:t>“</w:t>
      </w:r>
      <w:r>
        <w:rPr>
          <w:rFonts w:eastAsiaTheme="minorHAnsi" w:cstheme="minorBidi"/>
          <w:szCs w:val="22"/>
        </w:rPr>
        <w:t>licensed appraiser,</w:t>
      </w:r>
      <w:r w:rsidR="0057150B">
        <w:rPr>
          <w:rFonts w:eastAsiaTheme="minorHAnsi" w:cstheme="minorBidi"/>
          <w:szCs w:val="22"/>
        </w:rPr>
        <w:t>”</w:t>
      </w:r>
      <w:r>
        <w:rPr>
          <w:rFonts w:eastAsiaTheme="minorHAnsi" w:cstheme="minorBidi"/>
          <w:szCs w:val="22"/>
        </w:rPr>
        <w:t xml:space="preserve"> and </w:t>
      </w:r>
      <w:r w:rsidRPr="003A62F2">
        <w:rPr>
          <w:rFonts w:eastAsiaTheme="minorHAnsi" w:cstheme="minorBidi"/>
          <w:szCs w:val="22"/>
        </w:rPr>
        <w:t>the third “licensed appraiser” will be chosen at random by th</w:t>
      </w:r>
      <w:r>
        <w:rPr>
          <w:rFonts w:eastAsiaTheme="minorHAnsi" w:cstheme="minorBidi"/>
          <w:szCs w:val="22"/>
        </w:rPr>
        <w:t xml:space="preserve">e Commission. This provision resolves concerns raised at the workshop by </w:t>
      </w:r>
      <w:r w:rsidRPr="003A62F2">
        <w:rPr>
          <w:rFonts w:eastAsiaTheme="minorHAnsi" w:cstheme="minorBidi"/>
          <w:szCs w:val="22"/>
        </w:rPr>
        <w:t xml:space="preserve">CSWR </w:t>
      </w:r>
      <w:r w:rsidR="008C46C9">
        <w:rPr>
          <w:rFonts w:eastAsiaTheme="minorHAnsi" w:cstheme="minorBidi"/>
          <w:szCs w:val="22"/>
        </w:rPr>
        <w:t>and OPC</w:t>
      </w:r>
      <w:r w:rsidR="00C72D69">
        <w:rPr>
          <w:rFonts w:eastAsiaTheme="minorHAnsi" w:cstheme="minorBidi"/>
          <w:szCs w:val="22"/>
        </w:rPr>
        <w:t>.</w:t>
      </w:r>
    </w:p>
    <w:p w14:paraId="23657BEC" w14:textId="7E5BA1E4" w:rsidR="008C46C9" w:rsidRDefault="008C46C9" w:rsidP="00530575">
      <w:pPr>
        <w:spacing w:after="200"/>
        <w:jc w:val="both"/>
        <w:rPr>
          <w:rFonts w:eastAsiaTheme="minorHAnsi" w:cstheme="minorBidi"/>
          <w:szCs w:val="22"/>
        </w:rPr>
      </w:pPr>
      <w:r w:rsidRPr="008C46C9">
        <w:rPr>
          <w:rFonts w:eastAsiaTheme="minorHAnsi" w:cstheme="minorBidi"/>
          <w:szCs w:val="22"/>
        </w:rPr>
        <w:t>CSWR</w:t>
      </w:r>
      <w:r>
        <w:rPr>
          <w:rFonts w:eastAsiaTheme="minorHAnsi" w:cstheme="minorBidi"/>
          <w:szCs w:val="22"/>
        </w:rPr>
        <w:t>’s post-workshop comments</w:t>
      </w:r>
      <w:r w:rsidRPr="008C46C9">
        <w:rPr>
          <w:rFonts w:eastAsiaTheme="minorHAnsi" w:cstheme="minorBidi"/>
          <w:szCs w:val="22"/>
        </w:rPr>
        <w:t xml:space="preserve"> </w:t>
      </w:r>
      <w:r w:rsidR="00530575">
        <w:rPr>
          <w:rFonts w:eastAsiaTheme="minorHAnsi" w:cstheme="minorBidi"/>
          <w:szCs w:val="22"/>
        </w:rPr>
        <w:t xml:space="preserve">express concern </w:t>
      </w:r>
      <w:r w:rsidRPr="008C46C9">
        <w:rPr>
          <w:rFonts w:eastAsiaTheme="minorHAnsi" w:cstheme="minorBidi"/>
          <w:szCs w:val="22"/>
        </w:rPr>
        <w:t>with what w</w:t>
      </w:r>
      <w:r w:rsidR="00D1190E">
        <w:rPr>
          <w:rFonts w:eastAsiaTheme="minorHAnsi" w:cstheme="minorBidi"/>
          <w:szCs w:val="22"/>
        </w:rPr>
        <w:t>ould happen if the two utilities</w:t>
      </w:r>
      <w:r w:rsidRPr="008C46C9">
        <w:rPr>
          <w:rFonts w:eastAsiaTheme="minorHAnsi" w:cstheme="minorBidi"/>
          <w:szCs w:val="22"/>
        </w:rPr>
        <w:t xml:space="preserve"> </w:t>
      </w:r>
      <w:r w:rsidR="00D1190E">
        <w:rPr>
          <w:rFonts w:eastAsiaTheme="minorHAnsi" w:cstheme="minorBidi"/>
          <w:szCs w:val="22"/>
        </w:rPr>
        <w:t xml:space="preserve">each chose a “licensed appraiser,” but </w:t>
      </w:r>
      <w:r w:rsidRPr="008C46C9">
        <w:rPr>
          <w:rFonts w:eastAsiaTheme="minorHAnsi" w:cstheme="minorBidi"/>
          <w:szCs w:val="22"/>
        </w:rPr>
        <w:t>could not agree</w:t>
      </w:r>
      <w:r w:rsidR="00D1190E">
        <w:rPr>
          <w:rFonts w:eastAsiaTheme="minorHAnsi" w:cstheme="minorBidi"/>
          <w:szCs w:val="22"/>
        </w:rPr>
        <w:t xml:space="preserve"> on</w:t>
      </w:r>
      <w:r w:rsidR="00530575">
        <w:rPr>
          <w:rFonts w:eastAsiaTheme="minorHAnsi" w:cstheme="minorBidi"/>
          <w:szCs w:val="22"/>
        </w:rPr>
        <w:t xml:space="preserve"> the third</w:t>
      </w:r>
      <w:r w:rsidRPr="008C46C9">
        <w:rPr>
          <w:rFonts w:eastAsiaTheme="minorHAnsi" w:cstheme="minorBidi"/>
          <w:szCs w:val="22"/>
        </w:rPr>
        <w:t>. OPC</w:t>
      </w:r>
      <w:r>
        <w:rPr>
          <w:rFonts w:eastAsiaTheme="minorHAnsi" w:cstheme="minorBidi"/>
          <w:szCs w:val="22"/>
        </w:rPr>
        <w:t>’s comments</w:t>
      </w:r>
      <w:r w:rsidRPr="008C46C9">
        <w:rPr>
          <w:rFonts w:eastAsiaTheme="minorHAnsi" w:cstheme="minorBidi"/>
          <w:szCs w:val="22"/>
        </w:rPr>
        <w:t xml:space="preserve"> suggest that the Commission choose the third “licensed appraiser.” Accordingly, </w:t>
      </w:r>
      <w:r w:rsidR="00530575">
        <w:rPr>
          <w:rFonts w:eastAsiaTheme="minorHAnsi" w:cstheme="minorBidi"/>
          <w:szCs w:val="22"/>
        </w:rPr>
        <w:t>by having the Commission randomly select the third appraiser, the r</w:t>
      </w:r>
      <w:r w:rsidRPr="008C46C9">
        <w:rPr>
          <w:rFonts w:eastAsiaTheme="minorHAnsi" w:cstheme="minorBidi"/>
          <w:szCs w:val="22"/>
        </w:rPr>
        <w:t xml:space="preserve">ule </w:t>
      </w:r>
      <w:r w:rsidR="00530575">
        <w:rPr>
          <w:rFonts w:eastAsiaTheme="minorHAnsi" w:cstheme="minorBidi"/>
          <w:szCs w:val="22"/>
        </w:rPr>
        <w:t>incorporates</w:t>
      </w:r>
      <w:r w:rsidRPr="008C46C9">
        <w:rPr>
          <w:rFonts w:eastAsiaTheme="minorHAnsi" w:cstheme="minorBidi"/>
          <w:szCs w:val="22"/>
        </w:rPr>
        <w:t xml:space="preserve"> OPC’s comment and eliminates the basis for CSWR’s concern that there might be an impasse on selecting the third “licensed appraiser.”</w:t>
      </w:r>
    </w:p>
    <w:p w14:paraId="3CE92345" w14:textId="0BED6DD2" w:rsidR="009C48FB" w:rsidRPr="00CE28B6" w:rsidRDefault="000202F9" w:rsidP="009C48FB">
      <w:pPr>
        <w:pStyle w:val="Second-LevelSubheading"/>
        <w:rPr>
          <w:rFonts w:eastAsiaTheme="minorHAnsi"/>
          <w:i w:val="0"/>
        </w:rPr>
      </w:pPr>
      <w:r>
        <w:rPr>
          <w:rFonts w:eastAsiaTheme="minorHAnsi"/>
        </w:rPr>
        <w:lastRenderedPageBreak/>
        <w:t>Paragraph (2)</w:t>
      </w:r>
      <w:r w:rsidR="009C48FB">
        <w:rPr>
          <w:rFonts w:eastAsiaTheme="minorHAnsi"/>
        </w:rPr>
        <w:t>(c)</w:t>
      </w:r>
      <w:r w:rsidR="00281067">
        <w:rPr>
          <w:rFonts w:eastAsiaTheme="minorHAnsi"/>
        </w:rPr>
        <w:t xml:space="preserve"> </w:t>
      </w:r>
      <w:r w:rsidR="00281067">
        <w:rPr>
          <w:rFonts w:eastAsiaTheme="minorHAnsi"/>
          <w:i w:val="0"/>
        </w:rPr>
        <w:t>- The “Licensed E</w:t>
      </w:r>
      <w:r w:rsidR="00CE28B6">
        <w:rPr>
          <w:rFonts w:eastAsiaTheme="minorHAnsi"/>
          <w:i w:val="0"/>
        </w:rPr>
        <w:t xml:space="preserve">ngineer” </w:t>
      </w:r>
      <w:r w:rsidR="00281067">
        <w:rPr>
          <w:rFonts w:eastAsiaTheme="minorHAnsi"/>
          <w:i w:val="0"/>
        </w:rPr>
        <w:t>May Not Also B</w:t>
      </w:r>
      <w:r w:rsidR="00CE28B6">
        <w:rPr>
          <w:rFonts w:eastAsiaTheme="minorHAnsi"/>
          <w:i w:val="0"/>
        </w:rPr>
        <w:t xml:space="preserve">e </w:t>
      </w:r>
      <w:r w:rsidR="00281067">
        <w:rPr>
          <w:rFonts w:eastAsiaTheme="minorHAnsi"/>
          <w:i w:val="0"/>
        </w:rPr>
        <w:t>a “Licensed A</w:t>
      </w:r>
      <w:r w:rsidR="00CE28B6">
        <w:rPr>
          <w:rFonts w:eastAsiaTheme="minorHAnsi"/>
          <w:i w:val="0"/>
        </w:rPr>
        <w:t>ppraiser</w:t>
      </w:r>
      <w:r w:rsidR="0046681E">
        <w:rPr>
          <w:rFonts w:eastAsiaTheme="minorHAnsi"/>
          <w:i w:val="0"/>
        </w:rPr>
        <w:t>”</w:t>
      </w:r>
    </w:p>
    <w:p w14:paraId="787ACC8E" w14:textId="10FA52DD" w:rsidR="00EE7513" w:rsidRDefault="002E26A2" w:rsidP="00530575">
      <w:pPr>
        <w:spacing w:after="200"/>
        <w:jc w:val="both"/>
        <w:rPr>
          <w:rFonts w:eastAsiaTheme="minorHAnsi" w:cstheme="minorBidi"/>
          <w:szCs w:val="22"/>
        </w:rPr>
      </w:pPr>
      <w:r>
        <w:rPr>
          <w:rFonts w:eastAsiaTheme="minorHAnsi" w:cstheme="minorBidi"/>
          <w:szCs w:val="22"/>
        </w:rPr>
        <w:t xml:space="preserve">Because the definition of “licensed appraiser” includes engineers, paragraph (2)(c) </w:t>
      </w:r>
      <w:r w:rsidR="00281067">
        <w:rPr>
          <w:rFonts w:eastAsiaTheme="minorHAnsi" w:cstheme="minorBidi"/>
          <w:szCs w:val="22"/>
        </w:rPr>
        <w:t xml:space="preserve">of the draft rule </w:t>
      </w:r>
      <w:r>
        <w:rPr>
          <w:rFonts w:eastAsiaTheme="minorHAnsi" w:cstheme="minorBidi"/>
          <w:szCs w:val="22"/>
        </w:rPr>
        <w:t>indicates that the licensed engineer who performs the statutorily required engineering assessment may not also serve as a “licensed appraiser” on th</w:t>
      </w:r>
      <w:r w:rsidR="00EE7513">
        <w:rPr>
          <w:rFonts w:eastAsiaTheme="minorHAnsi" w:cstheme="minorBidi"/>
          <w:szCs w:val="22"/>
        </w:rPr>
        <w:t xml:space="preserve">e same acquisition transaction. </w:t>
      </w:r>
      <w:r w:rsidR="00A11DB1">
        <w:rPr>
          <w:rFonts w:eastAsiaTheme="minorHAnsi" w:cstheme="minorBidi"/>
          <w:szCs w:val="22"/>
        </w:rPr>
        <w:t xml:space="preserve">Staff believes it is important to keep these roles independent. Staff is concerned that an appraisal performed by the engineer </w:t>
      </w:r>
      <w:r w:rsidR="00D1190E">
        <w:rPr>
          <w:rFonts w:eastAsiaTheme="minorHAnsi" w:cstheme="minorBidi"/>
          <w:szCs w:val="22"/>
        </w:rPr>
        <w:t xml:space="preserve">who also conducts the engineering assessment </w:t>
      </w:r>
      <w:r w:rsidR="00A11DB1">
        <w:rPr>
          <w:rFonts w:eastAsiaTheme="minorHAnsi" w:cstheme="minorBidi"/>
          <w:szCs w:val="22"/>
        </w:rPr>
        <w:t xml:space="preserve">may have the appearance of being </w:t>
      </w:r>
      <w:r w:rsidR="00D1190E">
        <w:rPr>
          <w:rFonts w:eastAsiaTheme="minorHAnsi" w:cstheme="minorBidi"/>
          <w:szCs w:val="22"/>
        </w:rPr>
        <w:t>biased against</w:t>
      </w:r>
      <w:r w:rsidR="00A11DB1">
        <w:rPr>
          <w:rFonts w:eastAsiaTheme="minorHAnsi" w:cstheme="minorBidi"/>
          <w:szCs w:val="22"/>
        </w:rPr>
        <w:t xml:space="preserve"> the other appraisals.</w:t>
      </w:r>
    </w:p>
    <w:p w14:paraId="239633EE" w14:textId="4A7AC29F" w:rsidR="002E26A2" w:rsidRDefault="002F2480" w:rsidP="00530575">
      <w:pPr>
        <w:spacing w:after="200"/>
        <w:jc w:val="both"/>
        <w:rPr>
          <w:rFonts w:eastAsiaTheme="minorHAnsi" w:cstheme="minorBidi"/>
          <w:szCs w:val="22"/>
        </w:rPr>
      </w:pPr>
      <w:r>
        <w:rPr>
          <w:rFonts w:eastAsiaTheme="minorHAnsi" w:cstheme="minorBidi"/>
          <w:szCs w:val="22"/>
        </w:rPr>
        <w:t>CSWR object</w:t>
      </w:r>
      <w:r w:rsidR="00F34BA8">
        <w:rPr>
          <w:rFonts w:eastAsiaTheme="minorHAnsi" w:cstheme="minorBidi"/>
          <w:szCs w:val="22"/>
        </w:rPr>
        <w:t>s</w:t>
      </w:r>
      <w:r>
        <w:rPr>
          <w:rFonts w:eastAsiaTheme="minorHAnsi" w:cstheme="minorBidi"/>
          <w:szCs w:val="22"/>
        </w:rPr>
        <w:t xml:space="preserve"> to this limitation asserting there </w:t>
      </w:r>
      <w:r w:rsidR="00EE5C60">
        <w:rPr>
          <w:rFonts w:eastAsiaTheme="minorHAnsi" w:cstheme="minorBidi"/>
          <w:szCs w:val="22"/>
        </w:rPr>
        <w:t>is</w:t>
      </w:r>
      <w:r>
        <w:rPr>
          <w:rFonts w:eastAsiaTheme="minorHAnsi" w:cstheme="minorBidi"/>
          <w:szCs w:val="22"/>
        </w:rPr>
        <w:t xml:space="preserve"> no conflict of interest between the two roles and the engineer would be in the best position to appraise the system. While there may not be a conflict of interest, </w:t>
      </w:r>
      <w:r w:rsidR="00281067">
        <w:rPr>
          <w:rFonts w:eastAsiaTheme="minorHAnsi" w:cstheme="minorBidi"/>
          <w:szCs w:val="22"/>
        </w:rPr>
        <w:t xml:space="preserve">staff believes </w:t>
      </w:r>
      <w:r>
        <w:rPr>
          <w:rFonts w:eastAsiaTheme="minorHAnsi" w:cstheme="minorBidi"/>
          <w:szCs w:val="22"/>
        </w:rPr>
        <w:t xml:space="preserve">each role has distinct duties. </w:t>
      </w:r>
      <w:r w:rsidR="00EE5C60">
        <w:rPr>
          <w:rFonts w:eastAsiaTheme="minorHAnsi" w:cstheme="minorBidi"/>
          <w:szCs w:val="22"/>
        </w:rPr>
        <w:t>Moreover, t</w:t>
      </w:r>
      <w:r w:rsidR="00A11DB1">
        <w:rPr>
          <w:rFonts w:eastAsiaTheme="minorHAnsi" w:cstheme="minorBidi"/>
          <w:szCs w:val="22"/>
        </w:rPr>
        <w:t xml:space="preserve">he fact that CSWR suggests that the engineer would be in the best position to appraise the system supports staff’s concern that the appraisal performed by the engineer </w:t>
      </w:r>
      <w:r w:rsidR="00D1190E">
        <w:rPr>
          <w:rFonts w:eastAsiaTheme="minorHAnsi" w:cstheme="minorBidi"/>
          <w:szCs w:val="22"/>
        </w:rPr>
        <w:t>who also conducts the engineering assessment may have the appearance of being biased against the other appraisals</w:t>
      </w:r>
      <w:r w:rsidR="00A11DB1">
        <w:rPr>
          <w:rFonts w:eastAsiaTheme="minorHAnsi" w:cstheme="minorBidi"/>
          <w:szCs w:val="22"/>
        </w:rPr>
        <w:t>. T</w:t>
      </w:r>
      <w:r>
        <w:rPr>
          <w:rFonts w:eastAsiaTheme="minorHAnsi" w:cstheme="minorBidi"/>
          <w:szCs w:val="22"/>
        </w:rPr>
        <w:t xml:space="preserve">he engineering report will be made available to all three licensed </w:t>
      </w:r>
      <w:r w:rsidR="00F075B6">
        <w:rPr>
          <w:rFonts w:eastAsiaTheme="minorHAnsi" w:cstheme="minorBidi"/>
          <w:szCs w:val="22"/>
        </w:rPr>
        <w:t xml:space="preserve">appraisers </w:t>
      </w:r>
      <w:r>
        <w:rPr>
          <w:rFonts w:eastAsiaTheme="minorHAnsi" w:cstheme="minorBidi"/>
          <w:szCs w:val="22"/>
        </w:rPr>
        <w:t xml:space="preserve">and incorporated in </w:t>
      </w:r>
      <w:r w:rsidR="009C48FB">
        <w:rPr>
          <w:rFonts w:eastAsiaTheme="minorHAnsi" w:cstheme="minorBidi"/>
          <w:szCs w:val="22"/>
        </w:rPr>
        <w:t>each appraisal</w:t>
      </w:r>
      <w:r w:rsidR="00A11DB1">
        <w:rPr>
          <w:rFonts w:eastAsiaTheme="minorHAnsi" w:cstheme="minorBidi"/>
          <w:szCs w:val="22"/>
        </w:rPr>
        <w:t>, so all the appraisals can rely on the same information</w:t>
      </w:r>
      <w:r w:rsidR="009C48FB">
        <w:rPr>
          <w:rFonts w:eastAsiaTheme="minorHAnsi" w:cstheme="minorBidi"/>
          <w:szCs w:val="22"/>
        </w:rPr>
        <w:t>.</w:t>
      </w:r>
    </w:p>
    <w:p w14:paraId="56E80D37" w14:textId="21C4352D" w:rsidR="009C48FB" w:rsidRPr="00CE28B6" w:rsidRDefault="000202F9" w:rsidP="00F049DD">
      <w:pPr>
        <w:pStyle w:val="Second-LevelSubheading"/>
        <w:rPr>
          <w:rFonts w:eastAsiaTheme="minorHAnsi"/>
          <w:i w:val="0"/>
        </w:rPr>
      </w:pPr>
      <w:r>
        <w:rPr>
          <w:rFonts w:eastAsiaTheme="minorHAnsi"/>
        </w:rPr>
        <w:t xml:space="preserve">Paragraph </w:t>
      </w:r>
      <w:r w:rsidR="00B461FC">
        <w:rPr>
          <w:rFonts w:eastAsiaTheme="minorHAnsi"/>
        </w:rPr>
        <w:t>(2)(d)</w:t>
      </w:r>
      <w:r w:rsidR="00281067">
        <w:rPr>
          <w:rFonts w:eastAsiaTheme="minorHAnsi"/>
          <w:i w:val="0"/>
        </w:rPr>
        <w:t xml:space="preserve"> - H</w:t>
      </w:r>
      <w:r w:rsidR="00F049DD">
        <w:rPr>
          <w:rFonts w:eastAsiaTheme="minorHAnsi"/>
          <w:i w:val="0"/>
        </w:rPr>
        <w:t xml:space="preserve">ow </w:t>
      </w:r>
      <w:r w:rsidR="00281067">
        <w:rPr>
          <w:rFonts w:eastAsiaTheme="minorHAnsi"/>
          <w:i w:val="0"/>
        </w:rPr>
        <w:t>the Appraiser List May Be A</w:t>
      </w:r>
      <w:r w:rsidR="00F049DD">
        <w:rPr>
          <w:rFonts w:eastAsiaTheme="minorHAnsi"/>
          <w:i w:val="0"/>
        </w:rPr>
        <w:t>cces</w:t>
      </w:r>
      <w:r w:rsidR="00281067">
        <w:rPr>
          <w:rFonts w:eastAsiaTheme="minorHAnsi"/>
          <w:i w:val="0"/>
        </w:rPr>
        <w:t>sed</w:t>
      </w:r>
    </w:p>
    <w:p w14:paraId="4C771FB7" w14:textId="642036E6" w:rsidR="00AA1EBE" w:rsidRPr="00EE5C60" w:rsidRDefault="00A11DB1" w:rsidP="00EE5C60">
      <w:pPr>
        <w:spacing w:after="200"/>
        <w:jc w:val="both"/>
        <w:rPr>
          <w:rFonts w:eastAsiaTheme="minorHAnsi" w:cstheme="minorBidi"/>
          <w:szCs w:val="22"/>
        </w:rPr>
      </w:pPr>
      <w:r w:rsidRPr="003A62F2">
        <w:rPr>
          <w:rFonts w:eastAsiaTheme="minorHAnsi" w:cstheme="minorBidi"/>
          <w:szCs w:val="22"/>
        </w:rPr>
        <w:t xml:space="preserve">Section 367.0811(4)(a), F.S., requires </w:t>
      </w:r>
      <w:r>
        <w:rPr>
          <w:rFonts w:eastAsiaTheme="minorHAnsi" w:cstheme="minorBidi"/>
          <w:szCs w:val="22"/>
        </w:rPr>
        <w:t xml:space="preserve">the Commission to establish a list of </w:t>
      </w:r>
      <w:r w:rsidR="0057150B">
        <w:rPr>
          <w:rFonts w:eastAsiaTheme="minorHAnsi" w:cstheme="minorBidi"/>
          <w:szCs w:val="22"/>
        </w:rPr>
        <w:t>“</w:t>
      </w:r>
      <w:r>
        <w:rPr>
          <w:rFonts w:eastAsiaTheme="minorHAnsi" w:cstheme="minorBidi"/>
          <w:szCs w:val="22"/>
        </w:rPr>
        <w:t>licensed appraisers</w:t>
      </w:r>
      <w:r w:rsidR="0057150B">
        <w:rPr>
          <w:rFonts w:eastAsiaTheme="minorHAnsi" w:cstheme="minorBidi"/>
          <w:szCs w:val="22"/>
        </w:rPr>
        <w:t>”</w:t>
      </w:r>
      <w:r>
        <w:rPr>
          <w:rFonts w:eastAsiaTheme="minorHAnsi" w:cstheme="minorBidi"/>
          <w:szCs w:val="22"/>
        </w:rPr>
        <w:t xml:space="preserve"> from which the three </w:t>
      </w:r>
      <w:r w:rsidR="0057150B">
        <w:rPr>
          <w:rFonts w:eastAsiaTheme="minorHAnsi" w:cstheme="minorBidi"/>
          <w:szCs w:val="22"/>
        </w:rPr>
        <w:t>“</w:t>
      </w:r>
      <w:r>
        <w:rPr>
          <w:rFonts w:eastAsiaTheme="minorHAnsi" w:cstheme="minorBidi"/>
          <w:szCs w:val="22"/>
        </w:rPr>
        <w:t>licensed appraisers</w:t>
      </w:r>
      <w:r w:rsidR="0057150B">
        <w:rPr>
          <w:rFonts w:eastAsiaTheme="minorHAnsi" w:cstheme="minorBidi"/>
          <w:szCs w:val="22"/>
        </w:rPr>
        <w:t>”</w:t>
      </w:r>
      <w:r>
        <w:rPr>
          <w:rFonts w:eastAsiaTheme="minorHAnsi" w:cstheme="minorBidi"/>
          <w:szCs w:val="22"/>
        </w:rPr>
        <w:t xml:space="preserve"> will be chosen to perform the appraisals. </w:t>
      </w:r>
      <w:r w:rsidR="00D4269B" w:rsidRPr="00D4269B">
        <w:rPr>
          <w:rFonts w:eastAsiaTheme="minorHAnsi" w:cstheme="minorBidi"/>
          <w:szCs w:val="22"/>
        </w:rPr>
        <w:t xml:space="preserve">Paragraph (2)(d) </w:t>
      </w:r>
      <w:r w:rsidR="00281067">
        <w:rPr>
          <w:rFonts w:eastAsiaTheme="minorHAnsi" w:cstheme="minorBidi"/>
          <w:szCs w:val="22"/>
        </w:rPr>
        <w:t xml:space="preserve">of the draft rule </w:t>
      </w:r>
      <w:r w:rsidR="0057150B">
        <w:rPr>
          <w:rFonts w:eastAsiaTheme="minorHAnsi" w:cstheme="minorBidi"/>
          <w:szCs w:val="22"/>
        </w:rPr>
        <w:t xml:space="preserve">facilitates this requirement by </w:t>
      </w:r>
      <w:r w:rsidR="005845A5">
        <w:rPr>
          <w:rFonts w:eastAsiaTheme="minorHAnsi" w:cstheme="minorBidi"/>
          <w:szCs w:val="22"/>
        </w:rPr>
        <w:t>describing</w:t>
      </w:r>
      <w:r w:rsidR="0057150B">
        <w:rPr>
          <w:rFonts w:eastAsiaTheme="minorHAnsi" w:cstheme="minorBidi"/>
          <w:szCs w:val="22"/>
        </w:rPr>
        <w:t xml:space="preserve"> </w:t>
      </w:r>
      <w:r w:rsidR="00EE5C60">
        <w:rPr>
          <w:rFonts w:eastAsiaTheme="minorHAnsi" w:cstheme="minorBidi"/>
          <w:szCs w:val="22"/>
        </w:rPr>
        <w:t>how the list the Commission</w:t>
      </w:r>
      <w:r w:rsidR="000202F9">
        <w:rPr>
          <w:rFonts w:eastAsiaTheme="minorHAnsi" w:cstheme="minorBidi"/>
          <w:szCs w:val="22"/>
        </w:rPr>
        <w:t xml:space="preserve"> establishes</w:t>
      </w:r>
      <w:r w:rsidR="00D4269B">
        <w:rPr>
          <w:rFonts w:eastAsiaTheme="minorHAnsi" w:cstheme="minorBidi"/>
          <w:szCs w:val="22"/>
        </w:rPr>
        <w:t xml:space="preserve"> may be accessed</w:t>
      </w:r>
      <w:r w:rsidR="00D1190E">
        <w:rPr>
          <w:rFonts w:eastAsiaTheme="minorHAnsi" w:cstheme="minorBidi"/>
          <w:szCs w:val="22"/>
        </w:rPr>
        <w:t xml:space="preserve"> </w:t>
      </w:r>
      <w:r w:rsidR="00D1190E">
        <w:rPr>
          <w:rFonts w:eastAsiaTheme="minorHAnsi"/>
        </w:rPr>
        <w:t xml:space="preserve">– </w:t>
      </w:r>
      <w:r w:rsidR="00EE5C60">
        <w:rPr>
          <w:rFonts w:eastAsiaTheme="minorHAnsi" w:cstheme="minorBidi"/>
          <w:szCs w:val="22"/>
        </w:rPr>
        <w:t>either on the Commission’s website or from the Office of the Commission Clerk</w:t>
      </w:r>
      <w:r w:rsidR="00C72D69">
        <w:rPr>
          <w:rFonts w:eastAsiaTheme="minorHAnsi" w:cstheme="minorBidi"/>
          <w:szCs w:val="22"/>
        </w:rPr>
        <w:t>.</w:t>
      </w:r>
      <w:r w:rsidR="00281067">
        <w:rPr>
          <w:rFonts w:eastAsiaTheme="minorHAnsi" w:cstheme="minorBidi"/>
          <w:szCs w:val="22"/>
        </w:rPr>
        <w:t xml:space="preserve"> </w:t>
      </w:r>
      <w:r w:rsidR="00D4269B">
        <w:rPr>
          <w:rFonts w:eastAsiaTheme="minorHAnsi" w:cstheme="minorBidi"/>
          <w:szCs w:val="22"/>
        </w:rPr>
        <w:t xml:space="preserve">No stakeholder </w:t>
      </w:r>
      <w:r w:rsidR="00530575">
        <w:rPr>
          <w:rFonts w:eastAsiaTheme="minorHAnsi" w:cstheme="minorBidi"/>
          <w:szCs w:val="22"/>
        </w:rPr>
        <w:t>provided</w:t>
      </w:r>
      <w:r w:rsidR="00D4269B">
        <w:rPr>
          <w:rFonts w:eastAsiaTheme="minorHAnsi" w:cstheme="minorBidi"/>
          <w:szCs w:val="22"/>
        </w:rPr>
        <w:t xml:space="preserve"> </w:t>
      </w:r>
      <w:r w:rsidR="00530575">
        <w:rPr>
          <w:rFonts w:eastAsiaTheme="minorHAnsi" w:cstheme="minorBidi"/>
          <w:szCs w:val="22"/>
        </w:rPr>
        <w:t>comment</w:t>
      </w:r>
      <w:r w:rsidR="00D4269B">
        <w:rPr>
          <w:rFonts w:eastAsiaTheme="minorHAnsi" w:cstheme="minorBidi"/>
          <w:szCs w:val="22"/>
        </w:rPr>
        <w:t xml:space="preserve"> </w:t>
      </w:r>
      <w:r w:rsidR="00530575">
        <w:rPr>
          <w:rFonts w:eastAsiaTheme="minorHAnsi" w:cstheme="minorBidi"/>
          <w:szCs w:val="22"/>
        </w:rPr>
        <w:t>regarding</w:t>
      </w:r>
      <w:r w:rsidR="00D4269B">
        <w:rPr>
          <w:rFonts w:eastAsiaTheme="minorHAnsi" w:cstheme="minorBidi"/>
          <w:szCs w:val="22"/>
        </w:rPr>
        <w:t xml:space="preserve"> this </w:t>
      </w:r>
      <w:r w:rsidR="004C222E">
        <w:rPr>
          <w:rFonts w:eastAsiaTheme="minorHAnsi" w:cstheme="minorBidi"/>
          <w:szCs w:val="22"/>
        </w:rPr>
        <w:t>provision of the draft rule</w:t>
      </w:r>
      <w:r w:rsidR="00D4269B">
        <w:rPr>
          <w:rFonts w:eastAsiaTheme="minorHAnsi" w:cstheme="minorBidi"/>
          <w:szCs w:val="22"/>
        </w:rPr>
        <w:t>.</w:t>
      </w:r>
    </w:p>
    <w:p w14:paraId="48AA862C" w14:textId="435EB37D" w:rsidR="00B461FC" w:rsidRPr="00F049DD" w:rsidRDefault="000202F9" w:rsidP="00F049DD">
      <w:pPr>
        <w:pStyle w:val="Second-LevelSubheading"/>
        <w:rPr>
          <w:rFonts w:eastAsiaTheme="minorHAnsi"/>
          <w:i w:val="0"/>
        </w:rPr>
      </w:pPr>
      <w:r>
        <w:rPr>
          <w:rFonts w:eastAsiaTheme="minorHAnsi"/>
        </w:rPr>
        <w:t xml:space="preserve">Paragraph </w:t>
      </w:r>
      <w:r w:rsidR="00B461FC">
        <w:rPr>
          <w:rFonts w:eastAsiaTheme="minorHAnsi"/>
        </w:rPr>
        <w:t>(2)(e)</w:t>
      </w:r>
      <w:r w:rsidR="00281067">
        <w:rPr>
          <w:rFonts w:eastAsiaTheme="minorHAnsi"/>
          <w:i w:val="0"/>
        </w:rPr>
        <w:t xml:space="preserve"> - H</w:t>
      </w:r>
      <w:r w:rsidR="00B53FC0">
        <w:rPr>
          <w:rFonts w:eastAsiaTheme="minorHAnsi"/>
          <w:i w:val="0"/>
        </w:rPr>
        <w:t>ow a “L</w:t>
      </w:r>
      <w:r w:rsidR="00281067">
        <w:rPr>
          <w:rFonts w:eastAsiaTheme="minorHAnsi"/>
          <w:i w:val="0"/>
        </w:rPr>
        <w:t xml:space="preserve">icensed </w:t>
      </w:r>
      <w:r w:rsidR="00DF0873">
        <w:rPr>
          <w:rFonts w:eastAsiaTheme="minorHAnsi"/>
          <w:i w:val="0"/>
        </w:rPr>
        <w:t>Appraiser</w:t>
      </w:r>
      <w:r w:rsidR="00281067">
        <w:rPr>
          <w:rFonts w:eastAsiaTheme="minorHAnsi"/>
          <w:i w:val="0"/>
        </w:rPr>
        <w:t>” May Be Added to the L</w:t>
      </w:r>
      <w:r w:rsidR="00F049DD">
        <w:rPr>
          <w:rFonts w:eastAsiaTheme="minorHAnsi"/>
          <w:i w:val="0"/>
        </w:rPr>
        <w:t>ist</w:t>
      </w:r>
    </w:p>
    <w:p w14:paraId="1216CBDC" w14:textId="2491B6DB" w:rsidR="00D4269B" w:rsidRPr="00D4269B" w:rsidRDefault="00D4269B" w:rsidP="00EE5C60">
      <w:pPr>
        <w:spacing w:after="200"/>
        <w:jc w:val="both"/>
        <w:rPr>
          <w:rFonts w:eastAsiaTheme="minorHAnsi" w:cstheme="minorBidi"/>
          <w:szCs w:val="22"/>
        </w:rPr>
      </w:pPr>
      <w:r>
        <w:rPr>
          <w:rFonts w:eastAsiaTheme="minorHAnsi" w:cstheme="minorBidi"/>
          <w:szCs w:val="22"/>
        </w:rPr>
        <w:t>Paragraph (2)(e</w:t>
      </w:r>
      <w:r w:rsidRPr="00D4269B">
        <w:rPr>
          <w:rFonts w:eastAsiaTheme="minorHAnsi" w:cstheme="minorBidi"/>
          <w:szCs w:val="22"/>
        </w:rPr>
        <w:t xml:space="preserve">) </w:t>
      </w:r>
      <w:r w:rsidR="00281067">
        <w:rPr>
          <w:rFonts w:eastAsiaTheme="minorHAnsi" w:cstheme="minorBidi"/>
          <w:szCs w:val="22"/>
        </w:rPr>
        <w:t xml:space="preserve">of the draft rule </w:t>
      </w:r>
      <w:r>
        <w:rPr>
          <w:rFonts w:eastAsiaTheme="minorHAnsi" w:cstheme="minorBidi"/>
          <w:szCs w:val="22"/>
        </w:rPr>
        <w:t xml:space="preserve">indicates how a </w:t>
      </w:r>
      <w:r w:rsidR="00EF3556">
        <w:rPr>
          <w:rFonts w:eastAsiaTheme="minorHAnsi" w:cstheme="minorBidi"/>
          <w:szCs w:val="22"/>
        </w:rPr>
        <w:t>“</w:t>
      </w:r>
      <w:r>
        <w:rPr>
          <w:rFonts w:eastAsiaTheme="minorHAnsi" w:cstheme="minorBidi"/>
          <w:szCs w:val="22"/>
        </w:rPr>
        <w:t>licensed appraiser</w:t>
      </w:r>
      <w:r w:rsidR="00EF3556">
        <w:rPr>
          <w:rFonts w:eastAsiaTheme="minorHAnsi" w:cstheme="minorBidi"/>
          <w:szCs w:val="22"/>
        </w:rPr>
        <w:t>”</w:t>
      </w:r>
      <w:r>
        <w:rPr>
          <w:rFonts w:eastAsiaTheme="minorHAnsi" w:cstheme="minorBidi"/>
          <w:szCs w:val="22"/>
        </w:rPr>
        <w:t xml:space="preserve"> may be added to the list the Commission is statutorily required to maintain, and what information must be provided. </w:t>
      </w:r>
      <w:r w:rsidR="00EE5C60">
        <w:rPr>
          <w:rFonts w:eastAsiaTheme="minorHAnsi" w:cstheme="minorBidi"/>
          <w:szCs w:val="22"/>
        </w:rPr>
        <w:t xml:space="preserve">The information required contains not only the name and contact information for the </w:t>
      </w:r>
      <w:r w:rsidR="007177DF">
        <w:rPr>
          <w:rFonts w:eastAsiaTheme="minorHAnsi" w:cstheme="minorBidi"/>
          <w:szCs w:val="22"/>
        </w:rPr>
        <w:t>“</w:t>
      </w:r>
      <w:r w:rsidR="00EE5C60">
        <w:rPr>
          <w:rFonts w:eastAsiaTheme="minorHAnsi" w:cstheme="minorBidi"/>
          <w:szCs w:val="22"/>
        </w:rPr>
        <w:t>licensed appraiser,</w:t>
      </w:r>
      <w:r w:rsidR="007177DF">
        <w:rPr>
          <w:rFonts w:eastAsiaTheme="minorHAnsi" w:cstheme="minorBidi"/>
          <w:szCs w:val="22"/>
        </w:rPr>
        <w:t>”</w:t>
      </w:r>
      <w:r w:rsidR="00EE5C60">
        <w:rPr>
          <w:rFonts w:eastAsiaTheme="minorHAnsi" w:cstheme="minorBidi"/>
          <w:szCs w:val="22"/>
        </w:rPr>
        <w:t xml:space="preserve"> but also that the </w:t>
      </w:r>
      <w:r w:rsidR="007177DF">
        <w:rPr>
          <w:rFonts w:eastAsiaTheme="minorHAnsi" w:cstheme="minorBidi"/>
          <w:szCs w:val="22"/>
        </w:rPr>
        <w:t>“</w:t>
      </w:r>
      <w:r w:rsidR="00EE5C60">
        <w:rPr>
          <w:rFonts w:eastAsiaTheme="minorHAnsi" w:cstheme="minorBidi"/>
          <w:szCs w:val="22"/>
        </w:rPr>
        <w:t>licensed appraiser</w:t>
      </w:r>
      <w:r w:rsidR="007177DF">
        <w:rPr>
          <w:rFonts w:eastAsiaTheme="minorHAnsi" w:cstheme="minorBidi"/>
          <w:szCs w:val="22"/>
        </w:rPr>
        <w:t>”</w:t>
      </w:r>
      <w:r w:rsidR="00EE5C60">
        <w:rPr>
          <w:rFonts w:eastAsiaTheme="minorHAnsi" w:cstheme="minorBidi"/>
          <w:szCs w:val="22"/>
        </w:rPr>
        <w:t xml:space="preserve"> satisfies the requirements of paragraph (1)(a) of the </w:t>
      </w:r>
      <w:r w:rsidR="00B53FC0">
        <w:rPr>
          <w:rFonts w:eastAsiaTheme="minorHAnsi" w:cstheme="minorBidi"/>
          <w:szCs w:val="22"/>
        </w:rPr>
        <w:t>d</w:t>
      </w:r>
      <w:r w:rsidR="00A007A4">
        <w:rPr>
          <w:rFonts w:eastAsiaTheme="minorHAnsi" w:cstheme="minorBidi"/>
          <w:szCs w:val="22"/>
        </w:rPr>
        <w:t>r</w:t>
      </w:r>
      <w:r w:rsidR="00B53FC0">
        <w:rPr>
          <w:rFonts w:eastAsiaTheme="minorHAnsi" w:cstheme="minorBidi"/>
          <w:szCs w:val="22"/>
        </w:rPr>
        <w:t xml:space="preserve">aft </w:t>
      </w:r>
      <w:r w:rsidR="00EE5C60">
        <w:rPr>
          <w:rFonts w:eastAsiaTheme="minorHAnsi" w:cstheme="minorBidi"/>
          <w:szCs w:val="22"/>
        </w:rPr>
        <w:t xml:space="preserve">rule and is qualified to be on the list of </w:t>
      </w:r>
      <w:r w:rsidR="007177DF">
        <w:rPr>
          <w:rFonts w:eastAsiaTheme="minorHAnsi" w:cstheme="minorBidi"/>
          <w:szCs w:val="22"/>
        </w:rPr>
        <w:t>“</w:t>
      </w:r>
      <w:r w:rsidR="00EE5C60">
        <w:rPr>
          <w:rFonts w:eastAsiaTheme="minorHAnsi" w:cstheme="minorBidi"/>
          <w:szCs w:val="22"/>
        </w:rPr>
        <w:t>licensed appraisers.</w:t>
      </w:r>
      <w:r w:rsidR="007177DF">
        <w:rPr>
          <w:rFonts w:eastAsiaTheme="minorHAnsi" w:cstheme="minorBidi"/>
          <w:szCs w:val="22"/>
        </w:rPr>
        <w:t>”</w:t>
      </w:r>
      <w:r w:rsidR="00EF3556">
        <w:rPr>
          <w:rFonts w:eastAsiaTheme="minorHAnsi" w:cstheme="minorBidi"/>
          <w:szCs w:val="22"/>
        </w:rPr>
        <w:t xml:space="preserve"> This information is necessary to maintain the statutorily-required list.</w:t>
      </w:r>
      <w:r w:rsidR="00281067">
        <w:rPr>
          <w:rFonts w:eastAsiaTheme="minorHAnsi" w:cstheme="minorBidi"/>
          <w:szCs w:val="22"/>
        </w:rPr>
        <w:t xml:space="preserve"> </w:t>
      </w:r>
      <w:r>
        <w:rPr>
          <w:rFonts w:eastAsiaTheme="minorHAnsi" w:cstheme="minorBidi"/>
          <w:szCs w:val="22"/>
        </w:rPr>
        <w:t xml:space="preserve">No stakeholder </w:t>
      </w:r>
      <w:r w:rsidR="00530575">
        <w:rPr>
          <w:rFonts w:eastAsiaTheme="minorHAnsi" w:cstheme="minorBidi"/>
          <w:szCs w:val="22"/>
        </w:rPr>
        <w:t xml:space="preserve">provided comment regarding </w:t>
      </w:r>
      <w:r>
        <w:rPr>
          <w:rFonts w:eastAsiaTheme="minorHAnsi" w:cstheme="minorBidi"/>
          <w:szCs w:val="22"/>
        </w:rPr>
        <w:t xml:space="preserve">this </w:t>
      </w:r>
      <w:r w:rsidR="004C222E">
        <w:rPr>
          <w:rFonts w:eastAsiaTheme="minorHAnsi" w:cstheme="minorBidi"/>
          <w:szCs w:val="22"/>
        </w:rPr>
        <w:t>provision of the draft rule</w:t>
      </w:r>
      <w:r>
        <w:rPr>
          <w:rFonts w:eastAsiaTheme="minorHAnsi" w:cstheme="minorBidi"/>
          <w:szCs w:val="22"/>
        </w:rPr>
        <w:t>.</w:t>
      </w:r>
    </w:p>
    <w:p w14:paraId="0659D5DB" w14:textId="66DB8038" w:rsidR="00B461FC" w:rsidRPr="00F049DD" w:rsidRDefault="000202F9" w:rsidP="00F049DD">
      <w:pPr>
        <w:pStyle w:val="Second-LevelSubheading"/>
        <w:rPr>
          <w:rFonts w:eastAsiaTheme="minorHAnsi"/>
          <w:i w:val="0"/>
        </w:rPr>
      </w:pPr>
      <w:r>
        <w:rPr>
          <w:rFonts w:eastAsiaTheme="minorHAnsi"/>
        </w:rPr>
        <w:t>Paragraph (2)(f)</w:t>
      </w:r>
      <w:r w:rsidR="00D1190E">
        <w:rPr>
          <w:rFonts w:eastAsiaTheme="minorHAnsi"/>
          <w:i w:val="0"/>
        </w:rPr>
        <w:t xml:space="preserve"> -</w:t>
      </w:r>
      <w:r w:rsidR="00DF0873">
        <w:rPr>
          <w:rFonts w:eastAsiaTheme="minorHAnsi"/>
          <w:i w:val="0"/>
        </w:rPr>
        <w:t xml:space="preserve"> “Licensed Appraiser” </w:t>
      </w:r>
      <w:r>
        <w:rPr>
          <w:rFonts w:eastAsiaTheme="minorHAnsi"/>
          <w:i w:val="0"/>
        </w:rPr>
        <w:t xml:space="preserve">is </w:t>
      </w:r>
      <w:r w:rsidR="00DF0873">
        <w:rPr>
          <w:rFonts w:eastAsiaTheme="minorHAnsi"/>
          <w:i w:val="0"/>
        </w:rPr>
        <w:t>Responsible for the Accuracy of information</w:t>
      </w:r>
    </w:p>
    <w:p w14:paraId="429C9CE7" w14:textId="177417BB" w:rsidR="00D4269B" w:rsidRDefault="00D4269B" w:rsidP="00EE5C60">
      <w:pPr>
        <w:spacing w:after="200"/>
        <w:jc w:val="both"/>
        <w:rPr>
          <w:rFonts w:eastAsiaTheme="minorHAnsi" w:cstheme="minorBidi"/>
          <w:szCs w:val="22"/>
        </w:rPr>
      </w:pPr>
      <w:r>
        <w:rPr>
          <w:rFonts w:eastAsiaTheme="minorHAnsi" w:cstheme="minorBidi"/>
          <w:szCs w:val="22"/>
        </w:rPr>
        <w:t>Paragraph (2)(f</w:t>
      </w:r>
      <w:r w:rsidRPr="00D4269B">
        <w:rPr>
          <w:rFonts w:eastAsiaTheme="minorHAnsi" w:cstheme="minorBidi"/>
          <w:szCs w:val="22"/>
        </w:rPr>
        <w:t>)</w:t>
      </w:r>
      <w:r>
        <w:rPr>
          <w:rFonts w:eastAsiaTheme="minorHAnsi" w:cstheme="minorBidi"/>
          <w:szCs w:val="22"/>
        </w:rPr>
        <w:t xml:space="preserve"> </w:t>
      </w:r>
      <w:r w:rsidR="00281067">
        <w:rPr>
          <w:rFonts w:eastAsiaTheme="minorHAnsi" w:cstheme="minorBidi"/>
          <w:szCs w:val="22"/>
        </w:rPr>
        <w:t xml:space="preserve">of the draft rule </w:t>
      </w:r>
      <w:r>
        <w:rPr>
          <w:rFonts w:eastAsiaTheme="minorHAnsi" w:cstheme="minorBidi"/>
          <w:szCs w:val="22"/>
        </w:rPr>
        <w:t xml:space="preserve">places the burden on the </w:t>
      </w:r>
      <w:r w:rsidR="007177DF">
        <w:rPr>
          <w:rFonts w:eastAsiaTheme="minorHAnsi" w:cstheme="minorBidi"/>
          <w:szCs w:val="22"/>
        </w:rPr>
        <w:t>“</w:t>
      </w:r>
      <w:r>
        <w:rPr>
          <w:rFonts w:eastAsiaTheme="minorHAnsi" w:cstheme="minorBidi"/>
          <w:szCs w:val="22"/>
        </w:rPr>
        <w:t>licensed appraiser</w:t>
      </w:r>
      <w:r w:rsidR="007177DF">
        <w:rPr>
          <w:rFonts w:eastAsiaTheme="minorHAnsi" w:cstheme="minorBidi"/>
          <w:szCs w:val="22"/>
        </w:rPr>
        <w:t>”</w:t>
      </w:r>
      <w:r>
        <w:rPr>
          <w:rFonts w:eastAsiaTheme="minorHAnsi" w:cstheme="minorBidi"/>
          <w:szCs w:val="22"/>
        </w:rPr>
        <w:t xml:space="preserve"> to ensure their information remains updated and correct. </w:t>
      </w:r>
      <w:r w:rsidR="00351CFC">
        <w:rPr>
          <w:rFonts w:eastAsiaTheme="minorHAnsi" w:cstheme="minorBidi"/>
          <w:szCs w:val="22"/>
        </w:rPr>
        <w:t xml:space="preserve">The list needs to be up-to-date and correct to ensure that only qualified individuals are performing the appraisals. In addition, the list needs to be up-to-date and correct to ensure that all individuals may be readily contacted in the selection process or if any question or concern arises. The </w:t>
      </w:r>
      <w:r w:rsidR="00CA7D21">
        <w:rPr>
          <w:rFonts w:eastAsiaTheme="minorHAnsi" w:cstheme="minorBidi"/>
          <w:szCs w:val="22"/>
        </w:rPr>
        <w:t>“</w:t>
      </w:r>
      <w:r w:rsidR="00351CFC">
        <w:rPr>
          <w:rFonts w:eastAsiaTheme="minorHAnsi" w:cstheme="minorBidi"/>
          <w:szCs w:val="22"/>
        </w:rPr>
        <w:t>licensed appraiser</w:t>
      </w:r>
      <w:r w:rsidR="00CA7D21">
        <w:rPr>
          <w:rFonts w:eastAsiaTheme="minorHAnsi" w:cstheme="minorBidi"/>
          <w:szCs w:val="22"/>
        </w:rPr>
        <w:t>”</w:t>
      </w:r>
      <w:r w:rsidR="00351CFC">
        <w:rPr>
          <w:rFonts w:eastAsiaTheme="minorHAnsi" w:cstheme="minorBidi"/>
          <w:szCs w:val="22"/>
        </w:rPr>
        <w:t xml:space="preserve"> is in the best position to know when information changes.</w:t>
      </w:r>
      <w:r w:rsidR="00281067">
        <w:rPr>
          <w:rFonts w:eastAsiaTheme="minorHAnsi" w:cstheme="minorBidi"/>
          <w:szCs w:val="22"/>
        </w:rPr>
        <w:t xml:space="preserve"> </w:t>
      </w:r>
      <w:r>
        <w:rPr>
          <w:rFonts w:eastAsiaTheme="minorHAnsi" w:cstheme="minorBidi"/>
          <w:szCs w:val="22"/>
        </w:rPr>
        <w:t xml:space="preserve">No stakeholder </w:t>
      </w:r>
      <w:r w:rsidR="00530575">
        <w:rPr>
          <w:rFonts w:eastAsiaTheme="minorHAnsi" w:cstheme="minorBidi"/>
          <w:szCs w:val="22"/>
        </w:rPr>
        <w:t xml:space="preserve">provided comment regarding </w:t>
      </w:r>
      <w:r>
        <w:rPr>
          <w:rFonts w:eastAsiaTheme="minorHAnsi" w:cstheme="minorBidi"/>
          <w:szCs w:val="22"/>
        </w:rPr>
        <w:t xml:space="preserve">this </w:t>
      </w:r>
      <w:r w:rsidR="004C222E">
        <w:rPr>
          <w:rFonts w:eastAsiaTheme="minorHAnsi" w:cstheme="minorBidi"/>
          <w:szCs w:val="22"/>
        </w:rPr>
        <w:t>provision of the draft rule</w:t>
      </w:r>
      <w:r>
        <w:rPr>
          <w:rFonts w:eastAsiaTheme="minorHAnsi" w:cstheme="minorBidi"/>
          <w:szCs w:val="22"/>
        </w:rPr>
        <w:t>.</w:t>
      </w:r>
    </w:p>
    <w:p w14:paraId="2EF0CCB2" w14:textId="04CA9FA3" w:rsidR="00B461FC" w:rsidRPr="00F049DD" w:rsidRDefault="000202F9" w:rsidP="00F049DD">
      <w:pPr>
        <w:pStyle w:val="Second-LevelSubheading"/>
        <w:rPr>
          <w:rFonts w:eastAsiaTheme="minorHAnsi"/>
          <w:i w:val="0"/>
        </w:rPr>
      </w:pPr>
      <w:r>
        <w:rPr>
          <w:rFonts w:eastAsiaTheme="minorHAnsi"/>
        </w:rPr>
        <w:t>Paragraph (2)(g)</w:t>
      </w:r>
      <w:r w:rsidR="00B53FC0">
        <w:rPr>
          <w:rFonts w:eastAsiaTheme="minorHAnsi"/>
          <w:i w:val="0"/>
        </w:rPr>
        <w:t xml:space="preserve"> </w:t>
      </w:r>
      <w:r w:rsidR="00D1190E">
        <w:rPr>
          <w:rFonts w:eastAsiaTheme="minorHAnsi"/>
          <w:i w:val="0"/>
        </w:rPr>
        <w:t>-</w:t>
      </w:r>
      <w:r w:rsidR="00B53FC0">
        <w:rPr>
          <w:rFonts w:eastAsiaTheme="minorHAnsi"/>
          <w:i w:val="0"/>
        </w:rPr>
        <w:t xml:space="preserve"> </w:t>
      </w:r>
      <w:r w:rsidR="00DF0873">
        <w:rPr>
          <w:rFonts w:eastAsiaTheme="minorHAnsi"/>
          <w:i w:val="0"/>
        </w:rPr>
        <w:t xml:space="preserve">Removing </w:t>
      </w:r>
      <w:r w:rsidR="00B53FC0">
        <w:rPr>
          <w:rFonts w:eastAsiaTheme="minorHAnsi"/>
          <w:i w:val="0"/>
        </w:rPr>
        <w:t>a “L</w:t>
      </w:r>
      <w:r w:rsidR="00F049DD">
        <w:rPr>
          <w:rFonts w:eastAsiaTheme="minorHAnsi"/>
          <w:i w:val="0"/>
        </w:rPr>
        <w:t>icensed</w:t>
      </w:r>
      <w:r w:rsidR="00B53FC0">
        <w:rPr>
          <w:rFonts w:eastAsiaTheme="minorHAnsi"/>
          <w:i w:val="0"/>
        </w:rPr>
        <w:t xml:space="preserve"> A</w:t>
      </w:r>
      <w:r w:rsidR="00F049DD">
        <w:rPr>
          <w:rFonts w:eastAsiaTheme="minorHAnsi"/>
          <w:i w:val="0"/>
        </w:rPr>
        <w:t>ppraise</w:t>
      </w:r>
      <w:r w:rsidR="00DF0873">
        <w:rPr>
          <w:rFonts w:eastAsiaTheme="minorHAnsi"/>
          <w:i w:val="0"/>
        </w:rPr>
        <w:t>r” from the list</w:t>
      </w:r>
    </w:p>
    <w:p w14:paraId="596971B2" w14:textId="0E83BEB0" w:rsidR="00D4269B" w:rsidRDefault="00D4269B" w:rsidP="00EE5C60">
      <w:pPr>
        <w:spacing w:after="200"/>
        <w:jc w:val="both"/>
        <w:rPr>
          <w:rFonts w:eastAsiaTheme="minorHAnsi" w:cstheme="minorBidi"/>
          <w:szCs w:val="22"/>
        </w:rPr>
      </w:pPr>
      <w:r>
        <w:rPr>
          <w:rFonts w:eastAsiaTheme="minorHAnsi" w:cstheme="minorBidi"/>
          <w:szCs w:val="22"/>
        </w:rPr>
        <w:t>Paragraph (2)(g</w:t>
      </w:r>
      <w:r w:rsidRPr="00D4269B">
        <w:rPr>
          <w:rFonts w:eastAsiaTheme="minorHAnsi" w:cstheme="minorBidi"/>
          <w:szCs w:val="22"/>
        </w:rPr>
        <w:t xml:space="preserve">) </w:t>
      </w:r>
      <w:r w:rsidR="00281067">
        <w:rPr>
          <w:rFonts w:eastAsiaTheme="minorHAnsi" w:cstheme="minorBidi"/>
          <w:szCs w:val="22"/>
        </w:rPr>
        <w:t xml:space="preserve">of the draft rule </w:t>
      </w:r>
      <w:r>
        <w:rPr>
          <w:rFonts w:eastAsiaTheme="minorHAnsi" w:cstheme="minorBidi"/>
          <w:szCs w:val="22"/>
        </w:rPr>
        <w:t xml:space="preserve">indicates how and why a licensed appraiser may be removed from the list. </w:t>
      </w:r>
      <w:r w:rsidR="00351CFC">
        <w:rPr>
          <w:rFonts w:eastAsiaTheme="minorHAnsi" w:cstheme="minorBidi"/>
          <w:szCs w:val="22"/>
        </w:rPr>
        <w:t xml:space="preserve">A “licensed appraiser” may request to be removed from the list simply by </w:t>
      </w:r>
      <w:r w:rsidR="00351CFC">
        <w:rPr>
          <w:rFonts w:eastAsiaTheme="minorHAnsi" w:cstheme="minorBidi"/>
          <w:szCs w:val="22"/>
        </w:rPr>
        <w:lastRenderedPageBreak/>
        <w:t>requesting such in writing via the email provided. Inclusion on the list is voluntary</w:t>
      </w:r>
      <w:r w:rsidR="00EF3556">
        <w:rPr>
          <w:rFonts w:eastAsiaTheme="minorHAnsi" w:cstheme="minorBidi"/>
          <w:szCs w:val="22"/>
        </w:rPr>
        <w:t xml:space="preserve">, so this </w:t>
      </w:r>
      <w:r w:rsidR="00281067">
        <w:rPr>
          <w:rFonts w:eastAsiaTheme="minorHAnsi" w:cstheme="minorBidi"/>
          <w:szCs w:val="22"/>
        </w:rPr>
        <w:t>paragraph</w:t>
      </w:r>
      <w:r w:rsidR="00EF3556">
        <w:rPr>
          <w:rFonts w:eastAsiaTheme="minorHAnsi" w:cstheme="minorBidi"/>
          <w:szCs w:val="22"/>
        </w:rPr>
        <w:t xml:space="preserve"> provides the means by which a “licensed appraiser”</w:t>
      </w:r>
      <w:r w:rsidR="00C72D69">
        <w:rPr>
          <w:rFonts w:eastAsiaTheme="minorHAnsi" w:cstheme="minorBidi"/>
          <w:szCs w:val="22"/>
        </w:rPr>
        <w:t xml:space="preserve"> may opt out of participation</w:t>
      </w:r>
      <w:r w:rsidR="00EF3556">
        <w:rPr>
          <w:rFonts w:eastAsiaTheme="minorHAnsi" w:cstheme="minorBidi"/>
          <w:szCs w:val="22"/>
        </w:rPr>
        <w:t>.</w:t>
      </w:r>
      <w:r w:rsidR="00281067">
        <w:rPr>
          <w:rFonts w:eastAsiaTheme="minorHAnsi" w:cstheme="minorBidi"/>
          <w:szCs w:val="22"/>
        </w:rPr>
        <w:t xml:space="preserve"> </w:t>
      </w:r>
      <w:r>
        <w:rPr>
          <w:rFonts w:eastAsiaTheme="minorHAnsi" w:cstheme="minorBidi"/>
          <w:szCs w:val="22"/>
        </w:rPr>
        <w:t xml:space="preserve">No stakeholder </w:t>
      </w:r>
      <w:r w:rsidR="00530575">
        <w:rPr>
          <w:rFonts w:eastAsiaTheme="minorHAnsi" w:cstheme="minorBidi"/>
          <w:szCs w:val="22"/>
        </w:rPr>
        <w:t xml:space="preserve">provided comment regarding </w:t>
      </w:r>
      <w:r>
        <w:rPr>
          <w:rFonts w:eastAsiaTheme="minorHAnsi" w:cstheme="minorBidi"/>
          <w:szCs w:val="22"/>
        </w:rPr>
        <w:t xml:space="preserve">this </w:t>
      </w:r>
      <w:r w:rsidR="004C222E">
        <w:rPr>
          <w:rFonts w:eastAsiaTheme="minorHAnsi" w:cstheme="minorBidi"/>
          <w:szCs w:val="22"/>
        </w:rPr>
        <w:t>provision of the draft rule</w:t>
      </w:r>
      <w:r>
        <w:rPr>
          <w:rFonts w:eastAsiaTheme="minorHAnsi" w:cstheme="minorBidi"/>
          <w:szCs w:val="22"/>
        </w:rPr>
        <w:t>.</w:t>
      </w:r>
    </w:p>
    <w:p w14:paraId="3D3BB1C6" w14:textId="032B7ADA" w:rsidR="00B55788" w:rsidRDefault="000202F9" w:rsidP="00FB2BDA">
      <w:pPr>
        <w:pStyle w:val="First-LevelSubheading"/>
        <w:rPr>
          <w:rFonts w:eastAsiaTheme="minorHAnsi"/>
        </w:rPr>
      </w:pPr>
      <w:r>
        <w:rPr>
          <w:rFonts w:eastAsiaTheme="minorHAnsi"/>
        </w:rPr>
        <w:t xml:space="preserve">Subsection </w:t>
      </w:r>
      <w:r w:rsidR="00436269">
        <w:rPr>
          <w:rFonts w:eastAsiaTheme="minorHAnsi"/>
        </w:rPr>
        <w:t>(3</w:t>
      </w:r>
      <w:r>
        <w:rPr>
          <w:rFonts w:eastAsiaTheme="minorHAnsi"/>
        </w:rPr>
        <w:t>)</w:t>
      </w:r>
      <w:r w:rsidR="003D1EE8">
        <w:rPr>
          <w:rFonts w:eastAsiaTheme="minorHAnsi"/>
        </w:rPr>
        <w:t xml:space="preserve"> </w:t>
      </w:r>
      <w:r w:rsidR="00BB09BE">
        <w:rPr>
          <w:rFonts w:eastAsiaTheme="minorHAnsi"/>
        </w:rPr>
        <w:t xml:space="preserve">- </w:t>
      </w:r>
      <w:r w:rsidR="003D1EE8">
        <w:rPr>
          <w:rFonts w:eastAsiaTheme="minorHAnsi"/>
        </w:rPr>
        <w:t>Petition</w:t>
      </w:r>
    </w:p>
    <w:p w14:paraId="7FBCEEEA" w14:textId="4B220949" w:rsidR="00281067" w:rsidRPr="00281067" w:rsidRDefault="00281067" w:rsidP="00281067">
      <w:pPr>
        <w:pStyle w:val="BodyText"/>
        <w:rPr>
          <w:rFonts w:eastAsiaTheme="minorHAnsi"/>
        </w:rPr>
      </w:pPr>
      <w:r>
        <w:rPr>
          <w:rFonts w:eastAsiaTheme="minorHAnsi"/>
        </w:rPr>
        <w:t xml:space="preserve">The statute contains a prescriptive list of what the </w:t>
      </w:r>
      <w:r w:rsidR="00FB2BDA">
        <w:rPr>
          <w:rFonts w:eastAsiaTheme="minorHAnsi"/>
        </w:rPr>
        <w:t>petition may contain. However, staff is recommending provisions in the draft rule to clarify ambiguous terms in the statute and the procedures for handling the petition before the Commission.</w:t>
      </w:r>
    </w:p>
    <w:p w14:paraId="1899FB41" w14:textId="1208E572" w:rsidR="00B461FC" w:rsidRPr="0046681E" w:rsidRDefault="000202F9" w:rsidP="00B461FC">
      <w:pPr>
        <w:pStyle w:val="Second-LevelSubheading"/>
        <w:rPr>
          <w:rFonts w:eastAsiaTheme="minorHAnsi"/>
          <w:i w:val="0"/>
        </w:rPr>
      </w:pPr>
      <w:r>
        <w:rPr>
          <w:rFonts w:eastAsiaTheme="minorHAnsi"/>
        </w:rPr>
        <w:t>Paragraph (3)(a)</w:t>
      </w:r>
      <w:r w:rsidR="00FB2BDA">
        <w:rPr>
          <w:rFonts w:eastAsiaTheme="minorHAnsi"/>
          <w:i w:val="0"/>
        </w:rPr>
        <w:t xml:space="preserve"> - P</w:t>
      </w:r>
      <w:r w:rsidR="0046681E">
        <w:rPr>
          <w:rFonts w:eastAsiaTheme="minorHAnsi"/>
          <w:i w:val="0"/>
        </w:rPr>
        <w:t xml:space="preserve">etition </w:t>
      </w:r>
      <w:r w:rsidR="00FB2BDA">
        <w:rPr>
          <w:rFonts w:eastAsiaTheme="minorHAnsi"/>
          <w:i w:val="0"/>
        </w:rPr>
        <w:t>Filing Date and Determination of C</w:t>
      </w:r>
      <w:r w:rsidR="004C222E">
        <w:rPr>
          <w:rFonts w:eastAsiaTheme="minorHAnsi"/>
          <w:i w:val="0"/>
        </w:rPr>
        <w:t>ompleteness</w:t>
      </w:r>
    </w:p>
    <w:p w14:paraId="3D7A34E3" w14:textId="5617DA3F" w:rsidR="00154B82" w:rsidRDefault="003A62F2" w:rsidP="003B28D9">
      <w:pPr>
        <w:spacing w:after="200"/>
        <w:jc w:val="both"/>
        <w:rPr>
          <w:rFonts w:eastAsiaTheme="minorHAnsi" w:cstheme="minorBidi"/>
          <w:szCs w:val="22"/>
        </w:rPr>
      </w:pPr>
      <w:r w:rsidRPr="003A62F2">
        <w:rPr>
          <w:rFonts w:eastAsiaTheme="minorHAnsi" w:cstheme="minorBidi"/>
          <w:szCs w:val="22"/>
        </w:rPr>
        <w:t xml:space="preserve">Section 367.0811, F.S., is silent as to when the petition </w:t>
      </w:r>
      <w:r w:rsidR="00FB2BDA">
        <w:rPr>
          <w:rFonts w:eastAsiaTheme="minorHAnsi" w:cstheme="minorBidi"/>
          <w:szCs w:val="22"/>
        </w:rPr>
        <w:t xml:space="preserve">must be filed. </w:t>
      </w:r>
      <w:r w:rsidR="00E1471D">
        <w:rPr>
          <w:rFonts w:eastAsiaTheme="minorHAnsi" w:cstheme="minorBidi"/>
          <w:szCs w:val="22"/>
        </w:rPr>
        <w:t xml:space="preserve">Paragraph (3)(a) of the </w:t>
      </w:r>
      <w:r w:rsidR="00FB2BDA">
        <w:rPr>
          <w:rFonts w:eastAsiaTheme="minorHAnsi" w:cstheme="minorBidi"/>
          <w:szCs w:val="22"/>
        </w:rPr>
        <w:t xml:space="preserve">draft </w:t>
      </w:r>
      <w:r w:rsidR="00E1471D">
        <w:rPr>
          <w:rFonts w:eastAsiaTheme="minorHAnsi" w:cstheme="minorBidi"/>
          <w:szCs w:val="22"/>
        </w:rPr>
        <w:t>r</w:t>
      </w:r>
      <w:r w:rsidRPr="003A62F2">
        <w:rPr>
          <w:rFonts w:eastAsiaTheme="minorHAnsi" w:cstheme="minorBidi"/>
          <w:szCs w:val="22"/>
        </w:rPr>
        <w:t xml:space="preserve">ule </w:t>
      </w:r>
      <w:r w:rsidR="00C96F02">
        <w:rPr>
          <w:rFonts w:eastAsiaTheme="minorHAnsi" w:cstheme="minorBidi"/>
          <w:szCs w:val="22"/>
        </w:rPr>
        <w:t>allows that</w:t>
      </w:r>
      <w:r w:rsidRPr="003A62F2">
        <w:rPr>
          <w:rFonts w:eastAsiaTheme="minorHAnsi" w:cstheme="minorBidi"/>
          <w:szCs w:val="22"/>
        </w:rPr>
        <w:t xml:space="preserve"> the petition “may be filed concurrent with the application to transfer the certificate(s) of authorization, but must be filed no later than 6 months </w:t>
      </w:r>
      <w:r w:rsidR="006B5D8D">
        <w:rPr>
          <w:rFonts w:eastAsiaTheme="minorHAnsi" w:cstheme="minorBidi"/>
          <w:szCs w:val="22"/>
        </w:rPr>
        <w:t>after</w:t>
      </w:r>
      <w:r w:rsidRPr="003A62F2">
        <w:rPr>
          <w:rFonts w:eastAsiaTheme="minorHAnsi" w:cstheme="minorBidi"/>
          <w:szCs w:val="22"/>
        </w:rPr>
        <w:t xml:space="preserve"> the issuance of the final order approving the transfer of the certificate(s) of authorization or the closing date of the sale.” </w:t>
      </w:r>
      <w:r w:rsidR="003B28D9">
        <w:rPr>
          <w:rFonts w:eastAsiaTheme="minorHAnsi" w:cstheme="minorBidi"/>
          <w:szCs w:val="22"/>
        </w:rPr>
        <w:t>S</w:t>
      </w:r>
      <w:r w:rsidR="004C222E">
        <w:rPr>
          <w:rFonts w:eastAsiaTheme="minorHAnsi" w:cstheme="minorBidi"/>
          <w:szCs w:val="22"/>
        </w:rPr>
        <w:t>taff believes s</w:t>
      </w:r>
      <w:r w:rsidR="003B28D9">
        <w:rPr>
          <w:rFonts w:eastAsiaTheme="minorHAnsi" w:cstheme="minorBidi"/>
          <w:szCs w:val="22"/>
        </w:rPr>
        <w:t>imultaneous filing allows</w:t>
      </w:r>
      <w:r w:rsidR="003B28D9" w:rsidRPr="003B28D9">
        <w:rPr>
          <w:rFonts w:eastAsiaTheme="minorHAnsi" w:cstheme="minorBidi"/>
          <w:szCs w:val="22"/>
        </w:rPr>
        <w:t xml:space="preserve"> for regulatory efficiency</w:t>
      </w:r>
      <w:r w:rsidR="00702000">
        <w:rPr>
          <w:rFonts w:eastAsiaTheme="minorHAnsi" w:cstheme="minorBidi"/>
          <w:szCs w:val="22"/>
        </w:rPr>
        <w:t xml:space="preserve"> </w:t>
      </w:r>
      <w:r w:rsidR="003B28D9" w:rsidRPr="003B28D9">
        <w:rPr>
          <w:rFonts w:eastAsiaTheme="minorHAnsi" w:cstheme="minorBidi"/>
          <w:szCs w:val="22"/>
        </w:rPr>
        <w:t>and comprehensive resol</w:t>
      </w:r>
      <w:r w:rsidR="003B28D9">
        <w:rPr>
          <w:rFonts w:eastAsiaTheme="minorHAnsi" w:cstheme="minorBidi"/>
          <w:szCs w:val="22"/>
        </w:rPr>
        <w:t>ution of</w:t>
      </w:r>
      <w:r w:rsidR="003B28D9" w:rsidRPr="003B28D9">
        <w:rPr>
          <w:rFonts w:eastAsiaTheme="minorHAnsi" w:cstheme="minorBidi"/>
          <w:szCs w:val="22"/>
        </w:rPr>
        <w:t xml:space="preserve"> issues related to the transfer.</w:t>
      </w:r>
      <w:r w:rsidR="00A47DA0">
        <w:rPr>
          <w:rFonts w:eastAsiaTheme="minorHAnsi" w:cstheme="minorBidi"/>
          <w:szCs w:val="22"/>
        </w:rPr>
        <w:t xml:space="preserve"> </w:t>
      </w:r>
      <w:r w:rsidRPr="003A62F2">
        <w:rPr>
          <w:rFonts w:eastAsiaTheme="minorHAnsi" w:cstheme="minorBidi"/>
          <w:szCs w:val="22"/>
        </w:rPr>
        <w:t>This timing requirement incorporates commen</w:t>
      </w:r>
      <w:r w:rsidR="00E1471D">
        <w:rPr>
          <w:rFonts w:eastAsiaTheme="minorHAnsi" w:cstheme="minorBidi"/>
          <w:szCs w:val="22"/>
        </w:rPr>
        <w:t>ts from Sunshine</w:t>
      </w:r>
      <w:r w:rsidR="003B28D9">
        <w:rPr>
          <w:rFonts w:eastAsiaTheme="minorHAnsi" w:cstheme="minorBidi"/>
          <w:szCs w:val="22"/>
        </w:rPr>
        <w:t xml:space="preserve"> and CSWR.</w:t>
      </w:r>
    </w:p>
    <w:p w14:paraId="7EDFB5FC" w14:textId="461AD48A" w:rsidR="00CF09A3" w:rsidRDefault="00154B82" w:rsidP="00530575">
      <w:pPr>
        <w:spacing w:after="200"/>
        <w:jc w:val="both"/>
        <w:rPr>
          <w:rFonts w:eastAsiaTheme="minorHAnsi" w:cstheme="minorBidi"/>
          <w:szCs w:val="22"/>
        </w:rPr>
      </w:pPr>
      <w:r>
        <w:rPr>
          <w:rFonts w:eastAsiaTheme="minorHAnsi" w:cstheme="minorBidi"/>
          <w:szCs w:val="22"/>
        </w:rPr>
        <w:t xml:space="preserve">OPC alleges that </w:t>
      </w:r>
      <w:r w:rsidRPr="00154B82">
        <w:rPr>
          <w:rFonts w:eastAsiaTheme="minorHAnsi" w:cstheme="minorBidi"/>
          <w:szCs w:val="22"/>
        </w:rPr>
        <w:t xml:space="preserve">customers </w:t>
      </w:r>
      <w:r>
        <w:rPr>
          <w:rFonts w:eastAsiaTheme="minorHAnsi" w:cstheme="minorBidi"/>
          <w:szCs w:val="22"/>
        </w:rPr>
        <w:t>may</w:t>
      </w:r>
      <w:r w:rsidRPr="00154B82">
        <w:rPr>
          <w:rFonts w:eastAsiaTheme="minorHAnsi" w:cstheme="minorBidi"/>
          <w:szCs w:val="22"/>
        </w:rPr>
        <w:t xml:space="preserve"> be harmed if a higher rate</w:t>
      </w:r>
      <w:r>
        <w:rPr>
          <w:rFonts w:eastAsiaTheme="minorHAnsi" w:cstheme="minorBidi"/>
          <w:szCs w:val="22"/>
        </w:rPr>
        <w:t xml:space="preserve"> </w:t>
      </w:r>
      <w:r w:rsidRPr="00154B82">
        <w:rPr>
          <w:rFonts w:eastAsiaTheme="minorHAnsi" w:cstheme="minorBidi"/>
          <w:szCs w:val="22"/>
        </w:rPr>
        <w:t xml:space="preserve">base is established without sufficient justification and before all factors are known. </w:t>
      </w:r>
      <w:r>
        <w:rPr>
          <w:rFonts w:eastAsiaTheme="minorHAnsi" w:cstheme="minorBidi"/>
          <w:szCs w:val="22"/>
        </w:rPr>
        <w:t>Staff believes that the notice requiremen</w:t>
      </w:r>
      <w:r w:rsidR="00FB2BDA">
        <w:rPr>
          <w:rFonts w:eastAsiaTheme="minorHAnsi" w:cstheme="minorBidi"/>
          <w:szCs w:val="22"/>
        </w:rPr>
        <w:t xml:space="preserve">t of subsection (5) of the draft </w:t>
      </w:r>
      <w:r w:rsidR="00A47DA0">
        <w:rPr>
          <w:rFonts w:eastAsiaTheme="minorHAnsi" w:cstheme="minorBidi"/>
          <w:szCs w:val="22"/>
        </w:rPr>
        <w:t>rule</w:t>
      </w:r>
      <w:r w:rsidR="007A50F5">
        <w:rPr>
          <w:rFonts w:eastAsiaTheme="minorHAnsi" w:cstheme="minorBidi"/>
          <w:szCs w:val="22"/>
        </w:rPr>
        <w:t xml:space="preserve"> </w:t>
      </w:r>
      <w:r>
        <w:rPr>
          <w:rFonts w:eastAsiaTheme="minorHAnsi" w:cstheme="minorBidi"/>
          <w:szCs w:val="22"/>
        </w:rPr>
        <w:t>addresses OPC’s concern</w:t>
      </w:r>
      <w:r w:rsidR="00A47DA0">
        <w:rPr>
          <w:rFonts w:eastAsiaTheme="minorHAnsi" w:cstheme="minorBidi"/>
          <w:szCs w:val="22"/>
        </w:rPr>
        <w:t xml:space="preserve"> because notice will be provided to customers allowing them to intervene in the alternative rate base proceeding.</w:t>
      </w:r>
    </w:p>
    <w:p w14:paraId="4C0E5616" w14:textId="0A3F95A5" w:rsidR="00A47DA0" w:rsidRDefault="00A47DA0" w:rsidP="00A47DA0">
      <w:pPr>
        <w:spacing w:after="200"/>
        <w:jc w:val="both"/>
        <w:rPr>
          <w:rFonts w:eastAsiaTheme="minorHAnsi" w:cstheme="minorBidi"/>
          <w:szCs w:val="22"/>
        </w:rPr>
      </w:pPr>
      <w:r>
        <w:rPr>
          <w:rFonts w:eastAsiaTheme="minorHAnsi" w:cstheme="minorBidi"/>
          <w:szCs w:val="22"/>
        </w:rPr>
        <w:t xml:space="preserve">CSWR’s comments also </w:t>
      </w:r>
      <w:r w:rsidR="003B28D9">
        <w:rPr>
          <w:rFonts w:eastAsiaTheme="minorHAnsi" w:cstheme="minorBidi"/>
          <w:szCs w:val="22"/>
        </w:rPr>
        <w:t xml:space="preserve">suggest </w:t>
      </w:r>
      <w:r>
        <w:rPr>
          <w:rFonts w:eastAsiaTheme="minorHAnsi" w:cstheme="minorBidi"/>
          <w:szCs w:val="22"/>
        </w:rPr>
        <w:t xml:space="preserve">that </w:t>
      </w:r>
      <w:r w:rsidRPr="00A47DA0">
        <w:rPr>
          <w:rFonts w:eastAsiaTheme="minorHAnsi" w:cstheme="minorBidi"/>
          <w:szCs w:val="22"/>
        </w:rPr>
        <w:t xml:space="preserve">the petition filing deadline should be </w:t>
      </w:r>
      <w:r w:rsidR="003B28D9">
        <w:rPr>
          <w:rFonts w:eastAsiaTheme="minorHAnsi" w:cstheme="minorBidi"/>
          <w:szCs w:val="22"/>
        </w:rPr>
        <w:t xml:space="preserve">able to be </w:t>
      </w:r>
      <w:r w:rsidRPr="00A47DA0">
        <w:rPr>
          <w:rFonts w:eastAsiaTheme="minorHAnsi" w:cstheme="minorBidi"/>
          <w:szCs w:val="22"/>
        </w:rPr>
        <w:t>extended upon good cause</w:t>
      </w:r>
      <w:r>
        <w:rPr>
          <w:rFonts w:eastAsiaTheme="minorHAnsi" w:cstheme="minorBidi"/>
          <w:szCs w:val="22"/>
        </w:rPr>
        <w:t xml:space="preserve"> </w:t>
      </w:r>
      <w:r w:rsidRPr="00A47DA0">
        <w:rPr>
          <w:rFonts w:eastAsiaTheme="minorHAnsi" w:cstheme="minorBidi"/>
          <w:szCs w:val="22"/>
        </w:rPr>
        <w:t xml:space="preserve">shown by the acquiring utility. </w:t>
      </w:r>
      <w:r>
        <w:rPr>
          <w:rFonts w:eastAsiaTheme="minorHAnsi" w:cstheme="minorBidi"/>
          <w:szCs w:val="22"/>
        </w:rPr>
        <w:t>CSWR alleges t</w:t>
      </w:r>
      <w:r w:rsidRPr="00A47DA0">
        <w:rPr>
          <w:rFonts w:eastAsiaTheme="minorHAnsi" w:cstheme="minorBidi"/>
          <w:szCs w:val="22"/>
        </w:rPr>
        <w:t>here could be circumstances outside the acquiring</w:t>
      </w:r>
      <w:r>
        <w:rPr>
          <w:rFonts w:eastAsiaTheme="minorHAnsi" w:cstheme="minorBidi"/>
          <w:szCs w:val="22"/>
        </w:rPr>
        <w:t xml:space="preserve"> </w:t>
      </w:r>
      <w:r w:rsidRPr="00A47DA0">
        <w:rPr>
          <w:rFonts w:eastAsiaTheme="minorHAnsi" w:cstheme="minorBidi"/>
          <w:szCs w:val="22"/>
        </w:rPr>
        <w:t>utility’s control that cause a delay, such as in obtaining the required engineering</w:t>
      </w:r>
      <w:r>
        <w:rPr>
          <w:rFonts w:eastAsiaTheme="minorHAnsi" w:cstheme="minorBidi"/>
          <w:szCs w:val="22"/>
        </w:rPr>
        <w:t xml:space="preserve"> </w:t>
      </w:r>
      <w:r w:rsidRPr="00A47DA0">
        <w:rPr>
          <w:rFonts w:eastAsiaTheme="minorHAnsi" w:cstheme="minorBidi"/>
          <w:szCs w:val="22"/>
        </w:rPr>
        <w:t>assessment and appraisals.</w:t>
      </w:r>
    </w:p>
    <w:p w14:paraId="546CC803" w14:textId="4BCA92C3" w:rsidR="00A47DA0" w:rsidRPr="00702000" w:rsidRDefault="00CF09A3" w:rsidP="00A47DA0">
      <w:pPr>
        <w:spacing w:after="200"/>
        <w:jc w:val="both"/>
        <w:rPr>
          <w:rFonts w:eastAsiaTheme="minorHAnsi" w:cstheme="minorBidi"/>
          <w:szCs w:val="22"/>
        </w:rPr>
      </w:pPr>
      <w:r>
        <w:rPr>
          <w:rFonts w:eastAsiaTheme="minorHAnsi" w:cstheme="minorBidi"/>
          <w:szCs w:val="22"/>
        </w:rPr>
        <w:t>T</w:t>
      </w:r>
      <w:r w:rsidR="00E1471D">
        <w:rPr>
          <w:rFonts w:eastAsiaTheme="minorHAnsi" w:cstheme="minorBidi"/>
          <w:szCs w:val="22"/>
        </w:rPr>
        <w:t xml:space="preserve">he </w:t>
      </w:r>
      <w:r w:rsidR="00B53FC0">
        <w:rPr>
          <w:rFonts w:eastAsiaTheme="minorHAnsi" w:cstheme="minorBidi"/>
          <w:szCs w:val="22"/>
        </w:rPr>
        <w:t xml:space="preserve">draft </w:t>
      </w:r>
      <w:r w:rsidR="00E1471D">
        <w:rPr>
          <w:rFonts w:eastAsiaTheme="minorHAnsi" w:cstheme="minorBidi"/>
          <w:szCs w:val="22"/>
        </w:rPr>
        <w:t>r</w:t>
      </w:r>
      <w:r w:rsidR="003A62F2" w:rsidRPr="003A62F2">
        <w:rPr>
          <w:rFonts w:eastAsiaTheme="minorHAnsi" w:cstheme="minorBidi"/>
          <w:szCs w:val="22"/>
        </w:rPr>
        <w:t>ule does not allow for extensio</w:t>
      </w:r>
      <w:r>
        <w:rPr>
          <w:rFonts w:eastAsiaTheme="minorHAnsi" w:cstheme="minorBidi"/>
          <w:szCs w:val="22"/>
        </w:rPr>
        <w:t>ns of time to file the petition</w:t>
      </w:r>
      <w:r w:rsidR="003A62F2" w:rsidRPr="003A62F2">
        <w:rPr>
          <w:rFonts w:eastAsiaTheme="minorHAnsi" w:cstheme="minorBidi"/>
          <w:szCs w:val="22"/>
        </w:rPr>
        <w:t xml:space="preserve"> as requested by CSWR. </w:t>
      </w:r>
      <w:r w:rsidR="00F872B3">
        <w:rPr>
          <w:rFonts w:eastAsiaTheme="minorHAnsi" w:cstheme="minorBidi"/>
          <w:szCs w:val="22"/>
        </w:rPr>
        <w:t xml:space="preserve">Most of the information necessary for the petition will be known well in advance of the petition. In requesting that the rule allow the petition to be filed at the time of the transfer application CSWR even </w:t>
      </w:r>
      <w:r w:rsidR="00A47DA0">
        <w:rPr>
          <w:rFonts w:eastAsiaTheme="minorHAnsi" w:cstheme="minorBidi"/>
          <w:szCs w:val="22"/>
        </w:rPr>
        <w:t>admit</w:t>
      </w:r>
      <w:r w:rsidR="00F872B3">
        <w:rPr>
          <w:rFonts w:eastAsiaTheme="minorHAnsi" w:cstheme="minorBidi"/>
          <w:szCs w:val="22"/>
        </w:rPr>
        <w:t>s, “</w:t>
      </w:r>
      <w:r w:rsidR="009E52C1">
        <w:rPr>
          <w:rFonts w:eastAsiaTheme="minorHAnsi" w:cstheme="minorBidi"/>
          <w:szCs w:val="22"/>
        </w:rPr>
        <w:t>t</w:t>
      </w:r>
      <w:r w:rsidR="00F872B3">
        <w:rPr>
          <w:rFonts w:eastAsiaTheme="minorHAnsi" w:cstheme="minorBidi"/>
          <w:szCs w:val="22"/>
        </w:rPr>
        <w:t xml:space="preserve">here are many instances where the materials required to be filed with the petition are available at the time of the transfer application.” </w:t>
      </w:r>
    </w:p>
    <w:p w14:paraId="07EF5E86" w14:textId="4F55E7A7" w:rsidR="00B461FC" w:rsidRPr="0046681E" w:rsidRDefault="000202F9" w:rsidP="00F049DD">
      <w:pPr>
        <w:pStyle w:val="Second-LevelSubheading"/>
        <w:rPr>
          <w:rFonts w:eastAsiaTheme="minorHAnsi"/>
          <w:i w:val="0"/>
        </w:rPr>
      </w:pPr>
      <w:r>
        <w:rPr>
          <w:rFonts w:eastAsiaTheme="minorHAnsi"/>
        </w:rPr>
        <w:t>Paragraph (3)(b)</w:t>
      </w:r>
      <w:r w:rsidR="00B475E5">
        <w:rPr>
          <w:rFonts w:eastAsiaTheme="minorHAnsi"/>
          <w:i w:val="0"/>
        </w:rPr>
        <w:t xml:space="preserve"> - </w:t>
      </w:r>
      <w:r w:rsidR="0046681E">
        <w:rPr>
          <w:rFonts w:eastAsiaTheme="minorHAnsi"/>
          <w:i w:val="0"/>
        </w:rPr>
        <w:t xml:space="preserve">3-year </w:t>
      </w:r>
      <w:r w:rsidR="00B53FC0">
        <w:rPr>
          <w:rFonts w:eastAsiaTheme="minorHAnsi"/>
          <w:i w:val="0"/>
        </w:rPr>
        <w:t>P</w:t>
      </w:r>
      <w:r w:rsidR="0046681E">
        <w:rPr>
          <w:rFonts w:eastAsiaTheme="minorHAnsi"/>
          <w:i w:val="0"/>
        </w:rPr>
        <w:t xml:space="preserve">lan </w:t>
      </w:r>
      <w:r w:rsidR="00DF0873">
        <w:rPr>
          <w:rFonts w:eastAsiaTheme="minorHAnsi"/>
          <w:i w:val="0"/>
        </w:rPr>
        <w:t xml:space="preserve">Data required </w:t>
      </w:r>
      <w:r w:rsidR="00B53FC0">
        <w:rPr>
          <w:rFonts w:eastAsiaTheme="minorHAnsi"/>
          <w:i w:val="0"/>
        </w:rPr>
        <w:t>i</w:t>
      </w:r>
      <w:r w:rsidR="00B475E5">
        <w:rPr>
          <w:rFonts w:eastAsiaTheme="minorHAnsi"/>
          <w:i w:val="0"/>
        </w:rPr>
        <w:t>f D</w:t>
      </w:r>
      <w:r w:rsidR="0046681E">
        <w:rPr>
          <w:rFonts w:eastAsiaTheme="minorHAnsi"/>
          <w:i w:val="0"/>
        </w:rPr>
        <w:t>eficiencies</w:t>
      </w:r>
      <w:r w:rsidR="00B475E5">
        <w:rPr>
          <w:rFonts w:eastAsiaTheme="minorHAnsi"/>
          <w:i w:val="0"/>
        </w:rPr>
        <w:t xml:space="preserve"> Noted in the E</w:t>
      </w:r>
      <w:r w:rsidR="0046681E">
        <w:rPr>
          <w:rFonts w:eastAsiaTheme="minorHAnsi"/>
          <w:i w:val="0"/>
        </w:rPr>
        <w:t xml:space="preserve">ngineering </w:t>
      </w:r>
      <w:r w:rsidR="00B475E5">
        <w:rPr>
          <w:rFonts w:eastAsiaTheme="minorHAnsi"/>
          <w:i w:val="0"/>
        </w:rPr>
        <w:t>Assessment</w:t>
      </w:r>
    </w:p>
    <w:p w14:paraId="11E5D5A3" w14:textId="24EFA8CD" w:rsidR="003A62F2" w:rsidRDefault="003A62F2" w:rsidP="007C543C">
      <w:pPr>
        <w:spacing w:after="240"/>
        <w:jc w:val="both"/>
        <w:rPr>
          <w:rFonts w:eastAsiaTheme="minorHAnsi" w:cstheme="minorBidi"/>
          <w:szCs w:val="22"/>
        </w:rPr>
      </w:pPr>
      <w:r w:rsidRPr="003A62F2">
        <w:rPr>
          <w:rFonts w:eastAsiaTheme="minorHAnsi" w:cstheme="minorBidi"/>
          <w:szCs w:val="22"/>
        </w:rPr>
        <w:t>If the engineering assessment required by Section 367.0811(4)(b), F.S., identifies any deficie</w:t>
      </w:r>
      <w:r w:rsidR="00E1471D">
        <w:rPr>
          <w:rFonts w:eastAsiaTheme="minorHAnsi" w:cstheme="minorBidi"/>
          <w:szCs w:val="22"/>
        </w:rPr>
        <w:t xml:space="preserve">ncies, paragraph (3)(b) of the </w:t>
      </w:r>
      <w:r w:rsidR="00B53FC0">
        <w:rPr>
          <w:rFonts w:eastAsiaTheme="minorHAnsi" w:cstheme="minorBidi"/>
          <w:szCs w:val="22"/>
        </w:rPr>
        <w:t xml:space="preserve">draft </w:t>
      </w:r>
      <w:r w:rsidR="00E1471D">
        <w:rPr>
          <w:rFonts w:eastAsiaTheme="minorHAnsi" w:cstheme="minorBidi"/>
          <w:szCs w:val="22"/>
        </w:rPr>
        <w:t>r</w:t>
      </w:r>
      <w:r w:rsidRPr="003A62F2">
        <w:rPr>
          <w:rFonts w:eastAsiaTheme="minorHAnsi" w:cstheme="minorBidi"/>
          <w:szCs w:val="22"/>
        </w:rPr>
        <w:t>ule requires certain information to be contained in the 3-year plan required by Section 367.0811(5)(d), F.S. The 3-year plan “must address impact on quality of service and any planned improvement to water quality.” Moreover, in considering the rate base value petition, one thing the Commission must consider, at a minimum, is improvements to quality of service. Section 367.0811(9)(a), F.S. T</w:t>
      </w:r>
      <w:r w:rsidR="00E1471D">
        <w:rPr>
          <w:rFonts w:eastAsiaTheme="minorHAnsi" w:cstheme="minorBidi"/>
          <w:szCs w:val="22"/>
        </w:rPr>
        <w:t xml:space="preserve">he information required by the </w:t>
      </w:r>
      <w:r w:rsidR="00B53FC0">
        <w:rPr>
          <w:rFonts w:eastAsiaTheme="minorHAnsi" w:cstheme="minorBidi"/>
          <w:szCs w:val="22"/>
        </w:rPr>
        <w:t xml:space="preserve">draft </w:t>
      </w:r>
      <w:r w:rsidR="00E1471D">
        <w:rPr>
          <w:rFonts w:eastAsiaTheme="minorHAnsi" w:cstheme="minorBidi"/>
          <w:szCs w:val="22"/>
        </w:rPr>
        <w:t>r</w:t>
      </w:r>
      <w:r w:rsidRPr="003A62F2">
        <w:rPr>
          <w:rFonts w:eastAsiaTheme="minorHAnsi" w:cstheme="minorBidi"/>
          <w:szCs w:val="22"/>
        </w:rPr>
        <w:t>ule provides the Commission the data necessary to evaluate water quality</w:t>
      </w:r>
      <w:r w:rsidR="009E242A">
        <w:rPr>
          <w:rFonts w:eastAsiaTheme="minorHAnsi" w:cstheme="minorBidi"/>
          <w:szCs w:val="22"/>
        </w:rPr>
        <w:t xml:space="preserve"> and improvements to quality of service.</w:t>
      </w:r>
    </w:p>
    <w:p w14:paraId="39417E3F" w14:textId="696AF19D" w:rsidR="00E8623E" w:rsidRDefault="00F872B3" w:rsidP="00530575">
      <w:pPr>
        <w:spacing w:after="200"/>
        <w:jc w:val="both"/>
        <w:rPr>
          <w:rFonts w:eastAsiaTheme="minorHAnsi" w:cstheme="minorBidi"/>
          <w:szCs w:val="22"/>
        </w:rPr>
      </w:pPr>
      <w:r>
        <w:rPr>
          <w:rFonts w:eastAsiaTheme="minorHAnsi" w:cstheme="minorBidi"/>
          <w:szCs w:val="22"/>
        </w:rPr>
        <w:t xml:space="preserve">This language </w:t>
      </w:r>
      <w:r w:rsidR="00E8623E">
        <w:rPr>
          <w:rFonts w:eastAsiaTheme="minorHAnsi" w:cstheme="minorBidi"/>
          <w:szCs w:val="22"/>
        </w:rPr>
        <w:t xml:space="preserve">is supported by comments from OPC and U.S. Water. </w:t>
      </w:r>
      <w:r w:rsidR="00E8623E" w:rsidRPr="003A62F2">
        <w:rPr>
          <w:rFonts w:eastAsiaTheme="minorHAnsi" w:cstheme="minorBidi"/>
          <w:szCs w:val="22"/>
        </w:rPr>
        <w:t>However, U.S. Water opine</w:t>
      </w:r>
      <w:r w:rsidR="009E52C1">
        <w:rPr>
          <w:rFonts w:eastAsiaTheme="minorHAnsi" w:cstheme="minorBidi"/>
          <w:szCs w:val="22"/>
        </w:rPr>
        <w:t>s</w:t>
      </w:r>
      <w:r w:rsidR="00E8623E" w:rsidRPr="003A62F2">
        <w:rPr>
          <w:rFonts w:eastAsiaTheme="minorHAnsi" w:cstheme="minorBidi"/>
          <w:szCs w:val="22"/>
        </w:rPr>
        <w:t xml:space="preserve"> that improvements in both quality of service and compliance with regulatory requirements should </w:t>
      </w:r>
      <w:r w:rsidR="003B28D9">
        <w:rPr>
          <w:rFonts w:eastAsiaTheme="minorHAnsi" w:cstheme="minorBidi"/>
          <w:szCs w:val="22"/>
        </w:rPr>
        <w:t>have been</w:t>
      </w:r>
      <w:r w:rsidR="00E8623E" w:rsidRPr="003A62F2">
        <w:rPr>
          <w:rFonts w:eastAsiaTheme="minorHAnsi" w:cstheme="minorBidi"/>
          <w:szCs w:val="22"/>
        </w:rPr>
        <w:t xml:space="preserve"> included in the filing requirements for petition.</w:t>
      </w:r>
      <w:r w:rsidR="00E8623E">
        <w:rPr>
          <w:rFonts w:eastAsiaTheme="minorHAnsi" w:cstheme="minorBidi"/>
          <w:szCs w:val="22"/>
        </w:rPr>
        <w:t xml:space="preserve"> However, the statute is </w:t>
      </w:r>
      <w:r w:rsidR="00E8623E">
        <w:rPr>
          <w:rFonts w:eastAsiaTheme="minorHAnsi" w:cstheme="minorBidi"/>
          <w:szCs w:val="22"/>
        </w:rPr>
        <w:lastRenderedPageBreak/>
        <w:t xml:space="preserve">prescriptive about what the petition may contain, so water quality information could not be added as an extra requirement. </w:t>
      </w:r>
      <w:r w:rsidR="003B28D9">
        <w:rPr>
          <w:rFonts w:eastAsiaTheme="minorHAnsi" w:cstheme="minorBidi"/>
          <w:szCs w:val="22"/>
        </w:rPr>
        <w:t>Because</w:t>
      </w:r>
      <w:r w:rsidR="00E8623E">
        <w:rPr>
          <w:rFonts w:eastAsiaTheme="minorHAnsi" w:cstheme="minorBidi"/>
          <w:szCs w:val="22"/>
        </w:rPr>
        <w:t xml:space="preserve"> th</w:t>
      </w:r>
      <w:r w:rsidR="00784314">
        <w:rPr>
          <w:rFonts w:eastAsiaTheme="minorHAnsi" w:cstheme="minorBidi"/>
          <w:szCs w:val="22"/>
        </w:rPr>
        <w:t>e statute require</w:t>
      </w:r>
      <w:r w:rsidR="003B28D9">
        <w:rPr>
          <w:rFonts w:eastAsiaTheme="minorHAnsi" w:cstheme="minorBidi"/>
          <w:szCs w:val="22"/>
        </w:rPr>
        <w:t>s</w:t>
      </w:r>
      <w:r w:rsidR="00784314">
        <w:rPr>
          <w:rFonts w:eastAsiaTheme="minorHAnsi" w:cstheme="minorBidi"/>
          <w:szCs w:val="22"/>
        </w:rPr>
        <w:t xml:space="preserve"> the Commission to consider water</w:t>
      </w:r>
      <w:r w:rsidR="003B28D9">
        <w:rPr>
          <w:rFonts w:eastAsiaTheme="minorHAnsi" w:cstheme="minorBidi"/>
          <w:szCs w:val="22"/>
        </w:rPr>
        <w:t xml:space="preserve"> quality, </w:t>
      </w:r>
      <w:r w:rsidR="00784314">
        <w:rPr>
          <w:rFonts w:eastAsiaTheme="minorHAnsi" w:cstheme="minorBidi"/>
          <w:szCs w:val="22"/>
        </w:rPr>
        <w:t>requiring this information to be provided if there is a deficiency is appropriate</w:t>
      </w:r>
      <w:r w:rsidR="003B28D9">
        <w:rPr>
          <w:rFonts w:eastAsiaTheme="minorHAnsi" w:cstheme="minorBidi"/>
          <w:szCs w:val="22"/>
        </w:rPr>
        <w:t xml:space="preserve"> because it allows the Commission to assess whether the 3-year plan is sufficient</w:t>
      </w:r>
      <w:r w:rsidR="00784314">
        <w:rPr>
          <w:rFonts w:eastAsiaTheme="minorHAnsi" w:cstheme="minorBidi"/>
          <w:szCs w:val="22"/>
        </w:rPr>
        <w:t>.</w:t>
      </w:r>
    </w:p>
    <w:p w14:paraId="5892F3F1" w14:textId="38F8189F" w:rsidR="00C44BAC" w:rsidRPr="0046681E" w:rsidRDefault="000202F9" w:rsidP="00F049DD">
      <w:pPr>
        <w:pStyle w:val="Second-LevelSubheading"/>
        <w:rPr>
          <w:rFonts w:eastAsiaTheme="minorHAnsi"/>
          <w:i w:val="0"/>
        </w:rPr>
      </w:pPr>
      <w:r>
        <w:rPr>
          <w:rFonts w:eastAsiaTheme="minorHAnsi"/>
        </w:rPr>
        <w:t xml:space="preserve">Paragraph </w:t>
      </w:r>
      <w:r w:rsidR="00C44BAC">
        <w:rPr>
          <w:rFonts w:eastAsiaTheme="minorHAnsi"/>
        </w:rPr>
        <w:t>(3)(c)</w:t>
      </w:r>
      <w:r w:rsidR="004C222E">
        <w:rPr>
          <w:rFonts w:eastAsiaTheme="minorHAnsi"/>
          <w:i w:val="0"/>
        </w:rPr>
        <w:t xml:space="preserve"> - CPVRR Required</w:t>
      </w:r>
    </w:p>
    <w:p w14:paraId="0E6B06E1" w14:textId="4211A25B" w:rsidR="003A62F2" w:rsidRPr="003A62F2" w:rsidRDefault="003A62F2" w:rsidP="00530575">
      <w:pPr>
        <w:spacing w:after="200"/>
        <w:jc w:val="both"/>
        <w:rPr>
          <w:rFonts w:eastAsiaTheme="minorHAnsi" w:cstheme="minorBidi"/>
          <w:szCs w:val="22"/>
        </w:rPr>
      </w:pPr>
      <w:r w:rsidRPr="003A62F2">
        <w:rPr>
          <w:rFonts w:eastAsiaTheme="minorHAnsi" w:cstheme="minorBidi"/>
          <w:szCs w:val="22"/>
        </w:rPr>
        <w:t xml:space="preserve">Under </w:t>
      </w:r>
      <w:r w:rsidR="004C222E">
        <w:rPr>
          <w:rFonts w:eastAsiaTheme="minorHAnsi" w:cstheme="minorBidi"/>
          <w:szCs w:val="22"/>
        </w:rPr>
        <w:t xml:space="preserve">paragraph (3)(c) of the draft rule, staff is recommending </w:t>
      </w:r>
      <w:r w:rsidRPr="003A62F2">
        <w:rPr>
          <w:rFonts w:eastAsiaTheme="minorHAnsi" w:cstheme="minorBidi"/>
          <w:szCs w:val="22"/>
        </w:rPr>
        <w:t xml:space="preserve">a new </w:t>
      </w:r>
      <w:r w:rsidRPr="003A62F2">
        <w:rPr>
          <w:rFonts w:eastAsiaTheme="minorHAnsi" w:cstheme="minorBidi"/>
          <w:color w:val="000000"/>
          <w:szCs w:val="22"/>
        </w:rPr>
        <w:t>Cumulative Present Val</w:t>
      </w:r>
      <w:r w:rsidR="00D1190E">
        <w:rPr>
          <w:rFonts w:eastAsiaTheme="minorHAnsi" w:cstheme="minorBidi"/>
          <w:color w:val="000000"/>
          <w:szCs w:val="22"/>
        </w:rPr>
        <w:t>ue of the Revenue Requirement (CPVRR</w:t>
      </w:r>
      <w:r w:rsidRPr="003A62F2">
        <w:rPr>
          <w:rFonts w:eastAsiaTheme="minorHAnsi" w:cstheme="minorBidi"/>
          <w:color w:val="000000"/>
          <w:szCs w:val="22"/>
        </w:rPr>
        <w:t>) form that must be filed a</w:t>
      </w:r>
      <w:r w:rsidRPr="003A62F2">
        <w:rPr>
          <w:rFonts w:eastAsiaTheme="minorHAnsi" w:cstheme="minorBidi"/>
          <w:szCs w:val="22"/>
        </w:rPr>
        <w:t xml:space="preserve">s part of the 5-year projected rate impact required under Section 367.0811(5)(e), F.S. </w:t>
      </w:r>
      <w:r w:rsidR="004C222E">
        <w:rPr>
          <w:rFonts w:eastAsiaTheme="minorHAnsi" w:cstheme="minorBidi"/>
          <w:szCs w:val="22"/>
        </w:rPr>
        <w:t>Paragraph (3)(d) of the draft rule</w:t>
      </w:r>
      <w:r w:rsidRPr="003A62F2">
        <w:rPr>
          <w:rFonts w:eastAsiaTheme="minorHAnsi" w:cstheme="minorBidi"/>
          <w:szCs w:val="22"/>
        </w:rPr>
        <w:t xml:space="preserve"> specifies what information the projected 5-year rate impact must include. The form and the required data </w:t>
      </w:r>
      <w:r w:rsidR="004C222E">
        <w:rPr>
          <w:rFonts w:eastAsiaTheme="minorHAnsi" w:cstheme="minorBidi"/>
          <w:szCs w:val="22"/>
        </w:rPr>
        <w:t xml:space="preserve">will </w:t>
      </w:r>
      <w:r w:rsidRPr="003A62F2">
        <w:rPr>
          <w:rFonts w:eastAsiaTheme="minorHAnsi" w:cstheme="minorBidi"/>
          <w:szCs w:val="22"/>
        </w:rPr>
        <w:t>provide the Commission the information necessary to evaluate the stated rate impact.</w:t>
      </w:r>
    </w:p>
    <w:p w14:paraId="3AF3A2BB" w14:textId="3C4DB350" w:rsidR="003A62F2" w:rsidRPr="003A62F2" w:rsidRDefault="003A62F2" w:rsidP="00530575">
      <w:pPr>
        <w:spacing w:after="200"/>
        <w:jc w:val="both"/>
        <w:rPr>
          <w:rFonts w:eastAsiaTheme="minorHAnsi" w:cstheme="minorBidi"/>
          <w:szCs w:val="22"/>
        </w:rPr>
      </w:pPr>
      <w:r w:rsidRPr="003A62F2">
        <w:rPr>
          <w:rFonts w:eastAsiaTheme="minorHAnsi" w:cstheme="minorBidi"/>
          <w:szCs w:val="22"/>
        </w:rPr>
        <w:t xml:space="preserve">None of the stakeholders </w:t>
      </w:r>
      <w:r w:rsidR="009E52C1">
        <w:rPr>
          <w:rFonts w:eastAsiaTheme="minorHAnsi" w:cstheme="minorBidi"/>
          <w:szCs w:val="22"/>
        </w:rPr>
        <w:t>object</w:t>
      </w:r>
      <w:r w:rsidRPr="003A62F2">
        <w:rPr>
          <w:rFonts w:eastAsiaTheme="minorHAnsi" w:cstheme="minorBidi"/>
          <w:szCs w:val="22"/>
        </w:rPr>
        <w:t xml:space="preserve"> to the concept of a CPVRR being required to substantiate the projected 5-year rate impact or dispute the </w:t>
      </w:r>
      <w:r w:rsidR="00AE1723">
        <w:rPr>
          <w:rFonts w:eastAsiaTheme="minorHAnsi" w:cstheme="minorBidi"/>
          <w:szCs w:val="22"/>
        </w:rPr>
        <w:t xml:space="preserve">Commission’s </w:t>
      </w:r>
      <w:r w:rsidRPr="003A62F2">
        <w:rPr>
          <w:rFonts w:eastAsiaTheme="minorHAnsi" w:cstheme="minorBidi"/>
          <w:szCs w:val="22"/>
        </w:rPr>
        <w:t>need to obtain the information the CPV</w:t>
      </w:r>
      <w:r w:rsidR="00784314">
        <w:rPr>
          <w:rFonts w:eastAsiaTheme="minorHAnsi" w:cstheme="minorBidi"/>
          <w:szCs w:val="22"/>
        </w:rPr>
        <w:t>RR provides. OPC supports</w:t>
      </w:r>
      <w:r w:rsidR="00E1471D">
        <w:rPr>
          <w:rFonts w:eastAsiaTheme="minorHAnsi" w:cstheme="minorBidi"/>
          <w:szCs w:val="22"/>
        </w:rPr>
        <w:t xml:space="preserve"> the </w:t>
      </w:r>
      <w:r w:rsidR="00B53FC0">
        <w:rPr>
          <w:rFonts w:eastAsiaTheme="minorHAnsi" w:cstheme="minorBidi"/>
          <w:szCs w:val="22"/>
        </w:rPr>
        <w:t xml:space="preserve">draft </w:t>
      </w:r>
      <w:r w:rsidR="00E1471D">
        <w:rPr>
          <w:rFonts w:eastAsiaTheme="minorHAnsi" w:cstheme="minorBidi"/>
          <w:szCs w:val="22"/>
        </w:rPr>
        <w:t>r</w:t>
      </w:r>
      <w:r w:rsidRPr="003A62F2">
        <w:rPr>
          <w:rFonts w:eastAsiaTheme="minorHAnsi" w:cstheme="minorBidi"/>
          <w:szCs w:val="22"/>
        </w:rPr>
        <w:t xml:space="preserve">ule’s required use of </w:t>
      </w:r>
      <w:r w:rsidR="00784314">
        <w:rPr>
          <w:rFonts w:eastAsiaTheme="minorHAnsi" w:cstheme="minorBidi"/>
          <w:szCs w:val="22"/>
        </w:rPr>
        <w:t xml:space="preserve">a standardized </w:t>
      </w:r>
      <w:r w:rsidRPr="003A62F2">
        <w:rPr>
          <w:rFonts w:eastAsiaTheme="minorHAnsi" w:cstheme="minorBidi"/>
          <w:szCs w:val="22"/>
        </w:rPr>
        <w:t>worksheet. CSWR and Sunshine want</w:t>
      </w:r>
      <w:r w:rsidR="00784314">
        <w:rPr>
          <w:rFonts w:eastAsiaTheme="minorHAnsi" w:cstheme="minorBidi"/>
          <w:szCs w:val="22"/>
        </w:rPr>
        <w:t xml:space="preserve"> </w:t>
      </w:r>
      <w:r w:rsidRPr="003A62F2">
        <w:rPr>
          <w:rFonts w:eastAsiaTheme="minorHAnsi" w:cstheme="minorBidi"/>
          <w:szCs w:val="22"/>
        </w:rPr>
        <w:t>use of the CPVRR workshee</w:t>
      </w:r>
      <w:r w:rsidR="00784314">
        <w:rPr>
          <w:rFonts w:eastAsiaTheme="minorHAnsi" w:cstheme="minorBidi"/>
          <w:szCs w:val="22"/>
        </w:rPr>
        <w:t>t to be optional. CSWR indicates</w:t>
      </w:r>
      <w:r w:rsidRPr="003A62F2">
        <w:rPr>
          <w:rFonts w:eastAsiaTheme="minorHAnsi" w:cstheme="minorBidi"/>
          <w:szCs w:val="22"/>
        </w:rPr>
        <w:t xml:space="preserve"> that in providing </w:t>
      </w:r>
      <w:r w:rsidR="00F075B6">
        <w:rPr>
          <w:rFonts w:eastAsiaTheme="minorHAnsi" w:cstheme="minorBidi"/>
          <w:szCs w:val="22"/>
        </w:rPr>
        <w:t>its</w:t>
      </w:r>
      <w:r w:rsidRPr="003A62F2">
        <w:rPr>
          <w:rFonts w:eastAsiaTheme="minorHAnsi" w:cstheme="minorBidi"/>
          <w:szCs w:val="22"/>
        </w:rPr>
        <w:t xml:space="preserve"> own analysis of the 5-year projected rate impact, the utilities would provide “all data and assumptions used in the analysis, including the spreadsheet with formulas intact.”</w:t>
      </w:r>
    </w:p>
    <w:p w14:paraId="2FB6B43B" w14:textId="60F28BD4" w:rsidR="00784314" w:rsidRDefault="003A62F2" w:rsidP="00530575">
      <w:pPr>
        <w:spacing w:after="200"/>
        <w:jc w:val="both"/>
        <w:rPr>
          <w:rFonts w:eastAsiaTheme="minorHAnsi" w:cstheme="minorBidi"/>
          <w:szCs w:val="22"/>
        </w:rPr>
      </w:pPr>
      <w:r w:rsidRPr="003A62F2">
        <w:rPr>
          <w:rFonts w:eastAsiaTheme="minorHAnsi" w:cstheme="minorBidi"/>
          <w:szCs w:val="22"/>
        </w:rPr>
        <w:t xml:space="preserve">Staff agrees with OPC that use of the </w:t>
      </w:r>
      <w:r w:rsidR="004C222E">
        <w:rPr>
          <w:rFonts w:eastAsiaTheme="minorHAnsi" w:cstheme="minorBidi"/>
          <w:szCs w:val="22"/>
        </w:rPr>
        <w:t xml:space="preserve">CPVRR form </w:t>
      </w:r>
      <w:r w:rsidRPr="003A62F2">
        <w:rPr>
          <w:rFonts w:eastAsiaTheme="minorHAnsi" w:cstheme="minorBidi"/>
          <w:szCs w:val="22"/>
        </w:rPr>
        <w:t xml:space="preserve">provides consistency in evaluating these types of petitions. Having a consistent spreadsheet will facilitate staff being able to determine if all the filing requirements have been met. Because the utilities suggest that the same information would be provided under their individualized worksheets, use of the CPVRR </w:t>
      </w:r>
      <w:r w:rsidR="004C222E">
        <w:rPr>
          <w:rFonts w:eastAsiaTheme="minorHAnsi" w:cstheme="minorBidi"/>
          <w:szCs w:val="22"/>
        </w:rPr>
        <w:t xml:space="preserve">form </w:t>
      </w:r>
      <w:r w:rsidRPr="003A62F2">
        <w:rPr>
          <w:rFonts w:eastAsiaTheme="minorHAnsi" w:cstheme="minorBidi"/>
          <w:szCs w:val="22"/>
        </w:rPr>
        <w:t>places no additional requirem</w:t>
      </w:r>
      <w:r w:rsidR="00E1471D">
        <w:rPr>
          <w:rFonts w:eastAsiaTheme="minorHAnsi" w:cstheme="minorBidi"/>
          <w:szCs w:val="22"/>
        </w:rPr>
        <w:t>ents</w:t>
      </w:r>
      <w:r w:rsidR="004C222E">
        <w:rPr>
          <w:rFonts w:eastAsiaTheme="minorHAnsi" w:cstheme="minorBidi"/>
          <w:szCs w:val="22"/>
        </w:rPr>
        <w:t xml:space="preserve"> on the utilities</w:t>
      </w:r>
      <w:r w:rsidR="00E1471D">
        <w:rPr>
          <w:rFonts w:eastAsiaTheme="minorHAnsi" w:cstheme="minorBidi"/>
          <w:szCs w:val="22"/>
        </w:rPr>
        <w:t>.</w:t>
      </w:r>
    </w:p>
    <w:p w14:paraId="7E8C1BA5" w14:textId="55F8E051" w:rsidR="00C44BAC" w:rsidRPr="00F049DD" w:rsidRDefault="000202F9" w:rsidP="00F049DD">
      <w:pPr>
        <w:pStyle w:val="Second-LevelSubheading"/>
        <w:rPr>
          <w:rFonts w:eastAsiaTheme="minorHAnsi"/>
          <w:i w:val="0"/>
        </w:rPr>
      </w:pPr>
      <w:r>
        <w:rPr>
          <w:rFonts w:eastAsiaTheme="minorHAnsi"/>
        </w:rPr>
        <w:t xml:space="preserve">Paragraph </w:t>
      </w:r>
      <w:r w:rsidR="00C44BAC">
        <w:rPr>
          <w:rFonts w:eastAsiaTheme="minorHAnsi"/>
        </w:rPr>
        <w:t>(3)(d)</w:t>
      </w:r>
      <w:r w:rsidR="00B53FC0">
        <w:rPr>
          <w:rFonts w:eastAsiaTheme="minorHAnsi"/>
          <w:i w:val="0"/>
        </w:rPr>
        <w:t xml:space="preserve"> - </w:t>
      </w:r>
      <w:r w:rsidR="00F049DD">
        <w:rPr>
          <w:rFonts w:eastAsiaTheme="minorHAnsi"/>
          <w:i w:val="0"/>
        </w:rPr>
        <w:t xml:space="preserve">CPVRR </w:t>
      </w:r>
      <w:r w:rsidR="00B53FC0">
        <w:rPr>
          <w:rFonts w:eastAsiaTheme="minorHAnsi"/>
          <w:i w:val="0"/>
        </w:rPr>
        <w:t>Data</w:t>
      </w:r>
    </w:p>
    <w:p w14:paraId="78045D76" w14:textId="59697280" w:rsidR="003A62F2" w:rsidRPr="003A62F2" w:rsidRDefault="003A62F2" w:rsidP="00530575">
      <w:pPr>
        <w:spacing w:after="200"/>
        <w:jc w:val="both"/>
        <w:rPr>
          <w:rFonts w:eastAsiaTheme="minorHAnsi" w:cstheme="minorBidi"/>
          <w:szCs w:val="22"/>
        </w:rPr>
      </w:pPr>
      <w:r w:rsidRPr="003A62F2">
        <w:rPr>
          <w:rFonts w:eastAsiaTheme="minorHAnsi" w:cstheme="minorBidi"/>
          <w:szCs w:val="22"/>
        </w:rPr>
        <w:t>As discussed regarding the CPVRR, the Commission needs certain data (base facility charge, gallonage charge, and billing determinants) to assess the 5-year projected rate impact. This information includes the items set fo</w:t>
      </w:r>
      <w:r w:rsidR="00E1471D">
        <w:rPr>
          <w:rFonts w:eastAsiaTheme="minorHAnsi" w:cstheme="minorBidi"/>
          <w:szCs w:val="22"/>
        </w:rPr>
        <w:t>rth in paragraph (3)(d) of the</w:t>
      </w:r>
      <w:r w:rsidR="00B53FC0">
        <w:rPr>
          <w:rFonts w:eastAsiaTheme="minorHAnsi" w:cstheme="minorBidi"/>
          <w:szCs w:val="22"/>
        </w:rPr>
        <w:t xml:space="preserve"> draft</w:t>
      </w:r>
      <w:r w:rsidR="00E1471D">
        <w:rPr>
          <w:rFonts w:eastAsiaTheme="minorHAnsi" w:cstheme="minorBidi"/>
          <w:szCs w:val="22"/>
        </w:rPr>
        <w:t xml:space="preserve"> r</w:t>
      </w:r>
      <w:r w:rsidRPr="003A62F2">
        <w:rPr>
          <w:rFonts w:eastAsiaTheme="minorHAnsi" w:cstheme="minorBidi"/>
          <w:szCs w:val="22"/>
        </w:rPr>
        <w:t>ule. U.S. Water indicate</w:t>
      </w:r>
      <w:r w:rsidR="00784314">
        <w:rPr>
          <w:rFonts w:eastAsiaTheme="minorHAnsi" w:cstheme="minorBidi"/>
          <w:szCs w:val="22"/>
        </w:rPr>
        <w:t>s</w:t>
      </w:r>
      <w:r w:rsidRPr="003A62F2">
        <w:rPr>
          <w:rFonts w:eastAsiaTheme="minorHAnsi" w:cstheme="minorBidi"/>
          <w:szCs w:val="22"/>
        </w:rPr>
        <w:t xml:space="preserve"> that billing determinants may be too difficult to determine. CSWR assert</w:t>
      </w:r>
      <w:r w:rsidR="00784314">
        <w:rPr>
          <w:rFonts w:eastAsiaTheme="minorHAnsi" w:cstheme="minorBidi"/>
          <w:szCs w:val="22"/>
        </w:rPr>
        <w:t>s</w:t>
      </w:r>
      <w:r w:rsidRPr="003A62F2">
        <w:rPr>
          <w:rFonts w:eastAsiaTheme="minorHAnsi" w:cstheme="minorBidi"/>
          <w:szCs w:val="22"/>
        </w:rPr>
        <w:t xml:space="preserve"> that obtaining this data may not be feasible in all cases and should only be required if those matters can be reasonably calculated.</w:t>
      </w:r>
    </w:p>
    <w:p w14:paraId="28C297B1" w14:textId="5F0CAF91" w:rsidR="00A5707F" w:rsidRDefault="004C222E" w:rsidP="00706102">
      <w:pPr>
        <w:spacing w:after="240"/>
        <w:jc w:val="both"/>
        <w:rPr>
          <w:rFonts w:eastAsiaTheme="minorHAnsi" w:cstheme="minorBidi"/>
          <w:szCs w:val="22"/>
        </w:rPr>
      </w:pPr>
      <w:r>
        <w:rPr>
          <w:rFonts w:eastAsiaTheme="minorHAnsi" w:cstheme="minorBidi"/>
          <w:szCs w:val="22"/>
        </w:rPr>
        <w:t xml:space="preserve">Staff </w:t>
      </w:r>
      <w:r w:rsidR="007A50F5">
        <w:rPr>
          <w:rFonts w:eastAsiaTheme="minorHAnsi" w:cstheme="minorBidi"/>
          <w:szCs w:val="22"/>
        </w:rPr>
        <w:t xml:space="preserve">points out that </w:t>
      </w:r>
      <w:r w:rsidR="00C121E7">
        <w:rPr>
          <w:rFonts w:eastAsiaTheme="minorHAnsi" w:cstheme="minorBidi"/>
          <w:szCs w:val="22"/>
        </w:rPr>
        <w:t>the current residential and general service base facility charges and gallonage charges are</w:t>
      </w:r>
      <w:r w:rsidR="003A62F2" w:rsidRPr="003A62F2">
        <w:rPr>
          <w:rFonts w:eastAsiaTheme="minorHAnsi" w:cstheme="minorBidi"/>
          <w:szCs w:val="22"/>
        </w:rPr>
        <w:t xml:space="preserve"> available in </w:t>
      </w:r>
      <w:r w:rsidR="00C121E7">
        <w:rPr>
          <w:rFonts w:eastAsiaTheme="minorHAnsi" w:cstheme="minorBidi"/>
          <w:szCs w:val="22"/>
        </w:rPr>
        <w:t>a</w:t>
      </w:r>
      <w:r w:rsidR="003A62F2" w:rsidRPr="003A62F2">
        <w:rPr>
          <w:rFonts w:eastAsiaTheme="minorHAnsi" w:cstheme="minorBidi"/>
          <w:szCs w:val="22"/>
        </w:rPr>
        <w:t xml:space="preserve"> </w:t>
      </w:r>
      <w:r>
        <w:rPr>
          <w:rFonts w:eastAsiaTheme="minorHAnsi" w:cstheme="minorBidi"/>
          <w:szCs w:val="22"/>
        </w:rPr>
        <w:t xml:space="preserve">utility’s </w:t>
      </w:r>
      <w:r w:rsidR="003A62F2" w:rsidRPr="003A62F2">
        <w:rPr>
          <w:rFonts w:eastAsiaTheme="minorHAnsi" w:cstheme="minorBidi"/>
          <w:szCs w:val="22"/>
        </w:rPr>
        <w:t>tariff</w:t>
      </w:r>
      <w:r w:rsidR="00C121E7">
        <w:rPr>
          <w:rFonts w:eastAsiaTheme="minorHAnsi" w:cstheme="minorBidi"/>
          <w:szCs w:val="22"/>
        </w:rPr>
        <w:t xml:space="preserve">. </w:t>
      </w:r>
      <w:r w:rsidR="00014265" w:rsidRPr="003A62F2">
        <w:rPr>
          <w:rFonts w:eastAsiaTheme="minorHAnsi" w:cstheme="minorBidi"/>
          <w:szCs w:val="22"/>
        </w:rPr>
        <w:t xml:space="preserve">In addition, </w:t>
      </w:r>
      <w:r w:rsidR="00014265">
        <w:rPr>
          <w:rFonts w:eastAsiaTheme="minorHAnsi" w:cstheme="minorBidi"/>
          <w:szCs w:val="22"/>
        </w:rPr>
        <w:t xml:space="preserve">billing determinants data </w:t>
      </w:r>
      <w:r w:rsidR="00014265" w:rsidRPr="003A62F2">
        <w:rPr>
          <w:rFonts w:eastAsiaTheme="minorHAnsi" w:cstheme="minorBidi"/>
          <w:szCs w:val="22"/>
        </w:rPr>
        <w:t>reflects the number of customers.</w:t>
      </w:r>
      <w:r w:rsidR="00014265">
        <w:rPr>
          <w:rFonts w:eastAsiaTheme="minorHAnsi" w:cstheme="minorBidi"/>
          <w:szCs w:val="22"/>
        </w:rPr>
        <w:t xml:space="preserve"> </w:t>
      </w:r>
      <w:r w:rsidR="00C121E7">
        <w:rPr>
          <w:rFonts w:eastAsiaTheme="minorHAnsi" w:cstheme="minorBidi"/>
          <w:szCs w:val="22"/>
        </w:rPr>
        <w:t xml:space="preserve">The </w:t>
      </w:r>
      <w:r w:rsidR="00A5707F">
        <w:rPr>
          <w:rFonts w:eastAsiaTheme="minorHAnsi" w:cstheme="minorBidi"/>
          <w:szCs w:val="22"/>
        </w:rPr>
        <w:t>draft</w:t>
      </w:r>
      <w:r w:rsidR="00C121E7">
        <w:rPr>
          <w:rFonts w:eastAsiaTheme="minorHAnsi" w:cstheme="minorBidi"/>
          <w:szCs w:val="22"/>
        </w:rPr>
        <w:t xml:space="preserve"> rule allows utilities to present standard components of rates (base facility charges, gallonage charges, and billing determinants)</w:t>
      </w:r>
      <w:r w:rsidR="00706102">
        <w:rPr>
          <w:rFonts w:eastAsiaTheme="minorHAnsi" w:cstheme="minorBidi"/>
          <w:szCs w:val="22"/>
        </w:rPr>
        <w:t xml:space="preserve"> in support of its</w:t>
      </w:r>
      <w:r w:rsidR="00014265">
        <w:rPr>
          <w:rFonts w:eastAsiaTheme="minorHAnsi" w:cstheme="minorBidi"/>
          <w:szCs w:val="22"/>
        </w:rPr>
        <w:t xml:space="preserve"> 5-year projected rate impact</w:t>
      </w:r>
      <w:r w:rsidR="00706102">
        <w:rPr>
          <w:rFonts w:eastAsiaTheme="minorHAnsi" w:cstheme="minorBidi"/>
          <w:szCs w:val="22"/>
        </w:rPr>
        <w:t xml:space="preserve">, </w:t>
      </w:r>
      <w:r w:rsidR="00C121E7">
        <w:rPr>
          <w:rFonts w:eastAsiaTheme="minorHAnsi" w:cstheme="minorBidi"/>
          <w:szCs w:val="22"/>
        </w:rPr>
        <w:t xml:space="preserve">which information </w:t>
      </w:r>
      <w:r w:rsidR="00A5707F">
        <w:rPr>
          <w:rFonts w:eastAsiaTheme="minorHAnsi" w:cstheme="minorBidi"/>
          <w:szCs w:val="22"/>
        </w:rPr>
        <w:t xml:space="preserve">provides </w:t>
      </w:r>
      <w:r w:rsidR="00C121E7">
        <w:rPr>
          <w:rFonts w:eastAsiaTheme="minorHAnsi" w:cstheme="minorBidi"/>
          <w:szCs w:val="22"/>
        </w:rPr>
        <w:t>the Commission</w:t>
      </w:r>
      <w:r w:rsidR="00A5707F">
        <w:rPr>
          <w:rFonts w:eastAsiaTheme="minorHAnsi" w:cstheme="minorBidi"/>
          <w:szCs w:val="22"/>
        </w:rPr>
        <w:t xml:space="preserve"> the data necessary</w:t>
      </w:r>
      <w:r w:rsidR="00C121E7">
        <w:rPr>
          <w:rFonts w:eastAsiaTheme="minorHAnsi" w:cstheme="minorBidi"/>
          <w:szCs w:val="22"/>
        </w:rPr>
        <w:t xml:space="preserve"> to fulfill its statutory duty to consider</w:t>
      </w:r>
      <w:r w:rsidR="00014265">
        <w:rPr>
          <w:rFonts w:eastAsiaTheme="minorHAnsi" w:cstheme="minorBidi"/>
          <w:szCs w:val="22"/>
        </w:rPr>
        <w:t xml:space="preserve"> whether there are rate reductions or rate stability over a long term.</w:t>
      </w:r>
    </w:p>
    <w:p w14:paraId="528B6ADF" w14:textId="3FDEDB1E" w:rsidR="00C44BAC" w:rsidRPr="00F049DD" w:rsidRDefault="000202F9" w:rsidP="00F049DD">
      <w:pPr>
        <w:pStyle w:val="Second-LevelSubheading"/>
        <w:rPr>
          <w:rFonts w:eastAsiaTheme="minorHAnsi"/>
          <w:i w:val="0"/>
        </w:rPr>
      </w:pPr>
      <w:r>
        <w:rPr>
          <w:rFonts w:eastAsiaTheme="minorHAnsi"/>
        </w:rPr>
        <w:t xml:space="preserve">Paragraph </w:t>
      </w:r>
      <w:r w:rsidR="00C44BAC">
        <w:rPr>
          <w:rFonts w:eastAsiaTheme="minorHAnsi"/>
        </w:rPr>
        <w:t>(3)(e)</w:t>
      </w:r>
      <w:r w:rsidR="00B53FC0">
        <w:rPr>
          <w:rFonts w:eastAsiaTheme="minorHAnsi"/>
          <w:i w:val="0"/>
        </w:rPr>
        <w:t xml:space="preserve"> - </w:t>
      </w:r>
      <w:r w:rsidR="00F049DD">
        <w:rPr>
          <w:rFonts w:eastAsiaTheme="minorHAnsi"/>
          <w:i w:val="0"/>
        </w:rPr>
        <w:t>NARUC Uniform Sys</w:t>
      </w:r>
      <w:r w:rsidR="00B53FC0">
        <w:rPr>
          <w:rFonts w:eastAsiaTheme="minorHAnsi"/>
          <w:i w:val="0"/>
        </w:rPr>
        <w:t>tem of Accounts Journal Entries</w:t>
      </w:r>
    </w:p>
    <w:p w14:paraId="037D6107" w14:textId="22872DF1" w:rsidR="00784314" w:rsidRPr="00D4269B" w:rsidRDefault="00784314" w:rsidP="00530575">
      <w:pPr>
        <w:spacing w:after="200"/>
        <w:jc w:val="both"/>
        <w:rPr>
          <w:rFonts w:eastAsiaTheme="minorHAnsi" w:cstheme="minorBidi"/>
          <w:szCs w:val="22"/>
        </w:rPr>
      </w:pPr>
      <w:r>
        <w:rPr>
          <w:rFonts w:eastAsiaTheme="minorHAnsi" w:cstheme="minorBidi"/>
          <w:szCs w:val="22"/>
        </w:rPr>
        <w:t>Because of the uniqueness of this rate base determination process, paragraph (3)(e</w:t>
      </w:r>
      <w:r w:rsidRPr="00D4269B">
        <w:rPr>
          <w:rFonts w:eastAsiaTheme="minorHAnsi" w:cstheme="minorBidi"/>
          <w:szCs w:val="22"/>
        </w:rPr>
        <w:t xml:space="preserve">) </w:t>
      </w:r>
      <w:r w:rsidR="00B53FC0">
        <w:rPr>
          <w:rFonts w:eastAsiaTheme="minorHAnsi" w:cstheme="minorBidi"/>
          <w:szCs w:val="22"/>
        </w:rPr>
        <w:t xml:space="preserve">of the draft rule </w:t>
      </w:r>
      <w:r>
        <w:rPr>
          <w:rFonts w:eastAsiaTheme="minorHAnsi" w:cstheme="minorBidi"/>
          <w:szCs w:val="22"/>
        </w:rPr>
        <w:t xml:space="preserve">requires the acquiring utility to set forth the journal entries under the 1996 </w:t>
      </w:r>
      <w:r w:rsidR="00D41C34">
        <w:rPr>
          <w:rFonts w:eastAsiaTheme="minorHAnsi" w:cstheme="minorBidi"/>
          <w:szCs w:val="22"/>
        </w:rPr>
        <w:t>National Association of Regulatory Utility Commissioners (</w:t>
      </w:r>
      <w:r>
        <w:rPr>
          <w:rFonts w:eastAsiaTheme="minorHAnsi" w:cstheme="minorBidi"/>
          <w:szCs w:val="22"/>
        </w:rPr>
        <w:t>NARUC</w:t>
      </w:r>
      <w:r w:rsidR="00D41C34">
        <w:rPr>
          <w:rFonts w:eastAsiaTheme="minorHAnsi" w:cstheme="minorBidi"/>
          <w:szCs w:val="22"/>
        </w:rPr>
        <w:t>)</w:t>
      </w:r>
      <w:r>
        <w:rPr>
          <w:rFonts w:eastAsiaTheme="minorHAnsi" w:cstheme="minorBidi"/>
          <w:szCs w:val="22"/>
        </w:rPr>
        <w:t xml:space="preserve"> Uniform System of Accounts associated with the information provided as part of the 5-year projected rate impact. </w:t>
      </w:r>
      <w:r w:rsidR="009E242A">
        <w:rPr>
          <w:rFonts w:eastAsiaTheme="minorHAnsi" w:cstheme="minorBidi"/>
          <w:szCs w:val="22"/>
        </w:rPr>
        <w:t xml:space="preserve">This information is necessary for </w:t>
      </w:r>
      <w:r w:rsidR="007A50F5">
        <w:rPr>
          <w:rFonts w:eastAsiaTheme="minorHAnsi" w:cstheme="minorBidi"/>
          <w:szCs w:val="22"/>
        </w:rPr>
        <w:t xml:space="preserve">the Commission </w:t>
      </w:r>
      <w:r w:rsidR="009E242A">
        <w:rPr>
          <w:rFonts w:eastAsiaTheme="minorHAnsi" w:cstheme="minorBidi"/>
          <w:szCs w:val="22"/>
        </w:rPr>
        <w:t xml:space="preserve">to fully analyze how an increase in a utility’s rate </w:t>
      </w:r>
      <w:r w:rsidR="009E242A">
        <w:rPr>
          <w:rFonts w:eastAsiaTheme="minorHAnsi" w:cstheme="minorBidi"/>
          <w:szCs w:val="22"/>
        </w:rPr>
        <w:lastRenderedPageBreak/>
        <w:t xml:space="preserve">base value will affect </w:t>
      </w:r>
      <w:r w:rsidR="00A007A4">
        <w:rPr>
          <w:rFonts w:eastAsiaTheme="minorHAnsi" w:cstheme="minorBidi"/>
          <w:szCs w:val="22"/>
        </w:rPr>
        <w:t>its</w:t>
      </w:r>
      <w:r w:rsidR="009E242A">
        <w:rPr>
          <w:rFonts w:eastAsiaTheme="minorHAnsi" w:cstheme="minorBidi"/>
          <w:szCs w:val="22"/>
        </w:rPr>
        <w:t xml:space="preserve"> customers.</w:t>
      </w:r>
      <w:r w:rsidR="00F94525">
        <w:rPr>
          <w:rFonts w:eastAsiaTheme="minorHAnsi" w:cstheme="minorBidi"/>
          <w:szCs w:val="22"/>
        </w:rPr>
        <w:t xml:space="preserve"> </w:t>
      </w:r>
      <w:r w:rsidR="007A50F5">
        <w:rPr>
          <w:rFonts w:eastAsiaTheme="minorHAnsi" w:cstheme="minorBidi"/>
          <w:szCs w:val="22"/>
        </w:rPr>
        <w:t>The Commission</w:t>
      </w:r>
      <w:r w:rsidR="00F94525">
        <w:rPr>
          <w:rFonts w:eastAsiaTheme="minorHAnsi" w:cstheme="minorBidi"/>
          <w:szCs w:val="22"/>
        </w:rPr>
        <w:t xml:space="preserve"> needs to know how the utility plans to account</w:t>
      </w:r>
      <w:r w:rsidR="005845A5">
        <w:rPr>
          <w:rFonts w:eastAsiaTheme="minorHAnsi" w:cstheme="minorBidi"/>
          <w:szCs w:val="22"/>
        </w:rPr>
        <w:t xml:space="preserve"> for an increase in the revenue requirement</w:t>
      </w:r>
      <w:r w:rsidR="00F94525">
        <w:rPr>
          <w:rFonts w:eastAsiaTheme="minorHAnsi" w:cstheme="minorBidi"/>
          <w:szCs w:val="22"/>
        </w:rPr>
        <w:t xml:space="preserve"> and if that increase will be amortized over a certain period of time.</w:t>
      </w:r>
      <w:r w:rsidR="00281067">
        <w:rPr>
          <w:rFonts w:eastAsiaTheme="minorHAnsi" w:cstheme="minorBidi"/>
          <w:szCs w:val="22"/>
        </w:rPr>
        <w:t xml:space="preserve"> </w:t>
      </w:r>
      <w:r>
        <w:rPr>
          <w:rFonts w:eastAsiaTheme="minorHAnsi" w:cstheme="minorBidi"/>
          <w:szCs w:val="22"/>
        </w:rPr>
        <w:t>No stakeholder</w:t>
      </w:r>
      <w:r w:rsidR="004C222E">
        <w:rPr>
          <w:rFonts w:eastAsiaTheme="minorHAnsi" w:cstheme="minorBidi"/>
          <w:szCs w:val="22"/>
        </w:rPr>
        <w:t>s</w:t>
      </w:r>
      <w:r>
        <w:rPr>
          <w:rFonts w:eastAsiaTheme="minorHAnsi" w:cstheme="minorBidi"/>
          <w:szCs w:val="22"/>
        </w:rPr>
        <w:t xml:space="preserve"> </w:t>
      </w:r>
      <w:r w:rsidR="00351CFC">
        <w:rPr>
          <w:rFonts w:eastAsiaTheme="minorHAnsi" w:cstheme="minorBidi"/>
          <w:szCs w:val="22"/>
        </w:rPr>
        <w:t>provided comment regarding</w:t>
      </w:r>
      <w:r>
        <w:rPr>
          <w:rFonts w:eastAsiaTheme="minorHAnsi" w:cstheme="minorBidi"/>
          <w:szCs w:val="22"/>
        </w:rPr>
        <w:t xml:space="preserve"> this </w:t>
      </w:r>
      <w:r w:rsidR="004C222E">
        <w:rPr>
          <w:rFonts w:eastAsiaTheme="minorHAnsi" w:cstheme="minorBidi"/>
          <w:szCs w:val="22"/>
        </w:rPr>
        <w:t>provision of the draft rule</w:t>
      </w:r>
      <w:r>
        <w:rPr>
          <w:rFonts w:eastAsiaTheme="minorHAnsi" w:cstheme="minorBidi"/>
          <w:szCs w:val="22"/>
        </w:rPr>
        <w:t>.</w:t>
      </w:r>
    </w:p>
    <w:p w14:paraId="028BCFF3" w14:textId="754FA65A" w:rsidR="00C44BAC" w:rsidRPr="00F049DD" w:rsidRDefault="000202F9" w:rsidP="00F049DD">
      <w:pPr>
        <w:pStyle w:val="Second-LevelSubheading"/>
        <w:rPr>
          <w:rFonts w:eastAsiaTheme="minorHAnsi"/>
          <w:i w:val="0"/>
        </w:rPr>
      </w:pPr>
      <w:r>
        <w:rPr>
          <w:rFonts w:eastAsiaTheme="minorHAnsi"/>
        </w:rPr>
        <w:t xml:space="preserve">Paragraph </w:t>
      </w:r>
      <w:r w:rsidR="00C44BAC">
        <w:rPr>
          <w:rFonts w:eastAsiaTheme="minorHAnsi"/>
        </w:rPr>
        <w:t>(3)(f)</w:t>
      </w:r>
      <w:r>
        <w:rPr>
          <w:rFonts w:eastAsiaTheme="minorHAnsi"/>
        </w:rPr>
        <w:t xml:space="preserve"> </w:t>
      </w:r>
      <w:r w:rsidR="00B53FC0">
        <w:rPr>
          <w:rFonts w:eastAsiaTheme="minorHAnsi"/>
          <w:i w:val="0"/>
        </w:rPr>
        <w:t>- “S</w:t>
      </w:r>
      <w:r w:rsidR="00F049DD">
        <w:rPr>
          <w:rFonts w:eastAsiaTheme="minorHAnsi"/>
          <w:i w:val="0"/>
        </w:rPr>
        <w:t>ignifican</w:t>
      </w:r>
      <w:r w:rsidR="00B53FC0">
        <w:rPr>
          <w:rFonts w:eastAsiaTheme="minorHAnsi"/>
          <w:i w:val="0"/>
        </w:rPr>
        <w:t>t Individual Increase in Rates”</w:t>
      </w:r>
    </w:p>
    <w:p w14:paraId="24FC8D1D" w14:textId="07977E35" w:rsidR="003A62F2" w:rsidRPr="003A62F2" w:rsidRDefault="00DF0873" w:rsidP="00530575">
      <w:pPr>
        <w:spacing w:after="200"/>
        <w:jc w:val="both"/>
        <w:rPr>
          <w:rFonts w:eastAsiaTheme="minorHAnsi" w:cstheme="minorBidi"/>
          <w:szCs w:val="22"/>
        </w:rPr>
      </w:pPr>
      <w:r>
        <w:rPr>
          <w:rFonts w:eastAsiaTheme="minorHAnsi" w:cstheme="minorBidi"/>
          <w:szCs w:val="22"/>
        </w:rPr>
        <w:t>U</w:t>
      </w:r>
      <w:r w:rsidRPr="003A62F2">
        <w:rPr>
          <w:rFonts w:eastAsiaTheme="minorHAnsi" w:cstheme="minorBidi"/>
          <w:szCs w:val="22"/>
        </w:rPr>
        <w:t>nder Section 367.0811(5)(h), F.S</w:t>
      </w:r>
      <w:r>
        <w:rPr>
          <w:rFonts w:eastAsiaTheme="minorHAnsi" w:cstheme="minorBidi"/>
          <w:szCs w:val="22"/>
        </w:rPr>
        <w:t xml:space="preserve">., </w:t>
      </w:r>
      <w:r w:rsidR="003A62F2" w:rsidRPr="003A62F2">
        <w:rPr>
          <w:rFonts w:eastAsiaTheme="minorHAnsi" w:cstheme="minorBidi"/>
          <w:szCs w:val="22"/>
        </w:rPr>
        <w:t>the petition must include a rate stabilization plan</w:t>
      </w:r>
      <w:r>
        <w:rPr>
          <w:rFonts w:eastAsiaTheme="minorHAnsi" w:cstheme="minorBidi"/>
          <w:szCs w:val="22"/>
        </w:rPr>
        <w:t xml:space="preserve"> if the acquisition would result in a </w:t>
      </w:r>
      <w:r w:rsidRPr="003A62F2">
        <w:rPr>
          <w:rFonts w:eastAsiaTheme="minorHAnsi" w:cstheme="minorBidi"/>
          <w:szCs w:val="22"/>
        </w:rPr>
        <w:t>“significant individual increase in rates</w:t>
      </w:r>
      <w:r>
        <w:rPr>
          <w:rFonts w:eastAsiaTheme="minorHAnsi" w:cstheme="minorBidi"/>
          <w:szCs w:val="22"/>
        </w:rPr>
        <w:t>.</w:t>
      </w:r>
      <w:r w:rsidRPr="003A62F2">
        <w:rPr>
          <w:rFonts w:eastAsiaTheme="minorHAnsi" w:cstheme="minorBidi"/>
          <w:szCs w:val="22"/>
        </w:rPr>
        <w:t>”</w:t>
      </w:r>
      <w:r>
        <w:rPr>
          <w:rFonts w:eastAsiaTheme="minorHAnsi" w:cstheme="minorBidi"/>
          <w:szCs w:val="22"/>
        </w:rPr>
        <w:t xml:space="preserve"> S</w:t>
      </w:r>
      <w:r w:rsidR="00D61ADD">
        <w:rPr>
          <w:rFonts w:eastAsiaTheme="minorHAnsi" w:cstheme="minorBidi"/>
          <w:szCs w:val="22"/>
        </w:rPr>
        <w:t>taff recommends that the draft rule define</w:t>
      </w:r>
      <w:r w:rsidR="003A62F2" w:rsidRPr="003A62F2">
        <w:rPr>
          <w:rFonts w:eastAsiaTheme="minorHAnsi" w:cstheme="minorBidi"/>
          <w:szCs w:val="22"/>
        </w:rPr>
        <w:t xml:space="preserve"> “significant individual increase in rates” as a rate increase during any twelve consecutive months of the 5-year projected rate impact period in excess of </w:t>
      </w:r>
      <w:r w:rsidR="00702000">
        <w:rPr>
          <w:rFonts w:eastAsiaTheme="minorHAnsi" w:cstheme="minorBidi"/>
          <w:szCs w:val="22"/>
        </w:rPr>
        <w:t xml:space="preserve">the </w:t>
      </w:r>
      <w:r w:rsidR="003A62F2" w:rsidRPr="003A62F2">
        <w:rPr>
          <w:rFonts w:eastAsiaTheme="minorHAnsi" w:cstheme="minorBidi"/>
          <w:szCs w:val="22"/>
        </w:rPr>
        <w:t>price index over the current rates of the utility system being acquired. “Price index” is defi</w:t>
      </w:r>
      <w:r w:rsidR="00E1471D">
        <w:rPr>
          <w:rFonts w:eastAsiaTheme="minorHAnsi" w:cstheme="minorBidi"/>
          <w:szCs w:val="22"/>
        </w:rPr>
        <w:t xml:space="preserve">ned in paragraph (1)(b) of the </w:t>
      </w:r>
      <w:r w:rsidR="00B53FC0">
        <w:rPr>
          <w:rFonts w:eastAsiaTheme="minorHAnsi" w:cstheme="minorBidi"/>
          <w:szCs w:val="22"/>
        </w:rPr>
        <w:t xml:space="preserve">draft </w:t>
      </w:r>
      <w:r w:rsidR="00E1471D">
        <w:rPr>
          <w:rFonts w:eastAsiaTheme="minorHAnsi" w:cstheme="minorBidi"/>
          <w:szCs w:val="22"/>
        </w:rPr>
        <w:t>r</w:t>
      </w:r>
      <w:r w:rsidR="003A62F2" w:rsidRPr="003A62F2">
        <w:rPr>
          <w:rFonts w:eastAsiaTheme="minorHAnsi" w:cstheme="minorBidi"/>
          <w:szCs w:val="22"/>
        </w:rPr>
        <w:t>ule as “the most recent annual price increase or decrease index of major categories of operating costs incurred by water and wastewater utilities established by the Commission by order entered pursuant to Section 367.081(4)(a), F.S.”</w:t>
      </w:r>
    </w:p>
    <w:p w14:paraId="07BE56B3" w14:textId="0D9DF4C1" w:rsidR="003A62F2" w:rsidRPr="003A62F2" w:rsidRDefault="003A62F2" w:rsidP="00530575">
      <w:pPr>
        <w:spacing w:after="200"/>
        <w:jc w:val="both"/>
        <w:rPr>
          <w:rFonts w:eastAsiaTheme="minorHAnsi" w:cstheme="minorBidi"/>
          <w:szCs w:val="22"/>
        </w:rPr>
      </w:pPr>
      <w:r w:rsidRPr="003A62F2">
        <w:rPr>
          <w:rFonts w:eastAsiaTheme="minorHAnsi" w:cstheme="minorBidi"/>
          <w:szCs w:val="22"/>
        </w:rPr>
        <w:t xml:space="preserve">CSWR </w:t>
      </w:r>
      <w:r w:rsidR="00784314">
        <w:rPr>
          <w:rFonts w:eastAsiaTheme="minorHAnsi" w:cstheme="minorBidi"/>
          <w:szCs w:val="22"/>
        </w:rPr>
        <w:t>asserts</w:t>
      </w:r>
      <w:r w:rsidR="00650DE6">
        <w:rPr>
          <w:rFonts w:eastAsiaTheme="minorHAnsi" w:cstheme="minorBidi"/>
          <w:szCs w:val="22"/>
        </w:rPr>
        <w:t xml:space="preserve"> the</w:t>
      </w:r>
      <w:r w:rsidRPr="003A62F2">
        <w:rPr>
          <w:rFonts w:eastAsiaTheme="minorHAnsi" w:cstheme="minorBidi"/>
          <w:szCs w:val="22"/>
        </w:rPr>
        <w:t xml:space="preserve"> Commission should instead use an inflation factor or an affordability index, </w:t>
      </w:r>
      <w:r w:rsidRPr="00A007A4">
        <w:rPr>
          <w:rFonts w:eastAsiaTheme="minorHAnsi" w:cstheme="minorBidi"/>
          <w:szCs w:val="22"/>
        </w:rPr>
        <w:t xml:space="preserve">but </w:t>
      </w:r>
      <w:r w:rsidR="007A50F5" w:rsidRPr="00A007A4">
        <w:rPr>
          <w:rFonts w:eastAsiaTheme="minorHAnsi" w:cstheme="minorBidi"/>
          <w:szCs w:val="22"/>
        </w:rPr>
        <w:t>staff believes th</w:t>
      </w:r>
      <w:r w:rsidR="00A007A4">
        <w:rPr>
          <w:rFonts w:eastAsiaTheme="minorHAnsi" w:cstheme="minorBidi"/>
          <w:szCs w:val="22"/>
        </w:rPr>
        <w:t>e rule language adequately encompasses those considerations.</w:t>
      </w:r>
      <w:r w:rsidRPr="003A62F2">
        <w:rPr>
          <w:rFonts w:eastAsiaTheme="minorHAnsi" w:cstheme="minorBidi"/>
          <w:szCs w:val="22"/>
        </w:rPr>
        <w:t xml:space="preserve"> While Sunshine suggest</w:t>
      </w:r>
      <w:r w:rsidR="00784314">
        <w:rPr>
          <w:rFonts w:eastAsiaTheme="minorHAnsi" w:cstheme="minorBidi"/>
          <w:szCs w:val="22"/>
        </w:rPr>
        <w:t>s</w:t>
      </w:r>
      <w:r w:rsidRPr="003A62F2">
        <w:rPr>
          <w:rFonts w:eastAsiaTheme="minorHAnsi" w:cstheme="minorBidi"/>
          <w:szCs w:val="22"/>
        </w:rPr>
        <w:t xml:space="preserve"> a significant increase </w:t>
      </w:r>
      <w:r w:rsidR="00712E05" w:rsidRPr="003A62F2">
        <w:rPr>
          <w:rFonts w:eastAsiaTheme="minorHAnsi" w:cstheme="minorBidi"/>
          <w:szCs w:val="22"/>
        </w:rPr>
        <w:t>occur</w:t>
      </w:r>
      <w:r w:rsidR="00712E05">
        <w:rPr>
          <w:rFonts w:eastAsiaTheme="minorHAnsi" w:cstheme="minorBidi"/>
          <w:szCs w:val="22"/>
        </w:rPr>
        <w:t>s</w:t>
      </w:r>
      <w:r w:rsidRPr="003A62F2">
        <w:rPr>
          <w:rFonts w:eastAsiaTheme="minorHAnsi" w:cstheme="minorBidi"/>
          <w:szCs w:val="22"/>
        </w:rPr>
        <w:t xml:space="preserve"> when the rate increase over the projected rate impact exceeds 1.5 times a seller’s current rates</w:t>
      </w:r>
      <w:r w:rsidR="00D61ADD">
        <w:rPr>
          <w:rFonts w:eastAsiaTheme="minorHAnsi" w:cstheme="minorBidi"/>
          <w:szCs w:val="22"/>
        </w:rPr>
        <w:t xml:space="preserve">, </w:t>
      </w:r>
      <w:r w:rsidR="00D61ADD" w:rsidRPr="007B66A0">
        <w:rPr>
          <w:rFonts w:eastAsiaTheme="minorHAnsi" w:cstheme="minorBidi"/>
          <w:szCs w:val="22"/>
        </w:rPr>
        <w:t>staff believe</w:t>
      </w:r>
      <w:r w:rsidR="009B45EB" w:rsidRPr="007B66A0">
        <w:rPr>
          <w:rFonts w:eastAsiaTheme="minorHAnsi" w:cstheme="minorBidi"/>
          <w:szCs w:val="22"/>
        </w:rPr>
        <w:t>s</w:t>
      </w:r>
      <w:r w:rsidR="00D61ADD" w:rsidRPr="007B66A0">
        <w:rPr>
          <w:rFonts w:eastAsiaTheme="minorHAnsi" w:cstheme="minorBidi"/>
          <w:szCs w:val="22"/>
        </w:rPr>
        <w:t xml:space="preserve"> a </w:t>
      </w:r>
      <w:r w:rsidR="00081B67">
        <w:rPr>
          <w:rFonts w:eastAsiaTheme="minorHAnsi" w:cstheme="minorBidi"/>
          <w:szCs w:val="22"/>
        </w:rPr>
        <w:t xml:space="preserve">threshold increase of </w:t>
      </w:r>
      <w:r w:rsidR="00D61ADD" w:rsidRPr="007B66A0">
        <w:rPr>
          <w:rFonts w:eastAsiaTheme="minorHAnsi" w:cstheme="minorBidi"/>
          <w:szCs w:val="22"/>
        </w:rPr>
        <w:t>50 percent</w:t>
      </w:r>
      <w:r w:rsidRPr="007B66A0">
        <w:rPr>
          <w:rFonts w:eastAsiaTheme="minorHAnsi" w:cstheme="minorBidi"/>
          <w:szCs w:val="22"/>
        </w:rPr>
        <w:t xml:space="preserve"> will </w:t>
      </w:r>
      <w:r w:rsidR="009B45EB" w:rsidRPr="007B66A0">
        <w:rPr>
          <w:rFonts w:eastAsiaTheme="minorHAnsi" w:cstheme="minorBidi"/>
          <w:szCs w:val="22"/>
        </w:rPr>
        <w:t xml:space="preserve">not </w:t>
      </w:r>
      <w:r w:rsidRPr="007B66A0">
        <w:rPr>
          <w:rFonts w:eastAsiaTheme="minorHAnsi" w:cstheme="minorBidi"/>
          <w:szCs w:val="22"/>
        </w:rPr>
        <w:t>encapsulate all significant increases.</w:t>
      </w:r>
    </w:p>
    <w:p w14:paraId="2C10B73E" w14:textId="2419C7AC" w:rsidR="003A62F2" w:rsidRDefault="003A62F2" w:rsidP="00530575">
      <w:pPr>
        <w:spacing w:after="200"/>
        <w:jc w:val="both"/>
        <w:rPr>
          <w:rFonts w:eastAsiaTheme="minorHAnsi" w:cstheme="minorBidi"/>
          <w:szCs w:val="22"/>
        </w:rPr>
      </w:pPr>
      <w:r w:rsidRPr="003A62F2">
        <w:rPr>
          <w:rFonts w:eastAsiaTheme="minorHAnsi" w:cstheme="minorBidi"/>
          <w:szCs w:val="22"/>
        </w:rPr>
        <w:t>Staff believes</w:t>
      </w:r>
      <w:r w:rsidR="00712E05">
        <w:rPr>
          <w:rFonts w:eastAsiaTheme="minorHAnsi" w:cstheme="minorBidi"/>
          <w:szCs w:val="22"/>
        </w:rPr>
        <w:t>, and OPC agrees,</w:t>
      </w:r>
      <w:r w:rsidR="009321FA">
        <w:rPr>
          <w:rFonts w:eastAsiaTheme="minorHAnsi" w:cstheme="minorBidi"/>
          <w:szCs w:val="22"/>
        </w:rPr>
        <w:t xml:space="preserve"> that the </w:t>
      </w:r>
      <w:r w:rsidRPr="003A62F2">
        <w:rPr>
          <w:rFonts w:eastAsiaTheme="minorHAnsi" w:cstheme="minorBidi"/>
          <w:szCs w:val="22"/>
        </w:rPr>
        <w:t>annual price index provides a reliable metric by which to define a substantial increase in rates. Under Rule 25-30.420, F.A.C.,</w:t>
      </w:r>
      <w:r w:rsidR="009321FA">
        <w:rPr>
          <w:rFonts w:eastAsiaTheme="minorHAnsi" w:cstheme="minorBidi"/>
          <w:szCs w:val="22"/>
        </w:rPr>
        <w:t xml:space="preserve"> water and wastewater</w:t>
      </w:r>
      <w:r w:rsidRPr="003A62F2">
        <w:rPr>
          <w:rFonts w:eastAsiaTheme="minorHAnsi" w:cstheme="minorBidi"/>
          <w:szCs w:val="22"/>
        </w:rPr>
        <w:t xml:space="preserve"> utilities </w:t>
      </w:r>
      <w:r w:rsidR="009321FA">
        <w:rPr>
          <w:rFonts w:eastAsiaTheme="minorHAnsi" w:cstheme="minorBidi"/>
          <w:szCs w:val="22"/>
        </w:rPr>
        <w:t>may seek a change in rates based on application of the price index without a hearing.</w:t>
      </w:r>
      <w:r w:rsidR="009321FA">
        <w:rPr>
          <w:rStyle w:val="FootnoteReference"/>
          <w:rFonts w:eastAsiaTheme="minorHAnsi" w:cstheme="minorBidi"/>
          <w:szCs w:val="22"/>
        </w:rPr>
        <w:footnoteReference w:id="2"/>
      </w:r>
      <w:r w:rsidRPr="003A62F2">
        <w:rPr>
          <w:rFonts w:eastAsiaTheme="minorHAnsi" w:cstheme="minorBidi"/>
          <w:szCs w:val="22"/>
        </w:rPr>
        <w:t xml:space="preserve"> Accordingly, an increase greater than the price inde</w:t>
      </w:r>
      <w:r w:rsidR="00712E05">
        <w:rPr>
          <w:rFonts w:eastAsiaTheme="minorHAnsi" w:cstheme="minorBidi"/>
          <w:szCs w:val="22"/>
        </w:rPr>
        <w:t>x is certainly substantial and a rate stabilization plan should be required</w:t>
      </w:r>
      <w:r w:rsidRPr="003A62F2">
        <w:rPr>
          <w:rFonts w:eastAsiaTheme="minorHAnsi" w:cstheme="minorBidi"/>
          <w:szCs w:val="22"/>
        </w:rPr>
        <w:t>.</w:t>
      </w:r>
      <w:r w:rsidR="00D61ADD">
        <w:rPr>
          <w:rFonts w:eastAsiaTheme="minorHAnsi" w:cstheme="minorBidi"/>
          <w:szCs w:val="22"/>
        </w:rPr>
        <w:t xml:space="preserve"> Staff recommends that the Commission include this requirement in the </w:t>
      </w:r>
      <w:r w:rsidR="009321FA">
        <w:rPr>
          <w:rFonts w:eastAsiaTheme="minorHAnsi" w:cstheme="minorBidi"/>
          <w:szCs w:val="22"/>
        </w:rPr>
        <w:t xml:space="preserve">draft </w:t>
      </w:r>
      <w:r w:rsidR="00D61ADD">
        <w:rPr>
          <w:rFonts w:eastAsiaTheme="minorHAnsi" w:cstheme="minorBidi"/>
          <w:szCs w:val="22"/>
        </w:rPr>
        <w:t xml:space="preserve">rule because it is necessary </w:t>
      </w:r>
      <w:r w:rsidR="009321FA">
        <w:rPr>
          <w:rFonts w:eastAsiaTheme="minorHAnsi" w:cstheme="minorBidi"/>
          <w:szCs w:val="22"/>
        </w:rPr>
        <w:t>information</w:t>
      </w:r>
      <w:r w:rsidR="00D61ADD">
        <w:rPr>
          <w:rFonts w:eastAsiaTheme="minorHAnsi" w:cstheme="minorBidi"/>
          <w:szCs w:val="22"/>
        </w:rPr>
        <w:t>.</w:t>
      </w:r>
    </w:p>
    <w:p w14:paraId="1852916E" w14:textId="05DEC1FA" w:rsidR="002F2480" w:rsidRDefault="000202F9" w:rsidP="002F2480">
      <w:pPr>
        <w:pStyle w:val="First-LevelSubheading"/>
        <w:rPr>
          <w:rFonts w:eastAsiaTheme="minorHAnsi"/>
        </w:rPr>
      </w:pPr>
      <w:r>
        <w:rPr>
          <w:rFonts w:eastAsiaTheme="minorHAnsi"/>
        </w:rPr>
        <w:t>Subsection</w:t>
      </w:r>
      <w:r w:rsidR="00BB09BE">
        <w:rPr>
          <w:rFonts w:eastAsiaTheme="minorHAnsi"/>
        </w:rPr>
        <w:t xml:space="preserve"> </w:t>
      </w:r>
      <w:r>
        <w:rPr>
          <w:rFonts w:eastAsiaTheme="minorHAnsi"/>
        </w:rPr>
        <w:t>(4)</w:t>
      </w:r>
      <w:r w:rsidR="003D1EE8">
        <w:rPr>
          <w:rFonts w:eastAsiaTheme="minorHAnsi"/>
        </w:rPr>
        <w:t xml:space="preserve"> </w:t>
      </w:r>
      <w:r w:rsidR="00B53FC0">
        <w:rPr>
          <w:rFonts w:eastAsiaTheme="minorHAnsi"/>
        </w:rPr>
        <w:t>- General Filing I</w:t>
      </w:r>
      <w:r w:rsidR="003D1EE8">
        <w:rPr>
          <w:rFonts w:eastAsiaTheme="minorHAnsi"/>
        </w:rPr>
        <w:t>nstruction</w:t>
      </w:r>
    </w:p>
    <w:p w14:paraId="063D4E43" w14:textId="3504D79B" w:rsidR="003B28D9" w:rsidRDefault="003A62F2" w:rsidP="003A62F2">
      <w:pPr>
        <w:spacing w:after="200"/>
        <w:jc w:val="both"/>
        <w:rPr>
          <w:rFonts w:eastAsiaTheme="minorHAnsi" w:cstheme="minorBidi"/>
          <w:szCs w:val="22"/>
        </w:rPr>
      </w:pPr>
      <w:r w:rsidRPr="003A62F2">
        <w:rPr>
          <w:rFonts w:eastAsiaTheme="minorHAnsi" w:cstheme="minorBidi"/>
          <w:szCs w:val="22"/>
        </w:rPr>
        <w:t>Given the eight month deadline imposed by Section 367.0811(6), F.S.</w:t>
      </w:r>
      <w:r w:rsidR="000810DC">
        <w:rPr>
          <w:rFonts w:eastAsiaTheme="minorHAnsi" w:cstheme="minorBidi"/>
          <w:szCs w:val="22"/>
        </w:rPr>
        <w:t>, for the Commission to enter a final</w:t>
      </w:r>
      <w:r w:rsidRPr="003A62F2">
        <w:rPr>
          <w:rFonts w:eastAsiaTheme="minorHAnsi" w:cstheme="minorBidi"/>
          <w:szCs w:val="22"/>
        </w:rPr>
        <w:t xml:space="preserve"> order following the filing of a complete petition, </w:t>
      </w:r>
      <w:r w:rsidR="00AE1723">
        <w:rPr>
          <w:rFonts w:eastAsiaTheme="minorHAnsi" w:cstheme="minorBidi"/>
          <w:szCs w:val="22"/>
        </w:rPr>
        <w:t>subsection</w:t>
      </w:r>
      <w:r w:rsidRPr="003A62F2">
        <w:rPr>
          <w:rFonts w:eastAsiaTheme="minorHAnsi" w:cstheme="minorBidi"/>
          <w:szCs w:val="22"/>
        </w:rPr>
        <w:t xml:space="preserve"> (4) of the </w:t>
      </w:r>
      <w:r w:rsidR="00B53FC0">
        <w:rPr>
          <w:rFonts w:eastAsiaTheme="minorHAnsi" w:cstheme="minorBidi"/>
          <w:szCs w:val="22"/>
        </w:rPr>
        <w:t xml:space="preserve">draft </w:t>
      </w:r>
      <w:r w:rsidR="00E1471D">
        <w:rPr>
          <w:rFonts w:eastAsiaTheme="minorHAnsi" w:cstheme="minorBidi"/>
          <w:szCs w:val="22"/>
        </w:rPr>
        <w:t>r</w:t>
      </w:r>
      <w:r w:rsidRPr="003A62F2">
        <w:rPr>
          <w:rFonts w:eastAsiaTheme="minorHAnsi" w:cstheme="minorBidi"/>
          <w:szCs w:val="22"/>
        </w:rPr>
        <w:t xml:space="preserve">ule requires, as a general filing requirement, that the acquiring utility file prepared direct testimony and exhibits for each of its witnesses at </w:t>
      </w:r>
      <w:r w:rsidR="00C72D69">
        <w:rPr>
          <w:rFonts w:eastAsiaTheme="minorHAnsi" w:cstheme="minorBidi"/>
          <w:szCs w:val="22"/>
        </w:rPr>
        <w:t>the time the petition is filed.</w:t>
      </w:r>
    </w:p>
    <w:p w14:paraId="11CDA15B" w14:textId="7BE68E67" w:rsidR="00706102" w:rsidRDefault="003B28D9" w:rsidP="003A62F2">
      <w:pPr>
        <w:spacing w:after="200"/>
        <w:jc w:val="both"/>
        <w:rPr>
          <w:rFonts w:eastAsiaTheme="minorHAnsi" w:cstheme="minorBidi"/>
          <w:szCs w:val="22"/>
        </w:rPr>
      </w:pPr>
      <w:r>
        <w:rPr>
          <w:rFonts w:eastAsiaTheme="minorHAnsi" w:cstheme="minorBidi"/>
          <w:szCs w:val="22"/>
        </w:rPr>
        <w:t xml:space="preserve">This requirement is </w:t>
      </w:r>
      <w:r w:rsidR="003A62F2" w:rsidRPr="003A62F2">
        <w:rPr>
          <w:rFonts w:eastAsiaTheme="minorHAnsi" w:cstheme="minorBidi"/>
          <w:szCs w:val="22"/>
        </w:rPr>
        <w:t>cons</w:t>
      </w:r>
      <w:r w:rsidR="00EF7AB2">
        <w:rPr>
          <w:rFonts w:eastAsiaTheme="minorHAnsi" w:cstheme="minorBidi"/>
          <w:szCs w:val="22"/>
        </w:rPr>
        <w:t>istent with Commission practice in other industries in which there are statutory deadlines for the Commission to issue a final order in a case.</w:t>
      </w:r>
    </w:p>
    <w:p w14:paraId="0695663C" w14:textId="030F6458" w:rsidR="002F2480" w:rsidRDefault="000202F9" w:rsidP="002F2480">
      <w:pPr>
        <w:pStyle w:val="First-LevelSubheading"/>
        <w:rPr>
          <w:rFonts w:eastAsiaTheme="minorHAnsi"/>
        </w:rPr>
      </w:pPr>
      <w:r>
        <w:rPr>
          <w:rFonts w:eastAsiaTheme="minorHAnsi"/>
        </w:rPr>
        <w:t>Subsection (5)</w:t>
      </w:r>
      <w:r w:rsidR="003D1EE8">
        <w:rPr>
          <w:rFonts w:eastAsiaTheme="minorHAnsi"/>
        </w:rPr>
        <w:t xml:space="preserve"> </w:t>
      </w:r>
      <w:r w:rsidR="004C222E">
        <w:rPr>
          <w:rFonts w:eastAsiaTheme="minorHAnsi"/>
        </w:rPr>
        <w:t xml:space="preserve">- </w:t>
      </w:r>
      <w:r w:rsidR="003D1EE8">
        <w:rPr>
          <w:rFonts w:eastAsiaTheme="minorHAnsi"/>
        </w:rPr>
        <w:t>Notice</w:t>
      </w:r>
    </w:p>
    <w:p w14:paraId="2C7FBAB4" w14:textId="11FB234F" w:rsidR="003A62F2" w:rsidRDefault="003A62F2" w:rsidP="003A62F2">
      <w:pPr>
        <w:spacing w:after="200"/>
        <w:jc w:val="both"/>
        <w:rPr>
          <w:rFonts w:eastAsiaTheme="minorHAnsi" w:cstheme="minorBidi"/>
          <w:szCs w:val="22"/>
        </w:rPr>
      </w:pPr>
      <w:r w:rsidRPr="003A62F2">
        <w:rPr>
          <w:rFonts w:eastAsiaTheme="minorHAnsi" w:cstheme="minorBidi"/>
          <w:szCs w:val="22"/>
        </w:rPr>
        <w:t>Section 367.0811, F.S., provides a new process to establish the rate base value of the utility system being acquired. Before the acquiring utility files its petition under Section 367.0811, F.S., it will know the projected rate impact over the next five years. Given the due process c</w:t>
      </w:r>
      <w:r w:rsidR="00E1471D">
        <w:rPr>
          <w:rFonts w:eastAsiaTheme="minorHAnsi" w:cstheme="minorBidi"/>
          <w:szCs w:val="22"/>
        </w:rPr>
        <w:t xml:space="preserve">oncerns </w:t>
      </w:r>
      <w:r w:rsidR="000810DC">
        <w:rPr>
          <w:rFonts w:eastAsiaTheme="minorHAnsi" w:cstheme="minorBidi"/>
          <w:szCs w:val="22"/>
        </w:rPr>
        <w:t xml:space="preserve">raised by OPC in its comments that </w:t>
      </w:r>
      <w:r w:rsidR="00E1471D">
        <w:rPr>
          <w:rFonts w:eastAsiaTheme="minorHAnsi" w:cstheme="minorBidi"/>
          <w:szCs w:val="22"/>
        </w:rPr>
        <w:t xml:space="preserve">a rate impact has, </w:t>
      </w:r>
      <w:r w:rsidR="00EF7AB2">
        <w:rPr>
          <w:rFonts w:eastAsiaTheme="minorHAnsi" w:cstheme="minorBidi"/>
          <w:szCs w:val="22"/>
        </w:rPr>
        <w:t xml:space="preserve">staff recommends that the </w:t>
      </w:r>
      <w:r w:rsidR="00B53FC0">
        <w:rPr>
          <w:rFonts w:eastAsiaTheme="minorHAnsi" w:cstheme="minorBidi"/>
          <w:szCs w:val="22"/>
        </w:rPr>
        <w:t xml:space="preserve">draft </w:t>
      </w:r>
      <w:r w:rsidR="00E1471D">
        <w:rPr>
          <w:rFonts w:eastAsiaTheme="minorHAnsi" w:cstheme="minorBidi"/>
          <w:szCs w:val="22"/>
        </w:rPr>
        <w:t>r</w:t>
      </w:r>
      <w:r w:rsidR="00EF7AB2">
        <w:rPr>
          <w:rFonts w:eastAsiaTheme="minorHAnsi" w:cstheme="minorBidi"/>
          <w:szCs w:val="22"/>
        </w:rPr>
        <w:t>ule require</w:t>
      </w:r>
      <w:r w:rsidRPr="003A62F2">
        <w:rPr>
          <w:rFonts w:eastAsiaTheme="minorHAnsi" w:cstheme="minorBidi"/>
          <w:szCs w:val="22"/>
        </w:rPr>
        <w:t xml:space="preserve"> direct notice to customers of the acquiring utility’s use of this new process, the projected rate impact for customers of both the acquiring system and the system being acquired, and the rights of substantially affected cu</w:t>
      </w:r>
      <w:r w:rsidR="00EF7AB2">
        <w:rPr>
          <w:rFonts w:eastAsiaTheme="minorHAnsi" w:cstheme="minorBidi"/>
          <w:szCs w:val="22"/>
        </w:rPr>
        <w:t xml:space="preserve">stomers to intervene. </w:t>
      </w:r>
      <w:r w:rsidR="00A007A4">
        <w:rPr>
          <w:rFonts w:eastAsiaTheme="minorHAnsi" w:cstheme="minorBidi"/>
          <w:szCs w:val="22"/>
        </w:rPr>
        <w:t>In the event the petition for alternative procedure</w:t>
      </w:r>
      <w:r w:rsidR="005B3867">
        <w:rPr>
          <w:rFonts w:eastAsiaTheme="minorHAnsi" w:cstheme="minorBidi"/>
          <w:szCs w:val="22"/>
        </w:rPr>
        <w:t xml:space="preserve"> for establishing an alternative rate base and the application for transfer are filed </w:t>
      </w:r>
      <w:r w:rsidR="005B3867">
        <w:rPr>
          <w:rFonts w:eastAsiaTheme="minorHAnsi" w:cstheme="minorBidi"/>
          <w:szCs w:val="22"/>
        </w:rPr>
        <w:lastRenderedPageBreak/>
        <w:t>concurrently, ut</w:t>
      </w:r>
      <w:r w:rsidR="005B3867" w:rsidRPr="003A62F2">
        <w:rPr>
          <w:rFonts w:eastAsiaTheme="minorHAnsi" w:cstheme="minorBidi"/>
          <w:szCs w:val="22"/>
        </w:rPr>
        <w:t>ilities</w:t>
      </w:r>
      <w:r w:rsidRPr="003A62F2">
        <w:rPr>
          <w:rFonts w:eastAsiaTheme="minorHAnsi" w:cstheme="minorBidi"/>
          <w:szCs w:val="22"/>
        </w:rPr>
        <w:t xml:space="preserve"> </w:t>
      </w:r>
      <w:r w:rsidR="00EF7AB2">
        <w:rPr>
          <w:rFonts w:eastAsiaTheme="minorHAnsi" w:cstheme="minorBidi"/>
          <w:szCs w:val="22"/>
        </w:rPr>
        <w:t xml:space="preserve">would be </w:t>
      </w:r>
      <w:r w:rsidRPr="003A62F2">
        <w:rPr>
          <w:rFonts w:eastAsiaTheme="minorHAnsi" w:cstheme="minorBidi"/>
          <w:szCs w:val="22"/>
        </w:rPr>
        <w:t>allowed to combi</w:t>
      </w:r>
      <w:r w:rsidR="00E1471D">
        <w:rPr>
          <w:rFonts w:eastAsiaTheme="minorHAnsi" w:cstheme="minorBidi"/>
          <w:szCs w:val="22"/>
        </w:rPr>
        <w:t xml:space="preserve">ne the notice required by this </w:t>
      </w:r>
      <w:r w:rsidR="00B53FC0">
        <w:rPr>
          <w:rFonts w:eastAsiaTheme="minorHAnsi" w:cstheme="minorBidi"/>
          <w:szCs w:val="22"/>
        </w:rPr>
        <w:t xml:space="preserve">draft </w:t>
      </w:r>
      <w:r w:rsidR="00E1471D">
        <w:rPr>
          <w:rFonts w:eastAsiaTheme="minorHAnsi" w:cstheme="minorBidi"/>
          <w:szCs w:val="22"/>
        </w:rPr>
        <w:t>r</w:t>
      </w:r>
      <w:r w:rsidRPr="003A62F2">
        <w:rPr>
          <w:rFonts w:eastAsiaTheme="minorHAnsi" w:cstheme="minorBidi"/>
          <w:szCs w:val="22"/>
        </w:rPr>
        <w:t>ule with the notice regarding the application to transfer, thus allowing them to avoid duplication of efforts in a short time frame.</w:t>
      </w:r>
    </w:p>
    <w:p w14:paraId="2A2143EF" w14:textId="6223A99D" w:rsidR="00BE6A5E" w:rsidRDefault="00BE6A5E" w:rsidP="00BE6A5E">
      <w:pPr>
        <w:pStyle w:val="First-LevelSubheading"/>
        <w:rPr>
          <w:rFonts w:eastAsiaTheme="minorHAnsi"/>
        </w:rPr>
      </w:pPr>
      <w:r>
        <w:rPr>
          <w:rFonts w:eastAsiaTheme="minorHAnsi"/>
        </w:rPr>
        <w:t>Minor Violation Rule Certification</w:t>
      </w:r>
    </w:p>
    <w:p w14:paraId="279D8B9A" w14:textId="77777777" w:rsidR="003A62F2" w:rsidRPr="003A62F2" w:rsidRDefault="003A62F2" w:rsidP="003A62F2">
      <w:pPr>
        <w:autoSpaceDE w:val="0"/>
        <w:autoSpaceDN w:val="0"/>
        <w:adjustRightInd w:val="0"/>
        <w:jc w:val="both"/>
        <w:rPr>
          <w:rFonts w:eastAsiaTheme="minorHAnsi" w:cstheme="minorBidi"/>
          <w:szCs w:val="22"/>
        </w:rPr>
      </w:pPr>
      <w:r w:rsidRPr="003A62F2">
        <w:rPr>
          <w:rFonts w:eastAsiaTheme="minorHAnsi" w:cstheme="minorBidi"/>
          <w:szCs w:val="22"/>
        </w:rPr>
        <w:t xml:space="preserve">Pursuant to Section 120.695, F.S., for each rule filed for adoption, the agency head shall certify whether any part of the rule is designated as a rule the violation of which would be a minor violation. </w:t>
      </w:r>
      <w:r w:rsidRPr="003A62F2">
        <w:rPr>
          <w:rFonts w:eastAsiaTheme="minorHAnsi"/>
        </w:rPr>
        <w:t xml:space="preserve">Under Section 120.695(2)(b), F.S., a violation of a rule is minor if it does not result in economic or physical harm to a person or adversely affect the public health, safety, or welfare or create a significant threat of such harm. </w:t>
      </w:r>
      <w:r w:rsidRPr="003A62F2">
        <w:rPr>
          <w:rFonts w:eastAsiaTheme="minorHAnsi" w:cstheme="minorBidi"/>
          <w:szCs w:val="22"/>
        </w:rPr>
        <w:t xml:space="preserve">Rule 25-30.0372, F.A.C., should be listed as a minor violation rule by the Commission. This rule is a minor violation rule because the violation of this rule would not result in economic or physical harm to a person, cause an adverse effect on the public health, safety, or welfare, or create a significant threat of such harm. Violations of Rule 25-30.0372, F.A.C., would be minor violations. Therefore, </w:t>
      </w:r>
      <w:r w:rsidR="00E1471D">
        <w:rPr>
          <w:rFonts w:eastAsiaTheme="minorHAnsi" w:cstheme="minorBidi"/>
          <w:szCs w:val="22"/>
        </w:rPr>
        <w:t>for the purposes of filing the r</w:t>
      </w:r>
      <w:r w:rsidRPr="003A62F2">
        <w:rPr>
          <w:rFonts w:eastAsiaTheme="minorHAnsi" w:cstheme="minorBidi"/>
          <w:szCs w:val="22"/>
        </w:rPr>
        <w:t>ule for adoption with the Department of State, staff recommends that the Commission certify Rule 25-30.0372, F.A.C., as a minor violation rule.</w:t>
      </w:r>
    </w:p>
    <w:p w14:paraId="62014F56" w14:textId="77777777" w:rsidR="003A62F2" w:rsidRPr="003A62F2" w:rsidRDefault="003A62F2" w:rsidP="003A62F2">
      <w:pPr>
        <w:spacing w:line="276" w:lineRule="auto"/>
        <w:jc w:val="both"/>
        <w:rPr>
          <w:rFonts w:eastAsiaTheme="minorHAnsi" w:cstheme="minorBidi"/>
          <w:b/>
          <w:szCs w:val="22"/>
        </w:rPr>
      </w:pPr>
    </w:p>
    <w:p w14:paraId="36C3A2E7" w14:textId="6C2499F8" w:rsidR="00BE6A5E" w:rsidRPr="00883B5E" w:rsidRDefault="00BE6A5E" w:rsidP="00BE6A5E">
      <w:pPr>
        <w:pStyle w:val="First-LevelSubheading"/>
        <w:rPr>
          <w:rFonts w:eastAsiaTheme="minorHAnsi"/>
        </w:rPr>
      </w:pPr>
      <w:r w:rsidRPr="00883B5E">
        <w:rPr>
          <w:rFonts w:eastAsiaTheme="minorHAnsi"/>
        </w:rPr>
        <w:t>Statement of Estimated Regulatory Costs</w:t>
      </w:r>
    </w:p>
    <w:p w14:paraId="0E987889" w14:textId="3E2AD3BA" w:rsidR="00883B5E" w:rsidRPr="00883B5E" w:rsidRDefault="00883B5E" w:rsidP="00883B5E">
      <w:pPr>
        <w:spacing w:after="200"/>
        <w:jc w:val="both"/>
        <w:rPr>
          <w:rFonts w:eastAsiaTheme="minorHAnsi" w:cstheme="minorBidi"/>
          <w:szCs w:val="22"/>
        </w:rPr>
      </w:pPr>
      <w:r w:rsidRPr="00883B5E">
        <w:rPr>
          <w:rFonts w:eastAsiaTheme="minorHAnsi" w:cstheme="minorBidi"/>
          <w:szCs w:val="22"/>
        </w:rPr>
        <w:t xml:space="preserve">Section 120.54(3)(b)1., F.S. encourages agencies to prepare a Statement of Estimated Regulatory Costs (SERC) before the adoption, amendment, or repeal of any rule. A SERC was prepared for this rulemaking and is appended as Attachment B. As required by Section 120.541(2)(a)1., F.S., the SERC analysis includes whether the </w:t>
      </w:r>
      <w:r>
        <w:rPr>
          <w:rFonts w:eastAsiaTheme="minorHAnsi" w:cstheme="minorBidi"/>
          <w:szCs w:val="22"/>
        </w:rPr>
        <w:t>r</w:t>
      </w:r>
      <w:r w:rsidRPr="00883B5E">
        <w:rPr>
          <w:rFonts w:eastAsiaTheme="minorHAnsi" w:cstheme="minorBidi"/>
          <w:szCs w:val="22"/>
        </w:rPr>
        <w:t>ule is likely to have an adverse impact on economic growth, private sector job creation or employment, or private sector investment in excess of $1 million in the aggregate within five years after implementation.</w:t>
      </w:r>
    </w:p>
    <w:p w14:paraId="0A54E5D5" w14:textId="613E417D" w:rsidR="00883B5E" w:rsidRPr="00883B5E" w:rsidRDefault="00883B5E" w:rsidP="00883B5E">
      <w:pPr>
        <w:spacing w:after="200"/>
        <w:jc w:val="both"/>
        <w:rPr>
          <w:rFonts w:eastAsiaTheme="minorHAnsi" w:cstheme="minorBidi"/>
          <w:szCs w:val="22"/>
        </w:rPr>
      </w:pPr>
      <w:r w:rsidRPr="00883B5E">
        <w:rPr>
          <w:rFonts w:eastAsiaTheme="minorHAnsi" w:cstheme="minorBidi"/>
          <w:szCs w:val="22"/>
        </w:rPr>
        <w:t xml:space="preserve">The SERC concludes that </w:t>
      </w:r>
      <w:r>
        <w:rPr>
          <w:rFonts w:eastAsiaTheme="minorHAnsi" w:cstheme="minorBidi"/>
          <w:szCs w:val="22"/>
        </w:rPr>
        <w:t>the r</w:t>
      </w:r>
      <w:r w:rsidRPr="00883B5E">
        <w:rPr>
          <w:rFonts w:eastAsiaTheme="minorHAnsi" w:cstheme="minorBidi"/>
          <w:szCs w:val="22"/>
        </w:rPr>
        <w:t xml:space="preserve">ule will likely not directly or indirectly increase regulatory costs in excess of $200,000 in the aggregate in Florida within one year after implementation. Further, the SERC concludes that the </w:t>
      </w:r>
      <w:r>
        <w:rPr>
          <w:rFonts w:eastAsiaTheme="minorHAnsi" w:cstheme="minorBidi"/>
          <w:szCs w:val="22"/>
        </w:rPr>
        <w:t>r</w:t>
      </w:r>
      <w:r w:rsidRPr="00883B5E">
        <w:rPr>
          <w:rFonts w:eastAsiaTheme="minorHAnsi" w:cstheme="minorBidi"/>
          <w:szCs w:val="22"/>
        </w:rPr>
        <w:t>ule will not likely increase regulatory costs, including any transactional costs, or have an adverse impact on business competitiveness, productivity, or innovation, in excess of $1 million in the aggregate within five years of implementation. Thus, pursuant to S</w:t>
      </w:r>
      <w:r>
        <w:rPr>
          <w:rFonts w:eastAsiaTheme="minorHAnsi" w:cstheme="minorBidi"/>
          <w:szCs w:val="22"/>
        </w:rPr>
        <w:t xml:space="preserve">ection 120.541(3), F.S., </w:t>
      </w:r>
      <w:r w:rsidRPr="00883B5E">
        <w:rPr>
          <w:rFonts w:eastAsiaTheme="minorHAnsi" w:cstheme="minorBidi"/>
          <w:szCs w:val="22"/>
        </w:rPr>
        <w:t>the rule do not require legislative ratification.</w:t>
      </w:r>
    </w:p>
    <w:p w14:paraId="7601E07C" w14:textId="2A8EA40C" w:rsidR="00883B5E" w:rsidRDefault="00883B5E" w:rsidP="00883B5E">
      <w:pPr>
        <w:spacing w:after="200"/>
        <w:jc w:val="both"/>
        <w:rPr>
          <w:rFonts w:eastAsiaTheme="minorHAnsi" w:cstheme="minorBidi"/>
          <w:szCs w:val="22"/>
        </w:rPr>
      </w:pPr>
      <w:r w:rsidRPr="00883B5E">
        <w:rPr>
          <w:rFonts w:eastAsiaTheme="minorHAnsi" w:cstheme="minorBidi"/>
          <w:szCs w:val="22"/>
        </w:rPr>
        <w:t>In addition, the SERC states that th</w:t>
      </w:r>
      <w:r>
        <w:rPr>
          <w:rFonts w:eastAsiaTheme="minorHAnsi" w:cstheme="minorBidi"/>
          <w:szCs w:val="22"/>
        </w:rPr>
        <w:t>e r</w:t>
      </w:r>
      <w:r w:rsidRPr="00883B5E">
        <w:rPr>
          <w:rFonts w:eastAsiaTheme="minorHAnsi" w:cstheme="minorBidi"/>
          <w:szCs w:val="22"/>
        </w:rPr>
        <w:t xml:space="preserve">ule would have no adverse impact on small businesses, would have no implementation or enforcement costs on the Commission or any other state or local government entity, and would have no impact on small cities or small counties. The SERC states that there will be no transactional costs likely to be incurred by individuals and entities required to comply with the requirements. None of the impact/cost criteria established in Section 120.541(2)(a), F.S., will </w:t>
      </w:r>
      <w:r>
        <w:rPr>
          <w:rFonts w:eastAsiaTheme="minorHAnsi" w:cstheme="minorBidi"/>
          <w:szCs w:val="22"/>
        </w:rPr>
        <w:t>be exceeded as a result of the r</w:t>
      </w:r>
      <w:r w:rsidRPr="00883B5E">
        <w:rPr>
          <w:rFonts w:eastAsiaTheme="minorHAnsi" w:cstheme="minorBidi"/>
          <w:szCs w:val="22"/>
        </w:rPr>
        <w:t>ule.</w:t>
      </w:r>
    </w:p>
    <w:p w14:paraId="1C0FFBD6" w14:textId="143B63D5" w:rsidR="00BE6A5E" w:rsidRDefault="00BE6A5E" w:rsidP="00BE6A5E">
      <w:pPr>
        <w:pStyle w:val="First-LevelSubheading"/>
        <w:rPr>
          <w:rFonts w:eastAsiaTheme="minorHAnsi"/>
        </w:rPr>
      </w:pPr>
      <w:r>
        <w:rPr>
          <w:rFonts w:eastAsiaTheme="minorHAnsi"/>
        </w:rPr>
        <w:t>Conclusion</w:t>
      </w:r>
    </w:p>
    <w:p w14:paraId="41BDED6C" w14:textId="1C191E76" w:rsidR="003A62F2" w:rsidRDefault="003A62F2" w:rsidP="003A62F2">
      <w:pPr>
        <w:pStyle w:val="BodyText"/>
        <w:rPr>
          <w:rFonts w:eastAsiaTheme="minorHAnsi" w:cstheme="minorBidi"/>
          <w:szCs w:val="22"/>
        </w:rPr>
      </w:pPr>
      <w:r w:rsidRPr="003A62F2">
        <w:rPr>
          <w:rFonts w:eastAsiaTheme="minorHAnsi" w:cstheme="minorBidi"/>
          <w:szCs w:val="22"/>
        </w:rPr>
        <w:t xml:space="preserve">Based on the foregoing, staff recommends the Commission </w:t>
      </w:r>
      <w:r w:rsidR="006C37C9">
        <w:rPr>
          <w:rFonts w:eastAsiaTheme="minorHAnsi" w:cstheme="minorBidi"/>
          <w:szCs w:val="22"/>
        </w:rPr>
        <w:t>should propose the adoption of R</w:t>
      </w:r>
      <w:r w:rsidRPr="003A62F2">
        <w:rPr>
          <w:rFonts w:eastAsiaTheme="minorHAnsi" w:cstheme="minorBidi"/>
          <w:szCs w:val="22"/>
        </w:rPr>
        <w:t xml:space="preserve">ule 25-30.0372, F.A.C., as set forth in Attachment A. Staff </w:t>
      </w:r>
      <w:r w:rsidR="00B53FC0">
        <w:rPr>
          <w:rFonts w:eastAsiaTheme="minorHAnsi" w:cstheme="minorBidi"/>
          <w:szCs w:val="22"/>
        </w:rPr>
        <w:t xml:space="preserve">also </w:t>
      </w:r>
      <w:r w:rsidRPr="003A62F2">
        <w:rPr>
          <w:rFonts w:eastAsiaTheme="minorHAnsi" w:cstheme="minorBidi"/>
          <w:szCs w:val="22"/>
        </w:rPr>
        <w:t xml:space="preserve">recommends the Commission certify </w:t>
      </w:r>
      <w:r w:rsidR="000810DC">
        <w:rPr>
          <w:rFonts w:eastAsiaTheme="minorHAnsi" w:cstheme="minorBidi"/>
          <w:szCs w:val="22"/>
        </w:rPr>
        <w:t>the rule</w:t>
      </w:r>
      <w:r w:rsidRPr="003A62F2">
        <w:rPr>
          <w:rFonts w:eastAsiaTheme="minorHAnsi" w:cstheme="minorBidi"/>
          <w:szCs w:val="22"/>
        </w:rPr>
        <w:t xml:space="preserve"> as a minor violation rule</w:t>
      </w:r>
      <w:r w:rsidR="00B53FC0">
        <w:rPr>
          <w:rFonts w:eastAsiaTheme="minorHAnsi" w:cstheme="minorBidi"/>
          <w:szCs w:val="22"/>
        </w:rPr>
        <w:t>.</w:t>
      </w:r>
    </w:p>
    <w:p w14:paraId="134AD4C2" w14:textId="0767FDE3" w:rsidR="00F026C5" w:rsidRDefault="005A5328">
      <w:pPr>
        <w:pStyle w:val="IssueHeading"/>
        <w:rPr>
          <w:vanish/>
          <w:specVanish/>
        </w:rPr>
      </w:pPr>
      <w:r>
        <w:br w:type="page"/>
      </w:r>
      <w:r w:rsidR="00F026C5" w:rsidRPr="004C3641">
        <w:lastRenderedPageBreak/>
        <w:t xml:space="preserve">Issue </w:t>
      </w:r>
      <w:r w:rsidR="00E42163">
        <w:fldChar w:fldCharType="begin"/>
      </w:r>
      <w:r w:rsidR="00E42163">
        <w:instrText xml:space="preserve"> SEQ Issue \* MERGEFORMAT </w:instrText>
      </w:r>
      <w:r w:rsidR="00E42163">
        <w:fldChar w:fldCharType="separate"/>
      </w:r>
      <w:r w:rsidR="00913635">
        <w:rPr>
          <w:noProof/>
        </w:rPr>
        <w:t>2</w:t>
      </w:r>
      <w:r w:rsidR="00E42163">
        <w:rPr>
          <w:noProof/>
        </w:rPr>
        <w:fldChar w:fldCharType="end"/>
      </w:r>
      <w:r w:rsidR="00F026C5" w:rsidRPr="004C3641">
        <w:t>:</w:t>
      </w:r>
      <w:r w:rsidR="00F026C5">
        <w:fldChar w:fldCharType="begin"/>
      </w:r>
      <w:r w:rsidR="00F026C5">
        <w:instrText xml:space="preserve"> TC "</w:instrText>
      </w:r>
      <w:r w:rsidR="00F026C5">
        <w:fldChar w:fldCharType="begin"/>
      </w:r>
      <w:r w:rsidR="00F026C5">
        <w:instrText xml:space="preserve"> SEQ issue \c </w:instrText>
      </w:r>
      <w:r w:rsidR="00F026C5">
        <w:fldChar w:fldCharType="separate"/>
      </w:r>
      <w:r w:rsidR="00913635">
        <w:rPr>
          <w:noProof/>
        </w:rPr>
        <w:instrText>2</w:instrText>
      </w:r>
      <w:r w:rsidR="00F026C5">
        <w:fldChar w:fldCharType="end"/>
      </w:r>
      <w:r w:rsidR="00F026C5">
        <w:tab/>
        <w:instrText xml:space="preserve">" \l 1 </w:instrText>
      </w:r>
      <w:r w:rsidR="00F026C5">
        <w:fldChar w:fldCharType="end"/>
      </w:r>
      <w:r w:rsidR="00F026C5">
        <w:t> </w:t>
      </w:r>
    </w:p>
    <w:p w14:paraId="38D0DE7C" w14:textId="77777777" w:rsidR="00F026C5" w:rsidRDefault="00F026C5">
      <w:pPr>
        <w:pStyle w:val="BodyText"/>
      </w:pPr>
      <w:r>
        <w:t> Should this docket be closed?</w:t>
      </w:r>
    </w:p>
    <w:p w14:paraId="3FF403E1" w14:textId="77777777" w:rsidR="00F026C5" w:rsidRPr="004C3641" w:rsidRDefault="00F026C5">
      <w:pPr>
        <w:pStyle w:val="IssueSubsectionHeading"/>
        <w:rPr>
          <w:vanish/>
          <w:specVanish/>
        </w:rPr>
      </w:pPr>
      <w:r w:rsidRPr="004C3641">
        <w:t>Recommendation: </w:t>
      </w:r>
    </w:p>
    <w:p w14:paraId="0F45977F" w14:textId="2E6D3A0C" w:rsidR="00F026C5" w:rsidRDefault="00F026C5">
      <w:pPr>
        <w:pStyle w:val="BodyText"/>
      </w:pPr>
      <w:r>
        <w:t> </w:t>
      </w:r>
      <w:r w:rsidR="003A62F2">
        <w:t>Yes. If no requests for hearing or comments are filed, the rule should be filed for adoption with the Department of State, and the docket should be closed. (Sapoznikoff)</w:t>
      </w:r>
    </w:p>
    <w:p w14:paraId="7BD1A4EC" w14:textId="77777777" w:rsidR="00F026C5" w:rsidRPr="004C3641" w:rsidRDefault="00F026C5">
      <w:pPr>
        <w:pStyle w:val="IssueSubsectionHeading"/>
        <w:rPr>
          <w:vanish/>
          <w:specVanish/>
        </w:rPr>
      </w:pPr>
      <w:r w:rsidRPr="004C3641">
        <w:t>Staff Analysis: </w:t>
      </w:r>
    </w:p>
    <w:p w14:paraId="34B0DE02" w14:textId="77777777" w:rsidR="00F026C5" w:rsidRDefault="00F026C5">
      <w:pPr>
        <w:pStyle w:val="BodyText"/>
      </w:pPr>
      <w:r>
        <w:t> </w:t>
      </w:r>
      <w:r w:rsidR="003A62F2">
        <w:t>If no requests</w:t>
      </w:r>
      <w:r w:rsidR="003A62F2" w:rsidRPr="00DC5155">
        <w:t xml:space="preserve"> </w:t>
      </w:r>
      <w:r w:rsidR="003A62F2">
        <w:t>for hearing or comments are filed, the rule should be filed for adoption with the Department of State, and the docket should be closed.</w:t>
      </w:r>
    </w:p>
    <w:p w14:paraId="0041B857" w14:textId="77777777" w:rsidR="003A62F2" w:rsidRDefault="003A62F2">
      <w:pPr>
        <w:pStyle w:val="BodyText"/>
      </w:pPr>
    </w:p>
    <w:p w14:paraId="74498B43" w14:textId="77777777" w:rsidR="00F026C5" w:rsidRDefault="00F026C5" w:rsidP="00E275D8">
      <w:pPr>
        <w:pStyle w:val="BodyText"/>
        <w:sectPr w:rsidR="00F026C5"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14:paraId="5FD2D789" w14:textId="77777777" w:rsidR="00020EA5" w:rsidRPr="002C1B85" w:rsidRDefault="00020EA5" w:rsidP="004C222E">
      <w:pPr>
        <w:widowControl w:val="0"/>
        <w:overflowPunct w:val="0"/>
        <w:autoSpaceDE w:val="0"/>
        <w:autoSpaceDN w:val="0"/>
        <w:adjustRightInd w:val="0"/>
        <w:spacing w:line="536" w:lineRule="exact"/>
        <w:ind w:firstLine="360"/>
        <w:textAlignment w:val="baseline"/>
        <w:rPr>
          <w:b/>
          <w:color w:val="000000"/>
          <w:u w:val="single"/>
        </w:rPr>
      </w:pPr>
      <w:r w:rsidRPr="002C1B85">
        <w:rPr>
          <w:b/>
          <w:color w:val="000000"/>
          <w:u w:val="single"/>
        </w:rPr>
        <w:lastRenderedPageBreak/>
        <w:t xml:space="preserve">25-30.0372 </w:t>
      </w:r>
      <w:r w:rsidRPr="00B00B1A">
        <w:rPr>
          <w:b/>
          <w:color w:val="000000"/>
          <w:u w:val="single"/>
        </w:rPr>
        <w:t>Alternative Procedure for Establishing Rate Base Value of Acquired Utility System.</w:t>
      </w:r>
    </w:p>
    <w:p w14:paraId="36A38C45" w14:textId="77777777" w:rsidR="00020EA5" w:rsidRPr="00C06545" w:rsidRDefault="00020EA5" w:rsidP="004C222E">
      <w:pPr>
        <w:pStyle w:val="ListParagraph"/>
        <w:widowControl w:val="0"/>
        <w:overflowPunct w:val="0"/>
        <w:autoSpaceDE w:val="0"/>
        <w:autoSpaceDN w:val="0"/>
        <w:adjustRightInd w:val="0"/>
        <w:spacing w:line="536" w:lineRule="exact"/>
        <w:ind w:left="0" w:firstLine="360"/>
        <w:textAlignment w:val="baseline"/>
        <w:rPr>
          <w:color w:val="000000"/>
          <w:u w:val="single"/>
        </w:rPr>
      </w:pPr>
      <w:r w:rsidRPr="002C1B85">
        <w:rPr>
          <w:color w:val="000000"/>
          <w:u w:val="single"/>
        </w:rPr>
        <w:t>(1)</w:t>
      </w:r>
      <w:r w:rsidRPr="002C1B85" w:rsidDel="00F55F08">
        <w:rPr>
          <w:color w:val="000000"/>
          <w:u w:val="single"/>
        </w:rPr>
        <w:t xml:space="preserve"> </w:t>
      </w:r>
      <w:r w:rsidRPr="00C06545">
        <w:rPr>
          <w:color w:val="000000"/>
          <w:u w:val="single"/>
        </w:rPr>
        <w:t>Definitions. For the purpose</w:t>
      </w:r>
      <w:r>
        <w:rPr>
          <w:color w:val="000000"/>
          <w:u w:val="single"/>
        </w:rPr>
        <w:t>s</w:t>
      </w:r>
      <w:r w:rsidRPr="00C06545">
        <w:rPr>
          <w:color w:val="000000"/>
          <w:u w:val="single"/>
        </w:rPr>
        <w:t xml:space="preserve"> of this rule, the following definitions apply:</w:t>
      </w:r>
    </w:p>
    <w:p w14:paraId="3B490351" w14:textId="77777777" w:rsidR="00020EA5" w:rsidRPr="00C06545" w:rsidRDefault="00020EA5" w:rsidP="004C222E">
      <w:pPr>
        <w:widowControl w:val="0"/>
        <w:overflowPunct w:val="0"/>
        <w:autoSpaceDE w:val="0"/>
        <w:autoSpaceDN w:val="0"/>
        <w:adjustRightInd w:val="0"/>
        <w:spacing w:line="536" w:lineRule="exact"/>
        <w:ind w:firstLine="360"/>
        <w:textAlignment w:val="baseline"/>
        <w:rPr>
          <w:color w:val="000000"/>
          <w:u w:val="single"/>
        </w:rPr>
      </w:pPr>
      <w:r w:rsidRPr="00C06545">
        <w:rPr>
          <w:color w:val="000000"/>
          <w:u w:val="single"/>
        </w:rPr>
        <w:t>(a) “Licensed Appraiser</w:t>
      </w:r>
      <w:r>
        <w:rPr>
          <w:color w:val="000000"/>
          <w:u w:val="single"/>
        </w:rPr>
        <w:t>,</w:t>
      </w:r>
      <w:r w:rsidRPr="00C06545">
        <w:rPr>
          <w:color w:val="000000"/>
          <w:u w:val="single"/>
        </w:rPr>
        <w:t xml:space="preserve">” </w:t>
      </w:r>
      <w:r>
        <w:rPr>
          <w:color w:val="000000"/>
          <w:u w:val="single"/>
        </w:rPr>
        <w:t xml:space="preserve">as referenced in Section 367.0811(4)(a), F.S., </w:t>
      </w:r>
      <w:r w:rsidRPr="00C06545">
        <w:rPr>
          <w:color w:val="000000"/>
          <w:u w:val="single"/>
        </w:rPr>
        <w:t>means a person who meets all the following criteria:</w:t>
      </w:r>
    </w:p>
    <w:p w14:paraId="7B110281" w14:textId="7AE0D0D8" w:rsidR="00020EA5" w:rsidRPr="00C06545" w:rsidRDefault="00020EA5" w:rsidP="004C222E">
      <w:pPr>
        <w:widowControl w:val="0"/>
        <w:overflowPunct w:val="0"/>
        <w:autoSpaceDE w:val="0"/>
        <w:autoSpaceDN w:val="0"/>
        <w:adjustRightInd w:val="0"/>
        <w:spacing w:line="536" w:lineRule="exact"/>
        <w:ind w:firstLine="360"/>
        <w:textAlignment w:val="baseline"/>
        <w:rPr>
          <w:color w:val="000000"/>
          <w:u w:val="single"/>
        </w:rPr>
      </w:pPr>
      <w:r w:rsidRPr="00C06545">
        <w:rPr>
          <w:color w:val="000000"/>
          <w:u w:val="single"/>
        </w:rPr>
        <w:t>1.</w:t>
      </w:r>
      <w:r w:rsidRPr="00470B4B">
        <w:rPr>
          <w:u w:val="single"/>
        </w:rPr>
        <w:t xml:space="preserve"> </w:t>
      </w:r>
      <w:r w:rsidRPr="00470B4B">
        <w:rPr>
          <w:color w:val="000000"/>
          <w:u w:val="single"/>
        </w:rPr>
        <w:t>Has certification as an Accredited Senior Appraiser by the American Society of Appraisers</w:t>
      </w:r>
      <w:r w:rsidR="00A5707F">
        <w:rPr>
          <w:color w:val="000000"/>
          <w:u w:val="single"/>
        </w:rPr>
        <w:t xml:space="preserve"> (ASA</w:t>
      </w:r>
      <w:r>
        <w:rPr>
          <w:color w:val="000000"/>
          <w:u w:val="single"/>
        </w:rPr>
        <w:t>)</w:t>
      </w:r>
      <w:r w:rsidRPr="00470B4B">
        <w:rPr>
          <w:color w:val="000000"/>
          <w:u w:val="single"/>
        </w:rPr>
        <w:t>, designation as a Certified Valuation Analyst by the National Association of Certi</w:t>
      </w:r>
      <w:r w:rsidR="00A5707F">
        <w:rPr>
          <w:color w:val="000000"/>
          <w:u w:val="single"/>
        </w:rPr>
        <w:t>fied Valuators and Analysts (</w:t>
      </w:r>
      <w:r>
        <w:rPr>
          <w:color w:val="000000"/>
          <w:u w:val="single"/>
        </w:rPr>
        <w:t>NACVA), designation as a Certified Business Appraiser by the Ins</w:t>
      </w:r>
      <w:r w:rsidR="00A5707F">
        <w:rPr>
          <w:color w:val="000000"/>
          <w:u w:val="single"/>
        </w:rPr>
        <w:t>titute of Business Appraisers (IBA</w:t>
      </w:r>
      <w:r>
        <w:rPr>
          <w:color w:val="000000"/>
          <w:u w:val="single"/>
        </w:rPr>
        <w:t>), or designation as Accredited in Business Valuation by the American Institute of</w:t>
      </w:r>
      <w:r w:rsidR="00A5707F">
        <w:rPr>
          <w:color w:val="000000"/>
          <w:u w:val="single"/>
        </w:rPr>
        <w:t xml:space="preserve"> Certified Public Accountants (AICPA</w:t>
      </w:r>
      <w:r>
        <w:rPr>
          <w:color w:val="000000"/>
          <w:u w:val="single"/>
        </w:rPr>
        <w:t xml:space="preserve">), </w:t>
      </w:r>
      <w:r w:rsidRPr="00470B4B">
        <w:rPr>
          <w:color w:val="000000"/>
          <w:u w:val="single"/>
        </w:rPr>
        <w:t>and</w:t>
      </w:r>
    </w:p>
    <w:p w14:paraId="569A0506" w14:textId="77777777" w:rsidR="00020EA5" w:rsidRDefault="00020EA5" w:rsidP="004C222E">
      <w:pPr>
        <w:widowControl w:val="0"/>
        <w:overflowPunct w:val="0"/>
        <w:autoSpaceDE w:val="0"/>
        <w:autoSpaceDN w:val="0"/>
        <w:adjustRightInd w:val="0"/>
        <w:spacing w:line="536" w:lineRule="exact"/>
        <w:ind w:firstLine="360"/>
        <w:textAlignment w:val="baseline"/>
        <w:rPr>
          <w:u w:val="single"/>
        </w:rPr>
      </w:pPr>
      <w:r w:rsidRPr="00C06545">
        <w:rPr>
          <w:u w:val="single"/>
        </w:rPr>
        <w:t xml:space="preserve">2. </w:t>
      </w:r>
      <w:r>
        <w:rPr>
          <w:u w:val="single"/>
        </w:rPr>
        <w:t>Is</w:t>
      </w:r>
      <w:r w:rsidRPr="00C06545">
        <w:rPr>
          <w:u w:val="single"/>
        </w:rPr>
        <w:t xml:space="preserve"> in good standing </w:t>
      </w:r>
      <w:r>
        <w:rPr>
          <w:u w:val="single"/>
        </w:rPr>
        <w:t>with the ASA, NACVA, IBA, or AICPA.</w:t>
      </w:r>
    </w:p>
    <w:p w14:paraId="6DBFA240"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u w:val="single"/>
        </w:rPr>
      </w:pPr>
      <w:r>
        <w:rPr>
          <w:color w:val="000000"/>
          <w:u w:val="single"/>
        </w:rPr>
        <w:t>(b</w:t>
      </w:r>
      <w:r w:rsidRPr="00C06545">
        <w:rPr>
          <w:color w:val="000000"/>
          <w:u w:val="single"/>
        </w:rPr>
        <w:t>)</w:t>
      </w:r>
      <w:r>
        <w:rPr>
          <w:u w:val="single"/>
        </w:rPr>
        <w:t xml:space="preserve"> “Price Index” means </w:t>
      </w:r>
      <w:r w:rsidRPr="004D6A19">
        <w:rPr>
          <w:u w:val="single"/>
        </w:rPr>
        <w:t xml:space="preserve">the </w:t>
      </w:r>
      <w:r>
        <w:rPr>
          <w:u w:val="single"/>
        </w:rPr>
        <w:t>most recent a</w:t>
      </w:r>
      <w:r w:rsidRPr="004D6A19">
        <w:rPr>
          <w:u w:val="single"/>
        </w:rPr>
        <w:t xml:space="preserve">nnual price increase or decrease index of major categories of operating costs incurred by water and wastewater utilities </w:t>
      </w:r>
      <w:r>
        <w:rPr>
          <w:u w:val="single"/>
        </w:rPr>
        <w:t xml:space="preserve">established by the Commission by order entered </w:t>
      </w:r>
      <w:r w:rsidRPr="004D6A19">
        <w:rPr>
          <w:u w:val="single"/>
        </w:rPr>
        <w:t>pursuant</w:t>
      </w:r>
      <w:r>
        <w:rPr>
          <w:u w:val="single"/>
        </w:rPr>
        <w:t xml:space="preserve"> to Section 367.081(4)(a), F.S.</w:t>
      </w:r>
    </w:p>
    <w:p w14:paraId="6BC060BE"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(2)</w:t>
      </w:r>
      <w:r w:rsidRPr="007B1C10">
        <w:rPr>
          <w:color w:val="000000"/>
          <w:u w:val="single"/>
        </w:rPr>
        <w:t xml:space="preserve"> </w:t>
      </w:r>
      <w:r>
        <w:rPr>
          <w:color w:val="000000"/>
          <w:u w:val="single"/>
        </w:rPr>
        <w:t>Appraisals.</w:t>
      </w:r>
    </w:p>
    <w:p w14:paraId="4E4C3DA7"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u w:val="single"/>
        </w:rPr>
      </w:pPr>
      <w:r w:rsidRPr="00C06545">
        <w:rPr>
          <w:u w:val="single"/>
        </w:rPr>
        <w:t xml:space="preserve">(a) </w:t>
      </w:r>
      <w:r>
        <w:rPr>
          <w:u w:val="single"/>
        </w:rPr>
        <w:t>Each appraisal must assess the value of the utility system being acquired according to its intended use.</w:t>
      </w:r>
    </w:p>
    <w:p w14:paraId="5DE60768"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u w:val="single"/>
        </w:rPr>
      </w:pPr>
      <w:r>
        <w:rPr>
          <w:u w:val="single"/>
        </w:rPr>
        <w:t>(b) The acquiring utility will choose one licensed appraiser, the utility being acquired will choose one licensed appraiser, and the Executive Director of the Florida Public Service Commission or their designee will randomly choose the third licensed appraiser. The process the Commission will use to randomly select the third licensed appraiser is as follows:</w:t>
      </w:r>
    </w:p>
    <w:p w14:paraId="5CB71585"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u w:val="single"/>
        </w:rPr>
      </w:pPr>
      <w:r>
        <w:rPr>
          <w:u w:val="single"/>
        </w:rPr>
        <w:t>1. The licensed a</w:t>
      </w:r>
      <w:r w:rsidRPr="00736B11">
        <w:rPr>
          <w:u w:val="single"/>
        </w:rPr>
        <w:t>ppraise</w:t>
      </w:r>
      <w:r>
        <w:rPr>
          <w:u w:val="single"/>
        </w:rPr>
        <w:t>r</w:t>
      </w:r>
      <w:r w:rsidRPr="00736B11">
        <w:rPr>
          <w:u w:val="single"/>
        </w:rPr>
        <w:t xml:space="preserve"> will be selected </w:t>
      </w:r>
      <w:r>
        <w:rPr>
          <w:u w:val="single"/>
        </w:rPr>
        <w:t xml:space="preserve">from the list of licensed appraisers referenced in paragraph (1)(d) of this rule </w:t>
      </w:r>
      <w:r w:rsidRPr="00736B11">
        <w:rPr>
          <w:u w:val="single"/>
        </w:rPr>
        <w:t xml:space="preserve">by the Executive Director or </w:t>
      </w:r>
      <w:r>
        <w:rPr>
          <w:u w:val="single"/>
        </w:rPr>
        <w:t xml:space="preserve">their </w:t>
      </w:r>
      <w:r w:rsidRPr="00736B11">
        <w:rPr>
          <w:u w:val="single"/>
        </w:rPr>
        <w:t>designee using a computatio</w:t>
      </w:r>
      <w:r>
        <w:rPr>
          <w:u w:val="single"/>
        </w:rPr>
        <w:t>nally-generated random number.</w:t>
      </w:r>
    </w:p>
    <w:p w14:paraId="76C16901" w14:textId="77777777" w:rsidR="00020EA5" w:rsidRPr="00736B11"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u w:val="single"/>
        </w:rPr>
      </w:pPr>
      <w:r>
        <w:rPr>
          <w:u w:val="single"/>
        </w:rPr>
        <w:t xml:space="preserve">2. </w:t>
      </w:r>
      <w:r w:rsidRPr="00736B11">
        <w:rPr>
          <w:u w:val="single"/>
        </w:rPr>
        <w:t xml:space="preserve">If the </w:t>
      </w:r>
      <w:r>
        <w:rPr>
          <w:u w:val="single"/>
        </w:rPr>
        <w:t xml:space="preserve">licensed </w:t>
      </w:r>
      <w:r w:rsidRPr="00736B11">
        <w:rPr>
          <w:u w:val="single"/>
        </w:rPr>
        <w:t xml:space="preserve">appraiser </w:t>
      </w:r>
      <w:r>
        <w:rPr>
          <w:u w:val="single"/>
        </w:rPr>
        <w:t xml:space="preserve">randomly selected has already been selected by the acquiring </w:t>
      </w:r>
      <w:r>
        <w:rPr>
          <w:u w:val="single"/>
        </w:rPr>
        <w:lastRenderedPageBreak/>
        <w:t>utility or the utility being acquired</w:t>
      </w:r>
      <w:r w:rsidRPr="00736B11">
        <w:rPr>
          <w:u w:val="single"/>
        </w:rPr>
        <w:t>, the process will be repeated until a</w:t>
      </w:r>
      <w:r>
        <w:rPr>
          <w:u w:val="single"/>
        </w:rPr>
        <w:t xml:space="preserve"> third licensed </w:t>
      </w:r>
      <w:r w:rsidRPr="00736B11">
        <w:rPr>
          <w:u w:val="single"/>
        </w:rPr>
        <w:t>appraiser is selected.</w:t>
      </w:r>
    </w:p>
    <w:p w14:paraId="74E63575"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u w:val="single"/>
        </w:rPr>
      </w:pPr>
      <w:r>
        <w:rPr>
          <w:color w:val="000000"/>
          <w:u w:val="single"/>
        </w:rPr>
        <w:t xml:space="preserve">(c) </w:t>
      </w:r>
      <w:r w:rsidRPr="00C06545">
        <w:rPr>
          <w:color w:val="000000"/>
          <w:u w:val="single"/>
        </w:rPr>
        <w:t xml:space="preserve">The licensed engineer who performs the engineering assessment </w:t>
      </w:r>
      <w:r w:rsidRPr="007028EE">
        <w:rPr>
          <w:color w:val="000000"/>
          <w:u w:val="single"/>
        </w:rPr>
        <w:t>required by Section 367.0811(4)(b), F.S.</w:t>
      </w:r>
      <w:r>
        <w:rPr>
          <w:color w:val="000000"/>
          <w:u w:val="single"/>
        </w:rPr>
        <w:t xml:space="preserve">, </w:t>
      </w:r>
      <w:r w:rsidRPr="00C06545">
        <w:rPr>
          <w:color w:val="000000"/>
          <w:u w:val="single"/>
        </w:rPr>
        <w:t>may not also serve as a licensed appraiser on the same</w:t>
      </w:r>
      <w:r>
        <w:rPr>
          <w:color w:val="000000"/>
          <w:u w:val="single"/>
        </w:rPr>
        <w:t xml:space="preserve"> acquisition transaction</w:t>
      </w:r>
      <w:r w:rsidRPr="00C06545">
        <w:rPr>
          <w:color w:val="000000"/>
          <w:u w:val="single"/>
        </w:rPr>
        <w:t>.</w:t>
      </w:r>
    </w:p>
    <w:p w14:paraId="3E9DD180"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u w:val="single"/>
        </w:rPr>
      </w:pPr>
      <w:r>
        <w:rPr>
          <w:u w:val="single"/>
        </w:rPr>
        <w:t xml:space="preserve">(d) </w:t>
      </w:r>
      <w:r w:rsidRPr="00C06545">
        <w:rPr>
          <w:u w:val="single"/>
        </w:rPr>
        <w:t xml:space="preserve">The list of </w:t>
      </w:r>
      <w:r>
        <w:rPr>
          <w:u w:val="single"/>
        </w:rPr>
        <w:t>licensed appraisers required by Section 367.0811(4)(a), F.S., can</w:t>
      </w:r>
      <w:r w:rsidRPr="00C06545">
        <w:rPr>
          <w:u w:val="single"/>
        </w:rPr>
        <w:t xml:space="preserve"> be found at </w:t>
      </w:r>
      <w:hyperlink r:id="rId13" w:history="1">
        <w:r w:rsidRPr="00C06545">
          <w:rPr>
            <w:rStyle w:val="Hyperlink"/>
          </w:rPr>
          <w:t>www.floridapsc.com/appraiserlist</w:t>
        </w:r>
      </w:hyperlink>
      <w:r w:rsidRPr="00C06545">
        <w:rPr>
          <w:u w:val="single"/>
        </w:rPr>
        <w:t xml:space="preserve"> or </w:t>
      </w:r>
      <w:r>
        <w:rPr>
          <w:u w:val="single"/>
        </w:rPr>
        <w:t xml:space="preserve">obtained </w:t>
      </w:r>
      <w:r w:rsidRPr="00C06545">
        <w:rPr>
          <w:u w:val="single"/>
        </w:rPr>
        <w:t>from the</w:t>
      </w:r>
      <w:r>
        <w:rPr>
          <w:u w:val="single"/>
        </w:rPr>
        <w:t xml:space="preserve"> Office of the Commission Clerk,</w:t>
      </w:r>
      <w:r w:rsidRPr="00C06545">
        <w:rPr>
          <w:u w:val="single"/>
        </w:rPr>
        <w:t xml:space="preserve"> Florida Public Service Commission, 2540 Shumard Oak Boulevard, Tallahassee, Florida 32399-0850.</w:t>
      </w:r>
    </w:p>
    <w:p w14:paraId="477AE90D" w14:textId="458576E9"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u w:val="single"/>
        </w:rPr>
      </w:pPr>
      <w:r>
        <w:rPr>
          <w:u w:val="single"/>
        </w:rPr>
        <w:t>(e</w:t>
      </w:r>
      <w:r w:rsidRPr="00C06545">
        <w:rPr>
          <w:u w:val="single"/>
        </w:rPr>
        <w:t xml:space="preserve">) </w:t>
      </w:r>
      <w:r>
        <w:rPr>
          <w:u w:val="single"/>
        </w:rPr>
        <w:t>A licensed a</w:t>
      </w:r>
      <w:r w:rsidRPr="00C06545">
        <w:rPr>
          <w:u w:val="single"/>
        </w:rPr>
        <w:t xml:space="preserve">ppraiser </w:t>
      </w:r>
      <w:r>
        <w:rPr>
          <w:u w:val="single"/>
        </w:rPr>
        <w:t>will</w:t>
      </w:r>
      <w:r w:rsidRPr="00C06545">
        <w:rPr>
          <w:u w:val="single"/>
        </w:rPr>
        <w:t xml:space="preserve"> be included on the Commission’s list of approved </w:t>
      </w:r>
      <w:r>
        <w:rPr>
          <w:u w:val="single"/>
        </w:rPr>
        <w:t xml:space="preserve">licensed </w:t>
      </w:r>
      <w:r w:rsidRPr="00C06545">
        <w:rPr>
          <w:u w:val="single"/>
        </w:rPr>
        <w:t>appraisers by submitting all of the following to</w:t>
      </w:r>
      <w:r w:rsidR="004763DA">
        <w:rPr>
          <w:u w:val="single"/>
        </w:rPr>
        <w:t xml:space="preserve"> </w:t>
      </w:r>
      <w:hyperlink r:id="rId14" w:history="1">
        <w:r w:rsidR="004763DA" w:rsidRPr="00924365">
          <w:rPr>
            <w:rStyle w:val="Hyperlink"/>
          </w:rPr>
          <w:t>appraiserlist@psc.state.fl.us</w:t>
        </w:r>
      </w:hyperlink>
      <w:r w:rsidR="004763DA">
        <w:rPr>
          <w:u w:val="single"/>
        </w:rPr>
        <w:t xml:space="preserve"> </w:t>
      </w:r>
      <w:r w:rsidRPr="00C06545">
        <w:rPr>
          <w:u w:val="single"/>
        </w:rPr>
        <w:t xml:space="preserve">or the </w:t>
      </w:r>
      <w:r>
        <w:rPr>
          <w:u w:val="single"/>
        </w:rPr>
        <w:t xml:space="preserve">Office of the Commission Clerk, </w:t>
      </w:r>
      <w:r w:rsidRPr="00C06545">
        <w:rPr>
          <w:u w:val="single"/>
        </w:rPr>
        <w:t>Florida Public Service C</w:t>
      </w:r>
      <w:r>
        <w:rPr>
          <w:u w:val="single"/>
        </w:rPr>
        <w:t>ommission, 2540 Shumard Oak Boulevard</w:t>
      </w:r>
      <w:r w:rsidRPr="00C06545">
        <w:rPr>
          <w:u w:val="single"/>
        </w:rPr>
        <w:t>, Tallahassee, FL 32399-0850</w:t>
      </w:r>
      <w:r>
        <w:rPr>
          <w:u w:val="single"/>
        </w:rPr>
        <w:t>:</w:t>
      </w:r>
    </w:p>
    <w:p w14:paraId="514B717C" w14:textId="77777777" w:rsidR="00020EA5" w:rsidRPr="00C0654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u w:val="single"/>
        </w:rPr>
      </w:pPr>
      <w:r w:rsidRPr="00C06545">
        <w:rPr>
          <w:u w:val="single"/>
        </w:rPr>
        <w:t xml:space="preserve">1. The </w:t>
      </w:r>
      <w:r>
        <w:rPr>
          <w:u w:val="single"/>
        </w:rPr>
        <w:t xml:space="preserve">licensed </w:t>
      </w:r>
      <w:r w:rsidRPr="00C06545">
        <w:rPr>
          <w:u w:val="single"/>
        </w:rPr>
        <w:t>appraiser’s name, mailing address, telephone number, and email address;</w:t>
      </w:r>
    </w:p>
    <w:p w14:paraId="564D931D" w14:textId="77777777" w:rsidR="00020EA5" w:rsidRPr="00C0654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u w:val="single"/>
        </w:rPr>
      </w:pPr>
      <w:r w:rsidRPr="00C06545">
        <w:rPr>
          <w:u w:val="single"/>
        </w:rPr>
        <w:t xml:space="preserve">2. The name of any company with which the </w:t>
      </w:r>
      <w:r>
        <w:rPr>
          <w:u w:val="single"/>
        </w:rPr>
        <w:t xml:space="preserve">licensed </w:t>
      </w:r>
      <w:r w:rsidRPr="00C06545">
        <w:rPr>
          <w:u w:val="single"/>
        </w:rPr>
        <w:t xml:space="preserve">appraiser </w:t>
      </w:r>
      <w:r>
        <w:rPr>
          <w:u w:val="single"/>
        </w:rPr>
        <w:t xml:space="preserve">is </w:t>
      </w:r>
      <w:r w:rsidRPr="00C06545">
        <w:rPr>
          <w:u w:val="single"/>
        </w:rPr>
        <w:t xml:space="preserve">employed or associated; </w:t>
      </w:r>
      <w:r>
        <w:rPr>
          <w:u w:val="single"/>
        </w:rPr>
        <w:t>and</w:t>
      </w:r>
    </w:p>
    <w:p w14:paraId="79119D0B" w14:textId="77777777" w:rsidR="00020EA5" w:rsidRPr="00A3018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u w:val="single"/>
        </w:rPr>
      </w:pPr>
      <w:r w:rsidRPr="00C06545">
        <w:rPr>
          <w:u w:val="single"/>
        </w:rPr>
        <w:t>3. Proof of the in</w:t>
      </w:r>
      <w:r>
        <w:rPr>
          <w:u w:val="single"/>
        </w:rPr>
        <w:t>formation required by paragraph (1)(a) above.</w:t>
      </w:r>
    </w:p>
    <w:p w14:paraId="33C2A336" w14:textId="77777777" w:rsidR="00020EA5" w:rsidRPr="00C06545" w:rsidRDefault="00020EA5" w:rsidP="004C222E">
      <w:pPr>
        <w:pStyle w:val="ListParagraph"/>
        <w:widowControl w:val="0"/>
        <w:tabs>
          <w:tab w:val="left" w:pos="450"/>
        </w:tabs>
        <w:overflowPunct w:val="0"/>
        <w:autoSpaceDE w:val="0"/>
        <w:autoSpaceDN w:val="0"/>
        <w:adjustRightInd w:val="0"/>
        <w:spacing w:line="536" w:lineRule="exact"/>
        <w:ind w:left="0" w:firstLine="360"/>
        <w:contextualSpacing w:val="0"/>
        <w:textAlignment w:val="baseline"/>
        <w:rPr>
          <w:u w:val="single"/>
        </w:rPr>
      </w:pPr>
      <w:r>
        <w:rPr>
          <w:u w:val="single"/>
        </w:rPr>
        <w:t>(f</w:t>
      </w:r>
      <w:r w:rsidRPr="00C06545">
        <w:rPr>
          <w:u w:val="single"/>
        </w:rPr>
        <w:t xml:space="preserve">) It is the responsibility of the </w:t>
      </w:r>
      <w:r>
        <w:rPr>
          <w:u w:val="single"/>
        </w:rPr>
        <w:t xml:space="preserve">licensed </w:t>
      </w:r>
      <w:r w:rsidRPr="00C06545">
        <w:rPr>
          <w:u w:val="single"/>
        </w:rPr>
        <w:t>appraiser to ensure that correct and updated information rema</w:t>
      </w:r>
      <w:r>
        <w:rPr>
          <w:u w:val="single"/>
        </w:rPr>
        <w:t xml:space="preserve">ins on file with the Commission. The licensed appraiser must submit updated information to </w:t>
      </w:r>
      <w:hyperlink r:id="rId15" w:history="1">
        <w:r w:rsidRPr="00C06545">
          <w:rPr>
            <w:rStyle w:val="Hyperlink"/>
          </w:rPr>
          <w:t>appraiserlist@psc.state.fl.us</w:t>
        </w:r>
      </w:hyperlink>
      <w:r>
        <w:rPr>
          <w:u w:val="single"/>
        </w:rPr>
        <w:t xml:space="preserve"> within </w:t>
      </w:r>
      <w:r w:rsidRPr="003E14BC">
        <w:rPr>
          <w:u w:val="single"/>
        </w:rPr>
        <w:t>30</w:t>
      </w:r>
      <w:r>
        <w:rPr>
          <w:u w:val="single"/>
        </w:rPr>
        <w:t xml:space="preserve"> days of any change of information. If the Commission determines that a person no longer meets the requirements to be a licensed appraiser on the Commission’s list, that person will be removed from the list. Upon request and upon providing proof that the requirements listed in paragraph (1)(a) above are met, a person will be added back to the list.</w:t>
      </w:r>
    </w:p>
    <w:p w14:paraId="4CFC1DF7" w14:textId="77777777" w:rsidR="00020EA5" w:rsidRPr="00C0654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u w:val="single"/>
        </w:rPr>
      </w:pPr>
      <w:r>
        <w:rPr>
          <w:u w:val="single"/>
        </w:rPr>
        <w:t>(g</w:t>
      </w:r>
      <w:r w:rsidRPr="00C06545">
        <w:rPr>
          <w:u w:val="single"/>
        </w:rPr>
        <w:t xml:space="preserve">) </w:t>
      </w:r>
      <w:r>
        <w:rPr>
          <w:u w:val="single"/>
        </w:rPr>
        <w:t>T</w:t>
      </w:r>
      <w:r w:rsidRPr="00C06545">
        <w:rPr>
          <w:u w:val="single"/>
        </w:rPr>
        <w:t xml:space="preserve">he </w:t>
      </w:r>
      <w:r>
        <w:rPr>
          <w:u w:val="single"/>
        </w:rPr>
        <w:t xml:space="preserve">licensed </w:t>
      </w:r>
      <w:r w:rsidRPr="00C06545">
        <w:rPr>
          <w:u w:val="single"/>
        </w:rPr>
        <w:t>appraiser</w:t>
      </w:r>
      <w:r>
        <w:rPr>
          <w:u w:val="single"/>
        </w:rPr>
        <w:t xml:space="preserve"> can be removed from the list</w:t>
      </w:r>
      <w:r w:rsidRPr="00C06545">
        <w:rPr>
          <w:u w:val="single"/>
        </w:rPr>
        <w:t xml:space="preserve"> </w:t>
      </w:r>
      <w:r>
        <w:rPr>
          <w:u w:val="single"/>
        </w:rPr>
        <w:t xml:space="preserve">by </w:t>
      </w:r>
      <w:r w:rsidRPr="00C06545">
        <w:rPr>
          <w:u w:val="single"/>
        </w:rPr>
        <w:t>submit</w:t>
      </w:r>
      <w:r>
        <w:rPr>
          <w:u w:val="single"/>
        </w:rPr>
        <w:t>ting</w:t>
      </w:r>
      <w:r w:rsidRPr="00C06545">
        <w:rPr>
          <w:u w:val="single"/>
        </w:rPr>
        <w:t xml:space="preserve"> a request</w:t>
      </w:r>
      <w:r>
        <w:rPr>
          <w:u w:val="single"/>
        </w:rPr>
        <w:t xml:space="preserve"> for </w:t>
      </w:r>
      <w:r>
        <w:rPr>
          <w:u w:val="single"/>
        </w:rPr>
        <w:lastRenderedPageBreak/>
        <w:t>removal in writing</w:t>
      </w:r>
      <w:r w:rsidRPr="00C06545">
        <w:rPr>
          <w:u w:val="single"/>
        </w:rPr>
        <w:t xml:space="preserve"> to </w:t>
      </w:r>
      <w:hyperlink r:id="rId16" w:history="1">
        <w:r w:rsidRPr="00C06545">
          <w:rPr>
            <w:rStyle w:val="Hyperlink"/>
          </w:rPr>
          <w:t>appraiserlist@psc.state.fl.us</w:t>
        </w:r>
      </w:hyperlink>
      <w:r w:rsidRPr="00C06545">
        <w:rPr>
          <w:u w:val="single"/>
        </w:rPr>
        <w:t>.</w:t>
      </w:r>
    </w:p>
    <w:p w14:paraId="7F167447" w14:textId="77777777" w:rsidR="00020EA5" w:rsidRDefault="00020EA5" w:rsidP="004C222E">
      <w:pPr>
        <w:widowControl w:val="0"/>
        <w:tabs>
          <w:tab w:val="left" w:pos="450"/>
        </w:tabs>
        <w:overflowPunct w:val="0"/>
        <w:autoSpaceDE w:val="0"/>
        <w:autoSpaceDN w:val="0"/>
        <w:adjustRightInd w:val="0"/>
        <w:spacing w:line="536" w:lineRule="exact"/>
        <w:ind w:firstLine="360"/>
        <w:textAlignment w:val="baseline"/>
        <w:rPr>
          <w:color w:val="000000"/>
          <w:u w:val="single"/>
        </w:rPr>
      </w:pPr>
      <w:r>
        <w:rPr>
          <w:color w:val="000000"/>
          <w:u w:val="single"/>
        </w:rPr>
        <w:t>(3</w:t>
      </w:r>
      <w:r w:rsidRPr="00C06545">
        <w:rPr>
          <w:color w:val="000000"/>
          <w:u w:val="single"/>
        </w:rPr>
        <w:t xml:space="preserve">) </w:t>
      </w:r>
      <w:r>
        <w:rPr>
          <w:color w:val="000000"/>
          <w:u w:val="single"/>
        </w:rPr>
        <w:t>Petition.</w:t>
      </w:r>
      <w:r w:rsidRPr="00C9785F">
        <w:rPr>
          <w:color w:val="000000"/>
          <w:u w:val="single"/>
        </w:rPr>
        <w:t xml:space="preserve"> </w:t>
      </w:r>
      <w:r>
        <w:rPr>
          <w:color w:val="000000"/>
          <w:u w:val="single"/>
        </w:rPr>
        <w:t>Section 367.0811(5), F.S., sets forth the filing requirements</w:t>
      </w:r>
      <w:r w:rsidRPr="00C06545">
        <w:rPr>
          <w:color w:val="000000"/>
          <w:u w:val="single"/>
        </w:rPr>
        <w:t xml:space="preserve"> </w:t>
      </w:r>
      <w:r>
        <w:rPr>
          <w:color w:val="000000"/>
          <w:u w:val="single"/>
        </w:rPr>
        <w:t>a petition to establish the rat</w:t>
      </w:r>
      <w:r w:rsidRPr="00C06545">
        <w:rPr>
          <w:color w:val="000000"/>
          <w:u w:val="single"/>
        </w:rPr>
        <w:t>e base value</w:t>
      </w:r>
      <w:r>
        <w:rPr>
          <w:color w:val="000000"/>
          <w:u w:val="single"/>
        </w:rPr>
        <w:t xml:space="preserve"> must contain.</w:t>
      </w:r>
    </w:p>
    <w:p w14:paraId="1B77C90C" w14:textId="6BF4492C" w:rsidR="00020EA5" w:rsidRDefault="00020EA5" w:rsidP="004C222E">
      <w:pPr>
        <w:widowControl w:val="0"/>
        <w:overflowPunct w:val="0"/>
        <w:autoSpaceDE w:val="0"/>
        <w:autoSpaceDN w:val="0"/>
        <w:adjustRightInd w:val="0"/>
        <w:spacing w:line="536" w:lineRule="exact"/>
        <w:ind w:firstLine="360"/>
        <w:textAlignment w:val="baseline"/>
        <w:rPr>
          <w:color w:val="000000"/>
          <w:u w:val="single"/>
        </w:rPr>
      </w:pPr>
      <w:r>
        <w:rPr>
          <w:color w:val="000000"/>
          <w:u w:val="single"/>
        </w:rPr>
        <w:t xml:space="preserve">(a) The petition may be filed concurrent with the application to transfer the certificate(s) of authorization, but </w:t>
      </w:r>
      <w:r w:rsidRPr="00C06545">
        <w:rPr>
          <w:color w:val="000000"/>
          <w:u w:val="single"/>
        </w:rPr>
        <w:t xml:space="preserve">must be filed </w:t>
      </w:r>
      <w:r>
        <w:rPr>
          <w:color w:val="000000"/>
          <w:u w:val="single"/>
        </w:rPr>
        <w:t>no later than</w:t>
      </w:r>
      <w:r w:rsidRPr="00C06545">
        <w:rPr>
          <w:color w:val="000000"/>
          <w:u w:val="single"/>
        </w:rPr>
        <w:t xml:space="preserve"> </w:t>
      </w:r>
      <w:r>
        <w:rPr>
          <w:color w:val="000000"/>
          <w:u w:val="single"/>
        </w:rPr>
        <w:t>6</w:t>
      </w:r>
      <w:r w:rsidRPr="00F26D05">
        <w:rPr>
          <w:color w:val="000000"/>
          <w:u w:val="single"/>
        </w:rPr>
        <w:t xml:space="preserve"> months</w:t>
      </w:r>
      <w:r w:rsidRPr="00C06545">
        <w:rPr>
          <w:color w:val="000000"/>
          <w:u w:val="single"/>
        </w:rPr>
        <w:t xml:space="preserve"> </w:t>
      </w:r>
      <w:r w:rsidR="00567615">
        <w:rPr>
          <w:color w:val="000000"/>
          <w:u w:val="single"/>
        </w:rPr>
        <w:t xml:space="preserve">after </w:t>
      </w:r>
      <w:r w:rsidRPr="00C06545">
        <w:rPr>
          <w:color w:val="000000"/>
          <w:u w:val="single"/>
        </w:rPr>
        <w:t xml:space="preserve">the </w:t>
      </w:r>
      <w:r>
        <w:rPr>
          <w:color w:val="000000"/>
          <w:u w:val="single"/>
        </w:rPr>
        <w:t xml:space="preserve">issuance of the final order approving the </w:t>
      </w:r>
      <w:r w:rsidRPr="00C06545">
        <w:rPr>
          <w:color w:val="000000"/>
          <w:u w:val="single"/>
        </w:rPr>
        <w:t>transfer of t</w:t>
      </w:r>
      <w:r>
        <w:rPr>
          <w:color w:val="000000"/>
          <w:u w:val="single"/>
        </w:rPr>
        <w:t>he certificate(s) of authorization or the closing date of the sale. Commission staff wi</w:t>
      </w:r>
      <w:r w:rsidRPr="00B63F89">
        <w:rPr>
          <w:color w:val="000000"/>
          <w:u w:val="single"/>
        </w:rPr>
        <w:t xml:space="preserve">ll review the petition and within </w:t>
      </w:r>
      <w:r>
        <w:rPr>
          <w:color w:val="000000"/>
          <w:u w:val="single"/>
        </w:rPr>
        <w:t xml:space="preserve">30 </w:t>
      </w:r>
      <w:r w:rsidRPr="00B63F89">
        <w:rPr>
          <w:color w:val="000000"/>
          <w:u w:val="single"/>
        </w:rPr>
        <w:t xml:space="preserve">days </w:t>
      </w:r>
      <w:r>
        <w:rPr>
          <w:color w:val="000000"/>
          <w:u w:val="single"/>
        </w:rPr>
        <w:t xml:space="preserve">of receipt of the petition will </w:t>
      </w:r>
      <w:r w:rsidRPr="00B63F89">
        <w:rPr>
          <w:color w:val="000000"/>
          <w:u w:val="single"/>
        </w:rPr>
        <w:t xml:space="preserve">notify the </w:t>
      </w:r>
      <w:r>
        <w:rPr>
          <w:color w:val="000000"/>
          <w:u w:val="single"/>
        </w:rPr>
        <w:t>acquiring utility whether</w:t>
      </w:r>
      <w:r w:rsidRPr="00B63F89">
        <w:rPr>
          <w:color w:val="000000"/>
          <w:u w:val="single"/>
        </w:rPr>
        <w:t xml:space="preserve"> the </w:t>
      </w:r>
      <w:r>
        <w:rPr>
          <w:color w:val="000000"/>
          <w:u w:val="single"/>
        </w:rPr>
        <w:t xml:space="preserve">petition is complete </w:t>
      </w:r>
      <w:r w:rsidRPr="00B63F89">
        <w:rPr>
          <w:color w:val="000000"/>
          <w:u w:val="single"/>
        </w:rPr>
        <w:t xml:space="preserve">or </w:t>
      </w:r>
      <w:r>
        <w:rPr>
          <w:color w:val="000000"/>
          <w:u w:val="single"/>
        </w:rPr>
        <w:t>identify the information</w:t>
      </w:r>
      <w:r w:rsidRPr="008A3C6B">
        <w:rPr>
          <w:color w:val="000000"/>
          <w:u w:val="single"/>
        </w:rPr>
        <w:t xml:space="preserve"> </w:t>
      </w:r>
      <w:r>
        <w:rPr>
          <w:color w:val="000000"/>
          <w:u w:val="single"/>
        </w:rPr>
        <w:t xml:space="preserve">required by Section 367.0811(5), F.S., which is missing from the petition. If an amended petition is filed, Commission staff will review </w:t>
      </w:r>
      <w:r w:rsidRPr="00B63F89">
        <w:rPr>
          <w:color w:val="000000"/>
          <w:u w:val="single"/>
        </w:rPr>
        <w:t xml:space="preserve">the </w:t>
      </w:r>
      <w:r>
        <w:rPr>
          <w:color w:val="000000"/>
          <w:u w:val="single"/>
        </w:rPr>
        <w:t xml:space="preserve">amended </w:t>
      </w:r>
      <w:r w:rsidRPr="00B63F89">
        <w:rPr>
          <w:color w:val="000000"/>
          <w:u w:val="single"/>
        </w:rPr>
        <w:t xml:space="preserve">petition and within </w:t>
      </w:r>
      <w:r>
        <w:rPr>
          <w:color w:val="000000"/>
          <w:u w:val="single"/>
        </w:rPr>
        <w:t xml:space="preserve">30 </w:t>
      </w:r>
      <w:r w:rsidRPr="00B63F89">
        <w:rPr>
          <w:color w:val="000000"/>
          <w:u w:val="single"/>
        </w:rPr>
        <w:t xml:space="preserve">days </w:t>
      </w:r>
      <w:r>
        <w:rPr>
          <w:color w:val="000000"/>
          <w:u w:val="single"/>
        </w:rPr>
        <w:t xml:space="preserve">of receipt of the amended petition will </w:t>
      </w:r>
      <w:r w:rsidRPr="00B63F89">
        <w:rPr>
          <w:color w:val="000000"/>
          <w:u w:val="single"/>
        </w:rPr>
        <w:t xml:space="preserve">notify the </w:t>
      </w:r>
      <w:r>
        <w:rPr>
          <w:color w:val="000000"/>
          <w:u w:val="single"/>
        </w:rPr>
        <w:t>acquiring utility whether</w:t>
      </w:r>
      <w:r w:rsidRPr="00B63F89">
        <w:rPr>
          <w:color w:val="000000"/>
          <w:u w:val="single"/>
        </w:rPr>
        <w:t xml:space="preserve"> the </w:t>
      </w:r>
      <w:r>
        <w:rPr>
          <w:color w:val="000000"/>
          <w:u w:val="single"/>
        </w:rPr>
        <w:t xml:space="preserve">amended petition is complete </w:t>
      </w:r>
      <w:r w:rsidRPr="00B63F89">
        <w:rPr>
          <w:color w:val="000000"/>
          <w:u w:val="single"/>
        </w:rPr>
        <w:t xml:space="preserve">or </w:t>
      </w:r>
      <w:r>
        <w:rPr>
          <w:color w:val="000000"/>
          <w:u w:val="single"/>
        </w:rPr>
        <w:t>identify the information</w:t>
      </w:r>
      <w:r w:rsidRPr="008A3C6B">
        <w:rPr>
          <w:color w:val="000000"/>
          <w:u w:val="single"/>
        </w:rPr>
        <w:t xml:space="preserve"> </w:t>
      </w:r>
      <w:r>
        <w:rPr>
          <w:color w:val="000000"/>
          <w:u w:val="single"/>
        </w:rPr>
        <w:t>required by Section 367.0811(5), F.S., which is missing from the amended petition. This process will continue until Commission staff determines the petition satisfies the requirements of Section 367.0811(5), F.S</w:t>
      </w:r>
      <w:r w:rsidRPr="00B63F89">
        <w:rPr>
          <w:color w:val="000000"/>
          <w:u w:val="single"/>
        </w:rPr>
        <w:t>.</w:t>
      </w:r>
      <w:r>
        <w:rPr>
          <w:color w:val="000000"/>
          <w:u w:val="single"/>
        </w:rPr>
        <w:t xml:space="preserve"> The date a petition is complete under Section 367.0811(6), F.S</w:t>
      </w:r>
      <w:r w:rsidRPr="00B63F89">
        <w:rPr>
          <w:color w:val="000000"/>
          <w:u w:val="single"/>
        </w:rPr>
        <w:t>.</w:t>
      </w:r>
      <w:r>
        <w:rPr>
          <w:color w:val="000000"/>
          <w:u w:val="single"/>
        </w:rPr>
        <w:t>, is the date that all documents required by Section 367.0811(6), F.S</w:t>
      </w:r>
      <w:r w:rsidRPr="00B63F89">
        <w:rPr>
          <w:color w:val="000000"/>
          <w:u w:val="single"/>
        </w:rPr>
        <w:t>.</w:t>
      </w:r>
      <w:r>
        <w:rPr>
          <w:color w:val="000000"/>
          <w:u w:val="single"/>
        </w:rPr>
        <w:t xml:space="preserve"> have been filed.</w:t>
      </w:r>
    </w:p>
    <w:p w14:paraId="5D689192" w14:textId="77777777" w:rsidR="00020EA5" w:rsidRDefault="00020EA5" w:rsidP="004C222E">
      <w:pPr>
        <w:widowControl w:val="0"/>
        <w:overflowPunct w:val="0"/>
        <w:autoSpaceDE w:val="0"/>
        <w:autoSpaceDN w:val="0"/>
        <w:adjustRightInd w:val="0"/>
        <w:spacing w:line="536" w:lineRule="exact"/>
        <w:ind w:firstLine="360"/>
        <w:textAlignment w:val="baseline"/>
        <w:rPr>
          <w:color w:val="000000"/>
          <w:u w:val="single"/>
        </w:rPr>
      </w:pPr>
      <w:r>
        <w:rPr>
          <w:color w:val="000000"/>
          <w:u w:val="single"/>
        </w:rPr>
        <w:t>(b) If the assessment of tangible assets required by Section 367.0811(4)(b), F.S., identifies deficiencies, the 3-year plan required by Section 367.0811(5)(d), F.S., must include the following regarding the system being acquired:</w:t>
      </w:r>
    </w:p>
    <w:p w14:paraId="0FA5816F" w14:textId="77777777" w:rsidR="00020EA5" w:rsidRDefault="00020EA5" w:rsidP="004C222E">
      <w:pPr>
        <w:widowControl w:val="0"/>
        <w:overflowPunct w:val="0"/>
        <w:autoSpaceDE w:val="0"/>
        <w:autoSpaceDN w:val="0"/>
        <w:adjustRightInd w:val="0"/>
        <w:spacing w:line="536" w:lineRule="exact"/>
        <w:ind w:firstLine="360"/>
        <w:textAlignment w:val="baseline"/>
        <w:rPr>
          <w:color w:val="000000"/>
          <w:u w:val="single"/>
        </w:rPr>
      </w:pPr>
      <w:r>
        <w:rPr>
          <w:color w:val="000000"/>
          <w:u w:val="single"/>
        </w:rPr>
        <w:t xml:space="preserve">1. </w:t>
      </w:r>
      <w:r w:rsidRPr="00442DD8">
        <w:rPr>
          <w:color w:val="000000"/>
          <w:u w:val="single"/>
        </w:rPr>
        <w:t xml:space="preserve">A copy of the most recent DEP and/or county health department sanitary survey, compliance inspection report, primary and secondary standards drinking water report; and </w:t>
      </w:r>
    </w:p>
    <w:p w14:paraId="5B63284F" w14:textId="77777777" w:rsidR="00020EA5" w:rsidRDefault="00020EA5" w:rsidP="004C222E">
      <w:pPr>
        <w:widowControl w:val="0"/>
        <w:overflowPunct w:val="0"/>
        <w:autoSpaceDE w:val="0"/>
        <w:autoSpaceDN w:val="0"/>
        <w:adjustRightInd w:val="0"/>
        <w:spacing w:line="536" w:lineRule="exact"/>
        <w:ind w:firstLine="360"/>
        <w:textAlignment w:val="baseline"/>
        <w:rPr>
          <w:color w:val="000000"/>
          <w:u w:val="single"/>
        </w:rPr>
      </w:pPr>
      <w:r>
        <w:rPr>
          <w:color w:val="000000"/>
          <w:u w:val="single"/>
        </w:rPr>
        <w:t xml:space="preserve">2. </w:t>
      </w:r>
      <w:r w:rsidRPr="00442DD8">
        <w:rPr>
          <w:color w:val="000000"/>
          <w:u w:val="single"/>
        </w:rPr>
        <w:t>A copy of all correspondence with the DEP, county health department, and water management district, including consent orders and warning letters, and the utility’s responses to the same, for the past five years.</w:t>
      </w:r>
    </w:p>
    <w:p w14:paraId="060E4641" w14:textId="133707E1" w:rsidR="00020EA5" w:rsidRDefault="00020EA5" w:rsidP="004C222E">
      <w:pPr>
        <w:widowControl w:val="0"/>
        <w:overflowPunct w:val="0"/>
        <w:autoSpaceDE w:val="0"/>
        <w:autoSpaceDN w:val="0"/>
        <w:adjustRightInd w:val="0"/>
        <w:spacing w:line="536" w:lineRule="exact"/>
        <w:ind w:firstLine="360"/>
        <w:textAlignment w:val="baseline"/>
        <w:rPr>
          <w:color w:val="000000"/>
          <w:u w:val="single"/>
        </w:rPr>
      </w:pPr>
      <w:r>
        <w:rPr>
          <w:color w:val="000000"/>
          <w:u w:val="single"/>
        </w:rPr>
        <w:t xml:space="preserve">(c) Form PSC </w:t>
      </w:r>
      <w:r w:rsidR="006C2B88">
        <w:rPr>
          <w:color w:val="000000"/>
          <w:u w:val="single"/>
        </w:rPr>
        <w:t>1035</w:t>
      </w:r>
      <w:r>
        <w:rPr>
          <w:color w:val="000000"/>
          <w:u w:val="single"/>
        </w:rPr>
        <w:t xml:space="preserve"> (</w:t>
      </w:r>
      <w:r w:rsidR="00014265">
        <w:rPr>
          <w:color w:val="000000"/>
          <w:u w:val="single"/>
        </w:rPr>
        <w:t>0</w:t>
      </w:r>
      <w:r w:rsidR="006C2B88">
        <w:rPr>
          <w:color w:val="000000"/>
          <w:u w:val="single"/>
        </w:rPr>
        <w:t>3</w:t>
      </w:r>
      <w:r>
        <w:rPr>
          <w:color w:val="000000"/>
          <w:u w:val="single"/>
        </w:rPr>
        <w:t>/24</w:t>
      </w:r>
      <w:r w:rsidRPr="00895D5D">
        <w:rPr>
          <w:color w:val="000000"/>
          <w:u w:val="single"/>
        </w:rPr>
        <w:t>)</w:t>
      </w:r>
      <w:r>
        <w:rPr>
          <w:color w:val="000000"/>
          <w:u w:val="single"/>
        </w:rPr>
        <w:t>, en</w:t>
      </w:r>
      <w:r w:rsidRPr="00895D5D">
        <w:rPr>
          <w:color w:val="000000"/>
          <w:u w:val="single"/>
        </w:rPr>
        <w:t>titled “W</w:t>
      </w:r>
      <w:r>
        <w:rPr>
          <w:color w:val="000000"/>
          <w:u w:val="single"/>
        </w:rPr>
        <w:t xml:space="preserve">ater and/or Wastewater Cumulative Present Value </w:t>
      </w:r>
      <w:r>
        <w:rPr>
          <w:color w:val="000000"/>
          <w:u w:val="single"/>
        </w:rPr>
        <w:lastRenderedPageBreak/>
        <w:t xml:space="preserve">of the Revenue Requirement </w:t>
      </w:r>
      <w:r w:rsidRPr="00CF2124">
        <w:rPr>
          <w:color w:val="000000"/>
          <w:u w:val="single"/>
        </w:rPr>
        <w:t xml:space="preserve">for </w:t>
      </w:r>
      <w:r>
        <w:rPr>
          <w:color w:val="000000"/>
          <w:u w:val="single"/>
        </w:rPr>
        <w:t>Alternate Rate Base Worksheet</w:t>
      </w:r>
      <w:r w:rsidRPr="00895D5D">
        <w:rPr>
          <w:color w:val="000000"/>
          <w:u w:val="single"/>
        </w:rPr>
        <w:t>”</w:t>
      </w:r>
      <w:r w:rsidR="00014265">
        <w:rPr>
          <w:color w:val="000000"/>
          <w:u w:val="single"/>
        </w:rPr>
        <w:t xml:space="preserve"> (CPVRR</w:t>
      </w:r>
      <w:r>
        <w:rPr>
          <w:color w:val="000000"/>
          <w:u w:val="single"/>
        </w:rPr>
        <w:t>),</w:t>
      </w:r>
      <w:r w:rsidRPr="00895D5D">
        <w:rPr>
          <w:color w:val="000000"/>
          <w:u w:val="single"/>
        </w:rPr>
        <w:t xml:space="preserve"> </w:t>
      </w:r>
      <w:r>
        <w:rPr>
          <w:color w:val="000000"/>
          <w:u w:val="single"/>
        </w:rPr>
        <w:t xml:space="preserve">which </w:t>
      </w:r>
      <w:r w:rsidRPr="00895D5D">
        <w:rPr>
          <w:color w:val="000000"/>
          <w:u w:val="single"/>
        </w:rPr>
        <w:t xml:space="preserve">is incorporated </w:t>
      </w:r>
      <w:r>
        <w:rPr>
          <w:color w:val="000000"/>
          <w:u w:val="single"/>
        </w:rPr>
        <w:t>by reference in this rule and may be obtained from</w:t>
      </w:r>
      <w:r w:rsidRPr="00895D5D">
        <w:rPr>
          <w:color w:val="000000"/>
          <w:u w:val="single"/>
        </w:rPr>
        <w:t xml:space="preserve"> </w:t>
      </w:r>
      <w:r w:rsidRPr="001331EC">
        <w:rPr>
          <w:color w:val="0000FF"/>
          <w:u w:val="single"/>
        </w:rPr>
        <w:t>[hyperlink</w:t>
      </w:r>
      <w:r w:rsidRPr="00895D5D">
        <w:rPr>
          <w:color w:val="000000"/>
          <w:u w:val="single"/>
        </w:rPr>
        <w:t>]</w:t>
      </w:r>
      <w:r>
        <w:rPr>
          <w:color w:val="000000"/>
          <w:u w:val="single"/>
        </w:rPr>
        <w:t>,</w:t>
      </w:r>
      <w:r w:rsidRPr="00895D5D">
        <w:rPr>
          <w:color w:val="000000"/>
          <w:u w:val="single"/>
        </w:rPr>
        <w:t xml:space="preserve"> </w:t>
      </w:r>
      <w:r>
        <w:rPr>
          <w:color w:val="000000"/>
          <w:u w:val="single"/>
        </w:rPr>
        <w:t>must be included in the petition to show the 5-year projected rate impact required by Section 367.0811(5)(e), F.S</w:t>
      </w:r>
      <w:r w:rsidRPr="00895D5D">
        <w:rPr>
          <w:color w:val="000000"/>
          <w:u w:val="single"/>
        </w:rPr>
        <w:t>. The form</w:t>
      </w:r>
      <w:r>
        <w:rPr>
          <w:color w:val="000000"/>
          <w:u w:val="single"/>
        </w:rPr>
        <w:t xml:space="preserve"> can also be found at</w:t>
      </w:r>
      <w:r w:rsidRPr="00895D5D">
        <w:rPr>
          <w:color w:val="000000"/>
          <w:u w:val="single"/>
        </w:rPr>
        <w:t xml:space="preserve"> </w:t>
      </w:r>
      <w:hyperlink r:id="rId17" w:history="1">
        <w:r w:rsidRPr="008C2518">
          <w:rPr>
            <w:rStyle w:val="Hyperlink"/>
          </w:rPr>
          <w:t>www.floridapsc.com</w:t>
        </w:r>
      </w:hyperlink>
      <w:r>
        <w:rPr>
          <w:color w:val="000000"/>
          <w:u w:val="single"/>
        </w:rPr>
        <w:t>, or obtained from the Office of the Commission Clerk, Florida Public Service Commission, 2540 Shumard Oak Boulevard, Tallahassee, Florida 32399-0850</w:t>
      </w:r>
      <w:r w:rsidRPr="00895D5D">
        <w:rPr>
          <w:color w:val="000000"/>
          <w:u w:val="single"/>
        </w:rPr>
        <w:t>.</w:t>
      </w:r>
    </w:p>
    <w:p w14:paraId="6CA9E023" w14:textId="77777777" w:rsidR="00020EA5" w:rsidRDefault="00020EA5" w:rsidP="004C222E">
      <w:pPr>
        <w:widowControl w:val="0"/>
        <w:overflowPunct w:val="0"/>
        <w:autoSpaceDE w:val="0"/>
        <w:autoSpaceDN w:val="0"/>
        <w:adjustRightInd w:val="0"/>
        <w:spacing w:line="536" w:lineRule="exact"/>
        <w:ind w:firstLine="360"/>
        <w:textAlignment w:val="baseline"/>
        <w:rPr>
          <w:color w:val="000000"/>
          <w:u w:val="single"/>
        </w:rPr>
      </w:pPr>
      <w:r>
        <w:rPr>
          <w:color w:val="000000"/>
          <w:u w:val="single"/>
        </w:rPr>
        <w:t xml:space="preserve">(d) The 5-year rate impact required by Section 367.0811(5)(e), F.S., must also include the following for each year for residential and general service customers, </w:t>
      </w:r>
      <w:r w:rsidRPr="001F6748">
        <w:rPr>
          <w:color w:val="000000"/>
          <w:u w:val="single"/>
        </w:rPr>
        <w:t>and the CPVRR must support the pr</w:t>
      </w:r>
      <w:r>
        <w:rPr>
          <w:color w:val="000000"/>
          <w:u w:val="single"/>
        </w:rPr>
        <w:t>ojections for the following</w:t>
      </w:r>
      <w:r w:rsidRPr="001F6748">
        <w:rPr>
          <w:color w:val="000000"/>
          <w:u w:val="single"/>
        </w:rPr>
        <w:t>:</w:t>
      </w:r>
    </w:p>
    <w:p w14:paraId="4C088537" w14:textId="77777777" w:rsidR="00020EA5" w:rsidRDefault="00020EA5" w:rsidP="004C222E">
      <w:pPr>
        <w:widowControl w:val="0"/>
        <w:overflowPunct w:val="0"/>
        <w:autoSpaceDE w:val="0"/>
        <w:autoSpaceDN w:val="0"/>
        <w:adjustRightInd w:val="0"/>
        <w:spacing w:line="536" w:lineRule="exact"/>
        <w:ind w:firstLine="360"/>
        <w:textAlignment w:val="baseline"/>
        <w:rPr>
          <w:color w:val="000000"/>
          <w:u w:val="single"/>
        </w:rPr>
      </w:pPr>
      <w:r>
        <w:rPr>
          <w:color w:val="000000"/>
          <w:u w:val="single"/>
        </w:rPr>
        <w:t>1. Base facility charge,</w:t>
      </w:r>
    </w:p>
    <w:p w14:paraId="7DEB7B66" w14:textId="77777777" w:rsidR="00020EA5" w:rsidRDefault="00020EA5" w:rsidP="004C222E">
      <w:pPr>
        <w:widowControl w:val="0"/>
        <w:overflowPunct w:val="0"/>
        <w:autoSpaceDE w:val="0"/>
        <w:autoSpaceDN w:val="0"/>
        <w:adjustRightInd w:val="0"/>
        <w:spacing w:line="536" w:lineRule="exact"/>
        <w:ind w:firstLine="360"/>
        <w:textAlignment w:val="baseline"/>
        <w:rPr>
          <w:color w:val="000000"/>
          <w:u w:val="single"/>
        </w:rPr>
      </w:pPr>
      <w:r>
        <w:rPr>
          <w:color w:val="000000"/>
          <w:u w:val="single"/>
        </w:rPr>
        <w:t>2. Gallonage charge, and</w:t>
      </w:r>
    </w:p>
    <w:p w14:paraId="4DE9F1E3" w14:textId="77777777" w:rsidR="00020EA5" w:rsidRDefault="00020EA5" w:rsidP="004C222E">
      <w:pPr>
        <w:widowControl w:val="0"/>
        <w:overflowPunct w:val="0"/>
        <w:autoSpaceDE w:val="0"/>
        <w:autoSpaceDN w:val="0"/>
        <w:adjustRightInd w:val="0"/>
        <w:spacing w:line="536" w:lineRule="exact"/>
        <w:ind w:firstLine="360"/>
        <w:textAlignment w:val="baseline"/>
        <w:rPr>
          <w:color w:val="000000"/>
          <w:u w:val="single"/>
        </w:rPr>
      </w:pPr>
      <w:r>
        <w:rPr>
          <w:color w:val="000000"/>
          <w:u w:val="single"/>
        </w:rPr>
        <w:t xml:space="preserve">3. Billing determinants. </w:t>
      </w:r>
    </w:p>
    <w:p w14:paraId="22F178CB" w14:textId="77777777" w:rsidR="00020EA5" w:rsidRDefault="00020EA5" w:rsidP="004C222E">
      <w:pPr>
        <w:widowControl w:val="0"/>
        <w:overflowPunct w:val="0"/>
        <w:autoSpaceDE w:val="0"/>
        <w:autoSpaceDN w:val="0"/>
        <w:adjustRightInd w:val="0"/>
        <w:spacing w:line="536" w:lineRule="exact"/>
        <w:ind w:firstLine="360"/>
        <w:textAlignment w:val="baseline"/>
        <w:rPr>
          <w:color w:val="000000"/>
          <w:u w:val="single"/>
        </w:rPr>
      </w:pPr>
      <w:r>
        <w:rPr>
          <w:color w:val="000000"/>
          <w:u w:val="single"/>
        </w:rPr>
        <w:t xml:space="preserve">(e) The information filed under Section 367.0811(5)(e), F.S., must include the acquiring utility’s proposed journal entries anticipated to result from the acquisition, including tax entries and account numbers in conformance with the </w:t>
      </w:r>
      <w:r w:rsidRPr="00CE2C13">
        <w:rPr>
          <w:color w:val="000000"/>
          <w:u w:val="single"/>
        </w:rPr>
        <w:t xml:space="preserve">1996 </w:t>
      </w:r>
      <w:r>
        <w:rPr>
          <w:color w:val="000000"/>
          <w:u w:val="single"/>
        </w:rPr>
        <w:t xml:space="preserve">NARUC </w:t>
      </w:r>
      <w:r w:rsidRPr="00CE2C13">
        <w:rPr>
          <w:color w:val="000000"/>
          <w:u w:val="single"/>
        </w:rPr>
        <w:t>Uniform System of Accounts, which is incorporated by reference in Rule 25-30.115, F.A.C</w:t>
      </w:r>
      <w:r>
        <w:rPr>
          <w:color w:val="000000"/>
          <w:u w:val="single"/>
        </w:rPr>
        <w:t>.</w:t>
      </w:r>
    </w:p>
    <w:p w14:paraId="24B3C9BB"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u w:val="single"/>
        </w:rPr>
      </w:pPr>
      <w:r>
        <w:rPr>
          <w:color w:val="000000"/>
          <w:u w:val="single"/>
        </w:rPr>
        <w:t xml:space="preserve">(f) For purposes of determining whether the petition must include a rate stabilization plan </w:t>
      </w:r>
      <w:r>
        <w:rPr>
          <w:u w:val="single"/>
        </w:rPr>
        <w:t>under Section 367.0811(5)(h), F.S., “s</w:t>
      </w:r>
      <w:r w:rsidRPr="006F5649">
        <w:rPr>
          <w:u w:val="single"/>
        </w:rPr>
        <w:t xml:space="preserve">ignificant individual increase in rates” means a rate increase </w:t>
      </w:r>
      <w:r>
        <w:rPr>
          <w:u w:val="single"/>
        </w:rPr>
        <w:t>during any twelve consecutive months of</w:t>
      </w:r>
      <w:r w:rsidRPr="006F5649">
        <w:rPr>
          <w:u w:val="single"/>
        </w:rPr>
        <w:t xml:space="preserve"> the 5-year projected </w:t>
      </w:r>
      <w:r>
        <w:rPr>
          <w:u w:val="single"/>
        </w:rPr>
        <w:t xml:space="preserve">rate impact </w:t>
      </w:r>
      <w:r w:rsidRPr="006F5649">
        <w:rPr>
          <w:u w:val="single"/>
        </w:rPr>
        <w:t xml:space="preserve">period in excess of </w:t>
      </w:r>
      <w:r>
        <w:rPr>
          <w:u w:val="single"/>
        </w:rPr>
        <w:t xml:space="preserve">price index </w:t>
      </w:r>
      <w:r w:rsidRPr="006F5649">
        <w:rPr>
          <w:u w:val="single"/>
        </w:rPr>
        <w:t>over the current rates of the utility system being acquired. A copy of the</w:t>
      </w:r>
      <w:r>
        <w:rPr>
          <w:u w:val="single"/>
        </w:rPr>
        <w:t xml:space="preserve"> most recent</w:t>
      </w:r>
      <w:r w:rsidRPr="006F5649">
        <w:rPr>
          <w:u w:val="single"/>
        </w:rPr>
        <w:t xml:space="preserve"> </w:t>
      </w:r>
      <w:r>
        <w:rPr>
          <w:u w:val="single"/>
        </w:rPr>
        <w:t>Commission</w:t>
      </w:r>
      <w:r w:rsidRPr="006F5649">
        <w:rPr>
          <w:u w:val="single"/>
        </w:rPr>
        <w:t xml:space="preserve"> order establishing the</w:t>
      </w:r>
      <w:r>
        <w:rPr>
          <w:u w:val="single"/>
        </w:rPr>
        <w:t xml:space="preserve"> price</w:t>
      </w:r>
      <w:r w:rsidRPr="006F5649">
        <w:rPr>
          <w:u w:val="single"/>
        </w:rPr>
        <w:t xml:space="preserve"> index </w:t>
      </w:r>
      <w:r>
        <w:rPr>
          <w:u w:val="single"/>
        </w:rPr>
        <w:t>can</w:t>
      </w:r>
      <w:r w:rsidRPr="006F5649">
        <w:rPr>
          <w:u w:val="single"/>
        </w:rPr>
        <w:t xml:space="preserve"> be obtained from the </w:t>
      </w:r>
      <w:r w:rsidRPr="00C06545">
        <w:rPr>
          <w:u w:val="single"/>
        </w:rPr>
        <w:t xml:space="preserve">Public Service Commission, </w:t>
      </w:r>
      <w:r w:rsidRPr="006F5649">
        <w:rPr>
          <w:u w:val="single"/>
        </w:rPr>
        <w:t>Division of Accounting &amp; Finance</w:t>
      </w:r>
      <w:r>
        <w:rPr>
          <w:u w:val="single"/>
        </w:rPr>
        <w:t>,</w:t>
      </w:r>
      <w:r w:rsidRPr="00C06545">
        <w:rPr>
          <w:u w:val="single"/>
        </w:rPr>
        <w:t xml:space="preserve"> 2540 Shumard Oak Boulevard, Tallahassee, Florida 32399-0850.</w:t>
      </w:r>
    </w:p>
    <w:p w14:paraId="204ED770"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u w:val="single"/>
        </w:rPr>
      </w:pPr>
      <w:r w:rsidRPr="00442DD8">
        <w:rPr>
          <w:u w:val="single"/>
        </w:rPr>
        <w:t xml:space="preserve">(4) </w:t>
      </w:r>
      <w:r>
        <w:rPr>
          <w:u w:val="single"/>
        </w:rPr>
        <w:t xml:space="preserve">General filing instruction. </w:t>
      </w:r>
      <w:r w:rsidRPr="00442DD8">
        <w:rPr>
          <w:noProof/>
          <w:color w:val="000000"/>
          <w:u w:val="single"/>
        </w:rPr>
        <w:t>Prepared direct testimony and ex</w:t>
      </w:r>
      <w:r>
        <w:rPr>
          <w:noProof/>
          <w:color w:val="000000"/>
          <w:u w:val="single"/>
        </w:rPr>
        <w:t xml:space="preserve">hibits for each witness </w:t>
      </w:r>
      <w:r w:rsidRPr="00442DD8">
        <w:rPr>
          <w:noProof/>
          <w:color w:val="000000"/>
          <w:u w:val="single"/>
        </w:rPr>
        <w:t>testify</w:t>
      </w:r>
      <w:r>
        <w:rPr>
          <w:noProof/>
          <w:color w:val="000000"/>
          <w:u w:val="single"/>
        </w:rPr>
        <w:t>ing</w:t>
      </w:r>
      <w:r w:rsidRPr="00442DD8">
        <w:rPr>
          <w:noProof/>
          <w:color w:val="000000"/>
          <w:u w:val="single"/>
        </w:rPr>
        <w:t xml:space="preserve"> on behalf of the acquiring </w:t>
      </w:r>
      <w:r w:rsidRPr="00442DD8">
        <w:rPr>
          <w:u w:val="single"/>
        </w:rPr>
        <w:t>utility</w:t>
      </w:r>
      <w:r>
        <w:rPr>
          <w:u w:val="single"/>
        </w:rPr>
        <w:t xml:space="preserve"> must be filed at the time the petition is filed</w:t>
      </w:r>
      <w:r w:rsidRPr="00442DD8">
        <w:rPr>
          <w:u w:val="single"/>
        </w:rPr>
        <w:t>.</w:t>
      </w:r>
    </w:p>
    <w:p w14:paraId="0BABA8A0" w14:textId="77777777" w:rsidR="00020EA5" w:rsidRDefault="00020EA5" w:rsidP="004C222E">
      <w:pPr>
        <w:widowControl w:val="0"/>
        <w:tabs>
          <w:tab w:val="left" w:pos="360"/>
          <w:tab w:val="left" w:pos="360"/>
        </w:tabs>
        <w:overflowPunct w:val="0"/>
        <w:autoSpaceDE w:val="0"/>
        <w:autoSpaceDN w:val="0"/>
        <w:adjustRightInd w:val="0"/>
        <w:spacing w:line="536" w:lineRule="exact"/>
        <w:textAlignment w:val="baseline"/>
        <w:rPr>
          <w:color w:val="000000"/>
          <w:u w:val="single"/>
        </w:rPr>
      </w:pPr>
      <w:r w:rsidRPr="006C5D55">
        <w:lastRenderedPageBreak/>
        <w:tab/>
      </w:r>
      <w:r>
        <w:rPr>
          <w:u w:val="single"/>
        </w:rPr>
        <w:t>(5) Notice. At the time the petition is filed with the Commission, the acquiring utility must provide a draft notice for review by Commission staff. Commission staff will review the draft notice within 7 days. Once staff has approved the notice, the acquiring utility must provide notice by regular mail to the Office of Public Counsel and by regular mail or personal service</w:t>
      </w:r>
      <w:r>
        <w:rPr>
          <w:color w:val="000000"/>
          <w:u w:val="single"/>
        </w:rPr>
        <w:t xml:space="preserve"> to each customer and owner of property located within the service area for both the acquiring utility and the utility being acquired, to the extent the utilities’ customers are within the Commission’s jurisdiction. The notice required by this rule may be combined with the notice of Application for Authority to Transfer issued pursuant to Rule 25-30.030, F.A.C. The notice must contain:</w:t>
      </w:r>
    </w:p>
    <w:p w14:paraId="5370B9CC"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(a) Title: Notice of Utility’s Petition to Establish Rate Base Value Using Alternative Procedure;</w:t>
      </w:r>
    </w:p>
    <w:p w14:paraId="26949F60"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(b)</w:t>
      </w:r>
      <w:r>
        <w:rPr>
          <w:color w:val="000000"/>
          <w:u w:val="single"/>
        </w:rPr>
        <w:tab/>
      </w:r>
      <w:r w:rsidRPr="00903F78">
        <w:rPr>
          <w:color w:val="000000"/>
          <w:u w:val="single"/>
        </w:rPr>
        <w:t xml:space="preserve">A statement that the utility has filed a petition </w:t>
      </w:r>
      <w:r>
        <w:rPr>
          <w:color w:val="000000"/>
          <w:u w:val="single"/>
        </w:rPr>
        <w:t>with the Commission</w:t>
      </w:r>
      <w:r w:rsidRPr="00903F78">
        <w:rPr>
          <w:color w:val="000000"/>
          <w:u w:val="single"/>
        </w:rPr>
        <w:t xml:space="preserve"> </w:t>
      </w:r>
      <w:r>
        <w:rPr>
          <w:color w:val="000000"/>
          <w:u w:val="single"/>
        </w:rPr>
        <w:t>to</w:t>
      </w:r>
      <w:r w:rsidRPr="00903F78">
        <w:rPr>
          <w:color w:val="000000"/>
          <w:u w:val="single"/>
        </w:rPr>
        <w:t xml:space="preserve"> establish rate base value of acquired util</w:t>
      </w:r>
      <w:r>
        <w:rPr>
          <w:color w:val="000000"/>
          <w:u w:val="single"/>
        </w:rPr>
        <w:t>ity system</w:t>
      </w:r>
      <w:r w:rsidRPr="00903F78">
        <w:rPr>
          <w:color w:val="000000"/>
          <w:u w:val="single"/>
        </w:rPr>
        <w:t xml:space="preserve"> </w:t>
      </w:r>
      <w:r>
        <w:rPr>
          <w:color w:val="000000"/>
          <w:u w:val="single"/>
        </w:rPr>
        <w:t xml:space="preserve">using the </w:t>
      </w:r>
      <w:r w:rsidRPr="00903F78">
        <w:rPr>
          <w:color w:val="000000"/>
          <w:u w:val="single"/>
        </w:rPr>
        <w:t>alternative procedure</w:t>
      </w:r>
      <w:r>
        <w:rPr>
          <w:color w:val="000000"/>
          <w:u w:val="single"/>
        </w:rPr>
        <w:t xml:space="preserve"> set forth in Section 367.0811, F.S.;</w:t>
      </w:r>
    </w:p>
    <w:p w14:paraId="2EB2FEAB"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(c) The date the petition was filed with the Commission;</w:t>
      </w:r>
    </w:p>
    <w:p w14:paraId="23E0A2F7"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(d) The docket number associated with the petition;</w:t>
      </w:r>
    </w:p>
    <w:p w14:paraId="7BD8A416"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 xml:space="preserve">(e) </w:t>
      </w:r>
      <w:r w:rsidRPr="00903F78">
        <w:rPr>
          <w:color w:val="000000"/>
          <w:u w:val="single"/>
        </w:rPr>
        <w:t xml:space="preserve">A statement </w:t>
      </w:r>
      <w:r>
        <w:rPr>
          <w:color w:val="000000"/>
          <w:u w:val="single"/>
        </w:rPr>
        <w:t xml:space="preserve">of </w:t>
      </w:r>
      <w:r w:rsidRPr="00903F78">
        <w:rPr>
          <w:color w:val="000000"/>
          <w:u w:val="single"/>
        </w:rPr>
        <w:t>t</w:t>
      </w:r>
      <w:r>
        <w:rPr>
          <w:color w:val="000000"/>
          <w:u w:val="single"/>
        </w:rPr>
        <w:t>he 5-year projected rate impact</w:t>
      </w:r>
      <w:r w:rsidRPr="00903F78">
        <w:rPr>
          <w:color w:val="000000"/>
          <w:u w:val="single"/>
        </w:rPr>
        <w:t xml:space="preserve"> or the anticipated effect of the requested rate base on rate</w:t>
      </w:r>
      <w:r>
        <w:rPr>
          <w:color w:val="000000"/>
          <w:u w:val="single"/>
        </w:rPr>
        <w:t>s for the next five years;</w:t>
      </w:r>
    </w:p>
    <w:p w14:paraId="411BCF56"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 xml:space="preserve">(f) </w:t>
      </w:r>
      <w:r w:rsidRPr="00903F78">
        <w:rPr>
          <w:color w:val="000000"/>
          <w:u w:val="single"/>
        </w:rPr>
        <w:t>A statement that the utility’s petition</w:t>
      </w:r>
      <w:r>
        <w:rPr>
          <w:color w:val="000000"/>
          <w:u w:val="single"/>
        </w:rPr>
        <w:t xml:space="preserve"> is available on the Commission’s website;</w:t>
      </w:r>
    </w:p>
    <w:p w14:paraId="62EDED15"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 xml:space="preserve">(g) </w:t>
      </w:r>
      <w:r w:rsidRPr="00903F78">
        <w:rPr>
          <w:color w:val="000000"/>
          <w:u w:val="single"/>
        </w:rPr>
        <w:t>The acquiring utility’s address, telep</w:t>
      </w:r>
      <w:r>
        <w:rPr>
          <w:color w:val="000000"/>
          <w:u w:val="single"/>
        </w:rPr>
        <w:t>hone number, and business hours; and</w:t>
      </w:r>
    </w:p>
    <w:p w14:paraId="5CAD2C79" w14:textId="77777777" w:rsidR="00020EA5" w:rsidRDefault="00020EA5" w:rsidP="004C222E">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 xml:space="preserve">(h) A statement that any </w:t>
      </w:r>
      <w:r w:rsidRPr="00221383">
        <w:rPr>
          <w:color w:val="000000"/>
          <w:u w:val="single"/>
        </w:rPr>
        <w:t>customer</w:t>
      </w:r>
      <w:r>
        <w:rPr>
          <w:color w:val="000000"/>
          <w:u w:val="single"/>
        </w:rPr>
        <w:t xml:space="preserve"> substantially affected by the petition may file a motion to intervene in accordance with Rule 28-106.205, F.A.C.</w:t>
      </w:r>
    </w:p>
    <w:p w14:paraId="7D8B537F" w14:textId="77777777" w:rsidR="00B64BD8" w:rsidRDefault="00020EA5" w:rsidP="004C222E">
      <w:pPr>
        <w:widowControl w:val="0"/>
        <w:overflowPunct w:val="0"/>
        <w:autoSpaceDE w:val="0"/>
        <w:autoSpaceDN w:val="0"/>
        <w:adjustRightInd w:val="0"/>
        <w:spacing w:line="536" w:lineRule="exact"/>
        <w:ind w:firstLine="360"/>
        <w:textAlignment w:val="baseline"/>
        <w:rPr>
          <w:i/>
          <w:color w:val="000000"/>
          <w:u w:val="single"/>
        </w:rPr>
        <w:sectPr w:rsidR="00B64BD8" w:rsidSect="004C222E">
          <w:headerReference w:type="even" r:id="rId18"/>
          <w:headerReference w:type="default" r:id="rId19"/>
          <w:footerReference w:type="even" r:id="rId20"/>
          <w:footerReference w:type="default" r:id="rId21"/>
          <w:headerReference w:type="first" r:id="rId22"/>
          <w:footerReference w:type="first" r:id="rId23"/>
          <w:pgSz w:w="12240" w:h="15840" w:code="1"/>
          <w:pgMar w:top="360" w:right="720" w:bottom="360" w:left="2405" w:header="360" w:footer="360" w:gutter="0"/>
          <w:cols w:space="720"/>
          <w:formProt w:val="0"/>
          <w:docGrid w:linePitch="360"/>
        </w:sectPr>
      </w:pPr>
      <w:r w:rsidRPr="002C1B85">
        <w:rPr>
          <w:i/>
          <w:color w:val="000000"/>
          <w:u w:val="single"/>
        </w:rPr>
        <w:t xml:space="preserve">Rulemaking Authority </w:t>
      </w:r>
      <w:r>
        <w:rPr>
          <w:i/>
          <w:color w:val="000000"/>
          <w:u w:val="single"/>
        </w:rPr>
        <w:t xml:space="preserve">367.0811(11), </w:t>
      </w:r>
      <w:r w:rsidRPr="002C1B85">
        <w:rPr>
          <w:i/>
          <w:color w:val="000000"/>
          <w:u w:val="single"/>
        </w:rPr>
        <w:t xml:space="preserve">FS. Law Implemented </w:t>
      </w:r>
      <w:r>
        <w:rPr>
          <w:i/>
          <w:color w:val="000000"/>
          <w:u w:val="single"/>
        </w:rPr>
        <w:t xml:space="preserve">367.0811, </w:t>
      </w:r>
      <w:r w:rsidRPr="002C1B85">
        <w:rPr>
          <w:i/>
          <w:color w:val="000000"/>
          <w:u w:val="single"/>
        </w:rPr>
        <w:t>FS.</w:t>
      </w:r>
      <w:r>
        <w:rPr>
          <w:i/>
          <w:color w:val="000000"/>
          <w:u w:val="single"/>
        </w:rPr>
        <w:t>,</w:t>
      </w:r>
      <w:r w:rsidRPr="002C1B85">
        <w:rPr>
          <w:i/>
          <w:color w:val="000000"/>
          <w:u w:val="single"/>
        </w:rPr>
        <w:t xml:space="preserve"> History–New</w:t>
      </w:r>
      <w:r>
        <w:rPr>
          <w:i/>
          <w:color w:val="000000"/>
          <w:u w:val="single"/>
        </w:rPr>
        <w:t>___</w:t>
      </w:r>
      <w:r w:rsidRPr="002C1B85">
        <w:rPr>
          <w:i/>
          <w:color w:val="000000"/>
          <w:u w:val="single"/>
        </w:rPr>
        <w:t xml:space="preserve"> </w:t>
      </w:r>
      <w:r>
        <w:rPr>
          <w:i/>
          <w:color w:val="000000"/>
          <w:u w:val="single"/>
        </w:rPr>
        <w:t xml:space="preserve">        </w:t>
      </w:r>
    </w:p>
    <w:p w14:paraId="02EA41DE" w14:textId="03D47100" w:rsidR="0077388A" w:rsidRDefault="000A5AD6" w:rsidP="009D6F60">
      <w:pPr>
        <w:pStyle w:val="BodyText"/>
        <w:jc w:val="center"/>
        <w:sectPr w:rsidR="0077388A" w:rsidSect="00074E99">
          <w:headerReference w:type="default" r:id="rId24"/>
          <w:footerReference w:type="default" r:id="rId25"/>
          <w:pgSz w:w="12240" w:h="15840" w:code="1"/>
          <w:pgMar w:top="1440" w:right="1440" w:bottom="1440" w:left="1440" w:header="360" w:footer="360" w:gutter="0"/>
          <w:cols w:space="720"/>
          <w:formProt w:val="0"/>
          <w:docGrid w:linePitch="360"/>
        </w:sectPr>
      </w:pPr>
      <w:r>
        <w:rPr>
          <w:noProof/>
        </w:rPr>
        <w:lastRenderedPageBreak/>
        <w:drawing>
          <wp:inline distT="0" distB="0" distL="0" distR="0" wp14:anchorId="0D4E8DE3" wp14:editId="4F2F525E">
            <wp:extent cx="7211540" cy="5331460"/>
            <wp:effectExtent l="63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0.24 REVISED 2 Alt. RBV Form_Page_1.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7222857" cy="5339826"/>
                    </a:xfrm>
                    <a:prstGeom prst="rect">
                      <a:avLst/>
                    </a:prstGeom>
                  </pic:spPr>
                </pic:pic>
              </a:graphicData>
            </a:graphic>
          </wp:inline>
        </w:drawing>
      </w:r>
      <w:r>
        <w:rPr>
          <w:noProof/>
        </w:rPr>
        <w:lastRenderedPageBreak/>
        <w:drawing>
          <wp:inline distT="0" distB="0" distL="0" distR="0" wp14:anchorId="40CDD730" wp14:editId="315AF1B9">
            <wp:extent cx="7664770" cy="5593715"/>
            <wp:effectExtent l="6667" t="0" r="318" b="317"/>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20.24 REVISED 2 Alt. RBV Form_Page_2.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7676664" cy="5602395"/>
                    </a:xfrm>
                    <a:prstGeom prst="rect">
                      <a:avLst/>
                    </a:prstGeom>
                  </pic:spPr>
                </pic:pic>
              </a:graphicData>
            </a:graphic>
          </wp:inline>
        </w:drawing>
      </w:r>
      <w:r>
        <w:rPr>
          <w:noProof/>
        </w:rPr>
        <w:lastRenderedPageBreak/>
        <w:drawing>
          <wp:inline distT="0" distB="0" distL="0" distR="0" wp14:anchorId="07FFBA56" wp14:editId="234A355F">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20.24 REVISED 2 Alt. RBV Form_Page_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9A0496A" w14:textId="37901D31" w:rsidR="009674BB" w:rsidRDefault="00791571" w:rsidP="00020EA5">
      <w:pPr>
        <w:pStyle w:val="BodyText"/>
        <w:rPr>
          <w:noProof/>
        </w:rPr>
      </w:pPr>
      <w:r>
        <w:rPr>
          <w:noProof/>
        </w:rPr>
        <w:lastRenderedPageBreak/>
        <w:drawing>
          <wp:inline distT="0" distB="0" distL="0" distR="0" wp14:anchorId="34385122" wp14:editId="30E17FE7">
            <wp:extent cx="5788025" cy="749046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ment B_Page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r>
        <w:rPr>
          <w:noProof/>
        </w:rPr>
        <w:lastRenderedPageBreak/>
        <w:drawing>
          <wp:inline distT="0" distB="0" distL="0" distR="0" wp14:anchorId="1807FC50" wp14:editId="24ADECF8">
            <wp:extent cx="5788025" cy="749046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achment B_Page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r>
        <w:rPr>
          <w:noProof/>
        </w:rPr>
        <w:lastRenderedPageBreak/>
        <w:drawing>
          <wp:inline distT="0" distB="0" distL="0" distR="0" wp14:anchorId="720B56C1" wp14:editId="2CEC0FC9">
            <wp:extent cx="5788025" cy="749046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achment B_Page_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r>
        <w:rPr>
          <w:noProof/>
        </w:rPr>
        <w:lastRenderedPageBreak/>
        <w:drawing>
          <wp:inline distT="0" distB="0" distL="0" distR="0" wp14:anchorId="1184D770" wp14:editId="18AE40F7">
            <wp:extent cx="5788025" cy="749046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achment B_Page_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r>
        <w:rPr>
          <w:noProof/>
        </w:rPr>
        <w:lastRenderedPageBreak/>
        <w:drawing>
          <wp:inline distT="0" distB="0" distL="0" distR="0" wp14:anchorId="36463094" wp14:editId="271E92BC">
            <wp:extent cx="5788025" cy="749046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achment B_Page_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r>
        <w:rPr>
          <w:noProof/>
        </w:rPr>
        <w:lastRenderedPageBreak/>
        <w:drawing>
          <wp:inline distT="0" distB="0" distL="0" distR="0" wp14:anchorId="7E33C930" wp14:editId="41891B5C">
            <wp:extent cx="5788025" cy="749046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achment B_Page_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r>
        <w:rPr>
          <w:noProof/>
        </w:rPr>
        <w:lastRenderedPageBreak/>
        <w:drawing>
          <wp:inline distT="0" distB="0" distL="0" distR="0" wp14:anchorId="2EBCAD61" wp14:editId="3A6307D3">
            <wp:extent cx="5788025" cy="749046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achment B_Page_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p>
    <w:p w14:paraId="6D4D3E8F" w14:textId="5B89275C" w:rsidR="009674BB" w:rsidRDefault="009674BB" w:rsidP="00020EA5">
      <w:pPr>
        <w:pStyle w:val="BodyText"/>
        <w:rPr>
          <w:noProof/>
        </w:rPr>
      </w:pPr>
    </w:p>
    <w:p w14:paraId="37B7E1BE" w14:textId="00270746" w:rsidR="00C21296" w:rsidRDefault="00C21296">
      <w:pPr>
        <w:rPr>
          <w:noProof/>
        </w:rPr>
      </w:pPr>
    </w:p>
    <w:p w14:paraId="1F8E7E1F" w14:textId="77777777" w:rsidR="00C21296" w:rsidRDefault="00C21296">
      <w:pPr>
        <w:rPr>
          <w:noProof/>
        </w:rPr>
      </w:pPr>
    </w:p>
    <w:p w14:paraId="6FCCDCBF" w14:textId="7A8E397F" w:rsidR="009674BB" w:rsidRDefault="009674BB" w:rsidP="00020EA5">
      <w:pPr>
        <w:pStyle w:val="BodyText"/>
        <w:rPr>
          <w:noProof/>
        </w:rPr>
        <w:sectPr w:rsidR="009674BB" w:rsidSect="004C222E">
          <w:headerReference w:type="default" r:id="rId36"/>
          <w:footerReference w:type="default" r:id="rId37"/>
          <w:pgSz w:w="12240" w:h="15840" w:code="1"/>
          <w:pgMar w:top="360" w:right="720" w:bottom="360" w:left="2405" w:header="360" w:footer="360" w:gutter="0"/>
          <w:cols w:space="720"/>
          <w:formProt w:val="0"/>
          <w:docGrid w:linePitch="360"/>
        </w:sectPr>
      </w:pPr>
    </w:p>
    <w:p w14:paraId="09FF9B25" w14:textId="12CF41FF" w:rsidR="0077388A" w:rsidRDefault="00BB3D79" w:rsidP="00020EA5">
      <w:pPr>
        <w:pStyle w:val="BodyText"/>
      </w:pPr>
      <w:r>
        <w:rPr>
          <w:noProof/>
        </w:rPr>
        <w:lastRenderedPageBreak/>
        <w:drawing>
          <wp:inline distT="0" distB="0" distL="0" distR="0" wp14:anchorId="2C0A5B45" wp14:editId="1CA0E268">
            <wp:extent cx="5788025" cy="750951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achment C_Page_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88025" cy="7509510"/>
                    </a:xfrm>
                    <a:prstGeom prst="rect">
                      <a:avLst/>
                    </a:prstGeom>
                  </pic:spPr>
                </pic:pic>
              </a:graphicData>
            </a:graphic>
          </wp:inline>
        </w:drawing>
      </w:r>
      <w:r>
        <w:rPr>
          <w:noProof/>
        </w:rPr>
        <w:lastRenderedPageBreak/>
        <w:drawing>
          <wp:inline distT="0" distB="0" distL="0" distR="0" wp14:anchorId="7FF29E8E" wp14:editId="07A93DC8">
            <wp:extent cx="5788025" cy="7504430"/>
            <wp:effectExtent l="0" t="0" r="317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achment C_Page_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88025" cy="7504430"/>
                    </a:xfrm>
                    <a:prstGeom prst="rect">
                      <a:avLst/>
                    </a:prstGeom>
                  </pic:spPr>
                </pic:pic>
              </a:graphicData>
            </a:graphic>
          </wp:inline>
        </w:drawing>
      </w:r>
    </w:p>
    <w:sectPr w:rsidR="0077388A" w:rsidSect="004C222E">
      <w:headerReference w:type="default" r:id="rId40"/>
      <w:pgSz w:w="12240" w:h="15840" w:code="1"/>
      <w:pgMar w:top="360" w:right="720" w:bottom="360" w:left="2405" w:header="360" w:footer="36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79796" w14:textId="77777777" w:rsidR="00A62262" w:rsidRDefault="00A62262">
      <w:r>
        <w:separator/>
      </w:r>
    </w:p>
  </w:endnote>
  <w:endnote w:type="continuationSeparator" w:id="0">
    <w:p w14:paraId="6BD94232" w14:textId="77777777" w:rsidR="00A62262" w:rsidRDefault="00A62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CECA6" w14:textId="37653A39" w:rsidR="004C222E" w:rsidRDefault="004C22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D6389C">
      <w:rPr>
        <w:rStyle w:val="PageNumber"/>
        <w:noProof/>
      </w:rPr>
      <w:t>11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C91E8" w14:textId="77777777" w:rsidR="004C222E" w:rsidRDefault="004C22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63184" w14:textId="77777777" w:rsidR="004C222E" w:rsidRDefault="004C22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642E1" w14:textId="77777777" w:rsidR="004C222E" w:rsidRDefault="004C222E">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14:paraId="6B009B63" w14:textId="24A00088" w:rsidR="004C222E" w:rsidRDefault="004C222E">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D6389C">
      <w:rPr>
        <w:rStyle w:val="PageNumber"/>
        <w:noProof/>
      </w:rPr>
      <w:t>16</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6BB47" w14:textId="77777777" w:rsidR="004C222E" w:rsidRDefault="004C22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58B527B" w14:textId="77777777" w:rsidR="004C222E" w:rsidRDefault="004C222E">
    <w:pPr>
      <w:pStyle w:val="Footer"/>
    </w:pPr>
    <w:r>
      <w:t xml:space="preserve">CODING: Words </w:t>
    </w:r>
    <w:r>
      <w:rPr>
        <w:u w:val="single"/>
      </w:rPr>
      <w:t>underlined</w:t>
    </w:r>
    <w:r>
      <w:t xml:space="preserve"> are additions; words in struck through type are deletions from existing law.</w:t>
    </w:r>
  </w:p>
  <w:p w14:paraId="7CE821A8" w14:textId="77777777" w:rsidR="004C222E" w:rsidRDefault="004C222E">
    <w:pPr>
      <w:pStyle w:val="Footer"/>
    </w:pP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C286C" w14:textId="52820D91" w:rsidR="00B64BD8" w:rsidRDefault="009D6F60" w:rsidP="009D6F60">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D6389C">
      <w:rPr>
        <w:rStyle w:val="PageNumber"/>
        <w:noProof/>
      </w:rPr>
      <w:t>19</w:t>
    </w:r>
    <w:r>
      <w:rPr>
        <w:rStyle w:val="PageNumber"/>
      </w:rPr>
      <w:fldChar w:fldCharType="end"/>
    </w:r>
    <w:r>
      <w:rPr>
        <w:rStyle w:val="PageNumber"/>
      </w:rPr>
      <w:t xml:space="preserve"> </w:t>
    </w:r>
    <w: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FF6FC" w14:textId="4CE75DA6" w:rsidR="004C222E" w:rsidRDefault="004C222E">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D6389C">
      <w:rPr>
        <w:rStyle w:val="PageNumber"/>
        <w:noProof/>
      </w:rPr>
      <w:t>26</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4F0FE" w14:textId="77777777" w:rsidR="00A62262" w:rsidRDefault="00A62262">
      <w:r>
        <w:separator/>
      </w:r>
    </w:p>
  </w:footnote>
  <w:footnote w:type="continuationSeparator" w:id="0">
    <w:p w14:paraId="4AE0BB4D" w14:textId="77777777" w:rsidR="00A62262" w:rsidRDefault="00A62262">
      <w:r>
        <w:continuationSeparator/>
      </w:r>
    </w:p>
  </w:footnote>
  <w:footnote w:id="1">
    <w:p w14:paraId="0D13A5EB" w14:textId="6738279E" w:rsidR="004C222E" w:rsidRDefault="004C222E">
      <w:pPr>
        <w:pStyle w:val="FootnoteText"/>
      </w:pPr>
      <w:r>
        <w:rPr>
          <w:rStyle w:val="FootnoteReference"/>
        </w:rPr>
        <w:footnoteRef/>
      </w:r>
      <w:r>
        <w:t xml:space="preserve"> </w:t>
      </w:r>
      <w:r w:rsidRPr="003A62F2">
        <w:rPr>
          <w:rFonts w:eastAsiaTheme="minorHAnsi" w:cstheme="minorBidi"/>
          <w:szCs w:val="22"/>
        </w:rPr>
        <w:t>Moreover, when such category of license was issued, it pertained to appraisal of residential real property</w:t>
      </w:r>
      <w:r>
        <w:rPr>
          <w:rFonts w:eastAsiaTheme="minorHAnsi" w:cstheme="minorBidi"/>
          <w:szCs w:val="22"/>
        </w:rPr>
        <w:t>,</w:t>
      </w:r>
      <w:r w:rsidRPr="007A3490">
        <w:rPr>
          <w:rFonts w:eastAsiaTheme="minorHAnsi" w:cstheme="minorBidi"/>
          <w:szCs w:val="22"/>
        </w:rPr>
        <w:t xml:space="preserve"> </w:t>
      </w:r>
      <w:r>
        <w:rPr>
          <w:rFonts w:eastAsiaTheme="minorHAnsi" w:cstheme="minorBidi"/>
          <w:szCs w:val="22"/>
        </w:rPr>
        <w:t>which would not be appropriate for appraisal of a water and/or wastewater system</w:t>
      </w:r>
      <w:r w:rsidRPr="003A62F2">
        <w:rPr>
          <w:rFonts w:eastAsiaTheme="minorHAnsi" w:cstheme="minorBidi"/>
          <w:szCs w:val="22"/>
        </w:rPr>
        <w:t>.</w:t>
      </w:r>
    </w:p>
  </w:footnote>
  <w:footnote w:id="2">
    <w:p w14:paraId="6EDC571A" w14:textId="43727561" w:rsidR="009321FA" w:rsidRDefault="009321FA">
      <w:pPr>
        <w:pStyle w:val="FootnoteText"/>
      </w:pPr>
      <w:r>
        <w:rPr>
          <w:rStyle w:val="FootnoteReference"/>
        </w:rPr>
        <w:footnoteRef/>
      </w:r>
      <w:r>
        <w:t xml:space="preserve"> Provided certain customer notice and filing requirements are met.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1C85F" w14:textId="77777777" w:rsidR="004C222E" w:rsidRDefault="004C222E" w:rsidP="00220732">
    <w:pPr>
      <w:pStyle w:val="Header"/>
      <w:tabs>
        <w:tab w:val="clear" w:pos="4320"/>
        <w:tab w:val="clear" w:pos="8640"/>
        <w:tab w:val="right" w:pos="9360"/>
      </w:tabs>
    </w:pPr>
    <w:bookmarkStart w:id="13" w:name="DocketLabel"/>
    <w:r>
      <w:t>Docket No.</w:t>
    </w:r>
    <w:bookmarkEnd w:id="13"/>
    <w:r>
      <w:t xml:space="preserve"> </w:t>
    </w:r>
    <w:bookmarkStart w:id="14" w:name="DocketList"/>
    <w:r>
      <w:t>20230123-WS</w:t>
    </w:r>
    <w:bookmarkEnd w:id="14"/>
  </w:p>
  <w:p w14:paraId="51B0A22D" w14:textId="5693B467" w:rsidR="004C222E" w:rsidRDefault="004C222E">
    <w:pPr>
      <w:pStyle w:val="Header"/>
    </w:pPr>
    <w:r>
      <w:t xml:space="preserve">Date: </w:t>
    </w:r>
    <w:r w:rsidR="000015DB">
      <w:t>February 22</w:t>
    </w:r>
    <w:r>
      <w:t>, 2024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9A7D2" w14:textId="3B9D51C8" w:rsidR="004C222E" w:rsidRDefault="004C222E" w:rsidP="00220732">
    <w:pPr>
      <w:pStyle w:val="Header"/>
      <w:tabs>
        <w:tab w:val="clear" w:pos="4320"/>
        <w:tab w:val="clear" w:pos="8640"/>
        <w:tab w:val="right" w:pos="9360"/>
      </w:tabs>
    </w:pPr>
    <w:r>
      <w:fldChar w:fldCharType="begin"/>
    </w:r>
    <w:r>
      <w:instrText xml:space="preserve"> REF DocketLabel</w:instrText>
    </w:r>
    <w:r>
      <w:fldChar w:fldCharType="separate"/>
    </w:r>
    <w:r w:rsidR="00913635">
      <w:t>Docket No.</w:t>
    </w:r>
    <w:r>
      <w:fldChar w:fldCharType="end"/>
    </w:r>
    <w:r>
      <w:t xml:space="preserve"> </w:t>
    </w:r>
    <w:r>
      <w:fldChar w:fldCharType="begin"/>
    </w:r>
    <w:r>
      <w:instrText xml:space="preserve"> REF DocketList</w:instrText>
    </w:r>
    <w:r>
      <w:fldChar w:fldCharType="separate"/>
    </w:r>
    <w:r w:rsidR="00913635">
      <w:t>20230123-WS</w:t>
    </w:r>
    <w:r>
      <w:fldChar w:fldCharType="end"/>
    </w:r>
    <w:r>
      <w:tab/>
      <w:t xml:space="preserve">Issue </w:t>
    </w:r>
    <w:r w:rsidR="00E42163">
      <w:fldChar w:fldCharType="begin"/>
    </w:r>
    <w:r w:rsidR="00E42163">
      <w:instrText xml:space="preserve"> Seq Issue \c \* Arabic </w:instrText>
    </w:r>
    <w:r w:rsidR="00E42163">
      <w:fldChar w:fldCharType="separate"/>
    </w:r>
    <w:r w:rsidR="00D6389C">
      <w:rPr>
        <w:noProof/>
      </w:rPr>
      <w:t>2</w:t>
    </w:r>
    <w:r w:rsidR="00E42163">
      <w:rPr>
        <w:noProof/>
      </w:rPr>
      <w:fldChar w:fldCharType="end"/>
    </w:r>
  </w:p>
  <w:p w14:paraId="30E7E8AD" w14:textId="130115A2" w:rsidR="004C222E" w:rsidRDefault="004C222E">
    <w:pPr>
      <w:pStyle w:val="Header"/>
    </w:pPr>
    <w:r>
      <w:t xml:space="preserve">Date: </w:t>
    </w:r>
    <w:r w:rsidR="000015DB">
      <w:t>February 22</w:t>
    </w:r>
    <w:r>
      <w:t>, 2024</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3BCA1" w14:textId="77777777" w:rsidR="004C222E" w:rsidRDefault="004C22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75D25" w14:textId="77777777" w:rsidR="004C222E" w:rsidRDefault="004C22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ED3C5" w14:textId="07F3E49C" w:rsidR="004C222E" w:rsidRDefault="004C222E" w:rsidP="0077388A">
    <w:pPr>
      <w:pStyle w:val="Header"/>
      <w:tabs>
        <w:tab w:val="clear" w:pos="4320"/>
        <w:tab w:val="clear" w:pos="8640"/>
        <w:tab w:val="right" w:pos="9360"/>
      </w:tabs>
    </w:pPr>
    <w:r>
      <w:fldChar w:fldCharType="begin"/>
    </w:r>
    <w:r>
      <w:instrText xml:space="preserve"> REF DocketLabel</w:instrText>
    </w:r>
    <w:r>
      <w:fldChar w:fldCharType="separate"/>
    </w:r>
    <w:r w:rsidR="00913635">
      <w:t>Docket No.</w:t>
    </w:r>
    <w:r>
      <w:fldChar w:fldCharType="end"/>
    </w:r>
    <w:r>
      <w:t xml:space="preserve"> </w:t>
    </w:r>
    <w:r>
      <w:fldChar w:fldCharType="begin"/>
    </w:r>
    <w:r>
      <w:instrText xml:space="preserve"> REF DocketList</w:instrText>
    </w:r>
    <w:r>
      <w:fldChar w:fldCharType="separate"/>
    </w:r>
    <w:r w:rsidR="00913635">
      <w:t>20230123-WS</w:t>
    </w:r>
    <w:r>
      <w:fldChar w:fldCharType="end"/>
    </w:r>
    <w:r>
      <w:tab/>
      <w:t>Attachment A</w:t>
    </w:r>
  </w:p>
  <w:p w14:paraId="2764DB9A" w14:textId="2119F9EC" w:rsidR="004C222E" w:rsidRDefault="004C222E" w:rsidP="0077388A">
    <w:pPr>
      <w:pStyle w:val="Header"/>
      <w:rPr>
        <w:b/>
      </w:rPr>
    </w:pPr>
    <w:r>
      <w:rPr>
        <w:b/>
        <w:noProof/>
      </w:rPr>
      <mc:AlternateContent>
        <mc:Choice Requires="wps">
          <w:drawing>
            <wp:anchor distT="0" distB="0" distL="114300" distR="114300" simplePos="0" relativeHeight="251651072" behindDoc="0" locked="0" layoutInCell="1" allowOverlap="1" wp14:anchorId="314473F2" wp14:editId="093B5658">
              <wp:simplePos x="0" y="0"/>
              <wp:positionH relativeFrom="page">
                <wp:posOffset>1367790</wp:posOffset>
              </wp:positionH>
              <wp:positionV relativeFrom="page">
                <wp:posOffset>723900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B0D03" id="LeftBorder1"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pt,57pt" to="107.7pt,7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">
              <w10:wrap anchorx="page" anchory="page"/>
            </v:line>
          </w:pict>
        </mc:Fallback>
      </mc:AlternateContent>
    </w:r>
    <w:r>
      <w:t xml:space="preserve">Date: </w:t>
    </w:r>
    <w:r w:rsidR="000015DB">
      <w:t>February 22</w:t>
    </w:r>
    <w:r>
      <w:t>, 2024</w:t>
    </w:r>
    <w:r>
      <w:rPr>
        <w:b/>
        <w:noProof/>
      </w:rPr>
      <mc:AlternateContent>
        <mc:Choice Requires="wps">
          <w:drawing>
            <wp:anchor distT="0" distB="0" distL="114300" distR="114300" simplePos="0" relativeHeight="251659264" behindDoc="0" locked="0" layoutInCell="1" allowOverlap="1" wp14:anchorId="497EE299" wp14:editId="446C2AE3">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5CBE7" w14:textId="77777777" w:rsidR="004C222E" w:rsidRDefault="004C222E">
                          <w:pPr>
                            <w:pStyle w:val="RuleHeader"/>
                            <w:rPr>
                              <w:rStyle w:val="RuleChar"/>
                            </w:rPr>
                          </w:pPr>
                          <w:r>
                            <w:t>1</w:t>
                          </w:r>
                        </w:p>
                        <w:p w14:paraId="1C2C1C16" w14:textId="77777777" w:rsidR="004C222E" w:rsidRDefault="004C222E">
                          <w:pPr>
                            <w:pStyle w:val="RuleHeader"/>
                          </w:pPr>
                          <w:r>
                            <w:t>2</w:t>
                          </w:r>
                        </w:p>
                        <w:p w14:paraId="633E3030" w14:textId="77777777" w:rsidR="004C222E" w:rsidRDefault="004C222E">
                          <w:pPr>
                            <w:pStyle w:val="RuleHeader"/>
                          </w:pPr>
                          <w:r>
                            <w:t>3</w:t>
                          </w:r>
                        </w:p>
                        <w:p w14:paraId="63CB9B1F" w14:textId="77777777" w:rsidR="004C222E" w:rsidRDefault="004C222E">
                          <w:pPr>
                            <w:pStyle w:val="RuleHeader"/>
                          </w:pPr>
                          <w:r>
                            <w:t>4</w:t>
                          </w:r>
                        </w:p>
                        <w:p w14:paraId="150ACD81" w14:textId="77777777" w:rsidR="004C222E" w:rsidRDefault="004C222E">
                          <w:pPr>
                            <w:pStyle w:val="RuleHeader"/>
                          </w:pPr>
                          <w:r>
                            <w:t>5</w:t>
                          </w:r>
                        </w:p>
                        <w:p w14:paraId="5A7A8E27" w14:textId="77777777" w:rsidR="004C222E" w:rsidRDefault="004C222E">
                          <w:pPr>
                            <w:pStyle w:val="RuleHeader"/>
                          </w:pPr>
                          <w:r>
                            <w:t>6</w:t>
                          </w:r>
                        </w:p>
                        <w:p w14:paraId="2AAC422A" w14:textId="77777777" w:rsidR="004C222E" w:rsidRDefault="004C222E">
                          <w:pPr>
                            <w:pStyle w:val="RuleHeader"/>
                          </w:pPr>
                          <w:r>
                            <w:t>7</w:t>
                          </w:r>
                        </w:p>
                        <w:p w14:paraId="2D73107D" w14:textId="77777777" w:rsidR="004C222E" w:rsidRDefault="004C222E">
                          <w:pPr>
                            <w:pStyle w:val="RuleHeader"/>
                          </w:pPr>
                          <w:r>
                            <w:t>8</w:t>
                          </w:r>
                        </w:p>
                        <w:p w14:paraId="324C4CF9" w14:textId="77777777" w:rsidR="004C222E" w:rsidRDefault="004C222E">
                          <w:pPr>
                            <w:pStyle w:val="RuleHeader"/>
                          </w:pPr>
                          <w:r>
                            <w:t>9</w:t>
                          </w:r>
                        </w:p>
                        <w:p w14:paraId="3431C3D3" w14:textId="77777777" w:rsidR="004C222E" w:rsidRDefault="004C222E">
                          <w:pPr>
                            <w:pStyle w:val="RuleHeader"/>
                          </w:pPr>
                          <w:r>
                            <w:t>10</w:t>
                          </w:r>
                        </w:p>
                        <w:p w14:paraId="7432478C" w14:textId="77777777" w:rsidR="004C222E" w:rsidRDefault="004C222E">
                          <w:pPr>
                            <w:pStyle w:val="RuleHeader"/>
                          </w:pPr>
                          <w:r>
                            <w:t>11</w:t>
                          </w:r>
                        </w:p>
                        <w:p w14:paraId="47EFB427" w14:textId="77777777" w:rsidR="004C222E" w:rsidRDefault="004C222E">
                          <w:pPr>
                            <w:pStyle w:val="RuleHeader"/>
                          </w:pPr>
                          <w:r>
                            <w:t>12</w:t>
                          </w:r>
                        </w:p>
                        <w:p w14:paraId="51DF2464" w14:textId="77777777" w:rsidR="004C222E" w:rsidRDefault="004C222E">
                          <w:pPr>
                            <w:pStyle w:val="RuleHeader"/>
                          </w:pPr>
                          <w:r>
                            <w:t>13</w:t>
                          </w:r>
                        </w:p>
                        <w:p w14:paraId="78840391" w14:textId="77777777" w:rsidR="004C222E" w:rsidRDefault="004C222E">
                          <w:pPr>
                            <w:pStyle w:val="RuleHeader"/>
                          </w:pPr>
                          <w:r>
                            <w:t>14</w:t>
                          </w:r>
                        </w:p>
                        <w:p w14:paraId="7B89B973" w14:textId="77777777" w:rsidR="004C222E" w:rsidRDefault="004C222E">
                          <w:pPr>
                            <w:pStyle w:val="RuleHeader"/>
                          </w:pPr>
                          <w:r>
                            <w:t>15</w:t>
                          </w:r>
                        </w:p>
                        <w:p w14:paraId="6D9C60A5" w14:textId="77777777" w:rsidR="004C222E" w:rsidRDefault="004C222E">
                          <w:pPr>
                            <w:pStyle w:val="RuleHeader"/>
                          </w:pPr>
                          <w:r>
                            <w:t>16</w:t>
                          </w:r>
                        </w:p>
                        <w:p w14:paraId="23347B20" w14:textId="77777777" w:rsidR="004C222E" w:rsidRDefault="004C222E">
                          <w:pPr>
                            <w:pStyle w:val="RuleHeader"/>
                          </w:pPr>
                          <w:r>
                            <w:t>17</w:t>
                          </w:r>
                        </w:p>
                        <w:p w14:paraId="2F6444BB" w14:textId="77777777" w:rsidR="004C222E" w:rsidRDefault="004C222E">
                          <w:pPr>
                            <w:pStyle w:val="RuleHeader"/>
                          </w:pPr>
                          <w:r>
                            <w:t>18</w:t>
                          </w:r>
                        </w:p>
                        <w:p w14:paraId="34AD8610" w14:textId="77777777" w:rsidR="004C222E" w:rsidRDefault="004C222E">
                          <w:pPr>
                            <w:pStyle w:val="RuleHeader"/>
                          </w:pPr>
                          <w:r>
                            <w:t>19</w:t>
                          </w:r>
                        </w:p>
                        <w:p w14:paraId="7FFCDC44" w14:textId="77777777" w:rsidR="004C222E" w:rsidRDefault="004C222E">
                          <w:pPr>
                            <w:pStyle w:val="RuleHeader"/>
                          </w:pPr>
                          <w:r>
                            <w:t>20</w:t>
                          </w:r>
                        </w:p>
                        <w:p w14:paraId="229B0F58" w14:textId="77777777" w:rsidR="004C222E" w:rsidRDefault="004C222E">
                          <w:pPr>
                            <w:pStyle w:val="RuleHeader"/>
                          </w:pPr>
                          <w:r>
                            <w:t>21</w:t>
                          </w:r>
                        </w:p>
                        <w:p w14:paraId="31A87983" w14:textId="77777777" w:rsidR="004C222E" w:rsidRDefault="004C222E">
                          <w:pPr>
                            <w:pStyle w:val="RuleHeader"/>
                          </w:pPr>
                          <w:r>
                            <w:t>22</w:t>
                          </w:r>
                        </w:p>
                        <w:p w14:paraId="274A6890" w14:textId="77777777" w:rsidR="004C222E" w:rsidRDefault="004C222E">
                          <w:pPr>
                            <w:pStyle w:val="RuleHeader"/>
                          </w:pPr>
                          <w:r>
                            <w:t>23</w:t>
                          </w:r>
                        </w:p>
                        <w:p w14:paraId="6C9A2B36" w14:textId="77777777" w:rsidR="004C222E" w:rsidRDefault="004C222E">
                          <w:pPr>
                            <w:pStyle w:val="RuleHeader"/>
                          </w:pPr>
                          <w:r>
                            <w:t>24</w:t>
                          </w:r>
                        </w:p>
                        <w:p w14:paraId="71789AB8" w14:textId="77777777" w:rsidR="004C222E" w:rsidRDefault="004C222E">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497EE299" id="_x0000_t202" coordsize="21600,21600" o:spt="202" path="m,l,21600r21600,l21600,xe">
              <v:stroke joinstyle="miter"/>
              <v:path gradientshapeok="t" o:connecttype="rect"/>
            </v:shapetype>
            <v:shape id="LineNumbers" o:spid="_x0000_s1026" type="#_x0000_t202" style="position:absolute;left:0;text-align:left;margin-left:69.85pt;margin-top:0;width:36pt;height:6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14:paraId="01C5CBE7" w14:textId="77777777" w:rsidR="004C222E" w:rsidRDefault="004C222E">
                    <w:pPr>
                      <w:pStyle w:val="RuleHeader"/>
                      <w:rPr>
                        <w:rStyle w:val="RuleChar"/>
                      </w:rPr>
                    </w:pPr>
                    <w:r>
                      <w:t>1</w:t>
                    </w:r>
                  </w:p>
                  <w:p w14:paraId="1C2C1C16" w14:textId="77777777" w:rsidR="004C222E" w:rsidRDefault="004C222E">
                    <w:pPr>
                      <w:pStyle w:val="RuleHeader"/>
                    </w:pPr>
                    <w:r>
                      <w:t>2</w:t>
                    </w:r>
                  </w:p>
                  <w:p w14:paraId="633E3030" w14:textId="77777777" w:rsidR="004C222E" w:rsidRDefault="004C222E">
                    <w:pPr>
                      <w:pStyle w:val="RuleHeader"/>
                    </w:pPr>
                    <w:r>
                      <w:t>3</w:t>
                    </w:r>
                  </w:p>
                  <w:p w14:paraId="63CB9B1F" w14:textId="77777777" w:rsidR="004C222E" w:rsidRDefault="004C222E">
                    <w:pPr>
                      <w:pStyle w:val="RuleHeader"/>
                    </w:pPr>
                    <w:r>
                      <w:t>4</w:t>
                    </w:r>
                  </w:p>
                  <w:p w14:paraId="150ACD81" w14:textId="77777777" w:rsidR="004C222E" w:rsidRDefault="004C222E">
                    <w:pPr>
                      <w:pStyle w:val="RuleHeader"/>
                    </w:pPr>
                    <w:r>
                      <w:t>5</w:t>
                    </w:r>
                  </w:p>
                  <w:p w14:paraId="5A7A8E27" w14:textId="77777777" w:rsidR="004C222E" w:rsidRDefault="004C222E">
                    <w:pPr>
                      <w:pStyle w:val="RuleHeader"/>
                    </w:pPr>
                    <w:r>
                      <w:t>6</w:t>
                    </w:r>
                  </w:p>
                  <w:p w14:paraId="2AAC422A" w14:textId="77777777" w:rsidR="004C222E" w:rsidRDefault="004C222E">
                    <w:pPr>
                      <w:pStyle w:val="RuleHeader"/>
                    </w:pPr>
                    <w:r>
                      <w:t>7</w:t>
                    </w:r>
                  </w:p>
                  <w:p w14:paraId="2D73107D" w14:textId="77777777" w:rsidR="004C222E" w:rsidRDefault="004C222E">
                    <w:pPr>
                      <w:pStyle w:val="RuleHeader"/>
                    </w:pPr>
                    <w:r>
                      <w:t>8</w:t>
                    </w:r>
                  </w:p>
                  <w:p w14:paraId="324C4CF9" w14:textId="77777777" w:rsidR="004C222E" w:rsidRDefault="004C222E">
                    <w:pPr>
                      <w:pStyle w:val="RuleHeader"/>
                    </w:pPr>
                    <w:r>
                      <w:t>9</w:t>
                    </w:r>
                  </w:p>
                  <w:p w14:paraId="3431C3D3" w14:textId="77777777" w:rsidR="004C222E" w:rsidRDefault="004C222E">
                    <w:pPr>
                      <w:pStyle w:val="RuleHeader"/>
                    </w:pPr>
                    <w:r>
                      <w:t>10</w:t>
                    </w:r>
                  </w:p>
                  <w:p w14:paraId="7432478C" w14:textId="77777777" w:rsidR="004C222E" w:rsidRDefault="004C222E">
                    <w:pPr>
                      <w:pStyle w:val="RuleHeader"/>
                    </w:pPr>
                    <w:r>
                      <w:t>11</w:t>
                    </w:r>
                  </w:p>
                  <w:p w14:paraId="47EFB427" w14:textId="77777777" w:rsidR="004C222E" w:rsidRDefault="004C222E">
                    <w:pPr>
                      <w:pStyle w:val="RuleHeader"/>
                    </w:pPr>
                    <w:r>
                      <w:t>12</w:t>
                    </w:r>
                  </w:p>
                  <w:p w14:paraId="51DF2464" w14:textId="77777777" w:rsidR="004C222E" w:rsidRDefault="004C222E">
                    <w:pPr>
                      <w:pStyle w:val="RuleHeader"/>
                    </w:pPr>
                    <w:r>
                      <w:t>13</w:t>
                    </w:r>
                  </w:p>
                  <w:p w14:paraId="78840391" w14:textId="77777777" w:rsidR="004C222E" w:rsidRDefault="004C222E">
                    <w:pPr>
                      <w:pStyle w:val="RuleHeader"/>
                    </w:pPr>
                    <w:r>
                      <w:t>14</w:t>
                    </w:r>
                  </w:p>
                  <w:p w14:paraId="7B89B973" w14:textId="77777777" w:rsidR="004C222E" w:rsidRDefault="004C222E">
                    <w:pPr>
                      <w:pStyle w:val="RuleHeader"/>
                    </w:pPr>
                    <w:r>
                      <w:t>15</w:t>
                    </w:r>
                  </w:p>
                  <w:p w14:paraId="6D9C60A5" w14:textId="77777777" w:rsidR="004C222E" w:rsidRDefault="004C222E">
                    <w:pPr>
                      <w:pStyle w:val="RuleHeader"/>
                    </w:pPr>
                    <w:r>
                      <w:t>16</w:t>
                    </w:r>
                  </w:p>
                  <w:p w14:paraId="23347B20" w14:textId="77777777" w:rsidR="004C222E" w:rsidRDefault="004C222E">
                    <w:pPr>
                      <w:pStyle w:val="RuleHeader"/>
                    </w:pPr>
                    <w:r>
                      <w:t>17</w:t>
                    </w:r>
                  </w:p>
                  <w:p w14:paraId="2F6444BB" w14:textId="77777777" w:rsidR="004C222E" w:rsidRDefault="004C222E">
                    <w:pPr>
                      <w:pStyle w:val="RuleHeader"/>
                    </w:pPr>
                    <w:r>
                      <w:t>18</w:t>
                    </w:r>
                  </w:p>
                  <w:p w14:paraId="34AD8610" w14:textId="77777777" w:rsidR="004C222E" w:rsidRDefault="004C222E">
                    <w:pPr>
                      <w:pStyle w:val="RuleHeader"/>
                    </w:pPr>
                    <w:r>
                      <w:t>19</w:t>
                    </w:r>
                  </w:p>
                  <w:p w14:paraId="7FFCDC44" w14:textId="77777777" w:rsidR="004C222E" w:rsidRDefault="004C222E">
                    <w:pPr>
                      <w:pStyle w:val="RuleHeader"/>
                    </w:pPr>
                    <w:r>
                      <w:t>20</w:t>
                    </w:r>
                  </w:p>
                  <w:p w14:paraId="229B0F58" w14:textId="77777777" w:rsidR="004C222E" w:rsidRDefault="004C222E">
                    <w:pPr>
                      <w:pStyle w:val="RuleHeader"/>
                    </w:pPr>
                    <w:r>
                      <w:t>21</w:t>
                    </w:r>
                  </w:p>
                  <w:p w14:paraId="31A87983" w14:textId="77777777" w:rsidR="004C222E" w:rsidRDefault="004C222E">
                    <w:pPr>
                      <w:pStyle w:val="RuleHeader"/>
                    </w:pPr>
                    <w:r>
                      <w:t>22</w:t>
                    </w:r>
                  </w:p>
                  <w:p w14:paraId="274A6890" w14:textId="77777777" w:rsidR="004C222E" w:rsidRDefault="004C222E">
                    <w:pPr>
                      <w:pStyle w:val="RuleHeader"/>
                    </w:pPr>
                    <w:r>
                      <w:t>23</w:t>
                    </w:r>
                  </w:p>
                  <w:p w14:paraId="6C9A2B36" w14:textId="77777777" w:rsidR="004C222E" w:rsidRDefault="004C222E">
                    <w:pPr>
                      <w:pStyle w:val="RuleHeader"/>
                    </w:pPr>
                    <w:r>
                      <w:t>24</w:t>
                    </w:r>
                  </w:p>
                  <w:p w14:paraId="71789AB8" w14:textId="77777777" w:rsidR="004C222E" w:rsidRDefault="004C222E">
                    <w:pPr>
                      <w:pStyle w:val="RuleHeader"/>
                    </w:pPr>
                    <w:r>
                      <w:t>25</w:t>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3AF15" w14:textId="7A88C1F2" w:rsidR="004C222E" w:rsidRDefault="004C222E">
    <w:pPr>
      <w:tabs>
        <w:tab w:val="left" w:pos="3770"/>
      </w:tabs>
    </w:pPr>
    <w:r>
      <w:rPr>
        <w:noProof/>
      </w:rPr>
      <mc:AlternateContent>
        <mc:Choice Requires="wps">
          <w:drawing>
            <wp:anchor distT="0" distB="0" distL="114300" distR="114300" simplePos="0" relativeHeight="251653120" behindDoc="0" locked="0" layoutInCell="1" allowOverlap="1" wp14:anchorId="20C4B03D" wp14:editId="2EF06C60">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CA297" id="LeftBorder1" o:spid="_x0000_s1026"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57216" behindDoc="0" locked="0" layoutInCell="1" allowOverlap="1" wp14:anchorId="706DC91C" wp14:editId="587A7B43">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E04D6" w14:textId="77777777" w:rsidR="004C222E" w:rsidRDefault="004C222E">
                          <w:pPr>
                            <w:jc w:val="right"/>
                          </w:pPr>
                          <w:r>
                            <w:t>1</w:t>
                          </w:r>
                        </w:p>
                        <w:p w14:paraId="0EAC418A" w14:textId="77777777" w:rsidR="004C222E" w:rsidRDefault="004C222E">
                          <w:pPr>
                            <w:jc w:val="right"/>
                          </w:pPr>
                          <w:r>
                            <w:t>2</w:t>
                          </w:r>
                        </w:p>
                        <w:p w14:paraId="015AFCAA" w14:textId="77777777" w:rsidR="004C222E" w:rsidRDefault="004C222E">
                          <w:pPr>
                            <w:jc w:val="right"/>
                          </w:pPr>
                          <w:r>
                            <w:t>3</w:t>
                          </w:r>
                        </w:p>
                        <w:p w14:paraId="1A9BBBB5" w14:textId="77777777" w:rsidR="004C222E" w:rsidRDefault="004C222E">
                          <w:pPr>
                            <w:jc w:val="right"/>
                          </w:pPr>
                          <w:r>
                            <w:t>4</w:t>
                          </w:r>
                        </w:p>
                        <w:p w14:paraId="637CE033" w14:textId="77777777" w:rsidR="004C222E" w:rsidRDefault="004C222E">
                          <w:pPr>
                            <w:jc w:val="right"/>
                          </w:pPr>
                          <w:r>
                            <w:t>5</w:t>
                          </w:r>
                        </w:p>
                        <w:p w14:paraId="48B1FAE0" w14:textId="77777777" w:rsidR="004C222E" w:rsidRDefault="004C222E">
                          <w:pPr>
                            <w:jc w:val="right"/>
                          </w:pPr>
                          <w:r>
                            <w:t>6</w:t>
                          </w:r>
                        </w:p>
                        <w:p w14:paraId="6EF24C92" w14:textId="77777777" w:rsidR="004C222E" w:rsidRDefault="004C222E">
                          <w:pPr>
                            <w:jc w:val="right"/>
                          </w:pPr>
                          <w:r>
                            <w:t>7</w:t>
                          </w:r>
                        </w:p>
                        <w:p w14:paraId="60707E24" w14:textId="77777777" w:rsidR="004C222E" w:rsidRDefault="004C222E">
                          <w:pPr>
                            <w:jc w:val="right"/>
                          </w:pPr>
                          <w:r>
                            <w:t>8</w:t>
                          </w:r>
                        </w:p>
                        <w:p w14:paraId="56A403B8" w14:textId="77777777" w:rsidR="004C222E" w:rsidRDefault="004C222E">
                          <w:pPr>
                            <w:jc w:val="right"/>
                          </w:pPr>
                          <w:r>
                            <w:t>9</w:t>
                          </w:r>
                        </w:p>
                        <w:p w14:paraId="6D2F7F1C" w14:textId="77777777" w:rsidR="004C222E" w:rsidRDefault="004C222E">
                          <w:pPr>
                            <w:jc w:val="right"/>
                          </w:pPr>
                          <w:r>
                            <w:t>10</w:t>
                          </w:r>
                        </w:p>
                        <w:p w14:paraId="522C4A22" w14:textId="77777777" w:rsidR="004C222E" w:rsidRDefault="004C222E">
                          <w:pPr>
                            <w:jc w:val="right"/>
                          </w:pPr>
                          <w:r>
                            <w:t>11</w:t>
                          </w:r>
                        </w:p>
                        <w:p w14:paraId="0824E906" w14:textId="77777777" w:rsidR="004C222E" w:rsidRDefault="004C222E">
                          <w:pPr>
                            <w:jc w:val="right"/>
                          </w:pPr>
                          <w:r>
                            <w:t>12</w:t>
                          </w:r>
                        </w:p>
                        <w:p w14:paraId="0B0C4986" w14:textId="77777777" w:rsidR="004C222E" w:rsidRDefault="004C222E">
                          <w:pPr>
                            <w:jc w:val="right"/>
                          </w:pPr>
                          <w:r>
                            <w:t>13</w:t>
                          </w:r>
                        </w:p>
                        <w:p w14:paraId="716D51F3" w14:textId="77777777" w:rsidR="004C222E" w:rsidRDefault="004C222E">
                          <w:pPr>
                            <w:jc w:val="right"/>
                          </w:pPr>
                          <w:r>
                            <w:t>14</w:t>
                          </w:r>
                        </w:p>
                        <w:p w14:paraId="09EDC0EE" w14:textId="77777777" w:rsidR="004C222E" w:rsidRDefault="004C222E">
                          <w:pPr>
                            <w:jc w:val="right"/>
                          </w:pPr>
                          <w:r>
                            <w:t>15</w:t>
                          </w:r>
                        </w:p>
                        <w:p w14:paraId="010F2270" w14:textId="77777777" w:rsidR="004C222E" w:rsidRDefault="004C222E">
                          <w:pPr>
                            <w:jc w:val="right"/>
                          </w:pPr>
                          <w:r>
                            <w:t>16</w:t>
                          </w:r>
                        </w:p>
                        <w:p w14:paraId="3CA8CA1A" w14:textId="77777777" w:rsidR="004C222E" w:rsidRDefault="004C222E">
                          <w:pPr>
                            <w:jc w:val="right"/>
                          </w:pPr>
                          <w:r>
                            <w:t>17</w:t>
                          </w:r>
                        </w:p>
                        <w:p w14:paraId="325E0FC1" w14:textId="77777777" w:rsidR="004C222E" w:rsidRDefault="004C222E">
                          <w:pPr>
                            <w:jc w:val="right"/>
                          </w:pPr>
                          <w:r>
                            <w:t>18</w:t>
                          </w:r>
                        </w:p>
                        <w:p w14:paraId="5D8F28EB" w14:textId="77777777" w:rsidR="004C222E" w:rsidRDefault="004C222E">
                          <w:pPr>
                            <w:jc w:val="right"/>
                          </w:pPr>
                          <w:r>
                            <w:t>19</w:t>
                          </w:r>
                        </w:p>
                        <w:p w14:paraId="582195FD" w14:textId="77777777" w:rsidR="004C222E" w:rsidRDefault="004C222E">
                          <w:pPr>
                            <w:jc w:val="right"/>
                          </w:pPr>
                          <w:r>
                            <w:t>20</w:t>
                          </w:r>
                        </w:p>
                        <w:p w14:paraId="1B83E3DA" w14:textId="77777777" w:rsidR="004C222E" w:rsidRDefault="004C222E">
                          <w:pPr>
                            <w:jc w:val="right"/>
                          </w:pPr>
                          <w:r>
                            <w:t>21</w:t>
                          </w:r>
                        </w:p>
                        <w:p w14:paraId="2DC8ECFA" w14:textId="77777777" w:rsidR="004C222E" w:rsidRDefault="004C222E">
                          <w:pPr>
                            <w:jc w:val="right"/>
                          </w:pPr>
                          <w:r>
                            <w:t>22</w:t>
                          </w:r>
                        </w:p>
                        <w:p w14:paraId="1037F0F0" w14:textId="77777777" w:rsidR="004C222E" w:rsidRDefault="004C222E">
                          <w:pPr>
                            <w:jc w:val="right"/>
                          </w:pPr>
                          <w:r>
                            <w:t>23</w:t>
                          </w:r>
                        </w:p>
                        <w:p w14:paraId="4D22F0EB" w14:textId="77777777" w:rsidR="004C222E" w:rsidRDefault="004C222E">
                          <w:pPr>
                            <w:jc w:val="right"/>
                          </w:pPr>
                          <w:r>
                            <w:t>24</w:t>
                          </w:r>
                        </w:p>
                        <w:p w14:paraId="50813705" w14:textId="77777777" w:rsidR="004C222E" w:rsidRDefault="004C222E">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706DC91C" id="_x0000_t202" coordsize="21600,21600" o:spt="202" path="m,l,21600r21600,l21600,xe">
              <v:stroke joinstyle="miter"/>
              <v:path gradientshapeok="t" o:connecttype="rect"/>
            </v:shapetype>
            <v:shape id="_x0000_s1027" type="#_x0000_t202" style="position:absolute;margin-left:-50.4pt;margin-top:0;width:36pt;height:68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14:paraId="041E04D6" w14:textId="77777777" w:rsidR="004C222E" w:rsidRDefault="004C222E">
                    <w:pPr>
                      <w:jc w:val="right"/>
                    </w:pPr>
                    <w:r>
                      <w:t>1</w:t>
                    </w:r>
                  </w:p>
                  <w:p w14:paraId="0EAC418A" w14:textId="77777777" w:rsidR="004C222E" w:rsidRDefault="004C222E">
                    <w:pPr>
                      <w:jc w:val="right"/>
                    </w:pPr>
                    <w:r>
                      <w:t>2</w:t>
                    </w:r>
                  </w:p>
                  <w:p w14:paraId="015AFCAA" w14:textId="77777777" w:rsidR="004C222E" w:rsidRDefault="004C222E">
                    <w:pPr>
                      <w:jc w:val="right"/>
                    </w:pPr>
                    <w:r>
                      <w:t>3</w:t>
                    </w:r>
                  </w:p>
                  <w:p w14:paraId="1A9BBBB5" w14:textId="77777777" w:rsidR="004C222E" w:rsidRDefault="004C222E">
                    <w:pPr>
                      <w:jc w:val="right"/>
                    </w:pPr>
                    <w:r>
                      <w:t>4</w:t>
                    </w:r>
                  </w:p>
                  <w:p w14:paraId="637CE033" w14:textId="77777777" w:rsidR="004C222E" w:rsidRDefault="004C222E">
                    <w:pPr>
                      <w:jc w:val="right"/>
                    </w:pPr>
                    <w:r>
                      <w:t>5</w:t>
                    </w:r>
                  </w:p>
                  <w:p w14:paraId="48B1FAE0" w14:textId="77777777" w:rsidR="004C222E" w:rsidRDefault="004C222E">
                    <w:pPr>
                      <w:jc w:val="right"/>
                    </w:pPr>
                    <w:r>
                      <w:t>6</w:t>
                    </w:r>
                  </w:p>
                  <w:p w14:paraId="6EF24C92" w14:textId="77777777" w:rsidR="004C222E" w:rsidRDefault="004C222E">
                    <w:pPr>
                      <w:jc w:val="right"/>
                    </w:pPr>
                    <w:r>
                      <w:t>7</w:t>
                    </w:r>
                  </w:p>
                  <w:p w14:paraId="60707E24" w14:textId="77777777" w:rsidR="004C222E" w:rsidRDefault="004C222E">
                    <w:pPr>
                      <w:jc w:val="right"/>
                    </w:pPr>
                    <w:r>
                      <w:t>8</w:t>
                    </w:r>
                  </w:p>
                  <w:p w14:paraId="56A403B8" w14:textId="77777777" w:rsidR="004C222E" w:rsidRDefault="004C222E">
                    <w:pPr>
                      <w:jc w:val="right"/>
                    </w:pPr>
                    <w:r>
                      <w:t>9</w:t>
                    </w:r>
                  </w:p>
                  <w:p w14:paraId="6D2F7F1C" w14:textId="77777777" w:rsidR="004C222E" w:rsidRDefault="004C222E">
                    <w:pPr>
                      <w:jc w:val="right"/>
                    </w:pPr>
                    <w:r>
                      <w:t>10</w:t>
                    </w:r>
                  </w:p>
                  <w:p w14:paraId="522C4A22" w14:textId="77777777" w:rsidR="004C222E" w:rsidRDefault="004C222E">
                    <w:pPr>
                      <w:jc w:val="right"/>
                    </w:pPr>
                    <w:r>
                      <w:t>11</w:t>
                    </w:r>
                  </w:p>
                  <w:p w14:paraId="0824E906" w14:textId="77777777" w:rsidR="004C222E" w:rsidRDefault="004C222E">
                    <w:pPr>
                      <w:jc w:val="right"/>
                    </w:pPr>
                    <w:r>
                      <w:t>12</w:t>
                    </w:r>
                  </w:p>
                  <w:p w14:paraId="0B0C4986" w14:textId="77777777" w:rsidR="004C222E" w:rsidRDefault="004C222E">
                    <w:pPr>
                      <w:jc w:val="right"/>
                    </w:pPr>
                    <w:r>
                      <w:t>13</w:t>
                    </w:r>
                  </w:p>
                  <w:p w14:paraId="716D51F3" w14:textId="77777777" w:rsidR="004C222E" w:rsidRDefault="004C222E">
                    <w:pPr>
                      <w:jc w:val="right"/>
                    </w:pPr>
                    <w:r>
                      <w:t>14</w:t>
                    </w:r>
                  </w:p>
                  <w:p w14:paraId="09EDC0EE" w14:textId="77777777" w:rsidR="004C222E" w:rsidRDefault="004C222E">
                    <w:pPr>
                      <w:jc w:val="right"/>
                    </w:pPr>
                    <w:r>
                      <w:t>15</w:t>
                    </w:r>
                  </w:p>
                  <w:p w14:paraId="010F2270" w14:textId="77777777" w:rsidR="004C222E" w:rsidRDefault="004C222E">
                    <w:pPr>
                      <w:jc w:val="right"/>
                    </w:pPr>
                    <w:r>
                      <w:t>16</w:t>
                    </w:r>
                  </w:p>
                  <w:p w14:paraId="3CA8CA1A" w14:textId="77777777" w:rsidR="004C222E" w:rsidRDefault="004C222E">
                    <w:pPr>
                      <w:jc w:val="right"/>
                    </w:pPr>
                    <w:r>
                      <w:t>17</w:t>
                    </w:r>
                  </w:p>
                  <w:p w14:paraId="325E0FC1" w14:textId="77777777" w:rsidR="004C222E" w:rsidRDefault="004C222E">
                    <w:pPr>
                      <w:jc w:val="right"/>
                    </w:pPr>
                    <w:r>
                      <w:t>18</w:t>
                    </w:r>
                  </w:p>
                  <w:p w14:paraId="5D8F28EB" w14:textId="77777777" w:rsidR="004C222E" w:rsidRDefault="004C222E">
                    <w:pPr>
                      <w:jc w:val="right"/>
                    </w:pPr>
                    <w:r>
                      <w:t>19</w:t>
                    </w:r>
                  </w:p>
                  <w:p w14:paraId="582195FD" w14:textId="77777777" w:rsidR="004C222E" w:rsidRDefault="004C222E">
                    <w:pPr>
                      <w:jc w:val="right"/>
                    </w:pPr>
                    <w:r>
                      <w:t>20</w:t>
                    </w:r>
                  </w:p>
                  <w:p w14:paraId="1B83E3DA" w14:textId="77777777" w:rsidR="004C222E" w:rsidRDefault="004C222E">
                    <w:pPr>
                      <w:jc w:val="right"/>
                    </w:pPr>
                    <w:r>
                      <w:t>21</w:t>
                    </w:r>
                  </w:p>
                  <w:p w14:paraId="2DC8ECFA" w14:textId="77777777" w:rsidR="004C222E" w:rsidRDefault="004C222E">
                    <w:pPr>
                      <w:jc w:val="right"/>
                    </w:pPr>
                    <w:r>
                      <w:t>22</w:t>
                    </w:r>
                  </w:p>
                  <w:p w14:paraId="1037F0F0" w14:textId="77777777" w:rsidR="004C222E" w:rsidRDefault="004C222E">
                    <w:pPr>
                      <w:jc w:val="right"/>
                    </w:pPr>
                    <w:r>
                      <w:t>23</w:t>
                    </w:r>
                  </w:p>
                  <w:p w14:paraId="4D22F0EB" w14:textId="77777777" w:rsidR="004C222E" w:rsidRDefault="004C222E">
                    <w:pPr>
                      <w:jc w:val="right"/>
                    </w:pPr>
                    <w:r>
                      <w:t>24</w:t>
                    </w:r>
                  </w:p>
                  <w:p w14:paraId="50813705" w14:textId="77777777" w:rsidR="004C222E" w:rsidRDefault="004C222E">
                    <w:pPr>
                      <w:jc w:val="right"/>
                    </w:pPr>
                    <w:r>
                      <w:t>25</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EE77B" w14:textId="5291AB24" w:rsidR="00B64BD8" w:rsidRDefault="00B64BD8" w:rsidP="0077388A">
    <w:pPr>
      <w:pStyle w:val="Header"/>
      <w:tabs>
        <w:tab w:val="clear" w:pos="4320"/>
        <w:tab w:val="clear" w:pos="8640"/>
        <w:tab w:val="right" w:pos="9360"/>
      </w:tabs>
    </w:pPr>
    <w:r>
      <w:fldChar w:fldCharType="begin"/>
    </w:r>
    <w:r>
      <w:instrText xml:space="preserve"> REF DocketLabel</w:instrText>
    </w:r>
    <w:r>
      <w:fldChar w:fldCharType="separate"/>
    </w:r>
    <w:r w:rsidR="00913635">
      <w:t>Docket No.</w:t>
    </w:r>
    <w:r>
      <w:fldChar w:fldCharType="end"/>
    </w:r>
    <w:r>
      <w:t xml:space="preserve"> </w:t>
    </w:r>
    <w:r>
      <w:fldChar w:fldCharType="begin"/>
    </w:r>
    <w:r>
      <w:instrText xml:space="preserve"> REF DocketList</w:instrText>
    </w:r>
    <w:r>
      <w:fldChar w:fldCharType="separate"/>
    </w:r>
    <w:r w:rsidR="00913635">
      <w:t>20230123-WS</w:t>
    </w:r>
    <w:r>
      <w:fldChar w:fldCharType="end"/>
    </w:r>
    <w:r>
      <w:tab/>
      <w:t>Attachment A</w:t>
    </w:r>
  </w:p>
  <w:p w14:paraId="70534C79" w14:textId="5461ADC4" w:rsidR="00B64BD8" w:rsidRDefault="00B64BD8" w:rsidP="0077388A">
    <w:pPr>
      <w:pStyle w:val="Header"/>
      <w:rPr>
        <w:b/>
      </w:rPr>
    </w:pPr>
    <w:r>
      <w:t>Date: February 22, 2024</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F1FFD" w14:textId="08B19545" w:rsidR="004C222E" w:rsidRDefault="004C222E" w:rsidP="0077388A">
    <w:pPr>
      <w:pStyle w:val="Header"/>
      <w:tabs>
        <w:tab w:val="clear" w:pos="4320"/>
        <w:tab w:val="clear" w:pos="8640"/>
        <w:tab w:val="right" w:pos="9360"/>
      </w:tabs>
    </w:pPr>
    <w:r>
      <w:fldChar w:fldCharType="begin"/>
    </w:r>
    <w:r>
      <w:instrText xml:space="preserve"> REF DocketLabel</w:instrText>
    </w:r>
    <w:r>
      <w:fldChar w:fldCharType="separate"/>
    </w:r>
    <w:r w:rsidR="00913635">
      <w:t>Docket No.</w:t>
    </w:r>
    <w:r>
      <w:fldChar w:fldCharType="end"/>
    </w:r>
    <w:r>
      <w:t xml:space="preserve"> </w:t>
    </w:r>
    <w:r>
      <w:fldChar w:fldCharType="begin"/>
    </w:r>
    <w:r>
      <w:instrText xml:space="preserve"> REF DocketList</w:instrText>
    </w:r>
    <w:r>
      <w:fldChar w:fldCharType="separate"/>
    </w:r>
    <w:r w:rsidR="00913635">
      <w:t>20230123-WS</w:t>
    </w:r>
    <w:r>
      <w:fldChar w:fldCharType="end"/>
    </w:r>
    <w:r>
      <w:tab/>
      <w:t>Attachment B</w:t>
    </w:r>
  </w:p>
  <w:p w14:paraId="3F123C99" w14:textId="23C44CC5" w:rsidR="004C222E" w:rsidRDefault="004C222E" w:rsidP="0077388A">
    <w:pPr>
      <w:pStyle w:val="Header"/>
    </w:pPr>
    <w:r>
      <w:t xml:space="preserve">Date: </w:t>
    </w:r>
    <w:r w:rsidR="000015DB">
      <w:t>February 22</w:t>
    </w:r>
    <w:r>
      <w:t>, 2024</w:t>
    </w:r>
  </w:p>
  <w:p w14:paraId="621B0C84" w14:textId="7350CAF3" w:rsidR="004C222E" w:rsidRDefault="004C222E" w:rsidP="0077388A">
    <w:pPr>
      <w:pStyle w:val="Header"/>
      <w:rPr>
        <w:b/>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A8BC0" w14:textId="5CA445F1" w:rsidR="004C222E" w:rsidRDefault="004C222E" w:rsidP="00C21296">
    <w:pPr>
      <w:pStyle w:val="Header"/>
      <w:tabs>
        <w:tab w:val="clear" w:pos="4320"/>
        <w:tab w:val="clear" w:pos="8640"/>
        <w:tab w:val="right" w:pos="9360"/>
      </w:tabs>
    </w:pPr>
    <w:r>
      <w:fldChar w:fldCharType="begin"/>
    </w:r>
    <w:r>
      <w:instrText xml:space="preserve"> REF DocketLabel</w:instrText>
    </w:r>
    <w:r>
      <w:fldChar w:fldCharType="separate"/>
    </w:r>
    <w:r w:rsidR="00913635">
      <w:t>Docket No.</w:t>
    </w:r>
    <w:r>
      <w:fldChar w:fldCharType="end"/>
    </w:r>
    <w:r>
      <w:t xml:space="preserve"> </w:t>
    </w:r>
    <w:r>
      <w:fldChar w:fldCharType="begin"/>
    </w:r>
    <w:r>
      <w:instrText xml:space="preserve"> REF DocketList</w:instrText>
    </w:r>
    <w:r>
      <w:fldChar w:fldCharType="separate"/>
    </w:r>
    <w:r w:rsidR="00913635">
      <w:t>20230123-WS</w:t>
    </w:r>
    <w:r>
      <w:fldChar w:fldCharType="end"/>
    </w:r>
    <w:r>
      <w:tab/>
      <w:t>Attachment C</w:t>
    </w:r>
  </w:p>
  <w:p w14:paraId="7090172B" w14:textId="7560266E" w:rsidR="004C222E" w:rsidRDefault="004C222E" w:rsidP="00C21296">
    <w:pPr>
      <w:pStyle w:val="Header"/>
    </w:pPr>
    <w:r>
      <w:t xml:space="preserve">Date: </w:t>
    </w:r>
    <w:r w:rsidR="000015DB">
      <w:t>February 22</w:t>
    </w:r>
    <w:r>
      <w:t>, 2024</w:t>
    </w:r>
  </w:p>
  <w:p w14:paraId="28B5D8B0" w14:textId="7BBC91C3" w:rsidR="004C222E" w:rsidRDefault="004C222E" w:rsidP="0077388A">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D34E24"/>
    <w:rsid w:val="000015DB"/>
    <w:rsid w:val="000043D5"/>
    <w:rsid w:val="00006170"/>
    <w:rsid w:val="00010E37"/>
    <w:rsid w:val="00014265"/>
    <w:rsid w:val="00015051"/>
    <w:rsid w:val="000172DA"/>
    <w:rsid w:val="000202F9"/>
    <w:rsid w:val="00020EA5"/>
    <w:rsid w:val="00022337"/>
    <w:rsid w:val="00023A0E"/>
    <w:rsid w:val="000247C5"/>
    <w:rsid w:val="000277C2"/>
    <w:rsid w:val="00035B48"/>
    <w:rsid w:val="00036CE2"/>
    <w:rsid w:val="000437FE"/>
    <w:rsid w:val="000513BE"/>
    <w:rsid w:val="00051573"/>
    <w:rsid w:val="0005451B"/>
    <w:rsid w:val="00065A06"/>
    <w:rsid w:val="000666F3"/>
    <w:rsid w:val="00067618"/>
    <w:rsid w:val="00070DCB"/>
    <w:rsid w:val="00072CCA"/>
    <w:rsid w:val="00073120"/>
    <w:rsid w:val="00074E99"/>
    <w:rsid w:val="000764D0"/>
    <w:rsid w:val="000810DC"/>
    <w:rsid w:val="00081B67"/>
    <w:rsid w:val="000828D3"/>
    <w:rsid w:val="000A1F7B"/>
    <w:rsid w:val="000A2B57"/>
    <w:rsid w:val="000A418B"/>
    <w:rsid w:val="000A5AD6"/>
    <w:rsid w:val="000B0ACE"/>
    <w:rsid w:val="000C0E5A"/>
    <w:rsid w:val="000C4431"/>
    <w:rsid w:val="000C6607"/>
    <w:rsid w:val="000D1C06"/>
    <w:rsid w:val="000D3043"/>
    <w:rsid w:val="000D4319"/>
    <w:rsid w:val="000E24FA"/>
    <w:rsid w:val="000E338A"/>
    <w:rsid w:val="000E4392"/>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3D67"/>
    <w:rsid w:val="00154881"/>
    <w:rsid w:val="00154B82"/>
    <w:rsid w:val="0015506E"/>
    <w:rsid w:val="00161372"/>
    <w:rsid w:val="00163031"/>
    <w:rsid w:val="001654C4"/>
    <w:rsid w:val="00171A90"/>
    <w:rsid w:val="00180254"/>
    <w:rsid w:val="00191E1F"/>
    <w:rsid w:val="00191EE8"/>
    <w:rsid w:val="00192943"/>
    <w:rsid w:val="00193BAF"/>
    <w:rsid w:val="00194791"/>
    <w:rsid w:val="001A7406"/>
    <w:rsid w:val="001A7AE4"/>
    <w:rsid w:val="001B1EDC"/>
    <w:rsid w:val="001B4053"/>
    <w:rsid w:val="001B4FEE"/>
    <w:rsid w:val="001B51C5"/>
    <w:rsid w:val="001B672A"/>
    <w:rsid w:val="001B6F3F"/>
    <w:rsid w:val="001C52B5"/>
    <w:rsid w:val="001D0D3E"/>
    <w:rsid w:val="001D2817"/>
    <w:rsid w:val="001D2899"/>
    <w:rsid w:val="001E14A3"/>
    <w:rsid w:val="001E390F"/>
    <w:rsid w:val="001E7FF4"/>
    <w:rsid w:val="001F2245"/>
    <w:rsid w:val="001F2C63"/>
    <w:rsid w:val="001F3A03"/>
    <w:rsid w:val="001F48C7"/>
    <w:rsid w:val="001F6DA1"/>
    <w:rsid w:val="00200178"/>
    <w:rsid w:val="00204200"/>
    <w:rsid w:val="002044E6"/>
    <w:rsid w:val="00205C82"/>
    <w:rsid w:val="00205DC2"/>
    <w:rsid w:val="00212B17"/>
    <w:rsid w:val="002163B6"/>
    <w:rsid w:val="00216BB1"/>
    <w:rsid w:val="00217215"/>
    <w:rsid w:val="00220732"/>
    <w:rsid w:val="0022121F"/>
    <w:rsid w:val="00221D32"/>
    <w:rsid w:val="00222AC1"/>
    <w:rsid w:val="00225C3F"/>
    <w:rsid w:val="0024069D"/>
    <w:rsid w:val="00243BC5"/>
    <w:rsid w:val="00245CEA"/>
    <w:rsid w:val="00261187"/>
    <w:rsid w:val="00263D44"/>
    <w:rsid w:val="002702AD"/>
    <w:rsid w:val="00281067"/>
    <w:rsid w:val="00281EB4"/>
    <w:rsid w:val="00292D82"/>
    <w:rsid w:val="00293EE7"/>
    <w:rsid w:val="002963CB"/>
    <w:rsid w:val="002A0873"/>
    <w:rsid w:val="002B2DAC"/>
    <w:rsid w:val="002B4A01"/>
    <w:rsid w:val="002C291B"/>
    <w:rsid w:val="002C746A"/>
    <w:rsid w:val="002C7A91"/>
    <w:rsid w:val="002C7E4E"/>
    <w:rsid w:val="002D226D"/>
    <w:rsid w:val="002D74E3"/>
    <w:rsid w:val="002E26A2"/>
    <w:rsid w:val="002E6E92"/>
    <w:rsid w:val="002F1BB3"/>
    <w:rsid w:val="002F2480"/>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1CFC"/>
    <w:rsid w:val="00353B66"/>
    <w:rsid w:val="00355934"/>
    <w:rsid w:val="00357928"/>
    <w:rsid w:val="003632FD"/>
    <w:rsid w:val="003638BE"/>
    <w:rsid w:val="00370F78"/>
    <w:rsid w:val="00372805"/>
    <w:rsid w:val="00373180"/>
    <w:rsid w:val="00375AB9"/>
    <w:rsid w:val="0037691E"/>
    <w:rsid w:val="00377375"/>
    <w:rsid w:val="003821A0"/>
    <w:rsid w:val="00385B04"/>
    <w:rsid w:val="003864CF"/>
    <w:rsid w:val="003948AE"/>
    <w:rsid w:val="003A08C0"/>
    <w:rsid w:val="003A22A6"/>
    <w:rsid w:val="003A32EB"/>
    <w:rsid w:val="003A5494"/>
    <w:rsid w:val="003A62F2"/>
    <w:rsid w:val="003B2510"/>
    <w:rsid w:val="003B28D9"/>
    <w:rsid w:val="003B4355"/>
    <w:rsid w:val="003C2CC4"/>
    <w:rsid w:val="003C3710"/>
    <w:rsid w:val="003C42A3"/>
    <w:rsid w:val="003C48F7"/>
    <w:rsid w:val="003D1EE8"/>
    <w:rsid w:val="003E0420"/>
    <w:rsid w:val="003E0463"/>
    <w:rsid w:val="003E0EFC"/>
    <w:rsid w:val="003E4A2B"/>
    <w:rsid w:val="003E6781"/>
    <w:rsid w:val="003E6FE9"/>
    <w:rsid w:val="003E76C2"/>
    <w:rsid w:val="003E7BEC"/>
    <w:rsid w:val="003F1367"/>
    <w:rsid w:val="003F1679"/>
    <w:rsid w:val="003F21EB"/>
    <w:rsid w:val="003F4A35"/>
    <w:rsid w:val="003F5F03"/>
    <w:rsid w:val="003F7FDD"/>
    <w:rsid w:val="00402101"/>
    <w:rsid w:val="00402481"/>
    <w:rsid w:val="004042B4"/>
    <w:rsid w:val="00410DC4"/>
    <w:rsid w:val="00412DAE"/>
    <w:rsid w:val="0041302D"/>
    <w:rsid w:val="00413E23"/>
    <w:rsid w:val="004242E6"/>
    <w:rsid w:val="00427B35"/>
    <w:rsid w:val="00431598"/>
    <w:rsid w:val="004319AD"/>
    <w:rsid w:val="00436269"/>
    <w:rsid w:val="00442185"/>
    <w:rsid w:val="004426B8"/>
    <w:rsid w:val="00444432"/>
    <w:rsid w:val="00447D5C"/>
    <w:rsid w:val="00450202"/>
    <w:rsid w:val="004502B2"/>
    <w:rsid w:val="00455499"/>
    <w:rsid w:val="0045763C"/>
    <w:rsid w:val="004649A7"/>
    <w:rsid w:val="0046681E"/>
    <w:rsid w:val="00471860"/>
    <w:rsid w:val="004763DA"/>
    <w:rsid w:val="00477026"/>
    <w:rsid w:val="00477730"/>
    <w:rsid w:val="00477929"/>
    <w:rsid w:val="004A744D"/>
    <w:rsid w:val="004B60BD"/>
    <w:rsid w:val="004C222E"/>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1E92"/>
    <w:rsid w:val="005050A2"/>
    <w:rsid w:val="00506030"/>
    <w:rsid w:val="0050652D"/>
    <w:rsid w:val="00506C03"/>
    <w:rsid w:val="00511A11"/>
    <w:rsid w:val="00516496"/>
    <w:rsid w:val="00522E7D"/>
    <w:rsid w:val="00523B11"/>
    <w:rsid w:val="0052455B"/>
    <w:rsid w:val="0052572A"/>
    <w:rsid w:val="00530575"/>
    <w:rsid w:val="00532DFB"/>
    <w:rsid w:val="00543CB3"/>
    <w:rsid w:val="005442E4"/>
    <w:rsid w:val="00547652"/>
    <w:rsid w:val="0055529B"/>
    <w:rsid w:val="00557306"/>
    <w:rsid w:val="00557847"/>
    <w:rsid w:val="00560FF0"/>
    <w:rsid w:val="005614BD"/>
    <w:rsid w:val="00567615"/>
    <w:rsid w:val="0057150B"/>
    <w:rsid w:val="0057154F"/>
    <w:rsid w:val="00580F69"/>
    <w:rsid w:val="005814E1"/>
    <w:rsid w:val="00581CA3"/>
    <w:rsid w:val="005826E4"/>
    <w:rsid w:val="005845A5"/>
    <w:rsid w:val="00585031"/>
    <w:rsid w:val="00586E8B"/>
    <w:rsid w:val="00587090"/>
    <w:rsid w:val="00587A44"/>
    <w:rsid w:val="00597730"/>
    <w:rsid w:val="005977EC"/>
    <w:rsid w:val="00597DE7"/>
    <w:rsid w:val="005A1CD3"/>
    <w:rsid w:val="005A4AA2"/>
    <w:rsid w:val="005A5328"/>
    <w:rsid w:val="005B34B6"/>
    <w:rsid w:val="005B3867"/>
    <w:rsid w:val="005B606A"/>
    <w:rsid w:val="005B6C8F"/>
    <w:rsid w:val="005B6EC3"/>
    <w:rsid w:val="005C17D7"/>
    <w:rsid w:val="005C33CE"/>
    <w:rsid w:val="005D0F74"/>
    <w:rsid w:val="005D2E7D"/>
    <w:rsid w:val="005D4A8F"/>
    <w:rsid w:val="005D561B"/>
    <w:rsid w:val="005D578F"/>
    <w:rsid w:val="005D5ECF"/>
    <w:rsid w:val="005F468D"/>
    <w:rsid w:val="005F69A3"/>
    <w:rsid w:val="006015E7"/>
    <w:rsid w:val="0060233C"/>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0DE6"/>
    <w:rsid w:val="006554D3"/>
    <w:rsid w:val="006603F4"/>
    <w:rsid w:val="00661708"/>
    <w:rsid w:val="00663D41"/>
    <w:rsid w:val="00666522"/>
    <w:rsid w:val="00667036"/>
    <w:rsid w:val="00667B89"/>
    <w:rsid w:val="00667E77"/>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5D8D"/>
    <w:rsid w:val="006B624F"/>
    <w:rsid w:val="006C0C95"/>
    <w:rsid w:val="006C2B88"/>
    <w:rsid w:val="006C31E3"/>
    <w:rsid w:val="006C37C9"/>
    <w:rsid w:val="006D18D3"/>
    <w:rsid w:val="006D1EE9"/>
    <w:rsid w:val="006D3BD1"/>
    <w:rsid w:val="006D4EC1"/>
    <w:rsid w:val="006E010E"/>
    <w:rsid w:val="006E08CB"/>
    <w:rsid w:val="006E598D"/>
    <w:rsid w:val="00702000"/>
    <w:rsid w:val="0070437D"/>
    <w:rsid w:val="00704CF1"/>
    <w:rsid w:val="00705B04"/>
    <w:rsid w:val="00706102"/>
    <w:rsid w:val="0071040E"/>
    <w:rsid w:val="00712E05"/>
    <w:rsid w:val="007177DF"/>
    <w:rsid w:val="00717EE9"/>
    <w:rsid w:val="00724992"/>
    <w:rsid w:val="00724F64"/>
    <w:rsid w:val="00727F90"/>
    <w:rsid w:val="00734820"/>
    <w:rsid w:val="007349DC"/>
    <w:rsid w:val="0074365E"/>
    <w:rsid w:val="00744B55"/>
    <w:rsid w:val="007515FD"/>
    <w:rsid w:val="00760D80"/>
    <w:rsid w:val="00761CB4"/>
    <w:rsid w:val="0077388A"/>
    <w:rsid w:val="0077642B"/>
    <w:rsid w:val="00780C09"/>
    <w:rsid w:val="00780DDF"/>
    <w:rsid w:val="007834E9"/>
    <w:rsid w:val="00784314"/>
    <w:rsid w:val="00787DBC"/>
    <w:rsid w:val="0079019A"/>
    <w:rsid w:val="00791571"/>
    <w:rsid w:val="00792935"/>
    <w:rsid w:val="00792A67"/>
    <w:rsid w:val="007A04A1"/>
    <w:rsid w:val="007A1840"/>
    <w:rsid w:val="007A3490"/>
    <w:rsid w:val="007A50F5"/>
    <w:rsid w:val="007B36EE"/>
    <w:rsid w:val="007B3E2F"/>
    <w:rsid w:val="007B66A0"/>
    <w:rsid w:val="007B730C"/>
    <w:rsid w:val="007C0528"/>
    <w:rsid w:val="007C08EA"/>
    <w:rsid w:val="007C3D38"/>
    <w:rsid w:val="007C543C"/>
    <w:rsid w:val="007D0F35"/>
    <w:rsid w:val="007D1783"/>
    <w:rsid w:val="007D4546"/>
    <w:rsid w:val="007D4FEB"/>
    <w:rsid w:val="007D6146"/>
    <w:rsid w:val="007E0CE7"/>
    <w:rsid w:val="007E2D7F"/>
    <w:rsid w:val="007E784B"/>
    <w:rsid w:val="007F1193"/>
    <w:rsid w:val="007F2D5E"/>
    <w:rsid w:val="007F417F"/>
    <w:rsid w:val="007F7644"/>
    <w:rsid w:val="008042BD"/>
    <w:rsid w:val="00804E17"/>
    <w:rsid w:val="008050B3"/>
    <w:rsid w:val="00816624"/>
    <w:rsid w:val="00822427"/>
    <w:rsid w:val="00822562"/>
    <w:rsid w:val="00823663"/>
    <w:rsid w:val="00823664"/>
    <w:rsid w:val="008305B7"/>
    <w:rsid w:val="00832DDC"/>
    <w:rsid w:val="008418E6"/>
    <w:rsid w:val="008426B0"/>
    <w:rsid w:val="008431BB"/>
    <w:rsid w:val="00845E34"/>
    <w:rsid w:val="00850BAC"/>
    <w:rsid w:val="0085452F"/>
    <w:rsid w:val="00854A3E"/>
    <w:rsid w:val="00855D08"/>
    <w:rsid w:val="008618A4"/>
    <w:rsid w:val="008731AB"/>
    <w:rsid w:val="00874344"/>
    <w:rsid w:val="0087505D"/>
    <w:rsid w:val="00877703"/>
    <w:rsid w:val="00882155"/>
    <w:rsid w:val="0088233B"/>
    <w:rsid w:val="00883B5E"/>
    <w:rsid w:val="0088599E"/>
    <w:rsid w:val="00886C37"/>
    <w:rsid w:val="008915FC"/>
    <w:rsid w:val="00892D99"/>
    <w:rsid w:val="00893315"/>
    <w:rsid w:val="00894C09"/>
    <w:rsid w:val="00895ACC"/>
    <w:rsid w:val="008B0B29"/>
    <w:rsid w:val="008B5C68"/>
    <w:rsid w:val="008B62AE"/>
    <w:rsid w:val="008C04B5"/>
    <w:rsid w:val="008C14FA"/>
    <w:rsid w:val="008C46C9"/>
    <w:rsid w:val="008C7B0B"/>
    <w:rsid w:val="008D4057"/>
    <w:rsid w:val="008E1F19"/>
    <w:rsid w:val="008F2262"/>
    <w:rsid w:val="008F4D2B"/>
    <w:rsid w:val="008F5B91"/>
    <w:rsid w:val="008F7736"/>
    <w:rsid w:val="0090019E"/>
    <w:rsid w:val="00900435"/>
    <w:rsid w:val="00901086"/>
    <w:rsid w:val="009017C0"/>
    <w:rsid w:val="00901C8A"/>
    <w:rsid w:val="00902F66"/>
    <w:rsid w:val="00904F3B"/>
    <w:rsid w:val="00905886"/>
    <w:rsid w:val="009070D6"/>
    <w:rsid w:val="009076C6"/>
    <w:rsid w:val="0091019E"/>
    <w:rsid w:val="009106F1"/>
    <w:rsid w:val="00912404"/>
    <w:rsid w:val="00913635"/>
    <w:rsid w:val="009145D6"/>
    <w:rsid w:val="00915526"/>
    <w:rsid w:val="00915541"/>
    <w:rsid w:val="00920E64"/>
    <w:rsid w:val="00922002"/>
    <w:rsid w:val="009225CB"/>
    <w:rsid w:val="00924020"/>
    <w:rsid w:val="00924BF4"/>
    <w:rsid w:val="009271A7"/>
    <w:rsid w:val="0092762F"/>
    <w:rsid w:val="009321FA"/>
    <w:rsid w:val="0093658B"/>
    <w:rsid w:val="00936B34"/>
    <w:rsid w:val="00937CFD"/>
    <w:rsid w:val="009429FF"/>
    <w:rsid w:val="00943D76"/>
    <w:rsid w:val="009444D1"/>
    <w:rsid w:val="00945BD6"/>
    <w:rsid w:val="009479FB"/>
    <w:rsid w:val="00947DA1"/>
    <w:rsid w:val="00951C45"/>
    <w:rsid w:val="00951DD8"/>
    <w:rsid w:val="009656F2"/>
    <w:rsid w:val="00966A08"/>
    <w:rsid w:val="009674BB"/>
    <w:rsid w:val="009701B7"/>
    <w:rsid w:val="00971207"/>
    <w:rsid w:val="00975CB4"/>
    <w:rsid w:val="009863B0"/>
    <w:rsid w:val="00987DE1"/>
    <w:rsid w:val="00990571"/>
    <w:rsid w:val="00991905"/>
    <w:rsid w:val="009926B2"/>
    <w:rsid w:val="0099673A"/>
    <w:rsid w:val="009A03D5"/>
    <w:rsid w:val="009A3291"/>
    <w:rsid w:val="009A3330"/>
    <w:rsid w:val="009A548F"/>
    <w:rsid w:val="009A7C96"/>
    <w:rsid w:val="009B45EB"/>
    <w:rsid w:val="009B61BF"/>
    <w:rsid w:val="009C3253"/>
    <w:rsid w:val="009C3DB9"/>
    <w:rsid w:val="009C48FB"/>
    <w:rsid w:val="009C5968"/>
    <w:rsid w:val="009D0436"/>
    <w:rsid w:val="009D46E5"/>
    <w:rsid w:val="009D568A"/>
    <w:rsid w:val="009D6F60"/>
    <w:rsid w:val="009E242A"/>
    <w:rsid w:val="009E52C1"/>
    <w:rsid w:val="009F04EC"/>
    <w:rsid w:val="009F2A7C"/>
    <w:rsid w:val="009F3B36"/>
    <w:rsid w:val="009F7F76"/>
    <w:rsid w:val="00A007A4"/>
    <w:rsid w:val="00A019B9"/>
    <w:rsid w:val="00A03157"/>
    <w:rsid w:val="00A11756"/>
    <w:rsid w:val="00A11DB1"/>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DA0"/>
    <w:rsid w:val="00A47FFC"/>
    <w:rsid w:val="00A5442F"/>
    <w:rsid w:val="00A54A99"/>
    <w:rsid w:val="00A54FF9"/>
    <w:rsid w:val="00A56765"/>
    <w:rsid w:val="00A5707F"/>
    <w:rsid w:val="00A62262"/>
    <w:rsid w:val="00A675AC"/>
    <w:rsid w:val="00A7097D"/>
    <w:rsid w:val="00A7581F"/>
    <w:rsid w:val="00A81274"/>
    <w:rsid w:val="00A86ACA"/>
    <w:rsid w:val="00A92439"/>
    <w:rsid w:val="00A92FB1"/>
    <w:rsid w:val="00A95980"/>
    <w:rsid w:val="00A95A0C"/>
    <w:rsid w:val="00AA1EBE"/>
    <w:rsid w:val="00AA2765"/>
    <w:rsid w:val="00AA7095"/>
    <w:rsid w:val="00AA77B5"/>
    <w:rsid w:val="00AB6C5D"/>
    <w:rsid w:val="00AC3401"/>
    <w:rsid w:val="00AC51A7"/>
    <w:rsid w:val="00AC603B"/>
    <w:rsid w:val="00AD0E89"/>
    <w:rsid w:val="00AD444B"/>
    <w:rsid w:val="00AD5614"/>
    <w:rsid w:val="00AD6C78"/>
    <w:rsid w:val="00AE03F0"/>
    <w:rsid w:val="00AE1723"/>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461FC"/>
    <w:rsid w:val="00B475E5"/>
    <w:rsid w:val="00B516ED"/>
    <w:rsid w:val="00B53FC0"/>
    <w:rsid w:val="00B55788"/>
    <w:rsid w:val="00B565DA"/>
    <w:rsid w:val="00B57A6A"/>
    <w:rsid w:val="00B62D0D"/>
    <w:rsid w:val="00B63094"/>
    <w:rsid w:val="00B64BD8"/>
    <w:rsid w:val="00B664AE"/>
    <w:rsid w:val="00B760F1"/>
    <w:rsid w:val="00B7669E"/>
    <w:rsid w:val="00B76EBB"/>
    <w:rsid w:val="00B77DA1"/>
    <w:rsid w:val="00B822A0"/>
    <w:rsid w:val="00B82F85"/>
    <w:rsid w:val="00B858AE"/>
    <w:rsid w:val="00B85964"/>
    <w:rsid w:val="00B96250"/>
    <w:rsid w:val="00BA0D55"/>
    <w:rsid w:val="00BA37B3"/>
    <w:rsid w:val="00BA4CC6"/>
    <w:rsid w:val="00BA7F46"/>
    <w:rsid w:val="00BB09BE"/>
    <w:rsid w:val="00BB0F1D"/>
    <w:rsid w:val="00BB3493"/>
    <w:rsid w:val="00BB3D79"/>
    <w:rsid w:val="00BB6E4C"/>
    <w:rsid w:val="00BB7468"/>
    <w:rsid w:val="00BC0514"/>
    <w:rsid w:val="00BC188A"/>
    <w:rsid w:val="00BC402E"/>
    <w:rsid w:val="00BC70C6"/>
    <w:rsid w:val="00BD0F48"/>
    <w:rsid w:val="00BD14E5"/>
    <w:rsid w:val="00BD3262"/>
    <w:rsid w:val="00BD5582"/>
    <w:rsid w:val="00BE0E50"/>
    <w:rsid w:val="00BE6A5E"/>
    <w:rsid w:val="00BE6DDB"/>
    <w:rsid w:val="00BF03E0"/>
    <w:rsid w:val="00BF5010"/>
    <w:rsid w:val="00C019B3"/>
    <w:rsid w:val="00C03009"/>
    <w:rsid w:val="00C03D5F"/>
    <w:rsid w:val="00C121E7"/>
    <w:rsid w:val="00C13791"/>
    <w:rsid w:val="00C210BD"/>
    <w:rsid w:val="00C21296"/>
    <w:rsid w:val="00C24A74"/>
    <w:rsid w:val="00C2575A"/>
    <w:rsid w:val="00C31BB3"/>
    <w:rsid w:val="00C36977"/>
    <w:rsid w:val="00C44BAC"/>
    <w:rsid w:val="00C46628"/>
    <w:rsid w:val="00C467DA"/>
    <w:rsid w:val="00C477D9"/>
    <w:rsid w:val="00C57869"/>
    <w:rsid w:val="00C60BA3"/>
    <w:rsid w:val="00C623F7"/>
    <w:rsid w:val="00C62A81"/>
    <w:rsid w:val="00C67CD7"/>
    <w:rsid w:val="00C71E00"/>
    <w:rsid w:val="00C72D69"/>
    <w:rsid w:val="00C75BC5"/>
    <w:rsid w:val="00C81670"/>
    <w:rsid w:val="00C81773"/>
    <w:rsid w:val="00C82861"/>
    <w:rsid w:val="00C86896"/>
    <w:rsid w:val="00C907A8"/>
    <w:rsid w:val="00C91670"/>
    <w:rsid w:val="00C93211"/>
    <w:rsid w:val="00C93DB8"/>
    <w:rsid w:val="00C942EC"/>
    <w:rsid w:val="00C958C5"/>
    <w:rsid w:val="00C96047"/>
    <w:rsid w:val="00C96F02"/>
    <w:rsid w:val="00C979D0"/>
    <w:rsid w:val="00CA0818"/>
    <w:rsid w:val="00CA15C8"/>
    <w:rsid w:val="00CA2C8F"/>
    <w:rsid w:val="00CA30DA"/>
    <w:rsid w:val="00CA3A24"/>
    <w:rsid w:val="00CA7D21"/>
    <w:rsid w:val="00CB1777"/>
    <w:rsid w:val="00CB33E9"/>
    <w:rsid w:val="00CB5526"/>
    <w:rsid w:val="00CB7948"/>
    <w:rsid w:val="00CC10A9"/>
    <w:rsid w:val="00CD0655"/>
    <w:rsid w:val="00CD40D3"/>
    <w:rsid w:val="00CE28B6"/>
    <w:rsid w:val="00CE2BF8"/>
    <w:rsid w:val="00CE46EF"/>
    <w:rsid w:val="00CE484E"/>
    <w:rsid w:val="00CE4D20"/>
    <w:rsid w:val="00CE51F6"/>
    <w:rsid w:val="00CE656F"/>
    <w:rsid w:val="00CF09A3"/>
    <w:rsid w:val="00CF0DA8"/>
    <w:rsid w:val="00CF2E25"/>
    <w:rsid w:val="00CF4453"/>
    <w:rsid w:val="00CF5589"/>
    <w:rsid w:val="00CF5D94"/>
    <w:rsid w:val="00CF7E0F"/>
    <w:rsid w:val="00D00893"/>
    <w:rsid w:val="00D034D7"/>
    <w:rsid w:val="00D04BE4"/>
    <w:rsid w:val="00D06FC7"/>
    <w:rsid w:val="00D1190E"/>
    <w:rsid w:val="00D12565"/>
    <w:rsid w:val="00D140C1"/>
    <w:rsid w:val="00D14127"/>
    <w:rsid w:val="00D34E24"/>
    <w:rsid w:val="00D41C34"/>
    <w:rsid w:val="00D4269B"/>
    <w:rsid w:val="00D479AE"/>
    <w:rsid w:val="00D50FCD"/>
    <w:rsid w:val="00D533E3"/>
    <w:rsid w:val="00D60B16"/>
    <w:rsid w:val="00D60EEB"/>
    <w:rsid w:val="00D60F02"/>
    <w:rsid w:val="00D61ADD"/>
    <w:rsid w:val="00D6389C"/>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C78EF"/>
    <w:rsid w:val="00DD150B"/>
    <w:rsid w:val="00DD3356"/>
    <w:rsid w:val="00DD5025"/>
    <w:rsid w:val="00DD5464"/>
    <w:rsid w:val="00DD6F85"/>
    <w:rsid w:val="00DE254E"/>
    <w:rsid w:val="00DE32C0"/>
    <w:rsid w:val="00DE76A7"/>
    <w:rsid w:val="00DF0873"/>
    <w:rsid w:val="00DF1510"/>
    <w:rsid w:val="00E02F1F"/>
    <w:rsid w:val="00E05454"/>
    <w:rsid w:val="00E06484"/>
    <w:rsid w:val="00E06B24"/>
    <w:rsid w:val="00E1471D"/>
    <w:rsid w:val="00E20A7D"/>
    <w:rsid w:val="00E23FE4"/>
    <w:rsid w:val="00E275D8"/>
    <w:rsid w:val="00E30F6A"/>
    <w:rsid w:val="00E3117C"/>
    <w:rsid w:val="00E31288"/>
    <w:rsid w:val="00E32CFA"/>
    <w:rsid w:val="00E34307"/>
    <w:rsid w:val="00E34511"/>
    <w:rsid w:val="00E3635B"/>
    <w:rsid w:val="00E375C3"/>
    <w:rsid w:val="00E375CA"/>
    <w:rsid w:val="00E40AF5"/>
    <w:rsid w:val="00E5364F"/>
    <w:rsid w:val="00E53CDE"/>
    <w:rsid w:val="00E567E8"/>
    <w:rsid w:val="00E61432"/>
    <w:rsid w:val="00E63766"/>
    <w:rsid w:val="00E64679"/>
    <w:rsid w:val="00E65EBC"/>
    <w:rsid w:val="00E6602E"/>
    <w:rsid w:val="00E677FE"/>
    <w:rsid w:val="00E71DF6"/>
    <w:rsid w:val="00E73432"/>
    <w:rsid w:val="00E77B0C"/>
    <w:rsid w:val="00E77FB8"/>
    <w:rsid w:val="00E838B0"/>
    <w:rsid w:val="00E8623E"/>
    <w:rsid w:val="00E86A7C"/>
    <w:rsid w:val="00E878E1"/>
    <w:rsid w:val="00E87F2C"/>
    <w:rsid w:val="00E95278"/>
    <w:rsid w:val="00E96A42"/>
    <w:rsid w:val="00EA2273"/>
    <w:rsid w:val="00EA737B"/>
    <w:rsid w:val="00EA7C3C"/>
    <w:rsid w:val="00EB2DB3"/>
    <w:rsid w:val="00EB69AD"/>
    <w:rsid w:val="00EB7A39"/>
    <w:rsid w:val="00EC3FBB"/>
    <w:rsid w:val="00EC6B7A"/>
    <w:rsid w:val="00ED3A87"/>
    <w:rsid w:val="00ED5B67"/>
    <w:rsid w:val="00EE1A5C"/>
    <w:rsid w:val="00EE5C60"/>
    <w:rsid w:val="00EE5F5A"/>
    <w:rsid w:val="00EE7513"/>
    <w:rsid w:val="00EF264C"/>
    <w:rsid w:val="00EF3556"/>
    <w:rsid w:val="00EF3FEE"/>
    <w:rsid w:val="00EF6B41"/>
    <w:rsid w:val="00EF7AB2"/>
    <w:rsid w:val="00F026C5"/>
    <w:rsid w:val="00F049DD"/>
    <w:rsid w:val="00F04B59"/>
    <w:rsid w:val="00F075B6"/>
    <w:rsid w:val="00F07B69"/>
    <w:rsid w:val="00F11741"/>
    <w:rsid w:val="00F117B0"/>
    <w:rsid w:val="00F12B1C"/>
    <w:rsid w:val="00F13CF8"/>
    <w:rsid w:val="00F15855"/>
    <w:rsid w:val="00F200B2"/>
    <w:rsid w:val="00F227DC"/>
    <w:rsid w:val="00F263B9"/>
    <w:rsid w:val="00F3045A"/>
    <w:rsid w:val="00F30701"/>
    <w:rsid w:val="00F32978"/>
    <w:rsid w:val="00F34BA8"/>
    <w:rsid w:val="00F45CB2"/>
    <w:rsid w:val="00F511F3"/>
    <w:rsid w:val="00F513C0"/>
    <w:rsid w:val="00F544C0"/>
    <w:rsid w:val="00F55332"/>
    <w:rsid w:val="00F6156E"/>
    <w:rsid w:val="00F6504A"/>
    <w:rsid w:val="00F65519"/>
    <w:rsid w:val="00F66D9F"/>
    <w:rsid w:val="00F713C0"/>
    <w:rsid w:val="00F75DDC"/>
    <w:rsid w:val="00F75E00"/>
    <w:rsid w:val="00F7792F"/>
    <w:rsid w:val="00F842AA"/>
    <w:rsid w:val="00F8476F"/>
    <w:rsid w:val="00F853E1"/>
    <w:rsid w:val="00F85604"/>
    <w:rsid w:val="00F872B3"/>
    <w:rsid w:val="00F93809"/>
    <w:rsid w:val="00F93E75"/>
    <w:rsid w:val="00F94525"/>
    <w:rsid w:val="00F94B7A"/>
    <w:rsid w:val="00FA17AC"/>
    <w:rsid w:val="00FA32DE"/>
    <w:rsid w:val="00FA3382"/>
    <w:rsid w:val="00FA59CD"/>
    <w:rsid w:val="00FB0CDC"/>
    <w:rsid w:val="00FB1740"/>
    <w:rsid w:val="00FB2BDA"/>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B4E8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qFormat/>
    <w:rsid w:val="00F026C5"/>
    <w:pPr>
      <w:widowControl w:val="0"/>
      <w:tabs>
        <w:tab w:val="left" w:pos="720"/>
      </w:tabs>
      <w:spacing w:line="536" w:lineRule="exact"/>
    </w:pPr>
    <w:rPr>
      <w:sz w:val="24"/>
      <w:szCs w:val="24"/>
    </w:rPr>
  </w:style>
  <w:style w:type="character" w:customStyle="1" w:styleId="RuleChar">
    <w:name w:val="Rule Char"/>
    <w:link w:val="Rule"/>
    <w:rsid w:val="00F026C5"/>
    <w:rPr>
      <w:sz w:val="24"/>
      <w:szCs w:val="24"/>
    </w:rPr>
  </w:style>
  <w:style w:type="paragraph" w:customStyle="1" w:styleId="RuleHeader">
    <w:name w:val="Rule Header"/>
    <w:basedOn w:val="Rule"/>
    <w:rsid w:val="00F026C5"/>
    <w:pPr>
      <w:jc w:val="right"/>
    </w:pPr>
  </w:style>
  <w:style w:type="paragraph" w:styleId="ListParagraph">
    <w:name w:val="List Paragraph"/>
    <w:basedOn w:val="Normal"/>
    <w:uiPriority w:val="34"/>
    <w:qFormat/>
    <w:rsid w:val="00F026C5"/>
    <w:pPr>
      <w:ind w:left="720"/>
      <w:contextualSpacing/>
    </w:pPr>
  </w:style>
  <w:style w:type="character" w:styleId="FootnoteReference">
    <w:name w:val="footnote reference"/>
    <w:basedOn w:val="DefaultParagraphFont"/>
    <w:uiPriority w:val="99"/>
    <w:semiHidden/>
    <w:unhideWhenUsed/>
    <w:rsid w:val="003A62F2"/>
    <w:rPr>
      <w:vertAlign w:val="superscript"/>
    </w:rPr>
  </w:style>
  <w:style w:type="character" w:styleId="CommentReference">
    <w:name w:val="annotation reference"/>
    <w:basedOn w:val="DefaultParagraphFont"/>
    <w:semiHidden/>
    <w:unhideWhenUsed/>
    <w:rsid w:val="00F34BA8"/>
    <w:rPr>
      <w:sz w:val="16"/>
      <w:szCs w:val="16"/>
    </w:rPr>
  </w:style>
  <w:style w:type="character" w:styleId="FollowedHyperlink">
    <w:name w:val="FollowedHyperlink"/>
    <w:basedOn w:val="DefaultParagraphFont"/>
    <w:semiHidden/>
    <w:unhideWhenUsed/>
    <w:rsid w:val="004763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loridapsc.com/appraiserlist" TargetMode="External"/><Relationship Id="rId18" Type="http://schemas.openxmlformats.org/officeDocument/2006/relationships/header" Target="header4.xml"/><Relationship Id="rId26" Type="http://schemas.openxmlformats.org/officeDocument/2006/relationships/image" Target="media/image2.jpg"/><Relationship Id="rId39"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10.jp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www.floridapsc.com" TargetMode="External"/><Relationship Id="rId25" Type="http://schemas.openxmlformats.org/officeDocument/2006/relationships/footer" Target="footer6.xml"/><Relationship Id="rId33" Type="http://schemas.openxmlformats.org/officeDocument/2006/relationships/image" Target="media/image9.jpg"/><Relationship Id="rId38"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mailto:appraiserlist@psc.state.fl.us" TargetMode="External"/><Relationship Id="rId20" Type="http://schemas.openxmlformats.org/officeDocument/2006/relationships/footer" Target="footer3.xml"/><Relationship Id="rId29" Type="http://schemas.openxmlformats.org/officeDocument/2006/relationships/image" Target="media/image5.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image" Target="media/image8.jpg"/><Relationship Id="rId37" Type="http://schemas.openxmlformats.org/officeDocument/2006/relationships/footer" Target="footer7.xml"/><Relationship Id="rId40"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yperlink" Target="mailto:appraiserlist@psc.state.fl.us" TargetMode="External"/><Relationship Id="rId23" Type="http://schemas.openxmlformats.org/officeDocument/2006/relationships/footer" Target="footer5.xml"/><Relationship Id="rId28" Type="http://schemas.openxmlformats.org/officeDocument/2006/relationships/image" Target="media/image4.jpg"/><Relationship Id="rId36"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appraiserlist@psc.state.fl.us" TargetMode="External"/><Relationship Id="rId22" Type="http://schemas.openxmlformats.org/officeDocument/2006/relationships/header" Target="header6.xml"/><Relationship Id="rId27" Type="http://schemas.openxmlformats.org/officeDocument/2006/relationships/image" Target="media/image3.jpg"/><Relationship Id="rId30" Type="http://schemas.openxmlformats.org/officeDocument/2006/relationships/image" Target="media/image6.jpg"/><Relationship Id="rId35"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28</Pages>
  <Words>6010</Words>
  <Characters>34084</Characters>
  <Application>Microsoft Office Word</Application>
  <DocSecurity>0</DocSecurity>
  <Lines>549</Lines>
  <Paragraphs>190</Paragraphs>
  <ScaleCrop>false</ScaleCrop>
  <Company/>
  <LinksUpToDate>false</LinksUpToDate>
  <CharactersWithSpaces>39904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2024-02-22T14:04:00Z</dcterms:created>
  <dcterms:modified xsi:type="dcterms:W3CDTF">2024-02-22T14:04:00Z</dcterms:modified>
  <cp:category/>
</cp:coreProperties>
</file>